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F0" w:rsidRPr="00595D45" w:rsidRDefault="00C876F0" w:rsidP="00C876F0">
      <w:pPr>
        <w:pBdr>
          <w:bottom w:val="single" w:sz="12" w:space="1" w:color="auto"/>
        </w:pBdr>
        <w:spacing w:line="360" w:lineRule="auto"/>
        <w:jc w:val="both"/>
        <w:rPr>
          <w:rFonts w:ascii="Arial Narrow" w:hAnsi="Arial Narrow" w:cs="Arial"/>
          <w:b/>
          <w:i/>
          <w:sz w:val="22"/>
          <w:szCs w:val="22"/>
        </w:rPr>
      </w:pPr>
      <w:bookmarkStart w:id="0" w:name="_GoBack"/>
      <w:bookmarkEnd w:id="0"/>
      <w:r w:rsidRPr="00595D45">
        <w:rPr>
          <w:rFonts w:ascii="Arial Narrow" w:hAnsi="Arial Narrow" w:cs="Arial"/>
          <w:b/>
          <w:i/>
          <w:sz w:val="22"/>
          <w:szCs w:val="22"/>
        </w:rPr>
        <w:t xml:space="preserve">INFORME RELATIVO AL PROYECTO DE ORDEN DE </w:t>
      </w:r>
      <w:smartTag w:uri="urn:schemas-microsoft-com:office:smarttags" w:element="PersonName">
        <w:smartTagPr>
          <w:attr w:name="ProductID" w:val="LA CONSEJERA DE"/>
        </w:smartTagPr>
        <w:r w:rsidRPr="00595D45">
          <w:rPr>
            <w:rFonts w:ascii="Arial Narrow" w:hAnsi="Arial Narrow" w:cs="Arial"/>
            <w:b/>
            <w:i/>
            <w:sz w:val="22"/>
            <w:szCs w:val="22"/>
          </w:rPr>
          <w:t>LA CONSEJERA DE</w:t>
        </w:r>
      </w:smartTag>
      <w:r w:rsidRPr="00595D45">
        <w:rPr>
          <w:rFonts w:ascii="Arial Narrow" w:hAnsi="Arial Narrow" w:cs="Arial"/>
          <w:b/>
          <w:i/>
          <w:sz w:val="22"/>
          <w:szCs w:val="22"/>
        </w:rPr>
        <w:t xml:space="preserve"> </w:t>
      </w:r>
      <w:r>
        <w:rPr>
          <w:rFonts w:ascii="Arial Narrow" w:hAnsi="Arial Narrow" w:cs="Arial"/>
          <w:b/>
          <w:i/>
          <w:sz w:val="22"/>
          <w:szCs w:val="22"/>
        </w:rPr>
        <w:t>DESARROLLO ECONÓMICO Y COMPETITIVIDAD, QUE REGULA EL CUADERNO DE EXPLOTACION Y SU USO EN LAS EXPLOTACIONES AGRARIAS DE LA COMUNIDAD AUTÓNOMA DEL PAÍS VASCO.</w:t>
      </w:r>
    </w:p>
    <w:p w:rsidR="00C876F0" w:rsidRPr="00595D45" w:rsidRDefault="00C876F0" w:rsidP="00C876F0">
      <w:pPr>
        <w:spacing w:line="360" w:lineRule="auto"/>
        <w:jc w:val="both"/>
        <w:rPr>
          <w:rFonts w:ascii="Arial Narrow" w:hAnsi="Arial Narrow" w:cs="Arial"/>
          <w:b/>
          <w:i/>
          <w:sz w:val="22"/>
          <w:szCs w:val="22"/>
        </w:rPr>
      </w:pPr>
    </w:p>
    <w:p w:rsidR="00C876F0" w:rsidRPr="00C37378" w:rsidRDefault="00C37378" w:rsidP="00C876F0">
      <w:pPr>
        <w:spacing w:line="360" w:lineRule="auto"/>
        <w:jc w:val="both"/>
        <w:rPr>
          <w:rFonts w:ascii="Arial Narrow" w:hAnsi="Arial Narrow" w:cs="Arial"/>
          <w:b/>
          <w:i/>
          <w:sz w:val="22"/>
          <w:szCs w:val="22"/>
        </w:rPr>
      </w:pPr>
      <w:r w:rsidRPr="00C37378">
        <w:rPr>
          <w:rFonts w:ascii="Arial Narrow" w:hAnsi="Arial Narrow" w:cs="Arial"/>
          <w:b/>
          <w:i/>
          <w:sz w:val="22"/>
          <w:szCs w:val="22"/>
        </w:rPr>
        <w:t>Ref.: 99/2014 IL</w:t>
      </w:r>
    </w:p>
    <w:p w:rsidR="00C876F0" w:rsidRPr="00595D45" w:rsidRDefault="00C876F0" w:rsidP="00C876F0">
      <w:pPr>
        <w:spacing w:line="360" w:lineRule="auto"/>
        <w:jc w:val="both"/>
        <w:rPr>
          <w:rFonts w:ascii="Arial Narrow" w:hAnsi="Arial Narrow" w:cs="Arial"/>
          <w:b/>
          <w:i/>
          <w:sz w:val="22"/>
          <w:szCs w:val="22"/>
        </w:rPr>
      </w:pPr>
    </w:p>
    <w:p w:rsidR="00C876F0" w:rsidRPr="00595D45" w:rsidRDefault="00C876F0" w:rsidP="00C876F0">
      <w:pPr>
        <w:spacing w:line="360" w:lineRule="auto"/>
        <w:jc w:val="both"/>
        <w:rPr>
          <w:rFonts w:ascii="Arial Narrow" w:hAnsi="Arial Narrow" w:cs="Arial"/>
          <w:b/>
          <w:sz w:val="22"/>
          <w:szCs w:val="22"/>
          <w:u w:val="single"/>
        </w:rPr>
      </w:pPr>
      <w:r w:rsidRPr="00595D45">
        <w:rPr>
          <w:rFonts w:ascii="Arial Narrow" w:hAnsi="Arial Narrow" w:cs="Arial"/>
          <w:b/>
          <w:sz w:val="22"/>
          <w:szCs w:val="22"/>
        </w:rPr>
        <w:t>I.  ANTECEDENTES</w:t>
      </w:r>
    </w:p>
    <w:p w:rsidR="00C876F0" w:rsidRPr="00595D45" w:rsidRDefault="00C876F0" w:rsidP="00C876F0">
      <w:pPr>
        <w:spacing w:line="360" w:lineRule="auto"/>
        <w:jc w:val="both"/>
        <w:rPr>
          <w:rFonts w:ascii="Arial Narrow" w:hAnsi="Arial Narrow" w:cs="Arial"/>
          <w:sz w:val="22"/>
          <w:szCs w:val="22"/>
        </w:rPr>
      </w:pPr>
    </w:p>
    <w:p w:rsidR="00C876F0" w:rsidRPr="003A414F" w:rsidRDefault="00C876F0" w:rsidP="00C876F0">
      <w:pPr>
        <w:spacing w:line="360" w:lineRule="auto"/>
        <w:jc w:val="both"/>
        <w:rPr>
          <w:rFonts w:ascii="Arial Narrow" w:hAnsi="Arial Narrow"/>
          <w:sz w:val="23"/>
          <w:szCs w:val="23"/>
        </w:rPr>
      </w:pPr>
      <w:r w:rsidRPr="00595D45">
        <w:rPr>
          <w:rFonts w:ascii="Arial Narrow" w:hAnsi="Arial Narrow" w:cs="Arial"/>
          <w:sz w:val="22"/>
          <w:szCs w:val="22"/>
        </w:rPr>
        <w:tab/>
        <w:t xml:space="preserve">Por el Departamento de </w:t>
      </w:r>
      <w:r>
        <w:rPr>
          <w:rFonts w:ascii="Arial Narrow" w:hAnsi="Arial Narrow" w:cs="Arial"/>
          <w:sz w:val="22"/>
          <w:szCs w:val="22"/>
        </w:rPr>
        <w:t xml:space="preserve">Desarrollo Económico y Competitividad </w:t>
      </w:r>
      <w:r w:rsidRPr="00595D45">
        <w:rPr>
          <w:rFonts w:ascii="Arial Narrow" w:hAnsi="Arial Narrow" w:cs="Arial"/>
          <w:sz w:val="22"/>
          <w:szCs w:val="22"/>
        </w:rPr>
        <w:t>se ha solicitado informe de legalidad respecto al proyecto de referencia.</w:t>
      </w:r>
      <w:r>
        <w:rPr>
          <w:rFonts w:ascii="Arial Narrow" w:hAnsi="Arial Narrow" w:cs="Arial"/>
          <w:sz w:val="22"/>
          <w:szCs w:val="22"/>
        </w:rPr>
        <w:t xml:space="preserve"> </w:t>
      </w:r>
      <w:r w:rsidRPr="003A414F">
        <w:rPr>
          <w:rFonts w:ascii="Arial Narrow" w:hAnsi="Arial Narrow"/>
          <w:sz w:val="23"/>
          <w:szCs w:val="23"/>
        </w:rPr>
        <w:t>Se acompaña al citado proyecto un conjunto amplio de documentos pertenecientes e integrantes del p</w:t>
      </w:r>
      <w:r>
        <w:rPr>
          <w:rFonts w:ascii="Arial Narrow" w:hAnsi="Arial Narrow"/>
          <w:sz w:val="23"/>
          <w:szCs w:val="23"/>
        </w:rPr>
        <w:t>roceso seguido en la elaboración</w:t>
      </w:r>
      <w:r w:rsidRPr="003A414F">
        <w:rPr>
          <w:rFonts w:ascii="Arial Narrow" w:hAnsi="Arial Narrow"/>
          <w:sz w:val="23"/>
          <w:szCs w:val="23"/>
        </w:rPr>
        <w:t xml:space="preserve"> hasta su culminació</w:t>
      </w:r>
      <w:r>
        <w:rPr>
          <w:rFonts w:ascii="Arial Narrow" w:hAnsi="Arial Narrow"/>
          <w:sz w:val="23"/>
          <w:szCs w:val="23"/>
        </w:rPr>
        <w:t>n en el proyecto de referencia.</w:t>
      </w:r>
    </w:p>
    <w:p w:rsidR="00C876F0" w:rsidRPr="003A414F" w:rsidRDefault="00C876F0" w:rsidP="00C876F0">
      <w:pPr>
        <w:spacing w:line="360" w:lineRule="auto"/>
        <w:ind w:firstLine="709"/>
        <w:jc w:val="both"/>
        <w:rPr>
          <w:rFonts w:ascii="Arial Narrow" w:hAnsi="Arial Narrow"/>
          <w:sz w:val="23"/>
          <w:szCs w:val="23"/>
        </w:rPr>
      </w:pPr>
    </w:p>
    <w:p w:rsidR="00C876F0" w:rsidRPr="003A414F" w:rsidRDefault="00C876F0" w:rsidP="00C876F0">
      <w:pPr>
        <w:spacing w:line="360" w:lineRule="auto"/>
        <w:ind w:firstLine="709"/>
        <w:jc w:val="both"/>
        <w:rPr>
          <w:rFonts w:ascii="Arial Narrow" w:hAnsi="Arial Narrow"/>
          <w:b/>
          <w:sz w:val="23"/>
          <w:szCs w:val="23"/>
        </w:rPr>
      </w:pPr>
      <w:r w:rsidRPr="003A414F">
        <w:rPr>
          <w:rFonts w:ascii="Arial Narrow" w:hAnsi="Arial Narrow"/>
          <w:sz w:val="23"/>
          <w:szCs w:val="23"/>
        </w:rPr>
        <w:t xml:space="preserve">El presente informe se emite en virtud de lo dispuesto en el artículo 9.1.m) del Decreto 4/2009, de 8 de mayo, de creación, supresión y modificación de los Departamentos de </w:t>
      </w:r>
      <w:smartTag w:uri="urn:schemas-microsoft-com:office:smarttags" w:element="PersonName">
        <w:smartTagPr>
          <w:attr w:name="ProductID" w:val="la Administraci￳n"/>
        </w:smartTagPr>
        <w:r w:rsidRPr="003A414F">
          <w:rPr>
            <w:rFonts w:ascii="Arial Narrow" w:hAnsi="Arial Narrow"/>
            <w:sz w:val="23"/>
            <w:szCs w:val="23"/>
          </w:rPr>
          <w:t>la Administración</w:t>
        </w:r>
      </w:smartTag>
      <w:r w:rsidRPr="003A414F">
        <w:rPr>
          <w:rFonts w:ascii="Arial Narrow" w:hAnsi="Arial Narrow"/>
          <w:sz w:val="23"/>
          <w:szCs w:val="23"/>
        </w:rPr>
        <w:t xml:space="preserve"> de </w:t>
      </w:r>
      <w:smartTag w:uri="urn:schemas-microsoft-com:office:smarttags" w:element="PersonName">
        <w:smartTagPr>
          <w:attr w:name="ProductID" w:val="LA COMUNIDAD AUTￓNOMA"/>
        </w:smartTagPr>
        <w:r w:rsidRPr="003A414F">
          <w:rPr>
            <w:rFonts w:ascii="Arial Narrow" w:hAnsi="Arial Narrow"/>
            <w:sz w:val="23"/>
            <w:szCs w:val="23"/>
          </w:rPr>
          <w:t>la Comunidad Autónoma</w:t>
        </w:r>
      </w:smartTag>
      <w:r w:rsidRPr="003A414F">
        <w:rPr>
          <w:rFonts w:ascii="Arial Narrow" w:hAnsi="Arial Narrow"/>
          <w:sz w:val="23"/>
          <w:szCs w:val="23"/>
        </w:rPr>
        <w:t xml:space="preserve"> del País Vasco y de determinación de funciones y áreas de actuación de los mismos, en relación con lo dispuesto en el artículo 24.1.c) del Decreto 472/2009, de 28 de agosto, por el que se aprueba la estructura orgánica del Departamento de Justicia y Administración Pública</w:t>
      </w:r>
      <w:r w:rsidRPr="003A414F">
        <w:rPr>
          <w:rFonts w:ascii="Arial Narrow" w:hAnsi="Arial Narrow"/>
          <w:b/>
          <w:sz w:val="23"/>
          <w:szCs w:val="23"/>
        </w:rPr>
        <w:t>.</w:t>
      </w:r>
    </w:p>
    <w:p w:rsidR="00C876F0" w:rsidRPr="00595D45" w:rsidRDefault="00C876F0" w:rsidP="00C876F0">
      <w:pPr>
        <w:spacing w:line="360" w:lineRule="auto"/>
        <w:jc w:val="both"/>
        <w:rPr>
          <w:rFonts w:ascii="Arial Narrow" w:hAnsi="Arial Narrow" w:cs="Arial"/>
          <w:sz w:val="22"/>
          <w:szCs w:val="22"/>
        </w:rPr>
      </w:pPr>
    </w:p>
    <w:p w:rsidR="00C876F0" w:rsidRPr="00595D45" w:rsidRDefault="00C876F0" w:rsidP="00C876F0">
      <w:pPr>
        <w:spacing w:line="360" w:lineRule="auto"/>
        <w:jc w:val="both"/>
        <w:rPr>
          <w:rFonts w:ascii="Arial Narrow" w:hAnsi="Arial Narrow" w:cs="Arial"/>
          <w:b/>
          <w:sz w:val="22"/>
          <w:szCs w:val="22"/>
        </w:rPr>
      </w:pPr>
      <w:r w:rsidRPr="00595D45">
        <w:rPr>
          <w:rFonts w:ascii="Arial Narrow" w:hAnsi="Arial Narrow" w:cs="Arial"/>
          <w:b/>
          <w:sz w:val="22"/>
          <w:szCs w:val="22"/>
        </w:rPr>
        <w:t>II.  LEGALIDAD</w:t>
      </w:r>
    </w:p>
    <w:p w:rsidR="00C876F0" w:rsidRPr="00595D45" w:rsidRDefault="00C876F0" w:rsidP="00C876F0">
      <w:pPr>
        <w:spacing w:line="360" w:lineRule="auto"/>
        <w:jc w:val="both"/>
        <w:rPr>
          <w:rFonts w:ascii="Arial Narrow" w:hAnsi="Arial Narrow" w:cs="Arial"/>
          <w:sz w:val="22"/>
          <w:szCs w:val="22"/>
        </w:rPr>
      </w:pPr>
    </w:p>
    <w:p w:rsidR="00C876F0" w:rsidRPr="00595D45" w:rsidRDefault="00C876F0" w:rsidP="00C876F0">
      <w:pPr>
        <w:spacing w:line="360" w:lineRule="auto"/>
        <w:jc w:val="both"/>
        <w:rPr>
          <w:rFonts w:ascii="Arial Narrow" w:hAnsi="Arial Narrow" w:cs="Arial"/>
          <w:b/>
          <w:i/>
          <w:sz w:val="22"/>
          <w:szCs w:val="22"/>
        </w:rPr>
      </w:pPr>
      <w:r w:rsidRPr="00595D45">
        <w:rPr>
          <w:rFonts w:ascii="Arial Narrow" w:hAnsi="Arial Narrow" w:cs="Arial"/>
          <w:b/>
          <w:i/>
          <w:sz w:val="22"/>
          <w:szCs w:val="22"/>
        </w:rPr>
        <w:tab/>
        <w:t>A.- Objeto.-</w:t>
      </w:r>
    </w:p>
    <w:p w:rsidR="00C876F0" w:rsidRPr="00595D45" w:rsidRDefault="00C876F0" w:rsidP="00C876F0">
      <w:pPr>
        <w:spacing w:line="360" w:lineRule="auto"/>
        <w:jc w:val="both"/>
        <w:rPr>
          <w:rFonts w:ascii="Arial Narrow" w:hAnsi="Arial Narrow" w:cs="Arial"/>
          <w:sz w:val="22"/>
          <w:szCs w:val="22"/>
        </w:rPr>
      </w:pPr>
    </w:p>
    <w:p w:rsidR="00C876F0" w:rsidRPr="00595D45" w:rsidRDefault="00C876F0" w:rsidP="00C876F0">
      <w:pPr>
        <w:spacing w:line="360" w:lineRule="auto"/>
        <w:ind w:firstLine="709"/>
        <w:jc w:val="both"/>
        <w:rPr>
          <w:rFonts w:ascii="Arial Narrow" w:hAnsi="Arial Narrow" w:cs="Arial"/>
          <w:sz w:val="22"/>
          <w:szCs w:val="22"/>
        </w:rPr>
      </w:pPr>
      <w:r w:rsidRPr="00595D45">
        <w:rPr>
          <w:rFonts w:ascii="Arial Narrow" w:hAnsi="Arial Narrow" w:cs="Arial"/>
          <w:sz w:val="22"/>
          <w:szCs w:val="22"/>
        </w:rPr>
        <w:t xml:space="preserve">El objeto del proyecto de </w:t>
      </w:r>
      <w:r>
        <w:rPr>
          <w:rFonts w:ascii="Arial Narrow" w:hAnsi="Arial Narrow" w:cs="Arial"/>
          <w:sz w:val="22"/>
          <w:szCs w:val="22"/>
        </w:rPr>
        <w:t>O</w:t>
      </w:r>
      <w:r w:rsidRPr="00595D45">
        <w:rPr>
          <w:rFonts w:ascii="Arial Narrow" w:hAnsi="Arial Narrow" w:cs="Arial"/>
          <w:sz w:val="22"/>
          <w:szCs w:val="22"/>
        </w:rPr>
        <w:t xml:space="preserve">rden es regular </w:t>
      </w:r>
      <w:r>
        <w:rPr>
          <w:rFonts w:ascii="Arial Narrow" w:hAnsi="Arial Narrow" w:cs="Arial"/>
          <w:sz w:val="22"/>
          <w:szCs w:val="22"/>
        </w:rPr>
        <w:t>el contenido que debe tener el cuaderno de explotación de las explotaciones agrícolas y ganaderas de la Comunidad Autónoma del País Vasco. En realidad, tal y como se explica en la parte expositiva, se trata de actualizar el contenido que debe de recoger el citado cuaderno, contenido que ya estaba regulado mediante Orden de 10 de marzo de 2008 (a su vez modificada por Orden de 14 de julio de 2010). La actualización es debida a las nuevas exigencias de los cambios normativos que se han producido en materia medioambiental, tratamientos fitosanitarios y zoosanitarios, cosecha obtenida y diversos datos de explotaciones ganaderas.</w:t>
      </w:r>
    </w:p>
    <w:p w:rsidR="00C876F0" w:rsidRPr="00595D45" w:rsidRDefault="00C876F0" w:rsidP="00C876F0">
      <w:pPr>
        <w:spacing w:line="360" w:lineRule="auto"/>
        <w:ind w:firstLine="709"/>
        <w:jc w:val="both"/>
        <w:rPr>
          <w:rFonts w:ascii="Arial Narrow" w:hAnsi="Arial Narrow" w:cs="Arial"/>
          <w:sz w:val="22"/>
          <w:szCs w:val="22"/>
        </w:rPr>
      </w:pPr>
    </w:p>
    <w:p w:rsidR="00C876F0" w:rsidRPr="00595D45" w:rsidRDefault="00C876F0" w:rsidP="00C876F0">
      <w:pPr>
        <w:spacing w:line="360" w:lineRule="auto"/>
        <w:ind w:firstLine="851"/>
        <w:jc w:val="both"/>
        <w:rPr>
          <w:rFonts w:ascii="Arial Narrow" w:hAnsi="Arial Narrow" w:cs="Arial"/>
          <w:b/>
          <w:i/>
          <w:sz w:val="22"/>
          <w:szCs w:val="22"/>
        </w:rPr>
      </w:pPr>
      <w:r w:rsidRPr="00595D45">
        <w:rPr>
          <w:rFonts w:ascii="Arial Narrow" w:hAnsi="Arial Narrow" w:cs="Arial"/>
          <w:b/>
          <w:i/>
          <w:sz w:val="22"/>
          <w:szCs w:val="22"/>
        </w:rPr>
        <w:t>B.- Marco competencial.</w:t>
      </w:r>
    </w:p>
    <w:p w:rsidR="00C876F0" w:rsidRPr="00595D45" w:rsidRDefault="00C876F0" w:rsidP="00C876F0">
      <w:pPr>
        <w:spacing w:line="360" w:lineRule="auto"/>
        <w:ind w:firstLine="851"/>
        <w:jc w:val="both"/>
        <w:rPr>
          <w:rFonts w:ascii="Arial Narrow" w:hAnsi="Arial Narrow" w:cs="Arial"/>
          <w:sz w:val="22"/>
          <w:szCs w:val="22"/>
        </w:rPr>
      </w:pPr>
    </w:p>
    <w:p w:rsidR="00C876F0" w:rsidRDefault="00C876F0" w:rsidP="00C876F0">
      <w:pPr>
        <w:spacing w:line="360" w:lineRule="auto"/>
        <w:ind w:firstLine="709"/>
        <w:jc w:val="both"/>
        <w:rPr>
          <w:rFonts w:ascii="Arial Narrow" w:hAnsi="Arial Narrow" w:cs="Arial"/>
          <w:sz w:val="22"/>
          <w:szCs w:val="22"/>
        </w:rPr>
      </w:pPr>
      <w:r w:rsidRPr="00595D45">
        <w:rPr>
          <w:rFonts w:ascii="Arial Narrow" w:hAnsi="Arial Narrow" w:cs="Arial"/>
          <w:sz w:val="22"/>
          <w:szCs w:val="22"/>
        </w:rPr>
        <w:t>Nos hallamos</w:t>
      </w:r>
      <w:r>
        <w:rPr>
          <w:rFonts w:ascii="Arial Narrow" w:hAnsi="Arial Narrow" w:cs="Arial"/>
          <w:sz w:val="22"/>
          <w:szCs w:val="22"/>
        </w:rPr>
        <w:t>, por tanto,</w:t>
      </w:r>
      <w:r w:rsidRPr="00595D45">
        <w:rPr>
          <w:rFonts w:ascii="Arial Narrow" w:hAnsi="Arial Narrow" w:cs="Arial"/>
          <w:sz w:val="22"/>
          <w:szCs w:val="22"/>
        </w:rPr>
        <w:t xml:space="preserve"> ante un borrador de </w:t>
      </w:r>
      <w:r>
        <w:rPr>
          <w:rFonts w:ascii="Arial Narrow" w:hAnsi="Arial Narrow" w:cs="Arial"/>
          <w:sz w:val="22"/>
          <w:szCs w:val="22"/>
        </w:rPr>
        <w:t>O</w:t>
      </w:r>
      <w:r w:rsidRPr="00595D45">
        <w:rPr>
          <w:rFonts w:ascii="Arial Narrow" w:hAnsi="Arial Narrow" w:cs="Arial"/>
          <w:sz w:val="22"/>
          <w:szCs w:val="22"/>
        </w:rPr>
        <w:t xml:space="preserve">rden que </w:t>
      </w:r>
      <w:r>
        <w:rPr>
          <w:rFonts w:ascii="Arial Narrow" w:hAnsi="Arial Narrow" w:cs="Arial"/>
          <w:sz w:val="22"/>
          <w:szCs w:val="22"/>
        </w:rPr>
        <w:t>se sitúa expresamente en el ámbito regulador de diferentes aspectos precautorios que interrelacionan en las explotaciones agrarias como son:</w:t>
      </w:r>
    </w:p>
    <w:p w:rsidR="00C876F0" w:rsidRDefault="00C876F0" w:rsidP="00C876F0">
      <w:pPr>
        <w:numPr>
          <w:ilvl w:val="0"/>
          <w:numId w:val="1"/>
        </w:numPr>
        <w:spacing w:line="360" w:lineRule="auto"/>
        <w:jc w:val="both"/>
        <w:rPr>
          <w:rFonts w:ascii="Arial Narrow" w:hAnsi="Arial Narrow" w:cs="Arial"/>
          <w:sz w:val="22"/>
          <w:szCs w:val="22"/>
        </w:rPr>
      </w:pPr>
      <w:r>
        <w:rPr>
          <w:rFonts w:ascii="Arial Narrow" w:hAnsi="Arial Narrow" w:cs="Arial"/>
          <w:sz w:val="22"/>
          <w:szCs w:val="22"/>
        </w:rPr>
        <w:t>En primer lugar, el llamado “Paquete de Higiene” liderado por el Reglamento (CE) nº 852/2004 del Parlamento Europeo y del Consejo, de 29 de abril de 2004.</w:t>
      </w:r>
    </w:p>
    <w:p w:rsidR="00C876F0" w:rsidRDefault="00C876F0" w:rsidP="00C876F0">
      <w:pPr>
        <w:spacing w:line="360" w:lineRule="auto"/>
        <w:ind w:firstLine="709"/>
        <w:jc w:val="both"/>
        <w:rPr>
          <w:rFonts w:ascii="Arial Narrow" w:hAnsi="Arial Narrow" w:cs="Arial"/>
          <w:sz w:val="22"/>
          <w:szCs w:val="22"/>
        </w:rPr>
      </w:pPr>
    </w:p>
    <w:p w:rsidR="00C876F0" w:rsidRDefault="00C876F0" w:rsidP="00C876F0">
      <w:pPr>
        <w:numPr>
          <w:ilvl w:val="0"/>
          <w:numId w:val="1"/>
        </w:numPr>
        <w:spacing w:line="360" w:lineRule="auto"/>
        <w:jc w:val="both"/>
        <w:rPr>
          <w:rFonts w:ascii="Arial Narrow" w:hAnsi="Arial Narrow" w:cs="Arial"/>
          <w:sz w:val="22"/>
          <w:szCs w:val="22"/>
        </w:rPr>
      </w:pPr>
      <w:r>
        <w:rPr>
          <w:rFonts w:ascii="Arial Narrow" w:hAnsi="Arial Narrow" w:cs="Arial"/>
          <w:sz w:val="22"/>
          <w:szCs w:val="22"/>
        </w:rPr>
        <w:t>En segundo lugar, los requisitos medioambientales y de bienestar en la actividad agraria y la práctica de condicionar el pago de las ayudas directas de la Política Agraria Común a su cumplimiento regulado mediante los Reglamentos (UE) nº 1306/2013 del Parlamento Europea y del Consejo  de 17 de diciembre de 2013; reglamento Delegado (UE) nº 640/2014 de la Comisión, de 11 de marzo de 2014 y Reglamento de Ejecución (UE) nº 809/2014 de la Comisión, de 17 de julio de 2014.</w:t>
      </w:r>
    </w:p>
    <w:p w:rsidR="00C876F0" w:rsidRDefault="00C876F0" w:rsidP="00C876F0">
      <w:pPr>
        <w:spacing w:line="360" w:lineRule="auto"/>
        <w:ind w:firstLine="709"/>
        <w:jc w:val="both"/>
        <w:rPr>
          <w:rFonts w:ascii="Arial Narrow" w:hAnsi="Arial Narrow" w:cs="Arial"/>
          <w:sz w:val="22"/>
          <w:szCs w:val="22"/>
        </w:rPr>
      </w:pPr>
    </w:p>
    <w:p w:rsidR="00C876F0" w:rsidRDefault="00C876F0" w:rsidP="00C876F0">
      <w:pPr>
        <w:numPr>
          <w:ilvl w:val="0"/>
          <w:numId w:val="1"/>
        </w:numPr>
        <w:spacing w:line="360" w:lineRule="auto"/>
        <w:jc w:val="both"/>
        <w:rPr>
          <w:rFonts w:ascii="Arial Narrow" w:hAnsi="Arial Narrow" w:cs="Arial"/>
          <w:sz w:val="22"/>
          <w:szCs w:val="22"/>
        </w:rPr>
      </w:pPr>
      <w:r>
        <w:rPr>
          <w:rFonts w:ascii="Arial Narrow" w:hAnsi="Arial Narrow" w:cs="Arial"/>
          <w:sz w:val="22"/>
          <w:szCs w:val="22"/>
        </w:rPr>
        <w:t>En tercer y último lugar, la regulación para el uso sostenible de los plaguicidas, Directiva 2009/128/CE del Parlamento Europeo y del Consejo de 21 de octubre de 2009 y el Reglamento (CE) nº 1107/2009 del Parlamento Europeo y del Consejo, de 21 de octubre de 2009.</w:t>
      </w:r>
    </w:p>
    <w:p w:rsidR="00C876F0" w:rsidRPr="00852B4E" w:rsidRDefault="00C876F0" w:rsidP="00C876F0">
      <w:pPr>
        <w:spacing w:line="360" w:lineRule="auto"/>
        <w:ind w:firstLine="709"/>
        <w:jc w:val="both"/>
        <w:rPr>
          <w:rFonts w:ascii="Arial Narrow" w:hAnsi="Arial Narrow" w:cs="Arial"/>
          <w:sz w:val="22"/>
          <w:szCs w:val="22"/>
        </w:rPr>
      </w:pPr>
    </w:p>
    <w:p w:rsidR="00C876F0" w:rsidRPr="000A7B12" w:rsidRDefault="00C876F0" w:rsidP="00C876F0">
      <w:pPr>
        <w:spacing w:line="360" w:lineRule="auto"/>
        <w:ind w:firstLine="709"/>
        <w:jc w:val="both"/>
        <w:rPr>
          <w:rFonts w:ascii="Arial Narrow" w:hAnsi="Arial Narrow" w:cs="Arial"/>
          <w:sz w:val="22"/>
          <w:szCs w:val="22"/>
          <w:lang w:val="es-ES"/>
        </w:rPr>
      </w:pPr>
      <w:r w:rsidRPr="000A7B12">
        <w:rPr>
          <w:rFonts w:ascii="Arial Narrow" w:hAnsi="Arial Narrow" w:cs="Arial"/>
          <w:sz w:val="22"/>
          <w:szCs w:val="22"/>
        </w:rPr>
        <w:t xml:space="preserve">Obviamente, dado el marco normativo en el que se inserta la iniciativa, </w:t>
      </w:r>
      <w:smartTag w:uri="urn:schemas-microsoft-com:office:smarttags" w:element="PersonName">
        <w:smartTagPr>
          <w:attr w:name="ProductID" w:val="LA COMUNIDAD AUTￓNOMA"/>
        </w:smartTagPr>
        <w:r w:rsidRPr="000A7B12">
          <w:rPr>
            <w:rFonts w:ascii="Arial Narrow" w:hAnsi="Arial Narrow" w:cs="Arial"/>
            <w:sz w:val="22"/>
            <w:szCs w:val="22"/>
          </w:rPr>
          <w:t>l</w:t>
        </w:r>
        <w:r w:rsidRPr="000A7B12">
          <w:rPr>
            <w:rFonts w:ascii="Arial Narrow" w:hAnsi="Arial Narrow" w:cs="Arial"/>
            <w:sz w:val="22"/>
            <w:szCs w:val="22"/>
            <w:lang w:val="es-ES"/>
          </w:rPr>
          <w:t>a Comunidad Autónoma</w:t>
        </w:r>
      </w:smartTag>
      <w:r w:rsidRPr="000A7B12">
        <w:rPr>
          <w:rFonts w:ascii="Arial Narrow" w:hAnsi="Arial Narrow" w:cs="Arial"/>
          <w:sz w:val="22"/>
          <w:szCs w:val="22"/>
          <w:lang w:val="es-ES"/>
        </w:rPr>
        <w:t xml:space="preserve"> del País Vasco (CAE) ostenta competencia para abordar el proyecto de norma remitido a informe, por efecto del artículo 10, apartado 9,</w:t>
      </w:r>
      <w:r w:rsidRPr="000A7B12">
        <w:rPr>
          <w:rFonts w:ascii="Arial Narrow" w:hAnsi="Arial Narrow"/>
        </w:rPr>
        <w:t xml:space="preserve"> que reconoce la competencia a favor de la Comunidad Autónoma de la </w:t>
      </w:r>
      <w:r>
        <w:rPr>
          <w:rFonts w:ascii="Arial Narrow" w:hAnsi="Arial Narrow"/>
        </w:rPr>
        <w:t>a</w:t>
      </w:r>
      <w:r w:rsidRPr="000A7B12">
        <w:rPr>
          <w:rFonts w:ascii="Arial Narrow" w:hAnsi="Arial Narrow"/>
        </w:rPr>
        <w:t>gricultura y ganadería, de acuerdo con la ordenación general de la economía</w:t>
      </w:r>
      <w:r>
        <w:rPr>
          <w:rFonts w:ascii="Arial Narrow" w:hAnsi="Arial Narrow"/>
        </w:rPr>
        <w:t>,</w:t>
      </w:r>
      <w:r w:rsidRPr="000A7B12">
        <w:rPr>
          <w:rFonts w:ascii="Arial Narrow" w:hAnsi="Arial Narrow" w:cs="Arial"/>
          <w:sz w:val="22"/>
          <w:szCs w:val="22"/>
          <w:lang w:val="es-ES"/>
        </w:rPr>
        <w:t xml:space="preserve"> así como también en el apartado 25 del citado artículo</w:t>
      </w:r>
      <w:r>
        <w:rPr>
          <w:rFonts w:ascii="Arial Narrow" w:hAnsi="Arial Narrow" w:cs="Arial"/>
          <w:sz w:val="22"/>
          <w:szCs w:val="22"/>
          <w:lang w:val="es-ES"/>
        </w:rPr>
        <w:t>,</w:t>
      </w:r>
      <w:r w:rsidRPr="000A7B12">
        <w:rPr>
          <w:rFonts w:ascii="Arial Narrow" w:hAnsi="Arial Narrow" w:cs="Arial"/>
          <w:sz w:val="22"/>
          <w:szCs w:val="22"/>
          <w:lang w:val="es-ES"/>
        </w:rPr>
        <w:t xml:space="preserve"> que atribuye a </w:t>
      </w:r>
      <w:smartTag w:uri="urn:schemas-microsoft-com:office:smarttags" w:element="PersonName">
        <w:smartTagPr>
          <w:attr w:name="ProductID" w:val="la Comunidad Aut￳noma"/>
        </w:smartTagPr>
        <w:r w:rsidRPr="000A7B12">
          <w:rPr>
            <w:rFonts w:ascii="Arial Narrow" w:hAnsi="Arial Narrow" w:cs="Arial"/>
            <w:sz w:val="22"/>
            <w:szCs w:val="22"/>
            <w:lang w:val="es-ES"/>
          </w:rPr>
          <w:t>la Comunidad Autónoma</w:t>
        </w:r>
      </w:smartTag>
      <w:r w:rsidRPr="000A7B12">
        <w:rPr>
          <w:rFonts w:ascii="Arial Narrow" w:hAnsi="Arial Narrow" w:cs="Arial"/>
          <w:sz w:val="22"/>
          <w:szCs w:val="22"/>
          <w:lang w:val="es-ES"/>
        </w:rPr>
        <w:t xml:space="preserve"> competencia en materia de </w:t>
      </w:r>
      <w:r>
        <w:rPr>
          <w:rFonts w:ascii="Arial Narrow" w:hAnsi="Arial Narrow" w:cs="Arial"/>
          <w:sz w:val="22"/>
          <w:szCs w:val="22"/>
          <w:lang w:val="es-ES"/>
        </w:rPr>
        <w:t>p</w:t>
      </w:r>
      <w:proofErr w:type="spellStart"/>
      <w:r w:rsidRPr="000A7B12">
        <w:rPr>
          <w:rFonts w:ascii="Arial Narrow" w:hAnsi="Arial Narrow"/>
        </w:rPr>
        <w:t>romoción</w:t>
      </w:r>
      <w:proofErr w:type="spellEnd"/>
      <w:r w:rsidRPr="000A7B12">
        <w:rPr>
          <w:rFonts w:ascii="Arial Narrow" w:hAnsi="Arial Narrow"/>
        </w:rPr>
        <w:t>, desarrollo económico y planificación de la actividad económica del País Vasco</w:t>
      </w:r>
      <w:r>
        <w:rPr>
          <w:rFonts w:ascii="Arial Narrow" w:hAnsi="Arial Narrow"/>
        </w:rPr>
        <w:t>,</w:t>
      </w:r>
      <w:r w:rsidRPr="000A7B12">
        <w:rPr>
          <w:rFonts w:ascii="Arial Narrow" w:hAnsi="Arial Narrow"/>
        </w:rPr>
        <w:t xml:space="preserve"> de acuerdo con la ordenación general de la economía</w:t>
      </w:r>
      <w:r w:rsidRPr="000A7B12">
        <w:rPr>
          <w:rFonts w:ascii="Arial Narrow" w:hAnsi="Arial Narrow" w:cs="Arial"/>
          <w:sz w:val="22"/>
          <w:szCs w:val="22"/>
          <w:lang w:val="es-ES"/>
        </w:rPr>
        <w:t>.</w:t>
      </w:r>
    </w:p>
    <w:p w:rsidR="00C876F0" w:rsidRPr="00595D45" w:rsidRDefault="00C876F0" w:rsidP="00C876F0">
      <w:pPr>
        <w:spacing w:line="360" w:lineRule="auto"/>
        <w:ind w:firstLine="709"/>
        <w:jc w:val="both"/>
        <w:rPr>
          <w:rFonts w:ascii="Arial Narrow" w:hAnsi="Arial Narrow" w:cs="Arial"/>
          <w:sz w:val="22"/>
          <w:szCs w:val="22"/>
          <w:lang w:val="es-ES"/>
        </w:rPr>
      </w:pPr>
    </w:p>
    <w:p w:rsidR="00C876F0" w:rsidRPr="00595D45" w:rsidRDefault="00C876F0" w:rsidP="00C876F0">
      <w:pPr>
        <w:spacing w:line="360" w:lineRule="auto"/>
        <w:ind w:firstLine="709"/>
        <w:jc w:val="both"/>
        <w:rPr>
          <w:rFonts w:ascii="Arial Narrow" w:hAnsi="Arial Narrow" w:cs="Arial"/>
          <w:b/>
          <w:i/>
          <w:sz w:val="22"/>
          <w:szCs w:val="22"/>
        </w:rPr>
      </w:pPr>
      <w:r>
        <w:rPr>
          <w:rFonts w:ascii="Arial Narrow" w:hAnsi="Arial Narrow" w:cs="Arial"/>
          <w:b/>
          <w:i/>
          <w:sz w:val="22"/>
          <w:szCs w:val="22"/>
        </w:rPr>
        <w:t>C</w:t>
      </w:r>
      <w:r w:rsidRPr="00595D45">
        <w:rPr>
          <w:rFonts w:ascii="Arial Narrow" w:hAnsi="Arial Narrow" w:cs="Arial"/>
          <w:b/>
          <w:i/>
          <w:sz w:val="22"/>
          <w:szCs w:val="22"/>
        </w:rPr>
        <w:t>.- Procedimiento de elaboración de la disposición normativa</w:t>
      </w:r>
    </w:p>
    <w:p w:rsidR="00C876F0" w:rsidRPr="00595D45" w:rsidRDefault="00C876F0" w:rsidP="00C876F0">
      <w:pPr>
        <w:spacing w:line="360" w:lineRule="auto"/>
        <w:ind w:firstLine="709"/>
        <w:jc w:val="both"/>
        <w:rPr>
          <w:rFonts w:ascii="Arial Narrow" w:hAnsi="Arial Narrow" w:cs="Arial"/>
          <w:b/>
          <w:i/>
          <w:sz w:val="22"/>
          <w:szCs w:val="22"/>
        </w:rPr>
      </w:pPr>
    </w:p>
    <w:p w:rsidR="00C876F0" w:rsidRPr="00595D45" w:rsidRDefault="00C876F0" w:rsidP="00C876F0">
      <w:pPr>
        <w:spacing w:line="360" w:lineRule="auto"/>
        <w:ind w:firstLine="709"/>
        <w:jc w:val="both"/>
        <w:rPr>
          <w:rFonts w:ascii="Arial Narrow" w:hAnsi="Arial Narrow" w:cs="Arial"/>
          <w:sz w:val="22"/>
          <w:szCs w:val="22"/>
        </w:rPr>
      </w:pPr>
      <w:r w:rsidRPr="00595D45">
        <w:rPr>
          <w:rFonts w:ascii="Arial Narrow" w:hAnsi="Arial Narrow" w:cs="Arial"/>
          <w:sz w:val="22"/>
          <w:szCs w:val="22"/>
        </w:rPr>
        <w:t xml:space="preserve">El proyecto de norma que se informa es una disposición de carácter general que innova el ordenamiento jurídico integrándose en el mismo adoptando la forma de Orden. </w:t>
      </w:r>
    </w:p>
    <w:p w:rsidR="00C876F0" w:rsidRPr="00595D45" w:rsidRDefault="00C876F0" w:rsidP="00C876F0">
      <w:pPr>
        <w:spacing w:line="360" w:lineRule="auto"/>
        <w:ind w:firstLine="709"/>
        <w:jc w:val="both"/>
        <w:rPr>
          <w:rFonts w:ascii="Arial Narrow" w:hAnsi="Arial Narrow" w:cs="Arial"/>
          <w:sz w:val="22"/>
          <w:szCs w:val="22"/>
        </w:rPr>
      </w:pPr>
    </w:p>
    <w:p w:rsidR="00C876F0" w:rsidRPr="00595D45" w:rsidRDefault="00C876F0" w:rsidP="00C876F0">
      <w:pPr>
        <w:spacing w:line="360" w:lineRule="auto"/>
        <w:ind w:firstLine="709"/>
        <w:jc w:val="both"/>
        <w:rPr>
          <w:rFonts w:ascii="Arial Narrow" w:hAnsi="Arial Narrow" w:cs="Arial"/>
          <w:sz w:val="22"/>
          <w:szCs w:val="22"/>
        </w:rPr>
      </w:pPr>
      <w:r w:rsidRPr="00595D45">
        <w:rPr>
          <w:rFonts w:ascii="Arial Narrow" w:hAnsi="Arial Narrow" w:cs="Arial"/>
          <w:sz w:val="22"/>
          <w:szCs w:val="22"/>
        </w:rPr>
        <w:t xml:space="preserve">De acuerdo con el concepto y la naturaleza en la que se inserta, a esta disposición le resulta de aplicación </w:t>
      </w:r>
      <w:smartTag w:uri="urn:schemas-microsoft-com:office:smarttags" w:element="PersonName">
        <w:smartTagPr>
          <w:attr w:name="ProductID" w:val="La Ley"/>
        </w:smartTagPr>
        <w:r w:rsidRPr="00595D45">
          <w:rPr>
            <w:rFonts w:ascii="Arial Narrow" w:hAnsi="Arial Narrow" w:cs="Arial"/>
            <w:sz w:val="22"/>
            <w:szCs w:val="22"/>
          </w:rPr>
          <w:t>la Ley</w:t>
        </w:r>
      </w:smartTag>
      <w:r w:rsidRPr="00595D45">
        <w:rPr>
          <w:rFonts w:ascii="Arial Narrow" w:hAnsi="Arial Narrow" w:cs="Arial"/>
          <w:sz w:val="22"/>
          <w:szCs w:val="22"/>
        </w:rPr>
        <w:t xml:space="preserve"> 8/2003, de 22 de diciembre, del procedimiento de elaboración de disposiciones de carácter general, de acuerdo con lo estipulado en sus artículos 2 y 3.</w:t>
      </w:r>
    </w:p>
    <w:p w:rsidR="00C876F0" w:rsidRPr="00595D45" w:rsidRDefault="00C876F0" w:rsidP="00C876F0">
      <w:pPr>
        <w:spacing w:line="360" w:lineRule="auto"/>
        <w:ind w:firstLine="709"/>
        <w:jc w:val="both"/>
        <w:rPr>
          <w:rFonts w:ascii="Arial Narrow" w:hAnsi="Arial Narrow" w:cs="Arial"/>
          <w:sz w:val="22"/>
          <w:szCs w:val="22"/>
        </w:rPr>
      </w:pPr>
    </w:p>
    <w:p w:rsidR="00C876F0" w:rsidRPr="00595D45" w:rsidRDefault="00C876F0" w:rsidP="00C876F0">
      <w:pPr>
        <w:spacing w:line="360" w:lineRule="auto"/>
        <w:ind w:firstLine="709"/>
        <w:jc w:val="both"/>
        <w:rPr>
          <w:rFonts w:ascii="Arial Narrow" w:hAnsi="Arial Narrow" w:cs="Arial"/>
          <w:i/>
          <w:sz w:val="22"/>
          <w:szCs w:val="22"/>
        </w:rPr>
      </w:pPr>
      <w:r w:rsidRPr="00595D45">
        <w:rPr>
          <w:rFonts w:ascii="Arial Narrow" w:hAnsi="Arial Narrow" w:cs="Arial"/>
          <w:sz w:val="22"/>
          <w:szCs w:val="22"/>
        </w:rPr>
        <w:lastRenderedPageBreak/>
        <w:t xml:space="preserve">En este sentido, se observa que el art. 11 de </w:t>
      </w:r>
      <w:smartTag w:uri="urn:schemas-microsoft-com:office:smarttags" w:element="PersonName">
        <w:smartTagPr>
          <w:attr w:name="ProductID" w:val="La Ley"/>
        </w:smartTagPr>
        <w:r w:rsidRPr="00595D45">
          <w:rPr>
            <w:rFonts w:ascii="Arial Narrow" w:hAnsi="Arial Narrow" w:cs="Arial"/>
            <w:sz w:val="22"/>
            <w:szCs w:val="22"/>
          </w:rPr>
          <w:t>la Ley</w:t>
        </w:r>
      </w:smartTag>
      <w:r w:rsidRPr="00595D45">
        <w:rPr>
          <w:rFonts w:ascii="Arial Narrow" w:hAnsi="Arial Narrow" w:cs="Arial"/>
          <w:sz w:val="22"/>
          <w:szCs w:val="22"/>
        </w:rPr>
        <w:t xml:space="preserve"> 8/2003, de 22 de diciembre, del Procedimiento de Elaboración de Disposiciones de carácter general, estipula que “Los</w:t>
      </w:r>
      <w:r w:rsidRPr="00595D45">
        <w:rPr>
          <w:rFonts w:ascii="Arial Narrow" w:hAnsi="Arial Narrow" w:cs="Arial"/>
          <w:i/>
          <w:sz w:val="22"/>
          <w:szCs w:val="22"/>
        </w:rPr>
        <w:t xml:space="preserve"> informes preceptivos y los dictámenes de los órganos consultivos se solicitarán en el momento y en la forma que determinen las disposiciones que regulen dicho trámite”.</w:t>
      </w:r>
    </w:p>
    <w:p w:rsidR="00C876F0" w:rsidRPr="00595D45" w:rsidRDefault="00C876F0" w:rsidP="00C876F0">
      <w:pPr>
        <w:spacing w:line="360" w:lineRule="auto"/>
        <w:ind w:firstLine="709"/>
        <w:jc w:val="both"/>
        <w:rPr>
          <w:rFonts w:ascii="Arial Narrow" w:hAnsi="Arial Narrow" w:cs="Arial"/>
          <w:i/>
          <w:sz w:val="22"/>
          <w:szCs w:val="22"/>
        </w:rPr>
      </w:pPr>
    </w:p>
    <w:p w:rsidR="00C876F0" w:rsidRPr="00595D45" w:rsidRDefault="00C876F0" w:rsidP="00C876F0">
      <w:pPr>
        <w:spacing w:line="360" w:lineRule="auto"/>
        <w:ind w:firstLine="709"/>
        <w:jc w:val="both"/>
        <w:rPr>
          <w:rFonts w:ascii="Arial Narrow" w:hAnsi="Arial Narrow" w:cs="Arial"/>
          <w:sz w:val="22"/>
          <w:szCs w:val="22"/>
        </w:rPr>
      </w:pPr>
      <w:r w:rsidRPr="00595D45">
        <w:rPr>
          <w:rFonts w:ascii="Arial Narrow" w:hAnsi="Arial Narrow" w:cs="Arial"/>
          <w:sz w:val="22"/>
          <w:szCs w:val="22"/>
        </w:rPr>
        <w:t>En un análisis general del procedimiento seguido se puede afirmar que la fase de instrucción se ha cumplimentado convenientemente en lo que a sus hitos fundamentales se refiere; todo ello sin olvidar la importancia que se ha venido subrayando no sólo a seguir el procedimiento de elaboración de disposiciones de carácter general sino también de atender a su dimensión material, pues sólo así se puede cumplir su primordial función de garantizar el acierto, legalidad y oportunidad de cada concreta iniciativa normativa afinando su calidad técnica, su corrección jurídica y su más fiel adecuación a la realidad sobre la que pretenda proyectarse (Dictamen COJUA  21/2001 – P. 12).</w:t>
      </w:r>
    </w:p>
    <w:p w:rsidR="00C876F0" w:rsidRPr="00595D45" w:rsidRDefault="00C876F0" w:rsidP="00C876F0">
      <w:pPr>
        <w:spacing w:line="360" w:lineRule="auto"/>
        <w:jc w:val="both"/>
        <w:rPr>
          <w:rFonts w:ascii="Arial Narrow" w:hAnsi="Arial Narrow" w:cs="Arial"/>
          <w:sz w:val="22"/>
          <w:szCs w:val="22"/>
        </w:rPr>
      </w:pPr>
    </w:p>
    <w:p w:rsidR="00C876F0" w:rsidRPr="00595D45" w:rsidRDefault="00C876F0" w:rsidP="00C876F0">
      <w:pPr>
        <w:spacing w:line="360" w:lineRule="auto"/>
        <w:ind w:firstLine="709"/>
        <w:jc w:val="both"/>
        <w:rPr>
          <w:rFonts w:ascii="Arial Narrow" w:hAnsi="Arial Narrow" w:cs="Arial"/>
          <w:b/>
          <w:i/>
          <w:sz w:val="22"/>
          <w:szCs w:val="22"/>
        </w:rPr>
      </w:pPr>
      <w:r>
        <w:rPr>
          <w:rFonts w:ascii="Arial Narrow" w:hAnsi="Arial Narrow" w:cs="Arial"/>
          <w:b/>
          <w:i/>
          <w:sz w:val="22"/>
          <w:szCs w:val="22"/>
        </w:rPr>
        <w:t>D</w:t>
      </w:r>
      <w:r w:rsidRPr="00595D45">
        <w:rPr>
          <w:rFonts w:ascii="Arial Narrow" w:hAnsi="Arial Narrow" w:cs="Arial"/>
          <w:b/>
          <w:i/>
          <w:sz w:val="22"/>
          <w:szCs w:val="22"/>
        </w:rPr>
        <w:t>.- Observaciones sobre el contenido de los preceptos</w:t>
      </w:r>
    </w:p>
    <w:p w:rsidR="00C876F0" w:rsidRDefault="00C876F0" w:rsidP="00C876F0">
      <w:pPr>
        <w:spacing w:line="360" w:lineRule="auto"/>
        <w:ind w:firstLine="709"/>
        <w:jc w:val="both"/>
        <w:rPr>
          <w:rFonts w:ascii="Arial Narrow" w:hAnsi="Arial Narrow" w:cs="Arial"/>
          <w:b/>
          <w:i/>
          <w:sz w:val="22"/>
          <w:szCs w:val="22"/>
        </w:rPr>
      </w:pPr>
    </w:p>
    <w:p w:rsidR="00C876F0" w:rsidRDefault="00C876F0" w:rsidP="00C876F0">
      <w:pPr>
        <w:spacing w:line="360" w:lineRule="auto"/>
        <w:ind w:firstLine="709"/>
        <w:jc w:val="both"/>
        <w:rPr>
          <w:rFonts w:ascii="Arial Narrow" w:hAnsi="Arial Narrow" w:cs="Arial"/>
          <w:sz w:val="22"/>
          <w:szCs w:val="22"/>
        </w:rPr>
      </w:pPr>
      <w:r w:rsidRPr="002F3F66">
        <w:rPr>
          <w:rFonts w:ascii="Arial Narrow" w:hAnsi="Arial Narrow" w:cs="Arial"/>
          <w:sz w:val="22"/>
          <w:szCs w:val="22"/>
        </w:rPr>
        <w:t>A este res</w:t>
      </w:r>
      <w:r>
        <w:rPr>
          <w:rFonts w:ascii="Arial Narrow" w:hAnsi="Arial Narrow" w:cs="Arial"/>
          <w:sz w:val="22"/>
          <w:szCs w:val="22"/>
        </w:rPr>
        <w:t>pecto cabe señalar muy brevemente que los seis artículos de la iniciativa proyectada, son de muy similar redacción a la Orden predecesora que deroga, como son el 1, relativo al objeto de la Orden; el 2, referido al ámbito de aplicación: las explotaciones agrícolas y ganaderas de la CAPV; el 3 que regula el régimen de las anotaciones a realizar en el cuaderno de explotación; el 4 referido al tiempo de conservación de las anotaciones y su documentación; el 5 referido a la estructura del cuaderno de explotación en el que se han incorporado algunos nuevos apartados como el 2, inciso final en el apartado 7 y apartado 8, estas tres innovaciones reflejan precisamente la actualización de la Orden; el artículo 6 que flexibiliza las cuestiones atenientes al formato del cuaderno de explotación. Respecto al artículo 7, si bien en la Orden del 2008 se realizaba una mención al Decreto 20/2005 en el supuesto de incurrir en incumplimientos de las obligaciones de anotación o anotación de datos falsos, en el primer borrador de esta Orden se establecía un régimen sancionador que finalmente se ha optado por eliminar, con la consecuencia de que el artículo 7 ha desaparecido, se trata de una opción legítima por la que ha optado el Departamento, ya que el objeto de Orden se circunscribe a regular el cuaderno de explotación.</w:t>
      </w:r>
    </w:p>
    <w:p w:rsidR="00C876F0" w:rsidRDefault="00C876F0" w:rsidP="00C876F0">
      <w:pPr>
        <w:spacing w:line="360" w:lineRule="auto"/>
        <w:ind w:firstLine="709"/>
        <w:jc w:val="both"/>
        <w:rPr>
          <w:rFonts w:ascii="Arial Narrow" w:hAnsi="Arial Narrow" w:cs="Arial"/>
          <w:sz w:val="22"/>
          <w:szCs w:val="22"/>
        </w:rPr>
      </w:pPr>
    </w:p>
    <w:p w:rsidR="00C876F0" w:rsidRDefault="00C876F0" w:rsidP="00C876F0">
      <w:pPr>
        <w:spacing w:line="360" w:lineRule="auto"/>
        <w:ind w:firstLine="709"/>
        <w:jc w:val="both"/>
        <w:rPr>
          <w:rFonts w:ascii="Arial Narrow" w:hAnsi="Arial Narrow" w:cs="Arial"/>
          <w:sz w:val="22"/>
          <w:szCs w:val="22"/>
        </w:rPr>
      </w:pPr>
      <w:r>
        <w:rPr>
          <w:rFonts w:ascii="Arial Narrow" w:hAnsi="Arial Narrow" w:cs="Arial"/>
          <w:sz w:val="22"/>
          <w:szCs w:val="22"/>
        </w:rPr>
        <w:t>Se entienden correctas las disposiciones derogatoria y finales. La Disposición Final Primera incorpora como novedad la necesidad de comunicar al Ministerio la aprobación de la Orden, cuestión irrelevante a efectos del control de legalidad.</w:t>
      </w:r>
    </w:p>
    <w:p w:rsidR="00C876F0" w:rsidRDefault="00C876F0" w:rsidP="00C876F0">
      <w:pPr>
        <w:spacing w:line="360" w:lineRule="auto"/>
        <w:ind w:firstLine="709"/>
        <w:jc w:val="both"/>
        <w:rPr>
          <w:rFonts w:ascii="Arial Narrow" w:hAnsi="Arial Narrow" w:cs="Arial"/>
          <w:sz w:val="22"/>
          <w:szCs w:val="22"/>
        </w:rPr>
      </w:pPr>
    </w:p>
    <w:p w:rsidR="00C876F0" w:rsidRDefault="00C876F0" w:rsidP="00C876F0">
      <w:pPr>
        <w:spacing w:line="360" w:lineRule="auto"/>
        <w:ind w:firstLine="709"/>
        <w:jc w:val="both"/>
        <w:rPr>
          <w:rFonts w:ascii="Arial Narrow" w:hAnsi="Arial Narrow" w:cs="Arial"/>
          <w:sz w:val="22"/>
          <w:szCs w:val="22"/>
        </w:rPr>
      </w:pPr>
      <w:r>
        <w:rPr>
          <w:rFonts w:ascii="Arial Narrow" w:hAnsi="Arial Narrow" w:cs="Arial"/>
          <w:sz w:val="22"/>
          <w:szCs w:val="22"/>
        </w:rPr>
        <w:t>Respecto al Anexo de la Orden que recoge el contenido del cuaderno de explotación hemos observado que gracias al trámite de audiencia se han aceptado algunas propuestas de modificación y rechazado otras de forma motivada, nada que objetar al respecto, ya que se trata de cuestiones de contenido eminentemente técnico.</w:t>
      </w:r>
    </w:p>
    <w:p w:rsidR="00C876F0" w:rsidRDefault="00C876F0" w:rsidP="00C876F0">
      <w:pPr>
        <w:spacing w:line="360" w:lineRule="auto"/>
        <w:ind w:firstLine="709"/>
        <w:jc w:val="both"/>
        <w:rPr>
          <w:rFonts w:ascii="Arial Narrow" w:hAnsi="Arial Narrow" w:cs="Arial"/>
          <w:sz w:val="22"/>
          <w:szCs w:val="22"/>
        </w:rPr>
      </w:pPr>
    </w:p>
    <w:p w:rsidR="00C876F0" w:rsidRDefault="00C876F0" w:rsidP="00C876F0">
      <w:pPr>
        <w:spacing w:line="360" w:lineRule="auto"/>
        <w:ind w:firstLine="709"/>
        <w:jc w:val="both"/>
        <w:rPr>
          <w:rFonts w:ascii="Arial Narrow" w:hAnsi="Arial Narrow" w:cs="Arial"/>
          <w:sz w:val="22"/>
          <w:szCs w:val="22"/>
        </w:rPr>
      </w:pPr>
      <w:r>
        <w:rPr>
          <w:rFonts w:ascii="Arial Narrow" w:hAnsi="Arial Narrow" w:cs="Arial"/>
          <w:sz w:val="22"/>
          <w:szCs w:val="22"/>
        </w:rPr>
        <w:t>Por último, una pequeña corrección respecto a la expresión de la fecha: se deberá eliminar la expresión “Dado,” más propia de los Decretos pero no de las Ordenes, tal y como establece la Directriz Quinta del Anexo del Acuerdo del Consejo de Gobierno de 23 de marzo de 1993, por el que se aprueban las Directrices para la elaboración de Proyectos de Ley, Decretos, Órdenes y Resoluciones.</w:t>
      </w:r>
    </w:p>
    <w:p w:rsidR="00C876F0" w:rsidRPr="00800923" w:rsidRDefault="00C876F0" w:rsidP="00C876F0">
      <w:pPr>
        <w:spacing w:line="360" w:lineRule="auto"/>
        <w:ind w:firstLine="709"/>
        <w:jc w:val="both"/>
        <w:rPr>
          <w:rFonts w:ascii="Arial Narrow" w:hAnsi="Arial Narrow" w:cs="Arial"/>
          <w:sz w:val="22"/>
          <w:szCs w:val="22"/>
          <w:lang w:val="es-ES"/>
        </w:rPr>
      </w:pPr>
    </w:p>
    <w:p w:rsidR="00C876F0" w:rsidRPr="00800923" w:rsidRDefault="00C876F0" w:rsidP="00C876F0">
      <w:pPr>
        <w:spacing w:line="360" w:lineRule="auto"/>
        <w:ind w:firstLine="709"/>
        <w:jc w:val="both"/>
        <w:rPr>
          <w:rFonts w:ascii="Arial Narrow" w:hAnsi="Arial Narrow" w:cs="Arial"/>
          <w:sz w:val="22"/>
          <w:szCs w:val="22"/>
          <w:lang w:val="es-ES"/>
        </w:rPr>
      </w:pPr>
    </w:p>
    <w:p w:rsidR="00C876F0" w:rsidRPr="00595D45" w:rsidRDefault="00C876F0" w:rsidP="00C876F0">
      <w:pPr>
        <w:spacing w:line="360" w:lineRule="auto"/>
        <w:ind w:firstLine="708"/>
        <w:jc w:val="both"/>
        <w:rPr>
          <w:rFonts w:ascii="Arial Narrow" w:hAnsi="Arial Narrow" w:cs="Arial"/>
          <w:sz w:val="22"/>
          <w:szCs w:val="22"/>
        </w:rPr>
      </w:pPr>
      <w:r w:rsidRPr="00595D45">
        <w:rPr>
          <w:rFonts w:ascii="Arial Narrow" w:hAnsi="Arial Narrow" w:cs="Arial"/>
          <w:sz w:val="22"/>
          <w:szCs w:val="22"/>
        </w:rPr>
        <w:t xml:space="preserve">Este es mi informe que emito en Vitoria-Gasteiz, a </w:t>
      </w:r>
      <w:r>
        <w:rPr>
          <w:rFonts w:ascii="Arial Narrow" w:hAnsi="Arial Narrow" w:cs="Arial"/>
          <w:sz w:val="22"/>
          <w:szCs w:val="22"/>
        </w:rPr>
        <w:t xml:space="preserve">30 de septiembre de dos mil catorce, </w:t>
      </w:r>
      <w:r w:rsidRPr="00595D45">
        <w:rPr>
          <w:rFonts w:ascii="Arial Narrow" w:hAnsi="Arial Narrow" w:cs="Arial"/>
          <w:sz w:val="22"/>
          <w:szCs w:val="22"/>
        </w:rPr>
        <w:t xml:space="preserve">y que someto </w:t>
      </w:r>
      <w:r>
        <w:rPr>
          <w:rFonts w:ascii="Arial Narrow" w:hAnsi="Arial Narrow" w:cs="Arial"/>
          <w:sz w:val="22"/>
          <w:szCs w:val="22"/>
        </w:rPr>
        <w:t xml:space="preserve">gustoso </w:t>
      </w:r>
      <w:r w:rsidRPr="00595D45">
        <w:rPr>
          <w:rFonts w:ascii="Arial Narrow" w:hAnsi="Arial Narrow" w:cs="Arial"/>
          <w:sz w:val="22"/>
          <w:szCs w:val="22"/>
        </w:rPr>
        <w:t>a cualquier otro mejor fundado en Derecho.</w:t>
      </w:r>
    </w:p>
    <w:p w:rsidR="00C876F0" w:rsidRPr="00595D45" w:rsidRDefault="00C876F0" w:rsidP="00C876F0">
      <w:pPr>
        <w:spacing w:line="360" w:lineRule="auto"/>
        <w:jc w:val="both"/>
        <w:rPr>
          <w:rFonts w:ascii="Arial Narrow" w:hAnsi="Arial Narrow" w:cs="Arial"/>
          <w:sz w:val="22"/>
          <w:szCs w:val="22"/>
        </w:rPr>
      </w:pPr>
    </w:p>
    <w:p w:rsidR="00C876F0" w:rsidRPr="00595D45" w:rsidRDefault="00C876F0" w:rsidP="00C876F0">
      <w:pPr>
        <w:spacing w:line="360" w:lineRule="auto"/>
        <w:jc w:val="both"/>
        <w:rPr>
          <w:rFonts w:ascii="Arial Narrow" w:hAnsi="Arial Narrow" w:cs="Arial"/>
          <w:sz w:val="22"/>
          <w:szCs w:val="22"/>
        </w:rPr>
      </w:pPr>
    </w:p>
    <w:p w:rsidR="00C876F0" w:rsidRPr="00595D45" w:rsidRDefault="00C876F0" w:rsidP="00C876F0">
      <w:pPr>
        <w:spacing w:line="360" w:lineRule="auto"/>
        <w:jc w:val="both"/>
        <w:rPr>
          <w:rFonts w:ascii="Arial Narrow" w:hAnsi="Arial Narrow" w:cs="Arial"/>
          <w:sz w:val="22"/>
          <w:szCs w:val="22"/>
        </w:rPr>
      </w:pPr>
    </w:p>
    <w:p w:rsidR="00C876F0" w:rsidRPr="00B06BC8" w:rsidRDefault="00C876F0" w:rsidP="00C876F0">
      <w:pPr>
        <w:spacing w:line="360" w:lineRule="auto"/>
        <w:jc w:val="center"/>
        <w:rPr>
          <w:rFonts w:ascii="Arial Narrow" w:hAnsi="Arial Narrow" w:cs="Arial"/>
          <w:sz w:val="22"/>
          <w:szCs w:val="22"/>
        </w:rPr>
      </w:pPr>
      <w:r w:rsidRPr="00B06BC8">
        <w:rPr>
          <w:rFonts w:ascii="Arial Narrow" w:hAnsi="Arial Narrow" w:cs="Arial"/>
          <w:sz w:val="22"/>
          <w:szCs w:val="22"/>
        </w:rPr>
        <w:t xml:space="preserve">Fdo.: </w:t>
      </w:r>
      <w:r>
        <w:rPr>
          <w:rFonts w:ascii="Arial Narrow" w:hAnsi="Arial Narrow" w:cs="Arial"/>
          <w:sz w:val="22"/>
          <w:szCs w:val="22"/>
        </w:rPr>
        <w:t xml:space="preserve">Teodoro Olea </w:t>
      </w:r>
      <w:proofErr w:type="spellStart"/>
      <w:r>
        <w:rPr>
          <w:rFonts w:ascii="Arial Narrow" w:hAnsi="Arial Narrow" w:cs="Arial"/>
          <w:sz w:val="22"/>
          <w:szCs w:val="22"/>
        </w:rPr>
        <w:t>Iturregui</w:t>
      </w:r>
      <w:proofErr w:type="spellEnd"/>
    </w:p>
    <w:p w:rsidR="00C876F0" w:rsidRPr="00B06BC8" w:rsidRDefault="00C876F0" w:rsidP="00C876F0">
      <w:pPr>
        <w:spacing w:line="360" w:lineRule="auto"/>
        <w:jc w:val="center"/>
        <w:rPr>
          <w:rFonts w:ascii="Arial Narrow" w:hAnsi="Arial Narrow" w:cs="Arial"/>
          <w:sz w:val="22"/>
          <w:szCs w:val="22"/>
        </w:rPr>
      </w:pPr>
      <w:r>
        <w:rPr>
          <w:rFonts w:ascii="Arial Narrow" w:hAnsi="Arial Narrow" w:cs="Arial"/>
          <w:sz w:val="22"/>
          <w:szCs w:val="22"/>
        </w:rPr>
        <w:t>LETRADO</w:t>
      </w:r>
    </w:p>
    <w:sectPr w:rsidR="00C876F0" w:rsidRPr="00B06BC8">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6F0" w:rsidRDefault="00C876F0">
      <w:r>
        <w:separator/>
      </w:r>
    </w:p>
  </w:endnote>
  <w:endnote w:type="continuationSeparator" w:id="0">
    <w:p w:rsidR="00C876F0" w:rsidRDefault="00C8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F0" w:rsidRDefault="00C876F0">
    <w:pPr>
      <w:pStyle w:val="Piedepgina"/>
      <w:jc w:val="right"/>
    </w:pPr>
    <w:r>
      <w:fldChar w:fldCharType="begin"/>
    </w:r>
    <w:r>
      <w:instrText>PAGE   \* MERGEFORMAT</w:instrText>
    </w:r>
    <w:r>
      <w:fldChar w:fldCharType="separate"/>
    </w:r>
    <w:r w:rsidR="00F703E8" w:rsidRPr="00F703E8">
      <w:rPr>
        <w:noProof/>
        <w:lang w:val="es-ES"/>
      </w:rPr>
      <w:t>4</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6F0" w:rsidRDefault="00C876F0">
      <w:r>
        <w:separator/>
      </w:r>
    </w:p>
  </w:footnote>
  <w:footnote w:type="continuationSeparator" w:id="0">
    <w:p w:rsidR="00C876F0" w:rsidRDefault="00C87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80238269"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C37378">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80238270"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615A7"/>
    <w:multiLevelType w:val="hybridMultilevel"/>
    <w:tmpl w:val="B99C3C5C"/>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6538E3"/>
    <w:rsid w:val="006C35DB"/>
    <w:rsid w:val="007956DD"/>
    <w:rsid w:val="00C37378"/>
    <w:rsid w:val="00C876F0"/>
    <w:rsid w:val="00D60B32"/>
    <w:rsid w:val="00DE4B60"/>
    <w:rsid w:val="00EF0D5F"/>
    <w:rsid w:val="00F703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6F0"/>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PiedepginaCar">
    <w:name w:val="Pie de página Car"/>
    <w:link w:val="Piedepgina"/>
    <w:uiPriority w:val="99"/>
    <w:rsid w:val="00C876F0"/>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6F0"/>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PiedepginaCar">
    <w:name w:val="Pie de página Car"/>
    <w:link w:val="Piedepgina"/>
    <w:uiPriority w:val="99"/>
    <w:rsid w:val="00C876F0"/>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C24CE-0205-4D4D-B687-52BDEAE1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4</Pages>
  <Words>1232</Words>
  <Characters>6340</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2014-12-16T11:31:00Z</dcterms:created>
  <dcterms:modified xsi:type="dcterms:W3CDTF">2014-12-16T11:31:00Z</dcterms:modified>
</cp:coreProperties>
</file>