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4F" w:rsidRPr="00A70ACD" w:rsidRDefault="00D07B4F" w:rsidP="00D07B4F">
      <w:pPr>
        <w:spacing w:line="360" w:lineRule="auto"/>
        <w:jc w:val="both"/>
        <w:rPr>
          <w:rFonts w:ascii="Arial" w:hAnsi="Arial" w:cs="Arial"/>
          <w:b/>
          <w:sz w:val="27"/>
          <w:szCs w:val="27"/>
        </w:rPr>
      </w:pPr>
      <w:r w:rsidRPr="00A70ACD">
        <w:rPr>
          <w:rFonts w:ascii="Arial" w:hAnsi="Arial" w:cs="Arial"/>
          <w:b/>
          <w:sz w:val="27"/>
          <w:szCs w:val="27"/>
        </w:rPr>
        <w:t>INFORME RELATIVO AL PROTOCOLO DE INTENCIONES PARA EL MEMORANDUM DE ENTENDIMIENTO SOBRE COOPERACIÓN LINGÜÍSTICA ENTRE LA CORPORACIÓN NACIONAL DE DESARROLLO INDÍGENA (CONADI) Y EL DEPARTAMENTO DE EDUCACIÓN, POLÍTICA LINGÜÍSTICA Y CULTURA DEL GOBIERNO VASCO.</w:t>
      </w:r>
      <w:bookmarkStart w:id="0" w:name="_GoBack"/>
      <w:bookmarkEnd w:id="0"/>
    </w:p>
    <w:p w:rsidR="00D07B4F" w:rsidRPr="00A70ACD" w:rsidRDefault="00D07B4F" w:rsidP="00D07B4F">
      <w:pPr>
        <w:pBdr>
          <w:bottom w:val="single" w:sz="12" w:space="1" w:color="auto"/>
        </w:pBdr>
        <w:spacing w:line="360" w:lineRule="auto"/>
        <w:jc w:val="both"/>
        <w:rPr>
          <w:rFonts w:ascii="Arial" w:hAnsi="Arial" w:cs="Arial"/>
          <w:b/>
          <w:sz w:val="27"/>
          <w:szCs w:val="27"/>
        </w:rPr>
      </w:pPr>
    </w:p>
    <w:p w:rsidR="00D07B4F" w:rsidRPr="00A70ACD" w:rsidRDefault="00D07B4F" w:rsidP="00D07B4F">
      <w:pPr>
        <w:spacing w:line="360" w:lineRule="auto"/>
        <w:jc w:val="both"/>
        <w:rPr>
          <w:rFonts w:ascii="Arial" w:hAnsi="Arial" w:cs="Arial"/>
          <w:b/>
          <w:sz w:val="27"/>
          <w:szCs w:val="27"/>
        </w:rPr>
      </w:pPr>
    </w:p>
    <w:p w:rsidR="00D07B4F" w:rsidRPr="00A70ACD" w:rsidRDefault="00D07B4F" w:rsidP="00D07B4F">
      <w:pPr>
        <w:spacing w:line="360" w:lineRule="auto"/>
        <w:jc w:val="both"/>
        <w:rPr>
          <w:rFonts w:ascii="Arial" w:hAnsi="Arial" w:cs="Arial"/>
          <w:b/>
          <w:sz w:val="27"/>
          <w:szCs w:val="27"/>
        </w:rPr>
      </w:pPr>
    </w:p>
    <w:p w:rsidR="00D07B4F" w:rsidRPr="00A70ACD" w:rsidRDefault="00D07B4F" w:rsidP="00D07B4F">
      <w:pPr>
        <w:spacing w:line="360" w:lineRule="auto"/>
        <w:ind w:firstLine="708"/>
        <w:jc w:val="both"/>
        <w:rPr>
          <w:rFonts w:ascii="Arial" w:hAnsi="Arial" w:cs="Arial"/>
          <w:b/>
          <w:sz w:val="27"/>
          <w:szCs w:val="27"/>
        </w:rPr>
      </w:pPr>
      <w:r w:rsidRPr="00A70ACD">
        <w:rPr>
          <w:rFonts w:ascii="Arial" w:hAnsi="Arial" w:cs="Arial"/>
          <w:b/>
          <w:sz w:val="27"/>
          <w:szCs w:val="27"/>
        </w:rPr>
        <w:t>I. ANTECEDENTES</w:t>
      </w:r>
    </w:p>
    <w:p w:rsidR="00D07B4F" w:rsidRPr="00A70ACD" w:rsidRDefault="00D07B4F" w:rsidP="00D07B4F">
      <w:pPr>
        <w:spacing w:line="360" w:lineRule="auto"/>
        <w:ind w:firstLine="708"/>
        <w:jc w:val="both"/>
        <w:rPr>
          <w:rFonts w:ascii="Arial" w:hAnsi="Arial" w:cs="Arial"/>
          <w:sz w:val="27"/>
          <w:szCs w:val="27"/>
        </w:rPr>
      </w:pPr>
    </w:p>
    <w:p w:rsidR="00D07B4F" w:rsidRPr="00A70ACD" w:rsidRDefault="00D07B4F" w:rsidP="00D07B4F">
      <w:pPr>
        <w:spacing w:line="360" w:lineRule="auto"/>
        <w:ind w:firstLine="708"/>
        <w:jc w:val="both"/>
        <w:rPr>
          <w:rFonts w:ascii="Arial" w:hAnsi="Arial" w:cs="Arial"/>
          <w:sz w:val="27"/>
          <w:szCs w:val="27"/>
        </w:rPr>
      </w:pPr>
      <w:r w:rsidRPr="00A70ACD">
        <w:rPr>
          <w:rFonts w:ascii="Arial" w:hAnsi="Arial" w:cs="Arial"/>
          <w:sz w:val="27"/>
          <w:szCs w:val="27"/>
        </w:rPr>
        <w:t>Se ha solicitado a la Dirección de Desarrollo Legislativo y Control Normativo la emisión del preceptivo informe de legalidad en relación al Protocolo de Intenciones señalado en el encabezamiento.</w:t>
      </w: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ind w:firstLine="360"/>
        <w:jc w:val="both"/>
        <w:rPr>
          <w:rFonts w:ascii="Arial" w:hAnsi="Arial"/>
          <w:sz w:val="27"/>
          <w:szCs w:val="27"/>
        </w:rPr>
      </w:pPr>
      <w:r w:rsidRPr="00A70ACD">
        <w:rPr>
          <w:rFonts w:ascii="Arial" w:hAnsi="Arial" w:cs="Arial"/>
          <w:sz w:val="27"/>
          <w:szCs w:val="27"/>
        </w:rPr>
        <w:t>Se a</w:t>
      </w:r>
      <w:r w:rsidRPr="00A70ACD">
        <w:rPr>
          <w:rFonts w:ascii="Arial" w:hAnsi="Arial"/>
          <w:sz w:val="27"/>
          <w:szCs w:val="27"/>
        </w:rPr>
        <w:t>compaña a la mencionada solicitud la siguiente documentación:</w:t>
      </w:r>
    </w:p>
    <w:p w:rsidR="00D07B4F" w:rsidRPr="00A70ACD" w:rsidRDefault="00C53560" w:rsidP="00D07B4F">
      <w:pPr>
        <w:numPr>
          <w:ilvl w:val="0"/>
          <w:numId w:val="1"/>
        </w:numPr>
        <w:spacing w:line="360" w:lineRule="auto"/>
        <w:jc w:val="both"/>
        <w:rPr>
          <w:rFonts w:ascii="Arial" w:hAnsi="Arial"/>
          <w:sz w:val="27"/>
          <w:szCs w:val="27"/>
        </w:rPr>
      </w:pPr>
      <w:r w:rsidRPr="00A70ACD">
        <w:rPr>
          <w:rFonts w:ascii="Arial" w:hAnsi="Arial"/>
          <w:sz w:val="27"/>
          <w:szCs w:val="27"/>
        </w:rPr>
        <w:t>T</w:t>
      </w:r>
      <w:r w:rsidR="00D07B4F" w:rsidRPr="00A70ACD">
        <w:rPr>
          <w:rFonts w:ascii="Arial" w:hAnsi="Arial"/>
          <w:sz w:val="27"/>
          <w:szCs w:val="27"/>
        </w:rPr>
        <w:t xml:space="preserve">exto del </w:t>
      </w:r>
      <w:r w:rsidR="009A05BD">
        <w:rPr>
          <w:rFonts w:ascii="Arial" w:hAnsi="Arial"/>
          <w:sz w:val="27"/>
          <w:szCs w:val="27"/>
        </w:rPr>
        <w:t>protocolo</w:t>
      </w:r>
    </w:p>
    <w:p w:rsidR="00C53560" w:rsidRPr="00A70ACD" w:rsidRDefault="00C53560" w:rsidP="00D07B4F">
      <w:pPr>
        <w:numPr>
          <w:ilvl w:val="0"/>
          <w:numId w:val="1"/>
        </w:numPr>
        <w:spacing w:line="360" w:lineRule="auto"/>
        <w:jc w:val="both"/>
        <w:rPr>
          <w:rFonts w:ascii="Arial" w:hAnsi="Arial"/>
          <w:sz w:val="27"/>
          <w:szCs w:val="27"/>
        </w:rPr>
      </w:pPr>
      <w:r w:rsidRPr="00A70ACD">
        <w:rPr>
          <w:rFonts w:ascii="Arial" w:hAnsi="Arial"/>
          <w:sz w:val="27"/>
          <w:szCs w:val="27"/>
        </w:rPr>
        <w:t>Escrito del Director de Investigación Lingüística y Coordinación</w:t>
      </w:r>
    </w:p>
    <w:p w:rsidR="00C53560" w:rsidRPr="00A70ACD" w:rsidRDefault="00C53560" w:rsidP="00D07B4F">
      <w:pPr>
        <w:numPr>
          <w:ilvl w:val="0"/>
          <w:numId w:val="1"/>
        </w:numPr>
        <w:spacing w:line="360" w:lineRule="auto"/>
        <w:jc w:val="both"/>
        <w:rPr>
          <w:rFonts w:ascii="Arial" w:hAnsi="Arial"/>
          <w:sz w:val="27"/>
          <w:szCs w:val="27"/>
        </w:rPr>
      </w:pPr>
      <w:r w:rsidRPr="00A70ACD">
        <w:rPr>
          <w:rFonts w:ascii="Arial" w:hAnsi="Arial"/>
          <w:sz w:val="27"/>
          <w:szCs w:val="27"/>
        </w:rPr>
        <w:t>Memoria de la Consejera de Educación, Política Lingüística y Cultura</w:t>
      </w:r>
    </w:p>
    <w:p w:rsidR="00D07B4F" w:rsidRPr="00A70ACD" w:rsidRDefault="00D07B4F" w:rsidP="00D07B4F">
      <w:pPr>
        <w:numPr>
          <w:ilvl w:val="0"/>
          <w:numId w:val="1"/>
        </w:numPr>
        <w:spacing w:line="360" w:lineRule="auto"/>
        <w:jc w:val="both"/>
        <w:rPr>
          <w:rFonts w:ascii="Arial" w:hAnsi="Arial"/>
          <w:sz w:val="27"/>
          <w:szCs w:val="27"/>
        </w:rPr>
      </w:pPr>
      <w:r w:rsidRPr="00A70ACD">
        <w:rPr>
          <w:rFonts w:ascii="Arial" w:hAnsi="Arial"/>
          <w:sz w:val="27"/>
          <w:szCs w:val="27"/>
        </w:rPr>
        <w:t>Propuesta de acuerdo del Consejo de Gobierno</w:t>
      </w: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after="120" w:line="360" w:lineRule="auto"/>
        <w:ind w:firstLine="600"/>
        <w:jc w:val="both"/>
        <w:rPr>
          <w:rFonts w:ascii="Arial" w:hAnsi="Arial" w:cs="Arial"/>
          <w:sz w:val="27"/>
          <w:szCs w:val="27"/>
        </w:rPr>
      </w:pPr>
      <w:r w:rsidRPr="00A70ACD">
        <w:rPr>
          <w:rFonts w:ascii="Arial" w:hAnsi="Arial" w:cs="Arial"/>
          <w:sz w:val="27"/>
          <w:szCs w:val="27"/>
        </w:rPr>
        <w:t xml:space="preserve">Por la Dirección de Desarrollo Legislativo y Control Normativo, adscrita al Departamento de Administración Pública y Justicia, se emite el presente informe, en virtud de las funciones encomendadas a dicho Departamento por el artículo 6.1 h) del Decreto 20/2012, de 15 </w:t>
      </w:r>
      <w:r w:rsidRPr="00A70ACD">
        <w:rPr>
          <w:rFonts w:ascii="Arial" w:hAnsi="Arial" w:cs="Arial"/>
          <w:sz w:val="27"/>
          <w:szCs w:val="27"/>
        </w:rPr>
        <w:lastRenderedPageBreak/>
        <w:t>de diciembre, del Lehendakari, de creación, supresión y modificación de los Departamentos de la Administración de la Comunidad Autónoma del País Vasco y de determinación de funciones y áreas de actuación de los mismos, así como en base a las competencias atribuidas a la citada dirección por el artículo 13.1 letra a) del Decreto 188/2013 de 9 de abril, por el que se establece la estructura orgánica y funcional del Departamento de Administración Pública y Justicia</w:t>
      </w:r>
      <w:r w:rsidR="00C53560" w:rsidRPr="00A70ACD">
        <w:rPr>
          <w:rFonts w:ascii="Arial" w:hAnsi="Arial" w:cs="Arial"/>
          <w:sz w:val="27"/>
          <w:szCs w:val="27"/>
        </w:rPr>
        <w:t>.</w:t>
      </w: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ind w:firstLine="708"/>
        <w:jc w:val="both"/>
        <w:rPr>
          <w:rFonts w:ascii="Arial" w:hAnsi="Arial" w:cs="Arial"/>
          <w:b/>
          <w:sz w:val="27"/>
          <w:szCs w:val="27"/>
        </w:rPr>
      </w:pPr>
      <w:r w:rsidRPr="00A70ACD">
        <w:rPr>
          <w:rFonts w:ascii="Arial" w:hAnsi="Arial" w:cs="Arial"/>
          <w:b/>
          <w:sz w:val="27"/>
          <w:szCs w:val="27"/>
        </w:rPr>
        <w:t xml:space="preserve">II. COMPETENCIA PARA AUTORIZAR CONVENIOS. </w:t>
      </w:r>
    </w:p>
    <w:p w:rsidR="00C53560" w:rsidRPr="00A70ACD" w:rsidRDefault="00C53560" w:rsidP="00D07B4F">
      <w:pPr>
        <w:spacing w:line="360" w:lineRule="auto"/>
        <w:ind w:firstLine="708"/>
        <w:jc w:val="both"/>
        <w:rPr>
          <w:rFonts w:ascii="Arial" w:hAnsi="Arial" w:cs="Arial"/>
          <w:sz w:val="27"/>
          <w:szCs w:val="27"/>
        </w:rPr>
      </w:pPr>
    </w:p>
    <w:p w:rsidR="00D07B4F" w:rsidRPr="00A70ACD" w:rsidRDefault="00D07B4F" w:rsidP="00DB3C50">
      <w:pPr>
        <w:spacing w:line="360" w:lineRule="auto"/>
        <w:ind w:firstLine="708"/>
        <w:jc w:val="both"/>
        <w:rPr>
          <w:rFonts w:ascii="Arial" w:hAnsi="Arial" w:cs="Arial"/>
          <w:sz w:val="27"/>
          <w:szCs w:val="27"/>
        </w:rPr>
      </w:pPr>
      <w:r w:rsidRPr="00A70ACD">
        <w:rPr>
          <w:rFonts w:ascii="Arial" w:hAnsi="Arial" w:cs="Arial"/>
          <w:sz w:val="27"/>
          <w:szCs w:val="27"/>
        </w:rPr>
        <w:t xml:space="preserve">De acuerdo con lo previsto en la norma 3ª de las </w:t>
      </w:r>
      <w:r w:rsidRPr="00A70ACD">
        <w:rPr>
          <w:rFonts w:ascii="Arial" w:hAnsi="Arial" w:cs="Arial"/>
          <w:b/>
          <w:sz w:val="27"/>
          <w:szCs w:val="27"/>
        </w:rPr>
        <w:t xml:space="preserve">Normas establecidas por el Gobierno Vasco mediante Acuerdo de Consejo de Gobierno de 9 de enero de 1996, </w:t>
      </w:r>
      <w:r w:rsidRPr="00A70ACD">
        <w:rPr>
          <w:rFonts w:ascii="Arial" w:hAnsi="Arial" w:cs="Arial"/>
          <w:sz w:val="27"/>
          <w:szCs w:val="27"/>
        </w:rPr>
        <w:t xml:space="preserve">la competencia para autorizar </w:t>
      </w:r>
      <w:r w:rsidR="001C6484">
        <w:rPr>
          <w:rFonts w:ascii="Arial" w:hAnsi="Arial" w:cs="Arial"/>
          <w:sz w:val="27"/>
          <w:szCs w:val="27"/>
        </w:rPr>
        <w:t>c</w:t>
      </w:r>
      <w:r w:rsidRPr="00A70ACD">
        <w:rPr>
          <w:rFonts w:ascii="Arial" w:hAnsi="Arial" w:cs="Arial"/>
          <w:sz w:val="27"/>
          <w:szCs w:val="27"/>
        </w:rPr>
        <w:t>onvenios de esta naturaleza corresponde al Consejo de Gobierno, en tanto que conforme de la 9ª de dichas Normas y la manifestación del consentimiento y suscripción de los convenios en nombre de la Comunidad Autónoma se realizará por el Lehendakari</w:t>
      </w:r>
      <w:r w:rsidR="00DB3C50">
        <w:rPr>
          <w:rFonts w:ascii="Arial" w:hAnsi="Arial" w:cs="Arial"/>
          <w:sz w:val="27"/>
          <w:szCs w:val="27"/>
        </w:rPr>
        <w:t xml:space="preserve">, “salvo que </w:t>
      </w:r>
      <w:r w:rsidR="00DB3C50" w:rsidRPr="00DB3C50">
        <w:rPr>
          <w:rFonts w:ascii="Arial" w:hAnsi="Arial" w:cs="Arial"/>
          <w:sz w:val="27"/>
          <w:szCs w:val="27"/>
        </w:rPr>
        <w:t>el Consejo de</w:t>
      </w:r>
      <w:r w:rsidR="00DB3C50">
        <w:rPr>
          <w:rFonts w:ascii="Arial" w:hAnsi="Arial" w:cs="Arial"/>
          <w:sz w:val="27"/>
          <w:szCs w:val="27"/>
        </w:rPr>
        <w:t xml:space="preserve"> </w:t>
      </w:r>
      <w:r w:rsidR="00DB3C50" w:rsidRPr="00DB3C50">
        <w:rPr>
          <w:rFonts w:ascii="Arial" w:hAnsi="Arial" w:cs="Arial"/>
          <w:sz w:val="27"/>
          <w:szCs w:val="27"/>
        </w:rPr>
        <w:t>Gobierno facult</w:t>
      </w:r>
      <w:r w:rsidR="00DB3C50">
        <w:rPr>
          <w:rFonts w:ascii="Arial" w:hAnsi="Arial" w:cs="Arial"/>
          <w:sz w:val="27"/>
          <w:szCs w:val="27"/>
        </w:rPr>
        <w:t>e expresamente a otra autoridad”</w:t>
      </w:r>
      <w:r w:rsidR="00C53560" w:rsidRPr="00A70ACD">
        <w:rPr>
          <w:rFonts w:ascii="Arial" w:hAnsi="Arial" w:cs="Arial"/>
          <w:sz w:val="27"/>
          <w:szCs w:val="27"/>
        </w:rPr>
        <w:t>. En el presente caso, está previsto que el Consejo de Gobierno autorice al Viceconsejero de Política Lingü</w:t>
      </w:r>
      <w:r w:rsidR="00A70ACD" w:rsidRPr="00A70ACD">
        <w:rPr>
          <w:rFonts w:ascii="Arial" w:hAnsi="Arial" w:cs="Arial"/>
          <w:sz w:val="27"/>
          <w:szCs w:val="27"/>
        </w:rPr>
        <w:t>ística para que susc</w:t>
      </w:r>
      <w:r w:rsidR="001C6484">
        <w:rPr>
          <w:rFonts w:ascii="Arial" w:hAnsi="Arial" w:cs="Arial"/>
          <w:sz w:val="27"/>
          <w:szCs w:val="27"/>
        </w:rPr>
        <w:t>riba el protocolo</w:t>
      </w:r>
      <w:r w:rsidR="00A70ACD" w:rsidRPr="00A70ACD">
        <w:rPr>
          <w:rFonts w:ascii="Arial" w:hAnsi="Arial" w:cs="Arial"/>
          <w:sz w:val="27"/>
          <w:szCs w:val="27"/>
        </w:rPr>
        <w:t>.</w:t>
      </w:r>
    </w:p>
    <w:p w:rsidR="00D07B4F" w:rsidRPr="00A70ACD" w:rsidRDefault="00D07B4F" w:rsidP="00D07B4F">
      <w:pPr>
        <w:spacing w:line="360" w:lineRule="auto"/>
        <w:jc w:val="both"/>
        <w:rPr>
          <w:rFonts w:ascii="Arial" w:hAnsi="Arial" w:cs="Arial"/>
          <w:b/>
          <w:sz w:val="27"/>
          <w:szCs w:val="27"/>
        </w:rPr>
      </w:pPr>
    </w:p>
    <w:p w:rsidR="00D07B4F" w:rsidRPr="00A70ACD" w:rsidRDefault="00D07B4F" w:rsidP="00D07B4F">
      <w:pPr>
        <w:spacing w:line="360" w:lineRule="auto"/>
        <w:jc w:val="both"/>
        <w:rPr>
          <w:rFonts w:ascii="Arial" w:hAnsi="Arial" w:cs="Arial"/>
          <w:b/>
          <w:sz w:val="27"/>
          <w:szCs w:val="27"/>
        </w:rPr>
      </w:pPr>
    </w:p>
    <w:p w:rsidR="00D07B4F" w:rsidRPr="00A70ACD" w:rsidRDefault="00D07B4F" w:rsidP="00D07B4F">
      <w:pPr>
        <w:spacing w:line="360" w:lineRule="auto"/>
        <w:ind w:firstLine="708"/>
        <w:jc w:val="both"/>
        <w:rPr>
          <w:rFonts w:ascii="Arial" w:hAnsi="Arial" w:cs="Arial"/>
          <w:b/>
          <w:sz w:val="27"/>
          <w:szCs w:val="27"/>
        </w:rPr>
      </w:pPr>
      <w:r w:rsidRPr="00A70ACD">
        <w:rPr>
          <w:rFonts w:ascii="Arial" w:hAnsi="Arial" w:cs="Arial"/>
          <w:b/>
          <w:sz w:val="27"/>
          <w:szCs w:val="27"/>
        </w:rPr>
        <w:t xml:space="preserve">III.- LEGALIDAD </w:t>
      </w:r>
    </w:p>
    <w:p w:rsidR="00D07B4F" w:rsidRDefault="00D07B4F" w:rsidP="00D07B4F">
      <w:pPr>
        <w:spacing w:line="360" w:lineRule="auto"/>
        <w:ind w:firstLine="708"/>
        <w:jc w:val="both"/>
        <w:rPr>
          <w:rFonts w:ascii="Arial" w:hAnsi="Arial" w:cs="Arial"/>
          <w:sz w:val="27"/>
          <w:szCs w:val="27"/>
          <w:u w:val="single"/>
        </w:rPr>
      </w:pPr>
    </w:p>
    <w:p w:rsidR="00A70ACD" w:rsidRPr="00A70ACD" w:rsidRDefault="00A70ACD" w:rsidP="00A70ACD">
      <w:pPr>
        <w:spacing w:line="360" w:lineRule="auto"/>
        <w:ind w:firstLine="708"/>
        <w:jc w:val="both"/>
        <w:rPr>
          <w:rFonts w:ascii="Arial" w:hAnsi="Arial" w:cs="Arial"/>
          <w:sz w:val="27"/>
          <w:szCs w:val="27"/>
          <w:u w:val="single"/>
        </w:rPr>
      </w:pPr>
      <w:r w:rsidRPr="00A70ACD">
        <w:rPr>
          <w:rFonts w:ascii="Arial" w:hAnsi="Arial" w:cs="Arial"/>
          <w:sz w:val="27"/>
          <w:szCs w:val="27"/>
          <w:u w:val="single"/>
        </w:rPr>
        <w:t>Objeto</w:t>
      </w:r>
    </w:p>
    <w:p w:rsidR="00A70ACD" w:rsidRDefault="00A70ACD" w:rsidP="00A70ACD">
      <w:pPr>
        <w:spacing w:line="360" w:lineRule="auto"/>
        <w:ind w:firstLine="708"/>
        <w:jc w:val="both"/>
        <w:rPr>
          <w:rFonts w:ascii="Arial" w:hAnsi="Arial" w:cs="Arial"/>
          <w:sz w:val="27"/>
          <w:szCs w:val="27"/>
        </w:rPr>
      </w:pPr>
    </w:p>
    <w:p w:rsidR="00F142D0" w:rsidRDefault="00F142D0" w:rsidP="00A70ACD">
      <w:pPr>
        <w:spacing w:line="360" w:lineRule="auto"/>
        <w:ind w:firstLine="708"/>
        <w:jc w:val="both"/>
        <w:rPr>
          <w:rFonts w:ascii="Arial" w:hAnsi="Arial" w:cs="Arial"/>
          <w:sz w:val="27"/>
          <w:szCs w:val="27"/>
        </w:rPr>
      </w:pPr>
      <w:r>
        <w:rPr>
          <w:rFonts w:ascii="Arial" w:hAnsi="Arial" w:cs="Arial"/>
          <w:sz w:val="27"/>
          <w:szCs w:val="27"/>
        </w:rPr>
        <w:t>El Protocolo de Intenciones se suscribe con el propósito de estrechar los vínculos de cooperación técnica para la mejora en materia de política lingüística, educativa y cultural de Chile y Euskadi, con el objetivo de mejorar la interrelación entre ambos mediante la cooperación mutua, y que conlleve un intercambio de información aplicable a la promoción del euskera y al desarrollo de las lenguas de los pueblos indígenas de Chile.</w:t>
      </w:r>
    </w:p>
    <w:p w:rsidR="00F142D0" w:rsidRDefault="00F142D0" w:rsidP="00A70ACD">
      <w:pPr>
        <w:spacing w:line="360" w:lineRule="auto"/>
        <w:ind w:firstLine="708"/>
        <w:jc w:val="both"/>
        <w:rPr>
          <w:rFonts w:ascii="Arial" w:hAnsi="Arial" w:cs="Arial"/>
          <w:sz w:val="27"/>
          <w:szCs w:val="27"/>
        </w:rPr>
      </w:pPr>
    </w:p>
    <w:p w:rsidR="00A70ACD" w:rsidRDefault="00A70ACD" w:rsidP="00D07B4F">
      <w:pPr>
        <w:spacing w:line="360" w:lineRule="auto"/>
        <w:ind w:firstLine="708"/>
        <w:jc w:val="both"/>
        <w:rPr>
          <w:rFonts w:ascii="Arial" w:hAnsi="Arial" w:cs="Arial"/>
          <w:sz w:val="27"/>
          <w:szCs w:val="27"/>
          <w:u w:val="single"/>
        </w:rPr>
      </w:pPr>
    </w:p>
    <w:p w:rsidR="00A70ACD" w:rsidRPr="00A70ACD" w:rsidRDefault="00A70ACD" w:rsidP="00A70ACD">
      <w:pPr>
        <w:spacing w:line="360" w:lineRule="auto"/>
        <w:ind w:firstLine="708"/>
        <w:jc w:val="both"/>
        <w:rPr>
          <w:rFonts w:ascii="Arial" w:hAnsi="Arial" w:cs="Arial"/>
          <w:sz w:val="27"/>
          <w:szCs w:val="27"/>
          <w:u w:val="single"/>
        </w:rPr>
      </w:pPr>
      <w:r w:rsidRPr="00A70ACD">
        <w:rPr>
          <w:rFonts w:ascii="Arial" w:hAnsi="Arial" w:cs="Arial"/>
          <w:sz w:val="27"/>
          <w:szCs w:val="27"/>
          <w:u w:val="single"/>
        </w:rPr>
        <w:t xml:space="preserve">Competencia material </w:t>
      </w:r>
    </w:p>
    <w:p w:rsidR="00A70ACD" w:rsidRPr="00A70ACD" w:rsidRDefault="00A70ACD" w:rsidP="00A70ACD">
      <w:pPr>
        <w:spacing w:line="360" w:lineRule="auto"/>
        <w:ind w:firstLine="708"/>
        <w:jc w:val="both"/>
        <w:rPr>
          <w:rFonts w:ascii="Arial" w:hAnsi="Arial" w:cs="Arial"/>
          <w:b/>
          <w:sz w:val="27"/>
          <w:szCs w:val="27"/>
          <w:u w:val="single"/>
        </w:rPr>
      </w:pPr>
    </w:p>
    <w:p w:rsidR="008C40B6" w:rsidRDefault="00845D43" w:rsidP="00845D43">
      <w:pPr>
        <w:pStyle w:val="HTMLconformatoprevio"/>
        <w:spacing w:line="360" w:lineRule="auto"/>
        <w:ind w:firstLine="709"/>
        <w:jc w:val="both"/>
        <w:rPr>
          <w:rFonts w:ascii="Arial" w:hAnsi="Arial" w:cs="Arial"/>
          <w:sz w:val="27"/>
          <w:szCs w:val="27"/>
        </w:rPr>
      </w:pPr>
      <w:r w:rsidRPr="00FC72EC">
        <w:rPr>
          <w:rFonts w:ascii="Arial" w:hAnsi="Arial" w:cs="Arial"/>
          <w:sz w:val="27"/>
          <w:szCs w:val="27"/>
        </w:rPr>
        <w:t xml:space="preserve">El título competencial sobre el que se asienta en el presente caso la intervención del Departamento de </w:t>
      </w:r>
      <w:r w:rsidR="001C6484">
        <w:rPr>
          <w:rFonts w:ascii="Arial" w:hAnsi="Arial" w:cs="Arial"/>
          <w:sz w:val="27"/>
          <w:szCs w:val="27"/>
        </w:rPr>
        <w:t>Educación, Política Lingüística y Cultura</w:t>
      </w:r>
      <w:r w:rsidRPr="00FC72EC">
        <w:rPr>
          <w:rFonts w:ascii="Arial" w:hAnsi="Arial" w:cs="Arial"/>
          <w:sz w:val="27"/>
          <w:szCs w:val="27"/>
        </w:rPr>
        <w:t xml:space="preserve">, se contiene en el artículo </w:t>
      </w:r>
      <w:r>
        <w:rPr>
          <w:rFonts w:ascii="Arial" w:hAnsi="Arial" w:cs="Arial"/>
          <w:sz w:val="27"/>
          <w:szCs w:val="27"/>
        </w:rPr>
        <w:t xml:space="preserve">6 </w:t>
      </w:r>
      <w:r w:rsidRPr="00FC72EC">
        <w:rPr>
          <w:rFonts w:ascii="Arial" w:hAnsi="Arial" w:cs="Arial"/>
          <w:sz w:val="27"/>
          <w:szCs w:val="27"/>
        </w:rPr>
        <w:t>del Estatuto de Autonomía</w:t>
      </w:r>
      <w:r>
        <w:rPr>
          <w:rFonts w:ascii="Arial" w:hAnsi="Arial" w:cs="Arial"/>
          <w:sz w:val="27"/>
          <w:szCs w:val="27"/>
        </w:rPr>
        <w:t xml:space="preserve"> y en la Ley 10/1982, de 24 de noviembre, </w:t>
      </w:r>
      <w:r w:rsidR="008C40B6">
        <w:rPr>
          <w:rFonts w:ascii="Arial" w:hAnsi="Arial" w:cs="Arial"/>
          <w:sz w:val="27"/>
          <w:szCs w:val="27"/>
        </w:rPr>
        <w:t>básica de normalización del uso del euskera.</w:t>
      </w:r>
    </w:p>
    <w:p w:rsidR="00845D43" w:rsidRPr="00FC72EC" w:rsidRDefault="00845D43" w:rsidP="00845D43">
      <w:pPr>
        <w:pStyle w:val="HTMLconformatoprevio"/>
        <w:spacing w:line="360" w:lineRule="auto"/>
        <w:ind w:firstLine="709"/>
        <w:jc w:val="both"/>
        <w:rPr>
          <w:rFonts w:ascii="Arial" w:hAnsi="Arial" w:cs="Arial"/>
          <w:sz w:val="27"/>
          <w:szCs w:val="27"/>
        </w:rPr>
      </w:pPr>
    </w:p>
    <w:p w:rsidR="00845D43" w:rsidRPr="00FC72EC" w:rsidRDefault="00845D43" w:rsidP="0015392B">
      <w:pPr>
        <w:pStyle w:val="Textoindependiente2"/>
        <w:spacing w:after="0" w:line="360" w:lineRule="auto"/>
        <w:ind w:firstLine="709"/>
        <w:jc w:val="both"/>
        <w:rPr>
          <w:rFonts w:ascii="Arial" w:hAnsi="Arial" w:cs="Arial"/>
          <w:sz w:val="27"/>
          <w:szCs w:val="27"/>
        </w:rPr>
      </w:pPr>
      <w:r w:rsidRPr="00FC72EC">
        <w:rPr>
          <w:rFonts w:ascii="Arial" w:hAnsi="Arial" w:cs="Arial"/>
          <w:sz w:val="27"/>
          <w:szCs w:val="27"/>
        </w:rPr>
        <w:t xml:space="preserve">La competencia funcional del Departamento proponente se fundamenta en las funciones </w:t>
      </w:r>
      <w:r w:rsidR="006F7C14">
        <w:rPr>
          <w:rFonts w:ascii="Arial" w:hAnsi="Arial" w:cs="Arial"/>
          <w:sz w:val="27"/>
          <w:szCs w:val="27"/>
        </w:rPr>
        <w:t xml:space="preserve">en materia de política lingüística y promoción del euskera </w:t>
      </w:r>
      <w:r w:rsidRPr="00FC72EC">
        <w:rPr>
          <w:rFonts w:ascii="Arial" w:hAnsi="Arial" w:cs="Arial"/>
          <w:sz w:val="27"/>
          <w:szCs w:val="27"/>
        </w:rPr>
        <w:t xml:space="preserve">encomendadas al mismo por el artículo </w:t>
      </w:r>
      <w:r w:rsidR="006F7C14">
        <w:rPr>
          <w:rFonts w:ascii="Arial" w:hAnsi="Arial" w:cs="Arial"/>
          <w:sz w:val="27"/>
          <w:szCs w:val="27"/>
        </w:rPr>
        <w:t>10</w:t>
      </w:r>
      <w:r w:rsidRPr="00FC72EC">
        <w:rPr>
          <w:rFonts w:ascii="Arial" w:hAnsi="Arial" w:cs="Arial"/>
          <w:sz w:val="27"/>
          <w:szCs w:val="27"/>
        </w:rPr>
        <w:t xml:space="preserve"> del Decreto 20/2012, de 15 de diciembre, del Lehendakari, de creación, supresión y modificación de los Departamentos de la Administración de la Comunidad Autónoma del País Vasco y de determinación de funciones y áreas de actuación de los mismos. Dicha competencia genérica se concreta en las funciones </w:t>
      </w:r>
      <w:r w:rsidR="00743E6A">
        <w:rPr>
          <w:rFonts w:ascii="Arial" w:hAnsi="Arial" w:cs="Arial"/>
          <w:sz w:val="27"/>
          <w:szCs w:val="27"/>
        </w:rPr>
        <w:t>que</w:t>
      </w:r>
      <w:r w:rsidR="00BF6D9A">
        <w:rPr>
          <w:rFonts w:ascii="Arial" w:hAnsi="Arial" w:cs="Arial"/>
          <w:sz w:val="27"/>
          <w:szCs w:val="27"/>
        </w:rPr>
        <w:t xml:space="preserve"> </w:t>
      </w:r>
      <w:r w:rsidR="00743E6A">
        <w:rPr>
          <w:rFonts w:ascii="Arial" w:hAnsi="Arial" w:cs="Arial"/>
          <w:sz w:val="27"/>
          <w:szCs w:val="27"/>
        </w:rPr>
        <w:t xml:space="preserve">el artículo 24 del Decreto 193/2013, de 9 de abril, por </w:t>
      </w:r>
      <w:r w:rsidRPr="00FC72EC">
        <w:rPr>
          <w:rFonts w:ascii="Arial" w:hAnsi="Arial" w:cs="Arial"/>
          <w:sz w:val="27"/>
          <w:szCs w:val="27"/>
        </w:rPr>
        <w:t xml:space="preserve">el que se establece la estructura orgánica y funcional del Departamento de </w:t>
      </w:r>
      <w:r w:rsidR="00743E6A">
        <w:rPr>
          <w:rFonts w:ascii="Arial" w:hAnsi="Arial" w:cs="Arial"/>
          <w:sz w:val="27"/>
          <w:szCs w:val="27"/>
        </w:rPr>
        <w:t>Educación, Política Lingüística y Cultura</w:t>
      </w:r>
      <w:r w:rsidR="001C6484">
        <w:rPr>
          <w:rFonts w:ascii="Arial" w:hAnsi="Arial" w:cs="Arial"/>
          <w:sz w:val="27"/>
          <w:szCs w:val="27"/>
        </w:rPr>
        <w:t>,</w:t>
      </w:r>
      <w:r w:rsidR="00743E6A">
        <w:rPr>
          <w:rFonts w:ascii="Arial" w:hAnsi="Arial" w:cs="Arial"/>
          <w:sz w:val="27"/>
          <w:szCs w:val="27"/>
        </w:rPr>
        <w:t xml:space="preserve"> atribuye a la Dirección de Investigación Lingüística y Coordinación, de la Viceconsejería de Política Lingüística. En concreto el apartado k) de dicho precepto</w:t>
      </w:r>
      <w:r w:rsidR="0015392B">
        <w:rPr>
          <w:rFonts w:ascii="Arial" w:hAnsi="Arial" w:cs="Arial"/>
          <w:sz w:val="27"/>
          <w:szCs w:val="27"/>
        </w:rPr>
        <w:t xml:space="preserve"> </w:t>
      </w:r>
      <w:r w:rsidR="00743E6A">
        <w:rPr>
          <w:rFonts w:ascii="Arial" w:hAnsi="Arial" w:cs="Arial"/>
          <w:sz w:val="27"/>
          <w:szCs w:val="27"/>
        </w:rPr>
        <w:t>incluye</w:t>
      </w:r>
      <w:r w:rsidR="0015392B">
        <w:rPr>
          <w:rFonts w:ascii="Arial" w:hAnsi="Arial" w:cs="Arial"/>
          <w:sz w:val="27"/>
          <w:szCs w:val="27"/>
        </w:rPr>
        <w:t xml:space="preserve">, entre sus funciones, </w:t>
      </w:r>
      <w:r w:rsidR="0015392B">
        <w:rPr>
          <w:rFonts w:ascii="Arial" w:hAnsi="Arial" w:cs="Arial"/>
          <w:i/>
          <w:sz w:val="27"/>
          <w:szCs w:val="27"/>
        </w:rPr>
        <w:t xml:space="preserve">desarrollar proyectos estratégicos de observación y prospección a nivel internacional, haciendo el seguimiento de las prácticas innovadoras en política lingüística, </w:t>
      </w:r>
      <w:r w:rsidR="0015392B">
        <w:rPr>
          <w:rFonts w:ascii="Arial" w:hAnsi="Arial" w:cs="Arial"/>
          <w:sz w:val="27"/>
          <w:szCs w:val="27"/>
        </w:rPr>
        <w:t xml:space="preserve">así como </w:t>
      </w:r>
      <w:r w:rsidR="0015392B">
        <w:rPr>
          <w:rFonts w:ascii="Arial" w:hAnsi="Arial" w:cs="Arial"/>
          <w:i/>
          <w:sz w:val="27"/>
          <w:szCs w:val="27"/>
        </w:rPr>
        <w:t>propiciar acuerdos de investigación y cooperación para conocer la realidad social de las lenguas minoritarias tanto en la Unión Europea como fuera de ella.</w:t>
      </w:r>
      <w:r w:rsidR="0015392B" w:rsidRPr="00FC72EC">
        <w:rPr>
          <w:rFonts w:ascii="Arial" w:hAnsi="Arial" w:cs="Arial"/>
          <w:sz w:val="27"/>
          <w:szCs w:val="27"/>
        </w:rPr>
        <w:t xml:space="preserve"> </w:t>
      </w:r>
    </w:p>
    <w:p w:rsidR="00845D43" w:rsidRDefault="00845D43" w:rsidP="00A70ACD">
      <w:pPr>
        <w:spacing w:line="360" w:lineRule="auto"/>
        <w:ind w:firstLine="708"/>
        <w:jc w:val="both"/>
        <w:rPr>
          <w:rFonts w:ascii="Arial" w:hAnsi="Arial" w:cs="Arial"/>
          <w:sz w:val="27"/>
          <w:szCs w:val="27"/>
          <w:lang w:val="es-ES"/>
        </w:rPr>
      </w:pPr>
    </w:p>
    <w:p w:rsidR="0015392B" w:rsidRDefault="0015392B" w:rsidP="00A70ACD">
      <w:pPr>
        <w:spacing w:line="360" w:lineRule="auto"/>
        <w:ind w:firstLine="708"/>
        <w:jc w:val="both"/>
        <w:rPr>
          <w:rFonts w:ascii="Arial" w:hAnsi="Arial" w:cs="Arial"/>
          <w:sz w:val="27"/>
          <w:szCs w:val="27"/>
          <w:lang w:val="es-ES"/>
        </w:rPr>
      </w:pPr>
    </w:p>
    <w:p w:rsidR="00A70ACD" w:rsidRPr="00A70ACD" w:rsidRDefault="00A70ACD" w:rsidP="00A70ACD">
      <w:pPr>
        <w:spacing w:line="360" w:lineRule="auto"/>
        <w:ind w:firstLine="708"/>
        <w:jc w:val="both"/>
        <w:rPr>
          <w:rFonts w:ascii="Arial" w:hAnsi="Arial" w:cs="Arial"/>
          <w:sz w:val="27"/>
          <w:szCs w:val="27"/>
          <w:u w:val="single"/>
          <w:lang w:val="es-ES"/>
        </w:rPr>
      </w:pPr>
      <w:r w:rsidRPr="00A70ACD">
        <w:rPr>
          <w:rFonts w:ascii="Arial" w:hAnsi="Arial" w:cs="Arial"/>
          <w:sz w:val="27"/>
          <w:szCs w:val="27"/>
          <w:u w:val="single"/>
          <w:lang w:val="es-ES"/>
        </w:rPr>
        <w:t>Naturaleza jurídica</w:t>
      </w:r>
    </w:p>
    <w:p w:rsidR="0015392B" w:rsidRDefault="0015392B" w:rsidP="00A70ACD">
      <w:pPr>
        <w:spacing w:line="360" w:lineRule="auto"/>
        <w:ind w:firstLine="708"/>
        <w:jc w:val="both"/>
        <w:rPr>
          <w:rFonts w:ascii="Arial" w:hAnsi="Arial" w:cs="Arial"/>
          <w:sz w:val="27"/>
          <w:szCs w:val="27"/>
          <w:lang w:val="es-ES"/>
        </w:rPr>
      </w:pPr>
    </w:p>
    <w:p w:rsidR="00A70ACD" w:rsidRPr="00A70ACD" w:rsidRDefault="0015392B" w:rsidP="00A70ACD">
      <w:pPr>
        <w:spacing w:line="360" w:lineRule="auto"/>
        <w:ind w:firstLine="708"/>
        <w:jc w:val="both"/>
        <w:rPr>
          <w:rFonts w:ascii="Arial" w:hAnsi="Arial" w:cs="Arial"/>
          <w:sz w:val="27"/>
          <w:szCs w:val="27"/>
          <w:lang w:val="es-ES"/>
        </w:rPr>
      </w:pPr>
      <w:r>
        <w:rPr>
          <w:rFonts w:ascii="Arial" w:hAnsi="Arial" w:cs="Arial"/>
          <w:sz w:val="27"/>
          <w:szCs w:val="27"/>
          <w:lang w:val="es-ES"/>
        </w:rPr>
        <w:t>El Protocolo de Intenciones sometido a informe es</w:t>
      </w:r>
      <w:r w:rsidR="00A70ACD" w:rsidRPr="00A70ACD">
        <w:rPr>
          <w:rFonts w:ascii="Arial" w:hAnsi="Arial" w:cs="Arial"/>
          <w:sz w:val="27"/>
          <w:szCs w:val="27"/>
          <w:lang w:val="es-ES"/>
        </w:rPr>
        <w:t xml:space="preserve"> un acuerdo internacional no normativo, que no contiene derechos y obligaciones jurídicas, sino que se limita a enunciar propósitos o intenciones de los participantes. </w:t>
      </w:r>
    </w:p>
    <w:p w:rsidR="00A70ACD" w:rsidRPr="00A70ACD" w:rsidRDefault="00A70ACD" w:rsidP="00A70ACD">
      <w:pPr>
        <w:spacing w:line="360" w:lineRule="auto"/>
        <w:jc w:val="both"/>
        <w:rPr>
          <w:rFonts w:ascii="Arial" w:hAnsi="Arial" w:cs="Arial"/>
          <w:sz w:val="27"/>
          <w:szCs w:val="27"/>
          <w:lang w:val="es-ES"/>
        </w:rPr>
      </w:pPr>
    </w:p>
    <w:p w:rsidR="00A70ACD" w:rsidRPr="00A70ACD" w:rsidRDefault="00A70ACD" w:rsidP="00A70ACD">
      <w:pPr>
        <w:spacing w:line="360" w:lineRule="auto"/>
        <w:ind w:firstLine="708"/>
        <w:jc w:val="both"/>
        <w:rPr>
          <w:rFonts w:ascii="Arial" w:hAnsi="Arial" w:cs="Arial"/>
          <w:sz w:val="27"/>
          <w:szCs w:val="27"/>
        </w:rPr>
      </w:pPr>
      <w:r w:rsidRPr="00A70ACD">
        <w:rPr>
          <w:rFonts w:ascii="Arial" w:hAnsi="Arial" w:cs="Arial"/>
          <w:sz w:val="27"/>
          <w:szCs w:val="27"/>
        </w:rPr>
        <w:t xml:space="preserve">Es preciso hacer notar que desde la promulgación de la </w:t>
      </w:r>
      <w:r w:rsidRPr="00A70ACD">
        <w:rPr>
          <w:rFonts w:ascii="Arial" w:hAnsi="Arial" w:cs="Arial"/>
          <w:b/>
          <w:sz w:val="27"/>
          <w:szCs w:val="27"/>
        </w:rPr>
        <w:t>Ley 2/2014, de 25 de marzo, de la Acción y del Servicio Exterior del Estado</w:t>
      </w:r>
      <w:r>
        <w:rPr>
          <w:rFonts w:ascii="Arial" w:hAnsi="Arial" w:cs="Arial"/>
          <w:b/>
          <w:sz w:val="27"/>
          <w:szCs w:val="27"/>
        </w:rPr>
        <w:t>,</w:t>
      </w:r>
      <w:r w:rsidRPr="00A70ACD">
        <w:rPr>
          <w:rFonts w:ascii="Arial" w:hAnsi="Arial" w:cs="Arial"/>
          <w:b/>
          <w:sz w:val="27"/>
          <w:szCs w:val="27"/>
        </w:rPr>
        <w:t xml:space="preserve"> </w:t>
      </w:r>
      <w:r>
        <w:rPr>
          <w:rFonts w:ascii="Arial" w:hAnsi="Arial" w:cs="Arial"/>
          <w:sz w:val="27"/>
          <w:szCs w:val="27"/>
        </w:rPr>
        <w:t>en base a</w:t>
      </w:r>
      <w:r w:rsidRPr="00A70ACD">
        <w:rPr>
          <w:rFonts w:ascii="Arial" w:hAnsi="Arial" w:cs="Arial"/>
          <w:sz w:val="27"/>
          <w:szCs w:val="27"/>
        </w:rPr>
        <w:t xml:space="preserve"> su artículo 11.4, se introducen algunos condicionamientos formales para la suscripción de este tipo de Acuerdos por parte de las Comunidades Autónomas, a saber: </w:t>
      </w:r>
    </w:p>
    <w:p w:rsidR="00A70ACD" w:rsidRPr="00A70ACD" w:rsidRDefault="00A70ACD" w:rsidP="00A70ACD">
      <w:pPr>
        <w:spacing w:line="360" w:lineRule="auto"/>
        <w:jc w:val="both"/>
        <w:rPr>
          <w:rFonts w:ascii="Arial" w:hAnsi="Arial" w:cs="Arial"/>
          <w:sz w:val="27"/>
          <w:szCs w:val="27"/>
        </w:rPr>
      </w:pPr>
    </w:p>
    <w:p w:rsidR="00A70ACD" w:rsidRPr="00A70ACD" w:rsidRDefault="00A70ACD" w:rsidP="00A70ACD">
      <w:pPr>
        <w:spacing w:line="360" w:lineRule="auto"/>
        <w:ind w:left="1418"/>
        <w:jc w:val="both"/>
        <w:rPr>
          <w:rFonts w:ascii="Arial" w:hAnsi="Arial" w:cs="Arial"/>
          <w:i/>
          <w:sz w:val="27"/>
          <w:szCs w:val="27"/>
        </w:rPr>
      </w:pPr>
      <w:r w:rsidRPr="00A70ACD">
        <w:rPr>
          <w:rFonts w:ascii="Arial" w:hAnsi="Arial" w:cs="Arial"/>
          <w:i/>
          <w:sz w:val="27"/>
          <w:szCs w:val="27"/>
        </w:rPr>
        <w:t>4. Las Comunidades Autónomas, las Ciudades Autónomas y las entidades que integran la Administración Local podrán celebrar acuerdos internacionales administrativos en ejecución y concreción de un tratado internacional cuando así lo prevea el propio tratado, les atribuya potestad para ello y verse sobre materias de su competencia. Asimismo, podrán celebrar acuerdos no normativos con los órganos análogos de otros sujetos de derecho internacional, no vinculantes jurídicamente para quienes los suscriben, sobre materias de su competencia.</w:t>
      </w:r>
    </w:p>
    <w:p w:rsidR="00A70ACD" w:rsidRPr="00A70ACD" w:rsidRDefault="00A70ACD" w:rsidP="00A70ACD">
      <w:pPr>
        <w:spacing w:line="360" w:lineRule="auto"/>
        <w:ind w:left="1418"/>
        <w:jc w:val="both"/>
        <w:rPr>
          <w:rFonts w:ascii="Arial" w:hAnsi="Arial" w:cs="Arial"/>
          <w:i/>
          <w:sz w:val="27"/>
          <w:szCs w:val="27"/>
        </w:rPr>
      </w:pPr>
      <w:r w:rsidRPr="00A70ACD">
        <w:rPr>
          <w:rFonts w:ascii="Arial" w:hAnsi="Arial" w:cs="Arial"/>
          <w:i/>
          <w:sz w:val="27"/>
          <w:szCs w:val="27"/>
        </w:rPr>
        <w:t xml:space="preserve">El Ministerio de Asuntos Exteriores y de Cooperación </w:t>
      </w:r>
      <w:r w:rsidRPr="00A70ACD">
        <w:rPr>
          <w:rFonts w:ascii="Arial" w:hAnsi="Arial" w:cs="Arial"/>
          <w:i/>
          <w:sz w:val="27"/>
          <w:szCs w:val="27"/>
          <w:u w:val="single"/>
        </w:rPr>
        <w:t>informará con carácter previo</w:t>
      </w:r>
      <w:r w:rsidRPr="00A70ACD">
        <w:rPr>
          <w:rFonts w:ascii="Arial" w:hAnsi="Arial" w:cs="Arial"/>
          <w:i/>
          <w:sz w:val="27"/>
          <w:szCs w:val="27"/>
        </w:rPr>
        <w:t xml:space="preserve"> y de acuerdo con lo que disponga la legislación estatal que regule su celebración, los acuerdos internacionales administrativos y los no normativos que estas Administraciones pretendan celebrar con autoridades u órganos administrativos de un sujeto de derecho internacional. A tal efecto recabará el informe de los departamentos ministeriales competentes por razón de la materia y, en todo caso, del Ministerio de Hacienda y Administraciones Públicas.</w:t>
      </w:r>
    </w:p>
    <w:p w:rsidR="00A70ACD" w:rsidRPr="00A70ACD" w:rsidRDefault="00A70ACD" w:rsidP="00A70ACD">
      <w:pPr>
        <w:spacing w:line="360" w:lineRule="auto"/>
        <w:jc w:val="both"/>
        <w:rPr>
          <w:rFonts w:ascii="Arial" w:hAnsi="Arial" w:cs="Arial"/>
          <w:i/>
          <w:sz w:val="27"/>
          <w:szCs w:val="27"/>
        </w:rPr>
      </w:pPr>
    </w:p>
    <w:p w:rsidR="00A70ACD" w:rsidRPr="00A70ACD" w:rsidRDefault="00A70ACD" w:rsidP="00A70ACD">
      <w:pPr>
        <w:spacing w:line="360" w:lineRule="auto"/>
        <w:ind w:firstLine="708"/>
        <w:jc w:val="both"/>
        <w:rPr>
          <w:rFonts w:ascii="Arial" w:hAnsi="Arial" w:cs="Arial"/>
          <w:sz w:val="27"/>
          <w:szCs w:val="27"/>
        </w:rPr>
      </w:pPr>
      <w:r w:rsidRPr="00A70ACD">
        <w:rPr>
          <w:rFonts w:ascii="Arial" w:hAnsi="Arial" w:cs="Arial"/>
          <w:sz w:val="27"/>
          <w:szCs w:val="27"/>
        </w:rPr>
        <w:t xml:space="preserve">Este artículo contempla, dentro de las actuaciones que pueden llevar a cabo las Comunidades Autónomas en el exterior, la suscripción de acuerdos no normativos (básicamente los que no generan directamente obligaciones jurídicas, como sería este que nos ocupa), con </w:t>
      </w:r>
      <w:r w:rsidR="00BC4AF1">
        <w:rPr>
          <w:rFonts w:ascii="Arial" w:hAnsi="Arial" w:cs="Arial"/>
          <w:sz w:val="27"/>
          <w:szCs w:val="27"/>
        </w:rPr>
        <w:t xml:space="preserve">autoridades u </w:t>
      </w:r>
      <w:r w:rsidRPr="00A70ACD">
        <w:rPr>
          <w:rFonts w:ascii="Arial" w:hAnsi="Arial" w:cs="Arial"/>
          <w:sz w:val="27"/>
          <w:szCs w:val="27"/>
        </w:rPr>
        <w:t xml:space="preserve">órganos </w:t>
      </w:r>
      <w:r w:rsidR="00BC4AF1">
        <w:rPr>
          <w:rFonts w:ascii="Arial" w:hAnsi="Arial" w:cs="Arial"/>
          <w:sz w:val="27"/>
          <w:szCs w:val="27"/>
        </w:rPr>
        <w:t xml:space="preserve">administrativos de un sujeto </w:t>
      </w:r>
      <w:r w:rsidRPr="00A70ACD">
        <w:rPr>
          <w:rFonts w:ascii="Arial" w:hAnsi="Arial" w:cs="Arial"/>
          <w:sz w:val="27"/>
          <w:szCs w:val="27"/>
        </w:rPr>
        <w:t>de derecho internacional</w:t>
      </w:r>
      <w:r w:rsidR="00BC4AF1">
        <w:rPr>
          <w:rFonts w:ascii="Arial" w:hAnsi="Arial" w:cs="Arial"/>
          <w:sz w:val="27"/>
          <w:szCs w:val="27"/>
        </w:rPr>
        <w:t>.</w:t>
      </w:r>
      <w:r w:rsidRPr="00A70ACD">
        <w:rPr>
          <w:rFonts w:ascii="Arial" w:hAnsi="Arial" w:cs="Arial"/>
          <w:sz w:val="27"/>
          <w:szCs w:val="27"/>
        </w:rPr>
        <w:t xml:space="preserve"> </w:t>
      </w:r>
    </w:p>
    <w:p w:rsidR="00A70ACD" w:rsidRPr="00A70ACD" w:rsidRDefault="00A70ACD" w:rsidP="00A70ACD">
      <w:pPr>
        <w:spacing w:line="360" w:lineRule="auto"/>
        <w:jc w:val="both"/>
        <w:rPr>
          <w:rFonts w:ascii="Arial" w:hAnsi="Arial" w:cs="Arial"/>
          <w:sz w:val="27"/>
          <w:szCs w:val="27"/>
        </w:rPr>
      </w:pPr>
    </w:p>
    <w:p w:rsidR="00A70ACD" w:rsidRPr="00A70ACD" w:rsidRDefault="00A70ACD" w:rsidP="00A70ACD">
      <w:pPr>
        <w:spacing w:line="360" w:lineRule="auto"/>
        <w:ind w:firstLine="708"/>
        <w:jc w:val="both"/>
        <w:rPr>
          <w:rFonts w:ascii="Arial" w:hAnsi="Arial" w:cs="Arial"/>
          <w:sz w:val="27"/>
          <w:szCs w:val="27"/>
        </w:rPr>
      </w:pPr>
      <w:r w:rsidRPr="00A70ACD">
        <w:rPr>
          <w:rFonts w:ascii="Arial" w:hAnsi="Arial" w:cs="Arial"/>
          <w:sz w:val="27"/>
          <w:szCs w:val="27"/>
        </w:rPr>
        <w:t xml:space="preserve">Es discutible, desde un punto de vista constitucional, que la reserva estatal sobre “Relaciones internacionales” pueda amparar una legislación básica que impone un control previo sobre convenios </w:t>
      </w:r>
      <w:r w:rsidR="000F6D4F">
        <w:rPr>
          <w:rFonts w:ascii="Arial" w:hAnsi="Arial" w:cs="Arial"/>
          <w:sz w:val="27"/>
          <w:szCs w:val="27"/>
        </w:rPr>
        <w:t>que</w:t>
      </w:r>
      <w:r w:rsidRPr="00A70ACD">
        <w:rPr>
          <w:rFonts w:ascii="Arial" w:hAnsi="Arial" w:cs="Arial"/>
          <w:sz w:val="27"/>
          <w:szCs w:val="27"/>
        </w:rPr>
        <w:t xml:space="preserve"> no implican el ejercicio de un </w:t>
      </w:r>
      <w:proofErr w:type="spellStart"/>
      <w:r w:rsidRPr="00A70ACD">
        <w:rPr>
          <w:rFonts w:ascii="Arial" w:hAnsi="Arial" w:cs="Arial"/>
          <w:i/>
          <w:sz w:val="27"/>
          <w:szCs w:val="27"/>
        </w:rPr>
        <w:t>ius</w:t>
      </w:r>
      <w:proofErr w:type="spellEnd"/>
      <w:r w:rsidRPr="00A70ACD">
        <w:rPr>
          <w:rFonts w:ascii="Arial" w:hAnsi="Arial" w:cs="Arial"/>
          <w:i/>
          <w:sz w:val="27"/>
          <w:szCs w:val="27"/>
        </w:rPr>
        <w:t xml:space="preserve"> </w:t>
      </w:r>
      <w:proofErr w:type="spellStart"/>
      <w:r w:rsidRPr="00A70ACD">
        <w:rPr>
          <w:rFonts w:ascii="Arial" w:hAnsi="Arial" w:cs="Arial"/>
          <w:i/>
          <w:sz w:val="27"/>
          <w:szCs w:val="27"/>
        </w:rPr>
        <w:t>contrahendi</w:t>
      </w:r>
      <w:proofErr w:type="spellEnd"/>
      <w:r w:rsidRPr="00A70ACD">
        <w:rPr>
          <w:rFonts w:ascii="Arial" w:hAnsi="Arial" w:cs="Arial"/>
          <w:sz w:val="27"/>
          <w:szCs w:val="27"/>
        </w:rPr>
        <w:t>, ni originan obligaciones frente a poderes públicos, ni incide en la política exterior del Estado, ni, en fin, genera responsabilidad de éste frente a Estados extranjeros u organizaciones inter o supranacionales; y así lo viene entendiendo la jurisprudencia constitucional, a saber: TC 80/1993, de 8 de marzo; 165/1994, de 26 de mayo; y, especialmente, Sentencia 31/2010 de 28 Jun. 2010, FJ 126.</w:t>
      </w:r>
    </w:p>
    <w:p w:rsidR="00A70ACD" w:rsidRPr="00A70ACD" w:rsidRDefault="00A70ACD" w:rsidP="00A70ACD">
      <w:pPr>
        <w:spacing w:line="360" w:lineRule="auto"/>
        <w:jc w:val="both"/>
        <w:rPr>
          <w:rFonts w:ascii="Arial" w:hAnsi="Arial" w:cs="Arial"/>
          <w:sz w:val="27"/>
          <w:szCs w:val="27"/>
        </w:rPr>
      </w:pPr>
    </w:p>
    <w:p w:rsidR="00A70ACD" w:rsidRPr="00A70ACD" w:rsidRDefault="00A70ACD" w:rsidP="00A70ACD">
      <w:pPr>
        <w:spacing w:line="360" w:lineRule="auto"/>
        <w:ind w:firstLine="708"/>
        <w:jc w:val="both"/>
        <w:rPr>
          <w:rFonts w:ascii="Arial" w:hAnsi="Arial" w:cs="Arial"/>
          <w:sz w:val="27"/>
          <w:szCs w:val="27"/>
        </w:rPr>
      </w:pPr>
      <w:r w:rsidRPr="00A70ACD">
        <w:rPr>
          <w:rFonts w:ascii="Arial" w:hAnsi="Arial" w:cs="Arial"/>
          <w:sz w:val="27"/>
          <w:szCs w:val="27"/>
        </w:rPr>
        <w:t>No obstante, lo cierto es que Ley 2/2014, de 25 de marzo, de la Acción y del Servicio Exterior del Estado está en vigor y nos vemos en la tesitura de delimitar el alcance de la exigencia de que antes de la suscripción de dichos acuerdos se emita informe por el Ministerio de Asuntos Exteriores y Cooperación (MAEC).</w:t>
      </w:r>
    </w:p>
    <w:p w:rsidR="00A70ACD" w:rsidRPr="00A70ACD" w:rsidRDefault="00A70ACD" w:rsidP="00A70ACD">
      <w:pPr>
        <w:spacing w:line="360" w:lineRule="auto"/>
        <w:ind w:firstLine="708"/>
        <w:jc w:val="both"/>
        <w:rPr>
          <w:rFonts w:ascii="Arial" w:hAnsi="Arial" w:cs="Arial"/>
          <w:sz w:val="27"/>
          <w:szCs w:val="27"/>
        </w:rPr>
      </w:pPr>
    </w:p>
    <w:p w:rsidR="00A70ACD" w:rsidRPr="00A70ACD" w:rsidRDefault="00A70ACD" w:rsidP="00A70ACD">
      <w:pPr>
        <w:spacing w:line="360" w:lineRule="auto"/>
        <w:ind w:firstLine="708"/>
        <w:jc w:val="both"/>
        <w:rPr>
          <w:rFonts w:ascii="Arial" w:hAnsi="Arial" w:cs="Arial"/>
          <w:sz w:val="27"/>
          <w:szCs w:val="27"/>
        </w:rPr>
      </w:pPr>
      <w:r w:rsidRPr="00A70ACD">
        <w:rPr>
          <w:rFonts w:ascii="Arial" w:hAnsi="Arial" w:cs="Arial"/>
          <w:sz w:val="27"/>
          <w:szCs w:val="27"/>
        </w:rPr>
        <w:t>La jurisprudencia constitucional en esta materia, junto con la consideración de la incorporación de esta Ley al ordenamiento, y la ausencia por tanto de una suficiente experiencia sobre su aplicación práctica o de aclaraciones jurisprudenciales sobre su alcance, hacen aconsejable, de acuerdo con la jurisprudencia constitucional previa sobre la materia, que debamos ser cautelosos en su interpretación.</w:t>
      </w:r>
    </w:p>
    <w:p w:rsidR="00A70ACD" w:rsidRPr="00A70ACD" w:rsidRDefault="00A70ACD" w:rsidP="00A70ACD">
      <w:pPr>
        <w:spacing w:line="360" w:lineRule="auto"/>
        <w:jc w:val="both"/>
        <w:rPr>
          <w:rFonts w:ascii="Arial" w:hAnsi="Arial" w:cs="Arial"/>
          <w:sz w:val="27"/>
          <w:szCs w:val="27"/>
        </w:rPr>
      </w:pPr>
    </w:p>
    <w:p w:rsidR="00A70ACD" w:rsidRDefault="000F6D4F" w:rsidP="00A70ACD">
      <w:pPr>
        <w:spacing w:line="360" w:lineRule="auto"/>
        <w:ind w:firstLine="708"/>
        <w:jc w:val="both"/>
        <w:rPr>
          <w:rFonts w:ascii="Arial" w:hAnsi="Arial" w:cs="Arial"/>
          <w:sz w:val="27"/>
          <w:szCs w:val="27"/>
          <w:u w:val="single"/>
          <w:lang w:val="es-ES"/>
        </w:rPr>
      </w:pPr>
      <w:r>
        <w:rPr>
          <w:rFonts w:ascii="Arial" w:hAnsi="Arial" w:cs="Arial"/>
          <w:sz w:val="27"/>
          <w:szCs w:val="27"/>
          <w:u w:val="single"/>
          <w:lang w:val="es-ES"/>
        </w:rPr>
        <w:t>Análisis del clausulado</w:t>
      </w:r>
    </w:p>
    <w:p w:rsidR="000F6D4F" w:rsidRDefault="000F6D4F" w:rsidP="00A70ACD">
      <w:pPr>
        <w:spacing w:line="360" w:lineRule="auto"/>
        <w:ind w:firstLine="708"/>
        <w:jc w:val="both"/>
        <w:rPr>
          <w:rFonts w:ascii="Arial" w:hAnsi="Arial" w:cs="Arial"/>
          <w:sz w:val="27"/>
          <w:szCs w:val="27"/>
          <w:u w:val="single"/>
          <w:lang w:val="es-ES"/>
        </w:rPr>
      </w:pPr>
    </w:p>
    <w:p w:rsidR="00513AB8" w:rsidRDefault="00AE2601" w:rsidP="00513AB8">
      <w:pPr>
        <w:spacing w:line="360" w:lineRule="auto"/>
        <w:ind w:firstLine="708"/>
        <w:jc w:val="both"/>
        <w:rPr>
          <w:rFonts w:ascii="Arial" w:hAnsi="Arial" w:cs="Arial"/>
          <w:sz w:val="27"/>
          <w:szCs w:val="27"/>
        </w:rPr>
      </w:pPr>
      <w:r w:rsidRPr="00A70ACD">
        <w:rPr>
          <w:rFonts w:ascii="Arial" w:hAnsi="Arial" w:cs="Arial"/>
          <w:sz w:val="27"/>
          <w:szCs w:val="27"/>
        </w:rPr>
        <w:t>Los compromisos de las partes</w:t>
      </w:r>
      <w:r w:rsidR="00513AB8">
        <w:rPr>
          <w:rFonts w:ascii="Arial" w:hAnsi="Arial" w:cs="Arial"/>
          <w:sz w:val="27"/>
          <w:szCs w:val="27"/>
        </w:rPr>
        <w:t xml:space="preserve"> recogidos en el clausulado</w:t>
      </w:r>
      <w:r w:rsidR="005B581F">
        <w:rPr>
          <w:rFonts w:ascii="Arial" w:hAnsi="Arial" w:cs="Arial"/>
          <w:sz w:val="27"/>
          <w:szCs w:val="27"/>
        </w:rPr>
        <w:t xml:space="preserve">, que no conllevan </w:t>
      </w:r>
      <w:r w:rsidR="007578CA">
        <w:rPr>
          <w:rFonts w:ascii="Arial" w:hAnsi="Arial" w:cs="Arial"/>
          <w:sz w:val="27"/>
          <w:szCs w:val="27"/>
        </w:rPr>
        <w:t xml:space="preserve">aportación ni </w:t>
      </w:r>
      <w:r w:rsidR="005B581F">
        <w:rPr>
          <w:rFonts w:ascii="Arial" w:hAnsi="Arial" w:cs="Arial"/>
          <w:sz w:val="27"/>
          <w:szCs w:val="27"/>
        </w:rPr>
        <w:t xml:space="preserve">gasto </w:t>
      </w:r>
      <w:r w:rsidR="007578CA">
        <w:rPr>
          <w:rFonts w:ascii="Arial" w:hAnsi="Arial" w:cs="Arial"/>
          <w:sz w:val="27"/>
          <w:szCs w:val="27"/>
        </w:rPr>
        <w:t xml:space="preserve">económico </w:t>
      </w:r>
      <w:r w:rsidR="005B581F">
        <w:rPr>
          <w:rFonts w:ascii="Arial" w:hAnsi="Arial" w:cs="Arial"/>
          <w:sz w:val="27"/>
          <w:szCs w:val="27"/>
        </w:rPr>
        <w:t>alguno,</w:t>
      </w:r>
      <w:r w:rsidRPr="00A70ACD">
        <w:rPr>
          <w:rFonts w:ascii="Arial" w:hAnsi="Arial" w:cs="Arial"/>
          <w:sz w:val="27"/>
          <w:szCs w:val="27"/>
        </w:rPr>
        <w:t xml:space="preserve"> no suponen verdaderas </w:t>
      </w:r>
      <w:r w:rsidRPr="00A70ACD">
        <w:rPr>
          <w:rFonts w:ascii="Arial" w:hAnsi="Arial" w:cs="Arial"/>
          <w:sz w:val="27"/>
          <w:szCs w:val="27"/>
          <w:lang w:val="es-ES"/>
        </w:rPr>
        <w:t xml:space="preserve">obligaciones jurídicas, sino </w:t>
      </w:r>
      <w:r w:rsidR="00513AB8" w:rsidRPr="00513AB8">
        <w:rPr>
          <w:rFonts w:ascii="Arial" w:hAnsi="Arial" w:cs="Arial"/>
          <w:sz w:val="27"/>
          <w:szCs w:val="27"/>
        </w:rPr>
        <w:t xml:space="preserve">que </w:t>
      </w:r>
      <w:r w:rsidR="005B581F">
        <w:rPr>
          <w:rFonts w:ascii="Arial" w:hAnsi="Arial" w:cs="Arial"/>
          <w:sz w:val="27"/>
          <w:szCs w:val="27"/>
        </w:rPr>
        <w:t xml:space="preserve">son </w:t>
      </w:r>
      <w:r w:rsidR="00513AB8" w:rsidRPr="00513AB8">
        <w:rPr>
          <w:rFonts w:ascii="Arial" w:hAnsi="Arial" w:cs="Arial"/>
          <w:sz w:val="27"/>
          <w:szCs w:val="27"/>
        </w:rPr>
        <w:t>l</w:t>
      </w:r>
      <w:r w:rsidR="005B581F">
        <w:rPr>
          <w:rFonts w:ascii="Arial" w:hAnsi="Arial" w:cs="Arial"/>
          <w:sz w:val="27"/>
          <w:szCs w:val="27"/>
        </w:rPr>
        <w:t>os propios de un acuerdo marco</w:t>
      </w:r>
      <w:r w:rsidR="00513AB8" w:rsidRPr="00513AB8">
        <w:rPr>
          <w:rFonts w:ascii="Arial" w:hAnsi="Arial" w:cs="Arial"/>
          <w:sz w:val="27"/>
          <w:szCs w:val="27"/>
        </w:rPr>
        <w:t xml:space="preserve">, cuya única pretensión es el intercambio de experiencias e información, </w:t>
      </w:r>
      <w:r w:rsidR="00513AB8" w:rsidRPr="005B581F">
        <w:rPr>
          <w:rFonts w:ascii="Arial" w:hAnsi="Arial" w:cs="Arial"/>
          <w:sz w:val="27"/>
          <w:szCs w:val="27"/>
        </w:rPr>
        <w:t>preparatorio de la redacción y suscripción de futuros instrumentos jurídico-públicos</w:t>
      </w:r>
      <w:r w:rsidR="00513AB8" w:rsidRPr="00513AB8">
        <w:rPr>
          <w:rFonts w:ascii="Arial" w:hAnsi="Arial" w:cs="Arial"/>
          <w:sz w:val="27"/>
          <w:szCs w:val="27"/>
        </w:rPr>
        <w:t xml:space="preserve"> adecuados a su naturaleza.</w:t>
      </w:r>
      <w:r w:rsidR="005B581F">
        <w:rPr>
          <w:rFonts w:ascii="Arial" w:hAnsi="Arial" w:cs="Arial"/>
          <w:sz w:val="27"/>
          <w:szCs w:val="27"/>
        </w:rPr>
        <w:t xml:space="preserve"> En este sentido, la cláusula cuarta establece que las partes se proponen, dentro de los cuatro meses siguientes </w:t>
      </w:r>
      <w:r w:rsidR="007578CA">
        <w:rPr>
          <w:rFonts w:ascii="Arial" w:hAnsi="Arial" w:cs="Arial"/>
          <w:sz w:val="27"/>
          <w:szCs w:val="27"/>
        </w:rPr>
        <w:t>a</w:t>
      </w:r>
      <w:r w:rsidR="005B581F">
        <w:rPr>
          <w:rFonts w:ascii="Arial" w:hAnsi="Arial" w:cs="Arial"/>
          <w:sz w:val="27"/>
          <w:szCs w:val="27"/>
        </w:rPr>
        <w:t xml:space="preserve"> la firma del protocolo, abordar la elaboración de un Memorandum de Cooperación en el que se concrete la naturaleza de las actividades de cooperación y el aporte de recursos que, en su caso, pudieran necesitarse para sustentar las mismas.</w:t>
      </w:r>
    </w:p>
    <w:p w:rsidR="005B581F" w:rsidRDefault="005B581F" w:rsidP="00513AB8">
      <w:pPr>
        <w:spacing w:line="360" w:lineRule="auto"/>
        <w:ind w:firstLine="708"/>
        <w:jc w:val="both"/>
        <w:rPr>
          <w:rFonts w:ascii="Arial" w:hAnsi="Arial" w:cs="Arial"/>
          <w:sz w:val="27"/>
          <w:szCs w:val="27"/>
        </w:rPr>
      </w:pPr>
    </w:p>
    <w:p w:rsidR="007578CA" w:rsidRDefault="00094026" w:rsidP="00513AB8">
      <w:pPr>
        <w:spacing w:line="360" w:lineRule="auto"/>
        <w:ind w:firstLine="708"/>
        <w:jc w:val="both"/>
        <w:rPr>
          <w:rFonts w:ascii="Arial" w:hAnsi="Arial" w:cs="Arial"/>
          <w:sz w:val="27"/>
          <w:szCs w:val="27"/>
        </w:rPr>
      </w:pPr>
      <w:r>
        <w:rPr>
          <w:rFonts w:ascii="Arial" w:hAnsi="Arial" w:cs="Arial"/>
          <w:sz w:val="27"/>
          <w:szCs w:val="27"/>
        </w:rPr>
        <w:t>L</w:t>
      </w:r>
      <w:r w:rsidR="007578CA">
        <w:rPr>
          <w:rFonts w:ascii="Arial" w:hAnsi="Arial" w:cs="Arial"/>
          <w:sz w:val="27"/>
          <w:szCs w:val="27"/>
        </w:rPr>
        <w:t xml:space="preserve">a cláusula séptima </w:t>
      </w:r>
      <w:r>
        <w:rPr>
          <w:rFonts w:ascii="Arial" w:hAnsi="Arial" w:cs="Arial"/>
          <w:sz w:val="27"/>
          <w:szCs w:val="27"/>
        </w:rPr>
        <w:t>prevé</w:t>
      </w:r>
      <w:r w:rsidR="007578CA">
        <w:rPr>
          <w:rFonts w:ascii="Arial" w:hAnsi="Arial" w:cs="Arial"/>
          <w:sz w:val="27"/>
          <w:szCs w:val="27"/>
        </w:rPr>
        <w:t xml:space="preserve"> </w:t>
      </w:r>
      <w:r>
        <w:rPr>
          <w:rFonts w:ascii="Arial" w:hAnsi="Arial" w:cs="Arial"/>
          <w:sz w:val="27"/>
          <w:szCs w:val="27"/>
        </w:rPr>
        <w:t xml:space="preserve">la constitución de </w:t>
      </w:r>
      <w:r w:rsidR="007578CA">
        <w:rPr>
          <w:rFonts w:ascii="Arial" w:hAnsi="Arial" w:cs="Arial"/>
          <w:sz w:val="27"/>
          <w:szCs w:val="27"/>
        </w:rPr>
        <w:t>una comisión de seguimiento integrada por representantes de ambas partes, que se ocupará de garantizar el buen desarrollo de los compromisos adquiridos en el protocolo.</w:t>
      </w:r>
    </w:p>
    <w:p w:rsidR="007578CA" w:rsidRPr="00513AB8" w:rsidRDefault="007578CA" w:rsidP="00513AB8">
      <w:pPr>
        <w:spacing w:line="360" w:lineRule="auto"/>
        <w:ind w:firstLine="708"/>
        <w:jc w:val="both"/>
        <w:rPr>
          <w:rFonts w:ascii="Arial" w:hAnsi="Arial" w:cs="Arial"/>
          <w:sz w:val="27"/>
          <w:szCs w:val="27"/>
        </w:rPr>
      </w:pPr>
    </w:p>
    <w:p w:rsidR="00AE2601" w:rsidRDefault="00094026" w:rsidP="00A70ACD">
      <w:pPr>
        <w:spacing w:line="360" w:lineRule="auto"/>
        <w:ind w:firstLine="708"/>
        <w:jc w:val="both"/>
        <w:rPr>
          <w:rFonts w:ascii="Arial" w:hAnsi="Arial" w:cs="Arial"/>
          <w:sz w:val="27"/>
          <w:szCs w:val="27"/>
        </w:rPr>
      </w:pPr>
      <w:r>
        <w:rPr>
          <w:rFonts w:ascii="Arial" w:hAnsi="Arial" w:cs="Arial"/>
          <w:sz w:val="27"/>
          <w:szCs w:val="27"/>
        </w:rPr>
        <w:t>L</w:t>
      </w:r>
      <w:r w:rsidR="007578CA">
        <w:rPr>
          <w:rFonts w:ascii="Arial" w:hAnsi="Arial" w:cs="Arial"/>
          <w:sz w:val="27"/>
          <w:szCs w:val="27"/>
        </w:rPr>
        <w:t xml:space="preserve">a cláusula novena </w:t>
      </w:r>
      <w:r w:rsidR="00651AA2">
        <w:rPr>
          <w:rFonts w:ascii="Arial" w:hAnsi="Arial" w:cs="Arial"/>
          <w:sz w:val="27"/>
          <w:szCs w:val="27"/>
        </w:rPr>
        <w:t xml:space="preserve">regula el efecto temporal y la denuncia del protocolo. Establece una vigencia de dos años, </w:t>
      </w:r>
      <w:r w:rsidR="007578CA">
        <w:rPr>
          <w:rFonts w:ascii="Arial" w:hAnsi="Arial" w:cs="Arial"/>
          <w:sz w:val="27"/>
          <w:szCs w:val="27"/>
        </w:rPr>
        <w:t>que se renovará</w:t>
      </w:r>
      <w:r w:rsidR="00A70ACD" w:rsidRPr="00A70ACD">
        <w:rPr>
          <w:rFonts w:ascii="Arial" w:hAnsi="Arial" w:cs="Arial"/>
          <w:sz w:val="27"/>
          <w:szCs w:val="27"/>
        </w:rPr>
        <w:t xml:space="preserve"> tácita</w:t>
      </w:r>
      <w:r w:rsidR="00AE2601">
        <w:rPr>
          <w:rFonts w:ascii="Arial" w:hAnsi="Arial" w:cs="Arial"/>
          <w:sz w:val="27"/>
          <w:szCs w:val="27"/>
        </w:rPr>
        <w:t xml:space="preserve"> y sucesivamente </w:t>
      </w:r>
      <w:r w:rsidR="00A70ACD" w:rsidRPr="00A70ACD">
        <w:rPr>
          <w:rFonts w:ascii="Arial" w:hAnsi="Arial" w:cs="Arial"/>
          <w:sz w:val="27"/>
          <w:szCs w:val="27"/>
        </w:rPr>
        <w:t xml:space="preserve">por </w:t>
      </w:r>
      <w:r w:rsidR="00AE2601">
        <w:rPr>
          <w:rFonts w:ascii="Arial" w:hAnsi="Arial" w:cs="Arial"/>
          <w:sz w:val="27"/>
          <w:szCs w:val="27"/>
        </w:rPr>
        <w:t>igual periodo,</w:t>
      </w:r>
      <w:r w:rsidR="00A70ACD" w:rsidRPr="00A70ACD">
        <w:rPr>
          <w:rFonts w:ascii="Arial" w:hAnsi="Arial" w:cs="Arial"/>
          <w:sz w:val="27"/>
          <w:szCs w:val="27"/>
        </w:rPr>
        <w:t xml:space="preserve"> salvo denu</w:t>
      </w:r>
      <w:r w:rsidR="00AE2601">
        <w:rPr>
          <w:rFonts w:ascii="Arial" w:hAnsi="Arial" w:cs="Arial"/>
          <w:sz w:val="27"/>
          <w:szCs w:val="27"/>
        </w:rPr>
        <w:t>ncia de cualquiera de la partes, por escrito, con una antelación mínima de 90 días a la fecha de su vencimiento.</w:t>
      </w:r>
    </w:p>
    <w:p w:rsidR="00AE2601" w:rsidRDefault="00AE2601" w:rsidP="00A70ACD">
      <w:pPr>
        <w:spacing w:line="360" w:lineRule="auto"/>
        <w:ind w:firstLine="708"/>
        <w:jc w:val="both"/>
        <w:rPr>
          <w:rFonts w:ascii="Arial" w:hAnsi="Arial" w:cs="Arial"/>
          <w:sz w:val="27"/>
          <w:szCs w:val="27"/>
        </w:rPr>
      </w:pPr>
    </w:p>
    <w:p w:rsidR="00AE2601" w:rsidRDefault="00AE2601" w:rsidP="00A70ACD">
      <w:pPr>
        <w:spacing w:line="360" w:lineRule="auto"/>
        <w:ind w:firstLine="708"/>
        <w:jc w:val="both"/>
        <w:rPr>
          <w:rFonts w:ascii="Arial" w:hAnsi="Arial" w:cs="Arial"/>
          <w:sz w:val="27"/>
          <w:szCs w:val="27"/>
        </w:rPr>
      </w:pPr>
    </w:p>
    <w:p w:rsidR="00D07B4F" w:rsidRPr="00A70ACD" w:rsidRDefault="00D07B4F" w:rsidP="00D07B4F">
      <w:pPr>
        <w:spacing w:line="360" w:lineRule="auto"/>
        <w:ind w:firstLine="708"/>
        <w:jc w:val="both"/>
        <w:rPr>
          <w:rFonts w:ascii="Arial" w:hAnsi="Arial" w:cs="Arial"/>
          <w:b/>
          <w:sz w:val="27"/>
          <w:szCs w:val="27"/>
        </w:rPr>
      </w:pPr>
      <w:r w:rsidRPr="00A70ACD">
        <w:rPr>
          <w:rFonts w:ascii="Arial" w:hAnsi="Arial" w:cs="Arial"/>
          <w:b/>
          <w:sz w:val="27"/>
          <w:szCs w:val="27"/>
        </w:rPr>
        <w:t>CONCLUSIÓN.</w:t>
      </w:r>
    </w:p>
    <w:p w:rsidR="000F6D4F" w:rsidRDefault="000F6D4F" w:rsidP="00D07B4F">
      <w:pPr>
        <w:spacing w:line="360" w:lineRule="auto"/>
        <w:ind w:firstLine="708"/>
        <w:jc w:val="both"/>
        <w:rPr>
          <w:rFonts w:ascii="Arial" w:hAnsi="Arial" w:cs="Arial"/>
          <w:sz w:val="27"/>
          <w:szCs w:val="27"/>
        </w:rPr>
      </w:pPr>
    </w:p>
    <w:p w:rsidR="000F6D4F" w:rsidRDefault="00D07B4F" w:rsidP="00D07B4F">
      <w:pPr>
        <w:spacing w:line="360" w:lineRule="auto"/>
        <w:ind w:firstLine="708"/>
        <w:jc w:val="both"/>
        <w:rPr>
          <w:rFonts w:ascii="Arial" w:hAnsi="Arial" w:cs="Arial"/>
          <w:sz w:val="27"/>
          <w:szCs w:val="27"/>
        </w:rPr>
      </w:pPr>
      <w:r w:rsidRPr="00A70ACD">
        <w:rPr>
          <w:rFonts w:ascii="Arial" w:hAnsi="Arial" w:cs="Arial"/>
          <w:sz w:val="27"/>
          <w:szCs w:val="27"/>
        </w:rPr>
        <w:t xml:space="preserve">Se informa favorablemente </w:t>
      </w:r>
      <w:r w:rsidR="000F6D4F">
        <w:rPr>
          <w:rFonts w:ascii="Arial" w:hAnsi="Arial" w:cs="Arial"/>
          <w:sz w:val="27"/>
          <w:szCs w:val="27"/>
        </w:rPr>
        <w:t>el Protocolo de Intenciones para el Memorandum de Entendimiento sobre cooperación lingüística entre la Corporación Nacional de Desarrollo Indígena (CONADI) y el Departamento de Educación, Política Lingüística y Cultura del Gobierno Vasco.</w:t>
      </w:r>
    </w:p>
    <w:p w:rsidR="00D07B4F" w:rsidRDefault="00D07B4F" w:rsidP="00D07B4F">
      <w:pPr>
        <w:spacing w:line="360" w:lineRule="auto"/>
        <w:jc w:val="both"/>
        <w:rPr>
          <w:rFonts w:ascii="Arial" w:hAnsi="Arial" w:cs="Arial"/>
          <w:sz w:val="27"/>
          <w:szCs w:val="27"/>
        </w:rPr>
      </w:pPr>
    </w:p>
    <w:p w:rsidR="000F6D4F" w:rsidRPr="00A70ACD" w:rsidRDefault="000F6D4F" w:rsidP="00D07B4F">
      <w:pPr>
        <w:spacing w:line="360" w:lineRule="auto"/>
        <w:jc w:val="both"/>
        <w:rPr>
          <w:rFonts w:ascii="Arial" w:hAnsi="Arial" w:cs="Arial"/>
          <w:sz w:val="27"/>
          <w:szCs w:val="27"/>
        </w:rPr>
      </w:pPr>
    </w:p>
    <w:p w:rsidR="00D07B4F" w:rsidRPr="00A70ACD" w:rsidRDefault="00D07B4F" w:rsidP="00D07B4F">
      <w:pPr>
        <w:spacing w:line="360" w:lineRule="auto"/>
        <w:ind w:firstLine="708"/>
        <w:jc w:val="both"/>
        <w:rPr>
          <w:rFonts w:ascii="Arial" w:hAnsi="Arial" w:cs="Arial"/>
          <w:sz w:val="27"/>
          <w:szCs w:val="27"/>
        </w:rPr>
      </w:pPr>
      <w:r w:rsidRPr="00A70ACD">
        <w:rPr>
          <w:rFonts w:ascii="Arial" w:hAnsi="Arial" w:cs="Arial"/>
          <w:sz w:val="27"/>
          <w:szCs w:val="27"/>
        </w:rPr>
        <w:t xml:space="preserve">En Vitoria-Gasteiz, a </w:t>
      </w:r>
      <w:r w:rsidR="000F6D4F">
        <w:rPr>
          <w:rFonts w:ascii="Arial" w:hAnsi="Arial" w:cs="Arial"/>
          <w:sz w:val="27"/>
          <w:szCs w:val="27"/>
        </w:rPr>
        <w:t>treinta</w:t>
      </w:r>
      <w:r w:rsidRPr="00A70ACD">
        <w:rPr>
          <w:rFonts w:ascii="Arial" w:hAnsi="Arial" w:cs="Arial"/>
          <w:sz w:val="27"/>
          <w:szCs w:val="27"/>
        </w:rPr>
        <w:t xml:space="preserve"> de octubre de dos mil catorce</w:t>
      </w: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jc w:val="both"/>
        <w:rPr>
          <w:rFonts w:ascii="Arial" w:hAnsi="Arial" w:cs="Arial"/>
          <w:sz w:val="27"/>
          <w:szCs w:val="27"/>
        </w:rPr>
      </w:pPr>
    </w:p>
    <w:p w:rsidR="00D07B4F" w:rsidRPr="00A70ACD" w:rsidRDefault="00D07B4F" w:rsidP="00D07B4F">
      <w:pPr>
        <w:spacing w:line="360" w:lineRule="auto"/>
        <w:jc w:val="center"/>
        <w:rPr>
          <w:rFonts w:ascii="Arial" w:hAnsi="Arial" w:cs="Arial"/>
          <w:sz w:val="27"/>
          <w:szCs w:val="27"/>
        </w:rPr>
      </w:pPr>
      <w:r w:rsidRPr="00A70ACD">
        <w:rPr>
          <w:rFonts w:ascii="Arial" w:hAnsi="Arial" w:cs="Arial"/>
          <w:sz w:val="27"/>
          <w:szCs w:val="27"/>
        </w:rPr>
        <w:t>Marisa Etxebarria Kerexeta</w:t>
      </w:r>
    </w:p>
    <w:p w:rsidR="00D07B4F" w:rsidRPr="00A70ACD" w:rsidRDefault="00D07B4F" w:rsidP="00D07B4F">
      <w:pPr>
        <w:spacing w:line="360" w:lineRule="auto"/>
        <w:jc w:val="center"/>
        <w:rPr>
          <w:rFonts w:ascii="Arial" w:hAnsi="Arial" w:cs="Arial"/>
          <w:sz w:val="27"/>
          <w:szCs w:val="27"/>
        </w:rPr>
      </w:pPr>
      <w:r w:rsidRPr="00A70ACD">
        <w:rPr>
          <w:rFonts w:ascii="Arial" w:hAnsi="Arial" w:cs="Arial"/>
          <w:sz w:val="27"/>
          <w:szCs w:val="27"/>
        </w:rPr>
        <w:t>Letrada</w:t>
      </w:r>
    </w:p>
    <w:sectPr w:rsidR="00D07B4F" w:rsidRPr="00A70ACD" w:rsidSect="00A61ECC">
      <w:headerReference w:type="default" r:id="rId8"/>
      <w:footerReference w:type="default" r:id="rId9"/>
      <w:headerReference w:type="first" r:id="rId10"/>
      <w:footerReference w:type="first" r:id="rId11"/>
      <w:pgSz w:w="11907" w:h="16840" w:code="9"/>
      <w:pgMar w:top="1418" w:right="1701" w:bottom="1418" w:left="1701" w:header="72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CF" w:rsidRDefault="003811CF">
      <w:r>
        <w:separator/>
      </w:r>
    </w:p>
  </w:endnote>
  <w:endnote w:type="continuationSeparator" w:id="0">
    <w:p w:rsidR="003811CF" w:rsidRDefault="0038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600"/>
      <w:docPartObj>
        <w:docPartGallery w:val="Page Numbers (Bottom of Page)"/>
        <w:docPartUnique/>
      </w:docPartObj>
    </w:sdtPr>
    <w:sdtEndPr/>
    <w:sdtContent>
      <w:p w:rsidR="00F758B0" w:rsidRDefault="009A6691">
        <w:pPr>
          <w:pStyle w:val="Piedepgina"/>
          <w:jc w:val="right"/>
        </w:pPr>
        <w:r>
          <w:fldChar w:fldCharType="begin"/>
        </w:r>
        <w:r>
          <w:instrText>PAGE   \* MERGEFORMAT</w:instrText>
        </w:r>
        <w:r>
          <w:fldChar w:fldCharType="separate"/>
        </w:r>
        <w:r w:rsidR="00DE59A3" w:rsidRPr="00DE59A3">
          <w:rPr>
            <w:noProof/>
            <w:lang w:val="es-ES"/>
          </w:rPr>
          <w:t>7</w:t>
        </w:r>
        <w:r>
          <w:fldChar w:fldCharType="end"/>
        </w:r>
      </w:p>
    </w:sdtContent>
  </w:sdt>
  <w:p w:rsidR="00F758B0" w:rsidRDefault="005340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9A6691" w:rsidP="00FE309D">
    <w:pPr>
      <w:pStyle w:val="Piedepgina"/>
      <w:tabs>
        <w:tab w:val="clear" w:pos="9071"/>
      </w:tabs>
      <w:jc w:val="center"/>
      <w:rPr>
        <w:rFonts w:ascii="Arial" w:hAnsi="Arial"/>
        <w:sz w:val="13"/>
      </w:rPr>
    </w:pPr>
    <w:r>
      <w:rPr>
        <w:rFonts w:ascii="Arial" w:hAnsi="Arial"/>
        <w:sz w:val="13"/>
      </w:rPr>
      <w:t>Donostia-San Sebastián, 1,  –  01010 VITORIA-GASTEIZ</w:t>
    </w:r>
  </w:p>
  <w:p w:rsidR="00641847" w:rsidRDefault="009A6691" w:rsidP="00FE309D">
    <w:pPr>
      <w:pStyle w:val="Piedepgina"/>
      <w:tabs>
        <w:tab w:val="clear" w:pos="9071"/>
      </w:tabs>
      <w:spacing w:line="360" w:lineRule="auto"/>
      <w:jc w:val="center"/>
      <w:rPr>
        <w:rFonts w:ascii="Arial" w:hAnsi="Arial"/>
        <w:sz w:val="13"/>
      </w:rPr>
    </w:pPr>
    <w:r>
      <w:rPr>
        <w:rFonts w:ascii="Arial" w:hAnsi="Arial"/>
        <w:sz w:val="13"/>
      </w:rPr>
      <w:t>Tef. 945 01 86 46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CF" w:rsidRDefault="003811CF">
      <w:r>
        <w:separator/>
      </w:r>
    </w:p>
  </w:footnote>
  <w:footnote w:type="continuationSeparator" w:id="0">
    <w:p w:rsidR="003811CF" w:rsidRDefault="0038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9A6691">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23.85pt" o:ole="" fillcolor="window">
          <v:imagedata r:id="rId1" o:title=""/>
        </v:shape>
        <o:OLEObject Type="Embed" ProgID="MSPhotoEd.3" ShapeID="_x0000_i1025" DrawAspect="Content" ObjectID="_1480242077" r:id="rId2"/>
      </w:object>
    </w:r>
  </w:p>
  <w:p w:rsidR="00641847" w:rsidRDefault="005340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47" w:rsidRDefault="009A6691">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60288" behindDoc="0" locked="0" layoutInCell="0" allowOverlap="1" wp14:anchorId="48468F71" wp14:editId="55F9D032">
              <wp:simplePos x="0" y="0"/>
              <wp:positionH relativeFrom="page">
                <wp:posOffset>4086225</wp:posOffset>
              </wp:positionH>
              <wp:positionV relativeFrom="page">
                <wp:posOffset>853440</wp:posOffset>
              </wp:positionV>
              <wp:extent cx="225171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9A6691">
                          <w:pPr>
                            <w:pStyle w:val="Ttulo2"/>
                            <w:spacing w:after="35"/>
                            <w:rPr>
                              <w:sz w:val="12"/>
                              <w:szCs w:val="12"/>
                            </w:rPr>
                          </w:pPr>
                          <w:r w:rsidRPr="00AD763A">
                            <w:rPr>
                              <w:sz w:val="12"/>
                              <w:szCs w:val="12"/>
                            </w:rPr>
                            <w:t xml:space="preserve">DEPARTAMENTO DE ADMINISTRACIÓN </w:t>
                          </w:r>
                          <w:r w:rsidRPr="00AD763A">
                            <w:rPr>
                              <w:sz w:val="12"/>
                              <w:szCs w:val="12"/>
                            </w:rPr>
                            <w:br/>
                            <w:t>PÚBLICA Y JUSTICIA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77.3pt;height: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" o:allowincell="f" filled="f" stroked="f">
              <v:textbox>
                <w:txbxContent>
                  <w:p w:rsidR="00641847" w:rsidRPr="00AD763A" w:rsidRDefault="009A6691">
                    <w:pPr>
                      <w:pStyle w:val="Ttulo2"/>
                      <w:spacing w:after="35"/>
                      <w:rPr>
                        <w:sz w:val="12"/>
                        <w:szCs w:val="12"/>
                      </w:rPr>
                    </w:pPr>
                    <w:r w:rsidRPr="00AD763A">
                      <w:rPr>
                        <w:sz w:val="12"/>
                        <w:szCs w:val="12"/>
                      </w:rPr>
                      <w:t xml:space="preserve">DEPARTAMENTO DE ADMINISTRACIÓN </w:t>
                    </w:r>
                    <w:r w:rsidRPr="00AD763A">
                      <w:rPr>
                        <w:sz w:val="12"/>
                        <w:szCs w:val="12"/>
                      </w:rPr>
                      <w:br/>
                      <w:t>PÚBLICA Y JUSTICIA</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9264" behindDoc="0" locked="0" layoutInCell="0" allowOverlap="1" wp14:anchorId="6BB4E873" wp14:editId="16467F43">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AD763A" w:rsidRDefault="009A6691">
                          <w:pPr>
                            <w:pStyle w:val="Ttulo2"/>
                            <w:spacing w:after="35"/>
                            <w:rPr>
                              <w:sz w:val="12"/>
                              <w:szCs w:val="12"/>
                            </w:rPr>
                          </w:pPr>
                          <w:r w:rsidRPr="00AD763A">
                            <w:rPr>
                              <w:sz w:val="12"/>
                              <w:szCs w:val="12"/>
                            </w:rPr>
                            <w:t xml:space="preserve">HERRI ADMINISTRAZIO ETA </w:t>
                          </w:r>
                          <w:r w:rsidRPr="00AD763A">
                            <w:rPr>
                              <w:sz w:val="12"/>
                              <w:szCs w:val="12"/>
                            </w:rPr>
                            <w:br/>
                            <w:t>JUSTIZIA 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641847" w:rsidRPr="00AD763A" w:rsidRDefault="009A6691">
                    <w:pPr>
                      <w:pStyle w:val="Ttulo2"/>
                      <w:spacing w:after="35"/>
                      <w:rPr>
                        <w:sz w:val="12"/>
                        <w:szCs w:val="12"/>
                      </w:rPr>
                    </w:pPr>
                    <w:r w:rsidRPr="00AD763A">
                      <w:rPr>
                        <w:sz w:val="12"/>
                        <w:szCs w:val="12"/>
                      </w:rPr>
                      <w:t xml:space="preserve">HERRI ADMINISTRAZIO ETA </w:t>
                    </w:r>
                    <w:r w:rsidRPr="00AD763A">
                      <w:rPr>
                        <w:sz w:val="12"/>
                        <w:szCs w:val="12"/>
                      </w:rPr>
                      <w:br/>
                      <w:t>JUSTIZIA SAILA</w:t>
                    </w:r>
                  </w:p>
                </w:txbxContent>
              </v:textbox>
              <w10:wrap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6.75pt" o:ole="" fillcolor="window">
          <v:imagedata r:id="rId1" o:title=""/>
        </v:shape>
        <o:OLEObject Type="Embed" ProgID="MSPhotoEd.3" ShapeID="_x0000_i1026" DrawAspect="Content" ObjectID="_1480242078" r:id="rId2"/>
      </w:object>
    </w:r>
  </w:p>
  <w:p w:rsidR="00641847" w:rsidRDefault="005340C0">
    <w:pPr>
      <w:pStyle w:val="Encabezado"/>
      <w:tabs>
        <w:tab w:val="right" w:pos="9923"/>
      </w:tabs>
      <w:ind w:right="-142"/>
      <w:jc w:val="center"/>
      <w:rPr>
        <w:rFonts w:ascii="Arial" w:hAnsi="Arial"/>
        <w:sz w:val="16"/>
      </w:rPr>
    </w:pPr>
  </w:p>
  <w:p w:rsidR="00641847" w:rsidRDefault="005340C0">
    <w:pPr>
      <w:pStyle w:val="Encabezado"/>
      <w:tabs>
        <w:tab w:val="right" w:pos="9923"/>
      </w:tabs>
      <w:ind w:right="-142"/>
      <w:jc w:val="center"/>
      <w:rPr>
        <w:rFonts w:ascii="Arial" w:hAnsi="Arial"/>
        <w:sz w:val="16"/>
      </w:rPr>
    </w:pPr>
  </w:p>
  <w:p w:rsidR="00641847" w:rsidRDefault="005340C0">
    <w:pPr>
      <w:pStyle w:val="Encabezado"/>
      <w:tabs>
        <w:tab w:val="right" w:pos="9923"/>
      </w:tabs>
      <w:ind w:right="-142"/>
      <w:jc w:val="center"/>
      <w:rPr>
        <w:rFonts w:ascii="Arial" w:hAnsi="Arial"/>
        <w:sz w:val="16"/>
      </w:rPr>
    </w:pPr>
  </w:p>
  <w:p w:rsidR="00641847" w:rsidRDefault="005340C0">
    <w:pPr>
      <w:pStyle w:val="Encabezado"/>
      <w:tabs>
        <w:tab w:val="right" w:pos="9923"/>
      </w:tabs>
      <w:ind w:right="-142"/>
      <w:jc w:val="center"/>
      <w:rPr>
        <w:rFonts w:ascii="Arial" w:hAnsi="Arial"/>
        <w:sz w:val="16"/>
      </w:rPr>
    </w:pPr>
  </w:p>
  <w:p w:rsidR="00641847" w:rsidRDefault="005340C0">
    <w:pPr>
      <w:pStyle w:val="Encabezado"/>
      <w:tabs>
        <w:tab w:val="right" w:pos="9923"/>
      </w:tabs>
      <w:ind w:right="-142"/>
      <w:jc w:val="center"/>
      <w:rPr>
        <w:rFonts w:ascii="Arial" w:hAnsi="Arial"/>
        <w:sz w:val="16"/>
      </w:rPr>
    </w:pPr>
  </w:p>
  <w:p w:rsidR="00641847" w:rsidRDefault="005340C0">
    <w:pPr>
      <w:pStyle w:val="Encabezado"/>
      <w:tabs>
        <w:tab w:val="right" w:pos="9923"/>
      </w:tabs>
      <w:ind w:right="-142"/>
      <w:rPr>
        <w:rFonts w:ascii="Arial" w:hAnsi="Arial"/>
        <w:sz w:val="16"/>
      </w:rPr>
    </w:pPr>
  </w:p>
  <w:p w:rsidR="00641847" w:rsidRDefault="005340C0">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5F1B"/>
    <w:multiLevelType w:val="hybridMultilevel"/>
    <w:tmpl w:val="FFCCF190"/>
    <w:lvl w:ilvl="0" w:tplc="C7AEE2A0">
      <w:start w:val="1"/>
      <w:numFmt w:val="lowerLetter"/>
      <w:lvlText w:val="%1)"/>
      <w:lvlJc w:val="left"/>
      <w:pPr>
        <w:tabs>
          <w:tab w:val="num" w:pos="720"/>
        </w:tabs>
        <w:ind w:left="720" w:hanging="360"/>
      </w:pPr>
      <w:rPr>
        <w:rFonts w:cs="Times New Roman"/>
        <w:b w:val="0"/>
      </w:rPr>
    </w:lvl>
    <w:lvl w:ilvl="1" w:tplc="415014A2">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69E36B48"/>
    <w:multiLevelType w:val="hybridMultilevel"/>
    <w:tmpl w:val="D3CCB580"/>
    <w:lvl w:ilvl="0" w:tplc="418CE5D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6E"/>
    <w:rsid w:val="000768A8"/>
    <w:rsid w:val="00094026"/>
    <w:rsid w:val="000F6D4F"/>
    <w:rsid w:val="0015392B"/>
    <w:rsid w:val="0016295B"/>
    <w:rsid w:val="001C6484"/>
    <w:rsid w:val="003811CF"/>
    <w:rsid w:val="00513AB8"/>
    <w:rsid w:val="00564F14"/>
    <w:rsid w:val="005B581F"/>
    <w:rsid w:val="00651AA2"/>
    <w:rsid w:val="006F7C14"/>
    <w:rsid w:val="00743E6A"/>
    <w:rsid w:val="007578CA"/>
    <w:rsid w:val="00845D43"/>
    <w:rsid w:val="008C40B6"/>
    <w:rsid w:val="00955A6E"/>
    <w:rsid w:val="009A05BD"/>
    <w:rsid w:val="009A6691"/>
    <w:rsid w:val="00A70ACD"/>
    <w:rsid w:val="00AE2601"/>
    <w:rsid w:val="00BC4AF1"/>
    <w:rsid w:val="00BF6D9A"/>
    <w:rsid w:val="00C53560"/>
    <w:rsid w:val="00D07B4F"/>
    <w:rsid w:val="00DB3C50"/>
    <w:rsid w:val="00DE59A3"/>
    <w:rsid w:val="00F142D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4F"/>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D07B4F"/>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07B4F"/>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D07B4F"/>
    <w:pPr>
      <w:tabs>
        <w:tab w:val="center" w:pos="4819"/>
        <w:tab w:val="right" w:pos="9071"/>
      </w:tabs>
    </w:pPr>
  </w:style>
  <w:style w:type="character" w:customStyle="1" w:styleId="PiedepginaCar">
    <w:name w:val="Pie de página Car"/>
    <w:basedOn w:val="Fuentedeprrafopredeter"/>
    <w:link w:val="Piedepgina"/>
    <w:uiPriority w:val="99"/>
    <w:rsid w:val="00D07B4F"/>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D07B4F"/>
    <w:pPr>
      <w:tabs>
        <w:tab w:val="center" w:pos="4819"/>
        <w:tab w:val="right" w:pos="9071"/>
      </w:tabs>
    </w:pPr>
  </w:style>
  <w:style w:type="character" w:customStyle="1" w:styleId="EncabezadoCar">
    <w:name w:val="Encabezado Car"/>
    <w:basedOn w:val="Fuentedeprrafopredeter"/>
    <w:link w:val="Encabezado"/>
    <w:rsid w:val="00D07B4F"/>
    <w:rPr>
      <w:rFonts w:ascii="Times New Roman" w:eastAsia="Times New Roman" w:hAnsi="Times New Roman" w:cs="Times New Roman"/>
      <w:sz w:val="24"/>
      <w:szCs w:val="20"/>
      <w:lang w:val="es-ES_tradnl" w:eastAsia="es-ES_tradnl"/>
    </w:rPr>
  </w:style>
  <w:style w:type="paragraph" w:styleId="Textoindependiente2">
    <w:name w:val="Body Text 2"/>
    <w:basedOn w:val="Normal"/>
    <w:link w:val="Textoindependiente2Car"/>
    <w:rsid w:val="00845D43"/>
    <w:pPr>
      <w:spacing w:after="120" w:line="480" w:lineRule="auto"/>
    </w:pPr>
    <w:rPr>
      <w:szCs w:val="24"/>
    </w:rPr>
  </w:style>
  <w:style w:type="character" w:customStyle="1" w:styleId="Textoindependiente2Car">
    <w:name w:val="Texto independiente 2 Car"/>
    <w:basedOn w:val="Fuentedeprrafopredeter"/>
    <w:link w:val="Textoindependiente2"/>
    <w:rsid w:val="00845D43"/>
    <w:rPr>
      <w:rFonts w:ascii="Times New Roman" w:eastAsia="Times New Roman" w:hAnsi="Times New Roman" w:cs="Times New Roman"/>
      <w:sz w:val="24"/>
      <w:szCs w:val="24"/>
      <w:lang w:val="es-ES_tradnl" w:eastAsia="es-ES_tradnl"/>
    </w:rPr>
  </w:style>
  <w:style w:type="paragraph" w:styleId="HTMLconformatoprevio">
    <w:name w:val="HTML Preformatted"/>
    <w:basedOn w:val="Normal"/>
    <w:link w:val="HTMLconformatoprevioCar"/>
    <w:rsid w:val="0084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845D43"/>
    <w:rPr>
      <w:rFonts w:ascii="Courier New" w:eastAsia="Times New Roman" w:hAnsi="Courier New" w:cs="Courier New"/>
      <w:sz w:val="20"/>
      <w:szCs w:val="20"/>
      <w:lang w:val="es-ES_tradnl" w:eastAsia="es-ES_tradnl"/>
    </w:rPr>
  </w:style>
  <w:style w:type="paragraph" w:styleId="Textodeglobo">
    <w:name w:val="Balloon Text"/>
    <w:basedOn w:val="Normal"/>
    <w:link w:val="TextodegloboCar"/>
    <w:uiPriority w:val="99"/>
    <w:semiHidden/>
    <w:unhideWhenUsed/>
    <w:rsid w:val="00DB3C50"/>
    <w:rPr>
      <w:rFonts w:ascii="Arial" w:hAnsi="Arial" w:cs="Arial"/>
      <w:sz w:val="16"/>
      <w:szCs w:val="16"/>
    </w:rPr>
  </w:style>
  <w:style w:type="character" w:customStyle="1" w:styleId="TextodegloboCar">
    <w:name w:val="Texto de globo Car"/>
    <w:basedOn w:val="Fuentedeprrafopredeter"/>
    <w:link w:val="Textodeglobo"/>
    <w:uiPriority w:val="99"/>
    <w:semiHidden/>
    <w:rsid w:val="00DB3C50"/>
    <w:rPr>
      <w:rFonts w:ascii="Arial" w:eastAsia="Times New Roman" w:hAnsi="Arial" w:cs="Arial"/>
      <w:sz w:val="16"/>
      <w:szCs w:val="16"/>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4F"/>
    <w:pPr>
      <w:spacing w:after="0" w:line="240" w:lineRule="auto"/>
    </w:pPr>
    <w:rPr>
      <w:rFonts w:ascii="Times New Roman" w:eastAsia="Times New Roman" w:hAnsi="Times New Roman" w:cs="Times New Roman"/>
      <w:sz w:val="24"/>
      <w:szCs w:val="20"/>
      <w:lang w:val="es-ES_tradnl" w:eastAsia="es-ES_tradnl"/>
    </w:rPr>
  </w:style>
  <w:style w:type="paragraph" w:styleId="Ttulo2">
    <w:name w:val="heading 2"/>
    <w:basedOn w:val="Normal"/>
    <w:next w:val="Normal"/>
    <w:link w:val="Ttulo2Car"/>
    <w:qFormat/>
    <w:rsid w:val="00D07B4F"/>
    <w:pPr>
      <w:keepNext/>
      <w:outlineLvl w:val="1"/>
    </w:pPr>
    <w:rPr>
      <w:rFonts w:ascii="Arial" w:hAnsi="Arial"/>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07B4F"/>
    <w:rPr>
      <w:rFonts w:ascii="Arial" w:eastAsia="Times New Roman" w:hAnsi="Arial" w:cs="Times New Roman"/>
      <w:b/>
      <w:sz w:val="14"/>
      <w:szCs w:val="20"/>
      <w:lang w:val="es-ES_tradnl" w:eastAsia="es-ES_tradnl"/>
    </w:rPr>
  </w:style>
  <w:style w:type="paragraph" w:styleId="Piedepgina">
    <w:name w:val="footer"/>
    <w:basedOn w:val="Normal"/>
    <w:link w:val="PiedepginaCar"/>
    <w:uiPriority w:val="99"/>
    <w:rsid w:val="00D07B4F"/>
    <w:pPr>
      <w:tabs>
        <w:tab w:val="center" w:pos="4819"/>
        <w:tab w:val="right" w:pos="9071"/>
      </w:tabs>
    </w:pPr>
  </w:style>
  <w:style w:type="character" w:customStyle="1" w:styleId="PiedepginaCar">
    <w:name w:val="Pie de página Car"/>
    <w:basedOn w:val="Fuentedeprrafopredeter"/>
    <w:link w:val="Piedepgina"/>
    <w:uiPriority w:val="99"/>
    <w:rsid w:val="00D07B4F"/>
    <w:rPr>
      <w:rFonts w:ascii="Times New Roman" w:eastAsia="Times New Roman" w:hAnsi="Times New Roman" w:cs="Times New Roman"/>
      <w:sz w:val="24"/>
      <w:szCs w:val="20"/>
      <w:lang w:val="es-ES_tradnl" w:eastAsia="es-ES_tradnl"/>
    </w:rPr>
  </w:style>
  <w:style w:type="paragraph" w:styleId="Encabezado">
    <w:name w:val="header"/>
    <w:basedOn w:val="Normal"/>
    <w:link w:val="EncabezadoCar"/>
    <w:rsid w:val="00D07B4F"/>
    <w:pPr>
      <w:tabs>
        <w:tab w:val="center" w:pos="4819"/>
        <w:tab w:val="right" w:pos="9071"/>
      </w:tabs>
    </w:pPr>
  </w:style>
  <w:style w:type="character" w:customStyle="1" w:styleId="EncabezadoCar">
    <w:name w:val="Encabezado Car"/>
    <w:basedOn w:val="Fuentedeprrafopredeter"/>
    <w:link w:val="Encabezado"/>
    <w:rsid w:val="00D07B4F"/>
    <w:rPr>
      <w:rFonts w:ascii="Times New Roman" w:eastAsia="Times New Roman" w:hAnsi="Times New Roman" w:cs="Times New Roman"/>
      <w:sz w:val="24"/>
      <w:szCs w:val="20"/>
      <w:lang w:val="es-ES_tradnl" w:eastAsia="es-ES_tradnl"/>
    </w:rPr>
  </w:style>
  <w:style w:type="paragraph" w:styleId="Textoindependiente2">
    <w:name w:val="Body Text 2"/>
    <w:basedOn w:val="Normal"/>
    <w:link w:val="Textoindependiente2Car"/>
    <w:rsid w:val="00845D43"/>
    <w:pPr>
      <w:spacing w:after="120" w:line="480" w:lineRule="auto"/>
    </w:pPr>
    <w:rPr>
      <w:szCs w:val="24"/>
    </w:rPr>
  </w:style>
  <w:style w:type="character" w:customStyle="1" w:styleId="Textoindependiente2Car">
    <w:name w:val="Texto independiente 2 Car"/>
    <w:basedOn w:val="Fuentedeprrafopredeter"/>
    <w:link w:val="Textoindependiente2"/>
    <w:rsid w:val="00845D43"/>
    <w:rPr>
      <w:rFonts w:ascii="Times New Roman" w:eastAsia="Times New Roman" w:hAnsi="Times New Roman" w:cs="Times New Roman"/>
      <w:sz w:val="24"/>
      <w:szCs w:val="24"/>
      <w:lang w:val="es-ES_tradnl" w:eastAsia="es-ES_tradnl"/>
    </w:rPr>
  </w:style>
  <w:style w:type="paragraph" w:styleId="HTMLconformatoprevio">
    <w:name w:val="HTML Preformatted"/>
    <w:basedOn w:val="Normal"/>
    <w:link w:val="HTMLconformatoprevioCar"/>
    <w:rsid w:val="0084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845D43"/>
    <w:rPr>
      <w:rFonts w:ascii="Courier New" w:eastAsia="Times New Roman" w:hAnsi="Courier New" w:cs="Courier New"/>
      <w:sz w:val="20"/>
      <w:szCs w:val="20"/>
      <w:lang w:val="es-ES_tradnl" w:eastAsia="es-ES_tradnl"/>
    </w:rPr>
  </w:style>
  <w:style w:type="paragraph" w:styleId="Textodeglobo">
    <w:name w:val="Balloon Text"/>
    <w:basedOn w:val="Normal"/>
    <w:link w:val="TextodegloboCar"/>
    <w:uiPriority w:val="99"/>
    <w:semiHidden/>
    <w:unhideWhenUsed/>
    <w:rsid w:val="00DB3C50"/>
    <w:rPr>
      <w:rFonts w:ascii="Arial" w:hAnsi="Arial" w:cs="Arial"/>
      <w:sz w:val="16"/>
      <w:szCs w:val="16"/>
    </w:rPr>
  </w:style>
  <w:style w:type="character" w:customStyle="1" w:styleId="TextodegloboCar">
    <w:name w:val="Texto de globo Car"/>
    <w:basedOn w:val="Fuentedeprrafopredeter"/>
    <w:link w:val="Textodeglobo"/>
    <w:uiPriority w:val="99"/>
    <w:semiHidden/>
    <w:rsid w:val="00DB3C50"/>
    <w:rPr>
      <w:rFonts w:ascii="Arial" w:eastAsia="Times New Roman" w:hAnsi="Arial" w:cs="Arial"/>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1402</Words>
  <Characters>7712</Characters>
  <Application>Microsoft Office Word</Application>
  <DocSecurity>0</DocSecurity>
  <Lines>64</Lines>
  <Paragraphs>18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Etxebarria Kerexeta, Marisa</dc:creator>
  <cp:lastModifiedBy>Olabegoya Echevarria, Arantxa</cp:lastModifiedBy>
  <cp:revision>2</cp:revision>
  <cp:lastPrinted>2014-10-31T09:25:00Z</cp:lastPrinted>
  <dcterms:created xsi:type="dcterms:W3CDTF">2014-12-16T12:34:00Z</dcterms:created>
  <dcterms:modified xsi:type="dcterms:W3CDTF">2014-12-16T12:34:00Z</dcterms:modified>
</cp:coreProperties>
</file>