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A0" w:rsidRPr="00B56698" w:rsidRDefault="00554EA0" w:rsidP="00554EA0">
      <w:pPr>
        <w:pBdr>
          <w:bottom w:val="single" w:sz="12" w:space="1" w:color="auto"/>
        </w:pBdr>
        <w:spacing w:after="0" w:line="360" w:lineRule="auto"/>
        <w:jc w:val="both"/>
        <w:rPr>
          <w:rFonts w:ascii="Arial Narrow" w:hAnsi="Arial Narrow"/>
          <w:b/>
          <w:sz w:val="24"/>
          <w:szCs w:val="24"/>
        </w:rPr>
      </w:pPr>
      <w:bookmarkStart w:id="0" w:name="_GoBack"/>
      <w:bookmarkEnd w:id="0"/>
      <w:r w:rsidRPr="00B56698">
        <w:rPr>
          <w:rFonts w:ascii="Arial Narrow" w:hAnsi="Arial Narrow"/>
          <w:b/>
          <w:sz w:val="24"/>
          <w:szCs w:val="24"/>
        </w:rPr>
        <w:t xml:space="preserve">INFORME JURÍDICO </w:t>
      </w:r>
      <w:r w:rsidR="006A101D" w:rsidRPr="00B56698">
        <w:rPr>
          <w:rFonts w:ascii="Arial Narrow" w:hAnsi="Arial Narrow"/>
          <w:b/>
          <w:sz w:val="24"/>
          <w:szCs w:val="24"/>
        </w:rPr>
        <w:t xml:space="preserve">EN </w:t>
      </w:r>
      <w:r w:rsidRPr="00B56698">
        <w:rPr>
          <w:rFonts w:ascii="Arial Narrow" w:hAnsi="Arial Narrow"/>
          <w:b/>
          <w:sz w:val="24"/>
          <w:szCs w:val="24"/>
        </w:rPr>
        <w:t xml:space="preserve">RELACIÓN </w:t>
      </w:r>
      <w:r w:rsidR="002376CD" w:rsidRPr="00B56698">
        <w:rPr>
          <w:rFonts w:ascii="Arial Narrow" w:hAnsi="Arial Narrow"/>
          <w:b/>
          <w:sz w:val="24"/>
          <w:szCs w:val="24"/>
        </w:rPr>
        <w:t xml:space="preserve">CON </w:t>
      </w:r>
      <w:r w:rsidR="006A101D" w:rsidRPr="00B56698">
        <w:rPr>
          <w:rFonts w:ascii="Arial Narrow" w:hAnsi="Arial Narrow"/>
          <w:b/>
          <w:sz w:val="24"/>
          <w:szCs w:val="24"/>
        </w:rPr>
        <w:t>LA ATRIBUCIÓN COMPETENCIAL DEPARTAMENTAL DE LA MATERIA “CONTAMINACIÓN ELECTROMAGNÉTICA”</w:t>
      </w:r>
    </w:p>
    <w:p w:rsidR="00554EA0" w:rsidRDefault="00554EA0" w:rsidP="00554EA0">
      <w:pPr>
        <w:spacing w:after="0" w:line="360" w:lineRule="auto"/>
        <w:jc w:val="both"/>
        <w:rPr>
          <w:rFonts w:ascii="Arial Narrow" w:hAnsi="Arial Narrow"/>
          <w:sz w:val="24"/>
          <w:szCs w:val="24"/>
        </w:rPr>
      </w:pPr>
    </w:p>
    <w:p w:rsidR="003903A4" w:rsidRPr="003903A4" w:rsidRDefault="003903A4" w:rsidP="00554EA0">
      <w:pPr>
        <w:spacing w:after="0" w:line="360" w:lineRule="auto"/>
        <w:jc w:val="both"/>
        <w:rPr>
          <w:rFonts w:ascii="Arial Narrow" w:hAnsi="Arial Narrow"/>
          <w:b/>
          <w:sz w:val="24"/>
          <w:szCs w:val="24"/>
        </w:rPr>
      </w:pPr>
      <w:r w:rsidRPr="003903A4">
        <w:rPr>
          <w:rFonts w:ascii="Arial Narrow" w:hAnsi="Arial Narrow"/>
          <w:b/>
          <w:sz w:val="24"/>
          <w:szCs w:val="24"/>
        </w:rPr>
        <w:t>Ref.: 023/2014 IL</w:t>
      </w:r>
    </w:p>
    <w:p w:rsidR="003E4DB9" w:rsidRPr="00B56698" w:rsidRDefault="003E4DB9" w:rsidP="003E4DB9">
      <w:pPr>
        <w:spacing w:after="0" w:line="360" w:lineRule="auto"/>
        <w:ind w:firstLine="567"/>
        <w:jc w:val="both"/>
        <w:rPr>
          <w:rFonts w:ascii="Arial Narrow" w:hAnsi="Arial Narrow"/>
          <w:b/>
          <w:sz w:val="24"/>
          <w:szCs w:val="24"/>
          <w:u w:val="single"/>
        </w:rPr>
      </w:pPr>
    </w:p>
    <w:p w:rsidR="002376CD" w:rsidRPr="00B56698" w:rsidRDefault="002376CD" w:rsidP="003E4DB9">
      <w:pPr>
        <w:spacing w:after="0" w:line="360" w:lineRule="auto"/>
        <w:ind w:firstLine="567"/>
        <w:jc w:val="both"/>
        <w:rPr>
          <w:rFonts w:ascii="Arial Narrow" w:hAnsi="Arial Narrow"/>
          <w:b/>
          <w:sz w:val="24"/>
          <w:szCs w:val="24"/>
          <w:u w:val="single"/>
        </w:rPr>
      </w:pPr>
      <w:r w:rsidRPr="00B56698">
        <w:rPr>
          <w:rFonts w:ascii="Arial Narrow" w:hAnsi="Arial Narrow"/>
          <w:b/>
          <w:sz w:val="24"/>
          <w:szCs w:val="24"/>
          <w:u w:val="single"/>
        </w:rPr>
        <w:t xml:space="preserve">INTRODUCCIÓN </w:t>
      </w:r>
    </w:p>
    <w:p w:rsidR="002376CD" w:rsidRPr="00B56698" w:rsidRDefault="002376CD" w:rsidP="003E4DB9">
      <w:pPr>
        <w:spacing w:after="0" w:line="360" w:lineRule="auto"/>
        <w:ind w:firstLine="567"/>
        <w:jc w:val="both"/>
        <w:rPr>
          <w:rFonts w:ascii="Arial Narrow" w:hAnsi="Arial Narrow"/>
          <w:sz w:val="24"/>
          <w:szCs w:val="24"/>
        </w:rPr>
      </w:pPr>
    </w:p>
    <w:p w:rsidR="002376CD" w:rsidRPr="00B56698" w:rsidRDefault="002376CD" w:rsidP="003E4DB9">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Con fecha </w:t>
      </w:r>
      <w:r w:rsidR="006A101D" w:rsidRPr="00B56698">
        <w:rPr>
          <w:rFonts w:ascii="Arial Narrow" w:hAnsi="Arial Narrow"/>
          <w:sz w:val="24"/>
          <w:szCs w:val="24"/>
        </w:rPr>
        <w:t>5</w:t>
      </w:r>
      <w:r w:rsidRPr="00B56698">
        <w:rPr>
          <w:rFonts w:ascii="Arial Narrow" w:hAnsi="Arial Narrow"/>
          <w:sz w:val="24"/>
          <w:szCs w:val="24"/>
        </w:rPr>
        <w:t xml:space="preserve"> de </w:t>
      </w:r>
      <w:r w:rsidR="006A101D" w:rsidRPr="00B56698">
        <w:rPr>
          <w:rFonts w:ascii="Arial Narrow" w:hAnsi="Arial Narrow"/>
          <w:sz w:val="24"/>
          <w:szCs w:val="24"/>
        </w:rPr>
        <w:t>marzo</w:t>
      </w:r>
      <w:r w:rsidRPr="00B56698">
        <w:rPr>
          <w:rFonts w:ascii="Arial Narrow" w:hAnsi="Arial Narrow"/>
          <w:sz w:val="24"/>
          <w:szCs w:val="24"/>
        </w:rPr>
        <w:t xml:space="preserve"> de 2014 se solicita </w:t>
      </w:r>
      <w:r w:rsidR="006A101D" w:rsidRPr="00B56698">
        <w:rPr>
          <w:rFonts w:ascii="Arial Narrow" w:hAnsi="Arial Narrow"/>
          <w:sz w:val="24"/>
          <w:szCs w:val="24"/>
        </w:rPr>
        <w:t xml:space="preserve">informe jurídico que determine la atribución competencial departamental del área de actuación relativa a la contaminación electromagnética. </w:t>
      </w:r>
    </w:p>
    <w:p w:rsidR="002376CD" w:rsidRPr="00B56698" w:rsidRDefault="002376CD" w:rsidP="003E4DB9">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     </w:t>
      </w:r>
    </w:p>
    <w:p w:rsidR="002376CD" w:rsidRPr="00B56698" w:rsidRDefault="002376CD" w:rsidP="003E4DB9">
      <w:pPr>
        <w:spacing w:after="0" w:line="360" w:lineRule="auto"/>
        <w:ind w:firstLine="567"/>
        <w:jc w:val="both"/>
        <w:rPr>
          <w:rFonts w:ascii="Arial Narrow" w:hAnsi="Arial Narrow"/>
          <w:sz w:val="24"/>
          <w:szCs w:val="24"/>
        </w:rPr>
      </w:pPr>
      <w:r w:rsidRPr="00B56698">
        <w:rPr>
          <w:rFonts w:ascii="Arial Narrow" w:hAnsi="Arial Narrow"/>
          <w:sz w:val="24"/>
          <w:szCs w:val="24"/>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w:t>
      </w:r>
      <w:r w:rsidR="006A101D" w:rsidRPr="00B56698">
        <w:rPr>
          <w:rFonts w:ascii="Arial Narrow" w:hAnsi="Arial Narrow"/>
          <w:sz w:val="24"/>
          <w:szCs w:val="24"/>
        </w:rPr>
        <w:t>a</w:t>
      </w:r>
      <w:r w:rsidRPr="00B56698">
        <w:rPr>
          <w:rFonts w:ascii="Arial Narrow" w:hAnsi="Arial Narrow"/>
          <w:sz w:val="24"/>
          <w:szCs w:val="24"/>
        </w:rPr>
        <w:t>) del Decreto 188/2013, de 9 de abril, por el que se establece la estructura orgánica y funcional del Departamento de Administración Pública y Justicia.</w:t>
      </w:r>
    </w:p>
    <w:p w:rsidR="002376CD" w:rsidRPr="00B56698" w:rsidRDefault="002376CD" w:rsidP="003E4DB9">
      <w:pPr>
        <w:spacing w:after="0" w:line="360" w:lineRule="auto"/>
        <w:ind w:firstLine="567"/>
        <w:jc w:val="both"/>
        <w:rPr>
          <w:rFonts w:ascii="Arial Narrow" w:hAnsi="Arial Narrow"/>
          <w:sz w:val="24"/>
          <w:szCs w:val="24"/>
        </w:rPr>
      </w:pPr>
    </w:p>
    <w:p w:rsidR="003E4DB9" w:rsidRPr="00B56698" w:rsidRDefault="003E4DB9" w:rsidP="003E4DB9">
      <w:pPr>
        <w:spacing w:after="0" w:line="360" w:lineRule="auto"/>
        <w:ind w:firstLine="567"/>
        <w:jc w:val="both"/>
        <w:rPr>
          <w:rFonts w:ascii="Arial Narrow" w:hAnsi="Arial Narrow"/>
          <w:sz w:val="24"/>
          <w:szCs w:val="24"/>
        </w:rPr>
      </w:pPr>
    </w:p>
    <w:p w:rsidR="002376CD" w:rsidRPr="00B56698" w:rsidRDefault="002376CD" w:rsidP="003E4DB9">
      <w:pPr>
        <w:spacing w:after="0" w:line="360" w:lineRule="auto"/>
        <w:ind w:firstLine="567"/>
        <w:jc w:val="both"/>
        <w:rPr>
          <w:rFonts w:ascii="Arial Narrow" w:hAnsi="Arial Narrow"/>
          <w:b/>
          <w:sz w:val="24"/>
          <w:szCs w:val="24"/>
        </w:rPr>
      </w:pPr>
      <w:r w:rsidRPr="00B56698">
        <w:rPr>
          <w:rFonts w:ascii="Arial Narrow" w:hAnsi="Arial Narrow"/>
          <w:b/>
          <w:sz w:val="24"/>
          <w:szCs w:val="24"/>
        </w:rPr>
        <w:t xml:space="preserve">I.- </w:t>
      </w:r>
      <w:r w:rsidR="00AB5CCC" w:rsidRPr="00B56698">
        <w:rPr>
          <w:rFonts w:ascii="Arial Narrow" w:hAnsi="Arial Narrow"/>
          <w:b/>
          <w:sz w:val="24"/>
          <w:szCs w:val="24"/>
          <w:u w:val="single"/>
        </w:rPr>
        <w:t xml:space="preserve">ANÁLISIS </w:t>
      </w:r>
      <w:r w:rsidR="006A101D" w:rsidRPr="00B56698">
        <w:rPr>
          <w:rFonts w:ascii="Arial Narrow" w:hAnsi="Arial Narrow"/>
          <w:b/>
          <w:sz w:val="24"/>
          <w:szCs w:val="24"/>
          <w:u w:val="single"/>
        </w:rPr>
        <w:t xml:space="preserve"> DE LA MATERIA “CONTAMINACIÓN ELECTROMAGNÉTICA” </w:t>
      </w:r>
    </w:p>
    <w:p w:rsidR="002376CD" w:rsidRPr="00B56698" w:rsidRDefault="002376CD" w:rsidP="003E4DB9">
      <w:pPr>
        <w:spacing w:after="0" w:line="360" w:lineRule="auto"/>
        <w:ind w:firstLine="567"/>
        <w:jc w:val="both"/>
        <w:rPr>
          <w:rFonts w:ascii="Arial Narrow" w:hAnsi="Arial Narrow"/>
          <w:sz w:val="24"/>
          <w:szCs w:val="24"/>
        </w:rPr>
      </w:pPr>
    </w:p>
    <w:p w:rsidR="0075358E" w:rsidRDefault="0082304E" w:rsidP="003066B5">
      <w:pPr>
        <w:spacing w:after="0" w:line="360" w:lineRule="auto"/>
        <w:ind w:firstLine="567"/>
        <w:jc w:val="both"/>
        <w:rPr>
          <w:rFonts w:ascii="Arial Narrow" w:hAnsi="Arial Narrow"/>
          <w:sz w:val="24"/>
          <w:szCs w:val="24"/>
        </w:rPr>
      </w:pPr>
      <w:r>
        <w:rPr>
          <w:rFonts w:ascii="Arial Narrow" w:hAnsi="Arial Narrow"/>
          <w:sz w:val="24"/>
          <w:szCs w:val="24"/>
        </w:rPr>
        <w:t>El análisis de la atribución competencial departamental del área de actuación relativa a la contaminación electromagnética debe ser adecuadamente contextualizado a tenor</w:t>
      </w:r>
      <w:r w:rsidR="00112892">
        <w:rPr>
          <w:rFonts w:ascii="Arial Narrow" w:hAnsi="Arial Narrow"/>
          <w:sz w:val="24"/>
          <w:szCs w:val="24"/>
        </w:rPr>
        <w:t xml:space="preserve"> </w:t>
      </w:r>
      <w:r>
        <w:rPr>
          <w:rFonts w:ascii="Arial Narrow" w:hAnsi="Arial Narrow"/>
          <w:sz w:val="24"/>
          <w:szCs w:val="24"/>
        </w:rPr>
        <w:t xml:space="preserve">de la finalidad a la que sirve. </w:t>
      </w:r>
    </w:p>
    <w:p w:rsidR="0075358E" w:rsidRDefault="0075358E" w:rsidP="003066B5">
      <w:pPr>
        <w:spacing w:after="0" w:line="360" w:lineRule="auto"/>
        <w:ind w:firstLine="567"/>
        <w:jc w:val="both"/>
        <w:rPr>
          <w:rFonts w:ascii="Arial Narrow" w:hAnsi="Arial Narrow"/>
          <w:sz w:val="24"/>
          <w:szCs w:val="24"/>
        </w:rPr>
      </w:pPr>
    </w:p>
    <w:p w:rsidR="0075358E" w:rsidRDefault="0075358E" w:rsidP="003066B5">
      <w:pPr>
        <w:spacing w:after="0" w:line="360" w:lineRule="auto"/>
        <w:ind w:firstLine="567"/>
        <w:jc w:val="both"/>
        <w:rPr>
          <w:rFonts w:ascii="Arial Narrow" w:hAnsi="Arial Narrow"/>
          <w:sz w:val="24"/>
          <w:szCs w:val="24"/>
        </w:rPr>
      </w:pPr>
      <w:r>
        <w:rPr>
          <w:rFonts w:ascii="Arial Narrow" w:hAnsi="Arial Narrow"/>
          <w:sz w:val="24"/>
          <w:szCs w:val="24"/>
        </w:rPr>
        <w:t xml:space="preserve">El análisis circunstanciado que desde aquí se propone condiciona los presupuestos que sirven de base al informe jurídico y, también, </w:t>
      </w:r>
      <w:r w:rsidR="0095116C">
        <w:rPr>
          <w:rFonts w:ascii="Arial Narrow" w:hAnsi="Arial Narrow"/>
          <w:sz w:val="24"/>
          <w:szCs w:val="24"/>
        </w:rPr>
        <w:t xml:space="preserve">a </w:t>
      </w:r>
      <w:r>
        <w:rPr>
          <w:rFonts w:ascii="Arial Narrow" w:hAnsi="Arial Narrow"/>
          <w:sz w:val="24"/>
          <w:szCs w:val="24"/>
        </w:rPr>
        <w:t>su alcance. En este sentido, no es baladí apuntar que</w:t>
      </w:r>
      <w:r w:rsidR="0082304E">
        <w:rPr>
          <w:rFonts w:ascii="Arial Narrow" w:hAnsi="Arial Narrow"/>
          <w:sz w:val="24"/>
          <w:szCs w:val="24"/>
        </w:rPr>
        <w:t xml:space="preserve"> </w:t>
      </w:r>
      <w:r w:rsidR="003066B5" w:rsidRPr="00B56698">
        <w:rPr>
          <w:rFonts w:ascii="Arial Narrow" w:hAnsi="Arial Narrow"/>
          <w:sz w:val="24"/>
          <w:szCs w:val="24"/>
        </w:rPr>
        <w:t>l</w:t>
      </w:r>
      <w:r w:rsidR="00F06D96" w:rsidRPr="00B56698">
        <w:rPr>
          <w:rFonts w:ascii="Arial Narrow" w:hAnsi="Arial Narrow"/>
          <w:sz w:val="24"/>
          <w:szCs w:val="24"/>
        </w:rPr>
        <w:t xml:space="preserve">a solicitud </w:t>
      </w:r>
      <w:r w:rsidR="0082304E">
        <w:rPr>
          <w:rFonts w:ascii="Arial Narrow" w:hAnsi="Arial Narrow"/>
          <w:sz w:val="24"/>
          <w:szCs w:val="24"/>
        </w:rPr>
        <w:t xml:space="preserve">de informe jurídico formulada por </w:t>
      </w:r>
      <w:r w:rsidR="006A101D" w:rsidRPr="00B56698">
        <w:rPr>
          <w:rFonts w:ascii="Arial Narrow" w:hAnsi="Arial Narrow"/>
          <w:sz w:val="24"/>
          <w:szCs w:val="24"/>
        </w:rPr>
        <w:t>el Director de la Secretaría del Gobierno y de Relaciones con el Parlamento</w:t>
      </w:r>
      <w:r w:rsidR="003066B5" w:rsidRPr="00B56698">
        <w:rPr>
          <w:rFonts w:ascii="Arial Narrow" w:hAnsi="Arial Narrow"/>
          <w:sz w:val="24"/>
          <w:szCs w:val="24"/>
        </w:rPr>
        <w:t xml:space="preserve"> se presenta huérfana de justificación en relación con el </w:t>
      </w:r>
      <w:r w:rsidR="0082304E">
        <w:rPr>
          <w:rFonts w:ascii="Arial Narrow" w:hAnsi="Arial Narrow"/>
          <w:sz w:val="24"/>
          <w:szCs w:val="24"/>
        </w:rPr>
        <w:t xml:space="preserve">objetivo al que se dirige, </w:t>
      </w:r>
      <w:r>
        <w:rPr>
          <w:rFonts w:ascii="Arial Narrow" w:hAnsi="Arial Narrow"/>
          <w:sz w:val="24"/>
          <w:szCs w:val="24"/>
        </w:rPr>
        <w:t xml:space="preserve">obligando a un ejercicio de presunciones que dote de virtualidad a la consulta. </w:t>
      </w:r>
    </w:p>
    <w:p w:rsidR="0075358E" w:rsidRDefault="0075358E" w:rsidP="003066B5">
      <w:pPr>
        <w:spacing w:after="0" w:line="360" w:lineRule="auto"/>
        <w:ind w:firstLine="567"/>
        <w:jc w:val="both"/>
        <w:rPr>
          <w:rFonts w:ascii="Arial Narrow" w:hAnsi="Arial Narrow"/>
          <w:sz w:val="24"/>
          <w:szCs w:val="24"/>
        </w:rPr>
      </w:pPr>
    </w:p>
    <w:p w:rsidR="003066B5" w:rsidRDefault="0075358E" w:rsidP="003066B5">
      <w:pPr>
        <w:spacing w:after="0" w:line="360" w:lineRule="auto"/>
        <w:ind w:firstLine="567"/>
        <w:jc w:val="both"/>
        <w:rPr>
          <w:rFonts w:ascii="Arial Narrow" w:hAnsi="Arial Narrow"/>
          <w:sz w:val="24"/>
          <w:szCs w:val="24"/>
        </w:rPr>
      </w:pPr>
      <w:r>
        <w:rPr>
          <w:rFonts w:ascii="Arial Narrow" w:hAnsi="Arial Narrow"/>
          <w:sz w:val="24"/>
          <w:szCs w:val="24"/>
        </w:rPr>
        <w:t xml:space="preserve">Se ha considerado, así, que la determinación de la </w:t>
      </w:r>
      <w:r w:rsidRPr="0075358E">
        <w:rPr>
          <w:rFonts w:ascii="Arial Narrow" w:hAnsi="Arial Narrow"/>
          <w:sz w:val="24"/>
          <w:szCs w:val="24"/>
        </w:rPr>
        <w:t xml:space="preserve">atribución competencial departamental del área de actuación relativa a la contaminación electromagnética </w:t>
      </w:r>
      <w:r>
        <w:rPr>
          <w:rFonts w:ascii="Arial Narrow" w:hAnsi="Arial Narrow"/>
          <w:sz w:val="24"/>
          <w:szCs w:val="24"/>
        </w:rPr>
        <w:t>a</w:t>
      </w:r>
      <w:r w:rsidR="003066B5" w:rsidRPr="00B56698">
        <w:rPr>
          <w:rFonts w:ascii="Arial Narrow" w:hAnsi="Arial Narrow"/>
          <w:sz w:val="24"/>
          <w:szCs w:val="24"/>
        </w:rPr>
        <w:t xml:space="preserve">siste al </w:t>
      </w:r>
      <w:r w:rsidR="00F06D96" w:rsidRPr="00B56698">
        <w:rPr>
          <w:rFonts w:ascii="Arial Narrow" w:hAnsi="Arial Narrow"/>
          <w:sz w:val="24"/>
          <w:szCs w:val="24"/>
        </w:rPr>
        <w:t xml:space="preserve">adecuado ejercicio de las funciones que atribuye </w:t>
      </w:r>
      <w:r>
        <w:rPr>
          <w:rFonts w:ascii="Arial Narrow" w:hAnsi="Arial Narrow"/>
          <w:sz w:val="24"/>
          <w:szCs w:val="24"/>
        </w:rPr>
        <w:t xml:space="preserve">al solicitante </w:t>
      </w:r>
      <w:r w:rsidR="00F06D96" w:rsidRPr="00B56698">
        <w:rPr>
          <w:rFonts w:ascii="Arial Narrow" w:hAnsi="Arial Narrow"/>
          <w:sz w:val="24"/>
          <w:szCs w:val="24"/>
        </w:rPr>
        <w:t>el artículo 9.1.2 a) y d) del citado Decreto 188/2013,</w:t>
      </w:r>
      <w:r w:rsidR="003066B5" w:rsidRPr="00B56698">
        <w:rPr>
          <w:rFonts w:ascii="Arial Narrow" w:hAnsi="Arial Narrow"/>
          <w:sz w:val="24"/>
          <w:szCs w:val="24"/>
        </w:rPr>
        <w:t xml:space="preserve"> en tanto </w:t>
      </w:r>
      <w:r w:rsidR="00AB5CCC" w:rsidRPr="00B56698">
        <w:rPr>
          <w:rFonts w:ascii="Arial Narrow" w:hAnsi="Arial Narrow"/>
          <w:sz w:val="24"/>
          <w:szCs w:val="24"/>
        </w:rPr>
        <w:t xml:space="preserve">corresponde </w:t>
      </w:r>
      <w:r w:rsidR="003066B5" w:rsidRPr="00B56698">
        <w:rPr>
          <w:rFonts w:ascii="Arial Narrow" w:hAnsi="Arial Narrow"/>
          <w:sz w:val="24"/>
          <w:szCs w:val="24"/>
        </w:rPr>
        <w:t xml:space="preserve">a aquella Dirección recabar de los órganos competentes de la Administración la información pertinente vinculada a las iniciativas parlamentarias y a su toma en consideración. </w:t>
      </w:r>
      <w:r w:rsidR="0095116C">
        <w:rPr>
          <w:rFonts w:ascii="Arial Narrow" w:hAnsi="Arial Narrow"/>
          <w:sz w:val="24"/>
          <w:szCs w:val="24"/>
        </w:rPr>
        <w:t>Este será el contexto en el que se realizará el análisis que a continuación</w:t>
      </w:r>
      <w:r w:rsidR="0095116C" w:rsidRPr="0095116C">
        <w:rPr>
          <w:rFonts w:ascii="Arial Narrow" w:hAnsi="Arial Narrow"/>
          <w:sz w:val="24"/>
          <w:szCs w:val="24"/>
        </w:rPr>
        <w:t xml:space="preserve"> </w:t>
      </w:r>
      <w:r w:rsidR="0095116C">
        <w:rPr>
          <w:rFonts w:ascii="Arial Narrow" w:hAnsi="Arial Narrow"/>
          <w:sz w:val="24"/>
          <w:szCs w:val="24"/>
        </w:rPr>
        <w:t>se expone.</w:t>
      </w:r>
    </w:p>
    <w:p w:rsidR="00112892" w:rsidRDefault="00112892" w:rsidP="003066B5">
      <w:pPr>
        <w:spacing w:after="0" w:line="360" w:lineRule="auto"/>
        <w:ind w:firstLine="567"/>
        <w:jc w:val="both"/>
        <w:rPr>
          <w:rFonts w:ascii="Arial Narrow" w:hAnsi="Arial Narrow"/>
          <w:sz w:val="24"/>
          <w:szCs w:val="24"/>
        </w:rPr>
      </w:pPr>
    </w:p>
    <w:p w:rsidR="004D10CB" w:rsidRDefault="00236537"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La “contaminación electromagnética” no aparece identificada en nuestro ordenamiento como título competencial</w:t>
      </w:r>
      <w:r w:rsidR="00046C23" w:rsidRPr="00B56698">
        <w:rPr>
          <w:rFonts w:ascii="Arial Narrow" w:hAnsi="Arial Narrow"/>
          <w:sz w:val="24"/>
          <w:szCs w:val="24"/>
        </w:rPr>
        <w:t xml:space="preserve"> autónomo</w:t>
      </w:r>
      <w:r w:rsidR="00112892">
        <w:rPr>
          <w:rFonts w:ascii="Arial Narrow" w:hAnsi="Arial Narrow"/>
          <w:sz w:val="24"/>
          <w:szCs w:val="24"/>
        </w:rPr>
        <w:t xml:space="preserve"> -</w:t>
      </w:r>
      <w:r w:rsidRPr="00B56698">
        <w:rPr>
          <w:rFonts w:ascii="Arial Narrow" w:hAnsi="Arial Narrow"/>
          <w:sz w:val="24"/>
          <w:szCs w:val="24"/>
        </w:rPr>
        <w:t>sectorial</w:t>
      </w:r>
      <w:r w:rsidR="00FD0498" w:rsidRPr="00B56698">
        <w:rPr>
          <w:rFonts w:ascii="Arial Narrow" w:hAnsi="Arial Narrow"/>
          <w:sz w:val="24"/>
          <w:szCs w:val="24"/>
        </w:rPr>
        <w:t>,</w:t>
      </w:r>
      <w:r w:rsidRPr="00B56698">
        <w:rPr>
          <w:rFonts w:ascii="Arial Narrow" w:hAnsi="Arial Narrow"/>
          <w:sz w:val="24"/>
          <w:szCs w:val="24"/>
        </w:rPr>
        <w:t xml:space="preserve"> trasversal</w:t>
      </w:r>
      <w:r w:rsidR="00FB0A6B">
        <w:rPr>
          <w:rFonts w:ascii="Arial Narrow" w:hAnsi="Arial Narrow"/>
          <w:sz w:val="24"/>
          <w:szCs w:val="24"/>
        </w:rPr>
        <w:t xml:space="preserve"> u</w:t>
      </w:r>
      <w:r w:rsidR="00046C23" w:rsidRPr="00B56698">
        <w:rPr>
          <w:rFonts w:ascii="Arial Narrow" w:hAnsi="Arial Narrow"/>
          <w:sz w:val="24"/>
          <w:szCs w:val="24"/>
        </w:rPr>
        <w:t xml:space="preserve"> </w:t>
      </w:r>
      <w:r w:rsidRPr="00B56698">
        <w:rPr>
          <w:rFonts w:ascii="Arial Narrow" w:hAnsi="Arial Narrow"/>
          <w:sz w:val="24"/>
          <w:szCs w:val="24"/>
        </w:rPr>
        <w:t>horizontal</w:t>
      </w:r>
      <w:r w:rsidR="00112892">
        <w:rPr>
          <w:rFonts w:ascii="Arial Narrow" w:hAnsi="Arial Narrow"/>
          <w:sz w:val="24"/>
          <w:szCs w:val="24"/>
        </w:rPr>
        <w:t>-</w:t>
      </w:r>
      <w:r w:rsidRPr="00B56698">
        <w:rPr>
          <w:rFonts w:ascii="Arial Narrow" w:hAnsi="Arial Narrow"/>
          <w:sz w:val="24"/>
          <w:szCs w:val="24"/>
        </w:rPr>
        <w:t xml:space="preserve">, </w:t>
      </w:r>
      <w:r w:rsidR="00FF6DC7" w:rsidRPr="00B56698">
        <w:rPr>
          <w:rFonts w:ascii="Arial Narrow" w:hAnsi="Arial Narrow"/>
          <w:sz w:val="24"/>
          <w:szCs w:val="24"/>
        </w:rPr>
        <w:t>que permita su identificación con una concreta materia</w:t>
      </w:r>
      <w:r w:rsidR="00FD0498" w:rsidRPr="00B56698">
        <w:rPr>
          <w:rFonts w:ascii="Arial Narrow" w:hAnsi="Arial Narrow"/>
          <w:sz w:val="24"/>
          <w:szCs w:val="24"/>
        </w:rPr>
        <w:t xml:space="preserve"> y, por ende, con un</w:t>
      </w:r>
      <w:r w:rsidR="004D10CB" w:rsidRPr="00B56698">
        <w:rPr>
          <w:rFonts w:ascii="Arial Narrow" w:hAnsi="Arial Narrow"/>
          <w:sz w:val="24"/>
          <w:szCs w:val="24"/>
        </w:rPr>
        <w:t xml:space="preserve"> </w:t>
      </w:r>
      <w:r w:rsidR="00FD0498" w:rsidRPr="00B56698">
        <w:rPr>
          <w:rFonts w:ascii="Arial Narrow" w:hAnsi="Arial Narrow"/>
          <w:sz w:val="24"/>
          <w:szCs w:val="24"/>
        </w:rPr>
        <w:t>área de actuación</w:t>
      </w:r>
      <w:r w:rsidR="004D10CB" w:rsidRPr="00B56698">
        <w:rPr>
          <w:rFonts w:ascii="Arial Narrow" w:hAnsi="Arial Narrow"/>
          <w:sz w:val="24"/>
          <w:szCs w:val="24"/>
        </w:rPr>
        <w:t xml:space="preserve"> que se </w:t>
      </w:r>
      <w:r w:rsidR="00112892">
        <w:rPr>
          <w:rFonts w:ascii="Arial Narrow" w:hAnsi="Arial Narrow"/>
          <w:sz w:val="24"/>
          <w:szCs w:val="24"/>
        </w:rPr>
        <w:t>reconozca</w:t>
      </w:r>
      <w:r w:rsidR="004D10CB" w:rsidRPr="00B56698">
        <w:rPr>
          <w:rFonts w:ascii="Arial Narrow" w:hAnsi="Arial Narrow"/>
          <w:sz w:val="24"/>
          <w:szCs w:val="24"/>
        </w:rPr>
        <w:t xml:space="preserve"> </w:t>
      </w:r>
      <w:r w:rsidR="00046C23" w:rsidRPr="00B56698">
        <w:rPr>
          <w:rFonts w:ascii="Arial Narrow" w:hAnsi="Arial Narrow"/>
          <w:sz w:val="24"/>
          <w:szCs w:val="24"/>
        </w:rPr>
        <w:t xml:space="preserve">con el quehacer de </w:t>
      </w:r>
      <w:r w:rsidR="004D10CB" w:rsidRPr="00B56698">
        <w:rPr>
          <w:rFonts w:ascii="Arial Narrow" w:hAnsi="Arial Narrow"/>
          <w:sz w:val="24"/>
          <w:szCs w:val="24"/>
        </w:rPr>
        <w:t>un Departamento</w:t>
      </w:r>
      <w:r w:rsidR="00112892">
        <w:rPr>
          <w:rFonts w:ascii="Arial Narrow" w:hAnsi="Arial Narrow"/>
          <w:sz w:val="24"/>
          <w:szCs w:val="24"/>
        </w:rPr>
        <w:t xml:space="preserve"> del Gobierno</w:t>
      </w:r>
      <w:r w:rsidR="00FF6DC7" w:rsidRPr="00B56698">
        <w:rPr>
          <w:rFonts w:ascii="Arial Narrow" w:hAnsi="Arial Narrow"/>
          <w:sz w:val="24"/>
          <w:szCs w:val="24"/>
        </w:rPr>
        <w:t xml:space="preserve">. </w:t>
      </w:r>
    </w:p>
    <w:p w:rsidR="00983D64" w:rsidRDefault="00983D64" w:rsidP="003066B5">
      <w:pPr>
        <w:spacing w:after="0" w:line="360" w:lineRule="auto"/>
        <w:ind w:firstLine="567"/>
        <w:jc w:val="both"/>
        <w:rPr>
          <w:rFonts w:ascii="Arial Narrow" w:hAnsi="Arial Narrow"/>
          <w:sz w:val="24"/>
          <w:szCs w:val="24"/>
        </w:rPr>
      </w:pPr>
    </w:p>
    <w:p w:rsidR="00FB0A6B" w:rsidRDefault="00983D64" w:rsidP="003066B5">
      <w:pPr>
        <w:spacing w:after="0" w:line="360" w:lineRule="auto"/>
        <w:ind w:firstLine="567"/>
        <w:jc w:val="both"/>
        <w:rPr>
          <w:rFonts w:ascii="Arial Narrow" w:hAnsi="Arial Narrow"/>
          <w:sz w:val="24"/>
          <w:szCs w:val="24"/>
        </w:rPr>
      </w:pPr>
      <w:r>
        <w:rPr>
          <w:rFonts w:ascii="Arial Narrow" w:hAnsi="Arial Narrow"/>
          <w:sz w:val="24"/>
          <w:szCs w:val="24"/>
        </w:rPr>
        <w:t>La “contaminación electromagnética“</w:t>
      </w:r>
      <w:r w:rsidR="00CE4D10">
        <w:rPr>
          <w:rFonts w:ascii="Arial Narrow" w:hAnsi="Arial Narrow"/>
          <w:sz w:val="24"/>
          <w:szCs w:val="24"/>
        </w:rPr>
        <w:t xml:space="preserve"> </w:t>
      </w:r>
      <w:r>
        <w:rPr>
          <w:rFonts w:ascii="Arial Narrow" w:hAnsi="Arial Narrow"/>
          <w:sz w:val="24"/>
          <w:szCs w:val="24"/>
        </w:rPr>
        <w:t>es aquella que se produce por las radiaciones del espectro electromagnético generadas por tendidos eléctricos de alta tensión, centros de transformación, estaciones base de telefonía móvil, redes inalámbricas locales</w:t>
      </w:r>
      <w:r w:rsidR="00CE4D10">
        <w:rPr>
          <w:rFonts w:ascii="Arial Narrow" w:hAnsi="Arial Narrow"/>
          <w:sz w:val="24"/>
          <w:szCs w:val="24"/>
        </w:rPr>
        <w:t xml:space="preserve"> y aparece </w:t>
      </w:r>
      <w:r w:rsidR="00FF6DC7" w:rsidRPr="00B56698">
        <w:rPr>
          <w:rFonts w:ascii="Arial Narrow" w:hAnsi="Arial Narrow"/>
          <w:sz w:val="24"/>
          <w:szCs w:val="24"/>
        </w:rPr>
        <w:t>vincula</w:t>
      </w:r>
      <w:r w:rsidR="00CE4D10">
        <w:rPr>
          <w:rFonts w:ascii="Arial Narrow" w:hAnsi="Arial Narrow"/>
          <w:sz w:val="24"/>
          <w:szCs w:val="24"/>
        </w:rPr>
        <w:t>da</w:t>
      </w:r>
      <w:r w:rsidR="00FF6DC7" w:rsidRPr="00B56698">
        <w:rPr>
          <w:rFonts w:ascii="Arial Narrow" w:hAnsi="Arial Narrow"/>
          <w:sz w:val="24"/>
          <w:szCs w:val="24"/>
        </w:rPr>
        <w:t xml:space="preserve"> </w:t>
      </w:r>
      <w:r w:rsidR="00CE4D10">
        <w:rPr>
          <w:rFonts w:ascii="Arial Narrow" w:hAnsi="Arial Narrow"/>
          <w:sz w:val="24"/>
          <w:szCs w:val="24"/>
        </w:rPr>
        <w:t>a</w:t>
      </w:r>
      <w:r w:rsidR="00FF6DC7" w:rsidRPr="00B56698">
        <w:rPr>
          <w:rFonts w:ascii="Arial Narrow" w:hAnsi="Arial Narrow"/>
          <w:sz w:val="24"/>
          <w:szCs w:val="24"/>
        </w:rPr>
        <w:t xml:space="preserve"> una pluralidad de espacios competenciales que guardan relación más o menos directa</w:t>
      </w:r>
      <w:r w:rsidR="00FB0A6B">
        <w:rPr>
          <w:rFonts w:ascii="Arial Narrow" w:hAnsi="Arial Narrow"/>
          <w:sz w:val="24"/>
          <w:szCs w:val="24"/>
        </w:rPr>
        <w:t>,</w:t>
      </w:r>
      <w:r w:rsidR="00FF6DC7" w:rsidRPr="00B56698">
        <w:rPr>
          <w:rFonts w:ascii="Arial Narrow" w:hAnsi="Arial Narrow"/>
          <w:sz w:val="24"/>
          <w:szCs w:val="24"/>
        </w:rPr>
        <w:t xml:space="preserve"> </w:t>
      </w:r>
      <w:r w:rsidR="004D10CB" w:rsidRPr="00B56698">
        <w:rPr>
          <w:rFonts w:ascii="Arial Narrow" w:hAnsi="Arial Narrow"/>
          <w:sz w:val="24"/>
          <w:szCs w:val="24"/>
        </w:rPr>
        <w:t>también</w:t>
      </w:r>
      <w:r w:rsidR="00FB0A6B">
        <w:rPr>
          <w:rFonts w:ascii="Arial Narrow" w:hAnsi="Arial Narrow"/>
          <w:sz w:val="24"/>
          <w:szCs w:val="24"/>
        </w:rPr>
        <w:t>,</w:t>
      </w:r>
      <w:r w:rsidR="004D10CB" w:rsidRPr="00B56698">
        <w:rPr>
          <w:rFonts w:ascii="Arial Narrow" w:hAnsi="Arial Narrow"/>
          <w:sz w:val="24"/>
          <w:szCs w:val="24"/>
        </w:rPr>
        <w:t xml:space="preserve"> </w:t>
      </w:r>
      <w:r w:rsidR="00FD0498" w:rsidRPr="00B56698">
        <w:rPr>
          <w:rFonts w:ascii="Arial Narrow" w:hAnsi="Arial Narrow"/>
          <w:sz w:val="24"/>
          <w:szCs w:val="24"/>
        </w:rPr>
        <w:t>con una pluralidad de materia</w:t>
      </w:r>
      <w:r w:rsidR="00CE4D10">
        <w:rPr>
          <w:rFonts w:ascii="Arial Narrow" w:hAnsi="Arial Narrow"/>
          <w:sz w:val="24"/>
          <w:szCs w:val="24"/>
        </w:rPr>
        <w:t>s</w:t>
      </w:r>
      <w:r w:rsidR="00FB0A6B">
        <w:rPr>
          <w:rFonts w:ascii="Arial Narrow" w:hAnsi="Arial Narrow"/>
          <w:sz w:val="24"/>
          <w:szCs w:val="24"/>
        </w:rPr>
        <w:t xml:space="preserve">: </w:t>
      </w:r>
    </w:p>
    <w:p w:rsidR="00FB0A6B" w:rsidRDefault="00FB0A6B" w:rsidP="003066B5">
      <w:pPr>
        <w:spacing w:after="0" w:line="360" w:lineRule="auto"/>
        <w:ind w:firstLine="567"/>
        <w:jc w:val="both"/>
        <w:rPr>
          <w:rFonts w:ascii="Arial Narrow" w:hAnsi="Arial Narrow"/>
          <w:sz w:val="24"/>
          <w:szCs w:val="24"/>
        </w:rPr>
      </w:pPr>
    </w:p>
    <w:p w:rsidR="00FB0A6B" w:rsidRDefault="00FD0498"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(1) </w:t>
      </w:r>
      <w:r w:rsidR="004D10CB" w:rsidRPr="00B56698">
        <w:rPr>
          <w:rFonts w:ascii="Arial Narrow" w:hAnsi="Arial Narrow"/>
          <w:sz w:val="24"/>
          <w:szCs w:val="24"/>
        </w:rPr>
        <w:t xml:space="preserve">telecomunicaciones, a las que se anudan </w:t>
      </w:r>
      <w:r w:rsidRPr="00B56698">
        <w:rPr>
          <w:rFonts w:ascii="Arial Narrow" w:hAnsi="Arial Narrow"/>
          <w:sz w:val="24"/>
          <w:szCs w:val="24"/>
        </w:rPr>
        <w:t xml:space="preserve">los requerimientos exigibles a </w:t>
      </w:r>
      <w:r w:rsidR="00FF6DC7" w:rsidRPr="00B56698">
        <w:rPr>
          <w:rFonts w:ascii="Arial Narrow" w:hAnsi="Arial Narrow"/>
          <w:sz w:val="24"/>
          <w:szCs w:val="24"/>
        </w:rPr>
        <w:t>la infraestructura que emite las radiaciones del espectro radioeléctrico</w:t>
      </w:r>
      <w:r w:rsidR="00E12D07" w:rsidRPr="00B56698">
        <w:rPr>
          <w:rFonts w:ascii="Arial Narrow" w:hAnsi="Arial Narrow"/>
          <w:sz w:val="24"/>
          <w:szCs w:val="24"/>
        </w:rPr>
        <w:t>, las condiciones de prestación del servicio, de explotación de las redes, etc.</w:t>
      </w:r>
      <w:r w:rsidRPr="00B56698">
        <w:rPr>
          <w:rFonts w:ascii="Arial Narrow" w:hAnsi="Arial Narrow"/>
          <w:sz w:val="24"/>
          <w:szCs w:val="24"/>
        </w:rPr>
        <w:t xml:space="preserve">; </w:t>
      </w:r>
    </w:p>
    <w:p w:rsidR="00FB0A6B" w:rsidRDefault="00FB0A6B" w:rsidP="003066B5">
      <w:pPr>
        <w:spacing w:after="0" w:line="360" w:lineRule="auto"/>
        <w:ind w:firstLine="567"/>
        <w:jc w:val="both"/>
        <w:rPr>
          <w:rFonts w:ascii="Arial Narrow" w:hAnsi="Arial Narrow"/>
          <w:sz w:val="24"/>
          <w:szCs w:val="24"/>
        </w:rPr>
      </w:pPr>
    </w:p>
    <w:p w:rsidR="00FB0A6B" w:rsidRDefault="00FD0498"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(2) </w:t>
      </w:r>
      <w:r w:rsidR="00FF6DC7" w:rsidRPr="00B56698">
        <w:rPr>
          <w:rFonts w:ascii="Arial Narrow" w:hAnsi="Arial Narrow"/>
          <w:sz w:val="24"/>
          <w:szCs w:val="24"/>
        </w:rPr>
        <w:t xml:space="preserve"> ordenación del territorio y el urbanismo, en la medida en que la faceta de infraestructura (telecomunicaciones, eléctricas, etc.) hace preciso adoptar decisiones en torno a su adecuada localización,</w:t>
      </w:r>
      <w:r w:rsidRPr="00B56698">
        <w:rPr>
          <w:rFonts w:ascii="Arial Narrow" w:hAnsi="Arial Narrow"/>
          <w:sz w:val="24"/>
          <w:szCs w:val="24"/>
        </w:rPr>
        <w:t xml:space="preserve"> ya sea urbana o rural; </w:t>
      </w:r>
    </w:p>
    <w:p w:rsidR="00FB0A6B" w:rsidRDefault="00FB0A6B" w:rsidP="003066B5">
      <w:pPr>
        <w:spacing w:after="0" w:line="360" w:lineRule="auto"/>
        <w:ind w:firstLine="567"/>
        <w:jc w:val="both"/>
        <w:rPr>
          <w:rFonts w:ascii="Arial Narrow" w:hAnsi="Arial Narrow"/>
          <w:sz w:val="24"/>
          <w:szCs w:val="24"/>
        </w:rPr>
      </w:pPr>
    </w:p>
    <w:p w:rsidR="00FB0A6B" w:rsidRDefault="00FD0498"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(3) protección del medio ambiente y del paisaje, tanto por la localización de las emisiones como por los efectos biológicos potencialmente nocivos para personas, animales y plantas que derivan de las mismas; </w:t>
      </w:r>
    </w:p>
    <w:p w:rsidR="00FB0A6B" w:rsidRDefault="00FB0A6B" w:rsidP="003066B5">
      <w:pPr>
        <w:spacing w:after="0" w:line="360" w:lineRule="auto"/>
        <w:ind w:firstLine="567"/>
        <w:jc w:val="both"/>
        <w:rPr>
          <w:rFonts w:ascii="Arial Narrow" w:hAnsi="Arial Narrow"/>
          <w:sz w:val="24"/>
          <w:szCs w:val="24"/>
        </w:rPr>
      </w:pPr>
    </w:p>
    <w:p w:rsidR="00FD0498" w:rsidRPr="00B56698" w:rsidRDefault="00FD0498" w:rsidP="003066B5">
      <w:pPr>
        <w:spacing w:after="0" w:line="360" w:lineRule="auto"/>
        <w:ind w:firstLine="567"/>
        <w:jc w:val="both"/>
        <w:rPr>
          <w:rFonts w:ascii="Arial Narrow" w:hAnsi="Arial Narrow"/>
          <w:sz w:val="24"/>
          <w:szCs w:val="24"/>
        </w:rPr>
      </w:pPr>
      <w:r w:rsidRPr="00B56698">
        <w:rPr>
          <w:rFonts w:ascii="Arial Narrow" w:hAnsi="Arial Narrow"/>
          <w:sz w:val="24"/>
          <w:szCs w:val="24"/>
        </w:rPr>
        <w:lastRenderedPageBreak/>
        <w:t>(4) protección de la salud, en tanto la exposición a campos electromagnéticos puede tener una incidencia sobre la salud que exig</w:t>
      </w:r>
      <w:r w:rsidR="004D10CB" w:rsidRPr="00B56698">
        <w:rPr>
          <w:rFonts w:ascii="Arial Narrow" w:hAnsi="Arial Narrow"/>
          <w:sz w:val="24"/>
          <w:szCs w:val="24"/>
        </w:rPr>
        <w:t>e</w:t>
      </w:r>
      <w:r w:rsidRPr="00B56698">
        <w:rPr>
          <w:rFonts w:ascii="Arial Narrow" w:hAnsi="Arial Narrow"/>
          <w:sz w:val="24"/>
          <w:szCs w:val="24"/>
        </w:rPr>
        <w:t xml:space="preserve"> medidas de protección sa</w:t>
      </w:r>
      <w:r w:rsidR="004D10CB" w:rsidRPr="00B56698">
        <w:rPr>
          <w:rFonts w:ascii="Arial Narrow" w:hAnsi="Arial Narrow"/>
          <w:sz w:val="24"/>
          <w:szCs w:val="24"/>
        </w:rPr>
        <w:t>nitaria.</w:t>
      </w:r>
      <w:r w:rsidRPr="00B56698">
        <w:rPr>
          <w:rFonts w:ascii="Arial Narrow" w:hAnsi="Arial Narrow"/>
          <w:sz w:val="24"/>
          <w:szCs w:val="24"/>
        </w:rPr>
        <w:t xml:space="preserve">    </w:t>
      </w:r>
    </w:p>
    <w:p w:rsidR="00FD0498" w:rsidRPr="00B56698" w:rsidRDefault="00FD0498" w:rsidP="003066B5">
      <w:pPr>
        <w:spacing w:after="0" w:line="360" w:lineRule="auto"/>
        <w:ind w:firstLine="567"/>
        <w:jc w:val="both"/>
        <w:rPr>
          <w:rFonts w:ascii="Arial Narrow" w:hAnsi="Arial Narrow"/>
          <w:sz w:val="24"/>
          <w:szCs w:val="24"/>
        </w:rPr>
      </w:pPr>
    </w:p>
    <w:p w:rsidR="00C63866" w:rsidRPr="00B56698" w:rsidRDefault="00C63866"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Un </w:t>
      </w:r>
      <w:r w:rsidR="004D10CB" w:rsidRPr="00B56698">
        <w:rPr>
          <w:rFonts w:ascii="Arial Narrow" w:hAnsi="Arial Narrow"/>
          <w:sz w:val="24"/>
          <w:szCs w:val="24"/>
        </w:rPr>
        <w:t xml:space="preserve">entrecruzamiento competencial </w:t>
      </w:r>
      <w:r w:rsidRPr="00B56698">
        <w:rPr>
          <w:rFonts w:ascii="Arial Narrow" w:hAnsi="Arial Narrow"/>
          <w:sz w:val="24"/>
          <w:szCs w:val="24"/>
        </w:rPr>
        <w:t>evidente</w:t>
      </w:r>
      <w:r w:rsidR="004D10CB" w:rsidRPr="00B56698">
        <w:rPr>
          <w:rFonts w:ascii="Arial Narrow" w:hAnsi="Arial Narrow"/>
          <w:sz w:val="24"/>
          <w:szCs w:val="24"/>
        </w:rPr>
        <w:t xml:space="preserve"> </w:t>
      </w:r>
      <w:r w:rsidRPr="00B56698">
        <w:rPr>
          <w:rFonts w:ascii="Arial Narrow" w:hAnsi="Arial Narrow"/>
          <w:sz w:val="24"/>
          <w:szCs w:val="24"/>
        </w:rPr>
        <w:t xml:space="preserve">que </w:t>
      </w:r>
      <w:r w:rsidR="004D10CB" w:rsidRPr="00B56698">
        <w:rPr>
          <w:rFonts w:ascii="Arial Narrow" w:hAnsi="Arial Narrow"/>
          <w:sz w:val="24"/>
          <w:szCs w:val="24"/>
        </w:rPr>
        <w:t xml:space="preserve">impide </w:t>
      </w:r>
      <w:r w:rsidR="00DF56B8" w:rsidRPr="00B56698">
        <w:rPr>
          <w:rFonts w:ascii="Arial Narrow" w:hAnsi="Arial Narrow"/>
          <w:sz w:val="24"/>
          <w:szCs w:val="24"/>
        </w:rPr>
        <w:t xml:space="preserve">dictaminar </w:t>
      </w:r>
      <w:r w:rsidR="004D10CB" w:rsidRPr="00B56698">
        <w:rPr>
          <w:rFonts w:ascii="Arial Narrow" w:hAnsi="Arial Narrow"/>
          <w:sz w:val="24"/>
          <w:szCs w:val="24"/>
        </w:rPr>
        <w:t xml:space="preserve">el área de acción que corresponde a la “contaminación electromagnética” con </w:t>
      </w:r>
      <w:r w:rsidR="00FB0A6B">
        <w:rPr>
          <w:rFonts w:ascii="Arial Narrow" w:hAnsi="Arial Narrow"/>
          <w:sz w:val="24"/>
          <w:szCs w:val="24"/>
        </w:rPr>
        <w:t xml:space="preserve">la generalidad con la </w:t>
      </w:r>
      <w:r w:rsidR="004D10CB" w:rsidRPr="00B56698">
        <w:rPr>
          <w:rFonts w:ascii="Arial Narrow" w:hAnsi="Arial Narrow"/>
          <w:sz w:val="24"/>
          <w:szCs w:val="24"/>
        </w:rPr>
        <w:t>que parece demandarse en la solicitud</w:t>
      </w:r>
      <w:r w:rsidR="00FB0A6B">
        <w:rPr>
          <w:rFonts w:ascii="Arial Narrow" w:hAnsi="Arial Narrow"/>
          <w:sz w:val="24"/>
          <w:szCs w:val="24"/>
        </w:rPr>
        <w:t xml:space="preserve"> de la Dirección de </w:t>
      </w:r>
      <w:r w:rsidR="00FB0A6B" w:rsidRPr="00FB0A6B">
        <w:rPr>
          <w:rFonts w:ascii="Arial Narrow" w:hAnsi="Arial Narrow"/>
          <w:sz w:val="24"/>
          <w:szCs w:val="24"/>
        </w:rPr>
        <w:t>la Secretaría del Gobierno y de Relaciones con el Parlamento</w:t>
      </w:r>
      <w:r w:rsidR="004D10CB" w:rsidRPr="00B56698">
        <w:rPr>
          <w:rFonts w:ascii="Arial Narrow" w:hAnsi="Arial Narrow"/>
          <w:sz w:val="24"/>
          <w:szCs w:val="24"/>
        </w:rPr>
        <w:t xml:space="preserve">. </w:t>
      </w:r>
    </w:p>
    <w:p w:rsidR="00C63866" w:rsidRPr="00B56698" w:rsidRDefault="00C63866" w:rsidP="003066B5">
      <w:pPr>
        <w:spacing w:after="0" w:line="360" w:lineRule="auto"/>
        <w:ind w:firstLine="567"/>
        <w:jc w:val="both"/>
        <w:rPr>
          <w:rFonts w:ascii="Arial Narrow" w:hAnsi="Arial Narrow"/>
          <w:sz w:val="24"/>
          <w:szCs w:val="24"/>
        </w:rPr>
      </w:pPr>
    </w:p>
    <w:p w:rsidR="00DF56B8" w:rsidRPr="00B56698" w:rsidRDefault="00C63866"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La delimitación competencial debe seguir los parámetros generalmente admitidos, </w:t>
      </w:r>
      <w:r w:rsidR="00DF56B8" w:rsidRPr="00B56698">
        <w:rPr>
          <w:rFonts w:ascii="Arial Narrow" w:hAnsi="Arial Narrow"/>
          <w:sz w:val="24"/>
          <w:szCs w:val="24"/>
        </w:rPr>
        <w:t>asenta</w:t>
      </w:r>
      <w:r w:rsidR="00FD5A41">
        <w:rPr>
          <w:rFonts w:ascii="Arial Narrow" w:hAnsi="Arial Narrow"/>
          <w:sz w:val="24"/>
          <w:szCs w:val="24"/>
        </w:rPr>
        <w:t>dos</w:t>
      </w:r>
      <w:r w:rsidR="00DF56B8" w:rsidRPr="00B56698">
        <w:rPr>
          <w:rFonts w:ascii="Arial Narrow" w:hAnsi="Arial Narrow"/>
          <w:sz w:val="24"/>
          <w:szCs w:val="24"/>
        </w:rPr>
        <w:t xml:space="preserve"> en la búsqueda de</w:t>
      </w:r>
      <w:r w:rsidRPr="00B56698">
        <w:rPr>
          <w:rFonts w:ascii="Arial Narrow" w:hAnsi="Arial Narrow"/>
          <w:sz w:val="24"/>
          <w:szCs w:val="24"/>
        </w:rPr>
        <w:t xml:space="preserve">l sentido de los distintos títulos competenciales concernidos y, singularmente, por su trascendencia en la consulta realizada, </w:t>
      </w:r>
      <w:r w:rsidR="00B51C47" w:rsidRPr="00B56698">
        <w:rPr>
          <w:rFonts w:ascii="Arial Narrow" w:hAnsi="Arial Narrow"/>
          <w:sz w:val="24"/>
          <w:szCs w:val="24"/>
        </w:rPr>
        <w:t xml:space="preserve">en el examen </w:t>
      </w:r>
      <w:r w:rsidR="00DF56B8" w:rsidRPr="00B56698">
        <w:rPr>
          <w:rFonts w:ascii="Arial Narrow" w:hAnsi="Arial Narrow"/>
          <w:sz w:val="24"/>
          <w:szCs w:val="24"/>
        </w:rPr>
        <w:t>de</w:t>
      </w:r>
      <w:r w:rsidRPr="00B56698">
        <w:rPr>
          <w:rFonts w:ascii="Arial Narrow" w:hAnsi="Arial Narrow"/>
          <w:sz w:val="24"/>
          <w:szCs w:val="24"/>
        </w:rPr>
        <w:t xml:space="preserve">l sentido y finalidad de la iniciativa parlamentaria de la que trae causa, </w:t>
      </w:r>
      <w:r w:rsidR="00FB0A6B">
        <w:rPr>
          <w:rFonts w:ascii="Arial Narrow" w:hAnsi="Arial Narrow"/>
          <w:sz w:val="24"/>
          <w:szCs w:val="24"/>
        </w:rPr>
        <w:t xml:space="preserve">lo que exige </w:t>
      </w:r>
      <w:r w:rsidR="00DF56B8" w:rsidRPr="00B56698">
        <w:rPr>
          <w:rFonts w:ascii="Arial Narrow" w:hAnsi="Arial Narrow"/>
          <w:sz w:val="24"/>
          <w:szCs w:val="24"/>
        </w:rPr>
        <w:t>atend</w:t>
      </w:r>
      <w:r w:rsidR="00FB0A6B">
        <w:rPr>
          <w:rFonts w:ascii="Arial Narrow" w:hAnsi="Arial Narrow"/>
          <w:sz w:val="24"/>
          <w:szCs w:val="24"/>
        </w:rPr>
        <w:t>er</w:t>
      </w:r>
      <w:r w:rsidR="00DF56B8" w:rsidRPr="00B56698">
        <w:rPr>
          <w:rFonts w:ascii="Arial Narrow" w:hAnsi="Arial Narrow"/>
          <w:sz w:val="24"/>
          <w:szCs w:val="24"/>
        </w:rPr>
        <w:t xml:space="preserve"> </w:t>
      </w:r>
      <w:r w:rsidR="00FB0A6B">
        <w:rPr>
          <w:rFonts w:ascii="Arial Narrow" w:hAnsi="Arial Narrow"/>
          <w:sz w:val="24"/>
          <w:szCs w:val="24"/>
        </w:rPr>
        <w:t xml:space="preserve">prioritariamente </w:t>
      </w:r>
      <w:r w:rsidRPr="00B56698">
        <w:rPr>
          <w:rFonts w:ascii="Arial Narrow" w:hAnsi="Arial Narrow"/>
          <w:sz w:val="24"/>
          <w:szCs w:val="24"/>
        </w:rPr>
        <w:t>a</w:t>
      </w:r>
      <w:r w:rsidR="0095116C">
        <w:rPr>
          <w:rFonts w:ascii="Arial Narrow" w:hAnsi="Arial Narrow"/>
          <w:sz w:val="24"/>
          <w:szCs w:val="24"/>
        </w:rPr>
        <w:t xml:space="preserve"> su</w:t>
      </w:r>
      <w:r w:rsidRPr="00B56698">
        <w:rPr>
          <w:rFonts w:ascii="Arial Narrow" w:hAnsi="Arial Narrow"/>
          <w:sz w:val="24"/>
          <w:szCs w:val="24"/>
        </w:rPr>
        <w:t xml:space="preserve"> contenido</w:t>
      </w:r>
      <w:r w:rsidR="00DF56B8" w:rsidRPr="00B56698">
        <w:rPr>
          <w:rFonts w:ascii="Arial Narrow" w:hAnsi="Arial Narrow"/>
          <w:sz w:val="24"/>
          <w:szCs w:val="24"/>
        </w:rPr>
        <w:t>.</w:t>
      </w:r>
      <w:r w:rsidR="00717587" w:rsidRPr="00B56698">
        <w:rPr>
          <w:rFonts w:ascii="Arial Narrow" w:hAnsi="Arial Narrow"/>
          <w:sz w:val="24"/>
          <w:szCs w:val="24"/>
        </w:rPr>
        <w:t xml:space="preserve"> </w:t>
      </w:r>
    </w:p>
    <w:p w:rsidR="00B51C47" w:rsidRPr="00B56698" w:rsidRDefault="00B51C47" w:rsidP="003066B5">
      <w:pPr>
        <w:spacing w:after="0" w:line="360" w:lineRule="auto"/>
        <w:ind w:firstLine="567"/>
        <w:jc w:val="both"/>
        <w:rPr>
          <w:rFonts w:ascii="Arial Narrow" w:hAnsi="Arial Narrow"/>
          <w:sz w:val="24"/>
          <w:szCs w:val="24"/>
        </w:rPr>
      </w:pPr>
    </w:p>
    <w:p w:rsidR="00B51C47" w:rsidRPr="00B56698" w:rsidRDefault="00B51C47"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Una delimitación que debe imp</w:t>
      </w:r>
      <w:r w:rsidR="00FB0A6B">
        <w:rPr>
          <w:rFonts w:ascii="Arial Narrow" w:hAnsi="Arial Narrow"/>
          <w:sz w:val="24"/>
          <w:szCs w:val="24"/>
        </w:rPr>
        <w:t>e</w:t>
      </w:r>
      <w:r w:rsidRPr="00B56698">
        <w:rPr>
          <w:rFonts w:ascii="Arial Narrow" w:hAnsi="Arial Narrow"/>
          <w:sz w:val="24"/>
          <w:szCs w:val="24"/>
        </w:rPr>
        <w:t>d</w:t>
      </w:r>
      <w:r w:rsidR="00FB0A6B">
        <w:rPr>
          <w:rFonts w:ascii="Arial Narrow" w:hAnsi="Arial Narrow"/>
          <w:sz w:val="24"/>
          <w:szCs w:val="24"/>
        </w:rPr>
        <w:t>ir</w:t>
      </w:r>
      <w:r w:rsidRPr="00B56698">
        <w:rPr>
          <w:rFonts w:ascii="Arial Narrow" w:hAnsi="Arial Narrow"/>
          <w:sz w:val="24"/>
          <w:szCs w:val="24"/>
        </w:rPr>
        <w:t xml:space="preserve"> el vaciamiento de </w:t>
      </w:r>
      <w:r w:rsidR="00046C23" w:rsidRPr="00B56698">
        <w:rPr>
          <w:rFonts w:ascii="Arial Narrow" w:hAnsi="Arial Narrow"/>
          <w:sz w:val="24"/>
          <w:szCs w:val="24"/>
        </w:rPr>
        <w:t xml:space="preserve">los contenidos propios de </w:t>
      </w:r>
      <w:r w:rsidRPr="00B56698">
        <w:rPr>
          <w:rFonts w:ascii="Arial Narrow" w:hAnsi="Arial Narrow"/>
          <w:sz w:val="24"/>
          <w:szCs w:val="24"/>
        </w:rPr>
        <w:t>los títulos concurrentes</w:t>
      </w:r>
      <w:r w:rsidR="00046C23" w:rsidRPr="00B56698">
        <w:rPr>
          <w:rFonts w:ascii="Arial Narrow" w:hAnsi="Arial Narrow"/>
          <w:sz w:val="24"/>
          <w:szCs w:val="24"/>
        </w:rPr>
        <w:t xml:space="preserve"> y </w:t>
      </w:r>
      <w:r w:rsidR="00FB0A6B">
        <w:rPr>
          <w:rFonts w:ascii="Arial Narrow" w:hAnsi="Arial Narrow"/>
          <w:sz w:val="24"/>
          <w:szCs w:val="24"/>
        </w:rPr>
        <w:t xml:space="preserve">su </w:t>
      </w:r>
      <w:r w:rsidR="00046C23" w:rsidRPr="00B56698">
        <w:rPr>
          <w:rFonts w:ascii="Arial Narrow" w:hAnsi="Arial Narrow"/>
          <w:sz w:val="24"/>
          <w:szCs w:val="24"/>
        </w:rPr>
        <w:t>entendimiento como límite y contrapeso recíproco</w:t>
      </w:r>
      <w:r w:rsidR="00FA3372" w:rsidRPr="00B56698">
        <w:rPr>
          <w:rFonts w:ascii="Arial Narrow" w:hAnsi="Arial Narrow"/>
          <w:sz w:val="24"/>
          <w:szCs w:val="24"/>
        </w:rPr>
        <w:t xml:space="preserve">, </w:t>
      </w:r>
      <w:r w:rsidR="00FB0A6B">
        <w:rPr>
          <w:rFonts w:ascii="Arial Narrow" w:hAnsi="Arial Narrow"/>
          <w:sz w:val="24"/>
          <w:szCs w:val="24"/>
        </w:rPr>
        <w:t xml:space="preserve">un criterio interpretativo esencial que debe </w:t>
      </w:r>
      <w:r w:rsidR="00FA3372" w:rsidRPr="00B56698">
        <w:rPr>
          <w:rFonts w:ascii="Arial Narrow" w:hAnsi="Arial Narrow"/>
          <w:sz w:val="24"/>
          <w:szCs w:val="24"/>
        </w:rPr>
        <w:t>culminar en la identificación de la competencia prevalente</w:t>
      </w:r>
      <w:r w:rsidR="00FD5A41">
        <w:rPr>
          <w:rFonts w:ascii="Arial Narrow" w:hAnsi="Arial Narrow"/>
          <w:sz w:val="24"/>
          <w:szCs w:val="24"/>
        </w:rPr>
        <w:t xml:space="preserve">, y, por ende, del Departamento a quien corresponde liderar la acción relativa a la </w:t>
      </w:r>
      <w:r w:rsidR="003941C9">
        <w:rPr>
          <w:rFonts w:ascii="Arial Narrow" w:hAnsi="Arial Narrow"/>
          <w:sz w:val="24"/>
          <w:szCs w:val="24"/>
        </w:rPr>
        <w:t>“</w:t>
      </w:r>
      <w:r w:rsidR="00FD5A41">
        <w:rPr>
          <w:rFonts w:ascii="Arial Narrow" w:hAnsi="Arial Narrow"/>
          <w:sz w:val="24"/>
          <w:szCs w:val="24"/>
        </w:rPr>
        <w:t>contaminación electroma</w:t>
      </w:r>
      <w:r w:rsidR="003941C9">
        <w:rPr>
          <w:rFonts w:ascii="Arial Narrow" w:hAnsi="Arial Narrow"/>
          <w:sz w:val="24"/>
          <w:szCs w:val="24"/>
        </w:rPr>
        <w:t>gnética”</w:t>
      </w:r>
      <w:r w:rsidR="00CE4D10">
        <w:rPr>
          <w:rFonts w:ascii="Arial Narrow" w:hAnsi="Arial Narrow"/>
          <w:sz w:val="24"/>
          <w:szCs w:val="24"/>
        </w:rPr>
        <w:t xml:space="preserve">, sin perjuicio de la necesaria coordinación y cooperación interdepartamentales que habrá de seguir los parámetros generales </w:t>
      </w:r>
      <w:r w:rsidR="0095116C">
        <w:rPr>
          <w:rFonts w:ascii="Arial Narrow" w:hAnsi="Arial Narrow"/>
          <w:sz w:val="24"/>
          <w:szCs w:val="24"/>
        </w:rPr>
        <w:t xml:space="preserve">de </w:t>
      </w:r>
      <w:r w:rsidR="00CE4D10">
        <w:rPr>
          <w:rFonts w:ascii="Arial Narrow" w:hAnsi="Arial Narrow"/>
          <w:sz w:val="24"/>
          <w:szCs w:val="24"/>
        </w:rPr>
        <w:t xml:space="preserve">toda acción de Gobierno que reúna los caracteres de </w:t>
      </w:r>
      <w:proofErr w:type="spellStart"/>
      <w:r w:rsidR="00CE4D10">
        <w:rPr>
          <w:rFonts w:ascii="Arial Narrow" w:hAnsi="Arial Narrow"/>
          <w:sz w:val="24"/>
          <w:szCs w:val="24"/>
        </w:rPr>
        <w:t>intersectorialidad</w:t>
      </w:r>
      <w:proofErr w:type="spellEnd"/>
      <w:r w:rsidR="00CE4D10">
        <w:rPr>
          <w:rFonts w:ascii="Arial Narrow" w:hAnsi="Arial Narrow"/>
          <w:sz w:val="24"/>
          <w:szCs w:val="24"/>
        </w:rPr>
        <w:t xml:space="preserve"> que se aprecian en la que ahora se exam</w:t>
      </w:r>
      <w:r w:rsidR="0095116C">
        <w:rPr>
          <w:rFonts w:ascii="Arial Narrow" w:hAnsi="Arial Narrow"/>
          <w:sz w:val="24"/>
          <w:szCs w:val="24"/>
        </w:rPr>
        <w:t>ina</w:t>
      </w:r>
      <w:r w:rsidR="00046C23" w:rsidRPr="00B56698">
        <w:rPr>
          <w:rFonts w:ascii="Arial Narrow" w:hAnsi="Arial Narrow"/>
          <w:sz w:val="24"/>
          <w:szCs w:val="24"/>
        </w:rPr>
        <w:t>.</w:t>
      </w:r>
      <w:r w:rsidRPr="00B56698">
        <w:rPr>
          <w:rFonts w:ascii="Arial Narrow" w:hAnsi="Arial Narrow"/>
          <w:sz w:val="24"/>
          <w:szCs w:val="24"/>
        </w:rPr>
        <w:t xml:space="preserve"> </w:t>
      </w:r>
    </w:p>
    <w:p w:rsidR="00717587" w:rsidRPr="00B56698" w:rsidRDefault="00717587" w:rsidP="003066B5">
      <w:pPr>
        <w:spacing w:after="0" w:line="360" w:lineRule="auto"/>
        <w:ind w:firstLine="567"/>
        <w:jc w:val="both"/>
        <w:rPr>
          <w:rFonts w:ascii="Arial Narrow" w:hAnsi="Arial Narrow"/>
          <w:sz w:val="24"/>
          <w:szCs w:val="24"/>
        </w:rPr>
      </w:pPr>
    </w:p>
    <w:p w:rsidR="00717587" w:rsidRPr="00B56698" w:rsidRDefault="00DF56B8" w:rsidP="003066B5">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Los criterios apuntados trasladan </w:t>
      </w:r>
      <w:r w:rsidRPr="00B56698">
        <w:rPr>
          <w:rFonts w:ascii="Arial Narrow" w:hAnsi="Arial Narrow"/>
          <w:i/>
          <w:sz w:val="24"/>
          <w:szCs w:val="24"/>
        </w:rPr>
        <w:t xml:space="preserve">mutatis mutandis </w:t>
      </w:r>
      <w:r w:rsidRPr="00B56698">
        <w:rPr>
          <w:rFonts w:ascii="Arial Narrow" w:hAnsi="Arial Narrow"/>
          <w:sz w:val="24"/>
          <w:szCs w:val="24"/>
        </w:rPr>
        <w:t>las reglas de calificación competencial que emanan de la doctrina constitucional (por todas, SSTC 153/1989, de 5 de octubre, FJ 5; y 197/1996, de 28 de noviembre, FJ 3)</w:t>
      </w:r>
      <w:r w:rsidR="00046C23" w:rsidRPr="00B56698">
        <w:rPr>
          <w:rFonts w:ascii="Arial Narrow" w:hAnsi="Arial Narrow"/>
          <w:sz w:val="24"/>
          <w:szCs w:val="24"/>
        </w:rPr>
        <w:t xml:space="preserve"> y</w:t>
      </w:r>
      <w:r w:rsidR="00717587" w:rsidRPr="00B56698">
        <w:rPr>
          <w:rFonts w:ascii="Arial Narrow" w:hAnsi="Arial Narrow"/>
          <w:sz w:val="24"/>
          <w:szCs w:val="24"/>
        </w:rPr>
        <w:t xml:space="preserve"> que, aun referidas </w:t>
      </w:r>
      <w:r w:rsidRPr="00B56698">
        <w:rPr>
          <w:rFonts w:ascii="Arial Narrow" w:hAnsi="Arial Narrow"/>
          <w:sz w:val="24"/>
          <w:szCs w:val="24"/>
        </w:rPr>
        <w:t xml:space="preserve">a disposiciones </w:t>
      </w:r>
      <w:r w:rsidR="00717587" w:rsidRPr="00B56698">
        <w:rPr>
          <w:rFonts w:ascii="Arial Narrow" w:hAnsi="Arial Narrow"/>
          <w:sz w:val="24"/>
          <w:szCs w:val="24"/>
        </w:rPr>
        <w:t>normativas, permiten su adaptación a la delimitación competencial que concierne a actuaciones materiales o, como lo que aquí se suscita, la que deriva de la actividad parlamentaria.</w:t>
      </w:r>
    </w:p>
    <w:p w:rsidR="00717587" w:rsidRPr="00B56698" w:rsidRDefault="00717587" w:rsidP="00717587">
      <w:pPr>
        <w:spacing w:after="0" w:line="360" w:lineRule="auto"/>
        <w:ind w:firstLine="567"/>
        <w:jc w:val="both"/>
        <w:rPr>
          <w:rFonts w:ascii="Arial Narrow" w:hAnsi="Arial Narrow"/>
          <w:sz w:val="24"/>
          <w:szCs w:val="24"/>
        </w:rPr>
      </w:pPr>
    </w:p>
    <w:p w:rsidR="00FD0498" w:rsidRPr="00B56698" w:rsidRDefault="00717587" w:rsidP="00B51C47">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La delimitación </w:t>
      </w:r>
      <w:r w:rsidR="00046C23" w:rsidRPr="00B56698">
        <w:rPr>
          <w:rFonts w:ascii="Arial Narrow" w:hAnsi="Arial Narrow"/>
          <w:sz w:val="24"/>
          <w:szCs w:val="24"/>
        </w:rPr>
        <w:t>se</w:t>
      </w:r>
      <w:r w:rsidRPr="00B56698">
        <w:rPr>
          <w:rFonts w:ascii="Arial Narrow" w:hAnsi="Arial Narrow"/>
          <w:sz w:val="24"/>
          <w:szCs w:val="24"/>
        </w:rPr>
        <w:t xml:space="preserve"> fundamenta, </w:t>
      </w:r>
      <w:r w:rsidR="00FA3372" w:rsidRPr="00B56698">
        <w:rPr>
          <w:rFonts w:ascii="Arial Narrow" w:hAnsi="Arial Narrow"/>
          <w:sz w:val="24"/>
          <w:szCs w:val="24"/>
        </w:rPr>
        <w:t>como no puede ser de otra manera</w:t>
      </w:r>
      <w:r w:rsidRPr="00B56698">
        <w:rPr>
          <w:rFonts w:ascii="Arial Narrow" w:hAnsi="Arial Narrow"/>
          <w:sz w:val="24"/>
          <w:szCs w:val="24"/>
        </w:rPr>
        <w:t xml:space="preserve">, en un análisis esencialmente casuístico </w:t>
      </w:r>
      <w:r w:rsidR="003E3F59" w:rsidRPr="00B56698">
        <w:rPr>
          <w:rFonts w:ascii="Arial Narrow" w:hAnsi="Arial Narrow"/>
          <w:sz w:val="24"/>
          <w:szCs w:val="24"/>
        </w:rPr>
        <w:t>que</w:t>
      </w:r>
      <w:r w:rsidR="00046C23" w:rsidRPr="00B56698">
        <w:rPr>
          <w:rFonts w:ascii="Arial Narrow" w:hAnsi="Arial Narrow"/>
          <w:sz w:val="24"/>
          <w:szCs w:val="24"/>
        </w:rPr>
        <w:t xml:space="preserve"> </w:t>
      </w:r>
      <w:r w:rsidR="003E3F59" w:rsidRPr="00B56698">
        <w:rPr>
          <w:rFonts w:ascii="Arial Narrow" w:hAnsi="Arial Narrow"/>
          <w:sz w:val="24"/>
          <w:szCs w:val="24"/>
        </w:rPr>
        <w:t>procura</w:t>
      </w:r>
      <w:r w:rsidR="00CE4D10">
        <w:rPr>
          <w:rFonts w:ascii="Arial Narrow" w:hAnsi="Arial Narrow"/>
          <w:sz w:val="24"/>
          <w:szCs w:val="24"/>
        </w:rPr>
        <w:t>rá</w:t>
      </w:r>
      <w:r w:rsidR="00FA3372" w:rsidRPr="00B56698">
        <w:rPr>
          <w:rFonts w:ascii="Arial Narrow" w:hAnsi="Arial Narrow"/>
          <w:sz w:val="24"/>
          <w:szCs w:val="24"/>
        </w:rPr>
        <w:t>,</w:t>
      </w:r>
      <w:r w:rsidR="00B51C47" w:rsidRPr="00B56698">
        <w:rPr>
          <w:rFonts w:ascii="Arial Narrow" w:hAnsi="Arial Narrow"/>
          <w:sz w:val="24"/>
          <w:szCs w:val="24"/>
        </w:rPr>
        <w:t xml:space="preserve"> </w:t>
      </w:r>
      <w:r w:rsidR="00FA3372" w:rsidRPr="00B56698">
        <w:rPr>
          <w:rFonts w:ascii="Arial Narrow" w:hAnsi="Arial Narrow"/>
          <w:sz w:val="24"/>
          <w:szCs w:val="24"/>
        </w:rPr>
        <w:t xml:space="preserve">también, </w:t>
      </w:r>
      <w:r w:rsidR="00B51C47" w:rsidRPr="00B56698">
        <w:rPr>
          <w:rFonts w:ascii="Arial Narrow" w:hAnsi="Arial Narrow"/>
          <w:sz w:val="24"/>
          <w:szCs w:val="24"/>
        </w:rPr>
        <w:t xml:space="preserve">una conclusión cuya funcionalidad se proyecta en exclusiva sobre el caso examinado, </w:t>
      </w:r>
      <w:r w:rsidR="003E3F59" w:rsidRPr="00B56698">
        <w:rPr>
          <w:rFonts w:ascii="Arial Narrow" w:hAnsi="Arial Narrow"/>
          <w:sz w:val="24"/>
          <w:szCs w:val="24"/>
        </w:rPr>
        <w:t xml:space="preserve">sin perjuicio </w:t>
      </w:r>
      <w:r w:rsidRPr="00B56698">
        <w:rPr>
          <w:rFonts w:ascii="Arial Narrow" w:hAnsi="Arial Narrow"/>
          <w:sz w:val="24"/>
          <w:szCs w:val="24"/>
        </w:rPr>
        <w:t xml:space="preserve">de que </w:t>
      </w:r>
      <w:r w:rsidR="003E3F59" w:rsidRPr="00B56698">
        <w:rPr>
          <w:rFonts w:ascii="Arial Narrow" w:hAnsi="Arial Narrow"/>
          <w:sz w:val="24"/>
          <w:szCs w:val="24"/>
        </w:rPr>
        <w:t>de</w:t>
      </w:r>
      <w:r w:rsidR="00046C23" w:rsidRPr="00B56698">
        <w:rPr>
          <w:rFonts w:ascii="Arial Narrow" w:hAnsi="Arial Narrow"/>
          <w:sz w:val="24"/>
          <w:szCs w:val="24"/>
        </w:rPr>
        <w:t xml:space="preserve"> aquel </w:t>
      </w:r>
      <w:r w:rsidR="003E3F59" w:rsidRPr="00B56698">
        <w:rPr>
          <w:rFonts w:ascii="Arial Narrow" w:hAnsi="Arial Narrow"/>
          <w:sz w:val="24"/>
          <w:szCs w:val="24"/>
        </w:rPr>
        <w:t>examen pud</w:t>
      </w:r>
      <w:r w:rsidR="00FA3372" w:rsidRPr="00B56698">
        <w:rPr>
          <w:rFonts w:ascii="Arial Narrow" w:hAnsi="Arial Narrow"/>
          <w:sz w:val="24"/>
          <w:szCs w:val="24"/>
        </w:rPr>
        <w:t>ier</w:t>
      </w:r>
      <w:r w:rsidR="003E3F59" w:rsidRPr="00B56698">
        <w:rPr>
          <w:rFonts w:ascii="Arial Narrow" w:hAnsi="Arial Narrow"/>
          <w:sz w:val="24"/>
          <w:szCs w:val="24"/>
        </w:rPr>
        <w:t xml:space="preserve">an derivar </w:t>
      </w:r>
      <w:r w:rsidRPr="00B56698">
        <w:rPr>
          <w:rFonts w:ascii="Arial Narrow" w:hAnsi="Arial Narrow"/>
          <w:sz w:val="24"/>
          <w:szCs w:val="24"/>
        </w:rPr>
        <w:t>criterios generales</w:t>
      </w:r>
      <w:r w:rsidR="003E3F59" w:rsidRPr="00B56698">
        <w:rPr>
          <w:rFonts w:ascii="Arial Narrow" w:hAnsi="Arial Narrow"/>
          <w:sz w:val="24"/>
          <w:szCs w:val="24"/>
        </w:rPr>
        <w:t xml:space="preserve"> de calificación competencial vinculados a la materia “contaminación electromagnética”</w:t>
      </w:r>
      <w:r w:rsidR="00046C23" w:rsidRPr="00B56698">
        <w:rPr>
          <w:rFonts w:ascii="Arial Narrow" w:hAnsi="Arial Narrow"/>
          <w:sz w:val="24"/>
          <w:szCs w:val="24"/>
        </w:rPr>
        <w:t xml:space="preserve"> que admita</w:t>
      </w:r>
      <w:r w:rsidR="00FA3372" w:rsidRPr="00B56698">
        <w:rPr>
          <w:rFonts w:ascii="Arial Narrow" w:hAnsi="Arial Narrow"/>
          <w:sz w:val="24"/>
          <w:szCs w:val="24"/>
        </w:rPr>
        <w:t>n</w:t>
      </w:r>
      <w:r w:rsidR="00046C23" w:rsidRPr="00B56698">
        <w:rPr>
          <w:rFonts w:ascii="Arial Narrow" w:hAnsi="Arial Narrow"/>
          <w:sz w:val="24"/>
          <w:szCs w:val="24"/>
        </w:rPr>
        <w:t xml:space="preserve"> su traslación a supuestos distintos del que aquí se considera</w:t>
      </w:r>
      <w:r w:rsidR="00B51C47" w:rsidRPr="00B56698">
        <w:rPr>
          <w:rFonts w:ascii="Arial Narrow" w:hAnsi="Arial Narrow"/>
          <w:sz w:val="24"/>
          <w:szCs w:val="24"/>
        </w:rPr>
        <w:t xml:space="preserve">. </w:t>
      </w:r>
    </w:p>
    <w:p w:rsidR="00FA3372" w:rsidRPr="00B56698" w:rsidRDefault="00FA3372" w:rsidP="00B51C47">
      <w:pPr>
        <w:spacing w:after="0" w:line="360" w:lineRule="auto"/>
        <w:ind w:firstLine="567"/>
        <w:jc w:val="both"/>
        <w:rPr>
          <w:rFonts w:ascii="Arial Narrow" w:hAnsi="Arial Narrow"/>
          <w:sz w:val="24"/>
          <w:szCs w:val="24"/>
        </w:rPr>
      </w:pPr>
    </w:p>
    <w:p w:rsidR="00FA3372" w:rsidRPr="00B56698" w:rsidRDefault="00FA3372" w:rsidP="00B51C47">
      <w:pPr>
        <w:spacing w:after="0" w:line="360" w:lineRule="auto"/>
        <w:ind w:firstLine="567"/>
        <w:jc w:val="both"/>
        <w:rPr>
          <w:rFonts w:ascii="Arial Narrow" w:hAnsi="Arial Narrow"/>
          <w:sz w:val="24"/>
          <w:szCs w:val="24"/>
        </w:rPr>
      </w:pPr>
      <w:r w:rsidRPr="00B56698">
        <w:rPr>
          <w:rFonts w:ascii="Arial Narrow" w:hAnsi="Arial Narrow"/>
          <w:sz w:val="24"/>
          <w:szCs w:val="24"/>
        </w:rPr>
        <w:lastRenderedPageBreak/>
        <w:t xml:space="preserve">Siguiendo los parámetros apuntados, </w:t>
      </w:r>
      <w:r w:rsidR="003941C9">
        <w:rPr>
          <w:rFonts w:ascii="Arial Narrow" w:hAnsi="Arial Narrow"/>
          <w:sz w:val="24"/>
          <w:szCs w:val="24"/>
        </w:rPr>
        <w:t>procede</w:t>
      </w:r>
      <w:r w:rsidR="0095116C">
        <w:rPr>
          <w:rFonts w:ascii="Arial Narrow" w:hAnsi="Arial Narrow"/>
          <w:sz w:val="24"/>
          <w:szCs w:val="24"/>
        </w:rPr>
        <w:t xml:space="preserve"> </w:t>
      </w:r>
      <w:r w:rsidR="003941C9">
        <w:rPr>
          <w:rFonts w:ascii="Arial Narrow" w:hAnsi="Arial Narrow"/>
          <w:sz w:val="24"/>
          <w:szCs w:val="24"/>
        </w:rPr>
        <w:t>partir de</w:t>
      </w:r>
      <w:r w:rsidRPr="00B56698">
        <w:rPr>
          <w:rFonts w:ascii="Arial Narrow" w:hAnsi="Arial Narrow"/>
          <w:sz w:val="24"/>
          <w:szCs w:val="24"/>
        </w:rPr>
        <w:t xml:space="preserve"> la iniciativa parlamentaria que se une a la consulta</w:t>
      </w:r>
      <w:r w:rsidR="003941C9">
        <w:rPr>
          <w:rFonts w:ascii="Arial Narrow" w:hAnsi="Arial Narrow"/>
          <w:sz w:val="24"/>
          <w:szCs w:val="24"/>
        </w:rPr>
        <w:t xml:space="preserve">, la </w:t>
      </w:r>
      <w:r w:rsidRPr="00B56698">
        <w:rPr>
          <w:rFonts w:ascii="Arial Narrow" w:hAnsi="Arial Narrow"/>
          <w:sz w:val="24"/>
          <w:szCs w:val="24"/>
        </w:rPr>
        <w:t xml:space="preserve">Proposición no de Ley 7/2014, relativa a la contaminación electromagnética, que se concreta en seis aspectos: </w:t>
      </w:r>
    </w:p>
    <w:p w:rsidR="00D55AA1" w:rsidRPr="00B56698" w:rsidRDefault="00D55AA1" w:rsidP="00B51C47">
      <w:pPr>
        <w:spacing w:after="0" w:line="360" w:lineRule="auto"/>
        <w:ind w:firstLine="567"/>
        <w:jc w:val="both"/>
        <w:rPr>
          <w:rFonts w:ascii="Arial Narrow" w:hAnsi="Arial Narrow"/>
          <w:sz w:val="24"/>
          <w:szCs w:val="24"/>
        </w:rPr>
      </w:pPr>
    </w:p>
    <w:p w:rsidR="00FA3372" w:rsidRPr="00B56698" w:rsidRDefault="00FA3372" w:rsidP="00B56698">
      <w:pPr>
        <w:spacing w:after="0" w:line="360" w:lineRule="auto"/>
        <w:ind w:left="567" w:firstLine="567"/>
        <w:jc w:val="both"/>
        <w:rPr>
          <w:rFonts w:ascii="Arial Narrow" w:hAnsi="Arial Narrow"/>
        </w:rPr>
      </w:pPr>
      <w:r w:rsidRPr="00B56698">
        <w:rPr>
          <w:rFonts w:ascii="Arial Narrow" w:hAnsi="Arial Narrow"/>
        </w:rPr>
        <w:t xml:space="preserve">1. Se insta al Gobierno </w:t>
      </w:r>
      <w:r w:rsidR="006F184D" w:rsidRPr="00B56698">
        <w:rPr>
          <w:rFonts w:ascii="Arial Narrow" w:hAnsi="Arial Narrow"/>
        </w:rPr>
        <w:t xml:space="preserve">Vasco </w:t>
      </w:r>
      <w:r w:rsidRPr="00B56698">
        <w:rPr>
          <w:rFonts w:ascii="Arial Narrow" w:hAnsi="Arial Narrow"/>
        </w:rPr>
        <w:t>a exigir al Gobierno central una regulación específica en coordinación con las comunidades autónomas, que tenga en cuenta las recomendaciones recogidas en la resolución 1815 del Consejo de Europa.</w:t>
      </w:r>
    </w:p>
    <w:p w:rsidR="00FA3372" w:rsidRPr="00B56698" w:rsidRDefault="00FA3372" w:rsidP="00B56698">
      <w:pPr>
        <w:spacing w:after="0" w:line="360" w:lineRule="auto"/>
        <w:ind w:left="567" w:firstLine="567"/>
        <w:jc w:val="both"/>
        <w:rPr>
          <w:rFonts w:ascii="Arial Narrow" w:hAnsi="Arial Narrow"/>
        </w:rPr>
      </w:pPr>
    </w:p>
    <w:p w:rsidR="00750843" w:rsidRPr="00B56698" w:rsidRDefault="00FA3372" w:rsidP="00B56698">
      <w:pPr>
        <w:spacing w:after="0" w:line="360" w:lineRule="auto"/>
        <w:ind w:left="567" w:firstLine="567"/>
        <w:jc w:val="both"/>
        <w:rPr>
          <w:rFonts w:ascii="Arial Narrow" w:hAnsi="Arial Narrow"/>
        </w:rPr>
      </w:pPr>
      <w:r w:rsidRPr="00B56698">
        <w:rPr>
          <w:rFonts w:ascii="Arial Narrow" w:hAnsi="Arial Narrow"/>
        </w:rPr>
        <w:t xml:space="preserve">2.  </w:t>
      </w:r>
      <w:r w:rsidR="00AB5CCC" w:rsidRPr="00B56698">
        <w:rPr>
          <w:rFonts w:ascii="Arial Narrow" w:hAnsi="Arial Narrow"/>
        </w:rPr>
        <w:t>Se insta al Gobierno Vasco, si no se produce la regulación a la que se refiere el punto anterior, remita el proyecto de ley para la regulación de las instalaciones de radiocomunicación en la CAPV que, sobre la base del principio ALARA proteja al máximo la salud de la ciudadanía</w:t>
      </w:r>
      <w:r w:rsidR="00750843" w:rsidRPr="00B56698">
        <w:rPr>
          <w:rFonts w:ascii="Arial Narrow" w:hAnsi="Arial Narrow"/>
        </w:rPr>
        <w:t>.</w:t>
      </w:r>
    </w:p>
    <w:p w:rsidR="00750843" w:rsidRPr="00B56698" w:rsidRDefault="00750843" w:rsidP="00B56698">
      <w:pPr>
        <w:spacing w:after="0" w:line="360" w:lineRule="auto"/>
        <w:ind w:left="567" w:firstLine="567"/>
        <w:jc w:val="both"/>
        <w:rPr>
          <w:rFonts w:ascii="Arial Narrow" w:hAnsi="Arial Narrow"/>
        </w:rPr>
      </w:pPr>
    </w:p>
    <w:p w:rsidR="00750843" w:rsidRPr="00B56698" w:rsidRDefault="00750843" w:rsidP="00B56698">
      <w:pPr>
        <w:spacing w:after="0" w:line="360" w:lineRule="auto"/>
        <w:ind w:left="567" w:firstLine="567"/>
        <w:jc w:val="both"/>
        <w:rPr>
          <w:rFonts w:ascii="Arial Narrow" w:hAnsi="Arial Narrow"/>
        </w:rPr>
      </w:pPr>
      <w:r w:rsidRPr="00B56698">
        <w:rPr>
          <w:rFonts w:ascii="Arial Narrow" w:hAnsi="Arial Narrow"/>
        </w:rPr>
        <w:t>3. Se insta al Gobierno Vasco a incorporar los criterios establecidos en la normativa a los instrumentos de planificación urbanística.</w:t>
      </w:r>
    </w:p>
    <w:p w:rsidR="00750843" w:rsidRPr="00B56698" w:rsidRDefault="00750843" w:rsidP="00B56698">
      <w:pPr>
        <w:spacing w:after="0" w:line="360" w:lineRule="auto"/>
        <w:ind w:left="567" w:firstLine="567"/>
        <w:jc w:val="both"/>
        <w:rPr>
          <w:rFonts w:ascii="Arial Narrow" w:hAnsi="Arial Narrow"/>
        </w:rPr>
      </w:pPr>
    </w:p>
    <w:p w:rsidR="00750843" w:rsidRPr="00B56698" w:rsidRDefault="00750843" w:rsidP="00B56698">
      <w:pPr>
        <w:spacing w:after="0" w:line="360" w:lineRule="auto"/>
        <w:ind w:left="567" w:firstLine="567"/>
        <w:jc w:val="both"/>
        <w:rPr>
          <w:rFonts w:ascii="Arial Narrow" w:hAnsi="Arial Narrow"/>
        </w:rPr>
      </w:pPr>
      <w:r w:rsidRPr="00B56698">
        <w:rPr>
          <w:rFonts w:ascii="Arial Narrow" w:hAnsi="Arial Narrow"/>
        </w:rPr>
        <w:t>4. Se insta al Gobierno Vasco a realizar durante el año 2014 un seguimiento de la evidencia epidemiológica acerca del impacto que las instalaciones (hay que suponer que se refiere a las de radiocomunicación) tienen en la salud de la ciudadanía.</w:t>
      </w:r>
    </w:p>
    <w:p w:rsidR="00750843" w:rsidRPr="00B56698" w:rsidRDefault="00750843" w:rsidP="00B56698">
      <w:pPr>
        <w:spacing w:after="0" w:line="360" w:lineRule="auto"/>
        <w:ind w:left="567" w:firstLine="567"/>
        <w:jc w:val="both"/>
        <w:rPr>
          <w:rFonts w:ascii="Arial Narrow" w:hAnsi="Arial Narrow"/>
        </w:rPr>
      </w:pPr>
    </w:p>
    <w:p w:rsidR="00750843" w:rsidRPr="00B56698" w:rsidRDefault="00750843" w:rsidP="00B56698">
      <w:pPr>
        <w:spacing w:after="0" w:line="360" w:lineRule="auto"/>
        <w:ind w:left="567" w:firstLine="567"/>
        <w:jc w:val="both"/>
        <w:rPr>
          <w:rFonts w:ascii="Arial Narrow" w:hAnsi="Arial Narrow"/>
        </w:rPr>
      </w:pPr>
      <w:r w:rsidRPr="00B56698">
        <w:rPr>
          <w:rFonts w:ascii="Arial Narrow" w:hAnsi="Arial Narrow"/>
        </w:rPr>
        <w:t>5. Se insta al Gobierno Vasco y a las instituciones competentes a establecer un mapa donde se recoja el nivel de exposición actual y las posibles medidas de actuación para minimizarla.</w:t>
      </w:r>
    </w:p>
    <w:p w:rsidR="00750843" w:rsidRPr="00B56698" w:rsidRDefault="00750843" w:rsidP="00B56698">
      <w:pPr>
        <w:spacing w:after="0" w:line="360" w:lineRule="auto"/>
        <w:ind w:left="567" w:firstLine="567"/>
        <w:jc w:val="both"/>
        <w:rPr>
          <w:rFonts w:ascii="Arial Narrow" w:hAnsi="Arial Narrow"/>
          <w:sz w:val="24"/>
          <w:szCs w:val="24"/>
        </w:rPr>
      </w:pPr>
    </w:p>
    <w:p w:rsidR="00C92B1C" w:rsidRPr="00B56698" w:rsidRDefault="00750843" w:rsidP="00B56698">
      <w:pPr>
        <w:spacing w:after="0" w:line="360" w:lineRule="auto"/>
        <w:ind w:left="567" w:firstLine="567"/>
        <w:jc w:val="both"/>
        <w:rPr>
          <w:rFonts w:ascii="Arial Narrow" w:hAnsi="Arial Narrow"/>
        </w:rPr>
      </w:pPr>
      <w:r w:rsidRPr="00B56698">
        <w:rPr>
          <w:rFonts w:ascii="Arial Narrow" w:hAnsi="Arial Narrow"/>
        </w:rPr>
        <w:t xml:space="preserve">6. </w:t>
      </w:r>
      <w:r w:rsidR="00C92B1C" w:rsidRPr="00B56698">
        <w:rPr>
          <w:rFonts w:ascii="Arial Narrow" w:hAnsi="Arial Narrow"/>
        </w:rPr>
        <w:t>Se insta a los Departamentos de Salud, de Medio Ambiente y Política Territorial y al de Educación, Política Lingüística y Cultura a que la información que llega a la ciudadanía sobre las radiaciones electromagnéticas sea siempre rigurosa y equilibrada.</w:t>
      </w:r>
    </w:p>
    <w:p w:rsidR="00C92B1C" w:rsidRPr="00B56698" w:rsidRDefault="00C92B1C" w:rsidP="00B51C47">
      <w:pPr>
        <w:spacing w:after="0" w:line="360" w:lineRule="auto"/>
        <w:ind w:firstLine="567"/>
        <w:jc w:val="both"/>
        <w:rPr>
          <w:rFonts w:ascii="Arial Narrow" w:hAnsi="Arial Narrow"/>
          <w:sz w:val="24"/>
          <w:szCs w:val="24"/>
        </w:rPr>
      </w:pPr>
    </w:p>
    <w:p w:rsidR="006F184D" w:rsidRPr="00B56698" w:rsidRDefault="006F184D" w:rsidP="00B51C47">
      <w:pPr>
        <w:spacing w:after="0" w:line="360" w:lineRule="auto"/>
        <w:ind w:firstLine="567"/>
        <w:jc w:val="both"/>
        <w:rPr>
          <w:rFonts w:ascii="Arial Narrow" w:hAnsi="Arial Narrow"/>
          <w:sz w:val="24"/>
          <w:szCs w:val="24"/>
        </w:rPr>
      </w:pPr>
      <w:r w:rsidRPr="00B56698">
        <w:rPr>
          <w:rFonts w:ascii="Arial Narrow" w:hAnsi="Arial Narrow"/>
          <w:sz w:val="24"/>
          <w:szCs w:val="24"/>
        </w:rPr>
        <w:t>La iniciativa se articula sobre tres ejes fundamentales: (a) la exigencia de una norma estatal que atienda la Resolución 1815 del Consejo de Europa; (b) la promoción subsidiaria de un proyecto de Ley autonómico sobre instalaciones de radiocomunicación</w:t>
      </w:r>
      <w:r w:rsidR="00B56698">
        <w:rPr>
          <w:rFonts w:ascii="Arial Narrow" w:hAnsi="Arial Narrow"/>
          <w:sz w:val="24"/>
          <w:szCs w:val="24"/>
        </w:rPr>
        <w:t xml:space="preserve"> y,</w:t>
      </w:r>
      <w:r w:rsidRPr="00B56698">
        <w:rPr>
          <w:rFonts w:ascii="Arial Narrow" w:hAnsi="Arial Narrow"/>
          <w:sz w:val="24"/>
          <w:szCs w:val="24"/>
        </w:rPr>
        <w:t xml:space="preserve"> (c) actuaciones de ejecución de diversa índole.</w:t>
      </w:r>
    </w:p>
    <w:p w:rsidR="006F184D" w:rsidRPr="00B56698" w:rsidRDefault="006F184D" w:rsidP="00B51C47">
      <w:pPr>
        <w:spacing w:after="0" w:line="360" w:lineRule="auto"/>
        <w:ind w:firstLine="567"/>
        <w:jc w:val="both"/>
        <w:rPr>
          <w:rFonts w:ascii="Arial Narrow" w:hAnsi="Arial Narrow"/>
          <w:sz w:val="24"/>
          <w:szCs w:val="24"/>
        </w:rPr>
      </w:pPr>
    </w:p>
    <w:p w:rsidR="00E85FC8" w:rsidRPr="00B56698" w:rsidRDefault="006F184D" w:rsidP="00B51C47">
      <w:pPr>
        <w:spacing w:after="0" w:line="360" w:lineRule="auto"/>
        <w:ind w:firstLine="567"/>
        <w:jc w:val="both"/>
        <w:rPr>
          <w:rFonts w:ascii="Arial Narrow" w:hAnsi="Arial Narrow"/>
          <w:sz w:val="24"/>
          <w:szCs w:val="24"/>
        </w:rPr>
      </w:pPr>
      <w:r w:rsidRPr="00B56698">
        <w:rPr>
          <w:rFonts w:ascii="Arial Narrow" w:hAnsi="Arial Narrow"/>
          <w:sz w:val="24"/>
          <w:szCs w:val="24"/>
        </w:rPr>
        <w:t>Dejando al margen el primero de los ejes citados, el que concierne al Estado</w:t>
      </w:r>
      <w:r w:rsidR="00401282" w:rsidRPr="00B56698">
        <w:rPr>
          <w:rFonts w:ascii="Arial Narrow" w:hAnsi="Arial Narrow"/>
          <w:sz w:val="24"/>
          <w:szCs w:val="24"/>
        </w:rPr>
        <w:t>,</w:t>
      </w:r>
      <w:r w:rsidRPr="00B56698">
        <w:rPr>
          <w:rFonts w:ascii="Arial Narrow" w:hAnsi="Arial Narrow"/>
          <w:sz w:val="24"/>
          <w:szCs w:val="24"/>
        </w:rPr>
        <w:t xml:space="preserve"> pues el mismo</w:t>
      </w:r>
      <w:r w:rsidR="00401282" w:rsidRPr="00B56698">
        <w:rPr>
          <w:rFonts w:ascii="Arial Narrow" w:hAnsi="Arial Narrow"/>
          <w:sz w:val="24"/>
          <w:szCs w:val="24"/>
        </w:rPr>
        <w:t xml:space="preserve"> </w:t>
      </w:r>
      <w:r w:rsidR="00B56698">
        <w:rPr>
          <w:rFonts w:ascii="Arial Narrow" w:hAnsi="Arial Narrow"/>
          <w:sz w:val="24"/>
          <w:szCs w:val="24"/>
        </w:rPr>
        <w:t>no</w:t>
      </w:r>
      <w:r w:rsidRPr="00B56698">
        <w:rPr>
          <w:rFonts w:ascii="Arial Narrow" w:hAnsi="Arial Narrow"/>
          <w:sz w:val="24"/>
          <w:szCs w:val="24"/>
        </w:rPr>
        <w:t xml:space="preserve"> puede determinar la atribución competencial de la “contaminación electromagnética” a un área concreta del Gobierno</w:t>
      </w:r>
      <w:r w:rsidR="00401282" w:rsidRPr="00B56698">
        <w:rPr>
          <w:rFonts w:ascii="Arial Narrow" w:hAnsi="Arial Narrow"/>
          <w:sz w:val="24"/>
          <w:szCs w:val="24"/>
        </w:rPr>
        <w:t xml:space="preserve"> Vasco</w:t>
      </w:r>
      <w:r w:rsidRPr="00B56698">
        <w:rPr>
          <w:rFonts w:ascii="Arial Narrow" w:hAnsi="Arial Narrow"/>
          <w:sz w:val="24"/>
          <w:szCs w:val="24"/>
        </w:rPr>
        <w:t xml:space="preserve">, interesa detenerse en los dos restantes, el referido al proyecto de ley sobre </w:t>
      </w:r>
      <w:r w:rsidRPr="00B56698">
        <w:rPr>
          <w:rFonts w:ascii="Arial Narrow" w:hAnsi="Arial Narrow"/>
          <w:sz w:val="24"/>
          <w:szCs w:val="24"/>
        </w:rPr>
        <w:lastRenderedPageBreak/>
        <w:t>instalaciones de radiocomunicación y el que versa sobre distintas acciones</w:t>
      </w:r>
      <w:r w:rsidR="00401282" w:rsidRPr="00B56698">
        <w:rPr>
          <w:rFonts w:ascii="Arial Narrow" w:hAnsi="Arial Narrow"/>
          <w:sz w:val="24"/>
          <w:szCs w:val="24"/>
        </w:rPr>
        <w:t>,</w:t>
      </w:r>
      <w:r w:rsidRPr="00B56698">
        <w:rPr>
          <w:rFonts w:ascii="Arial Narrow" w:hAnsi="Arial Narrow"/>
          <w:sz w:val="24"/>
          <w:szCs w:val="24"/>
        </w:rPr>
        <w:t xml:space="preserve"> a las que</w:t>
      </w:r>
      <w:r w:rsidR="00E85FC8" w:rsidRPr="00B56698">
        <w:rPr>
          <w:rFonts w:ascii="Arial Narrow" w:hAnsi="Arial Narrow"/>
          <w:sz w:val="24"/>
          <w:szCs w:val="24"/>
        </w:rPr>
        <w:t xml:space="preserve"> se hará referencia más adelante. </w:t>
      </w:r>
    </w:p>
    <w:p w:rsidR="00E85FC8" w:rsidRPr="00B56698" w:rsidRDefault="00E85FC8" w:rsidP="00B51C47">
      <w:pPr>
        <w:spacing w:after="0" w:line="360" w:lineRule="auto"/>
        <w:ind w:firstLine="567"/>
        <w:jc w:val="both"/>
        <w:rPr>
          <w:rFonts w:ascii="Arial Narrow" w:hAnsi="Arial Narrow"/>
          <w:sz w:val="24"/>
          <w:szCs w:val="24"/>
        </w:rPr>
      </w:pPr>
    </w:p>
    <w:p w:rsidR="00E85FC8" w:rsidRPr="00B56698" w:rsidRDefault="00397D9D" w:rsidP="00B51C47">
      <w:pPr>
        <w:spacing w:after="0" w:line="360" w:lineRule="auto"/>
        <w:ind w:firstLine="567"/>
        <w:jc w:val="both"/>
        <w:rPr>
          <w:rFonts w:ascii="Arial Narrow" w:hAnsi="Arial Narrow"/>
          <w:sz w:val="24"/>
          <w:szCs w:val="24"/>
        </w:rPr>
      </w:pPr>
      <w:r>
        <w:rPr>
          <w:rFonts w:ascii="Arial Narrow" w:hAnsi="Arial Narrow"/>
          <w:sz w:val="24"/>
          <w:szCs w:val="24"/>
        </w:rPr>
        <w:t>A</w:t>
      </w:r>
      <w:r w:rsidR="00CE4D10">
        <w:rPr>
          <w:rFonts w:ascii="Arial Narrow" w:hAnsi="Arial Narrow"/>
          <w:sz w:val="24"/>
          <w:szCs w:val="24"/>
        </w:rPr>
        <w:t xml:space="preserve">. </w:t>
      </w:r>
      <w:r w:rsidR="00E85FC8" w:rsidRPr="00B56698">
        <w:rPr>
          <w:rFonts w:ascii="Arial Narrow" w:hAnsi="Arial Narrow"/>
          <w:sz w:val="24"/>
          <w:szCs w:val="24"/>
        </w:rPr>
        <w:t>Una breve aproximación al proyecto de Ley</w:t>
      </w:r>
      <w:r w:rsidR="002B2009">
        <w:rPr>
          <w:rFonts w:ascii="Arial Narrow" w:hAnsi="Arial Narrow"/>
          <w:sz w:val="24"/>
          <w:szCs w:val="24"/>
        </w:rPr>
        <w:t xml:space="preserve"> autonómico</w:t>
      </w:r>
      <w:r w:rsidR="00E85FC8" w:rsidRPr="00B56698">
        <w:rPr>
          <w:rFonts w:ascii="Arial Narrow" w:hAnsi="Arial Narrow"/>
          <w:sz w:val="24"/>
          <w:szCs w:val="24"/>
        </w:rPr>
        <w:t xml:space="preserve">, una iniciativa que la Proposición no de ley plantea con carácter subsidiario, permite elaborar una hipótesis factible sobre el alcance de los títulos competenciales estatutarios que legitimarían la </w:t>
      </w:r>
      <w:r w:rsidR="00B56698">
        <w:rPr>
          <w:rFonts w:ascii="Arial Narrow" w:hAnsi="Arial Narrow"/>
          <w:sz w:val="24"/>
          <w:szCs w:val="24"/>
        </w:rPr>
        <w:t xml:space="preserve">eventual </w:t>
      </w:r>
      <w:r w:rsidR="00E85FC8" w:rsidRPr="00B56698">
        <w:rPr>
          <w:rFonts w:ascii="Arial Narrow" w:hAnsi="Arial Narrow"/>
          <w:sz w:val="24"/>
          <w:szCs w:val="24"/>
        </w:rPr>
        <w:t>regulación</w:t>
      </w:r>
      <w:r w:rsidR="00D55AA1" w:rsidRPr="00B56698">
        <w:rPr>
          <w:rFonts w:ascii="Arial Narrow" w:hAnsi="Arial Narrow"/>
          <w:sz w:val="24"/>
          <w:szCs w:val="24"/>
        </w:rPr>
        <w:t xml:space="preserve"> </w:t>
      </w:r>
      <w:r w:rsidR="00AD5084">
        <w:rPr>
          <w:rFonts w:ascii="Arial Narrow" w:hAnsi="Arial Narrow"/>
          <w:sz w:val="24"/>
          <w:szCs w:val="24"/>
        </w:rPr>
        <w:t>e identificar, así mismo</w:t>
      </w:r>
      <w:r w:rsidR="00B56698">
        <w:rPr>
          <w:rFonts w:ascii="Arial Narrow" w:hAnsi="Arial Narrow"/>
          <w:sz w:val="24"/>
          <w:szCs w:val="24"/>
        </w:rPr>
        <w:t>,</w:t>
      </w:r>
      <w:r w:rsidR="00D55AA1" w:rsidRPr="00B56698">
        <w:rPr>
          <w:rFonts w:ascii="Arial Narrow" w:hAnsi="Arial Narrow"/>
          <w:sz w:val="24"/>
          <w:szCs w:val="24"/>
        </w:rPr>
        <w:t xml:space="preserve"> </w:t>
      </w:r>
      <w:r w:rsidR="00AD5084">
        <w:rPr>
          <w:rFonts w:ascii="Arial Narrow" w:hAnsi="Arial Narrow"/>
          <w:sz w:val="24"/>
          <w:szCs w:val="24"/>
        </w:rPr>
        <w:t>e</w:t>
      </w:r>
      <w:r w:rsidR="00D55AA1" w:rsidRPr="00B56698">
        <w:rPr>
          <w:rFonts w:ascii="Arial Narrow" w:hAnsi="Arial Narrow"/>
          <w:sz w:val="24"/>
          <w:szCs w:val="24"/>
        </w:rPr>
        <w:t>l título que resultaría prevalente a la luz del tenor de la iniciativa parlamentaria y del contexto en que se inserta</w:t>
      </w:r>
      <w:r w:rsidR="00E85FC8" w:rsidRPr="00B56698">
        <w:rPr>
          <w:rFonts w:ascii="Arial Narrow" w:hAnsi="Arial Narrow"/>
          <w:sz w:val="24"/>
          <w:szCs w:val="24"/>
        </w:rPr>
        <w:t>.</w:t>
      </w:r>
    </w:p>
    <w:p w:rsidR="00401282" w:rsidRPr="00B56698" w:rsidRDefault="00401282" w:rsidP="00B51C47">
      <w:pPr>
        <w:spacing w:after="0" w:line="360" w:lineRule="auto"/>
        <w:ind w:firstLine="567"/>
        <w:jc w:val="both"/>
        <w:rPr>
          <w:rFonts w:ascii="Arial Narrow" w:hAnsi="Arial Narrow"/>
          <w:sz w:val="24"/>
          <w:szCs w:val="24"/>
        </w:rPr>
      </w:pPr>
    </w:p>
    <w:p w:rsidR="00E85FC8" w:rsidRPr="00B56698" w:rsidRDefault="00401282" w:rsidP="007530F6">
      <w:pPr>
        <w:spacing w:after="0" w:line="360" w:lineRule="auto"/>
        <w:ind w:firstLine="567"/>
        <w:jc w:val="both"/>
        <w:rPr>
          <w:rFonts w:ascii="Arial Narrow" w:hAnsi="Arial Narrow"/>
          <w:sz w:val="24"/>
          <w:szCs w:val="24"/>
        </w:rPr>
      </w:pPr>
      <w:r w:rsidRPr="00B56698">
        <w:rPr>
          <w:rFonts w:ascii="Arial Narrow" w:hAnsi="Arial Narrow"/>
          <w:sz w:val="24"/>
          <w:szCs w:val="24"/>
        </w:rPr>
        <w:t>Tal y como se ha apuntado con anterioridad, los títulos que pudieran incidir en la regulación de las instalaciones de radiocomunicación sería</w:t>
      </w:r>
      <w:r w:rsidR="00B56698">
        <w:rPr>
          <w:rFonts w:ascii="Arial Narrow" w:hAnsi="Arial Narrow"/>
          <w:sz w:val="24"/>
          <w:szCs w:val="24"/>
        </w:rPr>
        <w:t xml:space="preserve">n </w:t>
      </w:r>
      <w:r w:rsidR="0095116C">
        <w:rPr>
          <w:rFonts w:ascii="Arial Narrow" w:hAnsi="Arial Narrow"/>
          <w:sz w:val="24"/>
          <w:szCs w:val="24"/>
        </w:rPr>
        <w:t>(</w:t>
      </w:r>
      <w:r w:rsidR="00B56698">
        <w:rPr>
          <w:rFonts w:ascii="Arial Narrow" w:hAnsi="Arial Narrow"/>
          <w:sz w:val="24"/>
          <w:szCs w:val="24"/>
        </w:rPr>
        <w:t>-</w:t>
      </w:r>
      <w:r w:rsidR="0095116C">
        <w:rPr>
          <w:rFonts w:ascii="Arial Narrow" w:hAnsi="Arial Narrow"/>
          <w:sz w:val="24"/>
          <w:szCs w:val="24"/>
        </w:rPr>
        <w:t>)</w:t>
      </w:r>
      <w:r w:rsidR="00B56698">
        <w:rPr>
          <w:rFonts w:ascii="Arial Narrow" w:hAnsi="Arial Narrow"/>
          <w:sz w:val="24"/>
          <w:szCs w:val="24"/>
        </w:rPr>
        <w:t xml:space="preserve"> </w:t>
      </w:r>
      <w:r w:rsidR="007530F6" w:rsidRPr="00B56698">
        <w:rPr>
          <w:rFonts w:ascii="Arial Narrow" w:hAnsi="Arial Narrow"/>
          <w:sz w:val="24"/>
          <w:szCs w:val="24"/>
        </w:rPr>
        <w:t xml:space="preserve">la competencia exclusiva de la Comunidad Autónoma de Euskadi en materia de </w:t>
      </w:r>
      <w:r w:rsidRPr="00B56698">
        <w:rPr>
          <w:rFonts w:ascii="Arial Narrow" w:hAnsi="Arial Narrow"/>
          <w:sz w:val="24"/>
          <w:szCs w:val="24"/>
        </w:rPr>
        <w:t>ordenación del territorio y del litoral</w:t>
      </w:r>
      <w:r w:rsidR="007530F6" w:rsidRPr="00B56698">
        <w:rPr>
          <w:rFonts w:ascii="Arial Narrow" w:hAnsi="Arial Narrow"/>
          <w:sz w:val="24"/>
          <w:szCs w:val="24"/>
        </w:rPr>
        <w:t xml:space="preserve"> (artículo 10.31 EAPV)</w:t>
      </w:r>
      <w:r w:rsidR="00B56698">
        <w:rPr>
          <w:rFonts w:ascii="Arial Narrow" w:hAnsi="Arial Narrow"/>
          <w:sz w:val="24"/>
          <w:szCs w:val="24"/>
        </w:rPr>
        <w:t xml:space="preserve">; </w:t>
      </w:r>
      <w:r w:rsidR="0095116C">
        <w:rPr>
          <w:rFonts w:ascii="Arial Narrow" w:hAnsi="Arial Narrow"/>
          <w:sz w:val="24"/>
          <w:szCs w:val="24"/>
        </w:rPr>
        <w:t>(</w:t>
      </w:r>
      <w:r w:rsidR="00B56698">
        <w:rPr>
          <w:rFonts w:ascii="Arial Narrow" w:hAnsi="Arial Narrow"/>
          <w:sz w:val="24"/>
          <w:szCs w:val="24"/>
        </w:rPr>
        <w:t>-</w:t>
      </w:r>
      <w:r w:rsidR="0095116C">
        <w:rPr>
          <w:rFonts w:ascii="Arial Narrow" w:hAnsi="Arial Narrow"/>
          <w:sz w:val="24"/>
          <w:szCs w:val="24"/>
        </w:rPr>
        <w:t>)</w:t>
      </w:r>
      <w:r w:rsidR="007530F6" w:rsidRPr="00B56698">
        <w:rPr>
          <w:rFonts w:ascii="Arial Narrow" w:hAnsi="Arial Narrow"/>
          <w:sz w:val="24"/>
          <w:szCs w:val="24"/>
        </w:rPr>
        <w:t xml:space="preserve"> la competencia de </w:t>
      </w:r>
      <w:r w:rsidRPr="00B56698">
        <w:rPr>
          <w:rFonts w:ascii="Arial Narrow" w:hAnsi="Arial Narrow"/>
          <w:sz w:val="24"/>
          <w:szCs w:val="24"/>
        </w:rPr>
        <w:t xml:space="preserve"> </w:t>
      </w:r>
      <w:r w:rsidR="007530F6" w:rsidRPr="00B56698">
        <w:rPr>
          <w:rFonts w:ascii="Arial Narrow" w:hAnsi="Arial Narrow"/>
          <w:sz w:val="24"/>
          <w:szCs w:val="24"/>
        </w:rPr>
        <w:t xml:space="preserve">desarrollo legislativo y la ejecución en materia de medio ambiente y ecología (artículo 11.1 a) EAPV) y en materia de sanidad interior (artículo 18.1 EAPV) y, tangencialmente, </w:t>
      </w:r>
      <w:r w:rsidR="0095116C">
        <w:rPr>
          <w:rFonts w:ascii="Arial Narrow" w:hAnsi="Arial Narrow"/>
          <w:sz w:val="24"/>
          <w:szCs w:val="24"/>
        </w:rPr>
        <w:t>(</w:t>
      </w:r>
      <w:r w:rsidR="00B56698">
        <w:rPr>
          <w:rFonts w:ascii="Arial Narrow" w:hAnsi="Arial Narrow"/>
          <w:sz w:val="24"/>
          <w:szCs w:val="24"/>
        </w:rPr>
        <w:t>-</w:t>
      </w:r>
      <w:r w:rsidR="0095116C">
        <w:rPr>
          <w:rFonts w:ascii="Arial Narrow" w:hAnsi="Arial Narrow"/>
          <w:sz w:val="24"/>
          <w:szCs w:val="24"/>
        </w:rPr>
        <w:t>)</w:t>
      </w:r>
      <w:r w:rsidR="00B56698">
        <w:rPr>
          <w:rFonts w:ascii="Arial Narrow" w:hAnsi="Arial Narrow"/>
          <w:sz w:val="24"/>
          <w:szCs w:val="24"/>
        </w:rPr>
        <w:t xml:space="preserve"> </w:t>
      </w:r>
      <w:r w:rsidR="007530F6" w:rsidRPr="00B56698">
        <w:rPr>
          <w:rFonts w:ascii="Arial Narrow" w:hAnsi="Arial Narrow"/>
          <w:sz w:val="24"/>
          <w:szCs w:val="24"/>
        </w:rPr>
        <w:t xml:space="preserve">la competencia de desarrollo legislativo de las normas básicas del Estado en materia de medios de comunicación social (artículo 19.1 EAPV). </w:t>
      </w:r>
    </w:p>
    <w:p w:rsidR="00C16BAA" w:rsidRPr="00B56698" w:rsidRDefault="00C16BAA" w:rsidP="007530F6">
      <w:pPr>
        <w:spacing w:after="0" w:line="360" w:lineRule="auto"/>
        <w:ind w:firstLine="567"/>
        <w:jc w:val="both"/>
        <w:rPr>
          <w:rFonts w:ascii="Arial Narrow" w:hAnsi="Arial Narrow"/>
          <w:sz w:val="24"/>
          <w:szCs w:val="24"/>
        </w:rPr>
      </w:pPr>
    </w:p>
    <w:p w:rsidR="00B56698" w:rsidRDefault="003941C9" w:rsidP="00C16BAA">
      <w:pPr>
        <w:spacing w:after="0" w:line="360" w:lineRule="auto"/>
        <w:ind w:firstLine="567"/>
        <w:jc w:val="both"/>
        <w:rPr>
          <w:rFonts w:ascii="Arial Narrow" w:hAnsi="Arial Narrow"/>
          <w:sz w:val="24"/>
          <w:szCs w:val="24"/>
        </w:rPr>
      </w:pPr>
      <w:r>
        <w:rPr>
          <w:rFonts w:ascii="Arial Narrow" w:hAnsi="Arial Narrow"/>
          <w:sz w:val="24"/>
          <w:szCs w:val="24"/>
        </w:rPr>
        <w:t>Una relación de títulos competenciales que no puede ignorar e</w:t>
      </w:r>
      <w:r w:rsidR="00C16BAA" w:rsidRPr="00B56698">
        <w:rPr>
          <w:rFonts w:ascii="Arial Narrow" w:hAnsi="Arial Narrow"/>
          <w:sz w:val="24"/>
          <w:szCs w:val="24"/>
        </w:rPr>
        <w:t>l alcance de</w:t>
      </w:r>
      <w:r>
        <w:rPr>
          <w:rFonts w:ascii="Arial Narrow" w:hAnsi="Arial Narrow"/>
          <w:sz w:val="24"/>
          <w:szCs w:val="24"/>
        </w:rPr>
        <w:t xml:space="preserve"> </w:t>
      </w:r>
      <w:r w:rsidR="00C16BAA" w:rsidRPr="00B56698">
        <w:rPr>
          <w:rFonts w:ascii="Arial Narrow" w:hAnsi="Arial Narrow"/>
          <w:sz w:val="24"/>
          <w:szCs w:val="24"/>
        </w:rPr>
        <w:t>l</w:t>
      </w:r>
      <w:r>
        <w:rPr>
          <w:rFonts w:ascii="Arial Narrow" w:hAnsi="Arial Narrow"/>
          <w:sz w:val="24"/>
          <w:szCs w:val="24"/>
        </w:rPr>
        <w:t xml:space="preserve">a </w:t>
      </w:r>
      <w:r w:rsidR="00C16BAA" w:rsidRPr="00B56698">
        <w:rPr>
          <w:rFonts w:ascii="Arial Narrow" w:hAnsi="Arial Narrow"/>
          <w:sz w:val="24"/>
          <w:szCs w:val="24"/>
        </w:rPr>
        <w:t>competencia estatal en materia de telecomunicaciones que, como es obvio, incide con singular vigor en la regulación de las instalaciones de radiocomunicación</w:t>
      </w:r>
      <w:r w:rsidR="00B56698">
        <w:rPr>
          <w:rFonts w:ascii="Arial Narrow" w:hAnsi="Arial Narrow"/>
          <w:sz w:val="24"/>
          <w:szCs w:val="24"/>
        </w:rPr>
        <w:t xml:space="preserve">, </w:t>
      </w:r>
      <w:r>
        <w:rPr>
          <w:rFonts w:ascii="Arial Narrow" w:hAnsi="Arial Narrow"/>
          <w:sz w:val="24"/>
          <w:szCs w:val="24"/>
        </w:rPr>
        <w:t xml:space="preserve">pues su consideración </w:t>
      </w:r>
      <w:r w:rsidR="00B56698">
        <w:rPr>
          <w:rFonts w:ascii="Arial Narrow" w:hAnsi="Arial Narrow"/>
          <w:sz w:val="24"/>
          <w:szCs w:val="24"/>
        </w:rPr>
        <w:t>termina de enmarcar las posibilidades de intervención autonómica</w:t>
      </w:r>
      <w:r>
        <w:rPr>
          <w:rFonts w:ascii="Arial Narrow" w:hAnsi="Arial Narrow"/>
          <w:sz w:val="24"/>
          <w:szCs w:val="24"/>
        </w:rPr>
        <w:t>, y también, de las áreas de acción en las que la misma puede concentrarse</w:t>
      </w:r>
      <w:r w:rsidR="00C16BAA" w:rsidRPr="00B56698">
        <w:rPr>
          <w:rFonts w:ascii="Arial Narrow" w:hAnsi="Arial Narrow"/>
          <w:sz w:val="24"/>
          <w:szCs w:val="24"/>
        </w:rPr>
        <w:t xml:space="preserve">. </w:t>
      </w:r>
    </w:p>
    <w:p w:rsidR="00B56698" w:rsidRDefault="00B56698" w:rsidP="00C16BAA">
      <w:pPr>
        <w:spacing w:after="0" w:line="360" w:lineRule="auto"/>
        <w:ind w:firstLine="567"/>
        <w:jc w:val="both"/>
        <w:rPr>
          <w:rFonts w:ascii="Arial Narrow" w:hAnsi="Arial Narrow"/>
          <w:sz w:val="24"/>
          <w:szCs w:val="24"/>
        </w:rPr>
      </w:pPr>
    </w:p>
    <w:p w:rsidR="00D55AA1" w:rsidRPr="00B56698" w:rsidRDefault="00C16BAA" w:rsidP="00C16BAA">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Al </w:t>
      </w:r>
      <w:r w:rsidR="00694DC0" w:rsidRPr="00B56698">
        <w:rPr>
          <w:rFonts w:ascii="Arial Narrow" w:hAnsi="Arial Narrow"/>
          <w:sz w:val="24"/>
          <w:szCs w:val="24"/>
        </w:rPr>
        <w:t xml:space="preserve">Estado </w:t>
      </w:r>
      <w:r w:rsidRPr="00B56698">
        <w:rPr>
          <w:rFonts w:ascii="Arial Narrow" w:hAnsi="Arial Narrow"/>
          <w:sz w:val="24"/>
          <w:szCs w:val="24"/>
        </w:rPr>
        <w:t>corresponde regular los aspectos técnicos de la emisión relativos al uso del dominio público radioeléctrico</w:t>
      </w:r>
      <w:r w:rsidR="00694DC0" w:rsidRPr="00B56698">
        <w:rPr>
          <w:rFonts w:ascii="Arial Narrow" w:hAnsi="Arial Narrow"/>
          <w:sz w:val="24"/>
          <w:szCs w:val="24"/>
        </w:rPr>
        <w:t xml:space="preserve"> (SSTC 168/1993; 244/1993; 127/1994; 31/2010), el régimen de títulos habilitantes para su utilización y para el funcionamiento de las redes o estaciones radioeléctricas, la </w:t>
      </w:r>
      <w:r w:rsidR="00215F05" w:rsidRPr="00B56698">
        <w:rPr>
          <w:rFonts w:ascii="Arial Narrow" w:hAnsi="Arial Narrow"/>
          <w:sz w:val="24"/>
          <w:szCs w:val="24"/>
        </w:rPr>
        <w:t>ordenación</w:t>
      </w:r>
      <w:r w:rsidR="00694DC0" w:rsidRPr="00B56698">
        <w:rPr>
          <w:rFonts w:ascii="Arial Narrow" w:hAnsi="Arial Narrow"/>
          <w:sz w:val="24"/>
          <w:szCs w:val="24"/>
        </w:rPr>
        <w:t xml:space="preserve"> del sector de las </w:t>
      </w:r>
      <w:r w:rsidR="00215F05" w:rsidRPr="00B56698">
        <w:rPr>
          <w:rFonts w:ascii="Arial Narrow" w:hAnsi="Arial Narrow"/>
          <w:sz w:val="24"/>
          <w:szCs w:val="24"/>
        </w:rPr>
        <w:t>tele</w:t>
      </w:r>
      <w:r w:rsidR="00694DC0" w:rsidRPr="00B56698">
        <w:rPr>
          <w:rFonts w:ascii="Arial Narrow" w:hAnsi="Arial Narrow"/>
          <w:sz w:val="24"/>
          <w:szCs w:val="24"/>
        </w:rPr>
        <w:t xml:space="preserve">comunicaciones, las condiciones de prestación del servicio, de explotación de las redes y del régimen jurídico de los operadores. </w:t>
      </w:r>
    </w:p>
    <w:p w:rsidR="00D55AA1" w:rsidRPr="00B56698" w:rsidRDefault="00D55AA1" w:rsidP="00C16BAA">
      <w:pPr>
        <w:spacing w:after="0" w:line="360" w:lineRule="auto"/>
        <w:ind w:firstLine="567"/>
        <w:jc w:val="both"/>
        <w:rPr>
          <w:rFonts w:ascii="Arial Narrow" w:hAnsi="Arial Narrow"/>
          <w:sz w:val="24"/>
          <w:szCs w:val="24"/>
        </w:rPr>
      </w:pPr>
    </w:p>
    <w:p w:rsidR="003941C9" w:rsidRDefault="003941C9"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Un </w:t>
      </w:r>
      <w:r w:rsidR="00D55AA1" w:rsidRPr="00B56698">
        <w:rPr>
          <w:rFonts w:ascii="Arial Narrow" w:hAnsi="Arial Narrow"/>
          <w:sz w:val="24"/>
          <w:szCs w:val="24"/>
        </w:rPr>
        <w:t xml:space="preserve">breve acercamiento </w:t>
      </w:r>
      <w:r>
        <w:rPr>
          <w:rFonts w:ascii="Arial Narrow" w:hAnsi="Arial Narrow"/>
          <w:sz w:val="24"/>
          <w:szCs w:val="24"/>
        </w:rPr>
        <w:t>que i</w:t>
      </w:r>
      <w:r w:rsidR="00AF74EB">
        <w:rPr>
          <w:rFonts w:ascii="Arial Narrow" w:hAnsi="Arial Narrow"/>
          <w:sz w:val="24"/>
          <w:szCs w:val="24"/>
        </w:rPr>
        <w:t>lustra</w:t>
      </w:r>
      <w:r w:rsidR="00063876" w:rsidRPr="00B56698">
        <w:rPr>
          <w:rFonts w:ascii="Arial Narrow" w:hAnsi="Arial Narrow"/>
          <w:sz w:val="24"/>
          <w:szCs w:val="24"/>
        </w:rPr>
        <w:t xml:space="preserve"> </w:t>
      </w:r>
      <w:r w:rsidR="00E06EE1" w:rsidRPr="00B56698">
        <w:rPr>
          <w:rFonts w:ascii="Arial Narrow" w:hAnsi="Arial Narrow"/>
          <w:sz w:val="24"/>
          <w:szCs w:val="24"/>
        </w:rPr>
        <w:t>s</w:t>
      </w:r>
      <w:r w:rsidR="00215F05" w:rsidRPr="00B56698">
        <w:rPr>
          <w:rFonts w:ascii="Arial Narrow" w:hAnsi="Arial Narrow"/>
          <w:sz w:val="24"/>
          <w:szCs w:val="24"/>
        </w:rPr>
        <w:t>u gran potencial expansivo</w:t>
      </w:r>
      <w:r w:rsidR="00E06EE1" w:rsidRPr="00B56698">
        <w:rPr>
          <w:rFonts w:ascii="Arial Narrow" w:hAnsi="Arial Narrow"/>
          <w:sz w:val="24"/>
          <w:szCs w:val="24"/>
        </w:rPr>
        <w:t>,</w:t>
      </w:r>
      <w:r w:rsidR="00AD5084">
        <w:rPr>
          <w:rFonts w:ascii="Arial Narrow" w:hAnsi="Arial Narrow"/>
          <w:sz w:val="24"/>
          <w:szCs w:val="24"/>
        </w:rPr>
        <w:t xml:space="preserve"> que </w:t>
      </w:r>
      <w:r>
        <w:rPr>
          <w:rFonts w:ascii="Arial Narrow" w:hAnsi="Arial Narrow"/>
          <w:sz w:val="24"/>
          <w:szCs w:val="24"/>
        </w:rPr>
        <w:t xml:space="preserve">prácticamente no </w:t>
      </w:r>
      <w:r w:rsidR="00AD5084">
        <w:rPr>
          <w:rFonts w:ascii="Arial Narrow" w:hAnsi="Arial Narrow"/>
          <w:sz w:val="24"/>
          <w:szCs w:val="24"/>
        </w:rPr>
        <w:t xml:space="preserve">deja </w:t>
      </w:r>
      <w:r w:rsidR="00063876" w:rsidRPr="00B56698">
        <w:rPr>
          <w:rFonts w:ascii="Arial Narrow" w:hAnsi="Arial Narrow"/>
          <w:sz w:val="24"/>
          <w:szCs w:val="24"/>
        </w:rPr>
        <w:t>margen a la regulación autonómica</w:t>
      </w:r>
      <w:r>
        <w:rPr>
          <w:rFonts w:ascii="Arial Narrow" w:hAnsi="Arial Narrow"/>
          <w:sz w:val="24"/>
          <w:szCs w:val="24"/>
        </w:rPr>
        <w:t xml:space="preserve"> sobre la materia; una afectación con particular incidencia en</w:t>
      </w:r>
      <w:r w:rsidR="00AF74EB">
        <w:rPr>
          <w:rFonts w:ascii="Arial Narrow" w:hAnsi="Arial Narrow"/>
          <w:sz w:val="24"/>
          <w:szCs w:val="24"/>
        </w:rPr>
        <w:t xml:space="preserve"> </w:t>
      </w:r>
      <w:r w:rsidR="00063876" w:rsidRPr="00B56698">
        <w:rPr>
          <w:rFonts w:ascii="Arial Narrow" w:hAnsi="Arial Narrow"/>
          <w:sz w:val="24"/>
          <w:szCs w:val="24"/>
        </w:rPr>
        <w:t xml:space="preserve">las áreas de actuación que </w:t>
      </w:r>
      <w:r w:rsidR="00215F05" w:rsidRPr="00B56698">
        <w:rPr>
          <w:rFonts w:ascii="Arial Narrow" w:hAnsi="Arial Narrow"/>
          <w:sz w:val="24"/>
          <w:szCs w:val="24"/>
        </w:rPr>
        <w:t xml:space="preserve">naturalmente </w:t>
      </w:r>
      <w:r w:rsidR="00063876" w:rsidRPr="00B56698">
        <w:rPr>
          <w:rFonts w:ascii="Arial Narrow" w:hAnsi="Arial Narrow"/>
          <w:sz w:val="24"/>
          <w:szCs w:val="24"/>
        </w:rPr>
        <w:t xml:space="preserve">conciernen al Departamento de Desarrollo Económico y </w:t>
      </w:r>
      <w:r w:rsidR="00063876" w:rsidRPr="00B56698">
        <w:rPr>
          <w:rFonts w:ascii="Arial Narrow" w:hAnsi="Arial Narrow"/>
          <w:sz w:val="24"/>
          <w:szCs w:val="24"/>
        </w:rPr>
        <w:lastRenderedPageBreak/>
        <w:t>Competitividad, de acuerdo con lo dispuesto en el artículo 7 del Decreto 20/2012, de 15 de diciembre, del Lehendakari, de creación, supresión y modificación de los Departamentos de la Administración de la Comunidad Autónoma del País Vasco y de determinación de funciones y áreas de actuación</w:t>
      </w:r>
      <w:r w:rsidR="00215F05" w:rsidRPr="00B56698">
        <w:rPr>
          <w:rFonts w:ascii="Arial Narrow" w:hAnsi="Arial Narrow"/>
          <w:sz w:val="24"/>
          <w:szCs w:val="24"/>
        </w:rPr>
        <w:t>.</w:t>
      </w:r>
      <w:r>
        <w:rPr>
          <w:rFonts w:ascii="Arial Narrow" w:hAnsi="Arial Narrow"/>
          <w:sz w:val="24"/>
          <w:szCs w:val="24"/>
        </w:rPr>
        <w:t xml:space="preserve"> </w:t>
      </w:r>
    </w:p>
    <w:p w:rsidR="003941C9" w:rsidRDefault="003941C9" w:rsidP="00063876">
      <w:pPr>
        <w:spacing w:after="0" w:line="360" w:lineRule="auto"/>
        <w:ind w:firstLine="567"/>
        <w:jc w:val="both"/>
        <w:rPr>
          <w:rFonts w:ascii="Arial Narrow" w:hAnsi="Arial Narrow"/>
          <w:sz w:val="24"/>
          <w:szCs w:val="24"/>
        </w:rPr>
      </w:pPr>
    </w:p>
    <w:p w:rsidR="003941C9" w:rsidRDefault="003941C9"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Una vis expansiva de la competencia estatal en materia de telecomunicaciones </w:t>
      </w:r>
      <w:r w:rsidR="00AF74EB">
        <w:rPr>
          <w:rFonts w:ascii="Arial Narrow" w:hAnsi="Arial Narrow"/>
          <w:sz w:val="24"/>
          <w:szCs w:val="24"/>
        </w:rPr>
        <w:t xml:space="preserve">que </w:t>
      </w:r>
      <w:r>
        <w:rPr>
          <w:rFonts w:ascii="Arial Narrow" w:hAnsi="Arial Narrow"/>
          <w:sz w:val="24"/>
          <w:szCs w:val="24"/>
        </w:rPr>
        <w:t xml:space="preserve">no obsta a una </w:t>
      </w:r>
      <w:r w:rsidR="009616B4" w:rsidRPr="00B56698">
        <w:rPr>
          <w:rFonts w:ascii="Arial Narrow" w:hAnsi="Arial Narrow"/>
          <w:sz w:val="24"/>
          <w:szCs w:val="24"/>
        </w:rPr>
        <w:t xml:space="preserve">regulación autonómica de las infraestructuras e instalaciones de telecomunicaciones </w:t>
      </w:r>
      <w:r>
        <w:rPr>
          <w:rFonts w:ascii="Arial Narrow" w:hAnsi="Arial Narrow"/>
          <w:sz w:val="24"/>
          <w:szCs w:val="24"/>
        </w:rPr>
        <w:t xml:space="preserve">que se dirija </w:t>
      </w:r>
      <w:r w:rsidR="009616B4" w:rsidRPr="00B56698">
        <w:rPr>
          <w:rFonts w:ascii="Arial Narrow" w:hAnsi="Arial Narrow"/>
          <w:sz w:val="24"/>
          <w:szCs w:val="24"/>
        </w:rPr>
        <w:t xml:space="preserve">a preservar los intereses públicos encomendados a la CAE, </w:t>
      </w:r>
      <w:r>
        <w:rPr>
          <w:rFonts w:ascii="Arial Narrow" w:hAnsi="Arial Narrow"/>
          <w:sz w:val="24"/>
          <w:szCs w:val="24"/>
        </w:rPr>
        <w:t>singularmente</w:t>
      </w:r>
      <w:r w:rsidR="009616B4" w:rsidRPr="00B56698">
        <w:rPr>
          <w:rFonts w:ascii="Arial Narrow" w:hAnsi="Arial Narrow"/>
          <w:sz w:val="24"/>
          <w:szCs w:val="24"/>
        </w:rPr>
        <w:t xml:space="preserve">, los intereses de ordenación territorial y urbana, medio ambiente y paisaje y salud. </w:t>
      </w:r>
    </w:p>
    <w:p w:rsidR="003941C9" w:rsidRDefault="003941C9" w:rsidP="00063876">
      <w:pPr>
        <w:spacing w:after="0" w:line="360" w:lineRule="auto"/>
        <w:ind w:firstLine="567"/>
        <w:jc w:val="both"/>
        <w:rPr>
          <w:rFonts w:ascii="Arial Narrow" w:hAnsi="Arial Narrow"/>
          <w:sz w:val="24"/>
          <w:szCs w:val="24"/>
        </w:rPr>
      </w:pPr>
    </w:p>
    <w:p w:rsidR="00B32748" w:rsidRPr="00B56698" w:rsidRDefault="009616B4" w:rsidP="00063876">
      <w:pPr>
        <w:spacing w:after="0" w:line="360" w:lineRule="auto"/>
        <w:ind w:firstLine="567"/>
        <w:jc w:val="both"/>
        <w:rPr>
          <w:rFonts w:ascii="Arial Narrow" w:hAnsi="Arial Narrow"/>
          <w:sz w:val="24"/>
          <w:szCs w:val="24"/>
        </w:rPr>
      </w:pPr>
      <w:r w:rsidRPr="00B56698">
        <w:rPr>
          <w:rFonts w:ascii="Arial Narrow" w:hAnsi="Arial Narrow"/>
          <w:sz w:val="24"/>
          <w:szCs w:val="24"/>
        </w:rPr>
        <w:t xml:space="preserve">Un protagonismo de estos ámbitos materiales </w:t>
      </w:r>
      <w:r w:rsidR="0015183B" w:rsidRPr="00B56698">
        <w:rPr>
          <w:rFonts w:ascii="Arial Narrow" w:hAnsi="Arial Narrow"/>
          <w:sz w:val="24"/>
          <w:szCs w:val="24"/>
        </w:rPr>
        <w:t>que se transmite a</w:t>
      </w:r>
      <w:r w:rsidR="00B32748" w:rsidRPr="00B56698">
        <w:rPr>
          <w:rFonts w:ascii="Arial Narrow" w:hAnsi="Arial Narrow"/>
          <w:sz w:val="24"/>
          <w:szCs w:val="24"/>
        </w:rPr>
        <w:t xml:space="preserve"> los </w:t>
      </w:r>
      <w:r w:rsidR="00E06EE1" w:rsidRPr="00B56698">
        <w:rPr>
          <w:rFonts w:ascii="Arial Narrow" w:hAnsi="Arial Narrow"/>
          <w:sz w:val="24"/>
          <w:szCs w:val="24"/>
        </w:rPr>
        <w:t xml:space="preserve">Departamentos </w:t>
      </w:r>
      <w:r w:rsidR="00B32748" w:rsidRPr="00B56698">
        <w:rPr>
          <w:rFonts w:ascii="Arial Narrow" w:hAnsi="Arial Narrow"/>
          <w:sz w:val="24"/>
          <w:szCs w:val="24"/>
        </w:rPr>
        <w:t xml:space="preserve">a los que corresponden </w:t>
      </w:r>
      <w:r w:rsidR="0015183B" w:rsidRPr="00B56698">
        <w:rPr>
          <w:rFonts w:ascii="Arial Narrow" w:hAnsi="Arial Narrow"/>
          <w:sz w:val="24"/>
          <w:szCs w:val="24"/>
        </w:rPr>
        <w:t>dichas</w:t>
      </w:r>
      <w:r w:rsidR="00B32748" w:rsidRPr="00B56698">
        <w:rPr>
          <w:rFonts w:ascii="Arial Narrow" w:hAnsi="Arial Narrow"/>
          <w:sz w:val="24"/>
          <w:szCs w:val="24"/>
        </w:rPr>
        <w:t xml:space="preserve"> áreas de actuación</w:t>
      </w:r>
      <w:r w:rsidRPr="00B56698">
        <w:rPr>
          <w:rFonts w:ascii="Arial Narrow" w:hAnsi="Arial Narrow"/>
          <w:sz w:val="24"/>
          <w:szCs w:val="24"/>
        </w:rPr>
        <w:t xml:space="preserve"> y que merece un examen individual, atendiendo a las tres finalidades que</w:t>
      </w:r>
      <w:r w:rsidR="00AF74EB">
        <w:rPr>
          <w:rFonts w:ascii="Arial Narrow" w:hAnsi="Arial Narrow"/>
          <w:sz w:val="24"/>
          <w:szCs w:val="24"/>
        </w:rPr>
        <w:t xml:space="preserve">, previsiblemente, </w:t>
      </w:r>
      <w:r w:rsidRPr="00B56698">
        <w:rPr>
          <w:rFonts w:ascii="Arial Narrow" w:hAnsi="Arial Narrow"/>
          <w:sz w:val="24"/>
          <w:szCs w:val="24"/>
        </w:rPr>
        <w:t>habrán de vertebrar</w:t>
      </w:r>
      <w:r w:rsidR="003941C9">
        <w:rPr>
          <w:rFonts w:ascii="Arial Narrow" w:hAnsi="Arial Narrow"/>
          <w:sz w:val="24"/>
          <w:szCs w:val="24"/>
        </w:rPr>
        <w:t xml:space="preserve">, siempre en hipótesis, </w:t>
      </w:r>
      <w:r w:rsidRPr="00B56698">
        <w:rPr>
          <w:rFonts w:ascii="Arial Narrow" w:hAnsi="Arial Narrow"/>
          <w:sz w:val="24"/>
          <w:szCs w:val="24"/>
        </w:rPr>
        <w:t>la eventual regulación a la que viene haciéndose referencia</w:t>
      </w:r>
      <w:r w:rsidR="00AF74EB">
        <w:rPr>
          <w:rFonts w:ascii="Arial Narrow" w:hAnsi="Arial Narrow"/>
          <w:sz w:val="24"/>
          <w:szCs w:val="24"/>
        </w:rPr>
        <w:t xml:space="preserve"> en este escrito</w:t>
      </w:r>
      <w:r w:rsidRPr="00B56698">
        <w:rPr>
          <w:rFonts w:ascii="Arial Narrow" w:hAnsi="Arial Narrow"/>
          <w:sz w:val="24"/>
          <w:szCs w:val="24"/>
        </w:rPr>
        <w:t>: protección de la salud y minimización del impacto ambiental, paisajístico y visual de los sistemas radiantes causantes de la contaminación electromagnética</w:t>
      </w:r>
      <w:r w:rsidR="00B32748" w:rsidRPr="00B56698">
        <w:rPr>
          <w:rFonts w:ascii="Arial Narrow" w:hAnsi="Arial Narrow"/>
          <w:sz w:val="24"/>
          <w:szCs w:val="24"/>
        </w:rPr>
        <w:t>.</w:t>
      </w:r>
    </w:p>
    <w:p w:rsidR="009616B4" w:rsidRPr="00B56698" w:rsidRDefault="009616B4" w:rsidP="00063876">
      <w:pPr>
        <w:spacing w:after="0" w:line="360" w:lineRule="auto"/>
        <w:ind w:firstLine="567"/>
        <w:jc w:val="both"/>
        <w:rPr>
          <w:rFonts w:ascii="Arial Narrow" w:hAnsi="Arial Narrow"/>
          <w:sz w:val="24"/>
          <w:szCs w:val="24"/>
        </w:rPr>
      </w:pPr>
    </w:p>
    <w:p w:rsidR="005C180C" w:rsidRDefault="003941C9"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Al análisis de </w:t>
      </w:r>
      <w:r w:rsidR="005C180C">
        <w:rPr>
          <w:rFonts w:ascii="Arial Narrow" w:hAnsi="Arial Narrow"/>
          <w:sz w:val="24"/>
          <w:szCs w:val="24"/>
        </w:rPr>
        <w:t xml:space="preserve">los ámbitos materiales citados </w:t>
      </w:r>
      <w:r>
        <w:rPr>
          <w:rFonts w:ascii="Arial Narrow" w:hAnsi="Arial Narrow"/>
          <w:sz w:val="24"/>
          <w:szCs w:val="24"/>
        </w:rPr>
        <w:t xml:space="preserve">debe sumarse la referencia </w:t>
      </w:r>
      <w:r w:rsidR="00D22CC7" w:rsidRPr="00B56698">
        <w:rPr>
          <w:rFonts w:ascii="Arial Narrow" w:hAnsi="Arial Narrow"/>
          <w:sz w:val="24"/>
          <w:szCs w:val="24"/>
        </w:rPr>
        <w:t xml:space="preserve">al contenido </w:t>
      </w:r>
      <w:r w:rsidR="005C180C">
        <w:rPr>
          <w:rFonts w:ascii="Arial Narrow" w:hAnsi="Arial Narrow"/>
          <w:sz w:val="24"/>
          <w:szCs w:val="24"/>
        </w:rPr>
        <w:t xml:space="preserve">de la Resolución </w:t>
      </w:r>
      <w:r w:rsidR="00D22CC7" w:rsidRPr="00B56698">
        <w:rPr>
          <w:rFonts w:ascii="Arial Narrow" w:hAnsi="Arial Narrow"/>
          <w:sz w:val="24"/>
          <w:szCs w:val="24"/>
        </w:rPr>
        <w:t xml:space="preserve">1815 del Consejo de Europa, </w:t>
      </w:r>
      <w:r>
        <w:rPr>
          <w:rFonts w:ascii="Arial Narrow" w:hAnsi="Arial Narrow"/>
          <w:sz w:val="24"/>
          <w:szCs w:val="24"/>
        </w:rPr>
        <w:t xml:space="preserve">en tanto enmarca la </w:t>
      </w:r>
      <w:r w:rsidR="00D22CC7" w:rsidRPr="00B56698">
        <w:rPr>
          <w:rFonts w:ascii="Arial Narrow" w:hAnsi="Arial Narrow"/>
          <w:sz w:val="24"/>
          <w:szCs w:val="24"/>
        </w:rPr>
        <w:t>iniciativa</w:t>
      </w:r>
      <w:r w:rsidR="00AF74EB">
        <w:rPr>
          <w:rFonts w:ascii="Arial Narrow" w:hAnsi="Arial Narrow"/>
          <w:sz w:val="24"/>
          <w:szCs w:val="24"/>
        </w:rPr>
        <w:t xml:space="preserve"> parlamentaria de la que trae causa la consulta</w:t>
      </w:r>
      <w:r w:rsidR="005C180C">
        <w:rPr>
          <w:rFonts w:ascii="Arial Narrow" w:hAnsi="Arial Narrow"/>
          <w:sz w:val="24"/>
          <w:szCs w:val="24"/>
        </w:rPr>
        <w:t>,</w:t>
      </w:r>
      <w:r w:rsidR="00B56698" w:rsidRPr="00B56698">
        <w:rPr>
          <w:rFonts w:ascii="Arial Narrow" w:hAnsi="Arial Narrow"/>
          <w:sz w:val="24"/>
          <w:szCs w:val="24"/>
        </w:rPr>
        <w:t xml:space="preserve"> </w:t>
      </w:r>
      <w:r w:rsidR="0095116C">
        <w:rPr>
          <w:rFonts w:ascii="Arial Narrow" w:hAnsi="Arial Narrow"/>
          <w:sz w:val="24"/>
          <w:szCs w:val="24"/>
        </w:rPr>
        <w:t xml:space="preserve">y </w:t>
      </w:r>
      <w:r w:rsidR="00B56698" w:rsidRPr="00B56698">
        <w:rPr>
          <w:rFonts w:ascii="Arial Narrow" w:hAnsi="Arial Narrow"/>
          <w:sz w:val="24"/>
          <w:szCs w:val="24"/>
        </w:rPr>
        <w:t xml:space="preserve">que ha de servir, también, </w:t>
      </w:r>
      <w:r w:rsidR="005C180C">
        <w:rPr>
          <w:rFonts w:ascii="Arial Narrow" w:hAnsi="Arial Narrow"/>
          <w:sz w:val="24"/>
          <w:szCs w:val="24"/>
        </w:rPr>
        <w:t xml:space="preserve">para contextualizar el examen que desembocará en la identificación de la competencia prevalente. </w:t>
      </w:r>
    </w:p>
    <w:p w:rsidR="005C180C" w:rsidRDefault="005C180C" w:rsidP="00063876">
      <w:pPr>
        <w:spacing w:after="0" w:line="360" w:lineRule="auto"/>
        <w:ind w:firstLine="567"/>
        <w:jc w:val="both"/>
        <w:rPr>
          <w:rFonts w:ascii="Arial Narrow" w:hAnsi="Arial Narrow"/>
          <w:sz w:val="24"/>
          <w:szCs w:val="24"/>
        </w:rPr>
      </w:pPr>
    </w:p>
    <w:p w:rsidR="00B56698" w:rsidRPr="00B56698" w:rsidRDefault="005C180C"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La Resolución citada distingue </w:t>
      </w:r>
      <w:r w:rsidR="00B56698" w:rsidRPr="00B56698">
        <w:rPr>
          <w:rFonts w:ascii="Arial Narrow" w:hAnsi="Arial Narrow"/>
          <w:sz w:val="24"/>
          <w:szCs w:val="24"/>
        </w:rPr>
        <w:t>con claridad los ámbitos de acción que corresponden a cada una de los títulos competenciales apuntados</w:t>
      </w:r>
      <w:r>
        <w:rPr>
          <w:rFonts w:ascii="Arial Narrow" w:hAnsi="Arial Narrow"/>
          <w:sz w:val="24"/>
          <w:szCs w:val="24"/>
        </w:rPr>
        <w:t xml:space="preserve"> –protección de la salud, del medio ambiente, ordenación del territorio-</w:t>
      </w:r>
      <w:r w:rsidR="00B56698" w:rsidRPr="00B56698">
        <w:rPr>
          <w:rFonts w:ascii="Arial Narrow" w:hAnsi="Arial Narrow"/>
          <w:sz w:val="24"/>
          <w:szCs w:val="24"/>
        </w:rPr>
        <w:t xml:space="preserve">. </w:t>
      </w:r>
    </w:p>
    <w:p w:rsidR="00B56698" w:rsidRPr="00B56698" w:rsidRDefault="00B56698" w:rsidP="00063876">
      <w:pPr>
        <w:spacing w:after="0" w:line="360" w:lineRule="auto"/>
        <w:ind w:firstLine="567"/>
        <w:jc w:val="both"/>
        <w:rPr>
          <w:rFonts w:ascii="Arial Narrow" w:hAnsi="Arial Narrow"/>
          <w:sz w:val="24"/>
          <w:szCs w:val="24"/>
        </w:rPr>
      </w:pPr>
    </w:p>
    <w:p w:rsidR="00B56698" w:rsidRPr="00B56698" w:rsidRDefault="00B56698" w:rsidP="00063876">
      <w:pPr>
        <w:spacing w:after="0" w:line="360" w:lineRule="auto"/>
        <w:ind w:firstLine="567"/>
        <w:jc w:val="both"/>
        <w:rPr>
          <w:rFonts w:ascii="Arial Narrow" w:hAnsi="Arial Narrow"/>
          <w:sz w:val="24"/>
          <w:szCs w:val="24"/>
        </w:rPr>
      </w:pPr>
      <w:r w:rsidRPr="00B56698">
        <w:rPr>
          <w:rFonts w:ascii="Arial Narrow" w:hAnsi="Arial Narrow"/>
          <w:sz w:val="24"/>
          <w:szCs w:val="24"/>
        </w:rPr>
        <w:t>En lo que toca a la salud pública e individual</w:t>
      </w:r>
      <w:r w:rsidR="00AF74EB">
        <w:rPr>
          <w:rFonts w:ascii="Arial Narrow" w:hAnsi="Arial Narrow"/>
          <w:sz w:val="24"/>
          <w:szCs w:val="24"/>
        </w:rPr>
        <w:t>,</w:t>
      </w:r>
      <w:r w:rsidRPr="00B56698">
        <w:rPr>
          <w:rFonts w:ascii="Arial Narrow" w:hAnsi="Arial Narrow"/>
          <w:sz w:val="24"/>
          <w:szCs w:val="24"/>
        </w:rPr>
        <w:t xml:space="preserve"> </w:t>
      </w:r>
      <w:r w:rsidR="00B84369" w:rsidRPr="00B56698">
        <w:rPr>
          <w:rFonts w:ascii="Arial Narrow" w:hAnsi="Arial Narrow"/>
          <w:sz w:val="24"/>
          <w:szCs w:val="24"/>
        </w:rPr>
        <w:t xml:space="preserve">la Resolución </w:t>
      </w:r>
      <w:r w:rsidR="00AF74EB">
        <w:rPr>
          <w:rFonts w:ascii="Arial Narrow" w:hAnsi="Arial Narrow"/>
          <w:sz w:val="24"/>
          <w:szCs w:val="24"/>
        </w:rPr>
        <w:t xml:space="preserve">1815 </w:t>
      </w:r>
      <w:r w:rsidR="0026360D" w:rsidRPr="00B56698">
        <w:rPr>
          <w:rFonts w:ascii="Arial Narrow" w:hAnsi="Arial Narrow"/>
          <w:sz w:val="24"/>
          <w:szCs w:val="24"/>
        </w:rPr>
        <w:t>pone el acento en las normas o niveles umbrales para las emisiones de campos electromagnéticos de todo tipo de frecuencias, en la aplicación del principio ALARA –“tan bajo como sea razonablemente posible</w:t>
      </w:r>
      <w:r w:rsidR="00E06EE1" w:rsidRPr="00B56698">
        <w:rPr>
          <w:rFonts w:ascii="Arial Narrow" w:hAnsi="Arial Narrow"/>
          <w:sz w:val="24"/>
          <w:szCs w:val="24"/>
        </w:rPr>
        <w:t>”</w:t>
      </w:r>
      <w:r w:rsidR="0026360D" w:rsidRPr="00B56698">
        <w:rPr>
          <w:rFonts w:ascii="Arial Narrow" w:hAnsi="Arial Narrow"/>
          <w:sz w:val="24"/>
          <w:szCs w:val="24"/>
        </w:rPr>
        <w:t>- y en el principio de precaución</w:t>
      </w:r>
      <w:r w:rsidR="00E06EE1" w:rsidRPr="00B56698">
        <w:rPr>
          <w:rFonts w:ascii="Arial Narrow" w:hAnsi="Arial Narrow"/>
          <w:sz w:val="24"/>
          <w:szCs w:val="24"/>
        </w:rPr>
        <w:t>, a la par que r</w:t>
      </w:r>
      <w:r w:rsidR="0026360D" w:rsidRPr="00B56698">
        <w:rPr>
          <w:rFonts w:ascii="Arial Narrow" w:hAnsi="Arial Narrow"/>
          <w:sz w:val="24"/>
          <w:szCs w:val="24"/>
        </w:rPr>
        <w:t>ecomienda una serie de medidas</w:t>
      </w:r>
      <w:r w:rsidRPr="00B56698">
        <w:rPr>
          <w:rFonts w:ascii="Arial Narrow" w:hAnsi="Arial Narrow"/>
          <w:sz w:val="24"/>
          <w:szCs w:val="24"/>
        </w:rPr>
        <w:t xml:space="preserve">, entre las que </w:t>
      </w:r>
      <w:r w:rsidR="005F59E5" w:rsidRPr="00B56698">
        <w:rPr>
          <w:rFonts w:ascii="Arial Narrow" w:hAnsi="Arial Narrow"/>
          <w:sz w:val="24"/>
          <w:szCs w:val="24"/>
        </w:rPr>
        <w:t xml:space="preserve">destacan las siguientes: </w:t>
      </w:r>
    </w:p>
    <w:p w:rsidR="00B56698" w:rsidRDefault="00B56698" w:rsidP="00063876">
      <w:pPr>
        <w:spacing w:after="0" w:line="360" w:lineRule="auto"/>
        <w:ind w:firstLine="567"/>
        <w:jc w:val="both"/>
        <w:rPr>
          <w:rFonts w:ascii="Arial Narrow" w:hAnsi="Arial Narrow"/>
        </w:rPr>
      </w:pPr>
    </w:p>
    <w:p w:rsidR="00B56698" w:rsidRDefault="005F59E5" w:rsidP="00063876">
      <w:pPr>
        <w:spacing w:after="0" w:line="360" w:lineRule="auto"/>
        <w:ind w:firstLine="567"/>
        <w:jc w:val="both"/>
        <w:rPr>
          <w:rFonts w:ascii="Arial Narrow" w:hAnsi="Arial Narrow"/>
        </w:rPr>
      </w:pPr>
      <w:r>
        <w:rPr>
          <w:rFonts w:ascii="Arial Narrow" w:hAnsi="Arial Narrow"/>
        </w:rPr>
        <w:t xml:space="preserve">(1) reducción de la exposición a los campos electromagnéticos, especialmente a las radiofrecuencias emitidas por los teléfonos móviles; </w:t>
      </w:r>
    </w:p>
    <w:p w:rsidR="009B68FF" w:rsidRDefault="009B68FF" w:rsidP="00063876">
      <w:pPr>
        <w:spacing w:after="0" w:line="360" w:lineRule="auto"/>
        <w:ind w:firstLine="567"/>
        <w:jc w:val="both"/>
        <w:rPr>
          <w:rFonts w:ascii="Arial Narrow" w:hAnsi="Arial Narrow"/>
        </w:rPr>
      </w:pPr>
    </w:p>
    <w:p w:rsidR="00B56698" w:rsidRDefault="005F59E5" w:rsidP="00063876">
      <w:pPr>
        <w:spacing w:after="0" w:line="360" w:lineRule="auto"/>
        <w:ind w:firstLine="567"/>
        <w:jc w:val="both"/>
        <w:rPr>
          <w:rFonts w:ascii="Arial Narrow" w:hAnsi="Arial Narrow"/>
        </w:rPr>
      </w:pPr>
      <w:r>
        <w:rPr>
          <w:rFonts w:ascii="Arial Narrow" w:hAnsi="Arial Narrow"/>
        </w:rPr>
        <w:lastRenderedPageBreak/>
        <w:t xml:space="preserve">(2) campañas de información y sensibilización sobre los riesgos de los efectos biológicos potencialmente nocivos para la salud humana; </w:t>
      </w:r>
    </w:p>
    <w:p w:rsidR="009B68FF" w:rsidRDefault="009B68FF" w:rsidP="00063876">
      <w:pPr>
        <w:spacing w:after="0" w:line="360" w:lineRule="auto"/>
        <w:ind w:firstLine="567"/>
        <w:jc w:val="both"/>
        <w:rPr>
          <w:rFonts w:ascii="Arial Narrow" w:hAnsi="Arial Narrow"/>
        </w:rPr>
      </w:pPr>
    </w:p>
    <w:p w:rsidR="00B56698" w:rsidRDefault="005F59E5" w:rsidP="00063876">
      <w:pPr>
        <w:spacing w:after="0" w:line="360" w:lineRule="auto"/>
        <w:ind w:firstLine="567"/>
        <w:jc w:val="both"/>
        <w:rPr>
          <w:rFonts w:ascii="Arial Narrow" w:hAnsi="Arial Narrow"/>
        </w:rPr>
      </w:pPr>
      <w:r>
        <w:rPr>
          <w:rFonts w:ascii="Arial Narrow" w:hAnsi="Arial Narrow"/>
        </w:rPr>
        <w:t>(3) atención a las personas “</w:t>
      </w:r>
      <w:proofErr w:type="spellStart"/>
      <w:r>
        <w:rPr>
          <w:rFonts w:ascii="Arial Narrow" w:hAnsi="Arial Narrow"/>
        </w:rPr>
        <w:t>electrosensibles</w:t>
      </w:r>
      <w:proofErr w:type="spellEnd"/>
      <w:r>
        <w:rPr>
          <w:rFonts w:ascii="Arial Narrow" w:hAnsi="Arial Narrow"/>
        </w:rPr>
        <w:t xml:space="preserve">”, afectadas por un síndrome de intolerancia a los campos electromagnéticos, estableciendo medidas de protección (p. ej. creación de “zonas blancas” no cubiertas por las redes inalámbricas); </w:t>
      </w:r>
      <w:r w:rsidR="0026360D">
        <w:rPr>
          <w:rFonts w:ascii="Arial Narrow" w:hAnsi="Arial Narrow"/>
        </w:rPr>
        <w:t xml:space="preserve"> </w:t>
      </w:r>
    </w:p>
    <w:p w:rsidR="009B68FF" w:rsidRDefault="009B68FF" w:rsidP="00063876">
      <w:pPr>
        <w:spacing w:after="0" w:line="360" w:lineRule="auto"/>
        <w:ind w:firstLine="567"/>
        <w:jc w:val="both"/>
        <w:rPr>
          <w:rFonts w:ascii="Arial Narrow" w:hAnsi="Arial Narrow"/>
        </w:rPr>
      </w:pPr>
    </w:p>
    <w:p w:rsidR="0026360D" w:rsidRDefault="00B56698" w:rsidP="00063876">
      <w:pPr>
        <w:spacing w:after="0" w:line="360" w:lineRule="auto"/>
        <w:ind w:firstLine="567"/>
        <w:jc w:val="both"/>
        <w:rPr>
          <w:rFonts w:ascii="Arial Narrow" w:hAnsi="Arial Narrow"/>
        </w:rPr>
      </w:pPr>
      <w:r>
        <w:rPr>
          <w:rFonts w:ascii="Arial Narrow" w:hAnsi="Arial Narrow"/>
        </w:rPr>
        <w:t>(</w:t>
      </w:r>
      <w:r w:rsidR="00985BB4">
        <w:rPr>
          <w:rFonts w:ascii="Arial Narrow" w:hAnsi="Arial Narrow"/>
        </w:rPr>
        <w:t>4) en relación con el uso individual de teléfonos móviles, inalámbricos DECT, sistemas WIFI, WILAN y WIMAX para ordenadores y otros dispositivos inalámbricos</w:t>
      </w:r>
      <w:r w:rsidR="00331063">
        <w:rPr>
          <w:rFonts w:ascii="Arial Narrow" w:hAnsi="Arial Narrow"/>
        </w:rPr>
        <w:t>:</w:t>
      </w:r>
      <w:r w:rsidR="00985BB4">
        <w:rPr>
          <w:rFonts w:ascii="Arial Narrow" w:hAnsi="Arial Narrow"/>
        </w:rPr>
        <w:t xml:space="preserve"> establecer umbrales de prevención para los niveles de exposición a largo plazo a las microondas ‹ 0,6 voltios/m y a medio plazo ‹ 0,2 voltios/metro</w:t>
      </w:r>
      <w:r w:rsidR="00331063">
        <w:rPr>
          <w:rFonts w:ascii="Arial Narrow" w:hAnsi="Arial Narrow"/>
        </w:rPr>
        <w:t xml:space="preserve">; informar sobre los riesgos potenciales para la salud de </w:t>
      </w:r>
      <w:r w:rsidR="00E06EE1">
        <w:rPr>
          <w:rFonts w:ascii="Arial Narrow" w:hAnsi="Arial Narrow"/>
        </w:rPr>
        <w:t>los dispositivos que emiten continuamente microondas pulsadas; introducir un sistema de etiquetado que, además de informar sobre la presencia de microondas o campos electromagnéticos del dispositivo, alerte sobre los riesgos para la salud derivados de su uso</w:t>
      </w:r>
      <w:r w:rsidR="00593504">
        <w:rPr>
          <w:rFonts w:ascii="Arial Narrow" w:hAnsi="Arial Narrow"/>
        </w:rPr>
        <w:t>.</w:t>
      </w:r>
      <w:r w:rsidR="00985BB4">
        <w:rPr>
          <w:rFonts w:ascii="Arial Narrow" w:hAnsi="Arial Narrow"/>
        </w:rPr>
        <w:t xml:space="preserve"> </w:t>
      </w:r>
      <w:r w:rsidR="00B84369">
        <w:rPr>
          <w:rFonts w:ascii="Arial Narrow" w:hAnsi="Arial Narrow"/>
        </w:rPr>
        <w:t xml:space="preserve"> </w:t>
      </w:r>
    </w:p>
    <w:p w:rsidR="0026360D" w:rsidRDefault="0026360D" w:rsidP="00063876">
      <w:pPr>
        <w:spacing w:after="0" w:line="360" w:lineRule="auto"/>
        <w:ind w:firstLine="567"/>
        <w:jc w:val="both"/>
        <w:rPr>
          <w:rFonts w:ascii="Arial Narrow" w:hAnsi="Arial Narrow"/>
        </w:rPr>
      </w:pPr>
    </w:p>
    <w:p w:rsidR="00AD5084" w:rsidRDefault="00AF74EB"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Es evidente que </w:t>
      </w:r>
      <w:r w:rsidR="00E06EE1" w:rsidRPr="00AF74EB">
        <w:rPr>
          <w:rFonts w:ascii="Arial Narrow" w:hAnsi="Arial Narrow"/>
          <w:sz w:val="24"/>
          <w:szCs w:val="24"/>
        </w:rPr>
        <w:t xml:space="preserve">la competencia autonómica ex articulo </w:t>
      </w:r>
      <w:r w:rsidR="00E7026E" w:rsidRPr="00AF74EB">
        <w:rPr>
          <w:rFonts w:ascii="Arial Narrow" w:hAnsi="Arial Narrow"/>
          <w:sz w:val="24"/>
          <w:szCs w:val="24"/>
        </w:rPr>
        <w:t xml:space="preserve">18 EAPV </w:t>
      </w:r>
      <w:r>
        <w:rPr>
          <w:rFonts w:ascii="Arial Narrow" w:hAnsi="Arial Narrow"/>
          <w:sz w:val="24"/>
          <w:szCs w:val="24"/>
        </w:rPr>
        <w:t xml:space="preserve">abriga la posibilidad de arbitrar </w:t>
      </w:r>
      <w:r w:rsidR="00E7026E" w:rsidRPr="00AF74EB">
        <w:rPr>
          <w:rFonts w:ascii="Arial Narrow" w:hAnsi="Arial Narrow"/>
          <w:sz w:val="24"/>
          <w:szCs w:val="24"/>
        </w:rPr>
        <w:t xml:space="preserve">las medidas de promoción, sensibilización, de atención sanitaria singular y planificada a las personas </w:t>
      </w:r>
      <w:proofErr w:type="spellStart"/>
      <w:r w:rsidR="00E7026E" w:rsidRPr="00AF74EB">
        <w:rPr>
          <w:rFonts w:ascii="Arial Narrow" w:hAnsi="Arial Narrow"/>
          <w:sz w:val="24"/>
          <w:szCs w:val="24"/>
        </w:rPr>
        <w:t>electrosensibles</w:t>
      </w:r>
      <w:proofErr w:type="spellEnd"/>
      <w:r>
        <w:rPr>
          <w:rFonts w:ascii="Arial Narrow" w:hAnsi="Arial Narrow"/>
          <w:sz w:val="24"/>
          <w:szCs w:val="24"/>
        </w:rPr>
        <w:t xml:space="preserve"> que se estimen convenientes. </w:t>
      </w:r>
    </w:p>
    <w:p w:rsidR="00AD5084" w:rsidRDefault="00AD5084" w:rsidP="00063876">
      <w:pPr>
        <w:spacing w:after="0" w:line="360" w:lineRule="auto"/>
        <w:ind w:firstLine="567"/>
        <w:jc w:val="both"/>
        <w:rPr>
          <w:rFonts w:ascii="Arial Narrow" w:hAnsi="Arial Narrow"/>
          <w:sz w:val="24"/>
          <w:szCs w:val="24"/>
        </w:rPr>
      </w:pPr>
    </w:p>
    <w:p w:rsidR="00B32748" w:rsidRPr="00AF74EB" w:rsidRDefault="00AF74EB" w:rsidP="00063876">
      <w:pPr>
        <w:spacing w:after="0" w:line="360" w:lineRule="auto"/>
        <w:ind w:firstLine="567"/>
        <w:jc w:val="both"/>
        <w:rPr>
          <w:rFonts w:ascii="Arial Narrow" w:hAnsi="Arial Narrow"/>
          <w:sz w:val="24"/>
          <w:szCs w:val="24"/>
        </w:rPr>
      </w:pPr>
      <w:r>
        <w:rPr>
          <w:rFonts w:ascii="Arial Narrow" w:hAnsi="Arial Narrow"/>
          <w:sz w:val="24"/>
          <w:szCs w:val="24"/>
        </w:rPr>
        <w:t xml:space="preserve">Ahora bien, </w:t>
      </w:r>
      <w:r w:rsidR="00E7026E" w:rsidRPr="00AF74EB">
        <w:rPr>
          <w:rFonts w:ascii="Arial Narrow" w:hAnsi="Arial Narrow"/>
          <w:sz w:val="24"/>
          <w:szCs w:val="24"/>
        </w:rPr>
        <w:t xml:space="preserve">la </w:t>
      </w:r>
      <w:r>
        <w:rPr>
          <w:rFonts w:ascii="Arial Narrow" w:hAnsi="Arial Narrow"/>
          <w:sz w:val="24"/>
          <w:szCs w:val="24"/>
        </w:rPr>
        <w:t xml:space="preserve">cuestión de la </w:t>
      </w:r>
      <w:r w:rsidR="00E7026E" w:rsidRPr="00AF74EB">
        <w:rPr>
          <w:rFonts w:ascii="Arial Narrow" w:hAnsi="Arial Narrow"/>
          <w:sz w:val="24"/>
          <w:szCs w:val="24"/>
        </w:rPr>
        <w:t>determinación de los umbrales de prevención para los niveles de exposición a las microondas o la determinación de los niveles de emisión radioeléctrica tolerable quedan extramuros de la competencia autonómica, aun</w:t>
      </w:r>
      <w:r>
        <w:rPr>
          <w:rFonts w:ascii="Arial Narrow" w:hAnsi="Arial Narrow"/>
          <w:sz w:val="24"/>
          <w:szCs w:val="24"/>
        </w:rPr>
        <w:t xml:space="preserve"> cuando </w:t>
      </w:r>
      <w:r w:rsidR="00E7026E" w:rsidRPr="00AF74EB">
        <w:rPr>
          <w:rFonts w:ascii="Arial Narrow" w:hAnsi="Arial Narrow"/>
          <w:sz w:val="24"/>
          <w:szCs w:val="24"/>
        </w:rPr>
        <w:t xml:space="preserve">la misma quede delimitada al concreto espacio territorial autonómico, al integrar la </w:t>
      </w:r>
      <w:r w:rsidR="00C3759D" w:rsidRPr="00AF74EB">
        <w:rPr>
          <w:rFonts w:ascii="Arial Narrow" w:hAnsi="Arial Narrow"/>
          <w:sz w:val="24"/>
          <w:szCs w:val="24"/>
        </w:rPr>
        <w:t>competencia estatal ex artículo 149.1.16ª CE</w:t>
      </w:r>
      <w:r>
        <w:rPr>
          <w:rFonts w:ascii="Arial Narrow" w:hAnsi="Arial Narrow"/>
          <w:sz w:val="24"/>
          <w:szCs w:val="24"/>
        </w:rPr>
        <w:t xml:space="preserve">. Como ha </w:t>
      </w:r>
      <w:r w:rsidR="005E3F07" w:rsidRPr="00AF74EB">
        <w:rPr>
          <w:rFonts w:ascii="Arial Narrow" w:hAnsi="Arial Narrow"/>
          <w:sz w:val="24"/>
          <w:szCs w:val="24"/>
        </w:rPr>
        <w:t xml:space="preserve">aclarado el Tribunal Constitucional </w:t>
      </w:r>
      <w:r w:rsidR="00E7026E" w:rsidRPr="00AF74EB">
        <w:rPr>
          <w:rFonts w:ascii="Arial Narrow" w:hAnsi="Arial Narrow"/>
          <w:sz w:val="24"/>
          <w:szCs w:val="24"/>
        </w:rPr>
        <w:t>“</w:t>
      </w:r>
      <w:r w:rsidR="005E3F07" w:rsidRPr="00AF74EB">
        <w:rPr>
          <w:rFonts w:ascii="Arial Narrow" w:hAnsi="Arial Narrow"/>
          <w:i/>
          <w:sz w:val="24"/>
          <w:szCs w:val="24"/>
        </w:rPr>
        <w:t xml:space="preserve">la determinación por el </w:t>
      </w:r>
      <w:r w:rsidR="009616B4" w:rsidRPr="00AF74EB">
        <w:rPr>
          <w:rFonts w:ascii="Arial Narrow" w:hAnsi="Arial Narrow"/>
          <w:i/>
          <w:sz w:val="24"/>
          <w:szCs w:val="24"/>
        </w:rPr>
        <w:t xml:space="preserve">Estado </w:t>
      </w:r>
      <w:r w:rsidR="005E3F07" w:rsidRPr="00AF74EB">
        <w:rPr>
          <w:rFonts w:ascii="Arial Narrow" w:hAnsi="Arial Narrow"/>
          <w:i/>
          <w:sz w:val="24"/>
          <w:szCs w:val="24"/>
        </w:rPr>
        <w:t xml:space="preserve">de los niveles tolerables de emisión no se basa en la competencia de telecomunicaciones, sino en la competencia </w:t>
      </w:r>
      <w:r w:rsidR="009616B4" w:rsidRPr="00AF74EB">
        <w:rPr>
          <w:rFonts w:ascii="Arial Narrow" w:hAnsi="Arial Narrow"/>
          <w:i/>
          <w:sz w:val="24"/>
          <w:szCs w:val="24"/>
        </w:rPr>
        <w:t xml:space="preserve">para establecer las bases en materia de sanidad ex art. 149.1.16 CE. (…) </w:t>
      </w:r>
      <w:r w:rsidR="00C3759D" w:rsidRPr="00AF74EB">
        <w:rPr>
          <w:rFonts w:ascii="Arial Narrow" w:hAnsi="Arial Narrow"/>
          <w:i/>
          <w:sz w:val="24"/>
          <w:szCs w:val="24"/>
        </w:rPr>
        <w:t>la regulación de los niveles de emisión persigue una uniformidad que responde a un claro interés general no solo porque los niveles tolerables para la salud han de serlo para todos los ciudadanos por igual, sino también porque los mismos operan como un presupuesto del ejercicio de las competencias estatales en materia de telecomunicaciones y, concretamente del ejercicio de las facultades de autorización, seguimiento e inspección de instalaciones radioeléctricas</w:t>
      </w:r>
      <w:r w:rsidR="00E7026E" w:rsidRPr="00AF74EB">
        <w:rPr>
          <w:rFonts w:ascii="Arial Narrow" w:hAnsi="Arial Narrow"/>
          <w:i/>
          <w:sz w:val="24"/>
          <w:szCs w:val="24"/>
        </w:rPr>
        <w:t>”.</w:t>
      </w:r>
      <w:r w:rsidR="00B84369" w:rsidRPr="00AF74EB">
        <w:rPr>
          <w:rFonts w:ascii="Arial Narrow" w:hAnsi="Arial Narrow"/>
          <w:i/>
          <w:sz w:val="24"/>
          <w:szCs w:val="24"/>
        </w:rPr>
        <w:t xml:space="preserve"> </w:t>
      </w:r>
      <w:r w:rsidR="00B84369" w:rsidRPr="00AF74EB">
        <w:rPr>
          <w:rFonts w:ascii="Arial Narrow" w:hAnsi="Arial Narrow"/>
          <w:sz w:val="24"/>
          <w:szCs w:val="24"/>
        </w:rPr>
        <w:t xml:space="preserve">(STC 8/2012, FJ 6). </w:t>
      </w:r>
    </w:p>
    <w:p w:rsidR="00E7026E" w:rsidRDefault="00E7026E" w:rsidP="00063876">
      <w:pPr>
        <w:spacing w:after="0" w:line="360" w:lineRule="auto"/>
        <w:ind w:firstLine="567"/>
        <w:jc w:val="both"/>
        <w:rPr>
          <w:rFonts w:ascii="Arial Narrow" w:hAnsi="Arial Narrow"/>
        </w:rPr>
      </w:pPr>
    </w:p>
    <w:p w:rsidR="00B32748" w:rsidRPr="00AA0BF3" w:rsidRDefault="00E7026E" w:rsidP="00063876">
      <w:pPr>
        <w:spacing w:after="0" w:line="360" w:lineRule="auto"/>
        <w:ind w:firstLine="567"/>
        <w:jc w:val="both"/>
        <w:rPr>
          <w:rFonts w:ascii="Arial Narrow" w:hAnsi="Arial Narrow"/>
          <w:sz w:val="24"/>
          <w:szCs w:val="24"/>
        </w:rPr>
      </w:pPr>
      <w:r w:rsidRPr="00AA0BF3">
        <w:rPr>
          <w:rFonts w:ascii="Arial Narrow" w:hAnsi="Arial Narrow"/>
          <w:sz w:val="24"/>
          <w:szCs w:val="24"/>
        </w:rPr>
        <w:t>Un campo de acción</w:t>
      </w:r>
      <w:r w:rsidR="009B68FF" w:rsidRPr="00AA0BF3">
        <w:rPr>
          <w:rFonts w:ascii="Arial Narrow" w:hAnsi="Arial Narrow"/>
          <w:sz w:val="24"/>
          <w:szCs w:val="24"/>
        </w:rPr>
        <w:t xml:space="preserve"> autonómico</w:t>
      </w:r>
      <w:r w:rsidR="00AF74EB" w:rsidRPr="00AA0BF3">
        <w:rPr>
          <w:rFonts w:ascii="Arial Narrow" w:hAnsi="Arial Narrow"/>
          <w:sz w:val="24"/>
          <w:szCs w:val="24"/>
        </w:rPr>
        <w:t xml:space="preserve">, el que afecta a la salud pública e individual, </w:t>
      </w:r>
      <w:r w:rsidRPr="00AA0BF3">
        <w:rPr>
          <w:rFonts w:ascii="Arial Narrow" w:hAnsi="Arial Narrow"/>
          <w:sz w:val="24"/>
          <w:szCs w:val="24"/>
        </w:rPr>
        <w:t xml:space="preserve">que se desenvuelve </w:t>
      </w:r>
      <w:r w:rsidR="00FB0A6B">
        <w:rPr>
          <w:rFonts w:ascii="Arial Narrow" w:hAnsi="Arial Narrow"/>
          <w:sz w:val="24"/>
          <w:szCs w:val="24"/>
        </w:rPr>
        <w:t xml:space="preserve">en lo que toca </w:t>
      </w:r>
      <w:r w:rsidR="005C180C">
        <w:rPr>
          <w:rFonts w:ascii="Arial Narrow" w:hAnsi="Arial Narrow"/>
          <w:sz w:val="24"/>
          <w:szCs w:val="24"/>
        </w:rPr>
        <w:t xml:space="preserve">a la </w:t>
      </w:r>
      <w:r w:rsidR="00FB0A6B">
        <w:rPr>
          <w:rFonts w:ascii="Arial Narrow" w:hAnsi="Arial Narrow"/>
          <w:sz w:val="24"/>
          <w:szCs w:val="24"/>
        </w:rPr>
        <w:t xml:space="preserve">regulación de las instalaciones de radiocomunicación </w:t>
      </w:r>
      <w:r w:rsidRPr="00AA0BF3">
        <w:rPr>
          <w:rFonts w:ascii="Arial Narrow" w:hAnsi="Arial Narrow"/>
          <w:sz w:val="24"/>
          <w:szCs w:val="24"/>
        </w:rPr>
        <w:t xml:space="preserve">en el terreno de la prevención, de la información y de la asistencia, </w:t>
      </w:r>
      <w:r w:rsidR="00AF74EB" w:rsidRPr="00AA0BF3">
        <w:rPr>
          <w:rFonts w:ascii="Arial Narrow" w:hAnsi="Arial Narrow"/>
          <w:sz w:val="24"/>
          <w:szCs w:val="24"/>
        </w:rPr>
        <w:t xml:space="preserve">pero que se presenta </w:t>
      </w:r>
      <w:r w:rsidRPr="00AA0BF3">
        <w:rPr>
          <w:rFonts w:ascii="Arial Narrow" w:hAnsi="Arial Narrow"/>
          <w:sz w:val="24"/>
          <w:szCs w:val="24"/>
        </w:rPr>
        <w:t xml:space="preserve">incapaz de incidir </w:t>
      </w:r>
      <w:r w:rsidR="005E3F07" w:rsidRPr="00AA0BF3">
        <w:rPr>
          <w:rFonts w:ascii="Arial Narrow" w:hAnsi="Arial Narrow"/>
          <w:sz w:val="24"/>
          <w:szCs w:val="24"/>
        </w:rPr>
        <w:t xml:space="preserve">sobre las </w:t>
      </w:r>
      <w:r w:rsidR="005E3F07" w:rsidRPr="00AA0BF3">
        <w:rPr>
          <w:rFonts w:ascii="Arial Narrow" w:hAnsi="Arial Narrow"/>
          <w:sz w:val="24"/>
          <w:szCs w:val="24"/>
        </w:rPr>
        <w:lastRenderedPageBreak/>
        <w:t xml:space="preserve">características de la red o </w:t>
      </w:r>
      <w:r w:rsidRPr="00AA0BF3">
        <w:rPr>
          <w:rFonts w:ascii="Arial Narrow" w:hAnsi="Arial Narrow"/>
          <w:sz w:val="24"/>
          <w:szCs w:val="24"/>
        </w:rPr>
        <w:t xml:space="preserve">sobre las condiciones </w:t>
      </w:r>
      <w:r w:rsidR="005E3F07" w:rsidRPr="00AA0BF3">
        <w:rPr>
          <w:rFonts w:ascii="Arial Narrow" w:hAnsi="Arial Narrow"/>
          <w:sz w:val="24"/>
          <w:szCs w:val="24"/>
        </w:rPr>
        <w:t xml:space="preserve">de prestación del servicio, un aspecto reservado al </w:t>
      </w:r>
      <w:r w:rsidR="009616B4" w:rsidRPr="00AA0BF3">
        <w:rPr>
          <w:rFonts w:ascii="Arial Narrow" w:hAnsi="Arial Narrow"/>
          <w:sz w:val="24"/>
          <w:szCs w:val="24"/>
        </w:rPr>
        <w:t>Estado</w:t>
      </w:r>
      <w:r w:rsidR="005C180C">
        <w:rPr>
          <w:rFonts w:ascii="Arial Narrow" w:hAnsi="Arial Narrow"/>
          <w:sz w:val="24"/>
          <w:szCs w:val="24"/>
        </w:rPr>
        <w:t>,</w:t>
      </w:r>
      <w:r w:rsidR="009616B4" w:rsidRPr="00AA0BF3">
        <w:rPr>
          <w:rFonts w:ascii="Arial Narrow" w:hAnsi="Arial Narrow"/>
          <w:sz w:val="24"/>
          <w:szCs w:val="24"/>
        </w:rPr>
        <w:t xml:space="preserve"> </w:t>
      </w:r>
      <w:r w:rsidR="005E3F07" w:rsidRPr="00AA0BF3">
        <w:rPr>
          <w:rFonts w:ascii="Arial Narrow" w:hAnsi="Arial Narrow"/>
          <w:sz w:val="24"/>
          <w:szCs w:val="24"/>
        </w:rPr>
        <w:t>no solo en ejercicio de su competencia exclusiva sobre telecomunicaciones sino sobre su competencia para la determinación de las bases y coordinación de la sanidad.</w:t>
      </w:r>
    </w:p>
    <w:p w:rsidR="00DE1B57" w:rsidRDefault="00DE1B57" w:rsidP="00DE1B57">
      <w:pPr>
        <w:spacing w:after="0" w:line="360" w:lineRule="auto"/>
        <w:ind w:firstLine="567"/>
        <w:jc w:val="both"/>
        <w:rPr>
          <w:rFonts w:ascii="Arial Narrow" w:hAnsi="Arial Narrow"/>
          <w:sz w:val="24"/>
          <w:szCs w:val="24"/>
        </w:rPr>
      </w:pPr>
    </w:p>
    <w:p w:rsidR="00DE1B57" w:rsidRDefault="00DE1B57" w:rsidP="00DE1B57">
      <w:pPr>
        <w:spacing w:after="0" w:line="360" w:lineRule="auto"/>
        <w:ind w:firstLine="567"/>
        <w:jc w:val="both"/>
        <w:rPr>
          <w:rFonts w:ascii="Arial Narrow" w:hAnsi="Arial Narrow"/>
          <w:sz w:val="24"/>
          <w:szCs w:val="24"/>
        </w:rPr>
      </w:pPr>
      <w:r>
        <w:rPr>
          <w:rFonts w:ascii="Arial Narrow" w:hAnsi="Arial Narrow"/>
          <w:sz w:val="24"/>
          <w:szCs w:val="24"/>
        </w:rPr>
        <w:t xml:space="preserve">En lo que toca a las medidas vinculadas a la regulación urbanística, la Resolución 1815 propone el establecimiento de normas urbanísticas que </w:t>
      </w:r>
      <w:r w:rsidR="001B6ABE">
        <w:rPr>
          <w:rFonts w:ascii="Arial Narrow" w:hAnsi="Arial Narrow"/>
          <w:sz w:val="24"/>
          <w:szCs w:val="24"/>
        </w:rPr>
        <w:t>requieren</w:t>
      </w:r>
      <w:r>
        <w:rPr>
          <w:rFonts w:ascii="Arial Narrow" w:hAnsi="Arial Narrow"/>
          <w:sz w:val="24"/>
          <w:szCs w:val="24"/>
        </w:rPr>
        <w:t xml:space="preserve"> una </w:t>
      </w:r>
      <w:r w:rsidR="001B6ABE">
        <w:rPr>
          <w:rFonts w:ascii="Arial Narrow" w:hAnsi="Arial Narrow"/>
          <w:sz w:val="24"/>
          <w:szCs w:val="24"/>
        </w:rPr>
        <w:t>distancia</w:t>
      </w:r>
      <w:r>
        <w:rPr>
          <w:rFonts w:ascii="Arial Narrow" w:hAnsi="Arial Narrow"/>
          <w:sz w:val="24"/>
          <w:szCs w:val="24"/>
        </w:rPr>
        <w:t xml:space="preserve"> de seguridad entre las líneas de alta tensión y demás instalaciones eléctricas y las viviendas; la </w:t>
      </w:r>
      <w:r w:rsidR="001B6ABE">
        <w:rPr>
          <w:rFonts w:ascii="Arial Narrow" w:hAnsi="Arial Narrow"/>
          <w:sz w:val="24"/>
          <w:szCs w:val="24"/>
        </w:rPr>
        <w:t xml:space="preserve">determinación de la ubicación de cualquier antena GSM, UNTS, </w:t>
      </w:r>
      <w:proofErr w:type="spellStart"/>
      <w:r w:rsidR="001B6ABE">
        <w:rPr>
          <w:rFonts w:ascii="Arial Narrow" w:hAnsi="Arial Narrow"/>
          <w:sz w:val="24"/>
          <w:szCs w:val="24"/>
        </w:rPr>
        <w:t>WiFi</w:t>
      </w:r>
      <w:proofErr w:type="spellEnd"/>
      <w:r w:rsidR="001B6ABE">
        <w:rPr>
          <w:rFonts w:ascii="Arial Narrow" w:hAnsi="Arial Narrow"/>
          <w:sz w:val="24"/>
          <w:szCs w:val="24"/>
        </w:rPr>
        <w:t xml:space="preserve"> o </w:t>
      </w:r>
      <w:proofErr w:type="spellStart"/>
      <w:r w:rsidR="001B6ABE">
        <w:rPr>
          <w:rFonts w:ascii="Arial Narrow" w:hAnsi="Arial Narrow"/>
          <w:sz w:val="24"/>
          <w:szCs w:val="24"/>
        </w:rPr>
        <w:t>WiMax</w:t>
      </w:r>
      <w:proofErr w:type="spellEnd"/>
      <w:r w:rsidR="001B6ABE">
        <w:rPr>
          <w:rFonts w:ascii="Arial Narrow" w:hAnsi="Arial Narrow"/>
          <w:sz w:val="24"/>
          <w:szCs w:val="24"/>
        </w:rPr>
        <w:t xml:space="preserve"> no basándose únicamente en los intereses de las operadoras, sino en la consulta con las autoridades locales y regionales, los residentes, asociaciones, etc.   </w:t>
      </w:r>
      <w:r>
        <w:rPr>
          <w:rFonts w:ascii="Arial Narrow" w:hAnsi="Arial Narrow"/>
          <w:sz w:val="24"/>
          <w:szCs w:val="24"/>
        </w:rPr>
        <w:t xml:space="preserve">  </w:t>
      </w:r>
    </w:p>
    <w:p w:rsidR="00306EF7" w:rsidRDefault="00306EF7" w:rsidP="00DE1B57">
      <w:pPr>
        <w:spacing w:after="0" w:line="360" w:lineRule="auto"/>
        <w:ind w:firstLine="567"/>
        <w:jc w:val="both"/>
        <w:rPr>
          <w:rFonts w:ascii="Arial Narrow" w:hAnsi="Arial Narrow"/>
          <w:sz w:val="24"/>
          <w:szCs w:val="24"/>
        </w:rPr>
      </w:pPr>
    </w:p>
    <w:p w:rsidR="00306EF7" w:rsidRDefault="00C605FB" w:rsidP="00DE1B57">
      <w:pPr>
        <w:spacing w:after="0" w:line="360" w:lineRule="auto"/>
        <w:ind w:firstLine="567"/>
        <w:jc w:val="both"/>
        <w:rPr>
          <w:rFonts w:ascii="Arial Narrow" w:hAnsi="Arial Narrow"/>
          <w:sz w:val="24"/>
          <w:szCs w:val="24"/>
        </w:rPr>
      </w:pPr>
      <w:r>
        <w:rPr>
          <w:rFonts w:ascii="Arial Narrow" w:hAnsi="Arial Narrow"/>
          <w:sz w:val="24"/>
          <w:szCs w:val="24"/>
        </w:rPr>
        <w:t xml:space="preserve">Una competencia exclusiva de la CAE en materia de urbanismo que permitirá no solo la adopción de las medidas propuestas por la Resolución, sino otras vinculadas a la imposición a los operadores de obligaciones de mantenimiento de sus instalaciones en condiciones adecuadas de seguridad estabilidad conservación, revisión periódica, subsanación de deficiencias; una regulación que el Tribunal Constitucional ya ha calificado de especial respecto de la regulación urbanística  clásica de la que deriva el deber general de los propietarios de conservar y mantener sus construcciones e instalaciones en condiciones adecuadas. Una competencia que admitiría la imposición de límites al derecho de ocupación del dominio público y de la propiedad privada que los operadores tienen reconocido, tamizado obviamente por el principio de proporcionalidad, siempre que sea necesario para preservar los intereses públicos medioambientales, paisajísticos y urbanísticos.  </w:t>
      </w:r>
    </w:p>
    <w:p w:rsidR="007D5882" w:rsidRDefault="007D5882" w:rsidP="00DE1B57">
      <w:pPr>
        <w:spacing w:after="0" w:line="360" w:lineRule="auto"/>
        <w:ind w:firstLine="567"/>
        <w:jc w:val="both"/>
        <w:rPr>
          <w:rFonts w:ascii="Arial Narrow" w:hAnsi="Arial Narrow"/>
          <w:sz w:val="24"/>
          <w:szCs w:val="24"/>
        </w:rPr>
      </w:pPr>
    </w:p>
    <w:p w:rsidR="007D5882" w:rsidRDefault="007D5882" w:rsidP="00DE1B57">
      <w:pPr>
        <w:spacing w:after="0" w:line="360" w:lineRule="auto"/>
        <w:ind w:firstLine="567"/>
        <w:jc w:val="both"/>
        <w:rPr>
          <w:rFonts w:ascii="Arial Narrow" w:hAnsi="Arial Narrow"/>
          <w:sz w:val="24"/>
          <w:szCs w:val="24"/>
        </w:rPr>
      </w:pPr>
      <w:r>
        <w:rPr>
          <w:rFonts w:ascii="Arial Narrow" w:hAnsi="Arial Narrow"/>
          <w:sz w:val="24"/>
          <w:szCs w:val="24"/>
        </w:rPr>
        <w:t>Por su parte, el despliegue de las instalaciones de constante referencia, ha de facilitar la ordenación de emplazamientos en el contexto más general de la ordenación territorial, de la planificación de usos sobre el territorio y de la protección a través de la misma de otros intereses públicos sectoriales que competen a la Comunidad Autónoma de Eu</w:t>
      </w:r>
      <w:r w:rsidR="00662122">
        <w:rPr>
          <w:rFonts w:ascii="Arial Narrow" w:hAnsi="Arial Narrow"/>
          <w:sz w:val="24"/>
          <w:szCs w:val="24"/>
        </w:rPr>
        <w:t>skadi (medioambiental, sanitario, etc.).</w:t>
      </w:r>
      <w:r>
        <w:rPr>
          <w:rFonts w:ascii="Arial Narrow" w:hAnsi="Arial Narrow"/>
          <w:sz w:val="24"/>
          <w:szCs w:val="24"/>
        </w:rPr>
        <w:t xml:space="preserve">  </w:t>
      </w:r>
    </w:p>
    <w:p w:rsidR="005E3F07" w:rsidRPr="00AA0BF3" w:rsidRDefault="005E3F07" w:rsidP="00063876">
      <w:pPr>
        <w:spacing w:after="0" w:line="360" w:lineRule="auto"/>
        <w:ind w:firstLine="567"/>
        <w:jc w:val="both"/>
        <w:rPr>
          <w:rFonts w:ascii="Arial Narrow" w:hAnsi="Arial Narrow"/>
          <w:sz w:val="24"/>
          <w:szCs w:val="24"/>
        </w:rPr>
      </w:pPr>
    </w:p>
    <w:p w:rsidR="00D53038" w:rsidRDefault="009B68FF" w:rsidP="00D53038">
      <w:pPr>
        <w:spacing w:after="0" w:line="360" w:lineRule="auto"/>
        <w:ind w:firstLine="567"/>
        <w:jc w:val="both"/>
        <w:rPr>
          <w:rFonts w:ascii="Arial Narrow" w:hAnsi="Arial Narrow"/>
          <w:sz w:val="24"/>
          <w:szCs w:val="24"/>
        </w:rPr>
      </w:pPr>
      <w:r w:rsidRPr="00D53038">
        <w:rPr>
          <w:rFonts w:ascii="Arial Narrow" w:hAnsi="Arial Narrow"/>
          <w:sz w:val="24"/>
          <w:szCs w:val="24"/>
        </w:rPr>
        <w:t>En lo que se refiere a la protección del medio ambiente y del paisaje,</w:t>
      </w:r>
      <w:r w:rsidR="005E3F07" w:rsidRPr="00D53038">
        <w:rPr>
          <w:rFonts w:ascii="Arial Narrow" w:hAnsi="Arial Narrow"/>
          <w:sz w:val="24"/>
          <w:szCs w:val="24"/>
        </w:rPr>
        <w:t xml:space="preserve"> </w:t>
      </w:r>
      <w:r w:rsidR="00AA0BF3" w:rsidRPr="00D53038">
        <w:rPr>
          <w:rFonts w:ascii="Arial Narrow" w:hAnsi="Arial Narrow"/>
          <w:sz w:val="24"/>
          <w:szCs w:val="24"/>
        </w:rPr>
        <w:t xml:space="preserve">conviene dejar sentado que </w:t>
      </w:r>
      <w:r w:rsidR="005E3F07" w:rsidRPr="00D53038">
        <w:rPr>
          <w:rFonts w:ascii="Arial Narrow" w:hAnsi="Arial Narrow"/>
          <w:sz w:val="24"/>
          <w:szCs w:val="24"/>
        </w:rPr>
        <w:t xml:space="preserve">la Resolución 1815 </w:t>
      </w:r>
      <w:r w:rsidR="008234A6" w:rsidRPr="00D53038">
        <w:rPr>
          <w:rFonts w:ascii="Arial Narrow" w:hAnsi="Arial Narrow"/>
          <w:sz w:val="24"/>
          <w:szCs w:val="24"/>
        </w:rPr>
        <w:t xml:space="preserve">se dirige a identificar </w:t>
      </w:r>
      <w:r w:rsidR="00AA0BF3" w:rsidRPr="00D53038">
        <w:rPr>
          <w:rFonts w:ascii="Arial Narrow" w:hAnsi="Arial Narrow"/>
          <w:sz w:val="24"/>
          <w:szCs w:val="24"/>
        </w:rPr>
        <w:t>los peligros potenciales de los campos electromagnéticos y sus efectos en el medio ambiente, enmarc</w:t>
      </w:r>
      <w:r w:rsidR="008234A6" w:rsidRPr="00D53038">
        <w:rPr>
          <w:rFonts w:ascii="Arial Narrow" w:hAnsi="Arial Narrow"/>
          <w:sz w:val="24"/>
          <w:szCs w:val="24"/>
        </w:rPr>
        <w:t xml:space="preserve">ándose </w:t>
      </w:r>
      <w:r w:rsidR="00AA0BF3" w:rsidRPr="00D53038">
        <w:rPr>
          <w:rFonts w:ascii="Arial Narrow" w:hAnsi="Arial Narrow"/>
          <w:sz w:val="24"/>
          <w:szCs w:val="24"/>
        </w:rPr>
        <w:t xml:space="preserve">en un objetivo </w:t>
      </w:r>
      <w:r w:rsidR="005C180C" w:rsidRPr="00D53038">
        <w:rPr>
          <w:rFonts w:ascii="Arial Narrow" w:hAnsi="Arial Narrow"/>
          <w:sz w:val="24"/>
          <w:szCs w:val="24"/>
        </w:rPr>
        <w:t xml:space="preserve">general </w:t>
      </w:r>
      <w:r w:rsidR="00AA0BF3" w:rsidRPr="00D53038">
        <w:rPr>
          <w:rFonts w:ascii="Arial Narrow" w:hAnsi="Arial Narrow"/>
          <w:sz w:val="24"/>
          <w:szCs w:val="24"/>
        </w:rPr>
        <w:t xml:space="preserve">de preservación del medio ambiente y de la salud ambiental. La </w:t>
      </w:r>
      <w:r w:rsidR="00B57A6C" w:rsidRPr="00D53038">
        <w:rPr>
          <w:rFonts w:ascii="Arial Narrow" w:hAnsi="Arial Narrow"/>
          <w:sz w:val="24"/>
          <w:szCs w:val="24"/>
        </w:rPr>
        <w:t xml:space="preserve">aplicación del principio ALARA también concierne a la protección </w:t>
      </w:r>
      <w:r w:rsidR="00B57A6C" w:rsidRPr="00D53038">
        <w:rPr>
          <w:rFonts w:ascii="Arial Narrow" w:hAnsi="Arial Narrow"/>
          <w:sz w:val="24"/>
          <w:szCs w:val="24"/>
        </w:rPr>
        <w:lastRenderedPageBreak/>
        <w:t xml:space="preserve">del medio ambiente, pues los efectos biológicos de las señales de radiofrecuencia no se proyectan exclusivamente sobre la salud humana, sino que se extienden </w:t>
      </w:r>
      <w:r w:rsidR="00D53038" w:rsidRPr="00D53038">
        <w:rPr>
          <w:rFonts w:ascii="Arial Narrow" w:hAnsi="Arial Narrow"/>
          <w:sz w:val="24"/>
          <w:szCs w:val="24"/>
        </w:rPr>
        <w:t>sobre todos los</w:t>
      </w:r>
      <w:r w:rsidR="00B57A6C" w:rsidRPr="00D53038">
        <w:rPr>
          <w:rFonts w:ascii="Arial Narrow" w:hAnsi="Arial Narrow"/>
          <w:sz w:val="24"/>
          <w:szCs w:val="24"/>
        </w:rPr>
        <w:t xml:space="preserve"> seres vivos.</w:t>
      </w:r>
      <w:r w:rsidR="00D53038">
        <w:rPr>
          <w:rFonts w:ascii="Arial Narrow" w:hAnsi="Arial Narrow"/>
          <w:sz w:val="24"/>
          <w:szCs w:val="24"/>
        </w:rPr>
        <w:t xml:space="preserve"> </w:t>
      </w:r>
    </w:p>
    <w:p w:rsidR="00D53038" w:rsidRDefault="00D53038" w:rsidP="00D53038">
      <w:pPr>
        <w:spacing w:after="0" w:line="360" w:lineRule="auto"/>
        <w:ind w:firstLine="567"/>
        <w:jc w:val="both"/>
        <w:rPr>
          <w:rFonts w:ascii="Arial Narrow" w:hAnsi="Arial Narrow"/>
          <w:sz w:val="24"/>
          <w:szCs w:val="24"/>
        </w:rPr>
      </w:pPr>
    </w:p>
    <w:p w:rsidR="00D53038" w:rsidRDefault="00D53038" w:rsidP="00D53038">
      <w:pPr>
        <w:spacing w:after="0" w:line="360" w:lineRule="auto"/>
        <w:ind w:firstLine="567"/>
        <w:jc w:val="both"/>
        <w:rPr>
          <w:rFonts w:ascii="Arial Narrow" w:hAnsi="Arial Narrow"/>
          <w:sz w:val="24"/>
          <w:szCs w:val="24"/>
        </w:rPr>
      </w:pPr>
      <w:r>
        <w:rPr>
          <w:rFonts w:ascii="Arial Narrow" w:hAnsi="Arial Narrow"/>
          <w:sz w:val="24"/>
          <w:szCs w:val="24"/>
        </w:rPr>
        <w:t>Sin embargo, la Resolución 1815 no incorpora con suficiente concreción medidas de protección del medio ambiente, más allá de la medida general de aplicación de los principios ALARA y de precaución, o la realización de campañas de información y sensibilización sobre los riesgos medioambientales y biológicos de las radiaciones</w:t>
      </w:r>
      <w:r w:rsidR="00DE1B57">
        <w:rPr>
          <w:rFonts w:ascii="Arial Narrow" w:hAnsi="Arial Narrow"/>
          <w:sz w:val="24"/>
          <w:szCs w:val="24"/>
        </w:rPr>
        <w:t xml:space="preserve"> que emiten las instalaciones de radiocomunicación. </w:t>
      </w:r>
    </w:p>
    <w:p w:rsidR="00D53038" w:rsidRDefault="00D53038" w:rsidP="00D53038">
      <w:pPr>
        <w:spacing w:after="0" w:line="360" w:lineRule="auto"/>
        <w:ind w:firstLine="567"/>
        <w:jc w:val="both"/>
        <w:rPr>
          <w:rFonts w:ascii="Arial Narrow" w:hAnsi="Arial Narrow"/>
          <w:sz w:val="24"/>
          <w:szCs w:val="24"/>
        </w:rPr>
      </w:pPr>
    </w:p>
    <w:p w:rsidR="00DE1B57" w:rsidRDefault="000652B1" w:rsidP="00D53038">
      <w:pPr>
        <w:spacing w:after="0" w:line="360" w:lineRule="auto"/>
        <w:ind w:firstLine="567"/>
        <w:jc w:val="both"/>
        <w:rPr>
          <w:rFonts w:ascii="Arial Narrow" w:hAnsi="Arial Narrow"/>
          <w:sz w:val="24"/>
          <w:szCs w:val="24"/>
        </w:rPr>
      </w:pPr>
      <w:r>
        <w:rPr>
          <w:rFonts w:ascii="Arial Narrow" w:hAnsi="Arial Narrow"/>
          <w:sz w:val="24"/>
          <w:szCs w:val="24"/>
        </w:rPr>
        <w:t>Generalidad de las previsiones</w:t>
      </w:r>
      <w:r w:rsidR="00DE1B57">
        <w:rPr>
          <w:rFonts w:ascii="Arial Narrow" w:hAnsi="Arial Narrow"/>
          <w:sz w:val="24"/>
          <w:szCs w:val="24"/>
        </w:rPr>
        <w:t xml:space="preserve"> que no </w:t>
      </w:r>
      <w:r w:rsidR="005A3B28">
        <w:rPr>
          <w:rFonts w:ascii="Arial Narrow" w:hAnsi="Arial Narrow"/>
          <w:sz w:val="24"/>
          <w:szCs w:val="24"/>
        </w:rPr>
        <w:t xml:space="preserve">poquedad o </w:t>
      </w:r>
      <w:r w:rsidR="00DE1B57">
        <w:rPr>
          <w:rFonts w:ascii="Arial Narrow" w:hAnsi="Arial Narrow"/>
          <w:sz w:val="24"/>
          <w:szCs w:val="24"/>
        </w:rPr>
        <w:t xml:space="preserve">ausencia de interés público en la protección del medio ambiente derivado de la existencia de los riesgos inherentes a las </w:t>
      </w:r>
      <w:r w:rsidR="000B1D8A">
        <w:rPr>
          <w:rFonts w:ascii="Arial Narrow" w:hAnsi="Arial Narrow"/>
          <w:sz w:val="24"/>
          <w:szCs w:val="24"/>
        </w:rPr>
        <w:t xml:space="preserve">citadas </w:t>
      </w:r>
      <w:r w:rsidR="00D53038">
        <w:rPr>
          <w:rFonts w:ascii="Arial Narrow" w:hAnsi="Arial Narrow"/>
          <w:sz w:val="24"/>
          <w:szCs w:val="24"/>
        </w:rPr>
        <w:t>instalaciones</w:t>
      </w:r>
      <w:r w:rsidR="00DE1B57">
        <w:rPr>
          <w:rFonts w:ascii="Arial Narrow" w:hAnsi="Arial Narrow"/>
          <w:sz w:val="24"/>
          <w:szCs w:val="24"/>
        </w:rPr>
        <w:t>, pues es la preservación de ese interés público, justamente, el que sirve a la coordinación de la consideración de los peligros potenciales de los campos electromagnéticos y de las posibles medidas para contrarrestarlos</w:t>
      </w:r>
      <w:r w:rsidR="00C957FC">
        <w:rPr>
          <w:rFonts w:ascii="Arial Narrow" w:hAnsi="Arial Narrow"/>
          <w:sz w:val="24"/>
          <w:szCs w:val="24"/>
        </w:rPr>
        <w:t>, en tanto a dicha competencia corresponde o</w:t>
      </w:r>
      <w:r w:rsidR="00C957FC" w:rsidRPr="00C957FC">
        <w:rPr>
          <w:rFonts w:ascii="Arial Narrow" w:hAnsi="Arial Narrow"/>
          <w:sz w:val="24"/>
          <w:szCs w:val="24"/>
        </w:rPr>
        <w:t>rdenar las actividades con incidencia en el medio ambiente, efectuando un control integrado de sus posibles efectos contaminantes</w:t>
      </w:r>
      <w:r w:rsidR="00C957FC">
        <w:rPr>
          <w:rFonts w:ascii="Arial Narrow" w:hAnsi="Arial Narrow"/>
          <w:sz w:val="24"/>
          <w:szCs w:val="24"/>
        </w:rPr>
        <w:t>.</w:t>
      </w:r>
    </w:p>
    <w:p w:rsidR="005A3B28" w:rsidRDefault="005A3B28" w:rsidP="00D53038">
      <w:pPr>
        <w:spacing w:after="0" w:line="360" w:lineRule="auto"/>
        <w:ind w:firstLine="567"/>
        <w:jc w:val="both"/>
        <w:rPr>
          <w:rFonts w:ascii="Arial Narrow" w:hAnsi="Arial Narrow"/>
          <w:sz w:val="24"/>
          <w:szCs w:val="24"/>
        </w:rPr>
      </w:pPr>
    </w:p>
    <w:p w:rsidR="00DE1B57" w:rsidRDefault="005A3B28" w:rsidP="00D53038">
      <w:pPr>
        <w:spacing w:after="0" w:line="360" w:lineRule="auto"/>
        <w:ind w:firstLine="567"/>
        <w:jc w:val="both"/>
        <w:rPr>
          <w:rFonts w:ascii="Arial Narrow" w:hAnsi="Arial Narrow"/>
          <w:sz w:val="24"/>
          <w:szCs w:val="24"/>
        </w:rPr>
      </w:pPr>
      <w:r>
        <w:rPr>
          <w:rFonts w:ascii="Arial Narrow" w:hAnsi="Arial Narrow"/>
          <w:sz w:val="24"/>
          <w:szCs w:val="24"/>
        </w:rPr>
        <w:t xml:space="preserve">A este respecto, no puede </w:t>
      </w:r>
      <w:r w:rsidR="00D32BDC">
        <w:rPr>
          <w:rFonts w:ascii="Arial Narrow" w:hAnsi="Arial Narrow"/>
          <w:sz w:val="24"/>
          <w:szCs w:val="24"/>
        </w:rPr>
        <w:t xml:space="preserve">obviarse </w:t>
      </w:r>
      <w:r w:rsidR="00A52627">
        <w:rPr>
          <w:rFonts w:ascii="Arial Narrow" w:hAnsi="Arial Narrow"/>
          <w:sz w:val="24"/>
          <w:szCs w:val="24"/>
        </w:rPr>
        <w:t xml:space="preserve">el sometimiento de las operadoras a las normas sobre protección ambiental y urbanismo –también sobre salud pública- que </w:t>
      </w:r>
      <w:r w:rsidR="007D5882">
        <w:rPr>
          <w:rFonts w:ascii="Arial Narrow" w:hAnsi="Arial Narrow"/>
          <w:sz w:val="24"/>
          <w:szCs w:val="24"/>
        </w:rPr>
        <w:t>deriva</w:t>
      </w:r>
      <w:r w:rsidR="00A52627">
        <w:rPr>
          <w:rFonts w:ascii="Arial Narrow" w:hAnsi="Arial Narrow"/>
          <w:sz w:val="24"/>
          <w:szCs w:val="24"/>
        </w:rPr>
        <w:t xml:space="preserve"> </w:t>
      </w:r>
      <w:r w:rsidR="007D5882">
        <w:rPr>
          <w:rFonts w:ascii="Arial Narrow" w:hAnsi="Arial Narrow"/>
          <w:sz w:val="24"/>
          <w:szCs w:val="24"/>
        </w:rPr>
        <w:t>d</w:t>
      </w:r>
      <w:r w:rsidR="00A52627">
        <w:rPr>
          <w:rFonts w:ascii="Arial Narrow" w:hAnsi="Arial Narrow"/>
          <w:sz w:val="24"/>
          <w:szCs w:val="24"/>
        </w:rPr>
        <w:t xml:space="preserve">el artículo 28 de la </w:t>
      </w:r>
      <w:r w:rsidR="00A52627" w:rsidRPr="00A52627">
        <w:rPr>
          <w:rFonts w:ascii="Arial Narrow" w:hAnsi="Arial Narrow"/>
          <w:sz w:val="24"/>
          <w:szCs w:val="24"/>
        </w:rPr>
        <w:t>Ley 32/2003, de 3 de noviembre, General de Telecomunicaciones</w:t>
      </w:r>
      <w:r w:rsidR="00A52627">
        <w:rPr>
          <w:rFonts w:ascii="Arial Narrow" w:hAnsi="Arial Narrow"/>
          <w:sz w:val="24"/>
          <w:szCs w:val="24"/>
        </w:rPr>
        <w:t>.</w:t>
      </w:r>
      <w:r w:rsidR="007D5882">
        <w:rPr>
          <w:rFonts w:ascii="Arial Narrow" w:hAnsi="Arial Narrow"/>
          <w:sz w:val="24"/>
          <w:szCs w:val="24"/>
        </w:rPr>
        <w:t xml:space="preserve"> Igualmente, el artículo 18 b) del Real Decreto 424/2005, </w:t>
      </w:r>
      <w:r w:rsidR="007D5882" w:rsidRPr="007D5882">
        <w:rPr>
          <w:rFonts w:ascii="Arial Narrow" w:hAnsi="Arial Narrow"/>
          <w:sz w:val="24"/>
          <w:szCs w:val="24"/>
        </w:rPr>
        <w:t xml:space="preserve">de 15 de abril, por el que se aprueba el Reglamento sobre las condiciones para la prestación de servicios de comunicaciones electrónicas, el servicio universal </w:t>
      </w:r>
      <w:r w:rsidR="007D5882">
        <w:rPr>
          <w:rFonts w:ascii="Arial Narrow" w:hAnsi="Arial Narrow"/>
          <w:sz w:val="24"/>
          <w:szCs w:val="24"/>
        </w:rPr>
        <w:t>y la protección de los usuarios, recoge entre las condiciones exigibles a los operadores que exploten redes públicas de comunicaciones electrónicas el r</w:t>
      </w:r>
      <w:r w:rsidR="007D5882" w:rsidRPr="007D5882">
        <w:rPr>
          <w:rFonts w:ascii="Arial Narrow" w:hAnsi="Arial Narrow"/>
          <w:sz w:val="24"/>
          <w:szCs w:val="24"/>
        </w:rPr>
        <w:t>espet</w:t>
      </w:r>
      <w:r w:rsidR="007D5882">
        <w:rPr>
          <w:rFonts w:ascii="Arial Narrow" w:hAnsi="Arial Narrow"/>
          <w:sz w:val="24"/>
          <w:szCs w:val="24"/>
        </w:rPr>
        <w:t>o</w:t>
      </w:r>
      <w:r w:rsidR="007D5882" w:rsidRPr="007D5882">
        <w:rPr>
          <w:rFonts w:ascii="Arial Narrow" w:hAnsi="Arial Narrow"/>
          <w:sz w:val="24"/>
          <w:szCs w:val="24"/>
        </w:rPr>
        <w:t xml:space="preserve"> </w:t>
      </w:r>
      <w:r w:rsidR="007D5882">
        <w:rPr>
          <w:rFonts w:ascii="Arial Narrow" w:hAnsi="Arial Narrow"/>
          <w:sz w:val="24"/>
          <w:szCs w:val="24"/>
        </w:rPr>
        <w:t xml:space="preserve">a </w:t>
      </w:r>
      <w:r w:rsidR="007D5882" w:rsidRPr="007D5882">
        <w:rPr>
          <w:rFonts w:ascii="Arial Narrow" w:hAnsi="Arial Narrow"/>
          <w:sz w:val="24"/>
          <w:szCs w:val="24"/>
        </w:rPr>
        <w:t xml:space="preserve">las normas y resoluciones aprobadas por las autoridades competentes en materia de urbanismo, de medio ambiente y de ordenación del territorio, salud pública, </w:t>
      </w:r>
      <w:r w:rsidR="007D5882">
        <w:rPr>
          <w:rFonts w:ascii="Arial Narrow" w:hAnsi="Arial Narrow"/>
          <w:sz w:val="24"/>
          <w:szCs w:val="24"/>
        </w:rPr>
        <w:t xml:space="preserve">etc. </w:t>
      </w:r>
      <w:r w:rsidR="007D5882" w:rsidRPr="007D5882">
        <w:rPr>
          <w:rFonts w:ascii="Arial Narrow" w:hAnsi="Arial Narrow"/>
          <w:sz w:val="24"/>
          <w:szCs w:val="24"/>
        </w:rPr>
        <w:t>por ocupación del dominio público.</w:t>
      </w:r>
    </w:p>
    <w:p w:rsidR="007D5882" w:rsidRDefault="007D5882" w:rsidP="00D53038">
      <w:pPr>
        <w:spacing w:after="0" w:line="360" w:lineRule="auto"/>
        <w:ind w:firstLine="567"/>
        <w:jc w:val="both"/>
        <w:rPr>
          <w:rFonts w:ascii="Arial Narrow" w:hAnsi="Arial Narrow"/>
          <w:sz w:val="24"/>
          <w:szCs w:val="24"/>
        </w:rPr>
      </w:pPr>
    </w:p>
    <w:p w:rsidR="00662122" w:rsidRDefault="00662122" w:rsidP="00D53038">
      <w:pPr>
        <w:spacing w:after="0" w:line="360" w:lineRule="auto"/>
        <w:ind w:firstLine="567"/>
        <w:jc w:val="both"/>
        <w:rPr>
          <w:rFonts w:ascii="Arial Narrow" w:hAnsi="Arial Narrow"/>
          <w:sz w:val="24"/>
          <w:szCs w:val="24"/>
        </w:rPr>
      </w:pPr>
      <w:r>
        <w:rPr>
          <w:rFonts w:ascii="Arial Narrow" w:hAnsi="Arial Narrow"/>
          <w:sz w:val="24"/>
          <w:szCs w:val="24"/>
        </w:rPr>
        <w:t>La ordenación medioambiental y la ordenación territorial se constituyen en intereses públicos dominantes en la regulación autonómica de las instalaciones de radiocomunicación</w:t>
      </w:r>
      <w:r w:rsidR="00983D64">
        <w:rPr>
          <w:rFonts w:ascii="Arial Narrow" w:hAnsi="Arial Narrow"/>
          <w:sz w:val="24"/>
          <w:szCs w:val="24"/>
        </w:rPr>
        <w:t>,</w:t>
      </w:r>
      <w:r>
        <w:rPr>
          <w:rFonts w:ascii="Arial Narrow" w:hAnsi="Arial Narrow"/>
          <w:sz w:val="24"/>
          <w:szCs w:val="24"/>
        </w:rPr>
        <w:t xml:space="preserve"> </w:t>
      </w:r>
      <w:r w:rsidR="00983D64">
        <w:rPr>
          <w:rFonts w:ascii="Arial Narrow" w:hAnsi="Arial Narrow"/>
          <w:sz w:val="24"/>
          <w:szCs w:val="24"/>
        </w:rPr>
        <w:t xml:space="preserve">pues </w:t>
      </w:r>
      <w:r>
        <w:rPr>
          <w:rFonts w:ascii="Arial Narrow" w:hAnsi="Arial Narrow"/>
          <w:sz w:val="24"/>
          <w:szCs w:val="24"/>
        </w:rPr>
        <w:t xml:space="preserve">bajo su manto encuentran cabida una pluralidad de disposiciones y actuaciones públicas de distinto signo y finalidad que confluyen en un mismo objeto -la instalación de radiocomunicación-, </w:t>
      </w:r>
      <w:r w:rsidR="00983D64">
        <w:rPr>
          <w:rFonts w:ascii="Arial Narrow" w:hAnsi="Arial Narrow"/>
          <w:sz w:val="24"/>
          <w:szCs w:val="24"/>
        </w:rPr>
        <w:t xml:space="preserve">siendo </w:t>
      </w:r>
      <w:r>
        <w:rPr>
          <w:rFonts w:ascii="Arial Narrow" w:hAnsi="Arial Narrow"/>
          <w:sz w:val="24"/>
          <w:szCs w:val="24"/>
        </w:rPr>
        <w:t>la fijación de los usos de los suelos o del espacio físico territorial permitido</w:t>
      </w:r>
      <w:r w:rsidR="00983D64">
        <w:rPr>
          <w:rFonts w:ascii="Arial Narrow" w:hAnsi="Arial Narrow"/>
          <w:sz w:val="24"/>
          <w:szCs w:val="24"/>
        </w:rPr>
        <w:t xml:space="preserve"> uno de los principales instrumentos para la protección de otros intereses públicos</w:t>
      </w:r>
      <w:r>
        <w:rPr>
          <w:rFonts w:ascii="Arial Narrow" w:hAnsi="Arial Narrow"/>
          <w:sz w:val="24"/>
          <w:szCs w:val="24"/>
        </w:rPr>
        <w:t>.</w:t>
      </w:r>
    </w:p>
    <w:p w:rsidR="00EC4B13" w:rsidRDefault="00EC4B13" w:rsidP="00D53038">
      <w:pPr>
        <w:spacing w:after="0" w:line="360" w:lineRule="auto"/>
        <w:ind w:firstLine="567"/>
        <w:jc w:val="both"/>
        <w:rPr>
          <w:rFonts w:ascii="Arial Narrow" w:hAnsi="Arial Narrow"/>
          <w:sz w:val="24"/>
          <w:szCs w:val="24"/>
        </w:rPr>
      </w:pPr>
    </w:p>
    <w:p w:rsidR="00E63635" w:rsidRDefault="00983D64" w:rsidP="00D53038">
      <w:pPr>
        <w:spacing w:after="0" w:line="360" w:lineRule="auto"/>
        <w:ind w:firstLine="567"/>
        <w:jc w:val="both"/>
        <w:rPr>
          <w:rFonts w:ascii="Arial Narrow" w:hAnsi="Arial Narrow"/>
          <w:sz w:val="24"/>
          <w:szCs w:val="24"/>
        </w:rPr>
      </w:pPr>
      <w:r>
        <w:rPr>
          <w:rFonts w:ascii="Arial Narrow" w:hAnsi="Arial Narrow"/>
          <w:sz w:val="24"/>
          <w:szCs w:val="24"/>
        </w:rPr>
        <w:lastRenderedPageBreak/>
        <w:t>Como se dice, l</w:t>
      </w:r>
      <w:r w:rsidR="00EC4B13">
        <w:rPr>
          <w:rFonts w:ascii="Arial Narrow" w:hAnsi="Arial Narrow"/>
          <w:sz w:val="24"/>
          <w:szCs w:val="24"/>
        </w:rPr>
        <w:t xml:space="preserve">a prevalencia de las competencias sobre medio ambiente y sobre ordenación del territorio </w:t>
      </w:r>
      <w:r w:rsidR="006C71A8">
        <w:rPr>
          <w:rFonts w:ascii="Arial Narrow" w:hAnsi="Arial Narrow"/>
          <w:sz w:val="24"/>
          <w:szCs w:val="24"/>
        </w:rPr>
        <w:t>encuentra razón</w:t>
      </w:r>
      <w:r w:rsidR="007248CB">
        <w:rPr>
          <w:rFonts w:ascii="Arial Narrow" w:hAnsi="Arial Narrow"/>
          <w:sz w:val="24"/>
          <w:szCs w:val="24"/>
        </w:rPr>
        <w:t xml:space="preserve"> en la trascendencia de la consideración del espacio físico en la regulación de las instalaciones de constante cita y en el servicio que la ordenación del espacio rural o urbano </w:t>
      </w:r>
      <w:r w:rsidR="006C71A8">
        <w:rPr>
          <w:rFonts w:ascii="Arial Narrow" w:hAnsi="Arial Narrow"/>
          <w:sz w:val="24"/>
          <w:szCs w:val="24"/>
        </w:rPr>
        <w:t xml:space="preserve">presta </w:t>
      </w:r>
      <w:r w:rsidR="007248CB">
        <w:rPr>
          <w:rFonts w:ascii="Arial Narrow" w:hAnsi="Arial Narrow"/>
          <w:sz w:val="24"/>
          <w:szCs w:val="24"/>
        </w:rPr>
        <w:t>a la protección de otros intereses públicos concurrentes, singularmente, la salud pública</w:t>
      </w:r>
      <w:r w:rsidR="00E63635">
        <w:rPr>
          <w:rFonts w:ascii="Arial Narrow" w:hAnsi="Arial Narrow"/>
          <w:sz w:val="24"/>
          <w:szCs w:val="24"/>
        </w:rPr>
        <w:t>.</w:t>
      </w:r>
    </w:p>
    <w:p w:rsidR="00E63635" w:rsidRDefault="00E63635" w:rsidP="00D53038">
      <w:pPr>
        <w:spacing w:after="0" w:line="360" w:lineRule="auto"/>
        <w:ind w:firstLine="567"/>
        <w:jc w:val="both"/>
        <w:rPr>
          <w:rFonts w:ascii="Arial Narrow" w:hAnsi="Arial Narrow"/>
          <w:sz w:val="24"/>
          <w:szCs w:val="24"/>
        </w:rPr>
      </w:pPr>
    </w:p>
    <w:p w:rsidR="007D5882" w:rsidRDefault="00E63635" w:rsidP="00D53038">
      <w:pPr>
        <w:spacing w:after="0" w:line="360" w:lineRule="auto"/>
        <w:ind w:firstLine="567"/>
        <w:jc w:val="both"/>
        <w:rPr>
          <w:rFonts w:ascii="Arial Narrow" w:hAnsi="Arial Narrow"/>
          <w:sz w:val="24"/>
          <w:szCs w:val="24"/>
        </w:rPr>
      </w:pPr>
      <w:r>
        <w:rPr>
          <w:rFonts w:ascii="Arial Narrow" w:hAnsi="Arial Narrow"/>
          <w:sz w:val="24"/>
          <w:szCs w:val="24"/>
        </w:rPr>
        <w:t>Esta circunstancia</w:t>
      </w:r>
      <w:r w:rsidR="000652B1">
        <w:rPr>
          <w:rFonts w:ascii="Arial Narrow" w:hAnsi="Arial Narrow"/>
          <w:sz w:val="24"/>
          <w:szCs w:val="24"/>
        </w:rPr>
        <w:t xml:space="preserve"> podría</w:t>
      </w:r>
      <w:r>
        <w:rPr>
          <w:rFonts w:ascii="Arial Narrow" w:hAnsi="Arial Narrow"/>
          <w:sz w:val="24"/>
          <w:szCs w:val="24"/>
        </w:rPr>
        <w:t xml:space="preserve"> </w:t>
      </w:r>
      <w:r w:rsidR="006C71A8">
        <w:rPr>
          <w:rFonts w:ascii="Arial Narrow" w:hAnsi="Arial Narrow"/>
          <w:sz w:val="24"/>
          <w:szCs w:val="24"/>
        </w:rPr>
        <w:t>justifica</w:t>
      </w:r>
      <w:r w:rsidR="000652B1">
        <w:rPr>
          <w:rFonts w:ascii="Arial Narrow" w:hAnsi="Arial Narrow"/>
          <w:sz w:val="24"/>
          <w:szCs w:val="24"/>
        </w:rPr>
        <w:t>r</w:t>
      </w:r>
      <w:r w:rsidR="006C71A8">
        <w:rPr>
          <w:rFonts w:ascii="Arial Narrow" w:hAnsi="Arial Narrow"/>
          <w:sz w:val="24"/>
          <w:szCs w:val="24"/>
        </w:rPr>
        <w:t xml:space="preserve"> </w:t>
      </w:r>
      <w:r w:rsidR="000652B1">
        <w:rPr>
          <w:rFonts w:ascii="Arial Narrow" w:hAnsi="Arial Narrow"/>
          <w:sz w:val="24"/>
          <w:szCs w:val="24"/>
        </w:rPr>
        <w:t xml:space="preserve">que </w:t>
      </w:r>
      <w:r>
        <w:rPr>
          <w:rFonts w:ascii="Arial Narrow" w:hAnsi="Arial Narrow"/>
          <w:sz w:val="24"/>
          <w:szCs w:val="24"/>
        </w:rPr>
        <w:t>el Departamento de Medio Ambiente y Política Territorial</w:t>
      </w:r>
      <w:r w:rsidR="00983D64">
        <w:rPr>
          <w:rFonts w:ascii="Arial Narrow" w:hAnsi="Arial Narrow"/>
          <w:sz w:val="24"/>
          <w:szCs w:val="24"/>
        </w:rPr>
        <w:t xml:space="preserve">, </w:t>
      </w:r>
      <w:r>
        <w:rPr>
          <w:rFonts w:ascii="Arial Narrow" w:hAnsi="Arial Narrow"/>
          <w:sz w:val="24"/>
          <w:szCs w:val="24"/>
        </w:rPr>
        <w:t xml:space="preserve">llegado el caso, </w:t>
      </w:r>
      <w:r w:rsidR="000652B1">
        <w:rPr>
          <w:rFonts w:ascii="Arial Narrow" w:hAnsi="Arial Narrow"/>
          <w:sz w:val="24"/>
          <w:szCs w:val="24"/>
        </w:rPr>
        <w:t xml:space="preserve">iniciara </w:t>
      </w:r>
      <w:r>
        <w:rPr>
          <w:rFonts w:ascii="Arial Narrow" w:hAnsi="Arial Narrow"/>
          <w:sz w:val="24"/>
          <w:szCs w:val="24"/>
        </w:rPr>
        <w:t xml:space="preserve">el </w:t>
      </w:r>
      <w:r w:rsidRPr="00E63635">
        <w:rPr>
          <w:rFonts w:ascii="Arial Narrow" w:hAnsi="Arial Narrow"/>
          <w:sz w:val="24"/>
          <w:szCs w:val="24"/>
        </w:rPr>
        <w:t>procedimiento de elaboración de</w:t>
      </w:r>
      <w:r>
        <w:rPr>
          <w:rFonts w:ascii="Arial Narrow" w:hAnsi="Arial Narrow"/>
          <w:sz w:val="24"/>
          <w:szCs w:val="24"/>
        </w:rPr>
        <w:t xml:space="preserve"> </w:t>
      </w:r>
      <w:r w:rsidRPr="00E63635">
        <w:rPr>
          <w:rFonts w:ascii="Arial Narrow" w:hAnsi="Arial Narrow"/>
          <w:sz w:val="24"/>
          <w:szCs w:val="24"/>
        </w:rPr>
        <w:t>la disposici</w:t>
      </w:r>
      <w:r>
        <w:rPr>
          <w:rFonts w:ascii="Arial Narrow" w:hAnsi="Arial Narrow"/>
          <w:sz w:val="24"/>
          <w:szCs w:val="24"/>
        </w:rPr>
        <w:t>ó</w:t>
      </w:r>
      <w:r w:rsidRPr="00E63635">
        <w:rPr>
          <w:rFonts w:ascii="Arial Narrow" w:hAnsi="Arial Narrow"/>
          <w:sz w:val="24"/>
          <w:szCs w:val="24"/>
        </w:rPr>
        <w:t xml:space="preserve">n </w:t>
      </w:r>
      <w:r>
        <w:rPr>
          <w:rFonts w:ascii="Arial Narrow" w:hAnsi="Arial Narrow"/>
          <w:sz w:val="24"/>
          <w:szCs w:val="24"/>
        </w:rPr>
        <w:t xml:space="preserve">de </w:t>
      </w:r>
      <w:r w:rsidRPr="00E63635">
        <w:rPr>
          <w:rFonts w:ascii="Arial Narrow" w:hAnsi="Arial Narrow"/>
          <w:sz w:val="24"/>
          <w:szCs w:val="24"/>
        </w:rPr>
        <w:t>carácter general</w:t>
      </w:r>
      <w:r w:rsidR="000652B1">
        <w:rPr>
          <w:rFonts w:ascii="Arial Narrow" w:hAnsi="Arial Narrow"/>
          <w:sz w:val="24"/>
          <w:szCs w:val="24"/>
        </w:rPr>
        <w:t>, sin perjuicio de una promoción</w:t>
      </w:r>
      <w:r w:rsidRPr="00E63635">
        <w:rPr>
          <w:rFonts w:ascii="Arial Narrow" w:hAnsi="Arial Narrow"/>
          <w:sz w:val="24"/>
          <w:szCs w:val="24"/>
        </w:rPr>
        <w:t xml:space="preserve"> </w:t>
      </w:r>
      <w:r w:rsidR="000652B1">
        <w:rPr>
          <w:rFonts w:ascii="Arial Narrow" w:hAnsi="Arial Narrow"/>
          <w:sz w:val="24"/>
          <w:szCs w:val="24"/>
        </w:rPr>
        <w:t xml:space="preserve">conjunta de la norma </w:t>
      </w:r>
      <w:r w:rsidR="00983D64">
        <w:rPr>
          <w:rFonts w:ascii="Arial Narrow" w:hAnsi="Arial Narrow"/>
          <w:sz w:val="24"/>
          <w:szCs w:val="24"/>
        </w:rPr>
        <w:t xml:space="preserve">también </w:t>
      </w:r>
      <w:r w:rsidR="000652B1">
        <w:rPr>
          <w:rFonts w:ascii="Arial Narrow" w:hAnsi="Arial Narrow"/>
          <w:sz w:val="24"/>
          <w:szCs w:val="24"/>
        </w:rPr>
        <w:t xml:space="preserve">por </w:t>
      </w:r>
      <w:r w:rsidR="00983D64">
        <w:rPr>
          <w:rFonts w:ascii="Arial Narrow" w:hAnsi="Arial Narrow"/>
          <w:sz w:val="24"/>
          <w:szCs w:val="24"/>
        </w:rPr>
        <w:t>e</w:t>
      </w:r>
      <w:r w:rsidR="000652B1">
        <w:rPr>
          <w:rFonts w:ascii="Arial Narrow" w:hAnsi="Arial Narrow"/>
          <w:sz w:val="24"/>
          <w:szCs w:val="24"/>
        </w:rPr>
        <w:t xml:space="preserve">l </w:t>
      </w:r>
      <w:r>
        <w:rPr>
          <w:rFonts w:ascii="Arial Narrow" w:hAnsi="Arial Narrow"/>
          <w:sz w:val="24"/>
          <w:szCs w:val="24"/>
        </w:rPr>
        <w:t>Departamento</w:t>
      </w:r>
      <w:r w:rsidR="00983D64">
        <w:rPr>
          <w:rFonts w:ascii="Arial Narrow" w:hAnsi="Arial Narrow"/>
          <w:sz w:val="24"/>
          <w:szCs w:val="24"/>
        </w:rPr>
        <w:t xml:space="preserve"> de</w:t>
      </w:r>
      <w:r w:rsidR="000652B1">
        <w:rPr>
          <w:rFonts w:ascii="Arial Narrow" w:hAnsi="Arial Narrow"/>
          <w:sz w:val="24"/>
          <w:szCs w:val="24"/>
        </w:rPr>
        <w:t xml:space="preserve"> Salud por la </w:t>
      </w:r>
      <w:r w:rsidR="00983D64">
        <w:rPr>
          <w:rFonts w:ascii="Arial Narrow" w:hAnsi="Arial Narrow"/>
          <w:sz w:val="24"/>
          <w:szCs w:val="24"/>
        </w:rPr>
        <w:t xml:space="preserve">eventualidad de una </w:t>
      </w:r>
      <w:r w:rsidR="000652B1">
        <w:rPr>
          <w:rFonts w:ascii="Arial Narrow" w:hAnsi="Arial Narrow"/>
          <w:sz w:val="24"/>
          <w:szCs w:val="24"/>
        </w:rPr>
        <w:t xml:space="preserve">incidencia </w:t>
      </w:r>
      <w:r w:rsidR="00983D64">
        <w:rPr>
          <w:rFonts w:ascii="Arial Narrow" w:hAnsi="Arial Narrow"/>
          <w:sz w:val="24"/>
          <w:szCs w:val="24"/>
        </w:rPr>
        <w:t xml:space="preserve">relevante </w:t>
      </w:r>
      <w:r w:rsidR="000652B1">
        <w:rPr>
          <w:rFonts w:ascii="Arial Narrow" w:hAnsi="Arial Narrow"/>
          <w:sz w:val="24"/>
          <w:szCs w:val="24"/>
        </w:rPr>
        <w:t>del proyecto en el ámbito de sus competencias.</w:t>
      </w:r>
    </w:p>
    <w:p w:rsidR="00983D64" w:rsidRDefault="00983D64" w:rsidP="00D53038">
      <w:pPr>
        <w:spacing w:after="0" w:line="360" w:lineRule="auto"/>
        <w:ind w:firstLine="567"/>
        <w:jc w:val="both"/>
        <w:rPr>
          <w:rFonts w:ascii="Arial Narrow" w:hAnsi="Arial Narrow"/>
          <w:sz w:val="24"/>
          <w:szCs w:val="24"/>
        </w:rPr>
      </w:pPr>
    </w:p>
    <w:p w:rsidR="00CE4D10" w:rsidRDefault="00983D64" w:rsidP="00D53038">
      <w:pPr>
        <w:spacing w:after="0" w:line="360" w:lineRule="auto"/>
        <w:ind w:firstLine="567"/>
        <w:jc w:val="both"/>
        <w:rPr>
          <w:rFonts w:ascii="Arial Narrow" w:hAnsi="Arial Narrow"/>
          <w:sz w:val="24"/>
          <w:szCs w:val="24"/>
        </w:rPr>
      </w:pPr>
      <w:r>
        <w:rPr>
          <w:rFonts w:ascii="Arial Narrow" w:hAnsi="Arial Narrow"/>
          <w:sz w:val="24"/>
          <w:szCs w:val="24"/>
        </w:rPr>
        <w:t>En este sentido, el ejercicio de una competencia normativa llamada a regular las instalaciones de radiocomunicación</w:t>
      </w:r>
      <w:r w:rsidR="00CE4D10">
        <w:rPr>
          <w:rFonts w:ascii="Arial Narrow" w:hAnsi="Arial Narrow"/>
          <w:sz w:val="24"/>
          <w:szCs w:val="24"/>
        </w:rPr>
        <w:t xml:space="preserve">, en tanto origen de la contaminación electromagnética, estaría liderada por el Departamento de Medio Ambiente y Política Territorial, bien individual o conjuntamente con el Departamento de Sanidad, dependiendo del alcance y objetivos de la regulación propuesta. </w:t>
      </w:r>
    </w:p>
    <w:p w:rsidR="00CE4D10" w:rsidRDefault="00CE4D10" w:rsidP="00D53038">
      <w:pPr>
        <w:spacing w:after="0" w:line="360" w:lineRule="auto"/>
        <w:ind w:firstLine="567"/>
        <w:jc w:val="both"/>
        <w:rPr>
          <w:rFonts w:ascii="Arial Narrow" w:hAnsi="Arial Narrow"/>
          <w:sz w:val="24"/>
          <w:szCs w:val="24"/>
        </w:rPr>
      </w:pPr>
    </w:p>
    <w:p w:rsidR="00983D64" w:rsidRDefault="00CE4D10" w:rsidP="00D53038">
      <w:pPr>
        <w:spacing w:after="0" w:line="360" w:lineRule="auto"/>
        <w:ind w:firstLine="567"/>
        <w:jc w:val="both"/>
        <w:rPr>
          <w:rFonts w:ascii="Arial Narrow" w:hAnsi="Arial Narrow"/>
          <w:sz w:val="24"/>
          <w:szCs w:val="24"/>
        </w:rPr>
      </w:pPr>
      <w:r>
        <w:rPr>
          <w:rFonts w:ascii="Arial Narrow" w:hAnsi="Arial Narrow"/>
          <w:sz w:val="24"/>
          <w:szCs w:val="24"/>
        </w:rPr>
        <w:t xml:space="preserve">Siguiendo idéntico criterio, cualquier iniciativa parlamentaria que verse </w:t>
      </w:r>
      <w:r w:rsidR="000B1D8A">
        <w:rPr>
          <w:rFonts w:ascii="Arial Narrow" w:hAnsi="Arial Narrow"/>
          <w:sz w:val="24"/>
          <w:szCs w:val="24"/>
        </w:rPr>
        <w:t xml:space="preserve">directa o indirectamente </w:t>
      </w:r>
      <w:r>
        <w:rPr>
          <w:rFonts w:ascii="Arial Narrow" w:hAnsi="Arial Narrow"/>
          <w:sz w:val="24"/>
          <w:szCs w:val="24"/>
        </w:rPr>
        <w:t xml:space="preserve">sobre la regulación de esta concreta materia precisará de una valoración por los Departamentos citados en los términos que acaban de exponerse. </w:t>
      </w:r>
    </w:p>
    <w:p w:rsidR="00CE4D10" w:rsidRDefault="00CE4D10" w:rsidP="00D53038">
      <w:pPr>
        <w:spacing w:after="0" w:line="360" w:lineRule="auto"/>
        <w:ind w:firstLine="567"/>
        <w:jc w:val="both"/>
        <w:rPr>
          <w:rFonts w:ascii="Arial Narrow" w:hAnsi="Arial Narrow"/>
          <w:sz w:val="24"/>
          <w:szCs w:val="24"/>
        </w:rPr>
      </w:pPr>
    </w:p>
    <w:p w:rsidR="00D268CF" w:rsidRDefault="00397D9D" w:rsidP="00D53038">
      <w:pPr>
        <w:spacing w:after="0" w:line="360" w:lineRule="auto"/>
        <w:ind w:firstLine="567"/>
        <w:jc w:val="both"/>
        <w:rPr>
          <w:rFonts w:ascii="Arial Narrow" w:hAnsi="Arial Narrow"/>
          <w:sz w:val="24"/>
          <w:szCs w:val="24"/>
        </w:rPr>
      </w:pPr>
      <w:r>
        <w:rPr>
          <w:rFonts w:ascii="Arial Narrow" w:hAnsi="Arial Narrow"/>
          <w:sz w:val="24"/>
          <w:szCs w:val="24"/>
        </w:rPr>
        <w:t>B</w:t>
      </w:r>
      <w:r w:rsidR="00CE4D10">
        <w:rPr>
          <w:rFonts w:ascii="Arial Narrow" w:hAnsi="Arial Narrow"/>
          <w:sz w:val="24"/>
          <w:szCs w:val="24"/>
        </w:rPr>
        <w:t xml:space="preserve">. La iniciativa parlamentaria de la que trae causa la consulta de la Dirección de la </w:t>
      </w:r>
      <w:r w:rsidR="00CE4D10" w:rsidRPr="00CE4D10">
        <w:rPr>
          <w:rFonts w:ascii="Arial Narrow" w:hAnsi="Arial Narrow"/>
          <w:sz w:val="24"/>
          <w:szCs w:val="24"/>
        </w:rPr>
        <w:t>Secretaría del Gobierno y de Relaciones con el Parlamento</w:t>
      </w:r>
      <w:r w:rsidR="00CE4D10">
        <w:rPr>
          <w:rFonts w:ascii="Arial Narrow" w:hAnsi="Arial Narrow"/>
          <w:sz w:val="24"/>
          <w:szCs w:val="24"/>
        </w:rPr>
        <w:t xml:space="preserve"> incluye referencias a acciones de estricta ejecución –seguimiento durante el año 2014 de la evidencia epidemiológica acerca del impacto que las instalaciones de radiocomunicación tienen en la salud de la ciudadanía</w:t>
      </w:r>
      <w:r w:rsidR="00E5094F">
        <w:rPr>
          <w:rFonts w:ascii="Arial Narrow" w:hAnsi="Arial Narrow"/>
          <w:sz w:val="24"/>
          <w:szCs w:val="24"/>
        </w:rPr>
        <w:t xml:space="preserve">; elaboración de un mapa donde se recoja el nivel de exposición actual y las posibles medidas de actuación para minimizarlo; promoción de una información sobre las radiaciones electromagnéticas rigurosa y equilibrada-. </w:t>
      </w:r>
    </w:p>
    <w:p w:rsidR="00D268CF" w:rsidRDefault="00D268CF" w:rsidP="00D53038">
      <w:pPr>
        <w:spacing w:after="0" w:line="360" w:lineRule="auto"/>
        <w:ind w:firstLine="567"/>
        <w:jc w:val="both"/>
        <w:rPr>
          <w:rFonts w:ascii="Arial Narrow" w:hAnsi="Arial Narrow"/>
          <w:sz w:val="24"/>
          <w:szCs w:val="24"/>
        </w:rPr>
      </w:pPr>
    </w:p>
    <w:p w:rsidR="00D268CF" w:rsidRPr="00D268CF" w:rsidRDefault="00D268CF" w:rsidP="00D53038">
      <w:pPr>
        <w:spacing w:after="0" w:line="360" w:lineRule="auto"/>
        <w:ind w:firstLine="567"/>
        <w:jc w:val="both"/>
        <w:rPr>
          <w:rFonts w:ascii="Arial Narrow" w:hAnsi="Arial Narrow"/>
          <w:sz w:val="24"/>
          <w:szCs w:val="24"/>
        </w:rPr>
      </w:pPr>
      <w:r w:rsidRPr="00D268CF">
        <w:rPr>
          <w:rFonts w:ascii="Arial Narrow" w:hAnsi="Arial Narrow"/>
          <w:sz w:val="24"/>
          <w:szCs w:val="24"/>
        </w:rPr>
        <w:t>La vinculación de las mismas con áreas departamentales ofrece una menor complejidad, en tanto las materias sobre las que versan encajan entre funciones y áreas de actuación de alguno de los Departamentos del Gobierno.</w:t>
      </w:r>
    </w:p>
    <w:p w:rsidR="00D268CF" w:rsidRPr="00D268CF" w:rsidRDefault="00D268CF" w:rsidP="00D53038">
      <w:pPr>
        <w:spacing w:after="0" w:line="360" w:lineRule="auto"/>
        <w:ind w:firstLine="567"/>
        <w:jc w:val="both"/>
        <w:rPr>
          <w:rFonts w:ascii="Arial Narrow" w:hAnsi="Arial Narrow"/>
          <w:sz w:val="24"/>
          <w:szCs w:val="24"/>
        </w:rPr>
      </w:pPr>
    </w:p>
    <w:p w:rsidR="00D268CF" w:rsidRDefault="00D268CF" w:rsidP="00D53038">
      <w:pPr>
        <w:spacing w:after="0" w:line="360" w:lineRule="auto"/>
        <w:ind w:firstLine="567"/>
        <w:jc w:val="both"/>
        <w:rPr>
          <w:rFonts w:ascii="Arial Narrow" w:hAnsi="Arial Narrow"/>
          <w:sz w:val="24"/>
          <w:szCs w:val="24"/>
        </w:rPr>
      </w:pPr>
      <w:r w:rsidRPr="00D268CF">
        <w:rPr>
          <w:rFonts w:ascii="Arial Narrow" w:hAnsi="Arial Narrow"/>
          <w:sz w:val="24"/>
          <w:szCs w:val="24"/>
        </w:rPr>
        <w:t>Así, es evidente</w:t>
      </w:r>
      <w:r>
        <w:rPr>
          <w:rFonts w:ascii="Arial Narrow" w:hAnsi="Arial Narrow"/>
          <w:sz w:val="24"/>
          <w:szCs w:val="24"/>
        </w:rPr>
        <w:t xml:space="preserve"> que el seguimiento epidemiológico que se propugna desde el Parlamento Vasco corresponde al Departamento de Salud, de acuerdo con lo dispuesto en el artículo  12.1.c) del D</w:t>
      </w:r>
      <w:r w:rsidRPr="00D268CF">
        <w:rPr>
          <w:rFonts w:ascii="Arial Narrow" w:hAnsi="Arial Narrow"/>
          <w:sz w:val="24"/>
          <w:szCs w:val="24"/>
        </w:rPr>
        <w:t xml:space="preserve">ecreto </w:t>
      </w:r>
      <w:r w:rsidRPr="00D268CF">
        <w:rPr>
          <w:rFonts w:ascii="Arial Narrow" w:hAnsi="Arial Narrow"/>
          <w:sz w:val="24"/>
          <w:szCs w:val="24"/>
        </w:rPr>
        <w:lastRenderedPageBreak/>
        <w:t>20/2012, de 15 de diciembre, del Lehendakari, de creación, supresión y modificación de los Departamentos de la Administración de la Comunidad Autónoma del País Vasco y de determinación de funciones y áreas de actuación de los mismos</w:t>
      </w:r>
      <w:r>
        <w:rPr>
          <w:rFonts w:ascii="Arial Narrow" w:hAnsi="Arial Narrow"/>
          <w:sz w:val="24"/>
          <w:szCs w:val="24"/>
        </w:rPr>
        <w:t xml:space="preserve">. </w:t>
      </w:r>
    </w:p>
    <w:p w:rsidR="00D268CF" w:rsidRDefault="00D268CF" w:rsidP="00D53038">
      <w:pPr>
        <w:spacing w:after="0" w:line="360" w:lineRule="auto"/>
        <w:ind w:firstLine="567"/>
        <w:jc w:val="both"/>
        <w:rPr>
          <w:rFonts w:ascii="Arial Narrow" w:hAnsi="Arial Narrow"/>
          <w:sz w:val="24"/>
          <w:szCs w:val="24"/>
        </w:rPr>
      </w:pPr>
    </w:p>
    <w:p w:rsidR="00586708" w:rsidRDefault="00D268CF" w:rsidP="00586708">
      <w:pPr>
        <w:spacing w:after="0" w:line="360" w:lineRule="auto"/>
        <w:ind w:firstLine="567"/>
        <w:jc w:val="both"/>
        <w:rPr>
          <w:rFonts w:ascii="Arial Narrow" w:hAnsi="Arial Narrow"/>
          <w:sz w:val="24"/>
          <w:szCs w:val="24"/>
        </w:rPr>
      </w:pPr>
      <w:r>
        <w:rPr>
          <w:rFonts w:ascii="Arial Narrow" w:hAnsi="Arial Narrow"/>
          <w:sz w:val="24"/>
          <w:szCs w:val="24"/>
        </w:rPr>
        <w:t xml:space="preserve">De igual modo, la </w:t>
      </w:r>
      <w:r w:rsidRPr="00D268CF">
        <w:rPr>
          <w:rFonts w:ascii="Arial Narrow" w:hAnsi="Arial Narrow"/>
          <w:sz w:val="24"/>
          <w:szCs w:val="24"/>
        </w:rPr>
        <w:t xml:space="preserve">elaboración de un mapa donde se recoja el nivel de exposición actual y las posibles medidas de actuación para minimizarlo </w:t>
      </w:r>
      <w:r>
        <w:rPr>
          <w:rFonts w:ascii="Arial Narrow" w:hAnsi="Arial Narrow"/>
          <w:sz w:val="24"/>
          <w:szCs w:val="24"/>
        </w:rPr>
        <w:t xml:space="preserve">guarda relación </w:t>
      </w:r>
      <w:r w:rsidR="001A3978">
        <w:rPr>
          <w:rFonts w:ascii="Arial Narrow" w:hAnsi="Arial Narrow"/>
          <w:sz w:val="24"/>
          <w:szCs w:val="24"/>
        </w:rPr>
        <w:t xml:space="preserve">directa con lo dispuesto en el artículo </w:t>
      </w:r>
      <w:r>
        <w:rPr>
          <w:rFonts w:ascii="Arial Narrow" w:hAnsi="Arial Narrow"/>
          <w:sz w:val="24"/>
          <w:szCs w:val="24"/>
        </w:rPr>
        <w:t>13.1b)</w:t>
      </w:r>
      <w:r w:rsidR="001A3978">
        <w:rPr>
          <w:rFonts w:ascii="Arial Narrow" w:hAnsi="Arial Narrow"/>
          <w:sz w:val="24"/>
          <w:szCs w:val="24"/>
        </w:rPr>
        <w:t xml:space="preserve"> del citado Decreto 20/2012 y con lo dispuesto en el artículo 10.</w:t>
      </w:r>
      <w:r w:rsidR="00586708">
        <w:rPr>
          <w:rFonts w:ascii="Arial Narrow" w:hAnsi="Arial Narrow"/>
          <w:sz w:val="24"/>
          <w:szCs w:val="24"/>
        </w:rPr>
        <w:t>2 c</w:t>
      </w:r>
      <w:r w:rsidR="001A3978">
        <w:rPr>
          <w:rFonts w:ascii="Arial Narrow" w:hAnsi="Arial Narrow"/>
          <w:sz w:val="24"/>
          <w:szCs w:val="24"/>
        </w:rPr>
        <w:t>)</w:t>
      </w:r>
      <w:r w:rsidR="00586708">
        <w:rPr>
          <w:rFonts w:ascii="Arial Narrow" w:hAnsi="Arial Narrow"/>
          <w:sz w:val="24"/>
          <w:szCs w:val="24"/>
        </w:rPr>
        <w:t>,</w:t>
      </w:r>
      <w:r w:rsidR="001A3978">
        <w:rPr>
          <w:rFonts w:ascii="Arial Narrow" w:hAnsi="Arial Narrow"/>
          <w:sz w:val="24"/>
          <w:szCs w:val="24"/>
        </w:rPr>
        <w:t xml:space="preserve"> e)</w:t>
      </w:r>
      <w:r w:rsidR="00586708">
        <w:rPr>
          <w:rFonts w:ascii="Arial Narrow" w:hAnsi="Arial Narrow"/>
          <w:sz w:val="24"/>
          <w:szCs w:val="24"/>
        </w:rPr>
        <w:t xml:space="preserve">, h), i) y j) del </w:t>
      </w:r>
      <w:r w:rsidR="00586708" w:rsidRPr="00586708">
        <w:rPr>
          <w:rFonts w:ascii="Arial Narrow" w:hAnsi="Arial Narrow"/>
          <w:sz w:val="24"/>
          <w:szCs w:val="24"/>
        </w:rPr>
        <w:t>Decreto 196/2013, de 9 de abril, por el que se establece la estructura orgánica y funcional del Departamento de Medio Ambiente y Política Territorial</w:t>
      </w:r>
      <w:r w:rsidR="00586708">
        <w:rPr>
          <w:rFonts w:ascii="Arial Narrow" w:hAnsi="Arial Narrow"/>
          <w:sz w:val="24"/>
          <w:szCs w:val="24"/>
        </w:rPr>
        <w:t xml:space="preserve">, que atribuye a la Viceconsejería de Medio Ambiente, que atribuye a la </w:t>
      </w:r>
      <w:r w:rsidR="008374A3" w:rsidRPr="008374A3">
        <w:rPr>
          <w:rFonts w:ascii="Arial Narrow" w:hAnsi="Arial Narrow"/>
          <w:sz w:val="24"/>
          <w:szCs w:val="24"/>
        </w:rPr>
        <w:t>Viceconsejería de Medio Ambiente el ejercicio de las siguientes funciones</w:t>
      </w:r>
      <w:r w:rsidR="008374A3">
        <w:rPr>
          <w:rFonts w:ascii="Arial Narrow" w:hAnsi="Arial Narrow"/>
          <w:sz w:val="24"/>
          <w:szCs w:val="24"/>
        </w:rPr>
        <w:t xml:space="preserve">: </w:t>
      </w:r>
      <w:r w:rsidR="00586708" w:rsidRPr="00586708">
        <w:rPr>
          <w:rFonts w:ascii="Arial Narrow" w:hAnsi="Arial Narrow"/>
          <w:sz w:val="24"/>
          <w:szCs w:val="24"/>
        </w:rPr>
        <w:t xml:space="preserve">c) </w:t>
      </w:r>
      <w:r w:rsidR="008374A3">
        <w:rPr>
          <w:rFonts w:ascii="Arial Narrow" w:hAnsi="Arial Narrow"/>
          <w:sz w:val="24"/>
          <w:szCs w:val="24"/>
        </w:rPr>
        <w:t>d</w:t>
      </w:r>
      <w:r w:rsidR="00586708" w:rsidRPr="00586708">
        <w:rPr>
          <w:rFonts w:ascii="Arial Narrow" w:hAnsi="Arial Narrow"/>
          <w:sz w:val="24"/>
          <w:szCs w:val="24"/>
        </w:rPr>
        <w:t>iseñar y desarrollar los instrumentos dirigidos a la prevención, prot</w:t>
      </w:r>
      <w:r w:rsidR="008374A3">
        <w:rPr>
          <w:rFonts w:ascii="Arial Narrow" w:hAnsi="Arial Narrow"/>
          <w:sz w:val="24"/>
          <w:szCs w:val="24"/>
        </w:rPr>
        <w:t xml:space="preserve">ección y recuperación ambiental; </w:t>
      </w:r>
      <w:r w:rsidR="00586708" w:rsidRPr="00586708">
        <w:rPr>
          <w:rFonts w:ascii="Arial Narrow" w:hAnsi="Arial Narrow"/>
          <w:sz w:val="24"/>
          <w:szCs w:val="24"/>
        </w:rPr>
        <w:t xml:space="preserve">e) </w:t>
      </w:r>
      <w:r w:rsidR="008374A3">
        <w:rPr>
          <w:rFonts w:ascii="Arial Narrow" w:hAnsi="Arial Narrow"/>
          <w:sz w:val="24"/>
          <w:szCs w:val="24"/>
        </w:rPr>
        <w:t>o</w:t>
      </w:r>
      <w:r w:rsidR="00586708" w:rsidRPr="00586708">
        <w:rPr>
          <w:rFonts w:ascii="Arial Narrow" w:hAnsi="Arial Narrow"/>
          <w:sz w:val="24"/>
          <w:szCs w:val="24"/>
        </w:rPr>
        <w:t>rdenar las actividades con incidencia en el medio ambiente, efectuando un control integrado de sus</w:t>
      </w:r>
      <w:r w:rsidR="008374A3">
        <w:rPr>
          <w:rFonts w:ascii="Arial Narrow" w:hAnsi="Arial Narrow"/>
          <w:sz w:val="24"/>
          <w:szCs w:val="24"/>
        </w:rPr>
        <w:t xml:space="preserve"> posibles efectos contaminantes; </w:t>
      </w:r>
      <w:r w:rsidR="00586708" w:rsidRPr="00586708">
        <w:rPr>
          <w:rFonts w:ascii="Arial Narrow" w:hAnsi="Arial Narrow"/>
          <w:sz w:val="24"/>
          <w:szCs w:val="24"/>
        </w:rPr>
        <w:t xml:space="preserve">h) </w:t>
      </w:r>
      <w:r w:rsidR="008374A3">
        <w:rPr>
          <w:rFonts w:ascii="Arial Narrow" w:hAnsi="Arial Narrow"/>
          <w:sz w:val="24"/>
          <w:szCs w:val="24"/>
        </w:rPr>
        <w:t>f</w:t>
      </w:r>
      <w:r w:rsidR="00586708" w:rsidRPr="00586708">
        <w:rPr>
          <w:rFonts w:ascii="Arial Narrow" w:hAnsi="Arial Narrow"/>
          <w:sz w:val="24"/>
          <w:szCs w:val="24"/>
        </w:rPr>
        <w:t>omentar la información ambiental y el acceso a la misma</w:t>
      </w:r>
      <w:r w:rsidR="008374A3">
        <w:rPr>
          <w:rFonts w:ascii="Arial Narrow" w:hAnsi="Arial Narrow"/>
          <w:sz w:val="24"/>
          <w:szCs w:val="24"/>
        </w:rPr>
        <w:t xml:space="preserve">; </w:t>
      </w:r>
      <w:r w:rsidR="00586708" w:rsidRPr="00586708">
        <w:rPr>
          <w:rFonts w:ascii="Arial Narrow" w:hAnsi="Arial Narrow"/>
          <w:sz w:val="24"/>
          <w:szCs w:val="24"/>
        </w:rPr>
        <w:t xml:space="preserve">i) </w:t>
      </w:r>
      <w:r w:rsidR="008374A3">
        <w:rPr>
          <w:rFonts w:ascii="Arial Narrow" w:hAnsi="Arial Narrow"/>
          <w:sz w:val="24"/>
          <w:szCs w:val="24"/>
        </w:rPr>
        <w:t>i</w:t>
      </w:r>
      <w:r w:rsidR="00586708" w:rsidRPr="00586708">
        <w:rPr>
          <w:rFonts w:ascii="Arial Narrow" w:hAnsi="Arial Narrow"/>
          <w:sz w:val="24"/>
          <w:szCs w:val="24"/>
        </w:rPr>
        <w:t>mpulsar las actuaciones de sensibilización y conc</w:t>
      </w:r>
      <w:r w:rsidR="008374A3">
        <w:rPr>
          <w:rFonts w:ascii="Arial Narrow" w:hAnsi="Arial Narrow"/>
          <w:sz w:val="24"/>
          <w:szCs w:val="24"/>
        </w:rPr>
        <w:t xml:space="preserve">ienciación en materia ambiental; </w:t>
      </w:r>
      <w:r w:rsidR="00586708" w:rsidRPr="00586708">
        <w:rPr>
          <w:rFonts w:ascii="Arial Narrow" w:hAnsi="Arial Narrow"/>
          <w:sz w:val="24"/>
          <w:szCs w:val="24"/>
        </w:rPr>
        <w:t xml:space="preserve">j) </w:t>
      </w:r>
      <w:r w:rsidR="008374A3">
        <w:rPr>
          <w:rFonts w:ascii="Arial Narrow" w:hAnsi="Arial Narrow"/>
          <w:sz w:val="24"/>
          <w:szCs w:val="24"/>
        </w:rPr>
        <w:t>c</w:t>
      </w:r>
      <w:r w:rsidR="00586708" w:rsidRPr="00586708">
        <w:rPr>
          <w:rFonts w:ascii="Arial Narrow" w:hAnsi="Arial Narrow"/>
          <w:sz w:val="24"/>
          <w:szCs w:val="24"/>
        </w:rPr>
        <w:t>oordinar las actuaciones de sostenibilidad ambiental promovidas por los distintos Departamentos de la Administración.</w:t>
      </w:r>
    </w:p>
    <w:p w:rsidR="008374A3" w:rsidRDefault="008374A3" w:rsidP="00586708">
      <w:pPr>
        <w:spacing w:after="0" w:line="360" w:lineRule="auto"/>
        <w:ind w:firstLine="567"/>
        <w:jc w:val="both"/>
        <w:rPr>
          <w:rFonts w:ascii="Arial Narrow" w:hAnsi="Arial Narrow"/>
          <w:sz w:val="24"/>
          <w:szCs w:val="24"/>
        </w:rPr>
      </w:pPr>
    </w:p>
    <w:p w:rsidR="008374A3" w:rsidRDefault="000B1D8A" w:rsidP="00586708">
      <w:pPr>
        <w:spacing w:after="0" w:line="360" w:lineRule="auto"/>
        <w:ind w:firstLine="567"/>
        <w:jc w:val="both"/>
        <w:rPr>
          <w:rFonts w:ascii="Arial Narrow" w:hAnsi="Arial Narrow"/>
          <w:sz w:val="24"/>
          <w:szCs w:val="24"/>
        </w:rPr>
      </w:pPr>
      <w:r>
        <w:rPr>
          <w:rFonts w:ascii="Arial Narrow" w:hAnsi="Arial Narrow"/>
          <w:sz w:val="24"/>
          <w:szCs w:val="24"/>
        </w:rPr>
        <w:t>En definitiva</w:t>
      </w:r>
      <w:r w:rsidR="008374A3">
        <w:rPr>
          <w:rFonts w:ascii="Arial Narrow" w:hAnsi="Arial Narrow"/>
          <w:sz w:val="24"/>
          <w:szCs w:val="24"/>
        </w:rPr>
        <w:t>, el examen de las acciones de estricta ejecución</w:t>
      </w:r>
      <w:r w:rsidR="00724968">
        <w:rPr>
          <w:rFonts w:ascii="Arial Narrow" w:hAnsi="Arial Narrow"/>
          <w:sz w:val="24"/>
          <w:szCs w:val="24"/>
        </w:rPr>
        <w:t xml:space="preserve"> que plantea la iniciativa parlamentaria</w:t>
      </w:r>
      <w:r w:rsidR="008374A3">
        <w:rPr>
          <w:rFonts w:ascii="Arial Narrow" w:hAnsi="Arial Narrow"/>
          <w:sz w:val="24"/>
          <w:szCs w:val="24"/>
        </w:rPr>
        <w:t xml:space="preserve">, </w:t>
      </w:r>
      <w:r w:rsidR="00724968">
        <w:rPr>
          <w:rFonts w:ascii="Arial Narrow" w:hAnsi="Arial Narrow"/>
          <w:sz w:val="24"/>
          <w:szCs w:val="24"/>
        </w:rPr>
        <w:t>presenta</w:t>
      </w:r>
      <w:r w:rsidR="008374A3">
        <w:rPr>
          <w:rFonts w:ascii="Arial Narrow" w:hAnsi="Arial Narrow"/>
          <w:sz w:val="24"/>
          <w:szCs w:val="24"/>
        </w:rPr>
        <w:t xml:space="preserve"> una incidencia </w:t>
      </w:r>
      <w:r w:rsidR="00724968">
        <w:rPr>
          <w:rFonts w:ascii="Arial Narrow" w:hAnsi="Arial Narrow"/>
          <w:sz w:val="24"/>
          <w:szCs w:val="24"/>
        </w:rPr>
        <w:t xml:space="preserve">directa </w:t>
      </w:r>
      <w:r w:rsidR="00D67D0A">
        <w:rPr>
          <w:rFonts w:ascii="Arial Narrow" w:hAnsi="Arial Narrow"/>
          <w:sz w:val="24"/>
          <w:szCs w:val="24"/>
        </w:rPr>
        <w:t xml:space="preserve">muy significativa </w:t>
      </w:r>
      <w:r w:rsidR="008374A3">
        <w:rPr>
          <w:rFonts w:ascii="Arial Narrow" w:hAnsi="Arial Narrow"/>
          <w:sz w:val="24"/>
          <w:szCs w:val="24"/>
        </w:rPr>
        <w:t>en áreas de actuación</w:t>
      </w:r>
      <w:r w:rsidR="00D67D0A">
        <w:rPr>
          <w:rFonts w:ascii="Arial Narrow" w:hAnsi="Arial Narrow"/>
          <w:sz w:val="24"/>
          <w:szCs w:val="24"/>
        </w:rPr>
        <w:t xml:space="preserve"> </w:t>
      </w:r>
      <w:r w:rsidR="00724968">
        <w:rPr>
          <w:rFonts w:ascii="Arial Narrow" w:hAnsi="Arial Narrow"/>
          <w:sz w:val="24"/>
          <w:szCs w:val="24"/>
        </w:rPr>
        <w:t xml:space="preserve">que </w:t>
      </w:r>
      <w:r w:rsidR="008374A3">
        <w:rPr>
          <w:rFonts w:ascii="Arial Narrow" w:hAnsi="Arial Narrow"/>
          <w:sz w:val="24"/>
          <w:szCs w:val="24"/>
        </w:rPr>
        <w:t xml:space="preserve">corresponden a los Departamentos de Salud y </w:t>
      </w:r>
      <w:r w:rsidR="008374A3" w:rsidRPr="008374A3">
        <w:rPr>
          <w:rFonts w:ascii="Arial Narrow" w:hAnsi="Arial Narrow"/>
          <w:sz w:val="24"/>
          <w:szCs w:val="24"/>
        </w:rPr>
        <w:t>Medio Ambiente y Política Territorial</w:t>
      </w:r>
      <w:r w:rsidR="00724968">
        <w:rPr>
          <w:rFonts w:ascii="Arial Narrow" w:hAnsi="Arial Narrow"/>
          <w:sz w:val="24"/>
          <w:szCs w:val="24"/>
        </w:rPr>
        <w:t xml:space="preserve">, </w:t>
      </w:r>
      <w:r w:rsidR="007B3053">
        <w:rPr>
          <w:rFonts w:ascii="Arial Narrow" w:hAnsi="Arial Narrow"/>
          <w:sz w:val="24"/>
          <w:szCs w:val="24"/>
        </w:rPr>
        <w:t xml:space="preserve">debiendo someterse a su </w:t>
      </w:r>
      <w:r w:rsidR="00724968">
        <w:rPr>
          <w:rFonts w:ascii="Arial Narrow" w:hAnsi="Arial Narrow"/>
          <w:sz w:val="24"/>
          <w:szCs w:val="24"/>
        </w:rPr>
        <w:t xml:space="preserve">valoración </w:t>
      </w:r>
      <w:proofErr w:type="spellStart"/>
      <w:r w:rsidR="007B3053">
        <w:rPr>
          <w:rFonts w:ascii="Arial Narrow" w:hAnsi="Arial Narrow"/>
          <w:sz w:val="24"/>
          <w:szCs w:val="24"/>
        </w:rPr>
        <w:t>individualizada</w:t>
      </w:r>
      <w:r>
        <w:rPr>
          <w:rFonts w:ascii="Arial Narrow" w:hAnsi="Arial Narrow"/>
          <w:sz w:val="24"/>
          <w:szCs w:val="24"/>
        </w:rPr>
        <w:t>mente</w:t>
      </w:r>
      <w:proofErr w:type="spellEnd"/>
      <w:r>
        <w:rPr>
          <w:rFonts w:ascii="Arial Narrow" w:hAnsi="Arial Narrow"/>
          <w:sz w:val="24"/>
          <w:szCs w:val="24"/>
        </w:rPr>
        <w:t>, en tanto las mismas no guardan una conexión evidente</w:t>
      </w:r>
      <w:r w:rsidR="008374A3">
        <w:rPr>
          <w:rFonts w:ascii="Arial Narrow" w:hAnsi="Arial Narrow"/>
          <w:sz w:val="24"/>
          <w:szCs w:val="24"/>
        </w:rPr>
        <w:t>.</w:t>
      </w:r>
    </w:p>
    <w:p w:rsidR="006C07D3" w:rsidRDefault="006C07D3" w:rsidP="00586708">
      <w:pPr>
        <w:spacing w:after="0" w:line="360" w:lineRule="auto"/>
        <w:ind w:firstLine="567"/>
        <w:jc w:val="both"/>
        <w:rPr>
          <w:rFonts w:ascii="Arial Narrow" w:hAnsi="Arial Narrow"/>
          <w:sz w:val="24"/>
          <w:szCs w:val="24"/>
        </w:rPr>
      </w:pPr>
    </w:p>
    <w:p w:rsidR="00397D9D" w:rsidRDefault="00397D9D" w:rsidP="00397D9D">
      <w:pPr>
        <w:spacing w:after="0" w:line="360" w:lineRule="auto"/>
        <w:ind w:firstLine="567"/>
        <w:jc w:val="both"/>
        <w:rPr>
          <w:rFonts w:ascii="Arial Narrow" w:hAnsi="Arial Narrow"/>
          <w:sz w:val="24"/>
          <w:szCs w:val="24"/>
        </w:rPr>
      </w:pPr>
      <w:r>
        <w:rPr>
          <w:rFonts w:ascii="Arial Narrow" w:hAnsi="Arial Narrow"/>
          <w:sz w:val="24"/>
          <w:szCs w:val="24"/>
        </w:rPr>
        <w:t>C</w:t>
      </w:r>
      <w:r w:rsidR="00D1276F" w:rsidRPr="00D1276F">
        <w:rPr>
          <w:rFonts w:ascii="Arial Narrow" w:hAnsi="Arial Narrow"/>
          <w:sz w:val="24"/>
          <w:szCs w:val="24"/>
        </w:rPr>
        <w:t xml:space="preserve">.- </w:t>
      </w:r>
      <w:r w:rsidR="00D1276F">
        <w:rPr>
          <w:rFonts w:ascii="Arial Narrow" w:hAnsi="Arial Narrow"/>
          <w:sz w:val="24"/>
          <w:szCs w:val="24"/>
        </w:rPr>
        <w:t xml:space="preserve">La pregunta para su respuesta por escrito formulada por el grupo “Socialistas Vascos-Euskal </w:t>
      </w:r>
      <w:proofErr w:type="spellStart"/>
      <w:r w:rsidR="00D1276F">
        <w:rPr>
          <w:rFonts w:ascii="Arial Narrow" w:hAnsi="Arial Narrow"/>
          <w:sz w:val="24"/>
          <w:szCs w:val="24"/>
        </w:rPr>
        <w:t>Sozialistak</w:t>
      </w:r>
      <w:proofErr w:type="spellEnd"/>
      <w:r w:rsidR="00D1276F">
        <w:rPr>
          <w:rFonts w:ascii="Arial Narrow" w:hAnsi="Arial Narrow"/>
          <w:sz w:val="24"/>
          <w:szCs w:val="24"/>
        </w:rPr>
        <w:t>”</w:t>
      </w:r>
      <w:r>
        <w:rPr>
          <w:rFonts w:ascii="Arial Narrow" w:hAnsi="Arial Narrow"/>
          <w:sz w:val="24"/>
          <w:szCs w:val="24"/>
        </w:rPr>
        <w:t xml:space="preserve">, ahonda en las cuestiones planteadas en la iniciativa </w:t>
      </w:r>
      <w:r w:rsidR="000B1D8A">
        <w:rPr>
          <w:rFonts w:ascii="Arial Narrow" w:hAnsi="Arial Narrow"/>
          <w:sz w:val="24"/>
          <w:szCs w:val="24"/>
        </w:rPr>
        <w:t>que ha sido objeto de anterior comentario</w:t>
      </w:r>
      <w:r>
        <w:rPr>
          <w:rFonts w:ascii="Arial Narrow" w:hAnsi="Arial Narrow"/>
          <w:sz w:val="24"/>
          <w:szCs w:val="24"/>
        </w:rPr>
        <w:t xml:space="preserve">, pudiendo aplicarse </w:t>
      </w:r>
      <w:r w:rsidR="000B1D8A">
        <w:rPr>
          <w:rFonts w:ascii="Arial Narrow" w:hAnsi="Arial Narrow"/>
          <w:sz w:val="24"/>
          <w:szCs w:val="24"/>
        </w:rPr>
        <w:t>los criterios expuestos en los apartados A y B de este mismo epígrafe.</w:t>
      </w:r>
      <w:r>
        <w:rPr>
          <w:rFonts w:ascii="Arial Narrow" w:hAnsi="Arial Narrow"/>
          <w:sz w:val="24"/>
          <w:szCs w:val="24"/>
        </w:rPr>
        <w:t xml:space="preserve"> </w:t>
      </w:r>
    </w:p>
    <w:p w:rsidR="00397D9D" w:rsidRDefault="00397D9D" w:rsidP="00397D9D">
      <w:pPr>
        <w:spacing w:after="0" w:line="360" w:lineRule="auto"/>
        <w:ind w:firstLine="567"/>
        <w:jc w:val="both"/>
        <w:rPr>
          <w:rFonts w:ascii="Arial Narrow" w:hAnsi="Arial Narrow"/>
          <w:sz w:val="24"/>
          <w:szCs w:val="24"/>
        </w:rPr>
      </w:pPr>
    </w:p>
    <w:p w:rsidR="00397D9D" w:rsidRDefault="00397D9D" w:rsidP="00397D9D">
      <w:pPr>
        <w:spacing w:after="0" w:line="360" w:lineRule="auto"/>
        <w:ind w:firstLine="567"/>
        <w:jc w:val="both"/>
        <w:rPr>
          <w:rFonts w:ascii="Arial Narrow" w:hAnsi="Arial Narrow"/>
          <w:sz w:val="24"/>
          <w:szCs w:val="24"/>
        </w:rPr>
      </w:pPr>
    </w:p>
    <w:p w:rsidR="00397D9D" w:rsidRPr="00397D9D" w:rsidRDefault="00397D9D" w:rsidP="00397D9D">
      <w:pPr>
        <w:spacing w:after="0" w:line="360" w:lineRule="auto"/>
        <w:ind w:firstLine="567"/>
        <w:jc w:val="both"/>
        <w:rPr>
          <w:rFonts w:ascii="Arial Narrow" w:hAnsi="Arial Narrow"/>
          <w:b/>
          <w:sz w:val="24"/>
          <w:szCs w:val="24"/>
        </w:rPr>
      </w:pPr>
      <w:r w:rsidRPr="00397D9D">
        <w:rPr>
          <w:rFonts w:ascii="Arial Narrow" w:hAnsi="Arial Narrow"/>
          <w:b/>
          <w:sz w:val="24"/>
          <w:szCs w:val="24"/>
        </w:rPr>
        <w:t xml:space="preserve">II.- </w:t>
      </w:r>
      <w:r w:rsidRPr="00397D9D">
        <w:rPr>
          <w:rFonts w:ascii="Arial Narrow" w:hAnsi="Arial Narrow"/>
          <w:b/>
          <w:sz w:val="24"/>
          <w:szCs w:val="24"/>
          <w:u w:val="single"/>
        </w:rPr>
        <w:t>CONCLUSIÓN</w:t>
      </w:r>
      <w:r w:rsidRPr="00397D9D">
        <w:rPr>
          <w:rFonts w:ascii="Arial Narrow" w:hAnsi="Arial Narrow"/>
          <w:b/>
          <w:sz w:val="24"/>
          <w:szCs w:val="24"/>
        </w:rPr>
        <w:t xml:space="preserve"> </w:t>
      </w:r>
    </w:p>
    <w:p w:rsidR="00397D9D" w:rsidRPr="00397D9D" w:rsidRDefault="00397D9D" w:rsidP="00397D9D">
      <w:pPr>
        <w:spacing w:after="0" w:line="360" w:lineRule="auto"/>
        <w:ind w:firstLine="567"/>
        <w:jc w:val="both"/>
        <w:rPr>
          <w:rFonts w:ascii="Arial Narrow" w:hAnsi="Arial Narrow"/>
          <w:sz w:val="24"/>
          <w:szCs w:val="24"/>
        </w:rPr>
      </w:pPr>
    </w:p>
    <w:p w:rsidR="00397D9D" w:rsidRDefault="00397D9D" w:rsidP="00397D9D">
      <w:pPr>
        <w:spacing w:after="0" w:line="360" w:lineRule="auto"/>
        <w:ind w:firstLine="567"/>
        <w:jc w:val="both"/>
        <w:rPr>
          <w:rFonts w:ascii="Arial Narrow" w:hAnsi="Arial Narrow"/>
        </w:rPr>
      </w:pPr>
      <w:r>
        <w:rPr>
          <w:rFonts w:ascii="Arial Narrow" w:hAnsi="Arial Narrow"/>
          <w:sz w:val="24"/>
          <w:szCs w:val="24"/>
        </w:rPr>
        <w:t xml:space="preserve">Tal y como se ha expuesto en líneas precedentes, no cabe formular un criterio general de </w:t>
      </w:r>
      <w:r w:rsidRPr="00397D9D">
        <w:rPr>
          <w:rFonts w:ascii="Arial Narrow" w:hAnsi="Arial Narrow"/>
          <w:sz w:val="24"/>
          <w:szCs w:val="24"/>
        </w:rPr>
        <w:t xml:space="preserve">atribución competencial del área de actuación relativa a la </w:t>
      </w:r>
      <w:r w:rsidR="000B1D8A">
        <w:rPr>
          <w:rFonts w:ascii="Arial Narrow" w:hAnsi="Arial Narrow"/>
          <w:sz w:val="24"/>
          <w:szCs w:val="24"/>
        </w:rPr>
        <w:t>“</w:t>
      </w:r>
      <w:r w:rsidRPr="00397D9D">
        <w:rPr>
          <w:rFonts w:ascii="Arial Narrow" w:hAnsi="Arial Narrow"/>
          <w:sz w:val="24"/>
          <w:szCs w:val="24"/>
        </w:rPr>
        <w:t>contaminación electromagnética</w:t>
      </w:r>
      <w:r w:rsidR="000B1D8A">
        <w:rPr>
          <w:rFonts w:ascii="Arial Narrow" w:hAnsi="Arial Narrow"/>
          <w:sz w:val="24"/>
          <w:szCs w:val="24"/>
        </w:rPr>
        <w:t>”</w:t>
      </w:r>
      <w:r>
        <w:rPr>
          <w:rFonts w:ascii="Arial Narrow" w:hAnsi="Arial Narrow"/>
          <w:sz w:val="24"/>
          <w:szCs w:val="24"/>
        </w:rPr>
        <w:t xml:space="preserve"> a un </w:t>
      </w:r>
      <w:r>
        <w:rPr>
          <w:rFonts w:ascii="Arial Narrow" w:hAnsi="Arial Narrow"/>
          <w:sz w:val="24"/>
          <w:szCs w:val="24"/>
        </w:rPr>
        <w:lastRenderedPageBreak/>
        <w:t xml:space="preserve">concreto </w:t>
      </w:r>
      <w:r w:rsidR="0075358E">
        <w:rPr>
          <w:rFonts w:ascii="Arial Narrow" w:hAnsi="Arial Narrow"/>
          <w:sz w:val="24"/>
          <w:szCs w:val="24"/>
        </w:rPr>
        <w:t>Departamento</w:t>
      </w:r>
      <w:r>
        <w:rPr>
          <w:rFonts w:ascii="Arial Narrow" w:hAnsi="Arial Narrow"/>
          <w:sz w:val="24"/>
          <w:szCs w:val="24"/>
        </w:rPr>
        <w:t xml:space="preserve">, habida cuenta de su </w:t>
      </w:r>
      <w:r w:rsidRPr="00397D9D">
        <w:rPr>
          <w:rFonts w:ascii="Arial Narrow" w:hAnsi="Arial Narrow"/>
        </w:rPr>
        <w:t>vincula</w:t>
      </w:r>
      <w:r>
        <w:rPr>
          <w:rFonts w:ascii="Arial Narrow" w:hAnsi="Arial Narrow"/>
        </w:rPr>
        <w:t xml:space="preserve">ción </w:t>
      </w:r>
      <w:r w:rsidRPr="00397D9D">
        <w:rPr>
          <w:rFonts w:ascii="Arial Narrow" w:hAnsi="Arial Narrow"/>
        </w:rPr>
        <w:t>a una pluralidad de espacios competenciales</w:t>
      </w:r>
      <w:r>
        <w:rPr>
          <w:rFonts w:ascii="Arial Narrow" w:hAnsi="Arial Narrow"/>
        </w:rPr>
        <w:t xml:space="preserve"> que </w:t>
      </w:r>
      <w:r w:rsidR="000B1D8A">
        <w:rPr>
          <w:rFonts w:ascii="Arial Narrow" w:hAnsi="Arial Narrow"/>
        </w:rPr>
        <w:t xml:space="preserve">se </w:t>
      </w:r>
      <w:r>
        <w:rPr>
          <w:rFonts w:ascii="Arial Narrow" w:hAnsi="Arial Narrow"/>
        </w:rPr>
        <w:t xml:space="preserve">corresponden </w:t>
      </w:r>
      <w:r w:rsidR="000B1D8A">
        <w:rPr>
          <w:rFonts w:ascii="Arial Narrow" w:hAnsi="Arial Narrow"/>
        </w:rPr>
        <w:t>con</w:t>
      </w:r>
      <w:r>
        <w:rPr>
          <w:rFonts w:ascii="Arial Narrow" w:hAnsi="Arial Narrow"/>
        </w:rPr>
        <w:t xml:space="preserve"> áreas funcionales de distintos Departamentos del Gobierno.</w:t>
      </w:r>
    </w:p>
    <w:p w:rsidR="00397D9D" w:rsidRDefault="00397D9D" w:rsidP="00397D9D">
      <w:pPr>
        <w:spacing w:after="0" w:line="360" w:lineRule="auto"/>
        <w:ind w:firstLine="567"/>
        <w:jc w:val="both"/>
        <w:rPr>
          <w:rFonts w:ascii="Arial Narrow" w:hAnsi="Arial Narrow"/>
        </w:rPr>
      </w:pPr>
    </w:p>
    <w:p w:rsidR="00397D9D" w:rsidRDefault="00397D9D" w:rsidP="00397D9D">
      <w:pPr>
        <w:spacing w:after="0" w:line="360" w:lineRule="auto"/>
        <w:ind w:firstLine="567"/>
        <w:jc w:val="both"/>
        <w:rPr>
          <w:rFonts w:ascii="Arial Narrow" w:hAnsi="Arial Narrow"/>
        </w:rPr>
      </w:pPr>
      <w:r>
        <w:rPr>
          <w:rFonts w:ascii="Arial Narrow" w:hAnsi="Arial Narrow"/>
        </w:rPr>
        <w:t xml:space="preserve">Ello no obstante, a la vista de la iniciativa parlamentaria que </w:t>
      </w:r>
      <w:r w:rsidR="0075358E">
        <w:rPr>
          <w:rFonts w:ascii="Arial Narrow" w:hAnsi="Arial Narrow"/>
        </w:rPr>
        <w:t>se sitúa en el origen</w:t>
      </w:r>
      <w:r>
        <w:rPr>
          <w:rFonts w:ascii="Arial Narrow" w:hAnsi="Arial Narrow"/>
        </w:rPr>
        <w:t xml:space="preserve"> la consulta, y a los solos efectos de</w:t>
      </w:r>
      <w:r w:rsidR="00A50A47">
        <w:rPr>
          <w:rFonts w:ascii="Arial Narrow" w:hAnsi="Arial Narrow"/>
        </w:rPr>
        <w:t xml:space="preserve"> procurar e</w:t>
      </w:r>
      <w:r>
        <w:rPr>
          <w:rFonts w:ascii="Arial Narrow" w:hAnsi="Arial Narrow"/>
        </w:rPr>
        <w:t xml:space="preserve">l adecuado ejercicio de las funciones que </w:t>
      </w:r>
      <w:r w:rsidR="00A50A47">
        <w:rPr>
          <w:rFonts w:ascii="Arial Narrow" w:hAnsi="Arial Narrow"/>
        </w:rPr>
        <w:t xml:space="preserve">el artículo </w:t>
      </w:r>
      <w:r>
        <w:rPr>
          <w:rFonts w:ascii="Arial Narrow" w:hAnsi="Arial Narrow"/>
        </w:rPr>
        <w:t xml:space="preserve"> </w:t>
      </w:r>
      <w:r w:rsidR="00A50A47" w:rsidRPr="00397D9D">
        <w:rPr>
          <w:rFonts w:ascii="Arial Narrow" w:hAnsi="Arial Narrow"/>
        </w:rPr>
        <w:t>9.1.2 a) y d) del Decreto 188/2013</w:t>
      </w:r>
      <w:r w:rsidR="00A50A47" w:rsidRPr="00A50A47">
        <w:rPr>
          <w:rFonts w:ascii="Arial Narrow" w:hAnsi="Arial Narrow"/>
        </w:rPr>
        <w:t>, de 9 de abril, por el que se establece la estructura orgánica y funcional del Departamento de Administración Pública y Justicia</w:t>
      </w:r>
      <w:r w:rsidR="00A50A47">
        <w:rPr>
          <w:rFonts w:ascii="Arial Narrow" w:hAnsi="Arial Narrow"/>
        </w:rPr>
        <w:t>,</w:t>
      </w:r>
      <w:r w:rsidR="00A50A47" w:rsidRPr="00A50A47">
        <w:rPr>
          <w:rFonts w:ascii="Arial Narrow" w:hAnsi="Arial Narrow"/>
        </w:rPr>
        <w:t xml:space="preserve"> </w:t>
      </w:r>
      <w:r w:rsidR="00A50A47">
        <w:rPr>
          <w:rFonts w:ascii="Arial Narrow" w:hAnsi="Arial Narrow"/>
        </w:rPr>
        <w:t xml:space="preserve">atribuye </w:t>
      </w:r>
      <w:r>
        <w:rPr>
          <w:rFonts w:ascii="Arial Narrow" w:hAnsi="Arial Narrow"/>
        </w:rPr>
        <w:t xml:space="preserve">a la </w:t>
      </w:r>
      <w:r w:rsidR="00A50A47">
        <w:rPr>
          <w:rFonts w:ascii="Arial Narrow" w:hAnsi="Arial Narrow"/>
        </w:rPr>
        <w:t xml:space="preserve">Dirección de la </w:t>
      </w:r>
      <w:r w:rsidR="00A50A47" w:rsidRPr="00A50A47">
        <w:rPr>
          <w:rFonts w:ascii="Arial Narrow" w:hAnsi="Arial Narrow"/>
        </w:rPr>
        <w:t>Secretaría del Gobierno y de Relaciones con el Parlamento</w:t>
      </w:r>
      <w:r w:rsidR="00A50A47">
        <w:rPr>
          <w:rFonts w:ascii="Arial Narrow" w:hAnsi="Arial Narrow"/>
        </w:rPr>
        <w:t xml:space="preserve">, ha </w:t>
      </w:r>
      <w:r w:rsidR="000B1D8A">
        <w:rPr>
          <w:rFonts w:ascii="Arial Narrow" w:hAnsi="Arial Narrow"/>
        </w:rPr>
        <w:t xml:space="preserve">de </w:t>
      </w:r>
      <w:r w:rsidR="00A50A47">
        <w:rPr>
          <w:rFonts w:ascii="Arial Narrow" w:hAnsi="Arial Narrow"/>
        </w:rPr>
        <w:t>distingui</w:t>
      </w:r>
      <w:r w:rsidR="000B1D8A">
        <w:rPr>
          <w:rFonts w:ascii="Arial Narrow" w:hAnsi="Arial Narrow"/>
        </w:rPr>
        <w:t>rse entre</w:t>
      </w:r>
      <w:r w:rsidR="00A50A47">
        <w:rPr>
          <w:rFonts w:ascii="Arial Narrow" w:hAnsi="Arial Narrow"/>
        </w:rPr>
        <w:t xml:space="preserve"> (1) las acciones de estricta ejecución</w:t>
      </w:r>
      <w:r w:rsidR="0075358E">
        <w:rPr>
          <w:rFonts w:ascii="Arial Narrow" w:hAnsi="Arial Narrow"/>
        </w:rPr>
        <w:t xml:space="preserve"> que la misma contiene</w:t>
      </w:r>
      <w:r w:rsidR="00A50A47">
        <w:rPr>
          <w:rFonts w:ascii="Arial Narrow" w:hAnsi="Arial Narrow"/>
        </w:rPr>
        <w:t xml:space="preserve">, cuyo examen casuístico determina la pertinencia de que sean los Departamentos </w:t>
      </w:r>
      <w:r w:rsidR="00A50A47" w:rsidRPr="00A50A47">
        <w:rPr>
          <w:rFonts w:ascii="Arial Narrow" w:hAnsi="Arial Narrow"/>
        </w:rPr>
        <w:t>de Salud y Medio Ambiente y Política Territorial</w:t>
      </w:r>
      <w:r w:rsidR="00A50A47">
        <w:rPr>
          <w:rFonts w:ascii="Arial Narrow" w:hAnsi="Arial Narrow"/>
        </w:rPr>
        <w:t xml:space="preserve"> los que procedan a su valoración individualizada y</w:t>
      </w:r>
      <w:r w:rsidR="0075358E">
        <w:rPr>
          <w:rFonts w:ascii="Arial Narrow" w:hAnsi="Arial Narrow"/>
        </w:rPr>
        <w:t>, en su caso,</w:t>
      </w:r>
      <w:r w:rsidR="00A50A47">
        <w:rPr>
          <w:rFonts w:ascii="Arial Narrow" w:hAnsi="Arial Narrow"/>
        </w:rPr>
        <w:t xml:space="preserve"> a su respuesta y</w:t>
      </w:r>
      <w:r w:rsidR="000B1D8A">
        <w:rPr>
          <w:rFonts w:ascii="Arial Narrow" w:hAnsi="Arial Narrow"/>
        </w:rPr>
        <w:t>,</w:t>
      </w:r>
      <w:r w:rsidR="00A50A47">
        <w:rPr>
          <w:rFonts w:ascii="Arial Narrow" w:hAnsi="Arial Narrow"/>
        </w:rPr>
        <w:t xml:space="preserve"> (2) la iniciativa normativa</w:t>
      </w:r>
      <w:r w:rsidR="0075358E">
        <w:rPr>
          <w:rFonts w:ascii="Arial Narrow" w:hAnsi="Arial Narrow"/>
        </w:rPr>
        <w:t xml:space="preserve"> que la iniciativa propone</w:t>
      </w:r>
      <w:r w:rsidR="00A50A47">
        <w:rPr>
          <w:rFonts w:ascii="Arial Narrow" w:hAnsi="Arial Narrow"/>
        </w:rPr>
        <w:t>, cuya valoración y, en su caso, promoción corresponde</w:t>
      </w:r>
      <w:r w:rsidR="000B1D8A">
        <w:rPr>
          <w:rFonts w:ascii="Arial Narrow" w:hAnsi="Arial Narrow"/>
        </w:rPr>
        <w:t>rá</w:t>
      </w:r>
      <w:r w:rsidR="00A50A47">
        <w:rPr>
          <w:rFonts w:ascii="Arial Narrow" w:hAnsi="Arial Narrow"/>
        </w:rPr>
        <w:t xml:space="preserve"> al Departamento de </w:t>
      </w:r>
      <w:r w:rsidR="00A50A47" w:rsidRPr="00A50A47">
        <w:rPr>
          <w:rFonts w:ascii="Arial Narrow" w:hAnsi="Arial Narrow"/>
        </w:rPr>
        <w:t>Medio Ambiente y Política Territorial</w:t>
      </w:r>
      <w:r w:rsidR="00A50A47">
        <w:rPr>
          <w:rFonts w:ascii="Arial Narrow" w:hAnsi="Arial Narrow"/>
        </w:rPr>
        <w:t xml:space="preserve">, individual o conjuntamente </w:t>
      </w:r>
      <w:r w:rsidR="00A50A47" w:rsidRPr="00A50A47">
        <w:rPr>
          <w:rFonts w:ascii="Arial Narrow" w:hAnsi="Arial Narrow"/>
        </w:rPr>
        <w:t xml:space="preserve"> </w:t>
      </w:r>
      <w:r w:rsidR="00287845">
        <w:rPr>
          <w:rFonts w:ascii="Arial Narrow" w:hAnsi="Arial Narrow"/>
        </w:rPr>
        <w:t>con el Departamento de Salud</w:t>
      </w:r>
      <w:r w:rsidR="000B1D8A">
        <w:rPr>
          <w:rFonts w:ascii="Arial Narrow" w:hAnsi="Arial Narrow"/>
        </w:rPr>
        <w:t>, en el marco de una cooperación interdepartamental</w:t>
      </w:r>
      <w:r w:rsidR="00B579E7">
        <w:rPr>
          <w:rFonts w:ascii="Arial Narrow" w:hAnsi="Arial Narrow"/>
        </w:rPr>
        <w:t xml:space="preserve"> normalizada</w:t>
      </w:r>
      <w:r w:rsidR="00287845">
        <w:rPr>
          <w:rFonts w:ascii="Arial Narrow" w:hAnsi="Arial Narrow"/>
        </w:rPr>
        <w:t xml:space="preserve">.      </w:t>
      </w:r>
    </w:p>
    <w:p w:rsidR="00287845" w:rsidRDefault="00287845" w:rsidP="00397D9D">
      <w:pPr>
        <w:spacing w:after="0" w:line="360" w:lineRule="auto"/>
        <w:ind w:firstLine="567"/>
        <w:jc w:val="both"/>
        <w:rPr>
          <w:rFonts w:ascii="Arial Narrow" w:hAnsi="Arial Narrow"/>
        </w:rPr>
      </w:pPr>
    </w:p>
    <w:p w:rsidR="002376CD" w:rsidRPr="002376CD" w:rsidRDefault="00287845" w:rsidP="00287845">
      <w:pPr>
        <w:spacing w:after="0" w:line="360" w:lineRule="auto"/>
        <w:ind w:firstLine="567"/>
        <w:jc w:val="both"/>
        <w:rPr>
          <w:rFonts w:ascii="Arial Narrow" w:hAnsi="Arial Narrow"/>
        </w:rPr>
      </w:pPr>
      <w:r>
        <w:rPr>
          <w:rFonts w:ascii="Arial Narrow" w:hAnsi="Arial Narrow"/>
        </w:rPr>
        <w:t>Este es mi informe que someto a cualquier otro mejor fundado en Derecho, e</w:t>
      </w:r>
      <w:r w:rsidR="002376CD" w:rsidRPr="002376CD">
        <w:rPr>
          <w:rFonts w:ascii="Arial Narrow" w:hAnsi="Arial Narrow"/>
        </w:rPr>
        <w:t xml:space="preserve">n Vitoria-Gasteiz, a </w:t>
      </w:r>
      <w:r w:rsidR="006A101D">
        <w:rPr>
          <w:rFonts w:ascii="Arial Narrow" w:hAnsi="Arial Narrow"/>
        </w:rPr>
        <w:t>1</w:t>
      </w:r>
      <w:r w:rsidR="008234A6">
        <w:rPr>
          <w:rFonts w:ascii="Arial Narrow" w:hAnsi="Arial Narrow"/>
        </w:rPr>
        <w:t xml:space="preserve">2 </w:t>
      </w:r>
      <w:r w:rsidR="002376CD" w:rsidRPr="002376CD">
        <w:rPr>
          <w:rFonts w:ascii="Arial Narrow" w:hAnsi="Arial Narrow"/>
        </w:rPr>
        <w:t xml:space="preserve">de </w:t>
      </w:r>
      <w:r w:rsidR="006A101D">
        <w:rPr>
          <w:rFonts w:ascii="Arial Narrow" w:hAnsi="Arial Narrow"/>
        </w:rPr>
        <w:t>marzo</w:t>
      </w:r>
      <w:r w:rsidR="002376CD" w:rsidRPr="002376CD">
        <w:rPr>
          <w:rFonts w:ascii="Arial Narrow" w:hAnsi="Arial Narrow"/>
        </w:rPr>
        <w:t xml:space="preserve"> de 201</w:t>
      </w:r>
      <w:r w:rsidR="00C654D0">
        <w:rPr>
          <w:rFonts w:ascii="Arial Narrow" w:hAnsi="Arial Narrow"/>
        </w:rPr>
        <w:t>4</w:t>
      </w: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center"/>
        <w:rPr>
          <w:rFonts w:ascii="Arial Narrow" w:hAnsi="Arial Narrow"/>
        </w:rPr>
      </w:pPr>
    </w:p>
    <w:p w:rsidR="002376CD" w:rsidRPr="002376CD" w:rsidRDefault="002376CD" w:rsidP="002376CD">
      <w:pPr>
        <w:spacing w:after="0" w:line="360" w:lineRule="auto"/>
        <w:jc w:val="center"/>
        <w:rPr>
          <w:rFonts w:ascii="Arial Narrow" w:hAnsi="Arial Narrow"/>
        </w:rPr>
      </w:pPr>
    </w:p>
    <w:p w:rsidR="002376CD" w:rsidRPr="00C654D0" w:rsidRDefault="002376CD" w:rsidP="002376CD">
      <w:pPr>
        <w:spacing w:after="0" w:line="360" w:lineRule="auto"/>
        <w:jc w:val="center"/>
        <w:rPr>
          <w:rFonts w:ascii="Arial Narrow" w:hAnsi="Arial Narrow"/>
          <w:b/>
        </w:rPr>
      </w:pPr>
      <w:r w:rsidRPr="00C654D0">
        <w:rPr>
          <w:rFonts w:ascii="Arial Narrow" w:hAnsi="Arial Narrow"/>
          <w:b/>
        </w:rPr>
        <w:t>Arantza González López</w:t>
      </w:r>
    </w:p>
    <w:p w:rsidR="004D2E79" w:rsidRPr="004D2E79" w:rsidRDefault="002376CD" w:rsidP="00287845">
      <w:pPr>
        <w:spacing w:after="0" w:line="360" w:lineRule="auto"/>
        <w:jc w:val="center"/>
        <w:rPr>
          <w:rFonts w:ascii="Arial Narrow" w:hAnsi="Arial Narrow"/>
          <w:b/>
        </w:rPr>
      </w:pPr>
      <w:r w:rsidRPr="00C654D0">
        <w:rPr>
          <w:rFonts w:ascii="Arial Narrow" w:hAnsi="Arial Narrow"/>
          <w:b/>
        </w:rPr>
        <w:t>Letrada</w:t>
      </w:r>
      <w:r w:rsidRPr="002376CD">
        <w:rPr>
          <w:rFonts w:ascii="Arial Narrow" w:hAnsi="Arial Narrow"/>
        </w:rPr>
        <w:t xml:space="preserve">    </w:t>
      </w:r>
    </w:p>
    <w:sectPr w:rsidR="004D2E79" w:rsidRPr="004D2E79" w:rsidSect="00C83961">
      <w:headerReference w:type="default" r:id="rId7"/>
      <w:footerReference w:type="default" r:id="rId8"/>
      <w:headerReference w:type="first" r:id="rId9"/>
      <w:footerReference w:type="first" r:id="rId10"/>
      <w:pgSz w:w="11906" w:h="16838" w:code="9"/>
      <w:pgMar w:top="1701" w:right="1418"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D4" w:rsidRDefault="006939D4" w:rsidP="00554EA0">
      <w:pPr>
        <w:spacing w:after="0" w:line="240" w:lineRule="auto"/>
      </w:pPr>
      <w:r>
        <w:separator/>
      </w:r>
    </w:p>
  </w:endnote>
  <w:endnote w:type="continuationSeparator" w:id="0">
    <w:p w:rsidR="006939D4" w:rsidRDefault="006939D4" w:rsidP="0055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13136"/>
      <w:docPartObj>
        <w:docPartGallery w:val="Page Numbers (Bottom of Page)"/>
        <w:docPartUnique/>
      </w:docPartObj>
    </w:sdtPr>
    <w:sdtEndPr/>
    <w:sdtContent>
      <w:p w:rsidR="003903A4" w:rsidRDefault="003903A4">
        <w:pPr>
          <w:pStyle w:val="Piedepgina"/>
          <w:jc w:val="center"/>
        </w:pPr>
      </w:p>
      <w:p w:rsidR="00CE4D10" w:rsidRDefault="00CE4D10">
        <w:pPr>
          <w:pStyle w:val="Piedepgina"/>
          <w:jc w:val="center"/>
        </w:pPr>
        <w:r>
          <w:fldChar w:fldCharType="begin"/>
        </w:r>
        <w:r>
          <w:instrText>PAGE   \* MERGEFORMAT</w:instrText>
        </w:r>
        <w:r>
          <w:fldChar w:fldCharType="separate"/>
        </w:r>
        <w:r w:rsidR="008043B5">
          <w:rPr>
            <w:noProof/>
          </w:rPr>
          <w:t>12</w:t>
        </w:r>
        <w:r>
          <w:fldChar w:fldCharType="end"/>
        </w:r>
      </w:p>
    </w:sdtContent>
  </w:sdt>
  <w:p w:rsidR="00CE4D10" w:rsidRDefault="00CE4D10" w:rsidP="00D55AA1">
    <w:pPr>
      <w:tabs>
        <w:tab w:val="center" w:pos="4819"/>
      </w:tabs>
      <w:spacing w:after="0" w:line="240" w:lineRule="auto"/>
      <w:jc w:val="center"/>
      <w:rPr>
        <w:rFonts w:ascii="Arial" w:eastAsia="Times New Roman" w:hAnsi="Arial"/>
        <w:sz w:val="13"/>
        <w:szCs w:val="20"/>
        <w:lang w:val="es-ES_tradnl" w:eastAsia="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0" w:rsidRDefault="00CE4D10" w:rsidP="00D55AA1">
    <w:pPr>
      <w:tabs>
        <w:tab w:val="center" w:pos="4819"/>
      </w:tabs>
      <w:spacing w:after="0" w:line="240" w:lineRule="auto"/>
      <w:jc w:val="center"/>
      <w:rPr>
        <w:rFonts w:ascii="Arial" w:eastAsia="Times New Roman" w:hAnsi="Arial"/>
        <w:sz w:val="13"/>
        <w:szCs w:val="20"/>
        <w:lang w:val="es-ES_tradnl" w:eastAsia="es-ES_tradnl"/>
      </w:rPr>
    </w:pPr>
  </w:p>
  <w:p w:rsidR="00CE4D10" w:rsidRDefault="00CE4D10" w:rsidP="00D55AA1">
    <w:pPr>
      <w:tabs>
        <w:tab w:val="center" w:pos="4819"/>
      </w:tabs>
      <w:spacing w:after="0" w:line="240" w:lineRule="auto"/>
      <w:jc w:val="center"/>
      <w:rPr>
        <w:rFonts w:ascii="Arial" w:eastAsia="Times New Roman" w:hAnsi="Arial"/>
        <w:sz w:val="13"/>
        <w:szCs w:val="20"/>
        <w:lang w:val="es-ES_tradnl" w:eastAsia="es-ES_tradnl"/>
      </w:rPr>
    </w:pPr>
  </w:p>
  <w:p w:rsidR="00CE4D10" w:rsidRPr="004877A5" w:rsidRDefault="00CE4D10" w:rsidP="00D55AA1">
    <w:pPr>
      <w:tabs>
        <w:tab w:val="center" w:pos="4819"/>
      </w:tabs>
      <w:spacing w:after="0" w:line="240" w:lineRule="auto"/>
      <w:jc w:val="center"/>
      <w:rPr>
        <w:rFonts w:ascii="Arial" w:eastAsia="Times New Roman" w:hAnsi="Arial"/>
        <w:sz w:val="13"/>
        <w:szCs w:val="20"/>
        <w:lang w:val="es-ES_tradnl" w:eastAsia="es-ES_tradnl"/>
      </w:rPr>
    </w:pPr>
  </w:p>
  <w:p w:rsidR="00CE4D10" w:rsidRPr="004877A5" w:rsidRDefault="00CE4D10" w:rsidP="00D55AA1">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 xml:space="preserve">Donostia - San </w:t>
    </w:r>
    <w:proofErr w:type="spellStart"/>
    <w:r w:rsidRPr="004877A5">
      <w:rPr>
        <w:rFonts w:ascii="Arial" w:eastAsia="Times New Roman" w:hAnsi="Arial"/>
        <w:sz w:val="13"/>
        <w:szCs w:val="20"/>
        <w:lang w:val="es-ES_tradnl" w:eastAsia="es-ES_tradnl"/>
      </w:rPr>
      <w:t>Sebastian</w:t>
    </w:r>
    <w:proofErr w:type="spellEnd"/>
    <w:r w:rsidRPr="004877A5">
      <w:rPr>
        <w:rFonts w:ascii="Arial" w:eastAsia="Times New Roman" w:hAnsi="Arial"/>
        <w:sz w:val="13"/>
        <w:szCs w:val="20"/>
        <w:lang w:val="es-ES_tradnl" w:eastAsia="es-ES_tradnl"/>
      </w:rPr>
      <w:t>, 1 –  01010 VITORIA-GASTEIZ</w:t>
    </w:r>
  </w:p>
  <w:p w:rsidR="00CE4D10" w:rsidRPr="004877A5" w:rsidRDefault="00CE4D10" w:rsidP="00D55AA1">
    <w:pPr>
      <w:tabs>
        <w:tab w:val="center" w:pos="4819"/>
      </w:tabs>
      <w:spacing w:after="0" w:line="240" w:lineRule="auto"/>
      <w:jc w:val="center"/>
      <w:rPr>
        <w:rFonts w:ascii="Arial" w:eastAsia="Times New Roman" w:hAnsi="Arial"/>
        <w:sz w:val="13"/>
        <w:szCs w:val="20"/>
        <w:lang w:val="es-ES_tradnl" w:eastAsia="es-ES_tradnl"/>
      </w:rPr>
    </w:pPr>
    <w:r w:rsidRPr="004877A5">
      <w:rPr>
        <w:rFonts w:ascii="Arial" w:eastAsia="Times New Roman" w:hAnsi="Arial"/>
        <w:sz w:val="13"/>
        <w:szCs w:val="20"/>
        <w:lang w:val="es-ES_tradnl" w:eastAsia="es-ES_tradnl"/>
      </w:rPr>
      <w:t xml:space="preserve"> </w:t>
    </w:r>
    <w:proofErr w:type="gramStart"/>
    <w:r w:rsidRPr="004877A5">
      <w:rPr>
        <w:rFonts w:ascii="Arial" w:eastAsia="Times New Roman" w:hAnsi="Arial"/>
        <w:sz w:val="13"/>
        <w:szCs w:val="20"/>
        <w:lang w:val="es-ES_tradnl" w:eastAsia="es-ES_tradnl"/>
      </w:rPr>
      <w:t>tef</w:t>
    </w:r>
    <w:proofErr w:type="gramEnd"/>
    <w:r w:rsidRPr="004877A5">
      <w:rPr>
        <w:rFonts w:ascii="Arial" w:eastAsia="Times New Roman" w:hAnsi="Arial"/>
        <w:sz w:val="13"/>
        <w:szCs w:val="20"/>
        <w:lang w:val="es-ES_tradnl" w:eastAsia="es-ES_tradnl"/>
      </w:rPr>
      <w:t xml:space="preserve">. 945 01 86 </w:t>
    </w:r>
    <w:r w:rsidR="003903A4">
      <w:rPr>
        <w:rFonts w:ascii="Arial" w:eastAsia="Times New Roman" w:hAnsi="Arial"/>
        <w:sz w:val="13"/>
        <w:szCs w:val="20"/>
        <w:lang w:val="es-ES_tradnl" w:eastAsia="es-ES_tradnl"/>
      </w:rPr>
      <w:t>30</w:t>
    </w:r>
    <w:r w:rsidRPr="004877A5">
      <w:rPr>
        <w:rFonts w:ascii="Arial" w:eastAsia="Times New Roman" w:hAnsi="Arial"/>
        <w:sz w:val="13"/>
        <w:szCs w:val="20"/>
        <w:lang w:val="es-ES_tradnl" w:eastAsia="es-ES_tradnl"/>
      </w:rPr>
      <w:t xml:space="preserve">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D4" w:rsidRDefault="006939D4" w:rsidP="00554EA0">
      <w:pPr>
        <w:spacing w:after="0" w:line="240" w:lineRule="auto"/>
      </w:pPr>
      <w:r>
        <w:separator/>
      </w:r>
    </w:p>
  </w:footnote>
  <w:footnote w:type="continuationSeparator" w:id="0">
    <w:p w:rsidR="006939D4" w:rsidRDefault="006939D4" w:rsidP="00554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0" w:rsidRPr="004877A5" w:rsidRDefault="00CE4D10" w:rsidP="00D55AA1">
    <w:pPr>
      <w:tabs>
        <w:tab w:val="center" w:pos="4819"/>
        <w:tab w:val="right" w:pos="9071"/>
      </w:tabs>
      <w:spacing w:after="0" w:line="240" w:lineRule="auto"/>
      <w:jc w:val="center"/>
      <w:rPr>
        <w:rFonts w:ascii="Times New Roman" w:eastAsia="Times New Roman" w:hAnsi="Times New Roman"/>
        <w:sz w:val="24"/>
        <w:szCs w:val="20"/>
        <w:lang w:eastAsia="es-ES_tradnl"/>
      </w:rPr>
    </w:pPr>
    <w:r w:rsidRPr="004877A5">
      <w:rPr>
        <w:rFonts w:ascii="Times New Roman" w:eastAsia="Times New Roman" w:hAnsi="Times New Roman"/>
        <w:noProof/>
        <w:sz w:val="24"/>
        <w:szCs w:val="20"/>
        <w:lang w:eastAsia="es-ES_tradnl"/>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2.5pt" o:ole="" fillcolor="window">
          <v:imagedata r:id="rId1" o:title=""/>
        </v:shape>
        <o:OLEObject Type="Embed" ProgID="MSPhotoEd.3" ShapeID="_x0000_i1025" DrawAspect="Content" ObjectID="_1463223057" r:id="rId2"/>
      </w:object>
    </w:r>
  </w:p>
  <w:p w:rsidR="00CE4D10" w:rsidRPr="004877A5" w:rsidRDefault="00CE4D10" w:rsidP="00D55AA1">
    <w:pPr>
      <w:tabs>
        <w:tab w:val="center" w:pos="4819"/>
        <w:tab w:val="right" w:pos="9071"/>
      </w:tabs>
      <w:spacing w:after="0" w:line="240" w:lineRule="auto"/>
      <w:rPr>
        <w:rFonts w:ascii="Times New Roman" w:eastAsia="Times New Roman" w:hAnsi="Times New Roman"/>
        <w:sz w:val="24"/>
        <w:szCs w:val="20"/>
        <w:lang w:eastAsia="es-ES_tradnl"/>
      </w:rPr>
    </w:pPr>
  </w:p>
  <w:p w:rsidR="00CE4D10" w:rsidRDefault="00CE4D10">
    <w:pPr>
      <w:pStyle w:val="Encabezado"/>
    </w:pPr>
  </w:p>
  <w:p w:rsidR="00CE4D10" w:rsidRDefault="00CE4D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0" w:rsidRPr="001C5ED7" w:rsidRDefault="00CE4D10" w:rsidP="00D55AA1">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r>
      <w:rPr>
        <w:rFonts w:ascii="Times New Roman" w:eastAsia="Times New Roman" w:hAnsi="Times New Roman"/>
        <w:noProof/>
        <w:sz w:val="16"/>
        <w:szCs w:val="20"/>
        <w:lang w:eastAsia="es-ES"/>
      </w:rPr>
      <mc:AlternateContent>
        <mc:Choice Requires="wps">
          <w:drawing>
            <wp:anchor distT="0" distB="0" distL="114300" distR="114300" simplePos="0" relativeHeight="251660288" behindDoc="0" locked="0" layoutInCell="1" allowOverlap="1" wp14:anchorId="69E532DD" wp14:editId="18DD4232">
              <wp:simplePos x="0" y="0"/>
              <wp:positionH relativeFrom="page">
                <wp:posOffset>1860550</wp:posOffset>
              </wp:positionH>
              <wp:positionV relativeFrom="page">
                <wp:posOffset>679450</wp:posOffset>
              </wp:positionV>
              <wp:extent cx="1733550" cy="78105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10" w:rsidRPr="003903A4" w:rsidRDefault="00CE4D10" w:rsidP="00D55AA1">
                          <w:pPr>
                            <w:pStyle w:val="Ttulo2"/>
                            <w:rPr>
                              <w:rFonts w:ascii="Arial" w:hAnsi="Arial" w:cs="Arial"/>
                              <w:color w:val="auto"/>
                              <w:sz w:val="14"/>
                              <w:szCs w:val="14"/>
                            </w:rPr>
                          </w:pPr>
                          <w:r w:rsidRPr="003903A4">
                            <w:rPr>
                              <w:rFonts w:ascii="Arial" w:hAnsi="Arial" w:cs="Arial"/>
                              <w:color w:val="auto"/>
                              <w:sz w:val="14"/>
                              <w:szCs w:val="14"/>
                            </w:rPr>
                            <w:t>HERRI ADMINISTRAZIO</w:t>
                          </w:r>
                          <w:r w:rsidRPr="003903A4">
                            <w:rPr>
                              <w:color w:val="auto"/>
                              <w:sz w:val="14"/>
                            </w:rPr>
                            <w:t xml:space="preserve"> </w:t>
                          </w:r>
                          <w:r w:rsidRPr="003903A4">
                            <w:rPr>
                              <w:rFonts w:ascii="Arial" w:hAnsi="Arial" w:cs="Arial"/>
                              <w:color w:val="auto"/>
                              <w:sz w:val="14"/>
                              <w:szCs w:val="14"/>
                            </w:rPr>
                            <w:t>ETA JUSTIZIA SAILA</w:t>
                          </w:r>
                        </w:p>
                        <w:p w:rsidR="00CE4D10" w:rsidRDefault="00CE4D10" w:rsidP="007A0485">
                          <w:pPr>
                            <w:spacing w:after="0" w:line="240" w:lineRule="auto"/>
                            <w:rPr>
                              <w:i/>
                              <w:sz w:val="14"/>
                              <w:szCs w:val="16"/>
                            </w:rPr>
                          </w:pPr>
                          <w:r w:rsidRPr="007A0485">
                            <w:rPr>
                              <w:i/>
                              <w:sz w:val="14"/>
                              <w:szCs w:val="16"/>
                            </w:rPr>
                            <w:t xml:space="preserve">Araubide Juridikoaren </w:t>
                          </w:r>
                          <w:proofErr w:type="spellStart"/>
                          <w:r w:rsidRPr="007A0485">
                            <w:rPr>
                              <w:i/>
                              <w:sz w:val="14"/>
                              <w:szCs w:val="16"/>
                            </w:rPr>
                            <w:t>Sailburordetza</w:t>
                          </w:r>
                          <w:proofErr w:type="spellEnd"/>
                          <w:r w:rsidRPr="007A0485">
                            <w:rPr>
                              <w:i/>
                              <w:sz w:val="14"/>
                              <w:szCs w:val="16"/>
                            </w:rPr>
                            <w:t xml:space="preserve"> </w:t>
                          </w:r>
                        </w:p>
                        <w:p w:rsidR="00CE4D10" w:rsidRPr="007A0485" w:rsidRDefault="00CE4D10" w:rsidP="007A0485">
                          <w:pPr>
                            <w:spacing w:after="0" w:line="240" w:lineRule="auto"/>
                            <w:rPr>
                              <w:i/>
                              <w:sz w:val="14"/>
                              <w:szCs w:val="16"/>
                            </w:rPr>
                          </w:pPr>
                          <w:r w:rsidRPr="007A0485">
                            <w:rPr>
                              <w:i/>
                              <w:sz w:val="14"/>
                              <w:szCs w:val="16"/>
                            </w:rPr>
                            <w:t>Lege 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46.5pt;margin-top:53.5pt;width:136.5pt;height: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WduQIAAMA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" filled="f" stroked="f">
              <v:textbox>
                <w:txbxContent>
                  <w:p w:rsidR="00CE4D10" w:rsidRPr="003903A4" w:rsidRDefault="00CE4D10" w:rsidP="00D55AA1">
                    <w:pPr>
                      <w:pStyle w:val="Ttulo2"/>
                      <w:rPr>
                        <w:rFonts w:ascii="Arial" w:hAnsi="Arial" w:cs="Arial"/>
                        <w:color w:val="auto"/>
                        <w:sz w:val="14"/>
                        <w:szCs w:val="14"/>
                      </w:rPr>
                    </w:pPr>
                    <w:r w:rsidRPr="003903A4">
                      <w:rPr>
                        <w:rFonts w:ascii="Arial" w:hAnsi="Arial" w:cs="Arial"/>
                        <w:color w:val="auto"/>
                        <w:sz w:val="14"/>
                        <w:szCs w:val="14"/>
                      </w:rPr>
                      <w:t>HERRI ADMINISTRAZIO</w:t>
                    </w:r>
                    <w:r w:rsidRPr="003903A4">
                      <w:rPr>
                        <w:color w:val="auto"/>
                        <w:sz w:val="14"/>
                      </w:rPr>
                      <w:t xml:space="preserve"> </w:t>
                    </w:r>
                    <w:r w:rsidRPr="003903A4">
                      <w:rPr>
                        <w:rFonts w:ascii="Arial" w:hAnsi="Arial" w:cs="Arial"/>
                        <w:color w:val="auto"/>
                        <w:sz w:val="14"/>
                        <w:szCs w:val="14"/>
                      </w:rPr>
                      <w:t>ETA JUSTIZIA SAILA</w:t>
                    </w:r>
                  </w:p>
                  <w:p w:rsidR="00CE4D10" w:rsidRDefault="00CE4D10" w:rsidP="007A0485">
                    <w:pPr>
                      <w:spacing w:after="0" w:line="240" w:lineRule="auto"/>
                      <w:rPr>
                        <w:i/>
                        <w:sz w:val="14"/>
                        <w:szCs w:val="16"/>
                      </w:rPr>
                    </w:pPr>
                    <w:r w:rsidRPr="007A0485">
                      <w:rPr>
                        <w:i/>
                        <w:sz w:val="14"/>
                        <w:szCs w:val="16"/>
                      </w:rPr>
                      <w:t xml:space="preserve">Araubide Juridikoaren </w:t>
                    </w:r>
                    <w:proofErr w:type="spellStart"/>
                    <w:r w:rsidRPr="007A0485">
                      <w:rPr>
                        <w:i/>
                        <w:sz w:val="14"/>
                        <w:szCs w:val="16"/>
                      </w:rPr>
                      <w:t>Sailburordetza</w:t>
                    </w:r>
                    <w:proofErr w:type="spellEnd"/>
                    <w:r w:rsidRPr="007A0485">
                      <w:rPr>
                        <w:i/>
                        <w:sz w:val="14"/>
                        <w:szCs w:val="16"/>
                      </w:rPr>
                      <w:t xml:space="preserve"> </w:t>
                    </w:r>
                  </w:p>
                  <w:p w:rsidR="00CE4D10" w:rsidRPr="007A0485" w:rsidRDefault="00CE4D10" w:rsidP="007A0485">
                    <w:pPr>
                      <w:spacing w:after="0" w:line="240" w:lineRule="auto"/>
                      <w:rPr>
                        <w:i/>
                        <w:sz w:val="14"/>
                        <w:szCs w:val="16"/>
                      </w:rPr>
                    </w:pPr>
                    <w:r w:rsidRPr="007A0485">
                      <w:rPr>
                        <w:i/>
                        <w:sz w:val="14"/>
                        <w:szCs w:val="16"/>
                      </w:rPr>
                      <w:t>Lege Garapen eta Arau Kontrolerako Zuzendaritza</w:t>
                    </w:r>
                  </w:p>
                </w:txbxContent>
              </v:textbox>
              <w10:wrap type="square" anchorx="page" anchory="page"/>
            </v:shape>
          </w:pict>
        </mc:Fallback>
      </mc:AlternateContent>
    </w:r>
    <w:r>
      <w:rPr>
        <w:rFonts w:ascii="Times New Roman" w:eastAsia="Times New Roman" w:hAnsi="Times New Roman"/>
        <w:noProof/>
        <w:sz w:val="24"/>
        <w:szCs w:val="20"/>
        <w:lang w:eastAsia="es-ES"/>
      </w:rPr>
      <mc:AlternateContent>
        <mc:Choice Requires="wps">
          <w:drawing>
            <wp:anchor distT="0" distB="0" distL="114300" distR="114300" simplePos="0" relativeHeight="251659264" behindDoc="0" locked="0" layoutInCell="0" allowOverlap="1" wp14:anchorId="7B413FF1" wp14:editId="113F0135">
              <wp:simplePos x="0" y="0"/>
              <wp:positionH relativeFrom="page">
                <wp:posOffset>4051300</wp:posOffset>
              </wp:positionH>
              <wp:positionV relativeFrom="page">
                <wp:posOffset>679450</wp:posOffset>
              </wp:positionV>
              <wp:extent cx="1943100" cy="8763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10" w:rsidRPr="003903A4" w:rsidRDefault="00CE4D10" w:rsidP="00D55AA1">
                          <w:pPr>
                            <w:pStyle w:val="Ttulo2"/>
                            <w:spacing w:after="35"/>
                            <w:rPr>
                              <w:color w:val="auto"/>
                              <w:sz w:val="14"/>
                            </w:rPr>
                          </w:pPr>
                          <w:r w:rsidRPr="003903A4">
                            <w:rPr>
                              <w:rFonts w:ascii="Arial" w:hAnsi="Arial" w:cs="Arial"/>
                              <w:color w:val="auto"/>
                              <w:sz w:val="14"/>
                              <w:szCs w:val="14"/>
                            </w:rPr>
                            <w:t>DEPARTAMENTO DE ADMINISTRACION</w:t>
                          </w:r>
                          <w:r w:rsidRPr="003903A4">
                            <w:rPr>
                              <w:color w:val="auto"/>
                              <w:sz w:val="14"/>
                            </w:rPr>
                            <w:t xml:space="preserve"> </w:t>
                          </w:r>
                          <w:r w:rsidRPr="003903A4">
                            <w:rPr>
                              <w:rFonts w:ascii="Arial" w:hAnsi="Arial" w:cs="Arial"/>
                              <w:color w:val="auto"/>
                              <w:sz w:val="14"/>
                              <w:szCs w:val="14"/>
                            </w:rPr>
                            <w:t>PUBLICA Y JUSTICIA</w:t>
                          </w:r>
                          <w:r w:rsidRPr="003903A4">
                            <w:rPr>
                              <w:color w:val="auto"/>
                              <w:sz w:val="14"/>
                            </w:rPr>
                            <w:t xml:space="preserve"> </w:t>
                          </w:r>
                        </w:p>
                        <w:p w:rsidR="00CE4D10" w:rsidRDefault="00CE4D10" w:rsidP="007A0485">
                          <w:pPr>
                            <w:spacing w:after="0" w:line="240" w:lineRule="auto"/>
                            <w:rPr>
                              <w:i/>
                              <w:sz w:val="14"/>
                              <w:szCs w:val="16"/>
                            </w:rPr>
                          </w:pPr>
                          <w:r w:rsidRPr="007A0485">
                            <w:rPr>
                              <w:i/>
                              <w:sz w:val="14"/>
                              <w:szCs w:val="16"/>
                            </w:rPr>
                            <w:t>Viceconsejería de Régimen Jurídico</w:t>
                          </w:r>
                        </w:p>
                        <w:p w:rsidR="00CE4D10" w:rsidRPr="007A0485" w:rsidRDefault="00CE4D10" w:rsidP="007A0485">
                          <w:pPr>
                            <w:spacing w:after="0" w:line="240" w:lineRule="auto"/>
                            <w:rPr>
                              <w:i/>
                              <w:sz w:val="14"/>
                              <w:szCs w:val="16"/>
                            </w:rPr>
                          </w:pPr>
                          <w:r w:rsidRPr="007A0485">
                            <w:rPr>
                              <w:i/>
                              <w:sz w:val="14"/>
                              <w:szCs w:val="16"/>
                            </w:rP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319pt;margin-top:53.5pt;width:153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S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" o:allowincell="f" filled="f" stroked="f">
              <v:textbox>
                <w:txbxContent>
                  <w:p w:rsidR="00CE4D10" w:rsidRPr="003903A4" w:rsidRDefault="00CE4D10" w:rsidP="00D55AA1">
                    <w:pPr>
                      <w:pStyle w:val="Ttulo2"/>
                      <w:spacing w:after="35"/>
                      <w:rPr>
                        <w:color w:val="auto"/>
                        <w:sz w:val="14"/>
                      </w:rPr>
                    </w:pPr>
                    <w:r w:rsidRPr="003903A4">
                      <w:rPr>
                        <w:rFonts w:ascii="Arial" w:hAnsi="Arial" w:cs="Arial"/>
                        <w:color w:val="auto"/>
                        <w:sz w:val="14"/>
                        <w:szCs w:val="14"/>
                      </w:rPr>
                      <w:t>DEPARTAMENTO DE ADMINISTRACION</w:t>
                    </w:r>
                    <w:r w:rsidRPr="003903A4">
                      <w:rPr>
                        <w:color w:val="auto"/>
                        <w:sz w:val="14"/>
                      </w:rPr>
                      <w:t xml:space="preserve"> </w:t>
                    </w:r>
                    <w:r w:rsidRPr="003903A4">
                      <w:rPr>
                        <w:rFonts w:ascii="Arial" w:hAnsi="Arial" w:cs="Arial"/>
                        <w:color w:val="auto"/>
                        <w:sz w:val="14"/>
                        <w:szCs w:val="14"/>
                      </w:rPr>
                      <w:t>PUBLICA Y JUSTICIA</w:t>
                    </w:r>
                    <w:r w:rsidRPr="003903A4">
                      <w:rPr>
                        <w:color w:val="auto"/>
                        <w:sz w:val="14"/>
                      </w:rPr>
                      <w:t xml:space="preserve"> </w:t>
                    </w:r>
                  </w:p>
                  <w:p w:rsidR="00CE4D10" w:rsidRDefault="00CE4D10" w:rsidP="007A0485">
                    <w:pPr>
                      <w:spacing w:after="0" w:line="240" w:lineRule="auto"/>
                      <w:rPr>
                        <w:i/>
                        <w:sz w:val="14"/>
                        <w:szCs w:val="16"/>
                      </w:rPr>
                    </w:pPr>
                    <w:r w:rsidRPr="007A0485">
                      <w:rPr>
                        <w:i/>
                        <w:sz w:val="14"/>
                        <w:szCs w:val="16"/>
                      </w:rPr>
                      <w:t>Viceconsejería de Régimen Jurídico</w:t>
                    </w:r>
                  </w:p>
                  <w:p w:rsidR="00CE4D10" w:rsidRPr="007A0485" w:rsidRDefault="00CE4D10" w:rsidP="007A0485">
                    <w:pPr>
                      <w:spacing w:after="0" w:line="240" w:lineRule="auto"/>
                      <w:rPr>
                        <w:i/>
                        <w:sz w:val="14"/>
                        <w:szCs w:val="16"/>
                      </w:rPr>
                    </w:pPr>
                    <w:r w:rsidRPr="007A0485">
                      <w:rPr>
                        <w:i/>
                        <w:sz w:val="14"/>
                        <w:szCs w:val="16"/>
                      </w:rPr>
                      <w:t>Dirección de Desarrollo Legislativo y Control Normativo</w:t>
                    </w:r>
                  </w:p>
                </w:txbxContent>
              </v:textbox>
              <w10:wrap type="square" anchorx="page" anchory="page"/>
            </v:shape>
          </w:pict>
        </mc:Fallback>
      </mc:AlternateContent>
    </w:r>
    <w:r w:rsidRPr="001C5ED7">
      <w:rPr>
        <w:rFonts w:ascii="Arial" w:eastAsia="Times New Roman" w:hAnsi="Arial"/>
        <w:noProof/>
        <w:sz w:val="16"/>
        <w:szCs w:val="20"/>
        <w:lang w:val="es-ES_tradnl" w:eastAsia="es-ES_tradnl"/>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3058" r:id="rId2"/>
      </w:object>
    </w:r>
  </w:p>
  <w:p w:rsidR="00CE4D10" w:rsidRPr="001C5ED7" w:rsidRDefault="00CE4D10" w:rsidP="00D55AA1">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p>
  <w:p w:rsidR="00CE4D10" w:rsidRPr="001C5ED7" w:rsidRDefault="00CE4D10" w:rsidP="00D55AA1">
    <w:pPr>
      <w:tabs>
        <w:tab w:val="center" w:pos="4819"/>
        <w:tab w:val="right" w:pos="9071"/>
        <w:tab w:val="right" w:pos="9923"/>
      </w:tabs>
      <w:spacing w:after="0" w:line="240" w:lineRule="auto"/>
      <w:ind w:right="-142"/>
      <w:jc w:val="center"/>
      <w:rPr>
        <w:rFonts w:ascii="Arial" w:eastAsia="Times New Roman" w:hAnsi="Arial"/>
        <w:sz w:val="16"/>
        <w:szCs w:val="20"/>
        <w:lang w:val="es-ES_tradnl" w:eastAsia="es-ES_tradnl"/>
      </w:rPr>
    </w:pPr>
  </w:p>
  <w:p w:rsidR="00CE4D10" w:rsidRPr="001C5ED7" w:rsidRDefault="00CE4D10" w:rsidP="00D55AA1">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CE4D10" w:rsidRPr="001C5ED7" w:rsidRDefault="00CE4D10" w:rsidP="00D55AA1">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CE4D10" w:rsidRPr="001C5ED7" w:rsidRDefault="00CE4D10" w:rsidP="00D55AA1">
    <w:pPr>
      <w:tabs>
        <w:tab w:val="center" w:pos="4819"/>
        <w:tab w:val="right" w:pos="9071"/>
        <w:tab w:val="right" w:pos="9923"/>
      </w:tabs>
      <w:spacing w:after="0" w:line="240" w:lineRule="auto"/>
      <w:ind w:right="-142"/>
      <w:rPr>
        <w:rFonts w:ascii="Arial" w:eastAsia="Times New Roman" w:hAnsi="Arial"/>
        <w:sz w:val="16"/>
        <w:szCs w:val="20"/>
        <w:lang w:val="es-ES_tradnl" w:eastAsia="es-ES_tradnl"/>
      </w:rPr>
    </w:pPr>
  </w:p>
  <w:p w:rsidR="00CE4D10" w:rsidRDefault="00CE4D10">
    <w:pPr>
      <w:pStyle w:val="Encabezado"/>
    </w:pPr>
  </w:p>
  <w:p w:rsidR="00CE4D10" w:rsidRDefault="00CE4D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A0"/>
    <w:rsid w:val="00046C23"/>
    <w:rsid w:val="00055924"/>
    <w:rsid w:val="00063876"/>
    <w:rsid w:val="000652B1"/>
    <w:rsid w:val="000B1D8A"/>
    <w:rsid w:val="00112892"/>
    <w:rsid w:val="00125411"/>
    <w:rsid w:val="0015183B"/>
    <w:rsid w:val="001A3978"/>
    <w:rsid w:val="001B6ABE"/>
    <w:rsid w:val="001D474C"/>
    <w:rsid w:val="00215F05"/>
    <w:rsid w:val="00236537"/>
    <w:rsid w:val="002376CD"/>
    <w:rsid w:val="0026360D"/>
    <w:rsid w:val="00287845"/>
    <w:rsid w:val="00292E1C"/>
    <w:rsid w:val="002B2009"/>
    <w:rsid w:val="002E415C"/>
    <w:rsid w:val="003066B5"/>
    <w:rsid w:val="00306EF7"/>
    <w:rsid w:val="00331063"/>
    <w:rsid w:val="003353C4"/>
    <w:rsid w:val="003903A4"/>
    <w:rsid w:val="003941C9"/>
    <w:rsid w:val="00397D9D"/>
    <w:rsid w:val="003C35FA"/>
    <w:rsid w:val="003E3F59"/>
    <w:rsid w:val="003E4DB9"/>
    <w:rsid w:val="004011F8"/>
    <w:rsid w:val="00401282"/>
    <w:rsid w:val="00467BBF"/>
    <w:rsid w:val="004D10CB"/>
    <w:rsid w:val="004D2E79"/>
    <w:rsid w:val="00526224"/>
    <w:rsid w:val="00554EA0"/>
    <w:rsid w:val="00566EBE"/>
    <w:rsid w:val="00586708"/>
    <w:rsid w:val="00593504"/>
    <w:rsid w:val="005A3B28"/>
    <w:rsid w:val="005C180C"/>
    <w:rsid w:val="005E3F07"/>
    <w:rsid w:val="005F59E5"/>
    <w:rsid w:val="0061012B"/>
    <w:rsid w:val="00631039"/>
    <w:rsid w:val="00662122"/>
    <w:rsid w:val="006939D4"/>
    <w:rsid w:val="00694DC0"/>
    <w:rsid w:val="006A101D"/>
    <w:rsid w:val="006C07D3"/>
    <w:rsid w:val="006C71A8"/>
    <w:rsid w:val="006F184D"/>
    <w:rsid w:val="006F71C6"/>
    <w:rsid w:val="00717587"/>
    <w:rsid w:val="007248CB"/>
    <w:rsid w:val="00724968"/>
    <w:rsid w:val="00750843"/>
    <w:rsid w:val="007530F6"/>
    <w:rsid w:val="0075358E"/>
    <w:rsid w:val="007541A8"/>
    <w:rsid w:val="007A0485"/>
    <w:rsid w:val="007B3053"/>
    <w:rsid w:val="007D5882"/>
    <w:rsid w:val="008043B5"/>
    <w:rsid w:val="00807152"/>
    <w:rsid w:val="0082304E"/>
    <w:rsid w:val="008234A6"/>
    <w:rsid w:val="008374A3"/>
    <w:rsid w:val="00840E6D"/>
    <w:rsid w:val="00844FA6"/>
    <w:rsid w:val="00884D99"/>
    <w:rsid w:val="0095116C"/>
    <w:rsid w:val="009616B4"/>
    <w:rsid w:val="00971466"/>
    <w:rsid w:val="00983D64"/>
    <w:rsid w:val="00985BB4"/>
    <w:rsid w:val="009870AE"/>
    <w:rsid w:val="009B68FF"/>
    <w:rsid w:val="009D1378"/>
    <w:rsid w:val="00A31CC1"/>
    <w:rsid w:val="00A322D1"/>
    <w:rsid w:val="00A50A47"/>
    <w:rsid w:val="00A52627"/>
    <w:rsid w:val="00AA0BF3"/>
    <w:rsid w:val="00AB5CCC"/>
    <w:rsid w:val="00AD5084"/>
    <w:rsid w:val="00AF74EB"/>
    <w:rsid w:val="00B31D12"/>
    <w:rsid w:val="00B32748"/>
    <w:rsid w:val="00B51C47"/>
    <w:rsid w:val="00B56698"/>
    <w:rsid w:val="00B579E7"/>
    <w:rsid w:val="00B57A6C"/>
    <w:rsid w:val="00B84369"/>
    <w:rsid w:val="00BC370A"/>
    <w:rsid w:val="00BD61E8"/>
    <w:rsid w:val="00C16BAA"/>
    <w:rsid w:val="00C3759D"/>
    <w:rsid w:val="00C605FB"/>
    <w:rsid w:val="00C63866"/>
    <w:rsid w:val="00C654D0"/>
    <w:rsid w:val="00C83961"/>
    <w:rsid w:val="00C92B1C"/>
    <w:rsid w:val="00C957FC"/>
    <w:rsid w:val="00CE4D10"/>
    <w:rsid w:val="00D1276F"/>
    <w:rsid w:val="00D22CC7"/>
    <w:rsid w:val="00D268CF"/>
    <w:rsid w:val="00D32BDC"/>
    <w:rsid w:val="00D53038"/>
    <w:rsid w:val="00D55AA1"/>
    <w:rsid w:val="00D67D0A"/>
    <w:rsid w:val="00DC2DE1"/>
    <w:rsid w:val="00DE1B57"/>
    <w:rsid w:val="00DF56B8"/>
    <w:rsid w:val="00E06EE1"/>
    <w:rsid w:val="00E12D07"/>
    <w:rsid w:val="00E17E20"/>
    <w:rsid w:val="00E2398E"/>
    <w:rsid w:val="00E5094F"/>
    <w:rsid w:val="00E63635"/>
    <w:rsid w:val="00E7026E"/>
    <w:rsid w:val="00E810D6"/>
    <w:rsid w:val="00E85FC8"/>
    <w:rsid w:val="00EC4B13"/>
    <w:rsid w:val="00F06D96"/>
    <w:rsid w:val="00FA3372"/>
    <w:rsid w:val="00FB0A6B"/>
    <w:rsid w:val="00FD0498"/>
    <w:rsid w:val="00FD5A41"/>
    <w:rsid w:val="00FF6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54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EA0"/>
  </w:style>
  <w:style w:type="paragraph" w:styleId="Piedepgina">
    <w:name w:val="footer"/>
    <w:basedOn w:val="Normal"/>
    <w:link w:val="PiedepginaCar"/>
    <w:uiPriority w:val="99"/>
    <w:unhideWhenUsed/>
    <w:rsid w:val="00554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EA0"/>
  </w:style>
  <w:style w:type="character" w:customStyle="1" w:styleId="Ttulo2Car">
    <w:name w:val="Título 2 Car"/>
    <w:basedOn w:val="Fuentedeprrafopredeter"/>
    <w:link w:val="Ttulo2"/>
    <w:uiPriority w:val="9"/>
    <w:semiHidden/>
    <w:rsid w:val="00554EA0"/>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C839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54E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EA0"/>
  </w:style>
  <w:style w:type="paragraph" w:styleId="Piedepgina">
    <w:name w:val="footer"/>
    <w:basedOn w:val="Normal"/>
    <w:link w:val="PiedepginaCar"/>
    <w:uiPriority w:val="99"/>
    <w:unhideWhenUsed/>
    <w:rsid w:val="00554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EA0"/>
  </w:style>
  <w:style w:type="character" w:customStyle="1" w:styleId="Ttulo2Car">
    <w:name w:val="Título 2 Car"/>
    <w:basedOn w:val="Fuentedeprrafopredeter"/>
    <w:link w:val="Ttulo2"/>
    <w:uiPriority w:val="9"/>
    <w:semiHidden/>
    <w:rsid w:val="00554EA0"/>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C839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181">
      <w:bodyDiv w:val="1"/>
      <w:marLeft w:val="0"/>
      <w:marRight w:val="0"/>
      <w:marTop w:val="0"/>
      <w:marBottom w:val="0"/>
      <w:divBdr>
        <w:top w:val="none" w:sz="0" w:space="0" w:color="auto"/>
        <w:left w:val="none" w:sz="0" w:space="0" w:color="auto"/>
        <w:bottom w:val="none" w:sz="0" w:space="0" w:color="auto"/>
        <w:right w:val="none" w:sz="0" w:space="0" w:color="auto"/>
      </w:divBdr>
      <w:divsChild>
        <w:div w:id="1007096329">
          <w:marLeft w:val="0"/>
          <w:marRight w:val="0"/>
          <w:marTop w:val="0"/>
          <w:marBottom w:val="0"/>
          <w:divBdr>
            <w:top w:val="none" w:sz="0" w:space="0" w:color="auto"/>
            <w:left w:val="none" w:sz="0" w:space="0" w:color="auto"/>
            <w:bottom w:val="none" w:sz="0" w:space="0" w:color="auto"/>
            <w:right w:val="none" w:sz="0" w:space="0" w:color="auto"/>
          </w:divBdr>
          <w:divsChild>
            <w:div w:id="137377791">
              <w:marLeft w:val="2"/>
              <w:marRight w:val="0"/>
              <w:marTop w:val="195"/>
              <w:marBottom w:val="150"/>
              <w:divBdr>
                <w:top w:val="none" w:sz="0" w:space="0" w:color="auto"/>
                <w:left w:val="none" w:sz="0" w:space="0" w:color="auto"/>
                <w:bottom w:val="none" w:sz="0" w:space="0" w:color="auto"/>
                <w:right w:val="none" w:sz="0" w:space="0" w:color="auto"/>
              </w:divBdr>
              <w:divsChild>
                <w:div w:id="1262227420">
                  <w:marLeft w:val="0"/>
                  <w:marRight w:val="0"/>
                  <w:marTop w:val="0"/>
                  <w:marBottom w:val="0"/>
                  <w:divBdr>
                    <w:top w:val="none" w:sz="0" w:space="0" w:color="auto"/>
                    <w:left w:val="none" w:sz="0" w:space="0" w:color="auto"/>
                    <w:bottom w:val="none" w:sz="0" w:space="0" w:color="auto"/>
                    <w:right w:val="none" w:sz="0" w:space="0" w:color="auto"/>
                  </w:divBdr>
                  <w:divsChild>
                    <w:div w:id="478694037">
                      <w:marLeft w:val="0"/>
                      <w:marRight w:val="0"/>
                      <w:marTop w:val="0"/>
                      <w:marBottom w:val="0"/>
                      <w:divBdr>
                        <w:top w:val="none" w:sz="0" w:space="0" w:color="auto"/>
                        <w:left w:val="none" w:sz="0" w:space="0" w:color="auto"/>
                        <w:bottom w:val="none" w:sz="0" w:space="0" w:color="auto"/>
                        <w:right w:val="none" w:sz="0" w:space="0" w:color="auto"/>
                      </w:divBdr>
                      <w:divsChild>
                        <w:div w:id="1187601692">
                          <w:marLeft w:val="0"/>
                          <w:marRight w:val="0"/>
                          <w:marTop w:val="0"/>
                          <w:marBottom w:val="75"/>
                          <w:divBdr>
                            <w:top w:val="none" w:sz="0" w:space="0" w:color="auto"/>
                            <w:left w:val="none" w:sz="0" w:space="0" w:color="auto"/>
                            <w:bottom w:val="none" w:sz="0" w:space="0" w:color="auto"/>
                            <w:right w:val="none" w:sz="0" w:space="0" w:color="auto"/>
                          </w:divBdr>
                          <w:divsChild>
                            <w:div w:id="374812453">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 w:id="245265453">
      <w:bodyDiv w:val="1"/>
      <w:marLeft w:val="0"/>
      <w:marRight w:val="0"/>
      <w:marTop w:val="0"/>
      <w:marBottom w:val="0"/>
      <w:divBdr>
        <w:top w:val="none" w:sz="0" w:space="0" w:color="auto"/>
        <w:left w:val="none" w:sz="0" w:space="0" w:color="auto"/>
        <w:bottom w:val="none" w:sz="0" w:space="0" w:color="auto"/>
        <w:right w:val="none" w:sz="0" w:space="0" w:color="auto"/>
      </w:divBdr>
    </w:div>
    <w:div w:id="627200237">
      <w:bodyDiv w:val="1"/>
      <w:marLeft w:val="0"/>
      <w:marRight w:val="0"/>
      <w:marTop w:val="0"/>
      <w:marBottom w:val="0"/>
      <w:divBdr>
        <w:top w:val="none" w:sz="0" w:space="0" w:color="auto"/>
        <w:left w:val="none" w:sz="0" w:space="0" w:color="auto"/>
        <w:bottom w:val="none" w:sz="0" w:space="0" w:color="auto"/>
        <w:right w:val="none" w:sz="0" w:space="0" w:color="auto"/>
      </w:divBdr>
      <w:divsChild>
        <w:div w:id="1196115567">
          <w:marLeft w:val="0"/>
          <w:marRight w:val="0"/>
          <w:marTop w:val="0"/>
          <w:marBottom w:val="0"/>
          <w:divBdr>
            <w:top w:val="none" w:sz="0" w:space="0" w:color="auto"/>
            <w:left w:val="none" w:sz="0" w:space="0" w:color="auto"/>
            <w:bottom w:val="none" w:sz="0" w:space="0" w:color="auto"/>
            <w:right w:val="none" w:sz="0" w:space="0" w:color="auto"/>
          </w:divBdr>
          <w:divsChild>
            <w:div w:id="1552231522">
              <w:marLeft w:val="2"/>
              <w:marRight w:val="0"/>
              <w:marTop w:val="195"/>
              <w:marBottom w:val="150"/>
              <w:divBdr>
                <w:top w:val="none" w:sz="0" w:space="0" w:color="auto"/>
                <w:left w:val="none" w:sz="0" w:space="0" w:color="auto"/>
                <w:bottom w:val="none" w:sz="0" w:space="0" w:color="auto"/>
                <w:right w:val="none" w:sz="0" w:space="0" w:color="auto"/>
              </w:divBdr>
              <w:divsChild>
                <w:div w:id="853421091">
                  <w:marLeft w:val="0"/>
                  <w:marRight w:val="0"/>
                  <w:marTop w:val="0"/>
                  <w:marBottom w:val="0"/>
                  <w:divBdr>
                    <w:top w:val="none" w:sz="0" w:space="0" w:color="auto"/>
                    <w:left w:val="none" w:sz="0" w:space="0" w:color="auto"/>
                    <w:bottom w:val="none" w:sz="0" w:space="0" w:color="auto"/>
                    <w:right w:val="none" w:sz="0" w:space="0" w:color="auto"/>
                  </w:divBdr>
                  <w:divsChild>
                    <w:div w:id="273633727">
                      <w:marLeft w:val="0"/>
                      <w:marRight w:val="0"/>
                      <w:marTop w:val="0"/>
                      <w:marBottom w:val="0"/>
                      <w:divBdr>
                        <w:top w:val="none" w:sz="0" w:space="0" w:color="auto"/>
                        <w:left w:val="none" w:sz="0" w:space="0" w:color="auto"/>
                        <w:bottom w:val="none" w:sz="0" w:space="0" w:color="auto"/>
                        <w:right w:val="none" w:sz="0" w:space="0" w:color="auto"/>
                      </w:divBdr>
                      <w:divsChild>
                        <w:div w:id="592206805">
                          <w:marLeft w:val="0"/>
                          <w:marRight w:val="0"/>
                          <w:marTop w:val="0"/>
                          <w:marBottom w:val="75"/>
                          <w:divBdr>
                            <w:top w:val="none" w:sz="0" w:space="0" w:color="auto"/>
                            <w:left w:val="none" w:sz="0" w:space="0" w:color="auto"/>
                            <w:bottom w:val="none" w:sz="0" w:space="0" w:color="auto"/>
                            <w:right w:val="none" w:sz="0" w:space="0" w:color="auto"/>
                          </w:divBdr>
                          <w:divsChild>
                            <w:div w:id="307131104">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 w:id="854922601">
      <w:bodyDiv w:val="1"/>
      <w:marLeft w:val="0"/>
      <w:marRight w:val="0"/>
      <w:marTop w:val="0"/>
      <w:marBottom w:val="0"/>
      <w:divBdr>
        <w:top w:val="none" w:sz="0" w:space="0" w:color="auto"/>
        <w:left w:val="none" w:sz="0" w:space="0" w:color="auto"/>
        <w:bottom w:val="none" w:sz="0" w:space="0" w:color="auto"/>
        <w:right w:val="none" w:sz="0" w:space="0" w:color="auto"/>
      </w:divBdr>
      <w:divsChild>
        <w:div w:id="1694065485">
          <w:marLeft w:val="0"/>
          <w:marRight w:val="0"/>
          <w:marTop w:val="0"/>
          <w:marBottom w:val="0"/>
          <w:divBdr>
            <w:top w:val="none" w:sz="0" w:space="0" w:color="auto"/>
            <w:left w:val="none" w:sz="0" w:space="0" w:color="auto"/>
            <w:bottom w:val="none" w:sz="0" w:space="0" w:color="auto"/>
            <w:right w:val="none" w:sz="0" w:space="0" w:color="auto"/>
          </w:divBdr>
          <w:divsChild>
            <w:div w:id="416023822">
              <w:marLeft w:val="2"/>
              <w:marRight w:val="0"/>
              <w:marTop w:val="195"/>
              <w:marBottom w:val="150"/>
              <w:divBdr>
                <w:top w:val="none" w:sz="0" w:space="0" w:color="auto"/>
                <w:left w:val="none" w:sz="0" w:space="0" w:color="auto"/>
                <w:bottom w:val="none" w:sz="0" w:space="0" w:color="auto"/>
                <w:right w:val="none" w:sz="0" w:space="0" w:color="auto"/>
              </w:divBdr>
              <w:divsChild>
                <w:div w:id="1516110862">
                  <w:marLeft w:val="0"/>
                  <w:marRight w:val="0"/>
                  <w:marTop w:val="0"/>
                  <w:marBottom w:val="0"/>
                  <w:divBdr>
                    <w:top w:val="none" w:sz="0" w:space="0" w:color="auto"/>
                    <w:left w:val="none" w:sz="0" w:space="0" w:color="auto"/>
                    <w:bottom w:val="none" w:sz="0" w:space="0" w:color="auto"/>
                    <w:right w:val="none" w:sz="0" w:space="0" w:color="auto"/>
                  </w:divBdr>
                  <w:divsChild>
                    <w:div w:id="1141727458">
                      <w:marLeft w:val="0"/>
                      <w:marRight w:val="0"/>
                      <w:marTop w:val="0"/>
                      <w:marBottom w:val="0"/>
                      <w:divBdr>
                        <w:top w:val="none" w:sz="0" w:space="0" w:color="auto"/>
                        <w:left w:val="none" w:sz="0" w:space="0" w:color="auto"/>
                        <w:bottom w:val="none" w:sz="0" w:space="0" w:color="auto"/>
                        <w:right w:val="none" w:sz="0" w:space="0" w:color="auto"/>
                      </w:divBdr>
                      <w:divsChild>
                        <w:div w:id="734860141">
                          <w:marLeft w:val="0"/>
                          <w:marRight w:val="0"/>
                          <w:marTop w:val="0"/>
                          <w:marBottom w:val="75"/>
                          <w:divBdr>
                            <w:top w:val="none" w:sz="0" w:space="0" w:color="auto"/>
                            <w:left w:val="none" w:sz="0" w:space="0" w:color="auto"/>
                            <w:bottom w:val="none" w:sz="0" w:space="0" w:color="auto"/>
                            <w:right w:val="none" w:sz="0" w:space="0" w:color="auto"/>
                          </w:divBdr>
                          <w:divsChild>
                            <w:div w:id="1773544959">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 w:id="1010138845">
      <w:bodyDiv w:val="1"/>
      <w:marLeft w:val="0"/>
      <w:marRight w:val="0"/>
      <w:marTop w:val="0"/>
      <w:marBottom w:val="0"/>
      <w:divBdr>
        <w:top w:val="none" w:sz="0" w:space="0" w:color="auto"/>
        <w:left w:val="none" w:sz="0" w:space="0" w:color="auto"/>
        <w:bottom w:val="none" w:sz="0" w:space="0" w:color="auto"/>
        <w:right w:val="none" w:sz="0" w:space="0" w:color="auto"/>
      </w:divBdr>
      <w:divsChild>
        <w:div w:id="1093014494">
          <w:marLeft w:val="0"/>
          <w:marRight w:val="0"/>
          <w:marTop w:val="0"/>
          <w:marBottom w:val="0"/>
          <w:divBdr>
            <w:top w:val="none" w:sz="0" w:space="0" w:color="auto"/>
            <w:left w:val="none" w:sz="0" w:space="0" w:color="auto"/>
            <w:bottom w:val="none" w:sz="0" w:space="0" w:color="auto"/>
            <w:right w:val="none" w:sz="0" w:space="0" w:color="auto"/>
          </w:divBdr>
          <w:divsChild>
            <w:div w:id="547033414">
              <w:marLeft w:val="2"/>
              <w:marRight w:val="0"/>
              <w:marTop w:val="195"/>
              <w:marBottom w:val="150"/>
              <w:divBdr>
                <w:top w:val="none" w:sz="0" w:space="0" w:color="auto"/>
                <w:left w:val="none" w:sz="0" w:space="0" w:color="auto"/>
                <w:bottom w:val="none" w:sz="0" w:space="0" w:color="auto"/>
                <w:right w:val="none" w:sz="0" w:space="0" w:color="auto"/>
              </w:divBdr>
              <w:divsChild>
                <w:div w:id="945388110">
                  <w:marLeft w:val="0"/>
                  <w:marRight w:val="0"/>
                  <w:marTop w:val="0"/>
                  <w:marBottom w:val="0"/>
                  <w:divBdr>
                    <w:top w:val="none" w:sz="0" w:space="0" w:color="auto"/>
                    <w:left w:val="none" w:sz="0" w:space="0" w:color="auto"/>
                    <w:bottom w:val="none" w:sz="0" w:space="0" w:color="auto"/>
                    <w:right w:val="none" w:sz="0" w:space="0" w:color="auto"/>
                  </w:divBdr>
                  <w:divsChild>
                    <w:div w:id="933319630">
                      <w:marLeft w:val="0"/>
                      <w:marRight w:val="0"/>
                      <w:marTop w:val="0"/>
                      <w:marBottom w:val="0"/>
                      <w:divBdr>
                        <w:top w:val="none" w:sz="0" w:space="0" w:color="auto"/>
                        <w:left w:val="none" w:sz="0" w:space="0" w:color="auto"/>
                        <w:bottom w:val="none" w:sz="0" w:space="0" w:color="auto"/>
                        <w:right w:val="none" w:sz="0" w:space="0" w:color="auto"/>
                      </w:divBdr>
                      <w:divsChild>
                        <w:div w:id="43870497">
                          <w:marLeft w:val="0"/>
                          <w:marRight w:val="0"/>
                          <w:marTop w:val="0"/>
                          <w:marBottom w:val="75"/>
                          <w:divBdr>
                            <w:top w:val="none" w:sz="0" w:space="0" w:color="auto"/>
                            <w:left w:val="none" w:sz="0" w:space="0" w:color="auto"/>
                            <w:bottom w:val="none" w:sz="0" w:space="0" w:color="auto"/>
                            <w:right w:val="none" w:sz="0" w:space="0" w:color="auto"/>
                          </w:divBdr>
                          <w:divsChild>
                            <w:div w:id="1432122333">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AAA99D77E9624AA547B3939465D239" ma:contentTypeVersion="16" ma:contentTypeDescription="Crear nuevo documento." ma:contentTypeScope="" ma:versionID="7d5eede7218482f02ef6f7392f6bd971">
  <xsd:schema xmlns:xsd="http://www.w3.org/2001/XMLSchema" xmlns:xs="http://www.w3.org/2001/XMLSchema" xmlns:p="http://schemas.microsoft.com/office/2006/metadata/properties" xmlns:ns2="dca0eceb-e61b-4a29-b7f3-84801d750966" xmlns:ns3="bc006ac0-c90e-4756-abf3-ff2cfc442c1c" targetNamespace="http://schemas.microsoft.com/office/2006/metadata/properties" ma:root="true" ma:fieldsID="9586312c35a6858e2f7c96955d9f8102" ns2:_="" ns3:_="">
    <xsd:import namespace="dca0eceb-e61b-4a29-b7f3-84801d750966"/>
    <xsd:import namespace="bc006ac0-c90e-4756-abf3-ff2cfc442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eceb-e61b-4a29-b7f3-84801d750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06ac0-c90e-4756-abf3-ff2cfc442c1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085bb97-83a5-4518-8f9e-a656a38bfff1}" ma:internalName="TaxCatchAll" ma:showField="CatchAllData" ma:web="bc006ac0-c90e-4756-abf3-ff2cfc44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006ac0-c90e-4756-abf3-ff2cfc442c1c" xsi:nil="true"/>
    <lcf76f155ced4ddcb4097134ff3c332f xmlns="dca0eceb-e61b-4a29-b7f3-84801d7509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831312-841E-40F8-9C39-50D1C8026D20}"/>
</file>

<file path=customXml/itemProps2.xml><?xml version="1.0" encoding="utf-8"?>
<ds:datastoreItem xmlns:ds="http://schemas.openxmlformats.org/officeDocument/2006/customXml" ds:itemID="{F58CA834-13D2-4A2B-9772-78E9C7B02807}"/>
</file>

<file path=customXml/itemProps3.xml><?xml version="1.0" encoding="utf-8"?>
<ds:datastoreItem xmlns:ds="http://schemas.openxmlformats.org/officeDocument/2006/customXml" ds:itemID="{423622B4-02C5-45E4-A736-9D6BCCED7FBF}"/>
</file>

<file path=docProps/app.xml><?xml version="1.0" encoding="utf-8"?>
<Properties xmlns="http://schemas.openxmlformats.org/officeDocument/2006/extended-properties" xmlns:vt="http://schemas.openxmlformats.org/officeDocument/2006/docPropsVTypes">
  <Template>Normal.dotm</Template>
  <TotalTime>1</TotalTime>
  <Pages>12</Pages>
  <Words>4073</Words>
  <Characters>22402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Toral Rubio, Lourdes</dc:creator>
  <cp:lastModifiedBy>Olabegoya Echevarria, Arantxa</cp:lastModifiedBy>
  <cp:revision>2</cp:revision>
  <cp:lastPrinted>2014-03-17T12:46:00Z</cp:lastPrinted>
  <dcterms:created xsi:type="dcterms:W3CDTF">2014-06-02T12:02:00Z</dcterms:created>
  <dcterms:modified xsi:type="dcterms:W3CDTF">2014-06-02T12:02:00Z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0x010100D1AAA99D77E9624AA547B3939465D239</vt:lpwstr>
  </property>
</Properties>
</file>