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A82" w:rsidRPr="00475A82" w:rsidRDefault="00475A82" w:rsidP="00475A82">
      <w:pPr>
        <w:spacing w:line="360" w:lineRule="auto"/>
        <w:jc w:val="both"/>
        <w:rPr>
          <w:rFonts w:asciiTheme="majorHAnsi" w:hAnsiTheme="majorHAnsi"/>
          <w:b/>
          <w:sz w:val="28"/>
          <w:szCs w:val="28"/>
        </w:rPr>
      </w:pPr>
      <w:r w:rsidRPr="00475A82">
        <w:rPr>
          <w:rFonts w:asciiTheme="majorHAnsi" w:hAnsiTheme="majorHAnsi"/>
          <w:b/>
          <w:sz w:val="28"/>
          <w:szCs w:val="28"/>
        </w:rPr>
        <w:t>DE LA ENCOMIENDA DE GESTIÓN A LA SOCIEDAD INFORMÁTICA DEL GOBIERNO VASCO,S.A. (EJIE) PARA PRESTAR SOPORTE EXTERNO A LA GESTIÓN BIBLIOTECARIA DE LA RED DE LECTURA PÚBLICA DE EUSKADI (RLPE) Y MANTENIMIENTO DE LICENCIAS Y ACTUALIZACIÓN DEL SISTEMA ABSYSNET POR PARTE DEL DEPARTAMENTO DE EDUCACIÓN, POLÍTICA LINGÜÍSTICA Y CULTURA 2014</w:t>
      </w:r>
    </w:p>
    <w:p w:rsidR="00475A82" w:rsidRPr="00475A82" w:rsidRDefault="00475A82" w:rsidP="00475A82">
      <w:pPr>
        <w:pBdr>
          <w:bottom w:val="single" w:sz="12" w:space="1" w:color="auto"/>
        </w:pBdr>
        <w:spacing w:line="360" w:lineRule="auto"/>
        <w:jc w:val="both"/>
        <w:rPr>
          <w:rFonts w:asciiTheme="majorHAnsi" w:hAnsiTheme="majorHAnsi"/>
          <w:b/>
          <w:sz w:val="28"/>
          <w:szCs w:val="28"/>
        </w:rPr>
      </w:pPr>
    </w:p>
    <w:p w:rsidR="00475A82" w:rsidRPr="00475A82" w:rsidRDefault="00475A82" w:rsidP="00475A82">
      <w:pPr>
        <w:spacing w:line="360" w:lineRule="auto"/>
        <w:jc w:val="both"/>
        <w:rPr>
          <w:rFonts w:asciiTheme="majorHAnsi" w:hAnsiTheme="majorHAnsi"/>
          <w:b/>
          <w:sz w:val="28"/>
          <w:szCs w:val="28"/>
        </w:rPr>
      </w:pPr>
    </w:p>
    <w:p w:rsidR="00C65276" w:rsidRDefault="00C65276" w:rsidP="00C65276">
      <w:pPr>
        <w:pStyle w:val="Textoindependiente3"/>
        <w:spacing w:line="240" w:lineRule="atLeast"/>
        <w:jc w:val="both"/>
        <w:rPr>
          <w:b/>
          <w:sz w:val="28"/>
          <w:szCs w:val="28"/>
        </w:rPr>
      </w:pPr>
      <w:r>
        <w:rPr>
          <w:b/>
          <w:sz w:val="28"/>
          <w:szCs w:val="28"/>
        </w:rPr>
        <w:t>Ref.: 068</w:t>
      </w:r>
      <w:bookmarkStart w:id="0" w:name="_GoBack"/>
      <w:bookmarkEnd w:id="0"/>
      <w:r>
        <w:rPr>
          <w:b/>
          <w:sz w:val="28"/>
          <w:szCs w:val="28"/>
        </w:rPr>
        <w:t>/2014 IL</w:t>
      </w:r>
    </w:p>
    <w:p w:rsidR="00C65276" w:rsidRDefault="00C65276" w:rsidP="00C65276">
      <w:pPr>
        <w:pStyle w:val="Textoindependiente3"/>
        <w:spacing w:line="240" w:lineRule="atLeast"/>
        <w:jc w:val="both"/>
        <w:rPr>
          <w:b/>
          <w:sz w:val="28"/>
          <w:szCs w:val="28"/>
        </w:rPr>
      </w:pPr>
    </w:p>
    <w:p w:rsidR="00475A82" w:rsidRPr="00C65276" w:rsidRDefault="00475A82" w:rsidP="00475A82">
      <w:pPr>
        <w:spacing w:line="360" w:lineRule="auto"/>
        <w:jc w:val="both"/>
        <w:rPr>
          <w:rFonts w:asciiTheme="majorHAnsi" w:hAnsiTheme="majorHAnsi"/>
          <w:b/>
          <w:sz w:val="28"/>
          <w:szCs w:val="28"/>
          <w:lang w:val="es-ES"/>
        </w:rPr>
      </w:pPr>
    </w:p>
    <w:p w:rsidR="00475A82" w:rsidRPr="00475A82" w:rsidRDefault="00475A82" w:rsidP="00475A82">
      <w:pPr>
        <w:spacing w:line="360" w:lineRule="auto"/>
        <w:jc w:val="both"/>
        <w:rPr>
          <w:rFonts w:asciiTheme="majorHAnsi" w:hAnsiTheme="majorHAnsi"/>
          <w:b/>
          <w:sz w:val="28"/>
          <w:szCs w:val="28"/>
        </w:rPr>
      </w:pPr>
    </w:p>
    <w:p w:rsidR="00475A82" w:rsidRPr="00475A82" w:rsidRDefault="00475A82" w:rsidP="00475A82">
      <w:pPr>
        <w:spacing w:line="360" w:lineRule="auto"/>
        <w:jc w:val="both"/>
        <w:rPr>
          <w:rFonts w:asciiTheme="majorHAnsi" w:hAnsiTheme="majorHAnsi"/>
          <w:b/>
          <w:sz w:val="28"/>
          <w:szCs w:val="28"/>
        </w:rPr>
      </w:pPr>
    </w:p>
    <w:p w:rsidR="00475A82" w:rsidRPr="00475A82" w:rsidRDefault="00475A82" w:rsidP="00475A82">
      <w:pPr>
        <w:spacing w:line="360" w:lineRule="auto"/>
        <w:jc w:val="both"/>
        <w:rPr>
          <w:rFonts w:asciiTheme="majorHAnsi" w:hAnsiTheme="majorHAnsi"/>
          <w:b/>
          <w:sz w:val="28"/>
          <w:szCs w:val="28"/>
        </w:rPr>
      </w:pPr>
      <w:r w:rsidRPr="00475A82">
        <w:rPr>
          <w:rFonts w:asciiTheme="majorHAnsi" w:hAnsiTheme="majorHAnsi"/>
          <w:b/>
          <w:sz w:val="28"/>
          <w:szCs w:val="28"/>
        </w:rPr>
        <w:t>1. INTRODUCCIÓN</w:t>
      </w:r>
    </w:p>
    <w:p w:rsidR="00475A82" w:rsidRPr="00475A82" w:rsidRDefault="00475A82" w:rsidP="00475A82">
      <w:pPr>
        <w:spacing w:line="360" w:lineRule="auto"/>
        <w:jc w:val="both"/>
        <w:rPr>
          <w:rFonts w:asciiTheme="majorHAnsi" w:hAnsiTheme="majorHAnsi"/>
          <w:b/>
          <w:sz w:val="28"/>
          <w:szCs w:val="28"/>
        </w:rPr>
      </w:pPr>
    </w:p>
    <w:p w:rsidR="00475A82" w:rsidRPr="00475A82" w:rsidRDefault="00475A82" w:rsidP="00475A82">
      <w:pPr>
        <w:spacing w:line="360" w:lineRule="auto"/>
        <w:jc w:val="both"/>
        <w:rPr>
          <w:rFonts w:asciiTheme="majorHAnsi" w:hAnsiTheme="majorHAnsi"/>
          <w:sz w:val="28"/>
          <w:szCs w:val="28"/>
        </w:rPr>
      </w:pPr>
      <w:r w:rsidRPr="00475A82">
        <w:rPr>
          <w:rFonts w:asciiTheme="majorHAnsi" w:hAnsiTheme="majorHAnsi"/>
          <w:sz w:val="28"/>
          <w:szCs w:val="28"/>
        </w:rPr>
        <w:t>El presente informe se emite en virtud de lo dispuesto en el artículo 6.1 h), Decreto 20/2012, de 15 de diciembre, del Lehendakari, de creación, supresión y modificación de los Departamentos de la Administración de la Comunidad Autónoma del País Vasco y de determinación de funciones y áreas de actuación de los mismos en relación con el  artículo 13.1.c) del Decreto 188/2013, de 9 de abril, por el que se establece la estructura orgánica y funcional del Departamento de Administración Pública y Justicia.</w:t>
      </w:r>
    </w:p>
    <w:p w:rsidR="00475A82" w:rsidRPr="00475A82" w:rsidRDefault="00475A82" w:rsidP="00475A82">
      <w:pPr>
        <w:spacing w:line="360" w:lineRule="auto"/>
        <w:jc w:val="both"/>
        <w:rPr>
          <w:rFonts w:asciiTheme="majorHAnsi" w:hAnsiTheme="majorHAnsi"/>
          <w:sz w:val="28"/>
          <w:szCs w:val="28"/>
        </w:rPr>
      </w:pPr>
    </w:p>
    <w:p w:rsidR="00475A82" w:rsidRDefault="00475A82" w:rsidP="00475A82">
      <w:pPr>
        <w:spacing w:line="360" w:lineRule="auto"/>
        <w:jc w:val="both"/>
        <w:rPr>
          <w:rFonts w:asciiTheme="majorHAnsi" w:hAnsiTheme="majorHAnsi"/>
          <w:sz w:val="28"/>
          <w:szCs w:val="28"/>
        </w:rPr>
      </w:pPr>
      <w:r w:rsidRPr="00475A82">
        <w:rPr>
          <w:rFonts w:asciiTheme="majorHAnsi" w:hAnsiTheme="majorHAnsi"/>
          <w:sz w:val="28"/>
          <w:szCs w:val="28"/>
        </w:rPr>
        <w:lastRenderedPageBreak/>
        <w:t>La elaboración del proyecto ha seguido el flujo de tramitación previsto en la Ley 8/2003, de 22 de diciembre y constan en el expediente los documentos requeridos como soporte de la iniciativa.</w:t>
      </w:r>
    </w:p>
    <w:p w:rsidR="00475A82" w:rsidRDefault="00475A82" w:rsidP="00475A82">
      <w:pPr>
        <w:spacing w:line="360" w:lineRule="auto"/>
        <w:jc w:val="both"/>
        <w:rPr>
          <w:rFonts w:asciiTheme="majorHAnsi" w:hAnsiTheme="majorHAnsi"/>
          <w:sz w:val="28"/>
          <w:szCs w:val="28"/>
        </w:rPr>
      </w:pPr>
    </w:p>
    <w:p w:rsidR="00475A82" w:rsidRPr="00F16C5E" w:rsidRDefault="00482F44" w:rsidP="00475A82">
      <w:pPr>
        <w:spacing w:line="360" w:lineRule="auto"/>
        <w:jc w:val="both"/>
        <w:rPr>
          <w:rFonts w:asciiTheme="majorHAnsi" w:hAnsiTheme="majorHAnsi"/>
          <w:b/>
          <w:sz w:val="28"/>
          <w:szCs w:val="28"/>
        </w:rPr>
      </w:pPr>
      <w:r>
        <w:rPr>
          <w:rFonts w:asciiTheme="majorHAnsi" w:hAnsiTheme="majorHAnsi"/>
          <w:b/>
          <w:sz w:val="28"/>
          <w:szCs w:val="28"/>
        </w:rPr>
        <w:t>2.- ANÁLISIS JURÍDICO</w:t>
      </w:r>
      <w:r w:rsidR="000F1E8C">
        <w:rPr>
          <w:rFonts w:asciiTheme="majorHAnsi" w:hAnsiTheme="majorHAnsi"/>
          <w:b/>
          <w:sz w:val="28"/>
          <w:szCs w:val="28"/>
        </w:rPr>
        <w:t xml:space="preserve">. </w:t>
      </w:r>
    </w:p>
    <w:p w:rsidR="00F16C5E" w:rsidRDefault="00F16C5E" w:rsidP="00475A82">
      <w:pPr>
        <w:spacing w:line="360" w:lineRule="auto"/>
        <w:jc w:val="both"/>
        <w:rPr>
          <w:rFonts w:asciiTheme="majorHAnsi" w:hAnsiTheme="majorHAnsi"/>
          <w:sz w:val="28"/>
          <w:szCs w:val="28"/>
        </w:rPr>
      </w:pPr>
    </w:p>
    <w:p w:rsidR="00482F44" w:rsidRDefault="00482F44" w:rsidP="00475A82">
      <w:pPr>
        <w:spacing w:line="360" w:lineRule="auto"/>
        <w:jc w:val="both"/>
        <w:rPr>
          <w:rFonts w:asciiTheme="majorHAnsi" w:hAnsiTheme="majorHAnsi"/>
          <w:sz w:val="28"/>
          <w:szCs w:val="28"/>
        </w:rPr>
      </w:pPr>
      <w:r>
        <w:rPr>
          <w:rFonts w:asciiTheme="majorHAnsi" w:hAnsiTheme="majorHAnsi"/>
          <w:sz w:val="28"/>
          <w:szCs w:val="28"/>
        </w:rPr>
        <w:t xml:space="preserve"> </w:t>
      </w:r>
    </w:p>
    <w:p w:rsidR="00F16C5E" w:rsidRDefault="000F1E8C" w:rsidP="00475A82">
      <w:pPr>
        <w:spacing w:line="360" w:lineRule="auto"/>
        <w:jc w:val="both"/>
        <w:rPr>
          <w:rFonts w:asciiTheme="majorHAnsi" w:hAnsiTheme="majorHAnsi"/>
          <w:sz w:val="28"/>
          <w:szCs w:val="28"/>
        </w:rPr>
      </w:pPr>
      <w:r>
        <w:rPr>
          <w:rFonts w:asciiTheme="majorHAnsi" w:hAnsiTheme="majorHAnsi"/>
          <w:sz w:val="28"/>
          <w:szCs w:val="28"/>
        </w:rPr>
        <w:t xml:space="preserve">La Resolución que informamos </w:t>
      </w:r>
      <w:proofErr w:type="spellStart"/>
      <w:r>
        <w:rPr>
          <w:rFonts w:asciiTheme="majorHAnsi" w:hAnsiTheme="majorHAnsi"/>
          <w:sz w:val="28"/>
          <w:szCs w:val="28"/>
        </w:rPr>
        <w:t>señla</w:t>
      </w:r>
      <w:proofErr w:type="spellEnd"/>
      <w:r>
        <w:rPr>
          <w:rFonts w:asciiTheme="majorHAnsi" w:hAnsiTheme="majorHAnsi"/>
          <w:sz w:val="28"/>
          <w:szCs w:val="28"/>
        </w:rPr>
        <w:t xml:space="preserve"> que l</w:t>
      </w:r>
      <w:r w:rsidRPr="000F1E8C">
        <w:rPr>
          <w:rFonts w:asciiTheme="majorHAnsi" w:hAnsiTheme="majorHAnsi"/>
          <w:sz w:val="28"/>
          <w:szCs w:val="28"/>
        </w:rPr>
        <w:t xml:space="preserve">a exposición de motivos del </w:t>
      </w:r>
      <w:r w:rsidRPr="000F1E8C">
        <w:rPr>
          <w:rFonts w:asciiTheme="majorHAnsi" w:hAnsiTheme="majorHAnsi"/>
          <w:b/>
          <w:sz w:val="28"/>
          <w:szCs w:val="28"/>
        </w:rPr>
        <w:t>Decreto 94/2009</w:t>
      </w:r>
      <w:r w:rsidRPr="000F1E8C">
        <w:rPr>
          <w:rFonts w:asciiTheme="majorHAnsi" w:hAnsiTheme="majorHAnsi"/>
          <w:sz w:val="28"/>
          <w:szCs w:val="28"/>
        </w:rPr>
        <w:t xml:space="preserve"> fundamenta la nueva regulación que en relación con los medios instrumentales propios y servicios técnicos de la Administración contempla la Ley de Contratos del Sector Público (Ley 30/2007, de 30 de octubre) y la nueva redacción de la Disposición Adicional Segunda dice que «La sociedad pública </w:t>
      </w:r>
      <w:proofErr w:type="spellStart"/>
      <w:r w:rsidRPr="000F1E8C">
        <w:rPr>
          <w:rFonts w:asciiTheme="majorHAnsi" w:hAnsiTheme="majorHAnsi"/>
          <w:sz w:val="28"/>
          <w:szCs w:val="28"/>
        </w:rPr>
        <w:t>Eusko</w:t>
      </w:r>
      <w:proofErr w:type="spellEnd"/>
      <w:r w:rsidRPr="000F1E8C">
        <w:rPr>
          <w:rFonts w:asciiTheme="majorHAnsi" w:hAnsiTheme="majorHAnsi"/>
          <w:sz w:val="28"/>
          <w:szCs w:val="28"/>
        </w:rPr>
        <w:t xml:space="preserve"> </w:t>
      </w:r>
      <w:proofErr w:type="spellStart"/>
      <w:r w:rsidRPr="000F1E8C">
        <w:rPr>
          <w:rFonts w:asciiTheme="majorHAnsi" w:hAnsiTheme="majorHAnsi"/>
          <w:sz w:val="28"/>
          <w:szCs w:val="28"/>
        </w:rPr>
        <w:t>Jaurlaritzaren</w:t>
      </w:r>
      <w:proofErr w:type="spellEnd"/>
      <w:r w:rsidRPr="000F1E8C">
        <w:rPr>
          <w:rFonts w:asciiTheme="majorHAnsi" w:hAnsiTheme="majorHAnsi"/>
          <w:sz w:val="28"/>
          <w:szCs w:val="28"/>
        </w:rPr>
        <w:t xml:space="preserve"> </w:t>
      </w:r>
      <w:proofErr w:type="spellStart"/>
      <w:r w:rsidRPr="000F1E8C">
        <w:rPr>
          <w:rFonts w:asciiTheme="majorHAnsi" w:hAnsiTheme="majorHAnsi"/>
          <w:sz w:val="28"/>
          <w:szCs w:val="28"/>
        </w:rPr>
        <w:t>Informatika</w:t>
      </w:r>
      <w:proofErr w:type="spellEnd"/>
      <w:r w:rsidRPr="000F1E8C">
        <w:rPr>
          <w:rFonts w:asciiTheme="majorHAnsi" w:hAnsiTheme="majorHAnsi"/>
          <w:sz w:val="28"/>
          <w:szCs w:val="28"/>
        </w:rPr>
        <w:t xml:space="preserve"> </w:t>
      </w:r>
      <w:proofErr w:type="spellStart"/>
      <w:r w:rsidRPr="000F1E8C">
        <w:rPr>
          <w:rFonts w:asciiTheme="majorHAnsi" w:hAnsiTheme="majorHAnsi"/>
          <w:sz w:val="28"/>
          <w:szCs w:val="28"/>
        </w:rPr>
        <w:t>Elkartea</w:t>
      </w:r>
      <w:proofErr w:type="spellEnd"/>
      <w:r w:rsidRPr="000F1E8C">
        <w:rPr>
          <w:rFonts w:asciiTheme="majorHAnsi" w:hAnsiTheme="majorHAnsi"/>
          <w:sz w:val="28"/>
          <w:szCs w:val="28"/>
        </w:rPr>
        <w:t>—Sociedad Informática del Gobierno Vasco, S.A., se ocupará de la prestación de servicios informáticos de la Administración Pública de la Comunidad Autónoma del País Vasco en los términos establecidos en sus normas de creación y funcionamiento, en el presente decreto y demás normativa de aplicación.</w:t>
      </w:r>
    </w:p>
    <w:p w:rsidR="00482F44" w:rsidRDefault="00482F44" w:rsidP="00475A82">
      <w:pPr>
        <w:spacing w:line="360" w:lineRule="auto"/>
        <w:jc w:val="both"/>
        <w:rPr>
          <w:rFonts w:asciiTheme="majorHAnsi" w:hAnsiTheme="majorHAnsi"/>
          <w:sz w:val="28"/>
          <w:szCs w:val="28"/>
        </w:rPr>
      </w:pPr>
    </w:p>
    <w:p w:rsidR="000F1E8C" w:rsidRDefault="00482F44" w:rsidP="00475A82">
      <w:pPr>
        <w:spacing w:line="360" w:lineRule="auto"/>
        <w:jc w:val="both"/>
        <w:rPr>
          <w:rFonts w:asciiTheme="majorHAnsi" w:hAnsiTheme="majorHAnsi"/>
          <w:sz w:val="28"/>
          <w:szCs w:val="28"/>
        </w:rPr>
      </w:pPr>
      <w:r w:rsidRPr="00482F44">
        <w:rPr>
          <w:rFonts w:asciiTheme="majorHAnsi" w:hAnsiTheme="majorHAnsi"/>
          <w:sz w:val="28"/>
          <w:szCs w:val="28"/>
        </w:rPr>
        <w:t>Existe cierta confusión entre las figuras de encomienda de gestión reguladas respectivamente en los artículos 15 de la ley 30/1992 y los arts. 4 y 24.6 del Ley de Contratos de los Servicios Públicos.</w:t>
      </w:r>
      <w:r>
        <w:rPr>
          <w:rFonts w:asciiTheme="majorHAnsi" w:hAnsiTheme="majorHAnsi"/>
          <w:sz w:val="28"/>
          <w:szCs w:val="28"/>
        </w:rPr>
        <w:t xml:space="preserve">  </w:t>
      </w:r>
      <w:r w:rsidR="000F1E8C" w:rsidRPr="000F1E8C">
        <w:rPr>
          <w:rFonts w:asciiTheme="majorHAnsi" w:hAnsiTheme="majorHAnsi"/>
          <w:sz w:val="28"/>
          <w:szCs w:val="28"/>
        </w:rPr>
        <w:t xml:space="preserve">En el caso que nos ocupa </w:t>
      </w:r>
      <w:r w:rsidR="000F1E8C">
        <w:rPr>
          <w:rFonts w:asciiTheme="majorHAnsi" w:hAnsiTheme="majorHAnsi"/>
          <w:sz w:val="28"/>
          <w:szCs w:val="28"/>
        </w:rPr>
        <w:t>resulta de aplicación lo dispuesto en la Ley de Contratos por cuanto la encomienda se hace a favor de una Sociedad Anónima públi</w:t>
      </w:r>
      <w:r>
        <w:rPr>
          <w:rFonts w:asciiTheme="majorHAnsi" w:hAnsiTheme="majorHAnsi"/>
          <w:sz w:val="28"/>
          <w:szCs w:val="28"/>
        </w:rPr>
        <w:t xml:space="preserve">ca y se conviene al pago de una contraprestación económica mediante tarifas y así viene recogido en el clausulado mismo de la Resolución propuesta. </w:t>
      </w:r>
    </w:p>
    <w:p w:rsidR="000F1E8C" w:rsidRDefault="000F1E8C" w:rsidP="00475A82">
      <w:pPr>
        <w:spacing w:line="360" w:lineRule="auto"/>
        <w:jc w:val="both"/>
        <w:rPr>
          <w:rFonts w:asciiTheme="majorHAnsi" w:hAnsiTheme="majorHAnsi"/>
          <w:sz w:val="28"/>
          <w:szCs w:val="28"/>
        </w:rPr>
      </w:pPr>
    </w:p>
    <w:p w:rsidR="000F1E8C" w:rsidRPr="000F1E8C" w:rsidRDefault="000F1E8C" w:rsidP="00475A82">
      <w:pPr>
        <w:spacing w:line="360" w:lineRule="auto"/>
        <w:jc w:val="both"/>
        <w:rPr>
          <w:rFonts w:asciiTheme="majorHAnsi" w:hAnsiTheme="majorHAnsi"/>
          <w:sz w:val="28"/>
          <w:szCs w:val="28"/>
        </w:rPr>
      </w:pPr>
      <w:r>
        <w:rPr>
          <w:rFonts w:asciiTheme="majorHAnsi" w:hAnsiTheme="majorHAnsi"/>
          <w:sz w:val="28"/>
          <w:szCs w:val="28"/>
        </w:rPr>
        <w:lastRenderedPageBreak/>
        <w:t xml:space="preserve">Respecto de la cuestión de las tarifas es importante señalar que el propio informe del </w:t>
      </w:r>
      <w:proofErr w:type="spellStart"/>
      <w:r>
        <w:rPr>
          <w:rFonts w:asciiTheme="majorHAnsi" w:hAnsiTheme="majorHAnsi"/>
          <w:sz w:val="28"/>
          <w:szCs w:val="28"/>
        </w:rPr>
        <w:t>Departamente</w:t>
      </w:r>
      <w:proofErr w:type="spellEnd"/>
      <w:r>
        <w:rPr>
          <w:rFonts w:asciiTheme="majorHAnsi" w:hAnsiTheme="majorHAnsi"/>
          <w:sz w:val="28"/>
          <w:szCs w:val="28"/>
        </w:rPr>
        <w:t xml:space="preserve"> de Educación que se acompaña a la solicitud dice lo siguiente: </w:t>
      </w:r>
    </w:p>
    <w:p w:rsidR="000F1E8C" w:rsidRPr="000F1E8C" w:rsidRDefault="000F1E8C" w:rsidP="00475A82">
      <w:pPr>
        <w:spacing w:line="360" w:lineRule="auto"/>
        <w:jc w:val="both"/>
        <w:rPr>
          <w:rFonts w:asciiTheme="majorHAnsi" w:hAnsiTheme="majorHAnsi"/>
          <w:sz w:val="28"/>
          <w:szCs w:val="28"/>
        </w:rPr>
      </w:pPr>
    </w:p>
    <w:p w:rsidR="007B3450" w:rsidRDefault="007B3450" w:rsidP="00475A82">
      <w:pPr>
        <w:spacing w:line="360" w:lineRule="auto"/>
        <w:jc w:val="both"/>
        <w:rPr>
          <w:rFonts w:asciiTheme="majorHAnsi" w:hAnsiTheme="majorHAnsi"/>
          <w:b/>
          <w:sz w:val="28"/>
          <w:szCs w:val="28"/>
        </w:rPr>
      </w:pPr>
    </w:p>
    <w:p w:rsidR="00F16C5E" w:rsidRPr="007B3450" w:rsidRDefault="00BE1D0E" w:rsidP="007B3450">
      <w:pPr>
        <w:spacing w:line="360" w:lineRule="auto"/>
        <w:ind w:left="2127"/>
        <w:jc w:val="both"/>
        <w:rPr>
          <w:rFonts w:asciiTheme="majorHAnsi" w:hAnsiTheme="majorHAnsi"/>
          <w:i/>
          <w:sz w:val="28"/>
          <w:szCs w:val="28"/>
        </w:rPr>
      </w:pPr>
      <w:r w:rsidRPr="007B3450">
        <w:rPr>
          <w:rFonts w:asciiTheme="majorHAnsi" w:hAnsiTheme="majorHAnsi"/>
          <w:i/>
          <w:sz w:val="28"/>
          <w:szCs w:val="28"/>
        </w:rPr>
        <w:t>TARIFAS</w:t>
      </w:r>
    </w:p>
    <w:p w:rsidR="00F16C5E" w:rsidRPr="007B3450" w:rsidRDefault="00F16C5E" w:rsidP="007B3450">
      <w:pPr>
        <w:spacing w:line="360" w:lineRule="auto"/>
        <w:ind w:left="2127"/>
        <w:jc w:val="both"/>
        <w:rPr>
          <w:rFonts w:asciiTheme="majorHAnsi" w:hAnsiTheme="majorHAnsi"/>
          <w:i/>
          <w:sz w:val="28"/>
          <w:szCs w:val="28"/>
        </w:rPr>
      </w:pPr>
      <w:r w:rsidRPr="007B3450">
        <w:rPr>
          <w:rFonts w:asciiTheme="majorHAnsi" w:hAnsiTheme="majorHAnsi"/>
          <w:i/>
          <w:sz w:val="28"/>
          <w:szCs w:val="28"/>
        </w:rPr>
        <w:t xml:space="preserve"> Dicha cantidad, según se indica en la propia</w:t>
      </w:r>
      <w:r w:rsidR="007B3450" w:rsidRPr="007B3450">
        <w:rPr>
          <w:rFonts w:asciiTheme="majorHAnsi" w:hAnsiTheme="majorHAnsi"/>
          <w:i/>
          <w:sz w:val="28"/>
          <w:szCs w:val="28"/>
        </w:rPr>
        <w:t xml:space="preserve"> </w:t>
      </w:r>
      <w:r w:rsidRPr="007B3450">
        <w:rPr>
          <w:rFonts w:asciiTheme="majorHAnsi" w:hAnsiTheme="majorHAnsi"/>
          <w:i/>
          <w:sz w:val="28"/>
          <w:szCs w:val="28"/>
        </w:rPr>
        <w:t>encomienda en el Anexo I, se obtiene al aplicar las tarifas actualmente vigentes y asciende a un total</w:t>
      </w:r>
      <w:r w:rsidR="007B3450" w:rsidRPr="007B3450">
        <w:rPr>
          <w:rFonts w:asciiTheme="majorHAnsi" w:hAnsiTheme="majorHAnsi"/>
          <w:i/>
          <w:sz w:val="28"/>
          <w:szCs w:val="28"/>
        </w:rPr>
        <w:t xml:space="preserve"> </w:t>
      </w:r>
      <w:r w:rsidRPr="007B3450">
        <w:rPr>
          <w:rFonts w:asciiTheme="majorHAnsi" w:hAnsiTheme="majorHAnsi"/>
          <w:i/>
          <w:sz w:val="28"/>
          <w:szCs w:val="28"/>
        </w:rPr>
        <w:t>de trescientos cincuenta y un mil seiscientos noventa y cinco euros con diecinueve céntimos</w:t>
      </w:r>
      <w:r w:rsidR="007B3450" w:rsidRPr="007B3450">
        <w:rPr>
          <w:rFonts w:asciiTheme="majorHAnsi" w:hAnsiTheme="majorHAnsi"/>
          <w:i/>
          <w:sz w:val="28"/>
          <w:szCs w:val="28"/>
        </w:rPr>
        <w:t xml:space="preserve"> </w:t>
      </w:r>
      <w:r w:rsidRPr="007B3450">
        <w:rPr>
          <w:rFonts w:asciiTheme="majorHAnsi" w:hAnsiTheme="majorHAnsi"/>
          <w:i/>
          <w:sz w:val="28"/>
          <w:szCs w:val="28"/>
        </w:rPr>
        <w:t xml:space="preserve">(351.695,19 €), IVA incluido. A este respecto, señalar </w:t>
      </w:r>
      <w:r w:rsidRPr="000F1E8C">
        <w:rPr>
          <w:rFonts w:asciiTheme="majorHAnsi" w:hAnsiTheme="majorHAnsi"/>
          <w:i/>
          <w:sz w:val="28"/>
          <w:szCs w:val="28"/>
          <w:u w:val="single"/>
        </w:rPr>
        <w:t>que las tarifas empleadas para obtener el total</w:t>
      </w:r>
      <w:r w:rsidR="007B3450" w:rsidRPr="000F1E8C">
        <w:rPr>
          <w:rFonts w:asciiTheme="majorHAnsi" w:hAnsiTheme="majorHAnsi"/>
          <w:i/>
          <w:sz w:val="28"/>
          <w:szCs w:val="28"/>
          <w:u w:val="single"/>
        </w:rPr>
        <w:t xml:space="preserve"> </w:t>
      </w:r>
      <w:r w:rsidRPr="000F1E8C">
        <w:rPr>
          <w:rFonts w:asciiTheme="majorHAnsi" w:hAnsiTheme="majorHAnsi"/>
          <w:i/>
          <w:sz w:val="28"/>
          <w:szCs w:val="28"/>
          <w:u w:val="single"/>
        </w:rPr>
        <w:t xml:space="preserve">correspondiente a las licencias de </w:t>
      </w:r>
      <w:proofErr w:type="spellStart"/>
      <w:r w:rsidRPr="000F1E8C">
        <w:rPr>
          <w:rFonts w:asciiTheme="majorHAnsi" w:hAnsiTheme="majorHAnsi"/>
          <w:i/>
          <w:sz w:val="28"/>
          <w:szCs w:val="28"/>
          <w:u w:val="single"/>
        </w:rPr>
        <w:t>AbsysNet</w:t>
      </w:r>
      <w:proofErr w:type="spellEnd"/>
      <w:r w:rsidRPr="000F1E8C">
        <w:rPr>
          <w:rFonts w:asciiTheme="majorHAnsi" w:hAnsiTheme="majorHAnsi"/>
          <w:i/>
          <w:sz w:val="28"/>
          <w:szCs w:val="28"/>
          <w:u w:val="single"/>
        </w:rPr>
        <w:t xml:space="preserve"> no se corresponden con las que actualmente </w:t>
      </w:r>
      <w:proofErr w:type="gramStart"/>
      <w:r w:rsidRPr="000F1E8C">
        <w:rPr>
          <w:rFonts w:asciiTheme="majorHAnsi" w:hAnsiTheme="majorHAnsi"/>
          <w:i/>
          <w:sz w:val="28"/>
          <w:szCs w:val="28"/>
          <w:u w:val="single"/>
        </w:rPr>
        <w:t>están</w:t>
      </w:r>
      <w:proofErr w:type="gramEnd"/>
      <w:r w:rsidRPr="000F1E8C">
        <w:rPr>
          <w:rFonts w:asciiTheme="majorHAnsi" w:hAnsiTheme="majorHAnsi"/>
          <w:i/>
          <w:sz w:val="28"/>
          <w:szCs w:val="28"/>
          <w:u w:val="single"/>
        </w:rPr>
        <w:t xml:space="preserve"> en</w:t>
      </w:r>
      <w:r w:rsidR="007B3450" w:rsidRPr="000F1E8C">
        <w:rPr>
          <w:rFonts w:asciiTheme="majorHAnsi" w:hAnsiTheme="majorHAnsi"/>
          <w:i/>
          <w:sz w:val="28"/>
          <w:szCs w:val="28"/>
          <w:u w:val="single"/>
        </w:rPr>
        <w:t xml:space="preserve"> </w:t>
      </w:r>
      <w:r w:rsidRPr="000F1E8C">
        <w:rPr>
          <w:rFonts w:asciiTheme="majorHAnsi" w:hAnsiTheme="majorHAnsi"/>
          <w:i/>
          <w:sz w:val="28"/>
          <w:szCs w:val="28"/>
          <w:u w:val="single"/>
        </w:rPr>
        <w:t>vigor</w:t>
      </w:r>
      <w:r w:rsidRPr="007B3450">
        <w:rPr>
          <w:rFonts w:asciiTheme="majorHAnsi" w:hAnsiTheme="majorHAnsi"/>
          <w:i/>
          <w:sz w:val="28"/>
          <w:szCs w:val="28"/>
        </w:rPr>
        <w:t>. Asimismo, la cifra total indicada en el apartado Cuarto («Precio») y el importe total calculado</w:t>
      </w:r>
      <w:r w:rsidR="007B3450" w:rsidRPr="007B3450">
        <w:rPr>
          <w:rFonts w:asciiTheme="majorHAnsi" w:hAnsiTheme="majorHAnsi"/>
          <w:i/>
          <w:sz w:val="28"/>
          <w:szCs w:val="28"/>
        </w:rPr>
        <w:t xml:space="preserve"> </w:t>
      </w:r>
      <w:r w:rsidRPr="007B3450">
        <w:rPr>
          <w:rFonts w:asciiTheme="majorHAnsi" w:hAnsiTheme="majorHAnsi"/>
          <w:i/>
          <w:sz w:val="28"/>
          <w:szCs w:val="28"/>
        </w:rPr>
        <w:t xml:space="preserve">en el Anexo I no coinciden. Por tal motivo, se </w:t>
      </w:r>
      <w:r w:rsidRPr="000F1E8C">
        <w:rPr>
          <w:rFonts w:asciiTheme="majorHAnsi" w:hAnsiTheme="majorHAnsi"/>
          <w:i/>
          <w:sz w:val="28"/>
          <w:szCs w:val="28"/>
          <w:u w:val="single"/>
        </w:rPr>
        <w:t>considera imprescindible revisar y subsanar dichas</w:t>
      </w:r>
      <w:r w:rsidR="007B3450" w:rsidRPr="000F1E8C">
        <w:rPr>
          <w:rFonts w:asciiTheme="majorHAnsi" w:hAnsiTheme="majorHAnsi"/>
          <w:i/>
          <w:sz w:val="28"/>
          <w:szCs w:val="28"/>
          <w:u w:val="single"/>
        </w:rPr>
        <w:t xml:space="preserve"> </w:t>
      </w:r>
      <w:r w:rsidRPr="000F1E8C">
        <w:rPr>
          <w:rFonts w:asciiTheme="majorHAnsi" w:hAnsiTheme="majorHAnsi"/>
          <w:i/>
          <w:sz w:val="28"/>
          <w:szCs w:val="28"/>
          <w:u w:val="single"/>
        </w:rPr>
        <w:t>cifras y calcular nuevamente el importe total de la encomienda de gestión</w:t>
      </w:r>
      <w:r w:rsidRPr="007B3450">
        <w:rPr>
          <w:rFonts w:asciiTheme="majorHAnsi" w:hAnsiTheme="majorHAnsi"/>
          <w:i/>
          <w:sz w:val="28"/>
          <w:szCs w:val="28"/>
        </w:rPr>
        <w:t>.</w:t>
      </w:r>
    </w:p>
    <w:p w:rsidR="00F16C5E" w:rsidRDefault="00F16C5E" w:rsidP="00475A82">
      <w:pPr>
        <w:spacing w:line="360" w:lineRule="auto"/>
        <w:jc w:val="both"/>
        <w:rPr>
          <w:rFonts w:asciiTheme="majorHAnsi" w:hAnsiTheme="majorHAnsi"/>
          <w:sz w:val="28"/>
          <w:szCs w:val="28"/>
        </w:rPr>
      </w:pPr>
    </w:p>
    <w:p w:rsidR="00475A82" w:rsidRDefault="00475A82" w:rsidP="00475A82">
      <w:pPr>
        <w:spacing w:line="360" w:lineRule="auto"/>
        <w:jc w:val="both"/>
        <w:rPr>
          <w:rFonts w:asciiTheme="majorHAnsi" w:hAnsiTheme="majorHAnsi"/>
          <w:sz w:val="28"/>
          <w:szCs w:val="28"/>
        </w:rPr>
      </w:pPr>
    </w:p>
    <w:p w:rsidR="00475A82" w:rsidRPr="00475A82" w:rsidRDefault="00482F44" w:rsidP="00475A82">
      <w:pPr>
        <w:spacing w:line="360" w:lineRule="auto"/>
        <w:jc w:val="both"/>
        <w:rPr>
          <w:rFonts w:asciiTheme="majorHAnsi" w:hAnsiTheme="majorHAnsi"/>
          <w:sz w:val="28"/>
          <w:szCs w:val="28"/>
        </w:rPr>
      </w:pPr>
      <w:r>
        <w:rPr>
          <w:rFonts w:asciiTheme="majorHAnsi" w:hAnsiTheme="majorHAnsi"/>
          <w:sz w:val="28"/>
          <w:szCs w:val="28"/>
        </w:rPr>
        <w:t xml:space="preserve">Se define correcta y claramente el </w:t>
      </w:r>
      <w:r w:rsidRPr="00A22A31">
        <w:rPr>
          <w:rFonts w:asciiTheme="majorHAnsi" w:hAnsiTheme="majorHAnsi"/>
          <w:b/>
          <w:i/>
          <w:sz w:val="28"/>
          <w:szCs w:val="28"/>
        </w:rPr>
        <w:t>objeto</w:t>
      </w:r>
      <w:r>
        <w:rPr>
          <w:rFonts w:asciiTheme="majorHAnsi" w:hAnsiTheme="majorHAnsi"/>
          <w:sz w:val="28"/>
          <w:szCs w:val="28"/>
        </w:rPr>
        <w:t xml:space="preserve"> de la encomienda</w:t>
      </w:r>
      <w:r w:rsidR="00A22A31">
        <w:rPr>
          <w:rFonts w:asciiTheme="majorHAnsi" w:hAnsiTheme="majorHAnsi"/>
          <w:sz w:val="28"/>
          <w:szCs w:val="28"/>
        </w:rPr>
        <w:t xml:space="preserve">, </w:t>
      </w:r>
      <w:r w:rsidR="00A22A31" w:rsidRPr="00A22A31">
        <w:rPr>
          <w:rFonts w:asciiTheme="majorHAnsi" w:hAnsiTheme="majorHAnsi"/>
          <w:b/>
          <w:i/>
          <w:sz w:val="28"/>
          <w:szCs w:val="28"/>
        </w:rPr>
        <w:t>alcance</w:t>
      </w:r>
      <w:r w:rsidR="00A22A31">
        <w:rPr>
          <w:rFonts w:asciiTheme="majorHAnsi" w:hAnsiTheme="majorHAnsi"/>
          <w:sz w:val="28"/>
          <w:szCs w:val="28"/>
        </w:rPr>
        <w:t xml:space="preserve">, </w:t>
      </w:r>
      <w:r w:rsidR="00A22A31" w:rsidRPr="00A22A31">
        <w:rPr>
          <w:rFonts w:asciiTheme="majorHAnsi" w:hAnsiTheme="majorHAnsi"/>
          <w:b/>
          <w:i/>
          <w:sz w:val="28"/>
          <w:szCs w:val="28"/>
        </w:rPr>
        <w:t>prestaciones encomendadas</w:t>
      </w:r>
      <w:r w:rsidR="00A22A31">
        <w:rPr>
          <w:rFonts w:asciiTheme="majorHAnsi" w:hAnsiTheme="majorHAnsi"/>
          <w:sz w:val="28"/>
          <w:szCs w:val="28"/>
        </w:rPr>
        <w:t xml:space="preserve">, </w:t>
      </w:r>
      <w:r w:rsidR="00A22A31" w:rsidRPr="00A22A31">
        <w:rPr>
          <w:rFonts w:asciiTheme="majorHAnsi" w:hAnsiTheme="majorHAnsi"/>
          <w:b/>
          <w:i/>
          <w:sz w:val="28"/>
          <w:szCs w:val="28"/>
        </w:rPr>
        <w:t>vigencia</w:t>
      </w:r>
      <w:r w:rsidR="00A22A31">
        <w:rPr>
          <w:rFonts w:asciiTheme="majorHAnsi" w:hAnsiTheme="majorHAnsi"/>
          <w:sz w:val="28"/>
          <w:szCs w:val="28"/>
        </w:rPr>
        <w:t xml:space="preserve"> de la misma y </w:t>
      </w:r>
      <w:r w:rsidR="00A22A31" w:rsidRPr="00A22A31">
        <w:rPr>
          <w:rFonts w:asciiTheme="majorHAnsi" w:hAnsiTheme="majorHAnsi"/>
          <w:b/>
          <w:i/>
          <w:sz w:val="28"/>
          <w:szCs w:val="28"/>
        </w:rPr>
        <w:t>naturaleza</w:t>
      </w:r>
      <w:r w:rsidR="00A22A31">
        <w:rPr>
          <w:rFonts w:asciiTheme="majorHAnsi" w:hAnsiTheme="majorHAnsi"/>
          <w:sz w:val="28"/>
          <w:szCs w:val="28"/>
        </w:rPr>
        <w:t xml:space="preserve"> </w:t>
      </w:r>
      <w:r>
        <w:rPr>
          <w:rFonts w:asciiTheme="majorHAnsi" w:hAnsiTheme="majorHAnsi"/>
          <w:sz w:val="28"/>
          <w:szCs w:val="28"/>
        </w:rPr>
        <w:t xml:space="preserve"> aunque echamos en falta una frecuente recomendación en esta materia realizada por </w:t>
      </w:r>
      <w:r w:rsidR="000F1E8C">
        <w:rPr>
          <w:rFonts w:asciiTheme="majorHAnsi" w:hAnsiTheme="majorHAnsi"/>
          <w:sz w:val="28"/>
          <w:szCs w:val="28"/>
        </w:rPr>
        <w:t>los órganos de fiscalizaci</w:t>
      </w:r>
      <w:r w:rsidR="00A22A31">
        <w:rPr>
          <w:rFonts w:asciiTheme="majorHAnsi" w:hAnsiTheme="majorHAnsi"/>
          <w:sz w:val="28"/>
          <w:szCs w:val="28"/>
        </w:rPr>
        <w:t>ón, a saber:</w:t>
      </w:r>
      <w:r w:rsidR="000F1E8C">
        <w:rPr>
          <w:rFonts w:asciiTheme="majorHAnsi" w:hAnsiTheme="majorHAnsi"/>
          <w:sz w:val="28"/>
          <w:szCs w:val="28"/>
        </w:rPr>
        <w:t xml:space="preserve"> que en las encomiendas de gestión se establezcan para las </w:t>
      </w:r>
      <w:proofErr w:type="spellStart"/>
      <w:r w:rsidR="000F1E8C">
        <w:rPr>
          <w:rFonts w:asciiTheme="majorHAnsi" w:hAnsiTheme="majorHAnsi"/>
          <w:sz w:val="28"/>
          <w:szCs w:val="28"/>
        </w:rPr>
        <w:t>encomendatarias</w:t>
      </w:r>
      <w:proofErr w:type="spellEnd"/>
      <w:r w:rsidR="00475A82" w:rsidRPr="00475A82">
        <w:rPr>
          <w:rFonts w:asciiTheme="majorHAnsi" w:hAnsiTheme="majorHAnsi"/>
          <w:sz w:val="28"/>
          <w:szCs w:val="28"/>
        </w:rPr>
        <w:t xml:space="preserve"> </w:t>
      </w:r>
      <w:r w:rsidR="00475A82" w:rsidRPr="000F1E8C">
        <w:rPr>
          <w:rFonts w:asciiTheme="majorHAnsi" w:hAnsiTheme="majorHAnsi"/>
          <w:i/>
          <w:sz w:val="28"/>
          <w:szCs w:val="28"/>
        </w:rPr>
        <w:t xml:space="preserve">“limitaciones a la actividad que estos puedan contratar con terceros en </w:t>
      </w:r>
      <w:r w:rsidR="00475A82" w:rsidRPr="000F1E8C">
        <w:rPr>
          <w:rFonts w:asciiTheme="majorHAnsi" w:hAnsiTheme="majorHAnsi"/>
          <w:i/>
          <w:sz w:val="28"/>
          <w:szCs w:val="28"/>
        </w:rPr>
        <w:lastRenderedPageBreak/>
        <w:t xml:space="preserve">relación con los encargos conferidos, </w:t>
      </w:r>
      <w:r w:rsidR="00475A82" w:rsidRPr="000F1E8C">
        <w:rPr>
          <w:rFonts w:asciiTheme="majorHAnsi" w:hAnsiTheme="majorHAnsi"/>
          <w:i/>
          <w:sz w:val="28"/>
          <w:szCs w:val="28"/>
          <w:u w:val="single"/>
        </w:rPr>
        <w:t>a fin de evitar que la encomienda de gestión se convierta en un medio exclusivamente dirigido a orillar el régimen de contratación pública correspondiente al poder adjudicador encomendante, con el consiguiente encarecimiento de las prestaciones encargadas originado por el sobrecoste que implica la intermediación del medio propio”</w:t>
      </w:r>
      <w:r w:rsidR="00475A82" w:rsidRPr="00F16C5E">
        <w:rPr>
          <w:rFonts w:asciiTheme="majorHAnsi" w:hAnsiTheme="majorHAnsi"/>
          <w:sz w:val="28"/>
          <w:szCs w:val="28"/>
          <w:u w:val="single"/>
        </w:rPr>
        <w:t>.</w:t>
      </w:r>
      <w:r w:rsidR="00475A82" w:rsidRPr="00475A82">
        <w:rPr>
          <w:rFonts w:asciiTheme="majorHAnsi" w:hAnsiTheme="majorHAnsi"/>
          <w:sz w:val="28"/>
          <w:szCs w:val="28"/>
        </w:rPr>
        <w:t xml:space="preserve"> </w:t>
      </w:r>
      <w:r w:rsidR="007C27EA">
        <w:rPr>
          <w:rStyle w:val="Refdenotaalpie"/>
          <w:rFonts w:asciiTheme="majorHAnsi" w:hAnsiTheme="majorHAnsi"/>
          <w:sz w:val="28"/>
          <w:szCs w:val="28"/>
        </w:rPr>
        <w:footnoteReference w:id="1"/>
      </w:r>
    </w:p>
    <w:p w:rsidR="00475A82" w:rsidRPr="00475A82" w:rsidRDefault="00475A82" w:rsidP="00475A82">
      <w:pPr>
        <w:spacing w:line="360" w:lineRule="auto"/>
        <w:jc w:val="both"/>
        <w:rPr>
          <w:rFonts w:asciiTheme="majorHAnsi" w:hAnsiTheme="majorHAnsi"/>
          <w:sz w:val="28"/>
          <w:szCs w:val="28"/>
        </w:rPr>
      </w:pPr>
      <w:r w:rsidRPr="00475A82">
        <w:rPr>
          <w:rFonts w:asciiTheme="majorHAnsi" w:hAnsiTheme="majorHAnsi"/>
          <w:sz w:val="28"/>
          <w:szCs w:val="28"/>
        </w:rPr>
        <w:t xml:space="preserve"> </w:t>
      </w:r>
    </w:p>
    <w:p w:rsidR="00475A82" w:rsidRPr="00F16C5E" w:rsidRDefault="000F1E8C" w:rsidP="00475A82">
      <w:pPr>
        <w:spacing w:line="360" w:lineRule="auto"/>
        <w:jc w:val="both"/>
        <w:rPr>
          <w:rFonts w:asciiTheme="majorHAnsi" w:hAnsiTheme="majorHAnsi"/>
          <w:sz w:val="28"/>
          <w:szCs w:val="28"/>
          <w:u w:val="single"/>
        </w:rPr>
      </w:pPr>
      <w:r>
        <w:rPr>
          <w:rFonts w:asciiTheme="majorHAnsi" w:hAnsiTheme="majorHAnsi"/>
          <w:sz w:val="28"/>
          <w:szCs w:val="28"/>
        </w:rPr>
        <w:t>De este modo se pretende evitar una prác</w:t>
      </w:r>
      <w:r w:rsidR="00A22A31">
        <w:rPr>
          <w:rFonts w:asciiTheme="majorHAnsi" w:hAnsiTheme="majorHAnsi"/>
          <w:sz w:val="28"/>
          <w:szCs w:val="28"/>
        </w:rPr>
        <w:t>t</w:t>
      </w:r>
      <w:r>
        <w:rPr>
          <w:rFonts w:asciiTheme="majorHAnsi" w:hAnsiTheme="majorHAnsi"/>
          <w:sz w:val="28"/>
          <w:szCs w:val="28"/>
        </w:rPr>
        <w:t xml:space="preserve">ica viciosa consistente en </w:t>
      </w:r>
      <w:r w:rsidR="00475A82" w:rsidRPr="00F16C5E">
        <w:rPr>
          <w:rFonts w:asciiTheme="majorHAnsi" w:hAnsiTheme="majorHAnsi"/>
          <w:sz w:val="28"/>
          <w:szCs w:val="28"/>
          <w:u w:val="single"/>
        </w:rPr>
        <w:t xml:space="preserve">que en ocasiones las entidades </w:t>
      </w:r>
      <w:proofErr w:type="spellStart"/>
      <w:r w:rsidR="00475A82" w:rsidRPr="00F16C5E">
        <w:rPr>
          <w:rFonts w:asciiTheme="majorHAnsi" w:hAnsiTheme="majorHAnsi"/>
          <w:sz w:val="28"/>
          <w:szCs w:val="28"/>
          <w:u w:val="single"/>
        </w:rPr>
        <w:t>encomendatarias</w:t>
      </w:r>
      <w:proofErr w:type="spellEnd"/>
      <w:r w:rsidR="00475A82" w:rsidRPr="00F16C5E">
        <w:rPr>
          <w:rFonts w:asciiTheme="majorHAnsi" w:hAnsiTheme="majorHAnsi"/>
          <w:sz w:val="28"/>
          <w:szCs w:val="28"/>
          <w:u w:val="single"/>
        </w:rPr>
        <w:t xml:space="preserve"> contraten con terceros la práctica totalidad o la mayor parte de la ejecución de la encomienda, lo que supone que estas entidades actúan como si</w:t>
      </w:r>
      <w:r>
        <w:rPr>
          <w:rFonts w:asciiTheme="majorHAnsi" w:hAnsiTheme="majorHAnsi"/>
          <w:sz w:val="28"/>
          <w:szCs w:val="28"/>
          <w:u w:val="single"/>
        </w:rPr>
        <w:t>mples intermediadoras, burlando</w:t>
      </w:r>
      <w:r w:rsidR="00475A82" w:rsidRPr="00F16C5E">
        <w:rPr>
          <w:rFonts w:asciiTheme="majorHAnsi" w:hAnsiTheme="majorHAnsi"/>
          <w:sz w:val="28"/>
          <w:szCs w:val="28"/>
          <w:u w:val="single"/>
        </w:rPr>
        <w:t xml:space="preserve"> el régimen de contratación legalmente previsto para la entidad que demanda la prestación así como encareciendo el precio de la misma como consecuencia precisamente de esa intermediación.</w:t>
      </w:r>
    </w:p>
    <w:p w:rsidR="00475A82" w:rsidRPr="00475A82" w:rsidRDefault="00475A82" w:rsidP="00475A82">
      <w:pPr>
        <w:spacing w:line="360" w:lineRule="auto"/>
        <w:jc w:val="both"/>
        <w:rPr>
          <w:rFonts w:asciiTheme="majorHAnsi" w:hAnsiTheme="majorHAnsi"/>
          <w:sz w:val="28"/>
          <w:szCs w:val="28"/>
        </w:rPr>
      </w:pPr>
    </w:p>
    <w:p w:rsidR="00475A82" w:rsidRPr="00475A82" w:rsidRDefault="00475A82" w:rsidP="00475A82">
      <w:pPr>
        <w:spacing w:line="360" w:lineRule="auto"/>
        <w:jc w:val="both"/>
        <w:rPr>
          <w:rFonts w:asciiTheme="majorHAnsi" w:hAnsiTheme="majorHAnsi"/>
          <w:sz w:val="28"/>
          <w:szCs w:val="28"/>
        </w:rPr>
      </w:pPr>
    </w:p>
    <w:p w:rsidR="00475A82" w:rsidRDefault="000F1E8C" w:rsidP="00475A82">
      <w:pPr>
        <w:spacing w:line="360" w:lineRule="auto"/>
        <w:jc w:val="both"/>
        <w:rPr>
          <w:rFonts w:asciiTheme="majorHAnsi" w:hAnsiTheme="majorHAnsi"/>
          <w:b/>
          <w:sz w:val="28"/>
          <w:szCs w:val="28"/>
        </w:rPr>
      </w:pPr>
      <w:r w:rsidRPr="000F1E8C">
        <w:rPr>
          <w:rFonts w:asciiTheme="majorHAnsi" w:hAnsiTheme="majorHAnsi"/>
          <w:b/>
          <w:sz w:val="28"/>
          <w:szCs w:val="28"/>
        </w:rPr>
        <w:t xml:space="preserve">3.- Conclusiones. </w:t>
      </w:r>
    </w:p>
    <w:p w:rsidR="000F1E8C" w:rsidRDefault="000F1E8C" w:rsidP="00475A82">
      <w:pPr>
        <w:spacing w:line="360" w:lineRule="auto"/>
        <w:jc w:val="both"/>
        <w:rPr>
          <w:rFonts w:asciiTheme="majorHAnsi" w:hAnsiTheme="majorHAnsi"/>
          <w:b/>
          <w:sz w:val="28"/>
          <w:szCs w:val="28"/>
        </w:rPr>
      </w:pPr>
    </w:p>
    <w:p w:rsidR="00A22A31" w:rsidRDefault="00A22A31" w:rsidP="00475A82">
      <w:pPr>
        <w:spacing w:line="360" w:lineRule="auto"/>
        <w:jc w:val="both"/>
        <w:rPr>
          <w:rFonts w:asciiTheme="majorHAnsi" w:hAnsiTheme="majorHAnsi"/>
          <w:sz w:val="28"/>
          <w:szCs w:val="28"/>
        </w:rPr>
      </w:pPr>
      <w:r w:rsidRPr="00A22A31">
        <w:rPr>
          <w:rFonts w:asciiTheme="majorHAnsi" w:hAnsiTheme="majorHAnsi"/>
          <w:sz w:val="28"/>
          <w:szCs w:val="28"/>
        </w:rPr>
        <w:t xml:space="preserve">Tenemos que hace notar que el propio informe del Departamento </w:t>
      </w:r>
      <w:r>
        <w:rPr>
          <w:rFonts w:asciiTheme="majorHAnsi" w:hAnsiTheme="majorHAnsi"/>
          <w:sz w:val="28"/>
          <w:szCs w:val="28"/>
        </w:rPr>
        <w:t xml:space="preserve">informa negativamente la presente Resolución de Encomienda, atendiendo a sus observaciones relativas a la falta de actualización de las tarifas recogidas en la Resolución razón por la que por nuestra parte tenemos también que </w:t>
      </w:r>
      <w:r w:rsidRPr="00A22A31">
        <w:rPr>
          <w:rFonts w:asciiTheme="majorHAnsi" w:hAnsiTheme="majorHAnsi"/>
          <w:b/>
          <w:sz w:val="28"/>
          <w:szCs w:val="28"/>
        </w:rPr>
        <w:t>informar negativamente</w:t>
      </w:r>
      <w:r>
        <w:rPr>
          <w:rFonts w:asciiTheme="majorHAnsi" w:hAnsiTheme="majorHAnsi"/>
          <w:sz w:val="28"/>
          <w:szCs w:val="28"/>
        </w:rPr>
        <w:t xml:space="preserve"> mientras no se corrija esa falta de congruencia en la fijación de un elemento tan relevante de la encomienda como es el precio. </w:t>
      </w:r>
    </w:p>
    <w:p w:rsidR="00A22A31" w:rsidRDefault="00A22A31" w:rsidP="00475A82">
      <w:pPr>
        <w:spacing w:line="360" w:lineRule="auto"/>
        <w:jc w:val="both"/>
        <w:rPr>
          <w:rFonts w:asciiTheme="majorHAnsi" w:hAnsiTheme="majorHAnsi"/>
          <w:sz w:val="28"/>
          <w:szCs w:val="28"/>
        </w:rPr>
      </w:pPr>
    </w:p>
    <w:p w:rsidR="00A22A31" w:rsidRPr="00A22A31" w:rsidRDefault="00A22A31" w:rsidP="00475A82">
      <w:pPr>
        <w:spacing w:line="360" w:lineRule="auto"/>
        <w:jc w:val="both"/>
        <w:rPr>
          <w:rFonts w:asciiTheme="majorHAnsi" w:hAnsiTheme="majorHAnsi"/>
          <w:sz w:val="28"/>
          <w:szCs w:val="28"/>
        </w:rPr>
      </w:pPr>
      <w:r>
        <w:rPr>
          <w:rFonts w:asciiTheme="majorHAnsi" w:hAnsiTheme="majorHAnsi"/>
          <w:sz w:val="28"/>
          <w:szCs w:val="28"/>
        </w:rPr>
        <w:t xml:space="preserve">Observamos también la conveniencia de establecer alguna limitación a la posibilidad por parte de EJIE de subcontratar los servicios encomendados. </w:t>
      </w:r>
    </w:p>
    <w:p w:rsidR="000F1E8C" w:rsidRDefault="000F1E8C" w:rsidP="00475A82">
      <w:pPr>
        <w:spacing w:line="360" w:lineRule="auto"/>
        <w:jc w:val="both"/>
        <w:rPr>
          <w:rFonts w:asciiTheme="majorHAnsi" w:hAnsiTheme="majorHAnsi"/>
          <w:sz w:val="28"/>
          <w:szCs w:val="28"/>
        </w:rPr>
      </w:pPr>
    </w:p>
    <w:p w:rsidR="00A22A31" w:rsidRDefault="00A22A31" w:rsidP="00475A82">
      <w:pPr>
        <w:spacing w:line="360" w:lineRule="auto"/>
        <w:jc w:val="both"/>
        <w:rPr>
          <w:rFonts w:asciiTheme="majorHAnsi" w:hAnsiTheme="majorHAnsi"/>
          <w:sz w:val="28"/>
          <w:szCs w:val="28"/>
        </w:rPr>
      </w:pPr>
    </w:p>
    <w:p w:rsidR="00A22A31" w:rsidRDefault="00A22A31" w:rsidP="00475A82">
      <w:pPr>
        <w:spacing w:line="360" w:lineRule="auto"/>
        <w:jc w:val="both"/>
        <w:rPr>
          <w:rFonts w:asciiTheme="majorHAnsi" w:hAnsiTheme="majorHAnsi"/>
          <w:sz w:val="28"/>
          <w:szCs w:val="28"/>
        </w:rPr>
      </w:pPr>
      <w:r>
        <w:rPr>
          <w:rFonts w:asciiTheme="majorHAnsi" w:hAnsiTheme="majorHAnsi"/>
          <w:sz w:val="28"/>
          <w:szCs w:val="28"/>
        </w:rPr>
        <w:t xml:space="preserve">En Vitoria-Gasteiz, a 6 de junio de 2014. </w:t>
      </w:r>
    </w:p>
    <w:p w:rsidR="00A22A31" w:rsidRDefault="00A22A31" w:rsidP="00475A82">
      <w:pPr>
        <w:spacing w:line="360" w:lineRule="auto"/>
        <w:jc w:val="both"/>
        <w:rPr>
          <w:rFonts w:asciiTheme="majorHAnsi" w:hAnsiTheme="majorHAnsi"/>
          <w:sz w:val="28"/>
          <w:szCs w:val="28"/>
        </w:rPr>
      </w:pPr>
    </w:p>
    <w:p w:rsidR="00A22A31" w:rsidRDefault="00A22A31" w:rsidP="00475A82">
      <w:pPr>
        <w:spacing w:line="360" w:lineRule="auto"/>
        <w:jc w:val="both"/>
        <w:rPr>
          <w:rFonts w:asciiTheme="majorHAnsi" w:hAnsiTheme="majorHAnsi"/>
          <w:sz w:val="28"/>
          <w:szCs w:val="28"/>
        </w:rPr>
      </w:pPr>
      <w:r>
        <w:rPr>
          <w:rFonts w:asciiTheme="majorHAnsi" w:hAnsiTheme="majorHAnsi"/>
          <w:sz w:val="28"/>
          <w:szCs w:val="28"/>
        </w:rPr>
        <w:t xml:space="preserve">Letrado.- Javier Otaola </w:t>
      </w:r>
    </w:p>
    <w:p w:rsidR="000F1E8C" w:rsidRPr="00475A82" w:rsidRDefault="000F1E8C" w:rsidP="00475A82">
      <w:pPr>
        <w:spacing w:line="360" w:lineRule="auto"/>
        <w:jc w:val="both"/>
        <w:rPr>
          <w:rFonts w:asciiTheme="majorHAnsi" w:hAnsiTheme="majorHAnsi"/>
          <w:sz w:val="28"/>
          <w:szCs w:val="28"/>
        </w:rPr>
      </w:pPr>
    </w:p>
    <w:p w:rsidR="00475A82" w:rsidRPr="00475A82" w:rsidRDefault="00475A82" w:rsidP="00475A82">
      <w:pPr>
        <w:spacing w:line="360" w:lineRule="auto"/>
        <w:jc w:val="both"/>
        <w:rPr>
          <w:rFonts w:asciiTheme="majorHAnsi" w:hAnsiTheme="majorHAnsi"/>
          <w:sz w:val="28"/>
          <w:szCs w:val="28"/>
        </w:rPr>
      </w:pPr>
    </w:p>
    <w:p w:rsidR="00475A82" w:rsidRPr="00475A82" w:rsidRDefault="00475A82" w:rsidP="00475A82">
      <w:pPr>
        <w:spacing w:line="360" w:lineRule="auto"/>
        <w:jc w:val="both"/>
        <w:rPr>
          <w:rFonts w:asciiTheme="majorHAnsi" w:hAnsiTheme="majorHAnsi"/>
          <w:sz w:val="28"/>
          <w:szCs w:val="28"/>
        </w:rPr>
      </w:pPr>
    </w:p>
    <w:p w:rsidR="00475A82" w:rsidRPr="00475A82" w:rsidRDefault="00475A82" w:rsidP="00475A82">
      <w:pPr>
        <w:spacing w:line="360" w:lineRule="auto"/>
        <w:jc w:val="both"/>
        <w:rPr>
          <w:rFonts w:asciiTheme="majorHAnsi" w:hAnsiTheme="majorHAnsi"/>
          <w:sz w:val="28"/>
          <w:szCs w:val="28"/>
        </w:rPr>
      </w:pPr>
    </w:p>
    <w:p w:rsidR="00475A82" w:rsidRPr="00475A82" w:rsidRDefault="00475A82" w:rsidP="00475A82">
      <w:pPr>
        <w:spacing w:line="360" w:lineRule="auto"/>
        <w:jc w:val="both"/>
        <w:rPr>
          <w:rFonts w:asciiTheme="majorHAnsi" w:hAnsiTheme="majorHAnsi"/>
          <w:sz w:val="28"/>
          <w:szCs w:val="28"/>
        </w:rPr>
      </w:pPr>
    </w:p>
    <w:sectPr w:rsidR="00475A82" w:rsidRPr="00475A82" w:rsidSect="00A61ECC">
      <w:headerReference w:type="default" r:id="rId9"/>
      <w:footerReference w:type="default" r:id="rId10"/>
      <w:headerReference w:type="first" r:id="rId11"/>
      <w:footerReference w:type="first" r:id="rId12"/>
      <w:pgSz w:w="11907" w:h="16840" w:code="9"/>
      <w:pgMar w:top="1418" w:right="1701" w:bottom="1418" w:left="1701" w:header="72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490" w:rsidRDefault="00B84490">
      <w:r>
        <w:separator/>
      </w:r>
    </w:p>
  </w:endnote>
  <w:endnote w:type="continuationSeparator" w:id="0">
    <w:p w:rsidR="00B84490" w:rsidRDefault="00B8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348600"/>
      <w:docPartObj>
        <w:docPartGallery w:val="Page Numbers (Bottom of Page)"/>
        <w:docPartUnique/>
      </w:docPartObj>
    </w:sdtPr>
    <w:sdtEndPr/>
    <w:sdtContent>
      <w:p w:rsidR="00F758B0" w:rsidRDefault="00F758B0">
        <w:pPr>
          <w:pStyle w:val="Piedepgina"/>
          <w:jc w:val="right"/>
        </w:pPr>
        <w:r>
          <w:fldChar w:fldCharType="begin"/>
        </w:r>
        <w:r>
          <w:instrText>PAGE   \* MERGEFORMAT</w:instrText>
        </w:r>
        <w:r>
          <w:fldChar w:fldCharType="separate"/>
        </w:r>
        <w:r w:rsidR="00C65276" w:rsidRPr="00C65276">
          <w:rPr>
            <w:noProof/>
            <w:lang w:val="es-ES"/>
          </w:rPr>
          <w:t>5</w:t>
        </w:r>
        <w:r>
          <w:fldChar w:fldCharType="end"/>
        </w:r>
      </w:p>
    </w:sdtContent>
  </w:sdt>
  <w:p w:rsidR="00F758B0" w:rsidRDefault="00F758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47" w:rsidRDefault="00A61ECC" w:rsidP="00FE309D">
    <w:pPr>
      <w:pStyle w:val="Piedepgina"/>
      <w:tabs>
        <w:tab w:val="clear" w:pos="9071"/>
      </w:tabs>
      <w:jc w:val="center"/>
      <w:rPr>
        <w:rFonts w:ascii="Arial" w:hAnsi="Arial"/>
        <w:sz w:val="13"/>
      </w:rPr>
    </w:pPr>
    <w:r>
      <w:rPr>
        <w:rFonts w:ascii="Arial" w:hAnsi="Arial"/>
        <w:sz w:val="13"/>
      </w:rPr>
      <w:t>Donostia-San Sebastián, 1</w:t>
    </w:r>
    <w:r w:rsidR="00641847">
      <w:rPr>
        <w:rFonts w:ascii="Arial" w:hAnsi="Arial"/>
        <w:sz w:val="13"/>
      </w:rPr>
      <w:t xml:space="preserve">,  –  </w:t>
    </w:r>
    <w:r>
      <w:rPr>
        <w:rFonts w:ascii="Arial" w:hAnsi="Arial"/>
        <w:sz w:val="13"/>
      </w:rPr>
      <w:t>01010</w:t>
    </w:r>
    <w:r w:rsidR="00641847">
      <w:rPr>
        <w:rFonts w:ascii="Arial" w:hAnsi="Arial"/>
        <w:sz w:val="13"/>
      </w:rPr>
      <w:t xml:space="preserve"> VITORIA-GASTEIZ</w:t>
    </w:r>
  </w:p>
  <w:p w:rsidR="00641847" w:rsidRDefault="00641847" w:rsidP="00FE309D">
    <w:pPr>
      <w:pStyle w:val="Piedepgina"/>
      <w:tabs>
        <w:tab w:val="clear" w:pos="9071"/>
      </w:tabs>
      <w:spacing w:line="360" w:lineRule="auto"/>
      <w:jc w:val="center"/>
      <w:rPr>
        <w:rFonts w:ascii="Arial" w:hAnsi="Arial"/>
        <w:sz w:val="13"/>
      </w:rPr>
    </w:pPr>
    <w:proofErr w:type="spellStart"/>
    <w:r>
      <w:rPr>
        <w:rFonts w:ascii="Arial" w:hAnsi="Arial"/>
        <w:sz w:val="13"/>
      </w:rPr>
      <w:t>Tef</w:t>
    </w:r>
    <w:proofErr w:type="spellEnd"/>
    <w:r>
      <w:rPr>
        <w:rFonts w:ascii="Arial" w:hAnsi="Arial"/>
        <w:sz w:val="13"/>
      </w:rPr>
      <w:t xml:space="preserve">. </w:t>
    </w:r>
    <w:r w:rsidR="00A61ECC">
      <w:rPr>
        <w:rFonts w:ascii="Arial" w:hAnsi="Arial"/>
        <w:sz w:val="13"/>
      </w:rPr>
      <w:t xml:space="preserve">945 01 </w:t>
    </w:r>
    <w:r w:rsidR="00B2670A">
      <w:rPr>
        <w:rFonts w:ascii="Arial" w:hAnsi="Arial"/>
        <w:sz w:val="13"/>
      </w:rPr>
      <w:t xml:space="preserve">86 </w:t>
    </w:r>
    <w:r w:rsidR="00FE309D">
      <w:rPr>
        <w:rFonts w:ascii="Arial" w:hAnsi="Arial"/>
        <w:sz w:val="13"/>
      </w:rPr>
      <w:t>46</w:t>
    </w:r>
    <w:r>
      <w:rPr>
        <w:rFonts w:ascii="Arial" w:hAnsi="Arial"/>
        <w:sz w:val="13"/>
      </w:rPr>
      <w:t xml:space="preserve"> – Fax </w:t>
    </w:r>
    <w:r w:rsidR="00A61ECC">
      <w:rPr>
        <w:rFonts w:ascii="Arial" w:hAnsi="Arial"/>
        <w:sz w:val="13"/>
      </w:rPr>
      <w:t>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490" w:rsidRDefault="00B84490">
      <w:r>
        <w:separator/>
      </w:r>
    </w:p>
  </w:footnote>
  <w:footnote w:type="continuationSeparator" w:id="0">
    <w:p w:rsidR="00B84490" w:rsidRDefault="00B84490">
      <w:r>
        <w:continuationSeparator/>
      </w:r>
    </w:p>
  </w:footnote>
  <w:footnote w:id="1">
    <w:p w:rsidR="007C27EA" w:rsidRPr="007C27EA" w:rsidRDefault="007C27EA">
      <w:pPr>
        <w:pStyle w:val="Textonotapie"/>
        <w:rPr>
          <w:lang w:val="es-ES"/>
        </w:rPr>
      </w:pPr>
      <w:r>
        <w:rPr>
          <w:rStyle w:val="Refdenotaalpie"/>
        </w:rPr>
        <w:footnoteRef/>
      </w:r>
      <w:r>
        <w:t xml:space="preserve"> </w:t>
      </w:r>
      <w:r w:rsidRPr="007C27EA">
        <w:t xml:space="preserve"> “Fiscalización de la encomienda de gestión regulada en la legislación de contratación pública de los Ministerios, Agencias y Organismos Autónomos del Área Político – Administrativa del Estado, ejercicios 2008 – 2012</w:t>
      </w:r>
      <w:proofErr w:type="gramStart"/>
      <w:r w:rsidRPr="007C27EA">
        <w:t>” .</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47" w:rsidRDefault="00641847">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4169946" r:id="rId2"/>
      </w:object>
    </w:r>
  </w:p>
  <w:p w:rsidR="00641847" w:rsidRDefault="006418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47" w:rsidRDefault="00944634">
    <w:pPr>
      <w:pStyle w:val="Encabezado"/>
      <w:tabs>
        <w:tab w:val="right" w:pos="9923"/>
      </w:tabs>
      <w:ind w:right="-142"/>
      <w:jc w:val="center"/>
      <w:rPr>
        <w:rFonts w:ascii="Arial" w:hAnsi="Arial"/>
        <w:sz w:val="16"/>
      </w:rPr>
    </w:pPr>
    <w:r>
      <w:rPr>
        <w:noProof/>
        <w:lang w:val="eu-ES" w:eastAsia="eu-ES"/>
      </w:rPr>
      <mc:AlternateContent>
        <mc:Choice Requires="wps">
          <w:drawing>
            <wp:anchor distT="0" distB="0" distL="114300" distR="114300" simplePos="0" relativeHeight="251658240" behindDoc="0" locked="0" layoutInCell="0" allowOverlap="1" wp14:anchorId="77C34E8D" wp14:editId="1AA976D4">
              <wp:simplePos x="0" y="0"/>
              <wp:positionH relativeFrom="page">
                <wp:posOffset>4086225</wp:posOffset>
              </wp:positionH>
              <wp:positionV relativeFrom="page">
                <wp:posOffset>853440</wp:posOffset>
              </wp:positionV>
              <wp:extent cx="2251710" cy="654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47" w:rsidRPr="00AD763A" w:rsidRDefault="00656A52">
                          <w:pPr>
                            <w:pStyle w:val="Ttulo2"/>
                            <w:spacing w:after="35"/>
                            <w:rPr>
                              <w:sz w:val="12"/>
                              <w:szCs w:val="12"/>
                            </w:rPr>
                          </w:pPr>
                          <w:r w:rsidRPr="00AD763A">
                            <w:rPr>
                              <w:sz w:val="12"/>
                              <w:szCs w:val="12"/>
                            </w:rPr>
                            <w:t xml:space="preserve">DEPARTAMENTO DE ADMINISTRACIÓN </w:t>
                          </w:r>
                          <w:r w:rsidR="00AD763A" w:rsidRPr="00AD763A">
                            <w:rPr>
                              <w:sz w:val="12"/>
                              <w:szCs w:val="12"/>
                            </w:rPr>
                            <w:br/>
                          </w:r>
                          <w:r w:rsidRPr="00AD763A">
                            <w:rPr>
                              <w:sz w:val="12"/>
                              <w:szCs w:val="12"/>
                            </w:rPr>
                            <w:t>PÚBLICA</w:t>
                          </w:r>
                          <w:r w:rsidR="00AD763A" w:rsidRPr="00AD763A">
                            <w:rPr>
                              <w:sz w:val="12"/>
                              <w:szCs w:val="12"/>
                            </w:rPr>
                            <w:t xml:space="preserve"> Y JUSTICIA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77.3pt;height: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Bg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" o:allowincell="f" filled="f" stroked="f">
              <v:textbox>
                <w:txbxContent>
                  <w:p w:rsidR="00641847" w:rsidRPr="00AD763A" w:rsidRDefault="00656A52">
                    <w:pPr>
                      <w:pStyle w:val="Ttulo2"/>
                      <w:spacing w:after="35"/>
                      <w:rPr>
                        <w:sz w:val="12"/>
                        <w:szCs w:val="12"/>
                      </w:rPr>
                    </w:pPr>
                    <w:r w:rsidRPr="00AD763A">
                      <w:rPr>
                        <w:sz w:val="12"/>
                        <w:szCs w:val="12"/>
                      </w:rPr>
                      <w:t xml:space="preserve">DEPARTAMENTO DE ADMINISTRACIÓN </w:t>
                    </w:r>
                    <w:r w:rsidR="00AD763A" w:rsidRPr="00AD763A">
                      <w:rPr>
                        <w:sz w:val="12"/>
                        <w:szCs w:val="12"/>
                      </w:rPr>
                      <w:br/>
                    </w:r>
                    <w:r w:rsidRPr="00AD763A">
                      <w:rPr>
                        <w:sz w:val="12"/>
                        <w:szCs w:val="12"/>
                      </w:rPr>
                      <w:t>PÚBLICA</w:t>
                    </w:r>
                    <w:r w:rsidR="00AD763A" w:rsidRPr="00AD763A">
                      <w:rPr>
                        <w:sz w:val="12"/>
                        <w:szCs w:val="12"/>
                      </w:rPr>
                      <w:t xml:space="preserve"> Y JUSTICIA</w:t>
                    </w:r>
                  </w:p>
                </w:txbxContent>
              </v:textbox>
              <w10:wrap type="square" anchorx="page" anchory="page"/>
            </v:shape>
          </w:pict>
        </mc:Fallback>
      </mc:AlternateContent>
    </w:r>
    <w:r>
      <w:rPr>
        <w:noProof/>
        <w:sz w:val="16"/>
        <w:lang w:val="eu-ES" w:eastAsia="eu-ES"/>
      </w:rPr>
      <mc:AlternateContent>
        <mc:Choice Requires="wps">
          <w:drawing>
            <wp:anchor distT="0" distB="0" distL="114300" distR="114300" simplePos="0" relativeHeight="251657216" behindDoc="0" locked="0" layoutInCell="0" allowOverlap="1" wp14:anchorId="72406360" wp14:editId="2B315B34">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47" w:rsidRPr="00AD763A" w:rsidRDefault="00656A52">
                          <w:pPr>
                            <w:pStyle w:val="Ttulo2"/>
                            <w:spacing w:after="35"/>
                            <w:rPr>
                              <w:sz w:val="12"/>
                              <w:szCs w:val="12"/>
                            </w:rPr>
                          </w:pPr>
                          <w:r w:rsidRPr="00AD763A">
                            <w:rPr>
                              <w:sz w:val="12"/>
                              <w:szCs w:val="12"/>
                            </w:rPr>
                            <w:t>HERRI</w:t>
                          </w:r>
                          <w:r w:rsidR="005C0E54" w:rsidRPr="00AD763A">
                            <w:rPr>
                              <w:sz w:val="12"/>
                              <w:szCs w:val="12"/>
                            </w:rPr>
                            <w:t xml:space="preserve"> </w:t>
                          </w:r>
                          <w:r w:rsidRPr="00AD763A">
                            <w:rPr>
                              <w:sz w:val="12"/>
                              <w:szCs w:val="12"/>
                            </w:rPr>
                            <w:t xml:space="preserve">ADMINISTRAZIO </w:t>
                          </w:r>
                          <w:r w:rsidR="00AD763A" w:rsidRPr="00AD763A">
                            <w:rPr>
                              <w:sz w:val="12"/>
                              <w:szCs w:val="12"/>
                            </w:rPr>
                            <w:t xml:space="preserve">ETA </w:t>
                          </w:r>
                          <w:r w:rsidR="00AD763A" w:rsidRPr="00AD763A">
                            <w:rPr>
                              <w:sz w:val="12"/>
                              <w:szCs w:val="12"/>
                            </w:rPr>
                            <w:br/>
                            <w:t xml:space="preserve">JUSTIZIA </w:t>
                          </w:r>
                          <w:r w:rsidRPr="00AD763A">
                            <w:rPr>
                              <w:sz w:val="12"/>
                              <w:szCs w:val="12"/>
                            </w:rPr>
                            <w:t>SAILA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641847" w:rsidRPr="00AD763A" w:rsidRDefault="00656A52">
                    <w:pPr>
                      <w:pStyle w:val="Ttulo2"/>
                      <w:spacing w:after="35"/>
                      <w:rPr>
                        <w:sz w:val="12"/>
                        <w:szCs w:val="12"/>
                      </w:rPr>
                    </w:pPr>
                    <w:r w:rsidRPr="00AD763A">
                      <w:rPr>
                        <w:sz w:val="12"/>
                        <w:szCs w:val="12"/>
                      </w:rPr>
                      <w:t>HERRI</w:t>
                    </w:r>
                    <w:r w:rsidR="005C0E54" w:rsidRPr="00AD763A">
                      <w:rPr>
                        <w:sz w:val="12"/>
                        <w:szCs w:val="12"/>
                      </w:rPr>
                      <w:t xml:space="preserve"> </w:t>
                    </w:r>
                    <w:r w:rsidRPr="00AD763A">
                      <w:rPr>
                        <w:sz w:val="12"/>
                        <w:szCs w:val="12"/>
                      </w:rPr>
                      <w:t xml:space="preserve">ADMINISTRAZIO </w:t>
                    </w:r>
                    <w:r w:rsidR="00AD763A" w:rsidRPr="00AD763A">
                      <w:rPr>
                        <w:sz w:val="12"/>
                        <w:szCs w:val="12"/>
                      </w:rPr>
                      <w:t xml:space="preserve">ETA </w:t>
                    </w:r>
                    <w:r w:rsidR="00AD763A" w:rsidRPr="00AD763A">
                      <w:rPr>
                        <w:sz w:val="12"/>
                        <w:szCs w:val="12"/>
                      </w:rPr>
                      <w:br/>
                      <w:t xml:space="preserve">JUSTIZIA </w:t>
                    </w:r>
                    <w:r w:rsidRPr="00AD763A">
                      <w:rPr>
                        <w:sz w:val="12"/>
                        <w:szCs w:val="12"/>
                      </w:rPr>
                      <w:t>SAILA</w:t>
                    </w:r>
                  </w:p>
                </w:txbxContent>
              </v:textbox>
              <w10:wrap type="square" anchorx="page" anchory="page"/>
            </v:shape>
          </w:pict>
        </mc:Fallback>
      </mc:AlternateContent>
    </w:r>
    <w:r w:rsidR="00641847">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4169947" r:id="rId2"/>
      </w:object>
    </w:r>
  </w:p>
  <w:p w:rsidR="00641847" w:rsidRDefault="00641847">
    <w:pPr>
      <w:pStyle w:val="Encabezado"/>
      <w:tabs>
        <w:tab w:val="right" w:pos="9923"/>
      </w:tabs>
      <w:ind w:right="-142"/>
      <w:jc w:val="center"/>
      <w:rPr>
        <w:rFonts w:ascii="Arial" w:hAnsi="Arial"/>
        <w:sz w:val="16"/>
      </w:rPr>
    </w:pPr>
  </w:p>
  <w:p w:rsidR="00641847" w:rsidRDefault="00641847">
    <w:pPr>
      <w:pStyle w:val="Encabezado"/>
      <w:tabs>
        <w:tab w:val="right" w:pos="9923"/>
      </w:tabs>
      <w:ind w:right="-142"/>
      <w:jc w:val="center"/>
      <w:rPr>
        <w:rFonts w:ascii="Arial" w:hAnsi="Arial"/>
        <w:sz w:val="16"/>
      </w:rPr>
    </w:pPr>
  </w:p>
  <w:p w:rsidR="00641847" w:rsidRDefault="00641847">
    <w:pPr>
      <w:pStyle w:val="Encabezado"/>
      <w:tabs>
        <w:tab w:val="right" w:pos="9923"/>
      </w:tabs>
      <w:ind w:right="-142"/>
      <w:jc w:val="center"/>
      <w:rPr>
        <w:rFonts w:ascii="Arial" w:hAnsi="Arial"/>
        <w:sz w:val="16"/>
      </w:rPr>
    </w:pPr>
  </w:p>
  <w:p w:rsidR="00641847" w:rsidRDefault="00641847">
    <w:pPr>
      <w:pStyle w:val="Encabezado"/>
      <w:tabs>
        <w:tab w:val="right" w:pos="9923"/>
      </w:tabs>
      <w:ind w:right="-142"/>
      <w:jc w:val="center"/>
      <w:rPr>
        <w:rFonts w:ascii="Arial" w:hAnsi="Arial"/>
        <w:sz w:val="16"/>
      </w:rPr>
    </w:pPr>
  </w:p>
  <w:p w:rsidR="00641847" w:rsidRDefault="00641847">
    <w:pPr>
      <w:pStyle w:val="Encabezado"/>
      <w:tabs>
        <w:tab w:val="right" w:pos="9923"/>
      </w:tabs>
      <w:ind w:right="-142"/>
      <w:jc w:val="center"/>
      <w:rPr>
        <w:rFonts w:ascii="Arial" w:hAnsi="Arial"/>
        <w:sz w:val="16"/>
      </w:rPr>
    </w:pPr>
  </w:p>
  <w:p w:rsidR="00641847" w:rsidRDefault="00641847">
    <w:pPr>
      <w:pStyle w:val="Encabezado"/>
      <w:tabs>
        <w:tab w:val="right" w:pos="9923"/>
      </w:tabs>
      <w:ind w:right="-142"/>
      <w:rPr>
        <w:rFonts w:ascii="Arial" w:hAnsi="Arial"/>
        <w:sz w:val="16"/>
      </w:rPr>
    </w:pPr>
  </w:p>
  <w:p w:rsidR="00641847" w:rsidRDefault="00641847">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26321"/>
    <w:multiLevelType w:val="hybridMultilevel"/>
    <w:tmpl w:val="0C30EBFA"/>
    <w:lvl w:ilvl="0" w:tplc="65E44770">
      <w:start w:val="1"/>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34"/>
    <w:rsid w:val="000201D0"/>
    <w:rsid w:val="000217DB"/>
    <w:rsid w:val="000B1CA4"/>
    <w:rsid w:val="000C439B"/>
    <w:rsid w:val="000F1E8C"/>
    <w:rsid w:val="00123CBF"/>
    <w:rsid w:val="00150047"/>
    <w:rsid w:val="00190F9A"/>
    <w:rsid w:val="0020134B"/>
    <w:rsid w:val="0020584C"/>
    <w:rsid w:val="002222C7"/>
    <w:rsid w:val="00271D93"/>
    <w:rsid w:val="002871F7"/>
    <w:rsid w:val="002A2FBB"/>
    <w:rsid w:val="002B1C65"/>
    <w:rsid w:val="003133AD"/>
    <w:rsid w:val="00314707"/>
    <w:rsid w:val="00324666"/>
    <w:rsid w:val="0035007F"/>
    <w:rsid w:val="003A55DC"/>
    <w:rsid w:val="003B4E04"/>
    <w:rsid w:val="003B6415"/>
    <w:rsid w:val="003F453D"/>
    <w:rsid w:val="0043730B"/>
    <w:rsid w:val="00447B32"/>
    <w:rsid w:val="0047554E"/>
    <w:rsid w:val="00475A82"/>
    <w:rsid w:val="00475FF9"/>
    <w:rsid w:val="00482F44"/>
    <w:rsid w:val="00485A33"/>
    <w:rsid w:val="004A44D1"/>
    <w:rsid w:val="004A4520"/>
    <w:rsid w:val="00503962"/>
    <w:rsid w:val="00576926"/>
    <w:rsid w:val="005C02EA"/>
    <w:rsid w:val="005C0E54"/>
    <w:rsid w:val="005D0B08"/>
    <w:rsid w:val="005E2DFE"/>
    <w:rsid w:val="005E4822"/>
    <w:rsid w:val="005F5815"/>
    <w:rsid w:val="006116FF"/>
    <w:rsid w:val="00633FF9"/>
    <w:rsid w:val="00641847"/>
    <w:rsid w:val="00656A52"/>
    <w:rsid w:val="00666BE9"/>
    <w:rsid w:val="00695067"/>
    <w:rsid w:val="006B084D"/>
    <w:rsid w:val="006B698D"/>
    <w:rsid w:val="006D11C5"/>
    <w:rsid w:val="006E0834"/>
    <w:rsid w:val="00717F29"/>
    <w:rsid w:val="00781808"/>
    <w:rsid w:val="007A23A6"/>
    <w:rsid w:val="007B3450"/>
    <w:rsid w:val="007C27EA"/>
    <w:rsid w:val="007C3139"/>
    <w:rsid w:val="0083604D"/>
    <w:rsid w:val="00845D7C"/>
    <w:rsid w:val="0088281A"/>
    <w:rsid w:val="008829C8"/>
    <w:rsid w:val="00893210"/>
    <w:rsid w:val="008C1328"/>
    <w:rsid w:val="008C3B44"/>
    <w:rsid w:val="008E0A7B"/>
    <w:rsid w:val="0092644A"/>
    <w:rsid w:val="009404AA"/>
    <w:rsid w:val="00944634"/>
    <w:rsid w:val="0096019C"/>
    <w:rsid w:val="00961135"/>
    <w:rsid w:val="00991F07"/>
    <w:rsid w:val="00993F29"/>
    <w:rsid w:val="00995451"/>
    <w:rsid w:val="0099590F"/>
    <w:rsid w:val="009A6252"/>
    <w:rsid w:val="009A7077"/>
    <w:rsid w:val="009E43A1"/>
    <w:rsid w:val="00A20D50"/>
    <w:rsid w:val="00A22A31"/>
    <w:rsid w:val="00A61ECC"/>
    <w:rsid w:val="00A91C20"/>
    <w:rsid w:val="00A9550D"/>
    <w:rsid w:val="00AA36F4"/>
    <w:rsid w:val="00AB5C02"/>
    <w:rsid w:val="00AD4697"/>
    <w:rsid w:val="00AD763A"/>
    <w:rsid w:val="00B2670A"/>
    <w:rsid w:val="00B27747"/>
    <w:rsid w:val="00B42CAB"/>
    <w:rsid w:val="00B61639"/>
    <w:rsid w:val="00B84490"/>
    <w:rsid w:val="00BE1D0E"/>
    <w:rsid w:val="00BE1E5D"/>
    <w:rsid w:val="00BE28FD"/>
    <w:rsid w:val="00C65276"/>
    <w:rsid w:val="00CE53D7"/>
    <w:rsid w:val="00D02AA3"/>
    <w:rsid w:val="00D25254"/>
    <w:rsid w:val="00D25B0D"/>
    <w:rsid w:val="00D34967"/>
    <w:rsid w:val="00D41E14"/>
    <w:rsid w:val="00D67CEB"/>
    <w:rsid w:val="00D9034A"/>
    <w:rsid w:val="00D90923"/>
    <w:rsid w:val="00DB0C18"/>
    <w:rsid w:val="00E17C6C"/>
    <w:rsid w:val="00E21DA7"/>
    <w:rsid w:val="00E81AA6"/>
    <w:rsid w:val="00EF0EBD"/>
    <w:rsid w:val="00F16C5E"/>
    <w:rsid w:val="00F659BE"/>
    <w:rsid w:val="00F672A9"/>
    <w:rsid w:val="00F72286"/>
    <w:rsid w:val="00F758B0"/>
    <w:rsid w:val="00F93F78"/>
    <w:rsid w:val="00FE30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A33"/>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Textonotapie">
    <w:name w:val="footnote text"/>
    <w:basedOn w:val="Normal"/>
    <w:link w:val="TextonotapieCar"/>
    <w:rsid w:val="005D0B08"/>
    <w:rPr>
      <w:sz w:val="20"/>
    </w:rPr>
  </w:style>
  <w:style w:type="character" w:customStyle="1" w:styleId="TextonotapieCar">
    <w:name w:val="Texto nota pie Car"/>
    <w:basedOn w:val="Fuentedeprrafopredeter"/>
    <w:link w:val="Textonotapie"/>
    <w:rsid w:val="005D0B08"/>
    <w:rPr>
      <w:lang w:val="es-ES_tradnl" w:eastAsia="es-ES_tradnl"/>
    </w:rPr>
  </w:style>
  <w:style w:type="character" w:styleId="Refdenotaalpie">
    <w:name w:val="footnote reference"/>
    <w:basedOn w:val="Fuentedeprrafopredeter"/>
    <w:rsid w:val="005D0B08"/>
    <w:rPr>
      <w:vertAlign w:val="superscript"/>
    </w:rPr>
  </w:style>
  <w:style w:type="character" w:styleId="Hipervnculo">
    <w:name w:val="Hyperlink"/>
    <w:basedOn w:val="Fuentedeprrafopredeter"/>
    <w:rsid w:val="005D0B08"/>
    <w:rPr>
      <w:color w:val="0000FF" w:themeColor="hyperlink"/>
      <w:u w:val="single"/>
    </w:rPr>
  </w:style>
  <w:style w:type="character" w:customStyle="1" w:styleId="PiedepginaCar">
    <w:name w:val="Pie de página Car"/>
    <w:basedOn w:val="Fuentedeprrafopredeter"/>
    <w:link w:val="Piedepgina"/>
    <w:uiPriority w:val="99"/>
    <w:rsid w:val="00F758B0"/>
    <w:rPr>
      <w:sz w:val="24"/>
      <w:lang w:val="es-ES_tradnl" w:eastAsia="es-ES_tradnl"/>
    </w:rPr>
  </w:style>
  <w:style w:type="paragraph" w:styleId="Textodeglobo">
    <w:name w:val="Balloon Text"/>
    <w:basedOn w:val="Normal"/>
    <w:link w:val="TextodegloboCar"/>
    <w:rsid w:val="00503962"/>
    <w:rPr>
      <w:rFonts w:ascii="Tahoma" w:hAnsi="Tahoma" w:cs="Tahoma"/>
      <w:sz w:val="16"/>
      <w:szCs w:val="16"/>
    </w:rPr>
  </w:style>
  <w:style w:type="character" w:customStyle="1" w:styleId="TextodegloboCar">
    <w:name w:val="Texto de globo Car"/>
    <w:basedOn w:val="Fuentedeprrafopredeter"/>
    <w:link w:val="Textodeglobo"/>
    <w:rsid w:val="00503962"/>
    <w:rPr>
      <w:rFonts w:ascii="Tahoma" w:hAnsi="Tahoma" w:cs="Tahoma"/>
      <w:sz w:val="16"/>
      <w:szCs w:val="16"/>
      <w:lang w:val="es-ES_tradnl" w:eastAsia="es-ES_tradnl"/>
    </w:rPr>
  </w:style>
  <w:style w:type="paragraph" w:styleId="Prrafodelista">
    <w:name w:val="List Paragraph"/>
    <w:basedOn w:val="Normal"/>
    <w:uiPriority w:val="34"/>
    <w:qFormat/>
    <w:rsid w:val="00F659BE"/>
    <w:pPr>
      <w:ind w:left="720"/>
      <w:contextualSpacing/>
    </w:pPr>
  </w:style>
  <w:style w:type="paragraph" w:styleId="Textonotaalfinal">
    <w:name w:val="endnote text"/>
    <w:basedOn w:val="Normal"/>
    <w:link w:val="TextonotaalfinalCar"/>
    <w:rsid w:val="006B698D"/>
    <w:rPr>
      <w:sz w:val="20"/>
    </w:rPr>
  </w:style>
  <w:style w:type="character" w:customStyle="1" w:styleId="TextonotaalfinalCar">
    <w:name w:val="Texto nota al final Car"/>
    <w:basedOn w:val="Fuentedeprrafopredeter"/>
    <w:link w:val="Textonotaalfinal"/>
    <w:rsid w:val="006B698D"/>
    <w:rPr>
      <w:lang w:val="es-ES_tradnl" w:eastAsia="es-ES_tradnl"/>
    </w:rPr>
  </w:style>
  <w:style w:type="character" w:styleId="Refdenotaalfinal">
    <w:name w:val="endnote reference"/>
    <w:basedOn w:val="Fuentedeprrafopredeter"/>
    <w:rsid w:val="006B698D"/>
    <w:rPr>
      <w:vertAlign w:val="superscript"/>
    </w:rPr>
  </w:style>
  <w:style w:type="paragraph" w:styleId="Textoindependiente3">
    <w:name w:val="Body Text 3"/>
    <w:basedOn w:val="Normal"/>
    <w:link w:val="Textoindependiente3Car"/>
    <w:rsid w:val="00C65276"/>
    <w:rPr>
      <w:lang w:val="es-ES"/>
    </w:rPr>
  </w:style>
  <w:style w:type="character" w:customStyle="1" w:styleId="Textoindependiente3Car">
    <w:name w:val="Texto independiente 3 Car"/>
    <w:basedOn w:val="Fuentedeprrafopredeter"/>
    <w:link w:val="Textoindependiente3"/>
    <w:rsid w:val="00C65276"/>
    <w:rPr>
      <w:sz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A33"/>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Textonotapie">
    <w:name w:val="footnote text"/>
    <w:basedOn w:val="Normal"/>
    <w:link w:val="TextonotapieCar"/>
    <w:rsid w:val="005D0B08"/>
    <w:rPr>
      <w:sz w:val="20"/>
    </w:rPr>
  </w:style>
  <w:style w:type="character" w:customStyle="1" w:styleId="TextonotapieCar">
    <w:name w:val="Texto nota pie Car"/>
    <w:basedOn w:val="Fuentedeprrafopredeter"/>
    <w:link w:val="Textonotapie"/>
    <w:rsid w:val="005D0B08"/>
    <w:rPr>
      <w:lang w:val="es-ES_tradnl" w:eastAsia="es-ES_tradnl"/>
    </w:rPr>
  </w:style>
  <w:style w:type="character" w:styleId="Refdenotaalpie">
    <w:name w:val="footnote reference"/>
    <w:basedOn w:val="Fuentedeprrafopredeter"/>
    <w:rsid w:val="005D0B08"/>
    <w:rPr>
      <w:vertAlign w:val="superscript"/>
    </w:rPr>
  </w:style>
  <w:style w:type="character" w:styleId="Hipervnculo">
    <w:name w:val="Hyperlink"/>
    <w:basedOn w:val="Fuentedeprrafopredeter"/>
    <w:rsid w:val="005D0B08"/>
    <w:rPr>
      <w:color w:val="0000FF" w:themeColor="hyperlink"/>
      <w:u w:val="single"/>
    </w:rPr>
  </w:style>
  <w:style w:type="character" w:customStyle="1" w:styleId="PiedepginaCar">
    <w:name w:val="Pie de página Car"/>
    <w:basedOn w:val="Fuentedeprrafopredeter"/>
    <w:link w:val="Piedepgina"/>
    <w:uiPriority w:val="99"/>
    <w:rsid w:val="00F758B0"/>
    <w:rPr>
      <w:sz w:val="24"/>
      <w:lang w:val="es-ES_tradnl" w:eastAsia="es-ES_tradnl"/>
    </w:rPr>
  </w:style>
  <w:style w:type="paragraph" w:styleId="Textodeglobo">
    <w:name w:val="Balloon Text"/>
    <w:basedOn w:val="Normal"/>
    <w:link w:val="TextodegloboCar"/>
    <w:rsid w:val="00503962"/>
    <w:rPr>
      <w:rFonts w:ascii="Tahoma" w:hAnsi="Tahoma" w:cs="Tahoma"/>
      <w:sz w:val="16"/>
      <w:szCs w:val="16"/>
    </w:rPr>
  </w:style>
  <w:style w:type="character" w:customStyle="1" w:styleId="TextodegloboCar">
    <w:name w:val="Texto de globo Car"/>
    <w:basedOn w:val="Fuentedeprrafopredeter"/>
    <w:link w:val="Textodeglobo"/>
    <w:rsid w:val="00503962"/>
    <w:rPr>
      <w:rFonts w:ascii="Tahoma" w:hAnsi="Tahoma" w:cs="Tahoma"/>
      <w:sz w:val="16"/>
      <w:szCs w:val="16"/>
      <w:lang w:val="es-ES_tradnl" w:eastAsia="es-ES_tradnl"/>
    </w:rPr>
  </w:style>
  <w:style w:type="paragraph" w:styleId="Prrafodelista">
    <w:name w:val="List Paragraph"/>
    <w:basedOn w:val="Normal"/>
    <w:uiPriority w:val="34"/>
    <w:qFormat/>
    <w:rsid w:val="00F659BE"/>
    <w:pPr>
      <w:ind w:left="720"/>
      <w:contextualSpacing/>
    </w:pPr>
  </w:style>
  <w:style w:type="paragraph" w:styleId="Textonotaalfinal">
    <w:name w:val="endnote text"/>
    <w:basedOn w:val="Normal"/>
    <w:link w:val="TextonotaalfinalCar"/>
    <w:rsid w:val="006B698D"/>
    <w:rPr>
      <w:sz w:val="20"/>
    </w:rPr>
  </w:style>
  <w:style w:type="character" w:customStyle="1" w:styleId="TextonotaalfinalCar">
    <w:name w:val="Texto nota al final Car"/>
    <w:basedOn w:val="Fuentedeprrafopredeter"/>
    <w:link w:val="Textonotaalfinal"/>
    <w:rsid w:val="006B698D"/>
    <w:rPr>
      <w:lang w:val="es-ES_tradnl" w:eastAsia="es-ES_tradnl"/>
    </w:rPr>
  </w:style>
  <w:style w:type="character" w:styleId="Refdenotaalfinal">
    <w:name w:val="endnote reference"/>
    <w:basedOn w:val="Fuentedeprrafopredeter"/>
    <w:rsid w:val="006B698D"/>
    <w:rPr>
      <w:vertAlign w:val="superscript"/>
    </w:rPr>
  </w:style>
  <w:style w:type="paragraph" w:styleId="Textoindependiente3">
    <w:name w:val="Body Text 3"/>
    <w:basedOn w:val="Normal"/>
    <w:link w:val="Textoindependiente3Car"/>
    <w:rsid w:val="00C65276"/>
    <w:rPr>
      <w:lang w:val="es-ES"/>
    </w:rPr>
  </w:style>
  <w:style w:type="character" w:customStyle="1" w:styleId="Textoindependiente3Car">
    <w:name w:val="Texto independiente 3 Car"/>
    <w:basedOn w:val="Fuentedeprrafopredeter"/>
    <w:link w:val="Textoindependiente3"/>
    <w:rsid w:val="00C65276"/>
    <w:rPr>
      <w:sz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TAOLAB\AppData\Local\Microsoft\Windows\Temporary%20Internet%20Files\Content.Outlook\EGEUIRA6\PLANTILLA%20ADMON%20PUBLI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006EB-F4C9-4F2E-91C7-CE548A10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ADMON PUBLICA</Template>
  <TotalTime>1</TotalTime>
  <Pages>5</Pages>
  <Words>769</Words>
  <Characters>4386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Otaola Bajeneta, Javier</dc:creator>
  <cp:lastModifiedBy>Unanue  Ortega, Xabier</cp:lastModifiedBy>
  <cp:revision>2</cp:revision>
  <cp:lastPrinted>2013-11-26T10:39:00Z</cp:lastPrinted>
  <dcterms:created xsi:type="dcterms:W3CDTF">2014-06-13T11:06:00Z</dcterms:created>
  <dcterms:modified xsi:type="dcterms:W3CDTF">2014-06-13T11:06:00Z</dcterms:modified>
</cp:coreProperties>
</file>