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theme/themeOverride2.xml" ContentType="application/vnd.openxmlformats-officedocument.themeOverride+xml"/>
  <Override PartName="/word/charts/chart4.xml" ContentType="application/vnd.openxmlformats-officedocument.drawingml.chart+xml"/>
  <Override PartName="/word/theme/themeOverride3.xml" ContentType="application/vnd.openxmlformats-officedocument.themeOverride+xml"/>
  <Override PartName="/word/charts/chart5.xml" ContentType="application/vnd.openxmlformats-officedocument.drawingml.chart+xml"/>
  <Override PartName="/word/theme/themeOverride4.xml" ContentType="application/vnd.openxmlformats-officedocument.themeOverride+xml"/>
  <Override PartName="/word/charts/chart6.xml" ContentType="application/vnd.openxmlformats-officedocument.drawingml.chart+xml"/>
  <Override PartName="/word/theme/themeOverride5.xml" ContentType="application/vnd.openxmlformats-officedocument.themeOverride+xml"/>
  <Override PartName="/word/charts/chart7.xml" ContentType="application/vnd.openxmlformats-officedocument.drawingml.chart+xml"/>
  <Override PartName="/word/theme/themeOverride6.xml" ContentType="application/vnd.openxmlformats-officedocument.themeOverride+xml"/>
  <Override PartName="/word/charts/chart8.xml" ContentType="application/vnd.openxmlformats-officedocument.drawingml.chart+xml"/>
  <Override PartName="/word/theme/themeOverride7.xml" ContentType="application/vnd.openxmlformats-officedocument.themeOverride+xml"/>
  <Override PartName="/word/charts/chart9.xml" ContentType="application/vnd.openxmlformats-officedocument.drawingml.chart+xml"/>
  <Override PartName="/word/theme/themeOverride8.xml" ContentType="application/vnd.openxmlformats-officedocument.themeOverride+xml"/>
  <Override PartName="/word/charts/chart10.xml" ContentType="application/vnd.openxmlformats-officedocument.drawingml.chart+xml"/>
  <Override PartName="/word/theme/themeOverride9.xml" ContentType="application/vnd.openxmlformats-officedocument.themeOverride+xml"/>
  <Override PartName="/word/charts/chart11.xml" ContentType="application/vnd.openxmlformats-officedocument.drawingml.chart+xml"/>
  <Override PartName="/word/theme/themeOverride10.xml" ContentType="application/vnd.openxmlformats-officedocument.themeOverride+xml"/>
  <Override PartName="/word/charts/chart12.xml" ContentType="application/vnd.openxmlformats-officedocument.drawingml.chart+xml"/>
  <Override PartName="/word/theme/themeOverride11.xml" ContentType="application/vnd.openxmlformats-officedocument.themeOverride+xml"/>
  <Override PartName="/word/charts/chart13.xml" ContentType="application/vnd.openxmlformats-officedocument.drawingml.chart+xml"/>
  <Override PartName="/word/theme/themeOverride12.xml" ContentType="application/vnd.openxmlformats-officedocument.themeOverride+xml"/>
  <Override PartName="/word/charts/chart14.xml" ContentType="application/vnd.openxmlformats-officedocument.drawingml.chart+xml"/>
  <Override PartName="/word/theme/themeOverride13.xml" ContentType="application/vnd.openxmlformats-officedocument.themeOverride+xml"/>
  <Override PartName="/word/charts/chart15.xml" ContentType="application/vnd.openxmlformats-officedocument.drawingml.chart+xml"/>
  <Override PartName="/word/theme/themeOverride14.xml" ContentType="application/vnd.openxmlformats-officedocument.themeOverride+xml"/>
  <Override PartName="/word/charts/chart16.xml" ContentType="application/vnd.openxmlformats-officedocument.drawingml.chart+xml"/>
  <Override PartName="/word/theme/themeOverride15.xml" ContentType="application/vnd.openxmlformats-officedocument.themeOverride+xml"/>
  <Override PartName="/word/charts/chart17.xml" ContentType="application/vnd.openxmlformats-officedocument.drawingml.chart+xml"/>
  <Override PartName="/word/theme/themeOverride16.xml" ContentType="application/vnd.openxmlformats-officedocument.themeOverride+xml"/>
  <Override PartName="/word/charts/chart18.xml" ContentType="application/vnd.openxmlformats-officedocument.drawingml.chart+xml"/>
  <Override PartName="/word/theme/themeOverride17.xml" ContentType="application/vnd.openxmlformats-officedocument.themeOverride+xml"/>
  <Override PartName="/word/charts/chart19.xml" ContentType="application/vnd.openxmlformats-officedocument.drawingml.chart+xml"/>
  <Override PartName="/word/theme/themeOverride18.xml" ContentType="application/vnd.openxmlformats-officedocument.themeOverride+xml"/>
  <Override PartName="/word/charts/chart20.xml" ContentType="application/vnd.openxmlformats-officedocument.drawingml.chart+xml"/>
  <Override PartName="/word/theme/themeOverride19.xml" ContentType="application/vnd.openxmlformats-officedocument.themeOverride+xml"/>
  <Override PartName="/word/charts/chart21.xml" ContentType="application/vnd.openxmlformats-officedocument.drawingml.chart+xml"/>
  <Override PartName="/word/theme/themeOverride20.xml" ContentType="application/vnd.openxmlformats-officedocument.themeOverride+xml"/>
  <Override PartName="/word/charts/chart22.xml" ContentType="application/vnd.openxmlformats-officedocument.drawingml.chart+xml"/>
  <Override PartName="/word/theme/themeOverride21.xml" ContentType="application/vnd.openxmlformats-officedocument.themeOverride+xml"/>
  <Override PartName="/word/charts/chart23.xml" ContentType="application/vnd.openxmlformats-officedocument.drawingml.chart+xml"/>
  <Override PartName="/word/theme/themeOverride22.xml" ContentType="application/vnd.openxmlformats-officedocument.themeOverride+xml"/>
  <Override PartName="/word/charts/chart24.xml" ContentType="application/vnd.openxmlformats-officedocument.drawingml.chart+xml"/>
  <Override PartName="/word/theme/themeOverride23.xml" ContentType="application/vnd.openxmlformats-officedocument.themeOverride+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charts/chart38.xml" ContentType="application/vnd.openxmlformats-officedocument.drawingml.chart+xml"/>
  <Override PartName="/word/charts/chart39.xml" ContentType="application/vnd.openxmlformats-officedocument.drawingml.chart+xml"/>
  <Override PartName="/word/charts/chart40.xml" ContentType="application/vnd.openxmlformats-officedocument.drawingml.chart+xml"/>
  <Override PartName="/word/charts/chart41.xml" ContentType="application/vnd.openxmlformats-officedocument.drawingml.chart+xml"/>
  <Override PartName="/word/charts/chart42.xml" ContentType="application/vnd.openxmlformats-officedocument.drawingml.chart+xml"/>
  <Override PartName="/word/charts/chart43.xml" ContentType="application/vnd.openxmlformats-officedocument.drawingml.chart+xml"/>
  <Override PartName="/word/charts/chart44.xml" ContentType="application/vnd.openxmlformats-officedocument.drawingml.chart+xml"/>
  <Override PartName="/word/charts/chart45.xml" ContentType="application/vnd.openxmlformats-officedocument.drawingml.chart+xml"/>
  <Override PartName="/word/charts/chart46.xml" ContentType="application/vnd.openxmlformats-officedocument.drawingml.chart+xml"/>
  <Override PartName="/word/charts/chart47.xml" ContentType="application/vnd.openxmlformats-officedocument.drawingml.chart+xml"/>
  <Override PartName="/word/charts/chart48.xml" ContentType="application/vnd.openxmlformats-officedocument.drawingml.chart+xml"/>
  <Override PartName="/word/charts/chart49.xml" ContentType="application/vnd.openxmlformats-officedocument.drawingml.chart+xml"/>
  <Override PartName="/word/charts/chart50.xml" ContentType="application/vnd.openxmlformats-officedocument.drawingml.chart+xml"/>
  <Override PartName="/word/charts/chart51.xml" ContentType="application/vnd.openxmlformats-officedocument.drawingml.chart+xml"/>
  <Override PartName="/word/charts/chart52.xml" ContentType="application/vnd.openxmlformats-officedocument.drawingml.chart+xml"/>
  <Override PartName="/word/charts/chart53.xml" ContentType="application/vnd.openxmlformats-officedocument.drawingml.chart+xml"/>
  <Override PartName="/word/theme/themeOverride24.xml" ContentType="application/vnd.openxmlformats-officedocument.themeOverride+xml"/>
  <Override PartName="/word/charts/chart54.xml" ContentType="application/vnd.openxmlformats-officedocument.drawingml.chart+xml"/>
  <Override PartName="/word/theme/themeOverride25.xml" ContentType="application/vnd.openxmlformats-officedocument.themeOverride+xml"/>
  <Override PartName="/word/charts/chart55.xml" ContentType="application/vnd.openxmlformats-officedocument.drawingml.chart+xml"/>
  <Override PartName="/word/theme/themeOverride26.xml" ContentType="application/vnd.openxmlformats-officedocument.themeOverride+xml"/>
  <Override PartName="/word/charts/chart56.xml" ContentType="application/vnd.openxmlformats-officedocument.drawingml.chart+xml"/>
  <Override PartName="/word/theme/themeOverride27.xml" ContentType="application/vnd.openxmlformats-officedocument.themeOverride+xml"/>
  <Override PartName="/word/charts/chart57.xml" ContentType="application/vnd.openxmlformats-officedocument.drawingml.chart+xml"/>
  <Override PartName="/word/charts/chart58.xml" ContentType="application/vnd.openxmlformats-officedocument.drawingml.chart+xml"/>
  <Override PartName="/word/charts/chart59.xml" ContentType="application/vnd.openxmlformats-officedocument.drawingml.chart+xml"/>
  <Override PartName="/word/charts/chart60.xml" ContentType="application/vnd.openxmlformats-officedocument.drawingml.chart+xml"/>
  <Override PartName="/word/charts/chart61.xml" ContentType="application/vnd.openxmlformats-officedocument.drawingml.chart+xml"/>
  <Override PartName="/word/charts/chart62.xml" ContentType="application/vnd.openxmlformats-officedocument.drawingml.chart+xml"/>
  <Override PartName="/word/charts/chart63.xml" ContentType="application/vnd.openxmlformats-officedocument.drawingml.chart+xml"/>
  <Override PartName="/word/charts/chart64.xml" ContentType="application/vnd.openxmlformats-officedocument.drawingml.chart+xml"/>
  <Override PartName="/word/charts/chart65.xml" ContentType="application/vnd.openxmlformats-officedocument.drawingml.chart+xml"/>
  <Override PartName="/word/charts/chart66.xml" ContentType="application/vnd.openxmlformats-officedocument.drawingml.chart+xml"/>
  <Override PartName="/word/charts/chart67.xml" ContentType="application/vnd.openxmlformats-officedocument.drawingml.chart+xml"/>
  <Override PartName="/word/charts/chart68.xml" ContentType="application/vnd.openxmlformats-officedocument.drawingml.chart+xml"/>
  <Override PartName="/word/charts/chart69.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A72E7" w:rsidRPr="001E2F6E" w:rsidRDefault="00A327D4">
      <w:r>
        <w:rPr>
          <w:noProof/>
          <w:lang w:eastAsia="es-ES"/>
        </w:rPr>
        <w:pict>
          <v:rect id="_x0000_s1026" style="position:absolute;left:0;text-align:left;margin-left:85.3pt;margin-top:-65.05pt;width:412.45pt;height:791.95pt;z-index:251664384" fillcolor="#737373" strokecolor="white" strokeweight="1pt">
            <v:shadow color="#d8d8d8" offset="3pt,3pt" offset2="2pt,2pt"/>
            <v:textbox style="mso-next-textbox:#_x0000_s1026" inset="18pt,108pt,36pt">
              <w:txbxContent>
                <w:p w:rsidR="00A327D4" w:rsidRPr="00645619" w:rsidRDefault="00A327D4" w:rsidP="009A00F2">
                  <w:pPr>
                    <w:pStyle w:val="Sinespaciado"/>
                    <w:rPr>
                      <w:rFonts w:ascii="Arial" w:hAnsi="Arial" w:cs="Arial"/>
                      <w:b/>
                      <w:bCs/>
                      <w:spacing w:val="4"/>
                      <w:sz w:val="50"/>
                      <w:szCs w:val="50"/>
                      <w:lang w:val="eu-ES" w:eastAsia="en-US"/>
                    </w:rPr>
                  </w:pPr>
                </w:p>
                <w:p w:rsidR="00A327D4" w:rsidRPr="00645619" w:rsidRDefault="00A327D4" w:rsidP="009A00F2">
                  <w:pPr>
                    <w:pStyle w:val="Sinespaciado"/>
                    <w:rPr>
                      <w:rFonts w:ascii="Arial" w:hAnsi="Arial" w:cs="Arial"/>
                      <w:b/>
                      <w:bCs/>
                      <w:spacing w:val="4"/>
                      <w:sz w:val="50"/>
                      <w:szCs w:val="50"/>
                      <w:lang w:val="eu-ES" w:eastAsia="en-US"/>
                    </w:rPr>
                  </w:pPr>
                </w:p>
                <w:p w:rsidR="00A327D4" w:rsidRPr="00645619" w:rsidRDefault="00A327D4" w:rsidP="009A00F2">
                  <w:pPr>
                    <w:pStyle w:val="Sinespaciado"/>
                    <w:rPr>
                      <w:rFonts w:ascii="Arial" w:hAnsi="Arial" w:cs="Arial"/>
                      <w:b/>
                      <w:bCs/>
                      <w:spacing w:val="4"/>
                      <w:sz w:val="70"/>
                      <w:szCs w:val="70"/>
                      <w:lang w:val="eu-ES" w:eastAsia="en-US"/>
                    </w:rPr>
                  </w:pPr>
                </w:p>
                <w:p w:rsidR="00A327D4" w:rsidRPr="00645619" w:rsidRDefault="00A327D4" w:rsidP="009A00F2">
                  <w:pPr>
                    <w:pStyle w:val="Sinespaciado"/>
                    <w:rPr>
                      <w:rFonts w:ascii="Arial" w:hAnsi="Arial" w:cs="Arial"/>
                      <w:b/>
                      <w:bCs/>
                      <w:spacing w:val="4"/>
                      <w:sz w:val="70"/>
                      <w:szCs w:val="70"/>
                      <w:lang w:val="eu-ES" w:eastAsia="en-US"/>
                    </w:rPr>
                  </w:pPr>
                </w:p>
                <w:p w:rsidR="00A327D4" w:rsidRPr="00645619" w:rsidRDefault="00A327D4" w:rsidP="009A00F2">
                  <w:pPr>
                    <w:pStyle w:val="Sinespaciado"/>
                    <w:rPr>
                      <w:rFonts w:ascii="Arial" w:hAnsi="Arial" w:cs="Arial"/>
                      <w:b/>
                      <w:bCs/>
                      <w:spacing w:val="4"/>
                      <w:sz w:val="70"/>
                      <w:szCs w:val="70"/>
                      <w:lang w:val="eu-ES" w:eastAsia="en-US"/>
                    </w:rPr>
                  </w:pPr>
                </w:p>
                <w:p w:rsidR="00A327D4" w:rsidRPr="00645619" w:rsidRDefault="00A327D4" w:rsidP="009A00F2">
                  <w:pPr>
                    <w:pStyle w:val="Sinespaciado"/>
                    <w:rPr>
                      <w:rFonts w:ascii="Arial" w:hAnsi="Arial" w:cs="Arial"/>
                      <w:b/>
                      <w:bCs/>
                      <w:color w:val="FFFFFF"/>
                      <w:spacing w:val="4"/>
                      <w:sz w:val="70"/>
                      <w:szCs w:val="70"/>
                      <w:lang w:val="eu-ES" w:eastAsia="en-US"/>
                    </w:rPr>
                  </w:pPr>
                  <w:r w:rsidRPr="00645619">
                    <w:rPr>
                      <w:rFonts w:ascii="Arial" w:hAnsi="Arial" w:cs="Arial"/>
                      <w:b/>
                      <w:bCs/>
                      <w:color w:val="FFFFFF"/>
                      <w:spacing w:val="4"/>
                      <w:sz w:val="70"/>
                      <w:szCs w:val="70"/>
                      <w:lang w:val="eu-ES" w:eastAsia="en-US"/>
                    </w:rPr>
                    <w:t>GIZARTE EKONOMIAREN ESTATISTIKA 2012 ETA 2013KO AURRERAPENA</w:t>
                  </w:r>
                </w:p>
                <w:p w:rsidR="00A327D4" w:rsidRPr="00645619" w:rsidRDefault="00A327D4">
                  <w:pPr>
                    <w:pStyle w:val="Sinespaciado"/>
                    <w:rPr>
                      <w:rFonts w:cs="Arial"/>
                      <w:i/>
                      <w:iCs/>
                      <w:color w:val="DBE5F1"/>
                      <w:lang w:val="eu-ES"/>
                    </w:rPr>
                  </w:pPr>
                </w:p>
                <w:p w:rsidR="00A327D4" w:rsidRPr="00645619" w:rsidRDefault="00A327D4">
                  <w:pPr>
                    <w:pStyle w:val="Sinespaciado"/>
                    <w:rPr>
                      <w:rFonts w:cs="Arial"/>
                      <w:i/>
                      <w:iCs/>
                      <w:lang w:val="eu-ES"/>
                    </w:rPr>
                  </w:pPr>
                </w:p>
                <w:p w:rsidR="00A327D4" w:rsidRPr="00645619" w:rsidRDefault="00A327D4">
                  <w:pPr>
                    <w:pStyle w:val="Sinespaciado"/>
                    <w:rPr>
                      <w:rFonts w:cs="Arial"/>
                      <w:i/>
                      <w:iCs/>
                      <w:lang w:val="eu-ES"/>
                    </w:rPr>
                  </w:pPr>
                </w:p>
                <w:p w:rsidR="00A327D4" w:rsidRPr="00645619" w:rsidRDefault="00A327D4">
                  <w:pPr>
                    <w:pStyle w:val="Sinespaciado"/>
                    <w:rPr>
                      <w:rFonts w:cs="Arial"/>
                      <w:i/>
                      <w:iCs/>
                      <w:lang w:val="eu-ES"/>
                    </w:rPr>
                  </w:pPr>
                </w:p>
                <w:p w:rsidR="00A327D4" w:rsidRPr="00645619" w:rsidRDefault="00A327D4">
                  <w:pPr>
                    <w:pStyle w:val="Sinespaciado"/>
                    <w:rPr>
                      <w:rFonts w:cs="Arial"/>
                      <w:i/>
                      <w:iCs/>
                      <w:lang w:val="eu-ES"/>
                    </w:rPr>
                  </w:pPr>
                </w:p>
                <w:p w:rsidR="00A327D4" w:rsidRPr="00645619" w:rsidRDefault="00A327D4">
                  <w:pPr>
                    <w:pStyle w:val="Sinespaciado"/>
                    <w:rPr>
                      <w:rFonts w:cs="Arial"/>
                      <w:i/>
                      <w:iCs/>
                      <w:lang w:val="eu-ES"/>
                    </w:rPr>
                  </w:pPr>
                </w:p>
                <w:p w:rsidR="00A327D4" w:rsidRPr="00645619" w:rsidRDefault="00A327D4">
                  <w:pPr>
                    <w:pStyle w:val="Sinespaciado"/>
                    <w:rPr>
                      <w:rFonts w:cs="Arial"/>
                      <w:i/>
                      <w:iCs/>
                      <w:lang w:val="eu-ES"/>
                    </w:rPr>
                  </w:pPr>
                </w:p>
                <w:p w:rsidR="00A327D4" w:rsidRPr="00645619" w:rsidRDefault="00A327D4">
                  <w:pPr>
                    <w:pStyle w:val="Sinespaciado"/>
                    <w:rPr>
                      <w:rFonts w:cs="Arial"/>
                      <w:i/>
                      <w:iCs/>
                      <w:lang w:val="eu-ES"/>
                    </w:rPr>
                  </w:pPr>
                </w:p>
                <w:p w:rsidR="00A327D4" w:rsidRPr="00645619" w:rsidRDefault="00A327D4">
                  <w:pPr>
                    <w:pStyle w:val="Sinespaciado"/>
                    <w:rPr>
                      <w:rFonts w:cs="Arial"/>
                      <w:i/>
                      <w:iCs/>
                      <w:lang w:val="eu-ES"/>
                    </w:rPr>
                  </w:pPr>
                </w:p>
                <w:p w:rsidR="00A327D4" w:rsidRPr="00645619" w:rsidRDefault="00A327D4" w:rsidP="009A00F2">
                  <w:pPr>
                    <w:pStyle w:val="Sinespaciado"/>
                    <w:jc w:val="right"/>
                    <w:rPr>
                      <w:rFonts w:ascii="Arial" w:hAnsi="Arial" w:cs="Arial"/>
                      <w:i/>
                      <w:iCs/>
                      <w:lang w:val="eu-ES"/>
                    </w:rPr>
                  </w:pPr>
                </w:p>
                <w:p w:rsidR="00A327D4" w:rsidRPr="00645619" w:rsidRDefault="00A327D4" w:rsidP="009A00F2">
                  <w:pPr>
                    <w:pStyle w:val="Sinespaciado"/>
                    <w:jc w:val="right"/>
                    <w:rPr>
                      <w:rFonts w:ascii="Arial" w:hAnsi="Arial" w:cs="Arial"/>
                      <w:color w:val="B8CCE4"/>
                      <w:sz w:val="28"/>
                      <w:szCs w:val="28"/>
                      <w:lang w:val="eu-ES"/>
                    </w:rPr>
                  </w:pPr>
                  <w:r w:rsidRPr="00645619">
                    <w:rPr>
                      <w:rFonts w:ascii="Arial" w:hAnsi="Arial" w:cs="Arial"/>
                      <w:i/>
                      <w:iCs/>
                      <w:color w:val="B8CCE4"/>
                      <w:sz w:val="28"/>
                      <w:szCs w:val="28"/>
                      <w:lang w:val="eu-ES"/>
                    </w:rPr>
                    <w:t>2014</w:t>
                  </w:r>
                  <w:r>
                    <w:rPr>
                      <w:rFonts w:ascii="Arial" w:hAnsi="Arial" w:cs="Arial"/>
                      <w:i/>
                      <w:iCs/>
                      <w:color w:val="B8CCE4"/>
                      <w:sz w:val="28"/>
                      <w:szCs w:val="28"/>
                      <w:lang w:val="eu-ES"/>
                    </w:rPr>
                    <w:t>ko uztailaren 2a</w:t>
                  </w:r>
                </w:p>
                <w:p w:rsidR="00A327D4" w:rsidRPr="00645619" w:rsidRDefault="00A327D4" w:rsidP="009A00F2">
                  <w:pPr>
                    <w:pStyle w:val="Sinespaciado"/>
                    <w:jc w:val="right"/>
                    <w:rPr>
                      <w:rFonts w:ascii="Arial" w:hAnsi="Arial" w:cs="Arial"/>
                      <w:color w:val="B8CCE4"/>
                      <w:sz w:val="28"/>
                      <w:szCs w:val="28"/>
                      <w:lang w:val="eu-ES"/>
                    </w:rPr>
                  </w:pPr>
                </w:p>
                <w:p w:rsidR="00A327D4" w:rsidRPr="00645619" w:rsidRDefault="00A327D4" w:rsidP="009A00F2">
                  <w:pPr>
                    <w:pStyle w:val="Sinespaciado"/>
                    <w:jc w:val="right"/>
                    <w:rPr>
                      <w:rFonts w:ascii="Arial" w:hAnsi="Arial" w:cs="Arial"/>
                      <w:color w:val="B8CCE4"/>
                      <w:sz w:val="28"/>
                      <w:szCs w:val="28"/>
                      <w:lang w:val="eu-ES"/>
                    </w:rPr>
                  </w:pPr>
                </w:p>
                <w:p w:rsidR="00A327D4" w:rsidRPr="00645619" w:rsidRDefault="00A327D4" w:rsidP="009A00F2">
                  <w:pPr>
                    <w:pStyle w:val="Sinespaciado"/>
                    <w:jc w:val="right"/>
                    <w:rPr>
                      <w:rFonts w:ascii="Arial" w:hAnsi="Arial" w:cs="Arial"/>
                      <w:color w:val="B8CCE4"/>
                      <w:sz w:val="26"/>
                      <w:szCs w:val="26"/>
                      <w:lang w:val="eu-ES"/>
                    </w:rPr>
                  </w:pPr>
                </w:p>
                <w:p w:rsidR="00A327D4" w:rsidRPr="00645619" w:rsidRDefault="00A327D4" w:rsidP="009A00F2">
                  <w:pPr>
                    <w:pStyle w:val="Sinespaciado"/>
                    <w:jc w:val="right"/>
                    <w:rPr>
                      <w:rFonts w:ascii="Arial" w:hAnsi="Arial" w:cs="Arial"/>
                      <w:color w:val="B8CCE4"/>
                      <w:sz w:val="26"/>
                      <w:szCs w:val="26"/>
                      <w:lang w:val="eu-ES"/>
                    </w:rPr>
                  </w:pPr>
                  <w:r w:rsidRPr="00645619">
                    <w:rPr>
                      <w:rFonts w:ascii="Arial" w:hAnsi="Arial" w:cs="Arial"/>
                      <w:i/>
                      <w:iCs/>
                      <w:color w:val="B8CCE4"/>
                      <w:sz w:val="26"/>
                      <w:szCs w:val="26"/>
                      <w:lang w:val="eu-ES" w:eastAsia="en-US"/>
                    </w:rPr>
                    <w:t>Enplegu eta Gizarte Gaietako Sailaren Estatistika</w:t>
                  </w:r>
                  <w:r>
                    <w:rPr>
                      <w:rFonts w:ascii="Arial" w:hAnsi="Arial" w:cs="Arial"/>
                      <w:i/>
                      <w:iCs/>
                      <w:color w:val="B8CCE4"/>
                      <w:sz w:val="26"/>
                      <w:szCs w:val="26"/>
                      <w:lang w:val="eu-ES" w:eastAsia="en-US"/>
                    </w:rPr>
                    <w:t xml:space="preserve"> O</w:t>
                  </w:r>
                  <w:r w:rsidRPr="00645619">
                    <w:rPr>
                      <w:rFonts w:ascii="Arial" w:hAnsi="Arial" w:cs="Arial"/>
                      <w:i/>
                      <w:iCs/>
                      <w:color w:val="B8CCE4"/>
                      <w:sz w:val="26"/>
                      <w:szCs w:val="26"/>
                      <w:lang w:val="eu-ES" w:eastAsia="en-US"/>
                    </w:rPr>
                    <w:t xml:space="preserve">rgano </w:t>
                  </w:r>
                  <w:r>
                    <w:rPr>
                      <w:rFonts w:ascii="Arial" w:hAnsi="Arial" w:cs="Arial"/>
                      <w:i/>
                      <w:iCs/>
                      <w:color w:val="B8CCE4"/>
                      <w:sz w:val="26"/>
                      <w:szCs w:val="26"/>
                      <w:lang w:val="eu-ES" w:eastAsia="en-US"/>
                    </w:rPr>
                    <w:t>E</w:t>
                  </w:r>
                  <w:r w:rsidRPr="00645619">
                    <w:rPr>
                      <w:rFonts w:ascii="Arial" w:hAnsi="Arial" w:cs="Arial"/>
                      <w:i/>
                      <w:iCs/>
                      <w:color w:val="B8CCE4"/>
                      <w:sz w:val="26"/>
                      <w:szCs w:val="26"/>
                      <w:lang w:val="eu-ES" w:eastAsia="en-US"/>
                    </w:rPr>
                    <w:t>spezifikoa</w:t>
                  </w:r>
                  <w:r>
                    <w:rPr>
                      <w:rFonts w:ascii="Arial" w:hAnsi="Arial" w:cs="Arial"/>
                      <w:i/>
                      <w:iCs/>
                      <w:color w:val="B8CCE4"/>
                      <w:sz w:val="26"/>
                      <w:szCs w:val="26"/>
                      <w:lang w:val="eu-ES" w:eastAsia="en-US"/>
                    </w:rPr>
                    <w:t>,</w:t>
                  </w:r>
                  <w:r w:rsidRPr="00645619">
                    <w:rPr>
                      <w:rFonts w:ascii="Arial" w:hAnsi="Arial" w:cs="Arial"/>
                      <w:i/>
                      <w:iCs/>
                      <w:color w:val="B8CCE4"/>
                      <w:sz w:val="26"/>
                      <w:szCs w:val="26"/>
                      <w:lang w:val="eu-ES" w:eastAsia="en-US"/>
                    </w:rPr>
                    <w:t xml:space="preserve"> Ikertalde</w:t>
                  </w:r>
                  <w:r>
                    <w:rPr>
                      <w:rFonts w:ascii="Arial" w:hAnsi="Arial" w:cs="Arial"/>
                      <w:i/>
                      <w:iCs/>
                      <w:color w:val="B8CCE4"/>
                      <w:sz w:val="26"/>
                      <w:szCs w:val="26"/>
                      <w:lang w:val="eu-ES" w:eastAsia="en-US"/>
                    </w:rPr>
                    <w:t>rekin lankidetzan</w:t>
                  </w:r>
                </w:p>
              </w:txbxContent>
            </v:textbox>
          </v:rect>
        </w:pict>
      </w:r>
      <w:r>
        <w:rPr>
          <w:noProof/>
          <w:lang w:eastAsia="es-ES"/>
        </w:rPr>
        <w:pict>
          <v:rect id="_x0000_s1027" style="position:absolute;left:0;text-align:left;margin-left:-65.9pt;margin-top:-66.1pt;width:563.65pt;height:793.05pt;z-index:251663360;v-text-anchor:middle" fillcolor="#8c8c8c" strokecolor="white" strokeweight="1pt">
            <v:fill r:id="rId9" o:title="" color2="#bfbfbf" type="pattern"/>
            <v:shadow color="#d8d8d8" offset="3pt,3pt" offset2="2pt,2pt"/>
          </v:rect>
        </w:pict>
      </w:r>
      <w:r w:rsidR="001451B1" w:rsidRPr="001E2F6E">
        <w:rPr>
          <w:noProof/>
          <w:lang w:eastAsia="es-ES"/>
        </w:rPr>
        <w:drawing>
          <wp:anchor distT="0" distB="0" distL="114300" distR="114300" simplePos="0" relativeHeight="251666432" behindDoc="0" locked="0" layoutInCell="1" allowOverlap="1">
            <wp:simplePos x="0" y="0"/>
            <wp:positionH relativeFrom="column">
              <wp:posOffset>2070735</wp:posOffset>
            </wp:positionH>
            <wp:positionV relativeFrom="paragraph">
              <wp:posOffset>-835660</wp:posOffset>
            </wp:positionV>
            <wp:extent cx="4286250" cy="1152525"/>
            <wp:effectExtent l="19050" t="0" r="0" b="0"/>
            <wp:wrapNone/>
            <wp:docPr id="4" name="Imagen 448" descr="logo empl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48" descr="logo empleo"/>
                    <pic:cNvPicPr>
                      <a:picLocks noChangeAspect="1" noChangeArrowheads="1"/>
                    </pic:cNvPicPr>
                  </pic:nvPicPr>
                  <pic:blipFill>
                    <a:blip r:embed="rId10"/>
                    <a:srcRect/>
                    <a:stretch>
                      <a:fillRect/>
                    </a:stretch>
                  </pic:blipFill>
                  <pic:spPr bwMode="auto">
                    <a:xfrm>
                      <a:off x="0" y="0"/>
                      <a:ext cx="4286250" cy="1152525"/>
                    </a:xfrm>
                    <a:prstGeom prst="rect">
                      <a:avLst/>
                    </a:prstGeom>
                    <a:noFill/>
                  </pic:spPr>
                </pic:pic>
              </a:graphicData>
            </a:graphic>
          </wp:anchor>
        </w:drawing>
      </w:r>
    </w:p>
    <w:p w:rsidR="004A72E7" w:rsidRPr="001E2F6E" w:rsidRDefault="004A72E7"/>
    <w:p w:rsidR="004A72E7" w:rsidRPr="001E2F6E" w:rsidRDefault="00A327D4">
      <w:pPr>
        <w:spacing w:after="200" w:line="276" w:lineRule="auto"/>
        <w:jc w:val="left"/>
      </w:pPr>
      <w:r>
        <w:rPr>
          <w:noProof/>
          <w:lang w:eastAsia="es-ES"/>
        </w:rPr>
        <w:pict>
          <v:group id="_x0000_s1029" style="position:absolute;margin-left:-66.8pt;margin-top:27.65pt;width:152.1pt;height:322.65pt;z-index:251665408" coordorigin="654,3599" coordsize="2880,5760">
            <v:rect id="_x0000_s1030" style="position:absolute;left:2094;top:6479;width:1440;height:1440;flip:x;v-text-anchor:middle" fillcolor="#a7bfde" strokecolor="white" strokeweight="1pt">
              <v:fill opacity="52429f"/>
              <v:shadow color="#d8d8d8" offset="3pt,3pt" offset2="2pt,2pt"/>
            </v:rect>
            <v:rect id="_x0000_s1031" style="position:absolute;left:2094;top:5039;width:1440;height:1440;flip:x;v-text-anchor:middle" fillcolor="#a7bfde" strokecolor="white" strokeweight="1pt">
              <v:fill opacity=".5"/>
              <v:shadow color="#d8d8d8" offset="3pt,3pt" offset2="2pt,2pt"/>
            </v:rect>
            <v:rect id="_x0000_s1032" style="position:absolute;left:654;top:5039;width:1440;height:1440;flip:x;v-text-anchor:middle" fillcolor="#a7bfde" strokecolor="white" strokeweight="1pt">
              <v:fill opacity="52429f"/>
              <v:shadow color="#d8d8d8" offset="3pt,3pt" offset2="2pt,2pt"/>
            </v:rect>
            <v:rect id="_x0000_s1033" style="position:absolute;left:654;top:3599;width:1440;height:1440;flip:x;v-text-anchor:middle" fillcolor="#a7bfde" strokecolor="white" strokeweight="1pt">
              <v:fill opacity=".5"/>
              <v:shadow color="#d8d8d8" offset="3pt,3pt" offset2="2pt,2pt"/>
            </v:rect>
            <v:rect id="_x0000_s1034" style="position:absolute;left:654;top:6479;width:1440;height:1440;flip:x;v-text-anchor:middle" fillcolor="#a7bfde" strokecolor="white" strokeweight="1pt">
              <v:fill opacity=".5"/>
              <v:shadow color="#d8d8d8" offset="3pt,3pt" offset2="2pt,2pt"/>
            </v:rect>
            <v:rect id="_x0000_s1035" style="position:absolute;left:2094;top:7919;width:1440;height:1440;flip:x;v-text-anchor:middle" fillcolor="#a7bfde" strokecolor="white" strokeweight="1pt">
              <v:fill opacity=".5"/>
              <v:shadow color="#d8d8d8" offset="3pt,3pt" offset2="2pt,2pt"/>
            </v:rect>
          </v:group>
        </w:pict>
      </w:r>
      <w:r>
        <w:rPr>
          <w:noProof/>
          <w:lang w:eastAsia="es-ES"/>
        </w:rPr>
        <w:pict>
          <v:group id="_x0000_s1036" style="position:absolute;margin-left:85.45pt;margin-top:576.85pt;width:397.25pt;height:73.45pt;z-index:251662336" coordorigin="3446,13758" coordsize="8169,1382">
            <v:group id="_x0000_s1037" style="position:absolute;left:10833;top:14380;width:782;height:760;flip:x y" coordorigin="8754,11945" coordsize="2880,2859">
              <v:rect id="_x0000_s1038" style="position:absolute;left:10194;top:11945;width:1440;height:1440;flip:x;v-text-anchor:middle" fillcolor="#bfbfbf" strokecolor="white" strokeweight="1pt">
                <v:fill opacity=".5"/>
                <v:shadow color="#d8d8d8" offset="3pt,3pt" offset2="2pt,2pt"/>
              </v:rect>
              <v:rect id="_x0000_s1039" style="position:absolute;left:10194;top:13364;width:1440;height:1440;flip:x;v-text-anchor:middle" fillcolor="#c0504d" strokecolor="white" strokeweight="1pt">
                <v:shadow color="#d8d8d8" offset="3pt,3pt" offset2="2pt,2pt"/>
              </v:rect>
              <v:rect id="_x0000_s1040" style="position:absolute;left:8754;top:13364;width:1440;height:1440;flip:x;v-text-anchor:middle" fillcolor="#bfbfbf" strokecolor="white" strokeweight="1pt">
                <v:fill opacity=".5"/>
                <v:shadow color="#d8d8d8" offset="3pt,3pt" offset2="2pt,2pt"/>
              </v:rect>
            </v:group>
            <v:rect id="_x0000_s1041" style="position:absolute;left:3446;top:13758;width:7105;height:1382;v-text-anchor:bottom" filled="f" stroked="f" strokecolor="white" strokeweight="1pt">
              <v:fill opacity="52429f"/>
              <v:shadow color="#d8d8d8" offset="3pt,3pt" offset2="2pt,2pt"/>
              <v:textbox style="mso-next-textbox:#_x0000_s1041" inset=",0,,0">
                <w:txbxContent>
                  <w:p w:rsidR="00A327D4" w:rsidRPr="0091058E" w:rsidRDefault="00A327D4">
                    <w:pPr>
                      <w:pStyle w:val="Sinespaciado"/>
                      <w:jc w:val="right"/>
                      <w:rPr>
                        <w:color w:val="FFFFFF"/>
                      </w:rPr>
                    </w:pPr>
                    <w:r w:rsidRPr="0091058E">
                      <w:rPr>
                        <w:color w:val="FFFFFF"/>
                      </w:rPr>
                      <w:t>IKERTALDE</w:t>
                    </w:r>
                  </w:p>
                  <w:p w:rsidR="00A327D4" w:rsidRPr="0091058E" w:rsidRDefault="00A327D4">
                    <w:pPr>
                      <w:pStyle w:val="Sinespaciado"/>
                      <w:jc w:val="right"/>
                      <w:rPr>
                        <w:color w:val="FFFFFF"/>
                      </w:rPr>
                    </w:pPr>
                    <w:r w:rsidRPr="0091058E">
                      <w:rPr>
                        <w:color w:val="FFFFFF"/>
                      </w:rPr>
                      <w:t>[Escribir el nombre de la compañía]</w:t>
                    </w:r>
                  </w:p>
                  <w:p w:rsidR="00A327D4" w:rsidRPr="0091058E" w:rsidRDefault="00A327D4">
                    <w:pPr>
                      <w:pStyle w:val="Sinespaciado"/>
                      <w:jc w:val="right"/>
                      <w:rPr>
                        <w:color w:val="FFFFFF"/>
                      </w:rPr>
                    </w:pPr>
                    <w:r w:rsidRPr="0091058E">
                      <w:rPr>
                        <w:color w:val="FFFFFF"/>
                      </w:rPr>
                      <w:t>[Seleccionar fecha]</w:t>
                    </w:r>
                  </w:p>
                </w:txbxContent>
              </v:textbox>
            </v:rect>
          </v:group>
        </w:pict>
      </w:r>
      <w:r w:rsidR="004A72E7" w:rsidRPr="001E2F6E">
        <w:br w:type="page"/>
      </w:r>
    </w:p>
    <w:p w:rsidR="004A72E7" w:rsidRPr="001E2F6E" w:rsidRDefault="004A72E7" w:rsidP="00E60057">
      <w:pPr>
        <w:pStyle w:val="Encabezado"/>
      </w:pPr>
    </w:p>
    <w:p w:rsidR="004A72E7" w:rsidRPr="001E2F6E" w:rsidRDefault="004A72E7" w:rsidP="00E60057">
      <w:pPr>
        <w:pStyle w:val="Encabezado"/>
      </w:pPr>
    </w:p>
    <w:p w:rsidR="004A72E7" w:rsidRPr="001E2F6E" w:rsidRDefault="004A72E7" w:rsidP="00E60057">
      <w:pPr>
        <w:pStyle w:val="Encabezado"/>
      </w:pPr>
    </w:p>
    <w:p w:rsidR="004A72E7" w:rsidRPr="001E2F6E" w:rsidRDefault="004A72E7" w:rsidP="008D525B"/>
    <w:p w:rsidR="004A72E7" w:rsidRPr="001E2F6E" w:rsidRDefault="004A72E7" w:rsidP="008D525B"/>
    <w:p w:rsidR="004A72E7" w:rsidRPr="001E2F6E" w:rsidRDefault="004A72E7" w:rsidP="008D525B"/>
    <w:p w:rsidR="004A72E7" w:rsidRPr="001E2F6E" w:rsidRDefault="004A72E7" w:rsidP="008D525B"/>
    <w:p w:rsidR="004A72E7" w:rsidRPr="001E2F6E" w:rsidRDefault="004A72E7" w:rsidP="008D525B"/>
    <w:p w:rsidR="004A72E7" w:rsidRPr="001E2F6E" w:rsidRDefault="004A72E7" w:rsidP="008D525B"/>
    <w:p w:rsidR="004A72E7" w:rsidRPr="001E2F6E" w:rsidRDefault="004A72E7" w:rsidP="008D525B"/>
    <w:p w:rsidR="004A72E7" w:rsidRPr="001E2F6E" w:rsidRDefault="004A72E7" w:rsidP="008D525B"/>
    <w:p w:rsidR="004A72E7" w:rsidRPr="001E2F6E" w:rsidRDefault="004A72E7" w:rsidP="008D525B"/>
    <w:p w:rsidR="004A72E7" w:rsidRPr="001E2F6E" w:rsidRDefault="004A72E7" w:rsidP="008D525B"/>
    <w:p w:rsidR="004A72E7" w:rsidRPr="001E2F6E" w:rsidRDefault="004A72E7" w:rsidP="008D525B"/>
    <w:p w:rsidR="004A72E7" w:rsidRPr="001E2F6E" w:rsidRDefault="004A72E7" w:rsidP="00A20D15">
      <w:pPr>
        <w:suppressAutoHyphens/>
        <w:autoSpaceDE w:val="0"/>
        <w:autoSpaceDN w:val="0"/>
        <w:adjustRightInd w:val="0"/>
        <w:spacing w:line="264" w:lineRule="auto"/>
        <w:jc w:val="center"/>
        <w:textAlignment w:val="center"/>
        <w:rPr>
          <w:b/>
          <w:bCs/>
          <w:spacing w:val="4"/>
          <w:sz w:val="38"/>
          <w:szCs w:val="38"/>
        </w:rPr>
      </w:pPr>
    </w:p>
    <w:p w:rsidR="004A72E7" w:rsidRPr="001E2F6E" w:rsidRDefault="004A72E7" w:rsidP="00581576"/>
    <w:p w:rsidR="004A72E7" w:rsidRPr="001E2F6E" w:rsidRDefault="004A72E7" w:rsidP="00581576"/>
    <w:p w:rsidR="004A72E7" w:rsidRPr="001E2F6E" w:rsidRDefault="004A72E7" w:rsidP="00581576"/>
    <w:p w:rsidR="004A72E7" w:rsidRPr="001E2F6E" w:rsidRDefault="004A72E7" w:rsidP="00581576"/>
    <w:p w:rsidR="004A72E7" w:rsidRPr="001E2F6E" w:rsidRDefault="004A72E7" w:rsidP="00581576"/>
    <w:p w:rsidR="004A72E7" w:rsidRPr="001E2F6E" w:rsidRDefault="004A72E7" w:rsidP="00581576"/>
    <w:p w:rsidR="004A72E7" w:rsidRPr="001E2F6E" w:rsidRDefault="004A72E7" w:rsidP="00581576"/>
    <w:p w:rsidR="004A72E7" w:rsidRPr="001E2F6E" w:rsidRDefault="004A72E7" w:rsidP="00581576"/>
    <w:p w:rsidR="004A72E7" w:rsidRPr="001E2F6E" w:rsidRDefault="004A72E7" w:rsidP="00581576"/>
    <w:p w:rsidR="004A72E7" w:rsidRPr="001E2F6E" w:rsidRDefault="004A72E7" w:rsidP="00581576"/>
    <w:p w:rsidR="004A72E7" w:rsidRPr="001E2F6E" w:rsidRDefault="004A72E7" w:rsidP="00581576"/>
    <w:p w:rsidR="004A72E7" w:rsidRPr="001E2F6E" w:rsidRDefault="004A72E7" w:rsidP="00581576"/>
    <w:p w:rsidR="004A72E7" w:rsidRPr="001E2F6E" w:rsidRDefault="004A72E7" w:rsidP="00581576"/>
    <w:p w:rsidR="004A72E7" w:rsidRPr="001E2F6E" w:rsidRDefault="004A72E7" w:rsidP="00581576"/>
    <w:p w:rsidR="004A72E7" w:rsidRPr="001E2F6E" w:rsidRDefault="004A72E7" w:rsidP="008D525B">
      <w:pPr>
        <w:rPr>
          <w:i/>
          <w:iCs/>
        </w:rPr>
      </w:pPr>
    </w:p>
    <w:p w:rsidR="004A72E7" w:rsidRPr="001E2F6E" w:rsidRDefault="004A72E7" w:rsidP="008D525B">
      <w:pPr>
        <w:rPr>
          <w:i/>
          <w:iCs/>
        </w:rPr>
      </w:pPr>
    </w:p>
    <w:p w:rsidR="004A72E7" w:rsidRPr="001E2F6E" w:rsidRDefault="004A72E7">
      <w:pPr>
        <w:spacing w:after="200" w:line="276" w:lineRule="auto"/>
        <w:jc w:val="left"/>
        <w:rPr>
          <w:b/>
          <w:bCs/>
          <w:snapToGrid w:val="0"/>
          <w:sz w:val="28"/>
          <w:szCs w:val="28"/>
          <w:lang w:eastAsia="es-ES"/>
        </w:rPr>
      </w:pPr>
      <w:r w:rsidRPr="001E2F6E">
        <w:br w:type="page"/>
      </w:r>
    </w:p>
    <w:p w:rsidR="004A72E7" w:rsidRPr="001E2F6E" w:rsidRDefault="004A72E7">
      <w:pPr>
        <w:spacing w:after="200" w:line="276" w:lineRule="auto"/>
        <w:jc w:val="left"/>
        <w:rPr>
          <w:b/>
          <w:bCs/>
          <w:snapToGrid w:val="0"/>
          <w:sz w:val="28"/>
          <w:szCs w:val="28"/>
          <w:lang w:eastAsia="es-ES"/>
        </w:rPr>
      </w:pPr>
    </w:p>
    <w:p w:rsidR="004A72E7" w:rsidRPr="001E2F6E" w:rsidRDefault="004A72E7" w:rsidP="00A57205">
      <w:pPr>
        <w:pStyle w:val="Ttulo1"/>
      </w:pPr>
      <w:bookmarkStart w:id="0" w:name="_Toc392585650"/>
      <w:r w:rsidRPr="001E2F6E">
        <w:rPr>
          <w:lang w:val="eu-ES"/>
        </w:rPr>
        <w:t>SARRERA</w:t>
      </w:r>
      <w:bookmarkEnd w:id="0"/>
    </w:p>
    <w:p w:rsidR="004A72E7" w:rsidRPr="001E2F6E" w:rsidRDefault="004A72E7" w:rsidP="00E60057"/>
    <w:p w:rsidR="004A72E7" w:rsidRPr="001E2F6E" w:rsidRDefault="004A72E7" w:rsidP="00D630AF">
      <w:r w:rsidRPr="001E2F6E">
        <w:rPr>
          <w:lang w:val="eu-ES"/>
        </w:rPr>
        <w:t>Eusko Jaurlaritzako Enplegu eta Gizarte Gaietako Sailaren Estatistika Organo Espezifikoak, Ikertalderekin lankidetzan, Gizarte Ekonomiaren hamargarren Estatistika egin du.</w:t>
      </w:r>
      <w:r w:rsidRPr="001E2F6E">
        <w:t xml:space="preserve"> </w:t>
      </w:r>
      <w:r w:rsidRPr="001E2F6E">
        <w:rPr>
          <w:lang w:val="eu-ES"/>
        </w:rPr>
        <w:t>Estatistika-eragiketa honen helburua da Euskal Autonomia Erkidegoko (EAE) ekonomia-sarearen testuinguruan Gizarte Ekonomiaren neurriak eta ezaugarriak zehaztea, eta aurreko urteen aldean zer-nolako bilakaera izan duen adieraztea.</w:t>
      </w:r>
      <w:r w:rsidRPr="001E2F6E">
        <w:t xml:space="preserve"> </w:t>
      </w:r>
    </w:p>
    <w:p w:rsidR="004A72E7" w:rsidRPr="001E2F6E" w:rsidRDefault="004A72E7" w:rsidP="00D630AF"/>
    <w:p w:rsidR="004A72E7" w:rsidRPr="001E2F6E" w:rsidRDefault="004A72E7" w:rsidP="00D630AF">
      <w:r w:rsidRPr="001E2F6E">
        <w:rPr>
          <w:lang w:val="eu-ES"/>
        </w:rPr>
        <w:t>Dokumentu honek Gizarte Ekonomiaren magnitude estatistiko nagusiak aurkezten ditu, lau ataletan.</w:t>
      </w:r>
    </w:p>
    <w:p w:rsidR="004A72E7" w:rsidRPr="001E2F6E" w:rsidRDefault="004A72E7" w:rsidP="00D630AF"/>
    <w:p w:rsidR="004A72E7" w:rsidRPr="001E2F6E" w:rsidRDefault="004A72E7" w:rsidP="001451B1">
      <w:pPr>
        <w:numPr>
          <w:ilvl w:val="0"/>
          <w:numId w:val="3"/>
        </w:numPr>
        <w:tabs>
          <w:tab w:val="clear" w:pos="360"/>
        </w:tabs>
        <w:ind w:left="720"/>
        <w:rPr>
          <w:lang w:val="eu-ES"/>
        </w:rPr>
      </w:pPr>
      <w:r w:rsidRPr="001E2F6E">
        <w:rPr>
          <w:lang w:val="eu-ES"/>
        </w:rPr>
        <w:t>Lehen atalean, Gizarte Ekonomiaren Forma Klasikoek (GEFK) 2010-2012 biurtekoan izandako bilakaera ikus daiteke. Kategoria horretan, kooperatibak, lan-sozietate anonimoak (LSA) eta lan-sozietate mugatuak (LSM) daude. Establezimendu-kopuruaren eta enpleguaren bilakaeran jartzen da arreta, baita magnitude ekonomiko nagusien aldaketetan ere (sortutako BEGd-a, esportazioen portaera, produktibitate-ratioak, etab.). Aldagai horiek sektorearen, lurraldearen eta forma juridikoaren arabera aztertzen dira.</w:t>
      </w:r>
    </w:p>
    <w:p w:rsidR="004A72E7" w:rsidRPr="001E2F6E" w:rsidRDefault="004A72E7" w:rsidP="00D630AF">
      <w:pPr>
        <w:ind w:left="720"/>
        <w:rPr>
          <w:lang w:val="eu-ES"/>
        </w:rPr>
      </w:pPr>
    </w:p>
    <w:p w:rsidR="004A72E7" w:rsidRPr="001E2F6E" w:rsidRDefault="004A72E7" w:rsidP="001451B1">
      <w:pPr>
        <w:numPr>
          <w:ilvl w:val="0"/>
          <w:numId w:val="3"/>
        </w:numPr>
        <w:tabs>
          <w:tab w:val="clear" w:pos="360"/>
        </w:tabs>
        <w:ind w:left="720"/>
        <w:rPr>
          <w:lang w:val="eu-ES"/>
        </w:rPr>
      </w:pPr>
      <w:r w:rsidRPr="001E2F6E">
        <w:rPr>
          <w:lang w:val="eu-ES"/>
        </w:rPr>
        <w:t>Bigarren atalean, Gizarte Ekonomiaren kontuen 2013ko aurrerapenaren emaitzak aurkezten dira. Horri esker, kooperatibek eta lan-sozietateek etorkizunik hurbilean zer portaera izan dezaketen aurreikus daiteke.</w:t>
      </w:r>
    </w:p>
    <w:p w:rsidR="004A72E7" w:rsidRPr="001E2F6E" w:rsidRDefault="004A72E7" w:rsidP="00D630AF">
      <w:pPr>
        <w:ind w:left="720"/>
        <w:rPr>
          <w:lang w:val="eu-ES"/>
        </w:rPr>
      </w:pPr>
    </w:p>
    <w:p w:rsidR="004A72E7" w:rsidRPr="001E2F6E" w:rsidRDefault="004A72E7" w:rsidP="001451B1">
      <w:pPr>
        <w:numPr>
          <w:ilvl w:val="0"/>
          <w:numId w:val="3"/>
        </w:numPr>
        <w:tabs>
          <w:tab w:val="clear" w:pos="360"/>
        </w:tabs>
        <w:ind w:left="720"/>
        <w:rPr>
          <w:lang w:val="eu-ES"/>
        </w:rPr>
      </w:pPr>
      <w:r w:rsidRPr="001E2F6E">
        <w:rPr>
          <w:lang w:val="eu-ES"/>
        </w:rPr>
        <w:t>Hirugarren atalean, Gizarte Ekonomia osatzen duten enpresek azken urteetan krisi ekonomikoari aurre egiteko edota beren antolaketa- eta estrategia-kudeaketa hobetzeko estrategiak eta tresnak aztertzen dira.</w:t>
      </w:r>
    </w:p>
    <w:p w:rsidR="004A72E7" w:rsidRPr="001E2F6E" w:rsidRDefault="004A72E7" w:rsidP="00D630AF">
      <w:pPr>
        <w:ind w:left="720"/>
        <w:rPr>
          <w:lang w:val="eu-ES"/>
        </w:rPr>
      </w:pPr>
    </w:p>
    <w:p w:rsidR="004A72E7" w:rsidRPr="001E2F6E" w:rsidRDefault="004A72E7" w:rsidP="001451B1">
      <w:pPr>
        <w:numPr>
          <w:ilvl w:val="0"/>
          <w:numId w:val="3"/>
        </w:numPr>
        <w:tabs>
          <w:tab w:val="clear" w:pos="360"/>
        </w:tabs>
        <w:ind w:left="720"/>
        <w:rPr>
          <w:lang w:val="eu-ES"/>
        </w:rPr>
      </w:pPr>
      <w:r w:rsidRPr="001E2F6E">
        <w:rPr>
          <w:lang w:val="eu-ES"/>
        </w:rPr>
        <w:t xml:space="preserve">Laugarren atalean, Gizarte Ekonomiaren Forma Berriei (GEFB) heltzen zaie. Gizarte Ekonomiaren atal berri hori osatzen duten enpresei eta erakundeei buruzko oinarrizko datu batzuk ematen dira. Hona hemen enpresa eta erakunde horien tipologia: fundazioak, onura publikoko elkarteak, enplegu-zentro bereziak, gizarteratze-enpresak, eraldaketarako nekazaritza-sozietateak (ENS), arrantzale-kofradiak eta </w:t>
      </w:r>
      <w:r w:rsidRPr="001E2F6E">
        <w:rPr>
          <w:rStyle w:val="goian"/>
          <w:rFonts w:cs="Arial"/>
          <w:lang w:val="eu-ES"/>
        </w:rPr>
        <w:t>borondatezko gizarte-aurreikuspeneko erakundeak (BGAE).</w:t>
      </w:r>
    </w:p>
    <w:p w:rsidR="004A72E7" w:rsidRPr="001E2F6E" w:rsidRDefault="004A72E7" w:rsidP="00D630AF">
      <w:pPr>
        <w:rPr>
          <w:b/>
          <w:bCs/>
          <w:lang w:val="eu-ES"/>
        </w:rPr>
      </w:pPr>
    </w:p>
    <w:p w:rsidR="004A72E7" w:rsidRPr="001E2F6E" w:rsidRDefault="004A72E7" w:rsidP="008B47EF">
      <w:pPr>
        <w:rPr>
          <w:lang w:val="eu-ES"/>
        </w:rPr>
      </w:pPr>
      <w:r w:rsidRPr="001E2F6E">
        <w:rPr>
          <w:lang w:val="eu-ES"/>
        </w:rPr>
        <w:t>Hasieran, dokumentuan, Gizarte Ekonomiaren 2012ko Estatistikaren eta 2013ko Aurrerapenaren emaitza nagusiei buruzko azterketa sintetikoa egiten da. Eranskin estatistikoak aukera ematen du eragiketaren emaitza estatistikoetan zehatz-mehatz sakontzeko.</w:t>
      </w:r>
    </w:p>
    <w:p w:rsidR="004A72E7" w:rsidRPr="001E2F6E" w:rsidRDefault="004A72E7" w:rsidP="008B47EF">
      <w:pPr>
        <w:rPr>
          <w:lang w:val="eu-ES"/>
        </w:rPr>
      </w:pPr>
      <w:r w:rsidRPr="001E2F6E">
        <w:rPr>
          <w:lang w:val="eu-ES"/>
        </w:rPr>
        <w:t>.</w:t>
      </w:r>
      <w:r w:rsidRPr="001E2F6E">
        <w:rPr>
          <w:lang w:val="eu-ES"/>
        </w:rPr>
        <w:br w:type="page"/>
      </w:r>
    </w:p>
    <w:p w:rsidR="004A72E7" w:rsidRPr="001E2F6E" w:rsidRDefault="004A72E7">
      <w:pPr>
        <w:spacing w:after="200" w:line="276" w:lineRule="auto"/>
        <w:jc w:val="left"/>
        <w:rPr>
          <w:lang w:val="eu-ES"/>
        </w:rPr>
      </w:pPr>
      <w:r w:rsidRPr="001E2F6E">
        <w:rPr>
          <w:lang w:val="eu-ES"/>
        </w:rPr>
        <w:lastRenderedPageBreak/>
        <w:br w:type="page"/>
      </w:r>
    </w:p>
    <w:p w:rsidR="004A72E7" w:rsidRPr="001E2F6E" w:rsidRDefault="004A72E7" w:rsidP="00203C7A">
      <w:pPr>
        <w:pStyle w:val="ARIALNARROW"/>
        <w:spacing w:line="360" w:lineRule="auto"/>
        <w:ind w:left="227"/>
        <w:rPr>
          <w:lang w:val="eu-ES"/>
        </w:rPr>
      </w:pPr>
    </w:p>
    <w:p w:rsidR="004A72E7" w:rsidRPr="001E2F6E" w:rsidRDefault="004A72E7" w:rsidP="00203C7A">
      <w:pPr>
        <w:pStyle w:val="ARIALNARROW"/>
        <w:spacing w:line="360" w:lineRule="auto"/>
        <w:ind w:left="227"/>
        <w:rPr>
          <w:lang w:val="eu-ES"/>
        </w:rPr>
      </w:pPr>
    </w:p>
    <w:p w:rsidR="004A72E7" w:rsidRPr="001E2F6E" w:rsidRDefault="004A72E7" w:rsidP="00203C7A">
      <w:pPr>
        <w:pStyle w:val="ARIALNARROW"/>
        <w:spacing w:line="360" w:lineRule="auto"/>
        <w:ind w:left="227"/>
        <w:rPr>
          <w:lang w:val="eu-ES"/>
        </w:rPr>
      </w:pPr>
    </w:p>
    <w:p w:rsidR="004A72E7" w:rsidRPr="001E2F6E" w:rsidRDefault="004A72E7" w:rsidP="00203C7A">
      <w:pPr>
        <w:pStyle w:val="ARIALNARROW"/>
        <w:spacing w:line="360" w:lineRule="auto"/>
        <w:ind w:left="227"/>
        <w:rPr>
          <w:lang w:val="eu-ES"/>
        </w:rPr>
      </w:pPr>
    </w:p>
    <w:p w:rsidR="004A72E7" w:rsidRPr="001E2F6E" w:rsidRDefault="004A72E7" w:rsidP="00203C7A">
      <w:pPr>
        <w:pStyle w:val="ARIALNARROW"/>
        <w:spacing w:line="360" w:lineRule="auto"/>
        <w:ind w:left="227"/>
        <w:rPr>
          <w:lang w:val="eu-ES"/>
        </w:rPr>
      </w:pPr>
    </w:p>
    <w:p w:rsidR="004A72E7" w:rsidRPr="001E2F6E" w:rsidRDefault="004A72E7" w:rsidP="00203C7A">
      <w:pPr>
        <w:pStyle w:val="ARIALNARROW"/>
        <w:spacing w:line="360" w:lineRule="auto"/>
        <w:ind w:left="227"/>
        <w:rPr>
          <w:lang w:val="eu-ES"/>
        </w:rPr>
      </w:pPr>
    </w:p>
    <w:p w:rsidR="004A72E7" w:rsidRPr="001E2F6E" w:rsidRDefault="004A72E7" w:rsidP="00203C7A">
      <w:pPr>
        <w:pStyle w:val="ARIALNARROW"/>
        <w:spacing w:line="360" w:lineRule="auto"/>
        <w:ind w:left="227"/>
        <w:rPr>
          <w:lang w:val="eu-ES"/>
        </w:rPr>
      </w:pPr>
    </w:p>
    <w:p w:rsidR="004A72E7" w:rsidRPr="001E2F6E" w:rsidRDefault="004A72E7" w:rsidP="00203C7A">
      <w:pPr>
        <w:pStyle w:val="ARIALNARROW"/>
        <w:spacing w:line="360" w:lineRule="auto"/>
        <w:ind w:left="227"/>
        <w:rPr>
          <w:lang w:val="eu-ES"/>
        </w:rPr>
      </w:pPr>
    </w:p>
    <w:p w:rsidR="004A72E7" w:rsidRPr="001E2F6E" w:rsidRDefault="004A72E7" w:rsidP="00203C7A">
      <w:pPr>
        <w:pStyle w:val="ARIALNARROW"/>
        <w:spacing w:line="360" w:lineRule="auto"/>
        <w:ind w:left="227"/>
        <w:rPr>
          <w:lang w:val="eu-ES"/>
        </w:rPr>
      </w:pPr>
    </w:p>
    <w:p w:rsidR="004A72E7" w:rsidRPr="001E2F6E" w:rsidRDefault="004A72E7" w:rsidP="00203C7A">
      <w:pPr>
        <w:pStyle w:val="ARIALNARROW"/>
        <w:spacing w:line="360" w:lineRule="auto"/>
        <w:ind w:left="227"/>
        <w:rPr>
          <w:lang w:val="eu-ES"/>
        </w:rPr>
      </w:pPr>
    </w:p>
    <w:p w:rsidR="004A72E7" w:rsidRPr="001E2F6E" w:rsidRDefault="004A72E7" w:rsidP="00203C7A">
      <w:pPr>
        <w:pStyle w:val="ARIALNARROW"/>
        <w:spacing w:line="360" w:lineRule="auto"/>
        <w:ind w:left="227"/>
        <w:rPr>
          <w:lang w:val="eu-ES"/>
        </w:rPr>
      </w:pPr>
    </w:p>
    <w:p w:rsidR="004A72E7" w:rsidRPr="001E2F6E" w:rsidRDefault="004A72E7" w:rsidP="00203C7A">
      <w:pPr>
        <w:pStyle w:val="ARIALNARROW"/>
        <w:spacing w:line="360" w:lineRule="auto"/>
        <w:ind w:left="227"/>
        <w:rPr>
          <w:lang w:val="eu-ES"/>
        </w:rPr>
      </w:pPr>
    </w:p>
    <w:p w:rsidR="004A72E7" w:rsidRPr="001E2F6E" w:rsidRDefault="004A72E7" w:rsidP="00203C7A">
      <w:pPr>
        <w:pStyle w:val="ARIALNARROW"/>
        <w:spacing w:line="360" w:lineRule="auto"/>
        <w:ind w:left="227"/>
        <w:rPr>
          <w:lang w:val="eu-ES"/>
        </w:rPr>
      </w:pPr>
    </w:p>
    <w:p w:rsidR="004A72E7" w:rsidRPr="001E2F6E" w:rsidRDefault="004A72E7" w:rsidP="00203C7A">
      <w:pPr>
        <w:pStyle w:val="ARIALNARROW"/>
        <w:spacing w:line="360" w:lineRule="auto"/>
        <w:ind w:left="227"/>
        <w:rPr>
          <w:lang w:val="eu-ES"/>
        </w:rPr>
      </w:pPr>
    </w:p>
    <w:p w:rsidR="004A72E7" w:rsidRPr="001E2F6E" w:rsidRDefault="004A72E7" w:rsidP="00203C7A">
      <w:pPr>
        <w:pStyle w:val="ARIALNARROW"/>
        <w:spacing w:line="360" w:lineRule="auto"/>
        <w:ind w:left="227"/>
        <w:rPr>
          <w:lang w:val="eu-ES"/>
        </w:rPr>
      </w:pPr>
    </w:p>
    <w:p w:rsidR="004A72E7" w:rsidRPr="001E2F6E" w:rsidRDefault="004A72E7" w:rsidP="00203C7A">
      <w:pPr>
        <w:pStyle w:val="ARIALNARROW"/>
        <w:spacing w:line="360" w:lineRule="auto"/>
        <w:ind w:left="227"/>
        <w:rPr>
          <w:lang w:val="eu-ES"/>
        </w:rPr>
      </w:pPr>
    </w:p>
    <w:p w:rsidR="004A72E7" w:rsidRPr="001E2F6E" w:rsidRDefault="004A72E7" w:rsidP="00203C7A">
      <w:pPr>
        <w:pStyle w:val="Ttulo1"/>
        <w:pBdr>
          <w:bottom w:val="single" w:sz="4" w:space="1" w:color="BFBFBF"/>
        </w:pBdr>
        <w:jc w:val="center"/>
        <w:rPr>
          <w:sz w:val="32"/>
          <w:szCs w:val="32"/>
          <w:lang w:val="eu-ES"/>
        </w:rPr>
      </w:pPr>
      <w:bookmarkStart w:id="1" w:name="_Toc392585651"/>
      <w:r w:rsidRPr="001E2F6E">
        <w:rPr>
          <w:sz w:val="32"/>
          <w:szCs w:val="32"/>
          <w:lang w:val="eu-ES"/>
        </w:rPr>
        <w:t>EMAITZA NAGUSIAK</w:t>
      </w:r>
      <w:bookmarkEnd w:id="1"/>
    </w:p>
    <w:p w:rsidR="004A72E7" w:rsidRPr="001E2F6E" w:rsidRDefault="004A72E7">
      <w:pPr>
        <w:spacing w:after="200" w:line="276" w:lineRule="auto"/>
        <w:jc w:val="left"/>
        <w:rPr>
          <w:b/>
          <w:bCs/>
          <w:snapToGrid w:val="0"/>
          <w:sz w:val="28"/>
          <w:szCs w:val="28"/>
          <w:lang w:val="eu-ES" w:eastAsia="es-ES"/>
        </w:rPr>
      </w:pPr>
      <w:r w:rsidRPr="001E2F6E">
        <w:rPr>
          <w:lang w:val="eu-ES"/>
        </w:rPr>
        <w:br w:type="page"/>
      </w:r>
    </w:p>
    <w:p w:rsidR="004A72E7" w:rsidRPr="001E2F6E" w:rsidRDefault="004A72E7">
      <w:pPr>
        <w:spacing w:after="200" w:line="276" w:lineRule="auto"/>
        <w:jc w:val="left"/>
        <w:rPr>
          <w:b/>
          <w:bCs/>
          <w:snapToGrid w:val="0"/>
          <w:sz w:val="28"/>
          <w:szCs w:val="28"/>
          <w:lang w:val="eu-ES" w:eastAsia="es-ES"/>
        </w:rPr>
      </w:pPr>
      <w:r w:rsidRPr="001E2F6E">
        <w:rPr>
          <w:lang w:val="eu-ES"/>
        </w:rPr>
        <w:lastRenderedPageBreak/>
        <w:br w:type="page"/>
      </w:r>
    </w:p>
    <w:p w:rsidR="004A72E7" w:rsidRPr="001E2F6E" w:rsidRDefault="004A72E7" w:rsidP="00022DE2">
      <w:pPr>
        <w:pStyle w:val="Ttulo1"/>
        <w:rPr>
          <w:lang w:val="eu-ES"/>
        </w:rPr>
      </w:pPr>
      <w:bookmarkStart w:id="2" w:name="_Toc392585652"/>
      <w:r w:rsidRPr="001E2F6E">
        <w:rPr>
          <w:lang w:val="eu-ES"/>
        </w:rPr>
        <w:lastRenderedPageBreak/>
        <w:t>I.</w:t>
      </w:r>
      <w:r w:rsidRPr="001E2F6E">
        <w:rPr>
          <w:lang w:val="eu-ES"/>
        </w:rPr>
        <w:tab/>
        <w:t>GIZARTE EKONOMIAREN FORMA KLASIKOAK (GEFK), 2012</w:t>
      </w:r>
      <w:bookmarkEnd w:id="2"/>
    </w:p>
    <w:p w:rsidR="004A72E7" w:rsidRPr="001E2F6E" w:rsidRDefault="004A72E7" w:rsidP="00581576">
      <w:pPr>
        <w:rPr>
          <w:lang w:val="eu-ES"/>
        </w:rPr>
      </w:pPr>
    </w:p>
    <w:p w:rsidR="004A72E7" w:rsidRPr="001E2F6E" w:rsidRDefault="004A72E7" w:rsidP="00E6313A">
      <w:pPr>
        <w:pStyle w:val="Ttulo2"/>
        <w:rPr>
          <w:lang w:val="eu-ES"/>
        </w:rPr>
      </w:pPr>
      <w:bookmarkStart w:id="3" w:name="_Toc392585653"/>
      <w:r w:rsidRPr="001E2F6E">
        <w:rPr>
          <w:lang w:val="eu-ES"/>
        </w:rPr>
        <w:t>2010tik 2012ra bitartean, Gizarte Ekonomiako enpleguak behera egin zuen</w:t>
      </w:r>
      <w:bookmarkEnd w:id="3"/>
    </w:p>
    <w:p w:rsidR="004A72E7" w:rsidRPr="001E2F6E" w:rsidRDefault="004A72E7" w:rsidP="00220D57">
      <w:pPr>
        <w:rPr>
          <w:lang w:val="eu-ES"/>
        </w:rPr>
      </w:pPr>
    </w:p>
    <w:p w:rsidR="004A72E7" w:rsidRPr="001E2F6E" w:rsidRDefault="004A72E7" w:rsidP="001451B1">
      <w:pPr>
        <w:pStyle w:val="ARIALNARROW"/>
        <w:numPr>
          <w:ilvl w:val="0"/>
          <w:numId w:val="2"/>
        </w:numPr>
        <w:spacing w:line="360" w:lineRule="auto"/>
        <w:ind w:left="426" w:hanging="426"/>
        <w:rPr>
          <w:i/>
          <w:iCs/>
          <w:lang w:val="eu-ES"/>
        </w:rPr>
      </w:pPr>
      <w:r w:rsidRPr="001E2F6E">
        <w:rPr>
          <w:b/>
          <w:bCs/>
          <w:lang w:val="eu-ES"/>
        </w:rPr>
        <w:t xml:space="preserve"> </w:t>
      </w:r>
      <w:r w:rsidRPr="001E2F6E">
        <w:rPr>
          <w:b/>
          <w:bCs/>
          <w:lang w:val="eu-ES"/>
        </w:rPr>
        <w:tab/>
        <w:t>2010-2012 biurtekoan, Gizarte Ekonomiako enpleguak behera egin zuen</w:t>
      </w:r>
    </w:p>
    <w:p w:rsidR="004A72E7" w:rsidRPr="001E2F6E" w:rsidRDefault="004A72E7" w:rsidP="00E60057">
      <w:pPr>
        <w:pStyle w:val="ARIALNARROW"/>
        <w:spacing w:line="360" w:lineRule="auto"/>
        <w:ind w:left="709" w:hanging="709"/>
        <w:rPr>
          <w:i/>
          <w:iCs/>
          <w:lang w:val="eu-ES"/>
        </w:rPr>
      </w:pPr>
    </w:p>
    <w:p w:rsidR="004A72E7" w:rsidRPr="001E2F6E" w:rsidRDefault="004A72E7" w:rsidP="009A00F2">
      <w:pPr>
        <w:pStyle w:val="ARIALNARROW"/>
        <w:spacing w:line="360" w:lineRule="auto"/>
        <w:ind w:left="426" w:hanging="426"/>
        <w:rPr>
          <w:lang w:val="eu-ES"/>
        </w:rPr>
      </w:pPr>
      <w:r w:rsidRPr="001E2F6E">
        <w:rPr>
          <w:lang w:val="eu-ES"/>
        </w:rPr>
        <w:tab/>
        <w:t>2010-2012 biurtekoan, nabarmen jaitsi zen enplegua EAEko Gizarte Ekonomiaren forma klasikoetan</w:t>
      </w:r>
      <w:r w:rsidRPr="001E2F6E">
        <w:rPr>
          <w:rStyle w:val="Refdenotaalpie"/>
          <w:rFonts w:cs="Arial"/>
          <w:lang w:val="eu-ES"/>
        </w:rPr>
        <w:footnoteReference w:id="1"/>
      </w:r>
      <w:r w:rsidRPr="001E2F6E">
        <w:rPr>
          <w:lang w:val="eu-ES"/>
        </w:rPr>
        <w:t>. 59.915 lanpostu zeuden 2010ean, eta 55.809 lanpostu 2012an.</w:t>
      </w:r>
    </w:p>
    <w:p w:rsidR="004A72E7" w:rsidRPr="001E2F6E" w:rsidRDefault="004A72E7" w:rsidP="00E54B3C">
      <w:pPr>
        <w:pStyle w:val="ARIALNARROW"/>
        <w:spacing w:line="360" w:lineRule="auto"/>
        <w:ind w:left="227"/>
        <w:rPr>
          <w:lang w:val="eu-ES"/>
        </w:rPr>
      </w:pPr>
    </w:p>
    <w:p w:rsidR="004A72E7" w:rsidRPr="001E2F6E" w:rsidRDefault="004A72E7" w:rsidP="00E6313A">
      <w:pPr>
        <w:spacing w:line="240" w:lineRule="auto"/>
        <w:jc w:val="center"/>
        <w:rPr>
          <w:b/>
          <w:bCs/>
          <w:color w:val="1F497D" w:themeColor="text2"/>
          <w:sz w:val="18"/>
          <w:szCs w:val="18"/>
          <w:lang w:val="eu-ES"/>
        </w:rPr>
      </w:pPr>
      <w:r w:rsidRPr="001E2F6E">
        <w:rPr>
          <w:b/>
          <w:bCs/>
          <w:color w:val="1F497D" w:themeColor="text2"/>
          <w:sz w:val="18"/>
          <w:szCs w:val="18"/>
          <w:lang w:val="eu-ES"/>
        </w:rPr>
        <w:t>EAE-KO GIZARTE EKONOMIAKO ENPLEGUAREN BILAKAERA, 1994-2012</w:t>
      </w:r>
    </w:p>
    <w:p w:rsidR="004A72E7" w:rsidRPr="001E2F6E" w:rsidRDefault="004A7052" w:rsidP="00E6313A">
      <w:pPr>
        <w:rPr>
          <w:lang w:val="eu-ES"/>
        </w:rPr>
      </w:pPr>
      <w:r w:rsidRPr="001E2F6E">
        <w:rPr>
          <w:noProof/>
          <w:lang w:eastAsia="es-ES"/>
        </w:rPr>
        <w:drawing>
          <wp:anchor distT="0" distB="0" distL="114300" distR="114300" simplePos="0" relativeHeight="251677696" behindDoc="0" locked="0" layoutInCell="1" allowOverlap="1">
            <wp:simplePos x="0" y="0"/>
            <wp:positionH relativeFrom="column">
              <wp:posOffset>-24765</wp:posOffset>
            </wp:positionH>
            <wp:positionV relativeFrom="paragraph">
              <wp:posOffset>38735</wp:posOffset>
            </wp:positionV>
            <wp:extent cx="5676900" cy="1828800"/>
            <wp:effectExtent l="0" t="0" r="0" b="0"/>
            <wp:wrapNone/>
            <wp:docPr id="6" name="Objeto 43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p>
    <w:p w:rsidR="004A72E7" w:rsidRPr="001E2F6E" w:rsidRDefault="004A72E7" w:rsidP="00E6313A">
      <w:pPr>
        <w:rPr>
          <w:lang w:val="eu-ES"/>
        </w:rPr>
      </w:pPr>
    </w:p>
    <w:p w:rsidR="004A72E7" w:rsidRPr="001E2F6E" w:rsidRDefault="004A72E7" w:rsidP="00E6313A">
      <w:pPr>
        <w:spacing w:line="312" w:lineRule="auto"/>
        <w:rPr>
          <w:lang w:val="eu-ES"/>
        </w:rPr>
      </w:pPr>
    </w:p>
    <w:p w:rsidR="004A72E7" w:rsidRPr="001E2F6E" w:rsidRDefault="004A72E7" w:rsidP="00E6313A">
      <w:pPr>
        <w:spacing w:line="312" w:lineRule="auto"/>
        <w:rPr>
          <w:lang w:val="eu-ES"/>
        </w:rPr>
      </w:pPr>
    </w:p>
    <w:p w:rsidR="004A72E7" w:rsidRPr="001E2F6E" w:rsidRDefault="004A72E7" w:rsidP="00E6313A">
      <w:pPr>
        <w:spacing w:line="312" w:lineRule="auto"/>
        <w:rPr>
          <w:lang w:val="eu-ES"/>
        </w:rPr>
      </w:pPr>
    </w:p>
    <w:p w:rsidR="004A7052" w:rsidRPr="001E2F6E" w:rsidRDefault="004A7052" w:rsidP="00E6313A">
      <w:pPr>
        <w:spacing w:line="312" w:lineRule="auto"/>
        <w:rPr>
          <w:lang w:val="eu-ES"/>
        </w:rPr>
      </w:pPr>
    </w:p>
    <w:p w:rsidR="004A7052" w:rsidRPr="001E2F6E" w:rsidRDefault="004A7052" w:rsidP="00E6313A">
      <w:pPr>
        <w:spacing w:line="312" w:lineRule="auto"/>
        <w:rPr>
          <w:lang w:val="eu-ES"/>
        </w:rPr>
      </w:pPr>
    </w:p>
    <w:p w:rsidR="004A72E7" w:rsidRPr="001E2F6E" w:rsidRDefault="004A72E7" w:rsidP="00E6313A">
      <w:pPr>
        <w:spacing w:line="312" w:lineRule="auto"/>
        <w:rPr>
          <w:lang w:val="eu-ES"/>
        </w:rPr>
      </w:pPr>
    </w:p>
    <w:p w:rsidR="004A72E7" w:rsidRPr="001E2F6E" w:rsidRDefault="004A72E7" w:rsidP="00E6313A">
      <w:pPr>
        <w:spacing w:line="312" w:lineRule="auto"/>
        <w:rPr>
          <w:lang w:val="eu-ES"/>
        </w:rPr>
      </w:pPr>
    </w:p>
    <w:p w:rsidR="004A72E7" w:rsidRPr="001E2F6E" w:rsidRDefault="004A72E7" w:rsidP="00E6313A">
      <w:pPr>
        <w:pStyle w:val="ARIALNARROW"/>
        <w:rPr>
          <w:lang w:val="eu-ES"/>
        </w:rPr>
      </w:pPr>
    </w:p>
    <w:p w:rsidR="004A72E7" w:rsidRPr="001E2F6E" w:rsidRDefault="004A72E7" w:rsidP="00E6313A">
      <w:pPr>
        <w:pStyle w:val="ARIALNARROW"/>
        <w:rPr>
          <w:lang w:val="eu-ES"/>
        </w:rPr>
      </w:pPr>
    </w:p>
    <w:p w:rsidR="004A72E7" w:rsidRPr="001E2F6E" w:rsidRDefault="004A72E7" w:rsidP="001451B1">
      <w:pPr>
        <w:pStyle w:val="Prrafodelista"/>
        <w:numPr>
          <w:ilvl w:val="0"/>
          <w:numId w:val="2"/>
        </w:numPr>
        <w:spacing w:after="0" w:line="360" w:lineRule="auto"/>
        <w:ind w:left="426" w:hanging="426"/>
        <w:contextualSpacing w:val="0"/>
        <w:rPr>
          <w:rFonts w:ascii="Arial" w:hAnsi="Arial" w:cs="Arial"/>
          <w:b/>
          <w:bCs/>
          <w:lang w:val="eu-ES" w:eastAsia="es-ES"/>
        </w:rPr>
      </w:pPr>
      <w:r w:rsidRPr="001E2F6E">
        <w:rPr>
          <w:rFonts w:ascii="Arial" w:hAnsi="Arial" w:cs="Arial"/>
          <w:b/>
          <w:bCs/>
          <w:lang w:val="eu-ES" w:eastAsia="es-ES"/>
        </w:rPr>
        <w:t xml:space="preserve"> </w:t>
      </w:r>
      <w:r w:rsidRPr="001E2F6E">
        <w:rPr>
          <w:rFonts w:ascii="Arial" w:hAnsi="Arial" w:cs="Arial"/>
          <w:b/>
          <w:bCs/>
          <w:lang w:val="eu-ES" w:eastAsia="es-ES"/>
        </w:rPr>
        <w:tab/>
        <w:t>2006tik aurrera enplegua txikitzeko hasiko prozesua luzatzen da, eta 2000-2006 aldiko aurrerapen gehienak bertan behera geratu dira</w:t>
      </w:r>
    </w:p>
    <w:p w:rsidR="004A72E7" w:rsidRPr="001E2F6E" w:rsidRDefault="004A72E7" w:rsidP="009A00F2">
      <w:pPr>
        <w:pStyle w:val="Prrafodelista"/>
        <w:spacing w:after="0" w:line="360" w:lineRule="auto"/>
        <w:ind w:left="426" w:hanging="426"/>
        <w:contextualSpacing w:val="0"/>
        <w:rPr>
          <w:rFonts w:ascii="Arial" w:hAnsi="Arial" w:cs="Arial"/>
          <w:lang w:val="eu-ES" w:eastAsia="es-ES"/>
        </w:rPr>
      </w:pPr>
    </w:p>
    <w:p w:rsidR="004A72E7" w:rsidRPr="001E2F6E" w:rsidRDefault="004A72E7" w:rsidP="009A00F2">
      <w:pPr>
        <w:ind w:left="426" w:hanging="426"/>
        <w:rPr>
          <w:lang w:val="eu-ES"/>
        </w:rPr>
      </w:pPr>
      <w:r w:rsidRPr="001E2F6E">
        <w:rPr>
          <w:lang w:val="eu-ES"/>
        </w:rPr>
        <w:tab/>
        <w:t>2006tik aurrera, Gizarte Ekonomiako enpleguak joera negatiboa izan du, eta 2010-2012 biurtekoko beherakadak joera hori areagotzen du. Hain zuzen, estatistikak erregistratutako enplegu-maila handiena lortu zen 2006an; guztira, 63.480 lanpostu zeuden.</w:t>
      </w:r>
    </w:p>
    <w:p w:rsidR="004A72E7" w:rsidRPr="001E2F6E" w:rsidRDefault="004A72E7" w:rsidP="009A00F2">
      <w:pPr>
        <w:ind w:left="426" w:hanging="426"/>
        <w:rPr>
          <w:lang w:val="eu-ES"/>
        </w:rPr>
      </w:pPr>
    </w:p>
    <w:p w:rsidR="004A72E7" w:rsidRPr="001E2F6E" w:rsidRDefault="004A72E7" w:rsidP="009A00F2">
      <w:pPr>
        <w:ind w:left="426" w:hanging="426"/>
        <w:rPr>
          <w:lang w:val="eu-ES"/>
        </w:rPr>
      </w:pPr>
      <w:r w:rsidRPr="001E2F6E">
        <w:rPr>
          <w:lang w:val="eu-ES"/>
        </w:rPr>
        <w:tab/>
        <w:t xml:space="preserve">Gainera, 2008tik aurrera, enpleguaren beheranzko joera areagotu egiten da. 2006tik 2008ra bitartean, </w:t>
      </w:r>
      <w:r w:rsidRPr="001E2F6E">
        <w:rPr>
          <w:spacing w:val="60"/>
          <w:lang w:val="eu-ES"/>
        </w:rPr>
        <w:t>%</w:t>
      </w:r>
      <w:r w:rsidRPr="001E2F6E">
        <w:rPr>
          <w:lang w:val="eu-ES"/>
        </w:rPr>
        <w:t xml:space="preserve">1,4 jaitsi ondoren, </w:t>
      </w:r>
      <w:r w:rsidRPr="001E2F6E">
        <w:rPr>
          <w:spacing w:val="60"/>
          <w:lang w:val="eu-ES"/>
        </w:rPr>
        <w:t>%</w:t>
      </w:r>
      <w:r w:rsidRPr="001E2F6E">
        <w:rPr>
          <w:lang w:val="eu-ES"/>
        </w:rPr>
        <w:t xml:space="preserve">4,3 jaitsi da 2008tik 2010era bitartean, eta </w:t>
      </w:r>
      <w:r w:rsidRPr="001E2F6E">
        <w:rPr>
          <w:spacing w:val="60"/>
          <w:lang w:val="eu-ES"/>
        </w:rPr>
        <w:t>%</w:t>
      </w:r>
      <w:r w:rsidRPr="001E2F6E">
        <w:rPr>
          <w:lang w:val="eu-ES"/>
        </w:rPr>
        <w:t>6,9 2010etik 2012ra bitartean</w:t>
      </w:r>
      <w:r w:rsidRPr="001E2F6E">
        <w:rPr>
          <w:rStyle w:val="Refdenotaalpie"/>
          <w:rFonts w:cs="Arial"/>
          <w:lang w:val="eu-ES" w:eastAsia="es-ES"/>
        </w:rPr>
        <w:footnoteReference w:id="2"/>
      </w:r>
      <w:r w:rsidRPr="001E2F6E">
        <w:rPr>
          <w:lang w:val="eu-ES"/>
        </w:rPr>
        <w:t>.</w:t>
      </w:r>
    </w:p>
    <w:p w:rsidR="004A72E7" w:rsidRPr="001E2F6E" w:rsidRDefault="004A72E7" w:rsidP="00354E9D">
      <w:pPr>
        <w:ind w:left="227" w:hanging="227"/>
        <w:rPr>
          <w:lang w:val="eu-ES"/>
        </w:rPr>
      </w:pPr>
    </w:p>
    <w:p w:rsidR="004A72E7" w:rsidRPr="001E2F6E" w:rsidRDefault="004A72E7">
      <w:pPr>
        <w:spacing w:after="200" w:line="276" w:lineRule="auto"/>
        <w:jc w:val="left"/>
        <w:rPr>
          <w:lang w:val="eu-ES"/>
        </w:rPr>
      </w:pPr>
      <w:r w:rsidRPr="001E2F6E">
        <w:rPr>
          <w:lang w:val="eu-ES"/>
        </w:rPr>
        <w:br w:type="page"/>
      </w:r>
    </w:p>
    <w:p w:rsidR="004A72E7" w:rsidRPr="001E2F6E" w:rsidRDefault="004A72E7" w:rsidP="009A00F2">
      <w:pPr>
        <w:ind w:left="426" w:hanging="426"/>
        <w:rPr>
          <w:lang w:val="eu-ES" w:eastAsia="es-ES"/>
        </w:rPr>
      </w:pPr>
      <w:r w:rsidRPr="001E2F6E">
        <w:rPr>
          <w:lang w:val="eu-ES"/>
        </w:rPr>
        <w:lastRenderedPageBreak/>
        <w:tab/>
        <w:t xml:space="preserve">Oro har, sektoreak bere enpleguaren </w:t>
      </w:r>
      <w:r w:rsidRPr="001E2F6E">
        <w:rPr>
          <w:spacing w:val="60"/>
          <w:lang w:val="eu-ES"/>
        </w:rPr>
        <w:t>%</w:t>
      </w:r>
      <w:r w:rsidRPr="001E2F6E">
        <w:rPr>
          <w:lang w:val="eu-ES"/>
        </w:rPr>
        <w:t>12,1 galdu du 2006tik 2012ra bitartean; izan ere, lanpostu-kopurua duela hamarkada bateko mailetara hurbildu da, 2000ko</w:t>
      </w:r>
      <w:r w:rsidRPr="001E2F6E">
        <w:rPr>
          <w:lang w:val="eu-ES" w:eastAsia="es-ES"/>
        </w:rPr>
        <w:t xml:space="preserve"> 54.259 lanpostuak baino apur bat gehiago baitira. Hortaz, azken urteetan, oparoaldi ekonomikoan sortutako enplegu garbiaren zati handi bat desagertzen da. 2006tik 2012ra bitartean, suntsitutako –edo merkataritza-sozietateetara joandako– enplegu garbiaren magnitudea 7.671 lanpostukoa da; alegia, Gizarte Ekonomiak 2000tik 2006ra bitartean sortutako lanpostu garbien </w:t>
      </w:r>
      <w:r w:rsidRPr="001E2F6E">
        <w:rPr>
          <w:spacing w:val="60"/>
          <w:lang w:val="eu-ES" w:eastAsia="es-ES"/>
        </w:rPr>
        <w:t>%</w:t>
      </w:r>
      <w:r w:rsidRPr="001E2F6E">
        <w:rPr>
          <w:lang w:val="eu-ES" w:eastAsia="es-ES"/>
        </w:rPr>
        <w:t>83,2.</w:t>
      </w:r>
    </w:p>
    <w:p w:rsidR="004A72E7" w:rsidRPr="001E2F6E" w:rsidRDefault="004A72E7" w:rsidP="009A00F2">
      <w:pPr>
        <w:ind w:left="426" w:hanging="426"/>
        <w:rPr>
          <w:lang w:val="eu-ES"/>
        </w:rPr>
      </w:pPr>
    </w:p>
    <w:p w:rsidR="004A72E7" w:rsidRPr="001E2F6E" w:rsidRDefault="004A72E7" w:rsidP="001451B1">
      <w:pPr>
        <w:pStyle w:val="ARIALNARROW"/>
        <w:numPr>
          <w:ilvl w:val="0"/>
          <w:numId w:val="2"/>
        </w:numPr>
        <w:spacing w:line="360" w:lineRule="auto"/>
        <w:ind w:left="426" w:hanging="426"/>
        <w:rPr>
          <w:i/>
          <w:iCs/>
          <w:lang w:val="eu-ES"/>
        </w:rPr>
      </w:pPr>
      <w:r w:rsidRPr="001E2F6E">
        <w:rPr>
          <w:b/>
          <w:bCs/>
          <w:lang w:val="eu-ES"/>
        </w:rPr>
        <w:tab/>
        <w:t>Gizarte ekonomiak pisua galtzen du euskal ekonomian</w:t>
      </w:r>
    </w:p>
    <w:p w:rsidR="004A72E7" w:rsidRPr="001E2F6E" w:rsidRDefault="004A72E7" w:rsidP="009A00F2">
      <w:pPr>
        <w:pStyle w:val="ARIALNARROW"/>
        <w:spacing w:line="360" w:lineRule="auto"/>
        <w:ind w:left="426" w:hanging="426"/>
        <w:rPr>
          <w:lang w:val="eu-ES"/>
        </w:rPr>
      </w:pPr>
    </w:p>
    <w:p w:rsidR="004A72E7" w:rsidRPr="001E2F6E" w:rsidRDefault="004A72E7" w:rsidP="009A00F2">
      <w:pPr>
        <w:pStyle w:val="ARIALNARROW"/>
        <w:spacing w:line="360" w:lineRule="auto"/>
        <w:ind w:left="426" w:hanging="426"/>
        <w:rPr>
          <w:lang w:val="eu-ES"/>
        </w:rPr>
      </w:pPr>
      <w:r w:rsidRPr="001E2F6E">
        <w:rPr>
          <w:lang w:val="eu-ES"/>
        </w:rPr>
        <w:tab/>
        <w:t>Azpimarratu behar da 2006tik aurrera Gizarte Ekonomiako enpleguaren bilakaera, eskuarki, okerragoa izan zela Euskadiko ekonomiakoa baino.</w:t>
      </w:r>
    </w:p>
    <w:p w:rsidR="004A72E7" w:rsidRPr="001E2F6E" w:rsidRDefault="004A72E7" w:rsidP="009A00F2">
      <w:pPr>
        <w:pStyle w:val="ARIALNARROW"/>
        <w:spacing w:line="360" w:lineRule="auto"/>
        <w:ind w:left="426" w:hanging="426"/>
        <w:rPr>
          <w:lang w:val="eu-ES"/>
        </w:rPr>
      </w:pPr>
    </w:p>
    <w:p w:rsidR="004A72E7" w:rsidRPr="001E2F6E" w:rsidRDefault="004A72E7" w:rsidP="009A00F2">
      <w:pPr>
        <w:pStyle w:val="ARIALNARROW"/>
        <w:spacing w:line="360" w:lineRule="auto"/>
        <w:ind w:left="426" w:hanging="426"/>
        <w:rPr>
          <w:lang w:val="eu-ES"/>
        </w:rPr>
      </w:pPr>
      <w:r w:rsidRPr="001E2F6E">
        <w:rPr>
          <w:lang w:val="eu-ES"/>
        </w:rPr>
        <w:tab/>
        <w:t>Krisialdiaren lehen uneetan, 2006tik 2008ra bitartean, Gizarte Ekonomia enplegua galtzen hasi zen (-</w:t>
      </w:r>
      <w:r w:rsidRPr="001E2F6E">
        <w:rPr>
          <w:spacing w:val="60"/>
          <w:lang w:val="eu-ES"/>
        </w:rPr>
        <w:t>%</w:t>
      </w:r>
      <w:r w:rsidRPr="001E2F6E">
        <w:rPr>
          <w:lang w:val="eu-ES"/>
        </w:rPr>
        <w:t xml:space="preserve">1,4), eta Euskadiko ekonomiak, berriz, gorantz jarraitzen zuen; hain zuzen, </w:t>
      </w:r>
      <w:r w:rsidRPr="001E2F6E">
        <w:rPr>
          <w:spacing w:val="60"/>
          <w:lang w:val="eu-ES"/>
        </w:rPr>
        <w:t>%</w:t>
      </w:r>
      <w:r w:rsidRPr="001E2F6E">
        <w:rPr>
          <w:lang w:val="eu-ES"/>
        </w:rPr>
        <w:t xml:space="preserve">2,7 handitu zen EAEko okupazio-datuetan. Okupazio- eta enplegu-galerak 2008tik 2010ra bitartean orokortu ziren, baina pixka bat handiagoak ziren Gizarte Ekonomian: </w:t>
      </w:r>
      <w:r w:rsidRPr="001E2F6E">
        <w:rPr>
          <w:spacing w:val="60"/>
          <w:lang w:val="eu-ES"/>
        </w:rPr>
        <w:t>%</w:t>
      </w:r>
      <w:r w:rsidRPr="001E2F6E">
        <w:rPr>
          <w:lang w:val="eu-ES"/>
        </w:rPr>
        <w:t xml:space="preserve">4,3 txikitu zen Gizarte Ekonomiako enplegua, eta EAEko enplegu orokorra, berriz, </w:t>
      </w:r>
      <w:r w:rsidRPr="001E2F6E">
        <w:rPr>
          <w:spacing w:val="60"/>
          <w:lang w:val="eu-ES"/>
        </w:rPr>
        <w:t>%</w:t>
      </w:r>
      <w:r w:rsidRPr="001E2F6E">
        <w:rPr>
          <w:lang w:val="eu-ES"/>
        </w:rPr>
        <w:t xml:space="preserve">3,9. </w:t>
      </w:r>
    </w:p>
    <w:p w:rsidR="004A72E7" w:rsidRPr="001E2F6E" w:rsidRDefault="004A72E7" w:rsidP="009A00F2">
      <w:pPr>
        <w:pStyle w:val="ARIALNARROW"/>
        <w:spacing w:line="360" w:lineRule="auto"/>
        <w:ind w:left="426" w:hanging="426"/>
        <w:rPr>
          <w:lang w:val="eu-ES"/>
        </w:rPr>
      </w:pPr>
    </w:p>
    <w:p w:rsidR="004A72E7" w:rsidRPr="001E2F6E" w:rsidRDefault="004A72E7" w:rsidP="009A00F2">
      <w:pPr>
        <w:pStyle w:val="ARIALNARROW"/>
        <w:spacing w:line="360" w:lineRule="auto"/>
        <w:ind w:left="426" w:hanging="426"/>
        <w:rPr>
          <w:lang w:val="eu-ES"/>
        </w:rPr>
      </w:pPr>
      <w:r w:rsidRPr="001E2F6E">
        <w:rPr>
          <w:lang w:val="eu-ES"/>
        </w:rPr>
        <w:tab/>
        <w:t xml:space="preserve">2010etik 2012ra bitartean, joera horrek bere horretan jarraitu zuen: Gizarte Ekonomian, enplegua </w:t>
      </w:r>
      <w:r w:rsidRPr="001E2F6E">
        <w:rPr>
          <w:spacing w:val="60"/>
          <w:lang w:val="eu-ES"/>
        </w:rPr>
        <w:t>%</w:t>
      </w:r>
      <w:r w:rsidRPr="001E2F6E">
        <w:rPr>
          <w:lang w:val="eu-ES"/>
        </w:rPr>
        <w:t xml:space="preserve">6,9 txikitu zen, eta EAEko biztanleria landuna, berriz, </w:t>
      </w:r>
      <w:r w:rsidRPr="001E2F6E">
        <w:rPr>
          <w:spacing w:val="60"/>
          <w:lang w:val="eu-ES"/>
        </w:rPr>
        <w:t>%</w:t>
      </w:r>
      <w:r w:rsidRPr="001E2F6E">
        <w:rPr>
          <w:lang w:val="eu-ES"/>
        </w:rPr>
        <w:t>4,7</w:t>
      </w:r>
      <w:r w:rsidRPr="001E2F6E">
        <w:rPr>
          <w:rStyle w:val="Refdenotaalpie"/>
          <w:rFonts w:cs="Arial"/>
          <w:lang w:val="eu-ES"/>
        </w:rPr>
        <w:footnoteReference w:id="3"/>
      </w:r>
      <w:r w:rsidRPr="001E2F6E">
        <w:rPr>
          <w:lang w:val="eu-ES"/>
        </w:rPr>
        <w:t>.</w:t>
      </w:r>
    </w:p>
    <w:p w:rsidR="004A72E7" w:rsidRPr="001E2F6E" w:rsidRDefault="004A72E7" w:rsidP="009A00F2">
      <w:pPr>
        <w:ind w:left="426" w:hanging="426"/>
        <w:rPr>
          <w:sz w:val="16"/>
          <w:szCs w:val="16"/>
          <w:lang w:val="eu-ES"/>
        </w:rPr>
      </w:pPr>
    </w:p>
    <w:p w:rsidR="004A72E7" w:rsidRPr="001E2F6E" w:rsidRDefault="004A72E7" w:rsidP="009A00F2">
      <w:pPr>
        <w:pStyle w:val="ARIALNARROW"/>
        <w:spacing w:line="360" w:lineRule="auto"/>
        <w:ind w:left="426" w:hanging="426"/>
        <w:rPr>
          <w:lang w:val="eu-ES"/>
        </w:rPr>
      </w:pPr>
      <w:r w:rsidRPr="001E2F6E">
        <w:rPr>
          <w:lang w:val="eu-ES"/>
        </w:rPr>
        <w:tab/>
        <w:t xml:space="preserve">Bilakaera hori dela eta, Gizarte Ekonomiako enpleguak euskal ekonomian zuen garrantzi erlatiboa txikitu egin da. 2002an, Gizarte Ekonomiak EAEko ekonomiako enpleguaren </w:t>
      </w:r>
      <w:r w:rsidRPr="001E2F6E">
        <w:rPr>
          <w:spacing w:val="60"/>
          <w:lang w:val="eu-ES"/>
        </w:rPr>
        <w:t>%</w:t>
      </w:r>
      <w:r w:rsidRPr="001E2F6E">
        <w:rPr>
          <w:lang w:val="eu-ES"/>
        </w:rPr>
        <w:t xml:space="preserve">6,8 zuen, baina 2004-2006 denboraldian, </w:t>
      </w:r>
      <w:r w:rsidRPr="001E2F6E">
        <w:rPr>
          <w:spacing w:val="60"/>
          <w:lang w:val="eu-ES"/>
        </w:rPr>
        <w:t>%</w:t>
      </w:r>
      <w:r w:rsidRPr="001E2F6E">
        <w:rPr>
          <w:lang w:val="eu-ES"/>
        </w:rPr>
        <w:t xml:space="preserve">6,6 zuen, 2008-2010 denboraldian </w:t>
      </w:r>
      <w:r w:rsidRPr="001E2F6E">
        <w:rPr>
          <w:spacing w:val="60"/>
          <w:lang w:val="eu-ES"/>
        </w:rPr>
        <w:t>%</w:t>
      </w:r>
      <w:r w:rsidRPr="001E2F6E">
        <w:rPr>
          <w:lang w:val="eu-ES"/>
        </w:rPr>
        <w:t xml:space="preserve">6,3, eta 2012an </w:t>
      </w:r>
      <w:r w:rsidRPr="001E2F6E">
        <w:rPr>
          <w:spacing w:val="60"/>
          <w:lang w:val="eu-ES"/>
        </w:rPr>
        <w:t>%</w:t>
      </w:r>
      <w:r w:rsidRPr="001E2F6E">
        <w:rPr>
          <w:lang w:val="eu-ES"/>
        </w:rPr>
        <w:t>6,2.</w:t>
      </w:r>
    </w:p>
    <w:p w:rsidR="004A72E7" w:rsidRPr="001E2F6E" w:rsidRDefault="004A72E7" w:rsidP="00C926CF">
      <w:pPr>
        <w:rPr>
          <w:sz w:val="16"/>
          <w:szCs w:val="16"/>
          <w:lang w:val="eu-ES"/>
        </w:rPr>
      </w:pPr>
    </w:p>
    <w:p w:rsidR="004A72E7" w:rsidRPr="001E2F6E" w:rsidRDefault="004A72E7" w:rsidP="005675F0">
      <w:pPr>
        <w:spacing w:line="240" w:lineRule="auto"/>
        <w:jc w:val="center"/>
        <w:rPr>
          <w:color w:val="1F497D" w:themeColor="text2"/>
          <w:lang w:val="eu-ES"/>
        </w:rPr>
      </w:pPr>
      <w:r w:rsidRPr="001E2F6E">
        <w:rPr>
          <w:b/>
          <w:bCs/>
          <w:color w:val="1F497D" w:themeColor="text2"/>
          <w:sz w:val="18"/>
          <w:szCs w:val="18"/>
          <w:lang w:val="eu-ES"/>
        </w:rPr>
        <w:t>GIZARTE EKONOMIAKO ENPLEGUAREN GARRANTZI ERLATIBOAREN BILAKAERA EAE-KO EKONOMIAN, 1994-2012 (EAEko enpleguaren %-a).</w:t>
      </w:r>
    </w:p>
    <w:p w:rsidR="004A72E7" w:rsidRPr="001E2F6E" w:rsidRDefault="001451B1" w:rsidP="003F5903">
      <w:pPr>
        <w:rPr>
          <w:lang w:val="eu-ES"/>
        </w:rPr>
      </w:pPr>
      <w:r w:rsidRPr="001E2F6E">
        <w:rPr>
          <w:noProof/>
          <w:lang w:eastAsia="es-ES"/>
        </w:rPr>
        <w:drawing>
          <wp:anchor distT="0" distB="0" distL="114300" distR="114300" simplePos="0" relativeHeight="251640832" behindDoc="0" locked="0" layoutInCell="1" allowOverlap="1">
            <wp:simplePos x="0" y="0"/>
            <wp:positionH relativeFrom="column">
              <wp:posOffset>242570</wp:posOffset>
            </wp:positionH>
            <wp:positionV relativeFrom="paragraph">
              <wp:posOffset>12065</wp:posOffset>
            </wp:positionV>
            <wp:extent cx="5334000" cy="1426210"/>
            <wp:effectExtent l="19050" t="0" r="19050" b="2540"/>
            <wp:wrapNone/>
            <wp:docPr id="19" name="Objeto 1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p>
    <w:p w:rsidR="004A72E7" w:rsidRPr="001E2F6E" w:rsidRDefault="004A72E7" w:rsidP="005675F0">
      <w:pPr>
        <w:rPr>
          <w:b/>
          <w:bCs/>
          <w:lang w:val="eu-ES"/>
        </w:rPr>
      </w:pPr>
    </w:p>
    <w:p w:rsidR="004A72E7" w:rsidRPr="001E2F6E" w:rsidRDefault="004A72E7" w:rsidP="005675F0">
      <w:pPr>
        <w:rPr>
          <w:lang w:val="eu-ES"/>
        </w:rPr>
      </w:pPr>
    </w:p>
    <w:p w:rsidR="004A72E7" w:rsidRPr="001E2F6E" w:rsidRDefault="004A72E7" w:rsidP="005675F0">
      <w:pPr>
        <w:rPr>
          <w:lang w:val="eu-ES"/>
        </w:rPr>
      </w:pPr>
    </w:p>
    <w:p w:rsidR="004A72E7" w:rsidRPr="001E2F6E" w:rsidRDefault="004A72E7" w:rsidP="005675F0">
      <w:pPr>
        <w:rPr>
          <w:lang w:val="eu-ES"/>
        </w:rPr>
      </w:pPr>
    </w:p>
    <w:p w:rsidR="004A72E7" w:rsidRPr="001E2F6E" w:rsidRDefault="004A72E7" w:rsidP="005675F0">
      <w:pPr>
        <w:rPr>
          <w:lang w:val="eu-ES"/>
        </w:rPr>
      </w:pPr>
    </w:p>
    <w:p w:rsidR="004A72E7" w:rsidRPr="001E2F6E" w:rsidRDefault="004A72E7" w:rsidP="005675F0">
      <w:pPr>
        <w:rPr>
          <w:lang w:val="eu-ES"/>
        </w:rPr>
      </w:pPr>
    </w:p>
    <w:p w:rsidR="004A7052" w:rsidRPr="001E2F6E" w:rsidRDefault="004A7052">
      <w:pPr>
        <w:spacing w:line="240" w:lineRule="auto"/>
        <w:jc w:val="left"/>
        <w:rPr>
          <w:lang w:val="eu-ES"/>
        </w:rPr>
      </w:pPr>
      <w:r w:rsidRPr="001E2F6E">
        <w:rPr>
          <w:lang w:val="eu-ES"/>
        </w:rPr>
        <w:br w:type="page"/>
      </w:r>
    </w:p>
    <w:p w:rsidR="004A72E7" w:rsidRPr="001E2F6E" w:rsidRDefault="004A72E7" w:rsidP="005675F0">
      <w:pPr>
        <w:rPr>
          <w:lang w:val="eu-ES"/>
        </w:rPr>
      </w:pPr>
    </w:p>
    <w:p w:rsidR="004A72E7" w:rsidRPr="001E2F6E" w:rsidRDefault="004A72E7" w:rsidP="001451B1">
      <w:pPr>
        <w:pStyle w:val="Prrafodelista"/>
        <w:numPr>
          <w:ilvl w:val="0"/>
          <w:numId w:val="2"/>
        </w:numPr>
        <w:spacing w:after="0" w:line="360" w:lineRule="auto"/>
        <w:ind w:left="426" w:hanging="426"/>
        <w:rPr>
          <w:rFonts w:ascii="Arial" w:hAnsi="Arial" w:cs="Arial"/>
          <w:b/>
          <w:bCs/>
          <w:lang w:val="eu-ES" w:eastAsia="es-ES"/>
        </w:rPr>
      </w:pPr>
      <w:r w:rsidRPr="001E2F6E">
        <w:rPr>
          <w:rFonts w:ascii="Arial" w:hAnsi="Arial" w:cs="Arial"/>
          <w:b/>
          <w:bCs/>
          <w:lang w:val="eu-ES" w:eastAsia="es-ES"/>
        </w:rPr>
        <w:tab/>
        <w:t>2010-2012 biurtekoko enplegu-galera zerbitzu-sektorera hedatzen da, baina oraindik ere, erabakigarria da industrian</w:t>
      </w:r>
    </w:p>
    <w:p w:rsidR="004A72E7" w:rsidRPr="001E2F6E" w:rsidRDefault="004A72E7" w:rsidP="009A00F2">
      <w:pPr>
        <w:ind w:left="426" w:hanging="426"/>
        <w:rPr>
          <w:noProof/>
          <w:lang w:val="eu-ES"/>
        </w:rPr>
      </w:pPr>
    </w:p>
    <w:p w:rsidR="004A72E7" w:rsidRPr="001E2F6E" w:rsidRDefault="004A72E7" w:rsidP="009A00F2">
      <w:pPr>
        <w:pStyle w:val="Prrafodelista"/>
        <w:spacing w:after="0" w:line="360" w:lineRule="auto"/>
        <w:ind w:left="426" w:hanging="426"/>
        <w:rPr>
          <w:rFonts w:ascii="Arial" w:hAnsi="Arial" w:cs="Arial"/>
          <w:lang w:val="sv-SE" w:eastAsia="es-ES"/>
        </w:rPr>
      </w:pPr>
      <w:r w:rsidRPr="001E2F6E">
        <w:rPr>
          <w:rFonts w:ascii="Arial" w:hAnsi="Arial" w:cs="Arial"/>
          <w:lang w:val="eu-ES" w:eastAsia="es-ES"/>
        </w:rPr>
        <w:tab/>
        <w:t xml:space="preserve">2010era arteko bilakaera onaren aldean, </w:t>
      </w:r>
      <w:r w:rsidRPr="001E2F6E">
        <w:rPr>
          <w:rFonts w:ascii="Arial" w:hAnsi="Arial" w:cs="Arial"/>
          <w:b/>
          <w:bCs/>
          <w:lang w:val="eu-ES" w:eastAsia="es-ES"/>
        </w:rPr>
        <w:t>2010-2012 biurtekoko enplegu-galera zerbitzu-sektorera hedatu zen.</w:t>
      </w:r>
      <w:r w:rsidRPr="001E2F6E">
        <w:rPr>
          <w:rFonts w:ascii="Arial" w:hAnsi="Arial" w:cs="Arial"/>
          <w:lang w:val="eu-ES" w:eastAsia="es-ES"/>
        </w:rPr>
        <w:t xml:space="preserve"> Biurteko horretan, hirugarren sektoreko enplegua </w:t>
      </w:r>
      <w:r w:rsidRPr="001E2F6E">
        <w:rPr>
          <w:rFonts w:ascii="Arial" w:hAnsi="Arial" w:cs="Arial"/>
          <w:spacing w:val="60"/>
          <w:lang w:val="eu-ES" w:eastAsia="es-ES"/>
        </w:rPr>
        <w:t>%</w:t>
      </w:r>
      <w:r w:rsidRPr="001E2F6E">
        <w:rPr>
          <w:rFonts w:ascii="Arial" w:hAnsi="Arial" w:cs="Arial"/>
          <w:lang w:val="eu-ES" w:eastAsia="es-ES"/>
        </w:rPr>
        <w:t>10,3 txikitu zen Gizarte Ekonomiaren forma klasikoetan.</w:t>
      </w:r>
    </w:p>
    <w:p w:rsidR="004A72E7" w:rsidRPr="001E2F6E" w:rsidRDefault="004A72E7" w:rsidP="009E174C">
      <w:pPr>
        <w:rPr>
          <w:noProof/>
          <w:lang w:val="sv-SE"/>
        </w:rPr>
      </w:pPr>
    </w:p>
    <w:p w:rsidR="004A72E7" w:rsidRPr="001E2F6E" w:rsidRDefault="004A72E7" w:rsidP="00557906">
      <w:pPr>
        <w:pStyle w:val="Prrafodelista"/>
        <w:spacing w:line="240" w:lineRule="auto"/>
        <w:ind w:left="847"/>
        <w:jc w:val="center"/>
        <w:rPr>
          <w:rFonts w:ascii="Arial" w:hAnsi="Arial" w:cs="Arial"/>
          <w:b/>
          <w:bCs/>
          <w:noProof/>
          <w:color w:val="1F497D" w:themeColor="text2"/>
          <w:sz w:val="18"/>
          <w:szCs w:val="18"/>
          <w:lang w:val="eu-ES"/>
        </w:rPr>
      </w:pPr>
      <w:r w:rsidRPr="001E2F6E">
        <w:rPr>
          <w:rFonts w:ascii="Arial" w:hAnsi="Arial" w:cs="Arial"/>
          <w:b/>
          <w:bCs/>
          <w:noProof/>
          <w:color w:val="1F497D" w:themeColor="text2"/>
          <w:sz w:val="18"/>
          <w:szCs w:val="18"/>
          <w:lang w:val="eu-ES"/>
        </w:rPr>
        <w:t>GIZARTE EKONOMIAKO INDUSTRIAKO ETA HIRUGARREN SEKTOREKO ENPLEGUAREN BILAKAERA</w:t>
      </w:r>
      <w:r w:rsidR="004A7052" w:rsidRPr="001E2F6E">
        <w:rPr>
          <w:rFonts w:ascii="Arial" w:hAnsi="Arial" w:cs="Arial"/>
          <w:b/>
          <w:bCs/>
          <w:noProof/>
          <w:color w:val="1F497D" w:themeColor="text2"/>
          <w:sz w:val="18"/>
          <w:szCs w:val="18"/>
          <w:lang w:val="eu-ES"/>
        </w:rPr>
        <w:t xml:space="preserve"> </w:t>
      </w:r>
      <w:r w:rsidRPr="001E2F6E">
        <w:rPr>
          <w:rFonts w:ascii="Arial" w:hAnsi="Arial" w:cs="Arial"/>
          <w:b/>
          <w:bCs/>
          <w:noProof/>
          <w:color w:val="1F497D" w:themeColor="text2"/>
          <w:sz w:val="18"/>
          <w:szCs w:val="18"/>
          <w:lang w:val="eu-ES"/>
        </w:rPr>
        <w:t>(2008-2010 eta 2010-2012 biurtekoetako hazkunde-tasak)</w:t>
      </w:r>
    </w:p>
    <w:p w:rsidR="004A72E7" w:rsidRPr="001E2F6E" w:rsidRDefault="001451B1" w:rsidP="00557906">
      <w:pPr>
        <w:pStyle w:val="Prrafodelista"/>
        <w:ind w:left="847"/>
        <w:rPr>
          <w:rFonts w:ascii="Arial" w:hAnsi="Arial" w:cs="Arial"/>
          <w:lang w:val="eu-ES"/>
        </w:rPr>
      </w:pPr>
      <w:r w:rsidRPr="001E2F6E">
        <w:rPr>
          <w:noProof/>
          <w:lang w:eastAsia="es-ES"/>
        </w:rPr>
        <w:drawing>
          <wp:anchor distT="164592" distB="316992" distL="541020" distR="950443" simplePos="0" relativeHeight="251643904" behindDoc="0" locked="0" layoutInCell="1" allowOverlap="1">
            <wp:simplePos x="0" y="0"/>
            <wp:positionH relativeFrom="column">
              <wp:posOffset>17145</wp:posOffset>
            </wp:positionH>
            <wp:positionV relativeFrom="paragraph">
              <wp:posOffset>66040</wp:posOffset>
            </wp:positionV>
            <wp:extent cx="5069840" cy="1659890"/>
            <wp:effectExtent l="0" t="0" r="0" b="0"/>
            <wp:wrapNone/>
            <wp:docPr id="20" name="Objeto 2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p>
    <w:p w:rsidR="004A72E7" w:rsidRPr="001E2F6E" w:rsidRDefault="004A72E7" w:rsidP="00557906">
      <w:pPr>
        <w:ind w:left="142"/>
        <w:rPr>
          <w:lang w:val="eu-ES"/>
        </w:rPr>
      </w:pPr>
    </w:p>
    <w:p w:rsidR="004A72E7" w:rsidRPr="001E2F6E" w:rsidRDefault="004A72E7" w:rsidP="00557906">
      <w:pPr>
        <w:ind w:left="142"/>
        <w:rPr>
          <w:lang w:val="eu-ES"/>
        </w:rPr>
      </w:pPr>
    </w:p>
    <w:p w:rsidR="004A72E7" w:rsidRPr="001E2F6E" w:rsidRDefault="004A72E7" w:rsidP="00557906">
      <w:pPr>
        <w:pStyle w:val="Prrafodelista"/>
        <w:ind w:left="847"/>
        <w:rPr>
          <w:rFonts w:ascii="Arial" w:hAnsi="Arial" w:cs="Arial"/>
          <w:lang w:val="eu-ES"/>
        </w:rPr>
      </w:pPr>
    </w:p>
    <w:p w:rsidR="004A72E7" w:rsidRPr="001E2F6E" w:rsidRDefault="004A72E7" w:rsidP="00557906">
      <w:pPr>
        <w:pStyle w:val="Prrafodelista"/>
        <w:ind w:left="847"/>
        <w:rPr>
          <w:rFonts w:ascii="Arial" w:hAnsi="Arial" w:cs="Arial"/>
          <w:lang w:val="eu-ES"/>
        </w:rPr>
      </w:pPr>
    </w:p>
    <w:p w:rsidR="004A72E7" w:rsidRPr="001E2F6E" w:rsidRDefault="004A72E7" w:rsidP="00557906">
      <w:pPr>
        <w:pStyle w:val="Prrafodelista"/>
        <w:ind w:left="847"/>
        <w:rPr>
          <w:rFonts w:ascii="Arial" w:hAnsi="Arial" w:cs="Arial"/>
          <w:lang w:val="eu-ES"/>
        </w:rPr>
      </w:pPr>
    </w:p>
    <w:p w:rsidR="004A72E7" w:rsidRPr="001E2F6E" w:rsidRDefault="004A72E7" w:rsidP="00557906">
      <w:pPr>
        <w:pStyle w:val="Prrafodelista"/>
        <w:ind w:left="847"/>
        <w:rPr>
          <w:rFonts w:ascii="Arial" w:hAnsi="Arial" w:cs="Arial"/>
          <w:lang w:val="eu-ES"/>
        </w:rPr>
      </w:pPr>
    </w:p>
    <w:p w:rsidR="004A72E7" w:rsidRPr="001E2F6E" w:rsidRDefault="004A72E7" w:rsidP="00557906">
      <w:pPr>
        <w:pStyle w:val="Prrafodelista"/>
        <w:spacing w:after="0" w:line="360" w:lineRule="auto"/>
        <w:ind w:left="847"/>
        <w:rPr>
          <w:rFonts w:ascii="Arial" w:hAnsi="Arial" w:cs="Arial"/>
          <w:i/>
          <w:iCs/>
          <w:color w:val="1F497D"/>
          <w:sz w:val="18"/>
          <w:szCs w:val="18"/>
          <w:lang w:val="eu-ES"/>
        </w:rPr>
      </w:pPr>
    </w:p>
    <w:p w:rsidR="004A72E7" w:rsidRPr="001E2F6E" w:rsidRDefault="004A72E7" w:rsidP="00557906">
      <w:pPr>
        <w:spacing w:after="200" w:line="276" w:lineRule="auto"/>
        <w:jc w:val="left"/>
        <w:rPr>
          <w:b/>
          <w:bCs/>
          <w:lang w:val="eu-ES" w:eastAsia="es-ES"/>
        </w:rPr>
      </w:pPr>
    </w:p>
    <w:p w:rsidR="004A72E7" w:rsidRPr="001E2F6E" w:rsidRDefault="004A72E7" w:rsidP="00115016">
      <w:pPr>
        <w:rPr>
          <w:lang w:val="eu-ES" w:eastAsia="es-ES"/>
        </w:rPr>
      </w:pPr>
    </w:p>
    <w:p w:rsidR="004A72E7" w:rsidRPr="001E2F6E" w:rsidRDefault="004A72E7" w:rsidP="00350688">
      <w:pPr>
        <w:spacing w:line="240" w:lineRule="auto"/>
        <w:jc w:val="center"/>
        <w:rPr>
          <w:b/>
          <w:bCs/>
          <w:color w:val="1F497D" w:themeColor="text2"/>
          <w:sz w:val="18"/>
          <w:szCs w:val="18"/>
          <w:lang w:val="eu-ES"/>
        </w:rPr>
      </w:pPr>
      <w:r w:rsidRPr="001E2F6E">
        <w:rPr>
          <w:b/>
          <w:bCs/>
          <w:color w:val="1F497D" w:themeColor="text2"/>
          <w:sz w:val="18"/>
          <w:szCs w:val="18"/>
          <w:lang w:val="eu-ES"/>
        </w:rPr>
        <w:t xml:space="preserve">GIZARTE EKONOMIAKO 2010-2012 DENBORALDIKO ENPLEGUAREN SEKTORE-BANAKETA </w:t>
      </w:r>
      <w:r w:rsidRPr="001E2F6E">
        <w:rPr>
          <w:b/>
          <w:bCs/>
          <w:noProof/>
          <w:color w:val="1F497D" w:themeColor="text2"/>
          <w:sz w:val="18"/>
          <w:szCs w:val="18"/>
          <w:lang w:val="eu-ES"/>
        </w:rPr>
        <w:t>(kopuru absolutuak eta % bertikalak)</w:t>
      </w:r>
    </w:p>
    <w:tbl>
      <w:tblPr>
        <w:tblW w:w="5000" w:type="pct"/>
        <w:jc w:val="center"/>
        <w:tblLook w:val="00A0" w:firstRow="1" w:lastRow="0" w:firstColumn="1" w:lastColumn="0" w:noHBand="0" w:noVBand="0"/>
      </w:tblPr>
      <w:tblGrid>
        <w:gridCol w:w="2678"/>
        <w:gridCol w:w="1698"/>
        <w:gridCol w:w="20"/>
        <w:gridCol w:w="1610"/>
        <w:gridCol w:w="1617"/>
        <w:gridCol w:w="1381"/>
      </w:tblGrid>
      <w:tr w:rsidR="004A72E7" w:rsidRPr="001E2F6E">
        <w:trPr>
          <w:jc w:val="center"/>
        </w:trPr>
        <w:tc>
          <w:tcPr>
            <w:tcW w:w="1487" w:type="pct"/>
            <w:tcBorders>
              <w:top w:val="single" w:sz="4" w:space="0" w:color="BFBFBF"/>
              <w:right w:val="single" w:sz="4" w:space="0" w:color="BFBFBF"/>
            </w:tcBorders>
            <w:shd w:val="clear" w:color="auto" w:fill="DBE5F1"/>
          </w:tcPr>
          <w:p w:rsidR="004A72E7" w:rsidRPr="001E2F6E" w:rsidRDefault="004A72E7" w:rsidP="009B6E1D">
            <w:pPr>
              <w:spacing w:line="240" w:lineRule="exact"/>
              <w:rPr>
                <w:b/>
                <w:bCs/>
                <w:sz w:val="16"/>
                <w:szCs w:val="16"/>
                <w:lang w:val="eu-ES"/>
              </w:rPr>
            </w:pPr>
          </w:p>
        </w:tc>
        <w:tc>
          <w:tcPr>
            <w:tcW w:w="1847" w:type="pct"/>
            <w:gridSpan w:val="3"/>
            <w:tcBorders>
              <w:top w:val="single" w:sz="4" w:space="0" w:color="BFBFBF"/>
              <w:left w:val="single" w:sz="4" w:space="0" w:color="BFBFBF"/>
              <w:bottom w:val="single" w:sz="4" w:space="0" w:color="BFBFBF"/>
              <w:right w:val="single" w:sz="4" w:space="0" w:color="BFBFBF"/>
            </w:tcBorders>
            <w:shd w:val="clear" w:color="auto" w:fill="DBE5F1"/>
          </w:tcPr>
          <w:p w:rsidR="004A72E7" w:rsidRPr="001E2F6E" w:rsidRDefault="004A72E7" w:rsidP="009B6E1D">
            <w:pPr>
              <w:spacing w:line="240" w:lineRule="exact"/>
              <w:jc w:val="center"/>
              <w:rPr>
                <w:b/>
                <w:bCs/>
                <w:sz w:val="16"/>
                <w:szCs w:val="16"/>
              </w:rPr>
            </w:pPr>
            <w:r w:rsidRPr="001E2F6E">
              <w:rPr>
                <w:b/>
                <w:bCs/>
                <w:sz w:val="16"/>
                <w:szCs w:val="16"/>
              </w:rPr>
              <w:t>2010</w:t>
            </w:r>
          </w:p>
        </w:tc>
        <w:tc>
          <w:tcPr>
            <w:tcW w:w="1666" w:type="pct"/>
            <w:gridSpan w:val="2"/>
            <w:tcBorders>
              <w:top w:val="single" w:sz="4" w:space="0" w:color="BFBFBF"/>
              <w:left w:val="single" w:sz="4" w:space="0" w:color="BFBFBF"/>
              <w:bottom w:val="single" w:sz="4" w:space="0" w:color="BFBFBF"/>
            </w:tcBorders>
            <w:shd w:val="clear" w:color="auto" w:fill="DBE5F1"/>
          </w:tcPr>
          <w:p w:rsidR="004A72E7" w:rsidRPr="001E2F6E" w:rsidRDefault="004A72E7" w:rsidP="009B6E1D">
            <w:pPr>
              <w:spacing w:line="240" w:lineRule="exact"/>
              <w:jc w:val="center"/>
              <w:rPr>
                <w:b/>
                <w:bCs/>
                <w:sz w:val="16"/>
                <w:szCs w:val="16"/>
              </w:rPr>
            </w:pPr>
            <w:r w:rsidRPr="001E2F6E">
              <w:rPr>
                <w:b/>
                <w:bCs/>
                <w:sz w:val="16"/>
                <w:szCs w:val="16"/>
              </w:rPr>
              <w:t>2012</w:t>
            </w:r>
          </w:p>
        </w:tc>
      </w:tr>
      <w:tr w:rsidR="004A72E7" w:rsidRPr="001E2F6E">
        <w:trPr>
          <w:jc w:val="center"/>
        </w:trPr>
        <w:tc>
          <w:tcPr>
            <w:tcW w:w="1487" w:type="pct"/>
            <w:tcBorders>
              <w:bottom w:val="single" w:sz="4" w:space="0" w:color="BFBFBF"/>
              <w:right w:val="single" w:sz="4" w:space="0" w:color="BFBFBF"/>
            </w:tcBorders>
            <w:shd w:val="clear" w:color="auto" w:fill="DBE5F1"/>
          </w:tcPr>
          <w:p w:rsidR="004A72E7" w:rsidRPr="001E2F6E" w:rsidRDefault="004A72E7" w:rsidP="009B6E1D">
            <w:pPr>
              <w:spacing w:line="240" w:lineRule="exact"/>
              <w:rPr>
                <w:b/>
                <w:bCs/>
                <w:sz w:val="16"/>
                <w:szCs w:val="16"/>
              </w:rPr>
            </w:pPr>
          </w:p>
        </w:tc>
        <w:tc>
          <w:tcPr>
            <w:tcW w:w="954" w:type="pct"/>
            <w:gridSpan w:val="2"/>
            <w:tcBorders>
              <w:top w:val="single" w:sz="4" w:space="0" w:color="BFBFBF"/>
              <w:left w:val="single" w:sz="4" w:space="0" w:color="BFBFBF"/>
              <w:bottom w:val="single" w:sz="4" w:space="0" w:color="BFBFBF"/>
            </w:tcBorders>
            <w:shd w:val="clear" w:color="auto" w:fill="DBE5F1"/>
          </w:tcPr>
          <w:p w:rsidR="004A72E7" w:rsidRPr="001E2F6E" w:rsidRDefault="004A72E7" w:rsidP="009B6E1D">
            <w:pPr>
              <w:spacing w:line="240" w:lineRule="exact"/>
              <w:jc w:val="center"/>
              <w:rPr>
                <w:b/>
                <w:bCs/>
                <w:sz w:val="16"/>
                <w:szCs w:val="16"/>
              </w:rPr>
            </w:pPr>
            <w:r w:rsidRPr="001E2F6E">
              <w:rPr>
                <w:b/>
                <w:bCs/>
                <w:sz w:val="16"/>
                <w:szCs w:val="16"/>
                <w:lang w:val="eu-ES"/>
              </w:rPr>
              <w:t>Abs.</w:t>
            </w:r>
          </w:p>
        </w:tc>
        <w:tc>
          <w:tcPr>
            <w:tcW w:w="893" w:type="pct"/>
            <w:tcBorders>
              <w:top w:val="single" w:sz="4" w:space="0" w:color="BFBFBF"/>
              <w:bottom w:val="single" w:sz="4" w:space="0" w:color="BFBFBF"/>
              <w:right w:val="single" w:sz="4" w:space="0" w:color="BFBFBF"/>
            </w:tcBorders>
            <w:shd w:val="clear" w:color="auto" w:fill="DBE5F1"/>
          </w:tcPr>
          <w:p w:rsidR="004A72E7" w:rsidRPr="001E2F6E" w:rsidRDefault="004A72E7" w:rsidP="001C7C5F">
            <w:pPr>
              <w:spacing w:line="240" w:lineRule="exact"/>
              <w:jc w:val="center"/>
              <w:rPr>
                <w:b/>
                <w:bCs/>
                <w:sz w:val="16"/>
                <w:szCs w:val="16"/>
              </w:rPr>
            </w:pPr>
            <w:r w:rsidRPr="001E2F6E">
              <w:rPr>
                <w:b/>
                <w:bCs/>
                <w:sz w:val="16"/>
                <w:szCs w:val="16"/>
                <w:lang w:val="eu-ES"/>
              </w:rPr>
              <w:t>% ber.</w:t>
            </w:r>
          </w:p>
        </w:tc>
        <w:tc>
          <w:tcPr>
            <w:tcW w:w="898" w:type="pct"/>
            <w:tcBorders>
              <w:top w:val="single" w:sz="4" w:space="0" w:color="BFBFBF"/>
              <w:left w:val="single" w:sz="4" w:space="0" w:color="BFBFBF"/>
              <w:bottom w:val="single" w:sz="4" w:space="0" w:color="BFBFBF"/>
            </w:tcBorders>
            <w:shd w:val="clear" w:color="auto" w:fill="DBE5F1"/>
          </w:tcPr>
          <w:p w:rsidR="004A72E7" w:rsidRPr="001E2F6E" w:rsidRDefault="004A72E7" w:rsidP="009B6E1D">
            <w:pPr>
              <w:spacing w:line="240" w:lineRule="exact"/>
              <w:jc w:val="center"/>
              <w:rPr>
                <w:b/>
                <w:bCs/>
                <w:sz w:val="16"/>
                <w:szCs w:val="16"/>
              </w:rPr>
            </w:pPr>
            <w:r w:rsidRPr="001E2F6E">
              <w:rPr>
                <w:b/>
                <w:bCs/>
                <w:sz w:val="16"/>
                <w:szCs w:val="16"/>
                <w:lang w:val="eu-ES"/>
              </w:rPr>
              <w:t>Abs.</w:t>
            </w:r>
          </w:p>
        </w:tc>
        <w:tc>
          <w:tcPr>
            <w:tcW w:w="768" w:type="pct"/>
            <w:tcBorders>
              <w:top w:val="single" w:sz="4" w:space="0" w:color="BFBFBF"/>
              <w:bottom w:val="single" w:sz="4" w:space="0" w:color="BFBFBF"/>
            </w:tcBorders>
            <w:shd w:val="clear" w:color="auto" w:fill="DBE5F1"/>
          </w:tcPr>
          <w:p w:rsidR="004A72E7" w:rsidRPr="001E2F6E" w:rsidRDefault="004A72E7" w:rsidP="001C7C5F">
            <w:pPr>
              <w:spacing w:line="240" w:lineRule="exact"/>
              <w:jc w:val="center"/>
              <w:rPr>
                <w:b/>
                <w:bCs/>
                <w:sz w:val="16"/>
                <w:szCs w:val="16"/>
              </w:rPr>
            </w:pPr>
            <w:r w:rsidRPr="001E2F6E">
              <w:rPr>
                <w:b/>
                <w:bCs/>
                <w:sz w:val="16"/>
                <w:szCs w:val="16"/>
                <w:lang w:val="eu-ES"/>
              </w:rPr>
              <w:t>% ber.</w:t>
            </w:r>
          </w:p>
        </w:tc>
      </w:tr>
      <w:tr w:rsidR="004A72E7" w:rsidRPr="001E2F6E">
        <w:trPr>
          <w:jc w:val="center"/>
        </w:trPr>
        <w:tc>
          <w:tcPr>
            <w:tcW w:w="1487" w:type="pct"/>
            <w:tcBorders>
              <w:top w:val="single" w:sz="4" w:space="0" w:color="BFBFBF"/>
              <w:right w:val="single" w:sz="4" w:space="0" w:color="BFBFBF"/>
            </w:tcBorders>
          </w:tcPr>
          <w:p w:rsidR="004A72E7" w:rsidRPr="001E2F6E" w:rsidRDefault="004A72E7" w:rsidP="009B6E1D">
            <w:pPr>
              <w:spacing w:line="240" w:lineRule="exact"/>
              <w:rPr>
                <w:sz w:val="16"/>
                <w:szCs w:val="16"/>
              </w:rPr>
            </w:pPr>
            <w:r w:rsidRPr="001E2F6E">
              <w:rPr>
                <w:sz w:val="16"/>
                <w:szCs w:val="16"/>
                <w:lang w:val="eu-ES"/>
              </w:rPr>
              <w:t>Lehen sektorea</w:t>
            </w:r>
            <w:r w:rsidRPr="001E2F6E">
              <w:rPr>
                <w:sz w:val="16"/>
                <w:szCs w:val="16"/>
              </w:rPr>
              <w:t xml:space="preserve"> </w:t>
            </w:r>
          </w:p>
        </w:tc>
        <w:tc>
          <w:tcPr>
            <w:tcW w:w="943" w:type="pct"/>
            <w:tcBorders>
              <w:top w:val="single" w:sz="4" w:space="0" w:color="BFBFBF"/>
              <w:left w:val="single" w:sz="4" w:space="0" w:color="BFBFBF"/>
            </w:tcBorders>
          </w:tcPr>
          <w:p w:rsidR="004A72E7" w:rsidRPr="001E2F6E" w:rsidRDefault="004A72E7" w:rsidP="00B3263A">
            <w:pPr>
              <w:spacing w:line="240" w:lineRule="exact"/>
              <w:ind w:right="170"/>
              <w:jc w:val="right"/>
              <w:rPr>
                <w:sz w:val="16"/>
                <w:szCs w:val="16"/>
              </w:rPr>
            </w:pPr>
            <w:r w:rsidRPr="001E2F6E">
              <w:rPr>
                <w:sz w:val="16"/>
                <w:szCs w:val="16"/>
              </w:rPr>
              <w:t>179</w:t>
            </w:r>
          </w:p>
        </w:tc>
        <w:tc>
          <w:tcPr>
            <w:tcW w:w="905" w:type="pct"/>
            <w:gridSpan w:val="2"/>
            <w:tcBorders>
              <w:top w:val="single" w:sz="4" w:space="0" w:color="BFBFBF"/>
              <w:right w:val="single" w:sz="4" w:space="0" w:color="BFBFBF"/>
            </w:tcBorders>
          </w:tcPr>
          <w:p w:rsidR="004A72E7" w:rsidRPr="001E2F6E" w:rsidRDefault="004A72E7" w:rsidP="00B3263A">
            <w:pPr>
              <w:spacing w:line="240" w:lineRule="exact"/>
              <w:ind w:right="170"/>
              <w:jc w:val="right"/>
              <w:rPr>
                <w:sz w:val="16"/>
                <w:szCs w:val="16"/>
              </w:rPr>
            </w:pPr>
            <w:r w:rsidRPr="001E2F6E">
              <w:rPr>
                <w:sz w:val="16"/>
                <w:szCs w:val="16"/>
              </w:rPr>
              <w:t>0,3</w:t>
            </w:r>
          </w:p>
        </w:tc>
        <w:tc>
          <w:tcPr>
            <w:tcW w:w="898" w:type="pct"/>
            <w:tcBorders>
              <w:top w:val="single" w:sz="4" w:space="0" w:color="BFBFBF"/>
              <w:left w:val="single" w:sz="4" w:space="0" w:color="BFBFBF"/>
            </w:tcBorders>
          </w:tcPr>
          <w:p w:rsidR="004A72E7" w:rsidRPr="001E2F6E" w:rsidRDefault="004A72E7" w:rsidP="00B3263A">
            <w:pPr>
              <w:spacing w:line="240" w:lineRule="exact"/>
              <w:ind w:right="170"/>
              <w:jc w:val="right"/>
              <w:rPr>
                <w:sz w:val="16"/>
                <w:szCs w:val="16"/>
              </w:rPr>
            </w:pPr>
            <w:r w:rsidRPr="001E2F6E">
              <w:rPr>
                <w:sz w:val="16"/>
                <w:szCs w:val="16"/>
              </w:rPr>
              <w:t>117</w:t>
            </w:r>
          </w:p>
        </w:tc>
        <w:tc>
          <w:tcPr>
            <w:tcW w:w="768" w:type="pct"/>
            <w:tcBorders>
              <w:top w:val="single" w:sz="4" w:space="0" w:color="BFBFBF"/>
            </w:tcBorders>
          </w:tcPr>
          <w:p w:rsidR="004A72E7" w:rsidRPr="001E2F6E" w:rsidRDefault="004A72E7" w:rsidP="00B3263A">
            <w:pPr>
              <w:spacing w:line="240" w:lineRule="exact"/>
              <w:ind w:right="170"/>
              <w:jc w:val="right"/>
              <w:rPr>
                <w:sz w:val="16"/>
                <w:szCs w:val="16"/>
              </w:rPr>
            </w:pPr>
            <w:r w:rsidRPr="001E2F6E">
              <w:rPr>
                <w:sz w:val="16"/>
                <w:szCs w:val="16"/>
              </w:rPr>
              <w:t>0,2</w:t>
            </w:r>
          </w:p>
        </w:tc>
      </w:tr>
      <w:tr w:rsidR="004A72E7" w:rsidRPr="001E2F6E">
        <w:trPr>
          <w:jc w:val="center"/>
        </w:trPr>
        <w:tc>
          <w:tcPr>
            <w:tcW w:w="1487" w:type="pct"/>
            <w:tcBorders>
              <w:right w:val="single" w:sz="4" w:space="0" w:color="BFBFBF"/>
            </w:tcBorders>
          </w:tcPr>
          <w:p w:rsidR="004A72E7" w:rsidRPr="001E2F6E" w:rsidRDefault="004A72E7" w:rsidP="009B6E1D">
            <w:pPr>
              <w:spacing w:line="240" w:lineRule="exact"/>
              <w:rPr>
                <w:sz w:val="16"/>
                <w:szCs w:val="16"/>
              </w:rPr>
            </w:pPr>
            <w:r w:rsidRPr="001E2F6E">
              <w:rPr>
                <w:sz w:val="16"/>
                <w:szCs w:val="16"/>
                <w:lang w:val="eu-ES"/>
              </w:rPr>
              <w:t>Industria</w:t>
            </w:r>
          </w:p>
        </w:tc>
        <w:tc>
          <w:tcPr>
            <w:tcW w:w="943" w:type="pct"/>
            <w:tcBorders>
              <w:left w:val="single" w:sz="4" w:space="0" w:color="BFBFBF"/>
            </w:tcBorders>
          </w:tcPr>
          <w:p w:rsidR="004A72E7" w:rsidRPr="001E2F6E" w:rsidRDefault="004A72E7" w:rsidP="00B3263A">
            <w:pPr>
              <w:spacing w:line="240" w:lineRule="exact"/>
              <w:ind w:right="170"/>
              <w:jc w:val="right"/>
              <w:rPr>
                <w:sz w:val="16"/>
                <w:szCs w:val="16"/>
              </w:rPr>
            </w:pPr>
            <w:r w:rsidRPr="001E2F6E">
              <w:rPr>
                <w:sz w:val="16"/>
                <w:szCs w:val="16"/>
              </w:rPr>
              <w:t>26.510</w:t>
            </w:r>
          </w:p>
        </w:tc>
        <w:tc>
          <w:tcPr>
            <w:tcW w:w="905" w:type="pct"/>
            <w:gridSpan w:val="2"/>
            <w:tcBorders>
              <w:right w:val="single" w:sz="4" w:space="0" w:color="BFBFBF"/>
            </w:tcBorders>
          </w:tcPr>
          <w:p w:rsidR="004A72E7" w:rsidRPr="001E2F6E" w:rsidRDefault="004A72E7" w:rsidP="00B3263A">
            <w:pPr>
              <w:spacing w:line="240" w:lineRule="exact"/>
              <w:ind w:right="170"/>
              <w:jc w:val="right"/>
              <w:rPr>
                <w:sz w:val="16"/>
                <w:szCs w:val="16"/>
              </w:rPr>
            </w:pPr>
            <w:r w:rsidRPr="001E2F6E">
              <w:rPr>
                <w:sz w:val="16"/>
                <w:szCs w:val="16"/>
              </w:rPr>
              <w:t>44,2</w:t>
            </w:r>
          </w:p>
        </w:tc>
        <w:tc>
          <w:tcPr>
            <w:tcW w:w="898" w:type="pct"/>
            <w:tcBorders>
              <w:left w:val="single" w:sz="4" w:space="0" w:color="BFBFBF"/>
            </w:tcBorders>
          </w:tcPr>
          <w:p w:rsidR="004A72E7" w:rsidRPr="001E2F6E" w:rsidRDefault="004A72E7" w:rsidP="00B3263A">
            <w:pPr>
              <w:spacing w:line="240" w:lineRule="exact"/>
              <w:ind w:right="170"/>
              <w:jc w:val="right"/>
              <w:rPr>
                <w:sz w:val="16"/>
                <w:szCs w:val="16"/>
              </w:rPr>
            </w:pPr>
            <w:r w:rsidRPr="001E2F6E">
              <w:rPr>
                <w:sz w:val="16"/>
                <w:szCs w:val="16"/>
              </w:rPr>
              <w:t>25.727</w:t>
            </w:r>
          </w:p>
        </w:tc>
        <w:tc>
          <w:tcPr>
            <w:tcW w:w="768" w:type="pct"/>
          </w:tcPr>
          <w:p w:rsidR="004A72E7" w:rsidRPr="001E2F6E" w:rsidRDefault="004A72E7" w:rsidP="00B3263A">
            <w:pPr>
              <w:spacing w:line="240" w:lineRule="exact"/>
              <w:ind w:right="170"/>
              <w:jc w:val="right"/>
              <w:rPr>
                <w:sz w:val="16"/>
                <w:szCs w:val="16"/>
              </w:rPr>
            </w:pPr>
            <w:r w:rsidRPr="001E2F6E">
              <w:rPr>
                <w:sz w:val="16"/>
                <w:szCs w:val="16"/>
              </w:rPr>
              <w:t>46,1</w:t>
            </w:r>
          </w:p>
        </w:tc>
      </w:tr>
      <w:tr w:rsidR="004A72E7" w:rsidRPr="001E2F6E">
        <w:trPr>
          <w:jc w:val="center"/>
        </w:trPr>
        <w:tc>
          <w:tcPr>
            <w:tcW w:w="1487" w:type="pct"/>
            <w:tcBorders>
              <w:right w:val="single" w:sz="4" w:space="0" w:color="BFBFBF"/>
            </w:tcBorders>
          </w:tcPr>
          <w:p w:rsidR="004A72E7" w:rsidRPr="001E2F6E" w:rsidRDefault="004A72E7" w:rsidP="009B6E1D">
            <w:pPr>
              <w:spacing w:line="240" w:lineRule="exact"/>
              <w:rPr>
                <w:sz w:val="16"/>
                <w:szCs w:val="16"/>
              </w:rPr>
            </w:pPr>
            <w:r w:rsidRPr="001E2F6E">
              <w:rPr>
                <w:sz w:val="16"/>
                <w:szCs w:val="16"/>
                <w:lang w:val="eu-ES"/>
              </w:rPr>
              <w:t>Eraikuntza</w:t>
            </w:r>
          </w:p>
        </w:tc>
        <w:tc>
          <w:tcPr>
            <w:tcW w:w="943" w:type="pct"/>
            <w:tcBorders>
              <w:left w:val="single" w:sz="4" w:space="0" w:color="BFBFBF"/>
            </w:tcBorders>
          </w:tcPr>
          <w:p w:rsidR="004A72E7" w:rsidRPr="001E2F6E" w:rsidRDefault="004A72E7" w:rsidP="00B3263A">
            <w:pPr>
              <w:spacing w:line="240" w:lineRule="exact"/>
              <w:ind w:right="170"/>
              <w:jc w:val="right"/>
              <w:rPr>
                <w:sz w:val="16"/>
                <w:szCs w:val="16"/>
              </w:rPr>
            </w:pPr>
            <w:r w:rsidRPr="001E2F6E">
              <w:rPr>
                <w:sz w:val="16"/>
                <w:szCs w:val="16"/>
              </w:rPr>
              <w:t>2.055</w:t>
            </w:r>
          </w:p>
        </w:tc>
        <w:tc>
          <w:tcPr>
            <w:tcW w:w="905" w:type="pct"/>
            <w:gridSpan w:val="2"/>
            <w:tcBorders>
              <w:right w:val="single" w:sz="4" w:space="0" w:color="BFBFBF"/>
            </w:tcBorders>
          </w:tcPr>
          <w:p w:rsidR="004A72E7" w:rsidRPr="001E2F6E" w:rsidRDefault="004A72E7" w:rsidP="00B3263A">
            <w:pPr>
              <w:spacing w:line="240" w:lineRule="exact"/>
              <w:ind w:right="170"/>
              <w:jc w:val="right"/>
              <w:rPr>
                <w:sz w:val="16"/>
                <w:szCs w:val="16"/>
              </w:rPr>
            </w:pPr>
            <w:r w:rsidRPr="001E2F6E">
              <w:rPr>
                <w:sz w:val="16"/>
                <w:szCs w:val="16"/>
              </w:rPr>
              <w:t>3,4</w:t>
            </w:r>
          </w:p>
        </w:tc>
        <w:tc>
          <w:tcPr>
            <w:tcW w:w="898" w:type="pct"/>
            <w:tcBorders>
              <w:left w:val="single" w:sz="4" w:space="0" w:color="BFBFBF"/>
            </w:tcBorders>
          </w:tcPr>
          <w:p w:rsidR="004A72E7" w:rsidRPr="001E2F6E" w:rsidRDefault="004A72E7" w:rsidP="00B3263A">
            <w:pPr>
              <w:spacing w:line="240" w:lineRule="exact"/>
              <w:ind w:right="170"/>
              <w:jc w:val="right"/>
              <w:rPr>
                <w:sz w:val="16"/>
                <w:szCs w:val="16"/>
              </w:rPr>
            </w:pPr>
            <w:r w:rsidRPr="001E2F6E">
              <w:rPr>
                <w:sz w:val="16"/>
                <w:szCs w:val="16"/>
              </w:rPr>
              <w:t>2.000</w:t>
            </w:r>
          </w:p>
        </w:tc>
        <w:tc>
          <w:tcPr>
            <w:tcW w:w="768" w:type="pct"/>
          </w:tcPr>
          <w:p w:rsidR="004A72E7" w:rsidRPr="001E2F6E" w:rsidRDefault="004A72E7" w:rsidP="00B3263A">
            <w:pPr>
              <w:spacing w:line="240" w:lineRule="exact"/>
              <w:ind w:right="170"/>
              <w:jc w:val="right"/>
              <w:rPr>
                <w:sz w:val="16"/>
                <w:szCs w:val="16"/>
              </w:rPr>
            </w:pPr>
            <w:r w:rsidRPr="001E2F6E">
              <w:rPr>
                <w:sz w:val="16"/>
                <w:szCs w:val="16"/>
              </w:rPr>
              <w:t>3,6</w:t>
            </w:r>
          </w:p>
        </w:tc>
      </w:tr>
      <w:tr w:rsidR="004A72E7" w:rsidRPr="001E2F6E">
        <w:trPr>
          <w:jc w:val="center"/>
        </w:trPr>
        <w:tc>
          <w:tcPr>
            <w:tcW w:w="1487" w:type="pct"/>
            <w:tcBorders>
              <w:bottom w:val="single" w:sz="4" w:space="0" w:color="BFBFBF"/>
              <w:right w:val="single" w:sz="4" w:space="0" w:color="BFBFBF"/>
            </w:tcBorders>
          </w:tcPr>
          <w:p w:rsidR="004A72E7" w:rsidRPr="001E2F6E" w:rsidRDefault="004A72E7" w:rsidP="009B6E1D">
            <w:pPr>
              <w:spacing w:line="240" w:lineRule="exact"/>
              <w:rPr>
                <w:sz w:val="16"/>
                <w:szCs w:val="16"/>
              </w:rPr>
            </w:pPr>
            <w:r w:rsidRPr="001E2F6E">
              <w:rPr>
                <w:sz w:val="16"/>
                <w:szCs w:val="16"/>
                <w:lang w:val="eu-ES"/>
              </w:rPr>
              <w:t>Zerbitzuak</w:t>
            </w:r>
          </w:p>
        </w:tc>
        <w:tc>
          <w:tcPr>
            <w:tcW w:w="943" w:type="pct"/>
            <w:tcBorders>
              <w:left w:val="single" w:sz="4" w:space="0" w:color="BFBFBF"/>
              <w:bottom w:val="single" w:sz="4" w:space="0" w:color="BFBFBF"/>
            </w:tcBorders>
          </w:tcPr>
          <w:p w:rsidR="004A72E7" w:rsidRPr="001E2F6E" w:rsidRDefault="004A72E7" w:rsidP="00B3263A">
            <w:pPr>
              <w:spacing w:line="240" w:lineRule="exact"/>
              <w:ind w:right="170"/>
              <w:jc w:val="right"/>
              <w:rPr>
                <w:sz w:val="16"/>
                <w:szCs w:val="16"/>
              </w:rPr>
            </w:pPr>
            <w:r w:rsidRPr="001E2F6E">
              <w:rPr>
                <w:sz w:val="16"/>
                <w:szCs w:val="16"/>
              </w:rPr>
              <w:t>31.171</w:t>
            </w:r>
          </w:p>
        </w:tc>
        <w:tc>
          <w:tcPr>
            <w:tcW w:w="905" w:type="pct"/>
            <w:gridSpan w:val="2"/>
            <w:tcBorders>
              <w:bottom w:val="single" w:sz="4" w:space="0" w:color="BFBFBF"/>
              <w:right w:val="single" w:sz="4" w:space="0" w:color="BFBFBF"/>
            </w:tcBorders>
          </w:tcPr>
          <w:p w:rsidR="004A72E7" w:rsidRPr="001E2F6E" w:rsidRDefault="004A72E7" w:rsidP="00B3263A">
            <w:pPr>
              <w:spacing w:line="240" w:lineRule="exact"/>
              <w:ind w:right="170"/>
              <w:jc w:val="right"/>
              <w:rPr>
                <w:sz w:val="16"/>
                <w:szCs w:val="16"/>
              </w:rPr>
            </w:pPr>
            <w:r w:rsidRPr="001E2F6E">
              <w:rPr>
                <w:sz w:val="16"/>
                <w:szCs w:val="16"/>
              </w:rPr>
              <w:t>52</w:t>
            </w:r>
          </w:p>
        </w:tc>
        <w:tc>
          <w:tcPr>
            <w:tcW w:w="898" w:type="pct"/>
            <w:tcBorders>
              <w:left w:val="single" w:sz="4" w:space="0" w:color="BFBFBF"/>
              <w:bottom w:val="single" w:sz="4" w:space="0" w:color="BFBFBF"/>
            </w:tcBorders>
          </w:tcPr>
          <w:p w:rsidR="004A72E7" w:rsidRPr="001E2F6E" w:rsidRDefault="004A72E7" w:rsidP="00B3263A">
            <w:pPr>
              <w:spacing w:line="240" w:lineRule="exact"/>
              <w:ind w:right="170"/>
              <w:jc w:val="right"/>
              <w:rPr>
                <w:sz w:val="16"/>
                <w:szCs w:val="16"/>
              </w:rPr>
            </w:pPr>
            <w:r w:rsidRPr="001E2F6E">
              <w:rPr>
                <w:sz w:val="16"/>
                <w:szCs w:val="16"/>
              </w:rPr>
              <w:t>27.966</w:t>
            </w:r>
          </w:p>
        </w:tc>
        <w:tc>
          <w:tcPr>
            <w:tcW w:w="768" w:type="pct"/>
            <w:tcBorders>
              <w:bottom w:val="single" w:sz="4" w:space="0" w:color="BFBFBF"/>
            </w:tcBorders>
          </w:tcPr>
          <w:p w:rsidR="004A72E7" w:rsidRPr="001E2F6E" w:rsidRDefault="004A72E7" w:rsidP="00B3263A">
            <w:pPr>
              <w:spacing w:line="240" w:lineRule="exact"/>
              <w:ind w:right="170"/>
              <w:jc w:val="right"/>
              <w:rPr>
                <w:sz w:val="16"/>
                <w:szCs w:val="16"/>
              </w:rPr>
            </w:pPr>
            <w:r w:rsidRPr="001E2F6E">
              <w:rPr>
                <w:sz w:val="16"/>
                <w:szCs w:val="16"/>
              </w:rPr>
              <w:t>50,1</w:t>
            </w:r>
          </w:p>
        </w:tc>
      </w:tr>
      <w:tr w:rsidR="004A72E7" w:rsidRPr="001E2F6E">
        <w:trPr>
          <w:jc w:val="center"/>
        </w:trPr>
        <w:tc>
          <w:tcPr>
            <w:tcW w:w="1487" w:type="pct"/>
            <w:tcBorders>
              <w:top w:val="single" w:sz="4" w:space="0" w:color="BFBFBF"/>
              <w:bottom w:val="single" w:sz="4" w:space="0" w:color="BFBFBF"/>
              <w:right w:val="single" w:sz="4" w:space="0" w:color="BFBFBF"/>
            </w:tcBorders>
          </w:tcPr>
          <w:p w:rsidR="004A72E7" w:rsidRPr="001E2F6E" w:rsidRDefault="004A72E7" w:rsidP="009B6E1D">
            <w:pPr>
              <w:spacing w:line="240" w:lineRule="exact"/>
              <w:rPr>
                <w:b/>
                <w:bCs/>
                <w:sz w:val="16"/>
                <w:szCs w:val="16"/>
              </w:rPr>
            </w:pPr>
            <w:r w:rsidRPr="001E2F6E">
              <w:rPr>
                <w:b/>
                <w:bCs/>
                <w:sz w:val="16"/>
                <w:szCs w:val="16"/>
                <w:lang w:val="eu-ES"/>
              </w:rPr>
              <w:t>GUZTIRA</w:t>
            </w:r>
          </w:p>
        </w:tc>
        <w:tc>
          <w:tcPr>
            <w:tcW w:w="943" w:type="pct"/>
            <w:tcBorders>
              <w:top w:val="single" w:sz="4" w:space="0" w:color="BFBFBF"/>
              <w:left w:val="single" w:sz="4" w:space="0" w:color="BFBFBF"/>
              <w:bottom w:val="single" w:sz="4" w:space="0" w:color="BFBFBF"/>
            </w:tcBorders>
          </w:tcPr>
          <w:p w:rsidR="004A72E7" w:rsidRPr="001E2F6E" w:rsidRDefault="004A72E7" w:rsidP="00B3263A">
            <w:pPr>
              <w:spacing w:line="240" w:lineRule="exact"/>
              <w:ind w:right="170"/>
              <w:jc w:val="right"/>
              <w:rPr>
                <w:b/>
                <w:bCs/>
                <w:sz w:val="16"/>
                <w:szCs w:val="16"/>
              </w:rPr>
            </w:pPr>
            <w:r w:rsidRPr="001E2F6E">
              <w:rPr>
                <w:b/>
                <w:bCs/>
                <w:sz w:val="16"/>
                <w:szCs w:val="16"/>
              </w:rPr>
              <w:t>59.915</w:t>
            </w:r>
          </w:p>
        </w:tc>
        <w:tc>
          <w:tcPr>
            <w:tcW w:w="905" w:type="pct"/>
            <w:gridSpan w:val="2"/>
            <w:tcBorders>
              <w:top w:val="single" w:sz="4" w:space="0" w:color="BFBFBF"/>
              <w:bottom w:val="single" w:sz="4" w:space="0" w:color="BFBFBF"/>
              <w:right w:val="single" w:sz="4" w:space="0" w:color="BFBFBF"/>
            </w:tcBorders>
          </w:tcPr>
          <w:p w:rsidR="004A72E7" w:rsidRPr="001E2F6E" w:rsidRDefault="004A72E7" w:rsidP="00B3263A">
            <w:pPr>
              <w:spacing w:line="240" w:lineRule="exact"/>
              <w:ind w:right="170"/>
              <w:jc w:val="right"/>
              <w:rPr>
                <w:b/>
                <w:bCs/>
                <w:sz w:val="16"/>
                <w:szCs w:val="16"/>
              </w:rPr>
            </w:pPr>
            <w:r w:rsidRPr="001E2F6E">
              <w:rPr>
                <w:b/>
                <w:bCs/>
                <w:sz w:val="16"/>
                <w:szCs w:val="16"/>
              </w:rPr>
              <w:t>100</w:t>
            </w:r>
          </w:p>
        </w:tc>
        <w:tc>
          <w:tcPr>
            <w:tcW w:w="898" w:type="pct"/>
            <w:tcBorders>
              <w:top w:val="single" w:sz="4" w:space="0" w:color="BFBFBF"/>
              <w:left w:val="single" w:sz="4" w:space="0" w:color="BFBFBF"/>
              <w:bottom w:val="single" w:sz="4" w:space="0" w:color="BFBFBF"/>
            </w:tcBorders>
          </w:tcPr>
          <w:p w:rsidR="004A72E7" w:rsidRPr="001E2F6E" w:rsidRDefault="004A72E7" w:rsidP="00B3263A">
            <w:pPr>
              <w:spacing w:line="240" w:lineRule="exact"/>
              <w:ind w:right="170"/>
              <w:jc w:val="right"/>
              <w:rPr>
                <w:b/>
                <w:bCs/>
                <w:sz w:val="16"/>
                <w:szCs w:val="16"/>
              </w:rPr>
            </w:pPr>
            <w:r w:rsidRPr="001E2F6E">
              <w:rPr>
                <w:b/>
                <w:bCs/>
                <w:sz w:val="16"/>
                <w:szCs w:val="16"/>
              </w:rPr>
              <w:t>55.809</w:t>
            </w:r>
          </w:p>
        </w:tc>
        <w:tc>
          <w:tcPr>
            <w:tcW w:w="768" w:type="pct"/>
            <w:tcBorders>
              <w:top w:val="single" w:sz="4" w:space="0" w:color="BFBFBF"/>
              <w:bottom w:val="single" w:sz="4" w:space="0" w:color="BFBFBF"/>
            </w:tcBorders>
          </w:tcPr>
          <w:p w:rsidR="004A72E7" w:rsidRPr="001E2F6E" w:rsidRDefault="004A72E7" w:rsidP="00B3263A">
            <w:pPr>
              <w:spacing w:line="240" w:lineRule="exact"/>
              <w:ind w:right="170"/>
              <w:jc w:val="right"/>
              <w:rPr>
                <w:b/>
                <w:bCs/>
                <w:sz w:val="16"/>
                <w:szCs w:val="16"/>
              </w:rPr>
            </w:pPr>
            <w:r w:rsidRPr="001E2F6E">
              <w:rPr>
                <w:b/>
                <w:bCs/>
                <w:sz w:val="16"/>
                <w:szCs w:val="16"/>
              </w:rPr>
              <w:t>100</w:t>
            </w:r>
          </w:p>
        </w:tc>
      </w:tr>
    </w:tbl>
    <w:p w:rsidR="004A72E7" w:rsidRPr="001E2F6E" w:rsidRDefault="004A72E7" w:rsidP="009E174C">
      <w:pPr>
        <w:rPr>
          <w:lang w:val="es-ES_tradnl" w:eastAsia="es-ES"/>
        </w:rPr>
      </w:pPr>
    </w:p>
    <w:p w:rsidR="004A72E7" w:rsidRPr="001E2F6E" w:rsidRDefault="004A72E7" w:rsidP="009A00F2">
      <w:pPr>
        <w:ind w:left="426" w:hanging="426"/>
        <w:rPr>
          <w:lang w:val="es-ES_tradnl" w:eastAsia="es-ES"/>
        </w:rPr>
      </w:pPr>
    </w:p>
    <w:p w:rsidR="004A72E7" w:rsidRPr="00A253D5" w:rsidRDefault="004A72E7" w:rsidP="009A00F2">
      <w:pPr>
        <w:pStyle w:val="Prrafodelista"/>
        <w:spacing w:after="0" w:line="360" w:lineRule="auto"/>
        <w:ind w:left="426" w:hanging="426"/>
        <w:rPr>
          <w:rFonts w:ascii="Arial" w:hAnsi="Arial" w:cs="Arial"/>
          <w:lang w:val="de-DE" w:eastAsia="es-ES"/>
        </w:rPr>
      </w:pPr>
      <w:r w:rsidRPr="001E2F6E">
        <w:rPr>
          <w:rFonts w:ascii="Arial" w:hAnsi="Arial" w:cs="Arial"/>
          <w:lang w:val="es-ES_tradnl" w:eastAsia="es-ES"/>
        </w:rPr>
        <w:tab/>
      </w:r>
      <w:r w:rsidRPr="001E2F6E">
        <w:rPr>
          <w:rFonts w:ascii="Arial" w:hAnsi="Arial" w:cs="Arial"/>
          <w:lang w:val="eu-ES" w:eastAsia="es-ES"/>
        </w:rPr>
        <w:t xml:space="preserve">Zerbitzu-sektoreko enplegu-beherakada joera-aldaketa handia izan zen, 2008-2010 biurtekoko bilakaera positiboarekin alderatuta; hain zuzen ere, biurteko hartan, lanpostu-kopurua </w:t>
      </w:r>
      <w:r w:rsidRPr="001E2F6E">
        <w:rPr>
          <w:rFonts w:ascii="Arial" w:hAnsi="Arial" w:cs="Arial"/>
          <w:spacing w:val="60"/>
          <w:lang w:val="eu-ES" w:eastAsia="es-ES"/>
        </w:rPr>
        <w:t>%</w:t>
      </w:r>
      <w:r w:rsidRPr="001E2F6E">
        <w:rPr>
          <w:rFonts w:ascii="Arial" w:hAnsi="Arial" w:cs="Arial"/>
          <w:lang w:val="eu-ES" w:eastAsia="es-ES"/>
        </w:rPr>
        <w:t>2,7 handitu zen.</w:t>
      </w:r>
      <w:r w:rsidRPr="001E2F6E">
        <w:rPr>
          <w:rFonts w:ascii="Arial" w:hAnsi="Arial" w:cs="Arial"/>
          <w:lang w:val="es-ES_tradnl" w:eastAsia="es-ES"/>
        </w:rPr>
        <w:t xml:space="preserve"> </w:t>
      </w:r>
      <w:r w:rsidRPr="001E2F6E">
        <w:rPr>
          <w:rFonts w:ascii="Arial" w:hAnsi="Arial" w:cs="Arial"/>
          <w:lang w:val="eu-ES" w:eastAsia="es-ES"/>
        </w:rPr>
        <w:t>Hala ere, adierazi beharra dago Gizarte Ekonomiako hirugarren sektorean lanpostu asko igaro zirela merkataritza-sozietateetara, eta horrek eragin zuela bilakaera</w:t>
      </w:r>
      <w:r w:rsidRPr="001E2F6E">
        <w:rPr>
          <w:rStyle w:val="Refdenotaalpie"/>
          <w:rFonts w:ascii="Arial" w:hAnsi="Arial" w:cs="Arial"/>
          <w:lang w:val="eu-ES" w:eastAsia="es-ES"/>
        </w:rPr>
        <w:t xml:space="preserve"> </w:t>
      </w:r>
      <w:r w:rsidRPr="001E2F6E">
        <w:rPr>
          <w:rFonts w:ascii="Arial" w:hAnsi="Arial" w:cs="Arial"/>
          <w:lang w:val="eu-ES" w:eastAsia="es-ES"/>
        </w:rPr>
        <w:t>negatiboa, neurri handi batean</w:t>
      </w:r>
      <w:r w:rsidRPr="001E2F6E">
        <w:rPr>
          <w:rStyle w:val="Refdenotaalpie"/>
          <w:rFonts w:ascii="Arial" w:hAnsi="Arial" w:cs="Arial"/>
          <w:lang w:val="eu-ES" w:eastAsia="es-ES"/>
        </w:rPr>
        <w:footnoteReference w:id="4"/>
      </w:r>
      <w:r w:rsidRPr="001E2F6E">
        <w:rPr>
          <w:rFonts w:ascii="Arial" w:hAnsi="Arial" w:cs="Arial"/>
          <w:lang w:val="eu-ES" w:eastAsia="es-ES"/>
        </w:rPr>
        <w:t>.</w:t>
      </w:r>
      <w:r w:rsidRPr="001E2F6E">
        <w:rPr>
          <w:rFonts w:ascii="Arial" w:hAnsi="Arial" w:cs="Arial"/>
          <w:lang w:val="es-ES_tradnl" w:eastAsia="es-ES"/>
        </w:rPr>
        <w:t xml:space="preserve"> </w:t>
      </w:r>
      <w:r w:rsidRPr="001E2F6E">
        <w:rPr>
          <w:rFonts w:ascii="Arial" w:hAnsi="Arial" w:cs="Arial"/>
          <w:lang w:val="eu-ES" w:eastAsia="es-ES"/>
        </w:rPr>
        <w:t xml:space="preserve">Izan ere, 2010etik 2012ra bitartean zerbitzu-sektorean galdutako 3.205 lanpostuen </w:t>
      </w:r>
      <w:r w:rsidRPr="001E2F6E">
        <w:rPr>
          <w:rFonts w:ascii="Arial" w:hAnsi="Arial" w:cs="Arial"/>
          <w:spacing w:val="60"/>
          <w:lang w:val="eu-ES" w:eastAsia="es-ES"/>
        </w:rPr>
        <w:t>%</w:t>
      </w:r>
      <w:r w:rsidRPr="001E2F6E">
        <w:rPr>
          <w:rFonts w:ascii="Arial" w:hAnsi="Arial" w:cs="Arial"/>
          <w:lang w:val="eu-ES" w:eastAsia="es-ES"/>
        </w:rPr>
        <w:t>85,6 sozietate-birkonfigurazio horrekin lotzen dela.</w:t>
      </w:r>
      <w:r w:rsidRPr="001E2F6E">
        <w:rPr>
          <w:rFonts w:ascii="Arial" w:hAnsi="Arial" w:cs="Arial"/>
          <w:lang w:val="es-ES_tradnl" w:eastAsia="es-ES"/>
        </w:rPr>
        <w:t xml:space="preserve"> </w:t>
      </w:r>
      <w:r w:rsidRPr="001E2F6E">
        <w:rPr>
          <w:rFonts w:ascii="Arial" w:hAnsi="Arial" w:cs="Arial"/>
          <w:lang w:val="eu-ES" w:eastAsia="es-ES"/>
        </w:rPr>
        <w:t xml:space="preserve">Faktore hori kontuan hartu gabe, sektoreko enplegu-beherakada </w:t>
      </w:r>
      <w:r w:rsidRPr="001E2F6E">
        <w:rPr>
          <w:rFonts w:ascii="Arial" w:hAnsi="Arial" w:cs="Arial"/>
          <w:spacing w:val="60"/>
          <w:lang w:val="eu-ES" w:eastAsia="es-ES"/>
        </w:rPr>
        <w:t>%</w:t>
      </w:r>
      <w:r w:rsidRPr="001E2F6E">
        <w:rPr>
          <w:rFonts w:ascii="Arial" w:hAnsi="Arial" w:cs="Arial"/>
          <w:lang w:val="eu-ES" w:eastAsia="es-ES"/>
        </w:rPr>
        <w:t>1,6koa izango zen, besterik ez.</w:t>
      </w:r>
    </w:p>
    <w:p w:rsidR="004A72E7" w:rsidRPr="00A253D5" w:rsidRDefault="004A72E7" w:rsidP="009A00F2">
      <w:pPr>
        <w:ind w:left="426" w:hanging="426"/>
        <w:rPr>
          <w:lang w:val="de-DE" w:eastAsia="es-ES"/>
        </w:rPr>
      </w:pPr>
    </w:p>
    <w:p w:rsidR="004A72E7" w:rsidRPr="00A253D5" w:rsidRDefault="004A72E7">
      <w:pPr>
        <w:spacing w:after="200" w:line="276" w:lineRule="auto"/>
        <w:jc w:val="left"/>
        <w:rPr>
          <w:lang w:val="de-DE" w:eastAsia="es-ES"/>
        </w:rPr>
      </w:pPr>
      <w:r w:rsidRPr="00A253D5">
        <w:rPr>
          <w:lang w:val="de-DE" w:eastAsia="es-ES"/>
        </w:rPr>
        <w:br w:type="page"/>
      </w:r>
    </w:p>
    <w:p w:rsidR="004A72E7" w:rsidRPr="00A253D5" w:rsidRDefault="004A72E7" w:rsidP="009A00F2">
      <w:pPr>
        <w:pStyle w:val="Prrafodelista"/>
        <w:spacing w:after="0" w:line="360" w:lineRule="auto"/>
        <w:ind w:left="426" w:hanging="426"/>
        <w:rPr>
          <w:rFonts w:ascii="Arial" w:hAnsi="Arial" w:cs="Arial"/>
          <w:lang w:val="de-DE" w:eastAsia="es-ES"/>
        </w:rPr>
      </w:pPr>
      <w:r w:rsidRPr="00A253D5">
        <w:rPr>
          <w:rFonts w:ascii="Arial" w:hAnsi="Arial" w:cs="Arial"/>
          <w:lang w:val="de-DE" w:eastAsia="es-ES"/>
        </w:rPr>
        <w:lastRenderedPageBreak/>
        <w:tab/>
      </w:r>
      <w:r w:rsidRPr="001E2F6E">
        <w:rPr>
          <w:rFonts w:ascii="Arial" w:hAnsi="Arial" w:cs="Arial"/>
          <w:lang w:val="eu-ES" w:eastAsia="es-ES"/>
        </w:rPr>
        <w:t>Edonola ere, 2010etik 2012ra bitartean hautemandako dinamikak hau ekarri zuen berekin: Gizarte Ekonomiaren garrantzia gero eta txikiagoa zen EAEko zerbitzu-sektorean.</w:t>
      </w:r>
      <w:r w:rsidRPr="00A253D5">
        <w:rPr>
          <w:rFonts w:ascii="Arial" w:hAnsi="Arial" w:cs="Arial"/>
          <w:lang w:val="de-DE" w:eastAsia="es-ES"/>
        </w:rPr>
        <w:t xml:space="preserve"> </w:t>
      </w:r>
      <w:r w:rsidRPr="001E2F6E">
        <w:rPr>
          <w:rFonts w:ascii="Arial" w:hAnsi="Arial" w:cs="Arial"/>
          <w:lang w:val="eu-ES" w:eastAsia="es-ES"/>
        </w:rPr>
        <w:t xml:space="preserve">Gizarte-sektorearen parte-hartzea </w:t>
      </w:r>
      <w:r w:rsidRPr="001E2F6E">
        <w:rPr>
          <w:rFonts w:ascii="Arial" w:hAnsi="Arial" w:cs="Arial"/>
          <w:spacing w:val="60"/>
          <w:lang w:val="eu-ES" w:eastAsia="es-ES"/>
        </w:rPr>
        <w:t>%</w:t>
      </w:r>
      <w:r w:rsidRPr="001E2F6E">
        <w:rPr>
          <w:rFonts w:ascii="Arial" w:hAnsi="Arial" w:cs="Arial"/>
          <w:lang w:val="eu-ES" w:eastAsia="es-ES"/>
        </w:rPr>
        <w:t xml:space="preserve">4,9tik </w:t>
      </w:r>
      <w:r w:rsidRPr="001E2F6E">
        <w:rPr>
          <w:rFonts w:ascii="Arial" w:hAnsi="Arial" w:cs="Arial"/>
          <w:spacing w:val="60"/>
          <w:lang w:val="eu-ES" w:eastAsia="es-ES"/>
        </w:rPr>
        <w:t>%</w:t>
      </w:r>
      <w:r w:rsidRPr="001E2F6E">
        <w:rPr>
          <w:rFonts w:ascii="Arial" w:hAnsi="Arial" w:cs="Arial"/>
          <w:lang w:val="eu-ES" w:eastAsia="es-ES"/>
        </w:rPr>
        <w:t>4,5era jaitsi zen gizarteko hirugarren sektorean; 2008tik, ehunekorik txikiena izan zen.</w:t>
      </w:r>
    </w:p>
    <w:p w:rsidR="004A72E7" w:rsidRPr="00A253D5" w:rsidRDefault="004A72E7" w:rsidP="009A00F2">
      <w:pPr>
        <w:pStyle w:val="Prrafodelista"/>
        <w:spacing w:after="0" w:line="360" w:lineRule="auto"/>
        <w:ind w:left="426" w:hanging="426"/>
        <w:rPr>
          <w:rFonts w:ascii="Arial" w:hAnsi="Arial" w:cs="Arial"/>
          <w:lang w:val="de-DE" w:eastAsia="es-ES"/>
        </w:rPr>
      </w:pPr>
    </w:p>
    <w:p w:rsidR="004A72E7" w:rsidRPr="00A253D5" w:rsidRDefault="004A72E7" w:rsidP="00A95E68">
      <w:pPr>
        <w:spacing w:line="240" w:lineRule="auto"/>
        <w:ind w:left="227" w:hanging="227"/>
        <w:jc w:val="center"/>
        <w:rPr>
          <w:b/>
          <w:bCs/>
          <w:color w:val="1F497D" w:themeColor="text2"/>
          <w:sz w:val="18"/>
          <w:szCs w:val="18"/>
          <w:lang w:val="de-DE"/>
        </w:rPr>
      </w:pPr>
      <w:r w:rsidRPr="001E2F6E">
        <w:rPr>
          <w:b/>
          <w:bCs/>
          <w:color w:val="1F497D" w:themeColor="text2"/>
          <w:sz w:val="18"/>
          <w:szCs w:val="18"/>
          <w:lang w:val="eu-ES"/>
        </w:rPr>
        <w:t>GIZARTE EKONOMIAREN GARRANTZI ERLATIBOA EAE-KO EKONOMIAN</w:t>
      </w:r>
      <w:r w:rsidRPr="00A253D5">
        <w:rPr>
          <w:b/>
          <w:bCs/>
          <w:color w:val="1F497D" w:themeColor="text2"/>
          <w:sz w:val="18"/>
          <w:szCs w:val="18"/>
          <w:lang w:val="de-DE"/>
        </w:rPr>
        <w:t xml:space="preserve"> </w:t>
      </w:r>
      <w:r w:rsidRPr="001E2F6E">
        <w:rPr>
          <w:b/>
          <w:bCs/>
          <w:color w:val="1F497D" w:themeColor="text2"/>
          <w:sz w:val="18"/>
          <w:szCs w:val="18"/>
          <w:lang w:val="eu-ES"/>
        </w:rPr>
        <w:t xml:space="preserve"> (Enpleguaren pisu erlatiboa),</w:t>
      </w:r>
      <w:r w:rsidRPr="00A253D5">
        <w:rPr>
          <w:b/>
          <w:bCs/>
          <w:color w:val="1F497D" w:themeColor="text2"/>
          <w:sz w:val="18"/>
          <w:szCs w:val="18"/>
          <w:lang w:val="de-DE"/>
        </w:rPr>
        <w:t xml:space="preserve"> 2008-2012</w:t>
      </w:r>
    </w:p>
    <w:p w:rsidR="004A72E7" w:rsidRPr="00A253D5" w:rsidRDefault="001451B1" w:rsidP="00354E9D">
      <w:pPr>
        <w:ind w:left="227" w:hanging="227"/>
        <w:rPr>
          <w:b/>
          <w:bCs/>
          <w:lang w:val="de-DE"/>
        </w:rPr>
      </w:pPr>
      <w:r w:rsidRPr="001E2F6E">
        <w:rPr>
          <w:noProof/>
          <w:lang w:eastAsia="es-ES"/>
        </w:rPr>
        <w:drawing>
          <wp:anchor distT="103632" distB="115824" distL="132588" distR="336407" simplePos="0" relativeHeight="251644928" behindDoc="0" locked="0" layoutInCell="1" allowOverlap="1">
            <wp:simplePos x="0" y="0"/>
            <wp:positionH relativeFrom="column">
              <wp:posOffset>47625</wp:posOffset>
            </wp:positionH>
            <wp:positionV relativeFrom="paragraph">
              <wp:posOffset>133985</wp:posOffset>
            </wp:positionV>
            <wp:extent cx="5109845" cy="1543685"/>
            <wp:effectExtent l="0" t="0" r="0" b="0"/>
            <wp:wrapNone/>
            <wp:docPr id="3" name="Objeto 2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anchor>
        </w:drawing>
      </w:r>
    </w:p>
    <w:p w:rsidR="004A72E7" w:rsidRPr="00A253D5" w:rsidRDefault="004A72E7" w:rsidP="00354E9D">
      <w:pPr>
        <w:ind w:left="227" w:hanging="227"/>
        <w:rPr>
          <w:b/>
          <w:bCs/>
          <w:lang w:val="de-DE"/>
        </w:rPr>
      </w:pPr>
    </w:p>
    <w:p w:rsidR="004A72E7" w:rsidRPr="00A253D5" w:rsidRDefault="004A72E7" w:rsidP="00354E9D">
      <w:pPr>
        <w:ind w:left="227" w:hanging="227"/>
        <w:rPr>
          <w:b/>
          <w:bCs/>
          <w:lang w:val="de-DE"/>
        </w:rPr>
      </w:pPr>
    </w:p>
    <w:p w:rsidR="004A72E7" w:rsidRPr="00A253D5" w:rsidRDefault="004A72E7" w:rsidP="00354E9D">
      <w:pPr>
        <w:ind w:left="227" w:hanging="227"/>
        <w:rPr>
          <w:lang w:val="de-DE"/>
        </w:rPr>
      </w:pPr>
    </w:p>
    <w:p w:rsidR="004A72E7" w:rsidRPr="00A253D5" w:rsidRDefault="004A72E7" w:rsidP="00354E9D">
      <w:pPr>
        <w:ind w:left="227" w:hanging="227"/>
        <w:rPr>
          <w:lang w:val="de-DE"/>
        </w:rPr>
      </w:pPr>
    </w:p>
    <w:p w:rsidR="004A72E7" w:rsidRPr="00A253D5" w:rsidRDefault="004A72E7" w:rsidP="00354E9D">
      <w:pPr>
        <w:ind w:left="227" w:hanging="227"/>
        <w:jc w:val="left"/>
        <w:rPr>
          <w:lang w:val="de-DE"/>
        </w:rPr>
      </w:pPr>
    </w:p>
    <w:p w:rsidR="004A72E7" w:rsidRPr="00A253D5" w:rsidRDefault="004A72E7" w:rsidP="00354E9D">
      <w:pPr>
        <w:ind w:left="227" w:hanging="227"/>
        <w:jc w:val="left"/>
        <w:rPr>
          <w:lang w:val="de-DE"/>
        </w:rPr>
      </w:pPr>
    </w:p>
    <w:p w:rsidR="004A72E7" w:rsidRPr="00A253D5" w:rsidRDefault="004A72E7" w:rsidP="00354E9D">
      <w:pPr>
        <w:ind w:left="227" w:hanging="227"/>
        <w:jc w:val="left"/>
        <w:rPr>
          <w:lang w:val="de-DE"/>
        </w:rPr>
      </w:pPr>
    </w:p>
    <w:p w:rsidR="004A72E7" w:rsidRPr="00A253D5" w:rsidRDefault="004A72E7" w:rsidP="00354E9D">
      <w:pPr>
        <w:ind w:left="227" w:hanging="227"/>
        <w:rPr>
          <w:lang w:val="de-DE"/>
        </w:rPr>
      </w:pPr>
    </w:p>
    <w:p w:rsidR="004A72E7" w:rsidRPr="00A253D5" w:rsidRDefault="004A72E7" w:rsidP="00354E9D">
      <w:pPr>
        <w:ind w:left="227" w:hanging="227"/>
        <w:rPr>
          <w:lang w:val="de-DE"/>
        </w:rPr>
      </w:pPr>
    </w:p>
    <w:p w:rsidR="004A72E7" w:rsidRPr="001E2F6E" w:rsidRDefault="004A72E7" w:rsidP="009A00F2">
      <w:pPr>
        <w:ind w:left="426" w:hanging="426"/>
        <w:rPr>
          <w:lang w:val="eu-ES" w:eastAsia="es-ES"/>
        </w:rPr>
      </w:pPr>
      <w:r w:rsidRPr="00A253D5">
        <w:rPr>
          <w:lang w:val="de-DE"/>
        </w:rPr>
        <w:tab/>
      </w:r>
      <w:r w:rsidRPr="001E2F6E">
        <w:rPr>
          <w:b/>
          <w:bCs/>
          <w:lang w:val="eu-ES"/>
        </w:rPr>
        <w:t>Industria-enpleguari</w:t>
      </w:r>
      <w:r w:rsidRPr="001E2F6E">
        <w:rPr>
          <w:lang w:val="eu-ES"/>
        </w:rPr>
        <w:t xml:space="preserve"> dagokionez, </w:t>
      </w:r>
      <w:r w:rsidRPr="001E2F6E">
        <w:rPr>
          <w:b/>
          <w:bCs/>
          <w:lang w:val="eu-ES"/>
        </w:rPr>
        <w:t>joera negatiboa izaten jarraitzen zuen.</w:t>
      </w:r>
      <w:r w:rsidRPr="00A253D5">
        <w:rPr>
          <w:b/>
          <w:bCs/>
          <w:lang w:val="de-DE"/>
        </w:rPr>
        <w:t xml:space="preserve"> </w:t>
      </w:r>
      <w:r w:rsidRPr="001E2F6E">
        <w:rPr>
          <w:lang w:val="eu-ES" w:eastAsia="es-ES"/>
        </w:rPr>
        <w:t>A priori, industria-enpleguan enplegu-beherakada txikiagoa zen zerbitzu-sektorean baino (hurrenez hurren, -</w:t>
      </w:r>
      <w:r w:rsidRPr="001E2F6E">
        <w:rPr>
          <w:spacing w:val="60"/>
          <w:lang w:val="eu-ES" w:eastAsia="es-ES"/>
        </w:rPr>
        <w:t>%</w:t>
      </w:r>
      <w:r w:rsidRPr="001E2F6E">
        <w:rPr>
          <w:lang w:val="eu-ES" w:eastAsia="es-ES"/>
        </w:rPr>
        <w:t>3 eta -</w:t>
      </w:r>
      <w:r w:rsidRPr="001E2F6E">
        <w:rPr>
          <w:spacing w:val="60"/>
          <w:lang w:val="eu-ES" w:eastAsia="es-ES"/>
        </w:rPr>
        <w:t>%</w:t>
      </w:r>
      <w:r w:rsidRPr="001E2F6E">
        <w:rPr>
          <w:lang w:val="eu-ES" w:eastAsia="es-ES"/>
        </w:rPr>
        <w:t>10,3). Hala ere, titulartasun juridikoaren aldaketekin erlazionatutako faktorea kontuan hartzen ez bada, ikus daiteke industria-sektoreak enplegu-galera erlatibo handiagoa izan zuela hirugarren sektoreak baino (hurrenez hurren, -</w:t>
      </w:r>
      <w:r w:rsidRPr="001E2F6E">
        <w:rPr>
          <w:spacing w:val="60"/>
          <w:lang w:val="eu-ES" w:eastAsia="es-ES"/>
        </w:rPr>
        <w:t>%</w:t>
      </w:r>
      <w:r w:rsidRPr="001E2F6E">
        <w:rPr>
          <w:lang w:val="eu-ES" w:eastAsia="es-ES"/>
        </w:rPr>
        <w:t>2,4 eta -</w:t>
      </w:r>
      <w:r w:rsidRPr="001E2F6E">
        <w:rPr>
          <w:spacing w:val="60"/>
          <w:lang w:val="eu-ES" w:eastAsia="es-ES"/>
        </w:rPr>
        <w:t>%</w:t>
      </w:r>
      <w:r w:rsidRPr="001E2F6E">
        <w:rPr>
          <w:lang w:val="eu-ES" w:eastAsia="es-ES"/>
        </w:rPr>
        <w:t xml:space="preserve">1,6). Hala ere, enplegu-beherakada askoz txikiagoa izan zen 2008tik 2010era bitartekoa baino (biurteko hartan, enplegua </w:t>
      </w:r>
      <w:r w:rsidRPr="001E2F6E">
        <w:rPr>
          <w:spacing w:val="60"/>
          <w:lang w:val="eu-ES" w:eastAsia="es-ES"/>
        </w:rPr>
        <w:t>%</w:t>
      </w:r>
      <w:r w:rsidRPr="001E2F6E">
        <w:rPr>
          <w:lang w:val="eu-ES" w:eastAsia="es-ES"/>
        </w:rPr>
        <w:t>11,4 jaitsi zen).</w:t>
      </w:r>
    </w:p>
    <w:p w:rsidR="004A72E7" w:rsidRPr="001E2F6E" w:rsidRDefault="004A72E7" w:rsidP="009A00F2">
      <w:pPr>
        <w:ind w:left="426" w:hanging="426"/>
        <w:rPr>
          <w:lang w:val="eu-ES" w:eastAsia="es-ES"/>
        </w:rPr>
      </w:pPr>
    </w:p>
    <w:p w:rsidR="004A72E7" w:rsidRPr="001E2F6E" w:rsidRDefault="004A72E7" w:rsidP="009A00F2">
      <w:pPr>
        <w:ind w:left="426" w:hanging="426"/>
        <w:rPr>
          <w:lang w:val="eu-ES" w:eastAsia="es-ES"/>
        </w:rPr>
      </w:pPr>
      <w:r w:rsidRPr="001E2F6E">
        <w:rPr>
          <w:lang w:val="eu-ES" w:eastAsia="es-ES"/>
        </w:rPr>
        <w:tab/>
        <w:t xml:space="preserve">Lanpostuak suntsitzeko erritmoa moteldu bazen ere, industria-enpleguaren etengabeko beherakadak eragin handia izan zuen Gizarte Ekonomiako azken urteetako enpleguaren bilakaeran. 2006tik, industriak 6.623 lanpostu galdu zituen 2012ra arte; hau da, </w:t>
      </w:r>
      <w:r w:rsidRPr="001E2F6E">
        <w:rPr>
          <w:spacing w:val="60"/>
          <w:lang w:val="eu-ES" w:eastAsia="es-ES"/>
        </w:rPr>
        <w:t>%</w:t>
      </w:r>
      <w:r w:rsidRPr="001E2F6E">
        <w:rPr>
          <w:lang w:val="eu-ES" w:eastAsia="es-ES"/>
        </w:rPr>
        <w:t xml:space="preserve">20,5eko beherakada gertatu zen. Dinamika hori askoz negatiboagoa izan zen hirugarren sektorean jasotakoa baino. 2006tik 2012ra bitartean, 802 lanpostu garbi galduta, sektoreak lanpostu guztien </w:t>
      </w:r>
      <w:r w:rsidRPr="001E2F6E">
        <w:rPr>
          <w:spacing w:val="60"/>
          <w:lang w:val="eu-ES" w:eastAsia="es-ES"/>
        </w:rPr>
        <w:t>%</w:t>
      </w:r>
      <w:r w:rsidRPr="001E2F6E">
        <w:rPr>
          <w:lang w:val="eu-ES" w:eastAsia="es-ES"/>
        </w:rPr>
        <w:t>2,8 galdu zituen denboraldi hartan</w:t>
      </w:r>
      <w:r w:rsidRPr="001E2F6E">
        <w:rPr>
          <w:rStyle w:val="Refdenotaalpie"/>
          <w:rFonts w:cs="Arial"/>
          <w:lang w:val="eu-ES" w:eastAsia="es-ES"/>
        </w:rPr>
        <w:footnoteReference w:id="5"/>
      </w:r>
      <w:r w:rsidRPr="001E2F6E">
        <w:rPr>
          <w:lang w:val="eu-ES" w:eastAsia="es-ES"/>
        </w:rPr>
        <w:t>.</w:t>
      </w:r>
    </w:p>
    <w:p w:rsidR="004A72E7" w:rsidRPr="001E2F6E" w:rsidRDefault="004A72E7" w:rsidP="009A00F2">
      <w:pPr>
        <w:ind w:left="426" w:hanging="426"/>
        <w:rPr>
          <w:lang w:val="eu-ES" w:eastAsia="es-ES"/>
        </w:rPr>
      </w:pPr>
    </w:p>
    <w:p w:rsidR="004A72E7" w:rsidRPr="001E2F6E" w:rsidRDefault="004A72E7" w:rsidP="009A00F2">
      <w:pPr>
        <w:ind w:left="426" w:hanging="426"/>
        <w:rPr>
          <w:lang w:val="eu-ES" w:eastAsia="es-ES"/>
        </w:rPr>
      </w:pPr>
      <w:r w:rsidRPr="001E2F6E">
        <w:rPr>
          <w:lang w:val="eu-ES" w:eastAsia="es-ES"/>
        </w:rPr>
        <w:tab/>
        <w:t xml:space="preserve">Alabaina, Euskadiko Gizarte Ekonomiako industriak hobeto eutsi zion krisiari Euskadiko sektoreak baino. Horren ondorioz, Gizarte Ekonomiako industria-arloaren garrantzi erlatiboak gora egin zuen. Horrenbestez, 2010etik 2012ra bitartean, Gizarte Ekonomiako industriak EAEko industria-okupazioan zeukan pisu erlatiboa </w:t>
      </w:r>
      <w:r w:rsidRPr="001E2F6E">
        <w:rPr>
          <w:spacing w:val="60"/>
          <w:lang w:val="eu-ES" w:eastAsia="es-ES"/>
        </w:rPr>
        <w:t>%</w:t>
      </w:r>
      <w:r w:rsidRPr="001E2F6E">
        <w:rPr>
          <w:lang w:val="eu-ES" w:eastAsia="es-ES"/>
        </w:rPr>
        <w:t xml:space="preserve">11,8tik </w:t>
      </w:r>
      <w:r w:rsidRPr="001E2F6E">
        <w:rPr>
          <w:spacing w:val="60"/>
          <w:lang w:val="eu-ES" w:eastAsia="es-ES"/>
        </w:rPr>
        <w:t>%</w:t>
      </w:r>
      <w:r w:rsidRPr="001E2F6E">
        <w:rPr>
          <w:lang w:val="eu-ES" w:eastAsia="es-ES"/>
        </w:rPr>
        <w:t xml:space="preserve">12ra igo zen, eta 2008an, </w:t>
      </w:r>
      <w:r w:rsidRPr="001E2F6E">
        <w:rPr>
          <w:spacing w:val="60"/>
          <w:lang w:val="eu-ES" w:eastAsia="es-ES"/>
        </w:rPr>
        <w:t>%</w:t>
      </w:r>
      <w:r w:rsidRPr="001E2F6E">
        <w:rPr>
          <w:lang w:val="eu-ES" w:eastAsia="es-ES"/>
        </w:rPr>
        <w:t xml:space="preserve">12,1ekoa zen. </w:t>
      </w:r>
    </w:p>
    <w:p w:rsidR="004A72E7" w:rsidRPr="001E2F6E" w:rsidRDefault="004A72E7" w:rsidP="009A00F2">
      <w:pPr>
        <w:ind w:left="426" w:hanging="426"/>
        <w:rPr>
          <w:lang w:val="eu-ES" w:eastAsia="es-ES"/>
        </w:rPr>
      </w:pPr>
    </w:p>
    <w:p w:rsidR="004A72E7" w:rsidRPr="001E2F6E" w:rsidRDefault="004A72E7">
      <w:pPr>
        <w:spacing w:after="200" w:line="276" w:lineRule="auto"/>
        <w:jc w:val="left"/>
        <w:rPr>
          <w:lang w:val="eu-ES" w:eastAsia="es-ES"/>
        </w:rPr>
      </w:pPr>
    </w:p>
    <w:p w:rsidR="004A72E7" w:rsidRPr="001E2F6E" w:rsidRDefault="004A72E7" w:rsidP="009A00F2">
      <w:pPr>
        <w:ind w:left="426" w:hanging="426"/>
        <w:rPr>
          <w:lang w:val="eu-ES" w:eastAsia="es-ES"/>
        </w:rPr>
      </w:pPr>
      <w:r w:rsidRPr="001E2F6E">
        <w:rPr>
          <w:lang w:val="eu-ES" w:eastAsia="es-ES"/>
        </w:rPr>
        <w:tab/>
        <w:t xml:space="preserve">Gainera, pisu erlatibo hori handiagoa zen Gizarte Ekonomiako industria-enpresek Euskadiko industriako BPGan zeukaten parte-hartzeari dagokiona baino; hain zuzen, </w:t>
      </w:r>
      <w:r w:rsidRPr="001E2F6E">
        <w:rPr>
          <w:spacing w:val="60"/>
          <w:lang w:val="eu-ES" w:eastAsia="es-ES"/>
        </w:rPr>
        <w:t>%</w:t>
      </w:r>
      <w:r w:rsidRPr="001E2F6E">
        <w:rPr>
          <w:lang w:val="eu-ES" w:eastAsia="es-ES"/>
        </w:rPr>
        <w:t>9,9koa zen 2012an. Hortaz, bigarren sektoreko kooperatibetan eta lan-sozietateetan, produktu-unitate bakoitzak ahalmen erlatibo handiagoa zeukan enplegua sortzeko, EAEko industria osoan baino.</w:t>
      </w:r>
    </w:p>
    <w:p w:rsidR="004A72E7" w:rsidRPr="001E2F6E" w:rsidRDefault="004A72E7" w:rsidP="009A00F2">
      <w:pPr>
        <w:ind w:left="426" w:hanging="426"/>
        <w:rPr>
          <w:lang w:val="eu-ES" w:eastAsia="es-ES"/>
        </w:rPr>
      </w:pPr>
    </w:p>
    <w:p w:rsidR="004A72E7" w:rsidRPr="001E2F6E" w:rsidRDefault="004A72E7" w:rsidP="009A00F2">
      <w:pPr>
        <w:ind w:left="426" w:hanging="426"/>
        <w:rPr>
          <w:lang w:val="eu-ES" w:eastAsia="es-ES"/>
        </w:rPr>
      </w:pPr>
      <w:r w:rsidRPr="001E2F6E">
        <w:rPr>
          <w:lang w:val="eu-ES" w:eastAsia="es-ES"/>
        </w:rPr>
        <w:tab/>
        <w:t xml:space="preserve">Bestalde, 2010-2012 denboraldian Gizarte Ekonomiako zerbitzu-sektoreak enplegu-beherakada handiagoa izan zuenez, kooperatibek eta lan-sozietateek industria-espezializazioa berreskuratu zuten. Horrenbestez, 2012an, industria-enplegua Gizarte Ekonomiako enpleguaren </w:t>
      </w:r>
      <w:r w:rsidRPr="001E2F6E">
        <w:rPr>
          <w:spacing w:val="60"/>
          <w:lang w:val="eu-ES" w:eastAsia="es-ES"/>
        </w:rPr>
        <w:t>%</w:t>
      </w:r>
      <w:r w:rsidRPr="001E2F6E">
        <w:rPr>
          <w:lang w:val="eu-ES" w:eastAsia="es-ES"/>
        </w:rPr>
        <w:t>46,1 zen; hau da, Euskadiko ekonomiako enplegu-ehunekoaren bikoitza (</w:t>
      </w:r>
      <w:r w:rsidRPr="001E2F6E">
        <w:rPr>
          <w:spacing w:val="60"/>
          <w:lang w:val="eu-ES" w:eastAsia="es-ES"/>
        </w:rPr>
        <w:t>%</w:t>
      </w:r>
      <w:r w:rsidRPr="001E2F6E">
        <w:rPr>
          <w:lang w:val="eu-ES" w:eastAsia="es-ES"/>
        </w:rPr>
        <w:t xml:space="preserve">23,7). </w:t>
      </w:r>
    </w:p>
    <w:p w:rsidR="004A72E7" w:rsidRPr="001E2F6E" w:rsidRDefault="004A72E7" w:rsidP="00115016">
      <w:pPr>
        <w:rPr>
          <w:color w:val="1F497D" w:themeColor="text2"/>
          <w:lang w:val="eu-ES" w:eastAsia="es-ES"/>
        </w:rPr>
      </w:pPr>
    </w:p>
    <w:p w:rsidR="004A72E7" w:rsidRPr="001E2F6E" w:rsidRDefault="004A72E7" w:rsidP="00A95E68">
      <w:pPr>
        <w:spacing w:line="240" w:lineRule="auto"/>
        <w:ind w:left="227" w:hanging="227"/>
        <w:jc w:val="center"/>
        <w:rPr>
          <w:b/>
          <w:bCs/>
          <w:noProof/>
          <w:color w:val="1F497D" w:themeColor="text2"/>
          <w:sz w:val="18"/>
          <w:szCs w:val="18"/>
          <w:lang w:val="eu-ES"/>
        </w:rPr>
      </w:pPr>
      <w:r w:rsidRPr="001E2F6E">
        <w:rPr>
          <w:b/>
          <w:bCs/>
          <w:noProof/>
          <w:color w:val="1F497D" w:themeColor="text2"/>
          <w:sz w:val="18"/>
          <w:szCs w:val="18"/>
          <w:lang w:val="eu-ES"/>
        </w:rPr>
        <w:t>ENPLEGUAREN SEKTORE-BANAKETAREN GARRANTZIA EAE-KO EKONOMIAN ETA GIZARTE EKONOMIAN, 2012 (arlo bakoitzeko enplegu osoaren %-a)</w:t>
      </w:r>
    </w:p>
    <w:p w:rsidR="004A72E7" w:rsidRPr="001E2F6E" w:rsidRDefault="001451B1" w:rsidP="00354E9D">
      <w:pPr>
        <w:ind w:left="227" w:hanging="227"/>
        <w:jc w:val="center"/>
        <w:rPr>
          <w:lang w:val="eu-ES"/>
        </w:rPr>
      </w:pPr>
      <w:r w:rsidRPr="001E2F6E">
        <w:rPr>
          <w:noProof/>
          <w:lang w:eastAsia="es-ES"/>
        </w:rPr>
        <w:drawing>
          <wp:anchor distT="91440" distB="134112" distL="242316" distR="434948" simplePos="0" relativeHeight="251645952" behindDoc="0" locked="0" layoutInCell="1" allowOverlap="1">
            <wp:simplePos x="0" y="0"/>
            <wp:positionH relativeFrom="column">
              <wp:posOffset>128905</wp:posOffset>
            </wp:positionH>
            <wp:positionV relativeFrom="paragraph">
              <wp:posOffset>164465</wp:posOffset>
            </wp:positionV>
            <wp:extent cx="4916170" cy="1604645"/>
            <wp:effectExtent l="0" t="0" r="0" b="0"/>
            <wp:wrapNone/>
            <wp:docPr id="22" name="Objeto 2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anchor>
        </w:drawing>
      </w:r>
    </w:p>
    <w:p w:rsidR="004A72E7" w:rsidRPr="001E2F6E" w:rsidRDefault="004A72E7" w:rsidP="00354E9D">
      <w:pPr>
        <w:ind w:left="227" w:hanging="227"/>
        <w:jc w:val="center"/>
        <w:rPr>
          <w:lang w:val="eu-ES"/>
        </w:rPr>
      </w:pPr>
    </w:p>
    <w:p w:rsidR="004A72E7" w:rsidRPr="001E2F6E" w:rsidRDefault="004A72E7" w:rsidP="00354E9D">
      <w:pPr>
        <w:ind w:left="227" w:hanging="227"/>
        <w:rPr>
          <w:lang w:val="eu-ES"/>
        </w:rPr>
      </w:pPr>
    </w:p>
    <w:p w:rsidR="004A72E7" w:rsidRPr="001E2F6E" w:rsidRDefault="004A72E7" w:rsidP="00354E9D">
      <w:pPr>
        <w:ind w:left="227" w:hanging="227"/>
        <w:rPr>
          <w:lang w:val="eu-ES"/>
        </w:rPr>
      </w:pPr>
    </w:p>
    <w:p w:rsidR="004A72E7" w:rsidRPr="001E2F6E" w:rsidRDefault="004A72E7" w:rsidP="00354E9D">
      <w:pPr>
        <w:ind w:left="227" w:hanging="227"/>
        <w:rPr>
          <w:lang w:val="eu-ES"/>
        </w:rPr>
      </w:pPr>
    </w:p>
    <w:p w:rsidR="004A72E7" w:rsidRPr="001E2F6E" w:rsidRDefault="004A72E7" w:rsidP="00354E9D">
      <w:pPr>
        <w:ind w:left="227" w:hanging="227"/>
        <w:rPr>
          <w:lang w:val="eu-ES"/>
        </w:rPr>
      </w:pPr>
    </w:p>
    <w:p w:rsidR="004A72E7" w:rsidRPr="001E2F6E" w:rsidRDefault="004A72E7" w:rsidP="00354E9D">
      <w:pPr>
        <w:ind w:left="227" w:hanging="227"/>
        <w:rPr>
          <w:lang w:val="eu-ES"/>
        </w:rPr>
      </w:pPr>
    </w:p>
    <w:p w:rsidR="004A72E7" w:rsidRPr="001E2F6E" w:rsidRDefault="004A72E7" w:rsidP="00354E9D">
      <w:pPr>
        <w:pStyle w:val="Piedepgina"/>
        <w:widowControl w:val="0"/>
        <w:tabs>
          <w:tab w:val="clear" w:pos="4252"/>
          <w:tab w:val="clear" w:pos="8504"/>
          <w:tab w:val="left" w:pos="1276"/>
        </w:tabs>
        <w:spacing w:line="360" w:lineRule="auto"/>
        <w:ind w:left="227" w:hanging="227"/>
        <w:rPr>
          <w:i/>
          <w:iCs/>
          <w:sz w:val="16"/>
          <w:szCs w:val="16"/>
          <w:lang w:val="eu-ES"/>
        </w:rPr>
      </w:pPr>
    </w:p>
    <w:p w:rsidR="004A72E7" w:rsidRPr="001E2F6E" w:rsidRDefault="004A72E7" w:rsidP="00354E9D">
      <w:pPr>
        <w:pStyle w:val="Piedepgina"/>
        <w:widowControl w:val="0"/>
        <w:tabs>
          <w:tab w:val="clear" w:pos="4252"/>
          <w:tab w:val="clear" w:pos="8504"/>
          <w:tab w:val="left" w:pos="1276"/>
        </w:tabs>
        <w:spacing w:line="360" w:lineRule="auto"/>
        <w:ind w:left="227" w:hanging="227"/>
        <w:rPr>
          <w:i/>
          <w:iCs/>
          <w:sz w:val="16"/>
          <w:szCs w:val="16"/>
          <w:lang w:val="eu-ES"/>
        </w:rPr>
      </w:pPr>
    </w:p>
    <w:p w:rsidR="004A72E7" w:rsidRPr="001E2F6E" w:rsidRDefault="004A72E7" w:rsidP="00B378EE">
      <w:pPr>
        <w:pStyle w:val="Piedepgina"/>
        <w:widowControl w:val="0"/>
        <w:tabs>
          <w:tab w:val="clear" w:pos="4252"/>
          <w:tab w:val="clear" w:pos="8504"/>
          <w:tab w:val="left" w:pos="1276"/>
        </w:tabs>
        <w:spacing w:line="300" w:lineRule="auto"/>
        <w:ind w:left="425" w:hanging="425"/>
        <w:rPr>
          <w:snapToGrid w:val="0"/>
          <w:lang w:val="eu-ES"/>
        </w:rPr>
      </w:pPr>
      <w:r w:rsidRPr="001E2F6E">
        <w:rPr>
          <w:i/>
          <w:iCs/>
          <w:sz w:val="16"/>
          <w:szCs w:val="16"/>
          <w:lang w:val="eu-ES"/>
        </w:rPr>
        <w:t>Oharra: Alderaketa egiteko datuak Eustaten 2012ko Biztanleria jardueraren arabera sailkatzeko inkestatik (BJA) atera dira. Urteko okupazioaren batez bestekoa.</w:t>
      </w:r>
    </w:p>
    <w:p w:rsidR="004A72E7" w:rsidRPr="001E2F6E" w:rsidRDefault="004A72E7" w:rsidP="00354E9D">
      <w:pPr>
        <w:ind w:left="227" w:hanging="227"/>
        <w:rPr>
          <w:lang w:val="eu-ES"/>
        </w:rPr>
      </w:pPr>
    </w:p>
    <w:p w:rsidR="004A72E7" w:rsidRPr="001E2F6E" w:rsidRDefault="004A72E7" w:rsidP="009606C0">
      <w:pPr>
        <w:rPr>
          <w:lang w:val="eu-ES" w:eastAsia="es-ES"/>
        </w:rPr>
      </w:pPr>
    </w:p>
    <w:p w:rsidR="004A72E7" w:rsidRPr="001E2F6E" w:rsidRDefault="004A72E7" w:rsidP="00354E9D">
      <w:pPr>
        <w:pStyle w:val="Ttulo3"/>
        <w:spacing w:line="360" w:lineRule="auto"/>
        <w:ind w:left="227" w:hanging="227"/>
        <w:rPr>
          <w:sz w:val="24"/>
          <w:szCs w:val="24"/>
          <w:lang w:val="eu-ES"/>
        </w:rPr>
      </w:pPr>
      <w:bookmarkStart w:id="4" w:name="_Toc392585654"/>
      <w:r w:rsidRPr="001E2F6E">
        <w:rPr>
          <w:sz w:val="24"/>
          <w:szCs w:val="24"/>
          <w:lang w:val="eu-ES"/>
        </w:rPr>
        <w:t>Beheranzko joera 2013an eten zen, baina goranzko susperraldirik gabe</w:t>
      </w:r>
      <w:bookmarkEnd w:id="4"/>
    </w:p>
    <w:p w:rsidR="004A72E7" w:rsidRPr="001E2F6E" w:rsidRDefault="004A72E7" w:rsidP="00354E9D">
      <w:pPr>
        <w:ind w:left="227" w:hanging="227"/>
        <w:rPr>
          <w:lang w:val="eu-ES" w:eastAsia="es-ES"/>
        </w:rPr>
      </w:pPr>
    </w:p>
    <w:p w:rsidR="004A72E7" w:rsidRPr="001E2F6E" w:rsidRDefault="004A72E7" w:rsidP="00A95E68">
      <w:pPr>
        <w:rPr>
          <w:lang w:val="eu-ES" w:eastAsia="es-ES"/>
        </w:rPr>
      </w:pPr>
      <w:r w:rsidRPr="001E2F6E">
        <w:rPr>
          <w:lang w:val="eu-ES" w:eastAsia="es-ES"/>
        </w:rPr>
        <w:t xml:space="preserve">Gizarte Ekonomiako enpresek 2013rako aurkeztutako emaitzen aurrerapeneko aurreikuspenetan, nolabaiteko joera-aldaketa gertatuko da enplegua gutxitzeko prozesuan. Hala ere, egindako kalkuluen arabera, enpleguaren </w:t>
      </w:r>
      <w:r w:rsidRPr="001E2F6E">
        <w:rPr>
          <w:spacing w:val="60"/>
          <w:lang w:val="eu-ES" w:eastAsia="es-ES"/>
        </w:rPr>
        <w:t>%</w:t>
      </w:r>
      <w:r w:rsidRPr="001E2F6E">
        <w:rPr>
          <w:lang w:val="eu-ES" w:eastAsia="es-ES"/>
        </w:rPr>
        <w:t>0,1 baino ez da berreskuratuko, 2012an 55.809 lanpostu izatetik 2013an 55.851 izatera. Horrenbestez, 2013an, enplegua egonkortuko da, baina ez da susperraldirik gertatuko</w:t>
      </w:r>
      <w:r w:rsidRPr="001E2F6E">
        <w:rPr>
          <w:rStyle w:val="Refdenotaalpie"/>
          <w:rFonts w:cs="Arial"/>
          <w:lang w:val="eu-ES" w:eastAsia="es-ES"/>
        </w:rPr>
        <w:footnoteReference w:id="6"/>
      </w:r>
      <w:r w:rsidRPr="001E2F6E">
        <w:rPr>
          <w:lang w:val="eu-ES" w:eastAsia="es-ES"/>
        </w:rPr>
        <w:t>.</w:t>
      </w:r>
    </w:p>
    <w:p w:rsidR="004A72E7" w:rsidRPr="001E2F6E" w:rsidRDefault="004A72E7">
      <w:pPr>
        <w:spacing w:after="200" w:line="276" w:lineRule="auto"/>
        <w:jc w:val="left"/>
        <w:rPr>
          <w:lang w:val="eu-ES" w:eastAsia="es-ES"/>
        </w:rPr>
      </w:pPr>
      <w:r w:rsidRPr="001E2F6E">
        <w:rPr>
          <w:lang w:val="eu-ES" w:eastAsia="es-ES"/>
        </w:rPr>
        <w:br w:type="page"/>
      </w:r>
    </w:p>
    <w:p w:rsidR="004A72E7" w:rsidRPr="001E2F6E" w:rsidRDefault="004A72E7" w:rsidP="00354E9D">
      <w:pPr>
        <w:pStyle w:val="Ttulo3"/>
        <w:spacing w:line="360" w:lineRule="auto"/>
        <w:ind w:left="227" w:hanging="227"/>
        <w:rPr>
          <w:sz w:val="24"/>
          <w:szCs w:val="24"/>
          <w:lang w:val="eu-ES"/>
        </w:rPr>
      </w:pPr>
      <w:bookmarkStart w:id="5" w:name="_Toc392585655"/>
      <w:r w:rsidRPr="001E2F6E">
        <w:rPr>
          <w:sz w:val="24"/>
          <w:szCs w:val="24"/>
          <w:lang w:val="eu-ES"/>
        </w:rPr>
        <w:lastRenderedPageBreak/>
        <w:t>Enplegu beherakada ez da homogeneoki banatzen</w:t>
      </w:r>
      <w:bookmarkEnd w:id="5"/>
    </w:p>
    <w:p w:rsidR="004A72E7" w:rsidRPr="001E2F6E" w:rsidRDefault="004A72E7" w:rsidP="00354E9D">
      <w:pPr>
        <w:ind w:left="227" w:hanging="227"/>
        <w:rPr>
          <w:i/>
          <w:iCs/>
          <w:lang w:val="eu-ES" w:eastAsia="es-ES"/>
        </w:rPr>
      </w:pPr>
    </w:p>
    <w:p w:rsidR="004A72E7" w:rsidRPr="001E2F6E" w:rsidRDefault="004A72E7" w:rsidP="001451B1">
      <w:pPr>
        <w:pStyle w:val="ARIALNARROW"/>
        <w:numPr>
          <w:ilvl w:val="0"/>
          <w:numId w:val="2"/>
        </w:numPr>
        <w:spacing w:line="360" w:lineRule="auto"/>
        <w:ind w:left="426" w:hanging="426"/>
        <w:rPr>
          <w:spacing w:val="4"/>
          <w:lang w:val="eu-ES"/>
        </w:rPr>
      </w:pPr>
      <w:r w:rsidRPr="001E2F6E">
        <w:rPr>
          <w:b/>
          <w:bCs/>
          <w:lang w:val="eu-ES"/>
        </w:rPr>
        <w:tab/>
        <w:t>Gizarte Ekonomiako arlo guztietan soldatapeko lanpostu mugagabeak galdu zirela da aipatzekoa, eta galera hori handiagoa izan zela lan-sozietateetako enplegu-modalitate guztietan</w:t>
      </w:r>
    </w:p>
    <w:p w:rsidR="004A72E7" w:rsidRPr="001E2F6E" w:rsidRDefault="004A72E7" w:rsidP="00A95E68">
      <w:pPr>
        <w:ind w:left="426" w:hanging="426"/>
        <w:rPr>
          <w:lang w:val="eu-ES" w:eastAsia="es-ES"/>
        </w:rPr>
      </w:pPr>
    </w:p>
    <w:p w:rsidR="004A72E7" w:rsidRPr="001E2F6E" w:rsidRDefault="004A72E7" w:rsidP="00A95E68">
      <w:pPr>
        <w:ind w:left="426" w:hanging="426"/>
        <w:rPr>
          <w:lang w:val="eu-ES" w:eastAsia="es-ES"/>
        </w:rPr>
      </w:pPr>
      <w:r w:rsidRPr="001E2F6E">
        <w:rPr>
          <w:lang w:val="eu-ES" w:eastAsia="es-ES"/>
        </w:rPr>
        <w:tab/>
        <w:t xml:space="preserve">Enpleguaren bilakaerak oso bestelako dinamikak izan zituen 2010etik 2012ra bitartean, langileen eta enpresaren arteko kontratu-harremanaren arabera. Alderdi positiboan, nabarmendu behar da kooperatibetan sozietate-enplegua berreskuratu egin zela, </w:t>
      </w:r>
      <w:r w:rsidRPr="001E2F6E">
        <w:rPr>
          <w:spacing w:val="60"/>
          <w:lang w:val="eu-ES" w:eastAsia="es-ES"/>
        </w:rPr>
        <w:t>%</w:t>
      </w:r>
      <w:r w:rsidRPr="001E2F6E">
        <w:rPr>
          <w:lang w:val="eu-ES" w:eastAsia="es-ES"/>
        </w:rPr>
        <w:t>1eko hazkundearekin. Horrez gain, enpresa horietan, aldi baterako langileen kopurua nabarmen handitu zen (+</w:t>
      </w:r>
      <w:r w:rsidRPr="001E2F6E">
        <w:rPr>
          <w:spacing w:val="60"/>
          <w:lang w:val="eu-ES" w:eastAsia="es-ES"/>
        </w:rPr>
        <w:t>%</w:t>
      </w:r>
      <w:r w:rsidRPr="001E2F6E">
        <w:rPr>
          <w:lang w:val="eu-ES" w:eastAsia="es-ES"/>
        </w:rPr>
        <w:t>25,4).</w:t>
      </w:r>
    </w:p>
    <w:p w:rsidR="004A72E7" w:rsidRPr="001E2F6E" w:rsidRDefault="004A72E7" w:rsidP="00A95E68">
      <w:pPr>
        <w:ind w:left="426" w:hanging="426"/>
        <w:rPr>
          <w:lang w:val="eu-ES" w:eastAsia="es-ES"/>
        </w:rPr>
      </w:pPr>
    </w:p>
    <w:p w:rsidR="004A72E7" w:rsidRPr="001E2F6E" w:rsidRDefault="004A72E7" w:rsidP="00A95E68">
      <w:pPr>
        <w:ind w:left="426" w:hanging="426"/>
        <w:rPr>
          <w:lang w:val="eu-ES" w:eastAsia="es-ES"/>
        </w:rPr>
      </w:pPr>
      <w:r w:rsidRPr="001E2F6E">
        <w:rPr>
          <w:lang w:val="eu-ES" w:eastAsia="es-ES"/>
        </w:rPr>
        <w:tab/>
        <w:t xml:space="preserve">Alderdi negatiboari dagokionez, azpimarragarria da langile mugagabeen kopurua </w:t>
      </w:r>
      <w:r w:rsidRPr="001E2F6E">
        <w:rPr>
          <w:spacing w:val="60"/>
          <w:lang w:val="eu-ES" w:eastAsia="es-ES"/>
        </w:rPr>
        <w:t>%</w:t>
      </w:r>
      <w:r w:rsidRPr="001E2F6E">
        <w:rPr>
          <w:lang w:val="eu-ES" w:eastAsia="es-ES"/>
        </w:rPr>
        <w:t>34,5 txikitu zela Gizarte Ekonomian eskuarki. Enplegu-beherakada hori oso nabarmena izan zen kooperatiben sektorean (-</w:t>
      </w:r>
      <w:r w:rsidRPr="001E2F6E">
        <w:rPr>
          <w:spacing w:val="60"/>
          <w:lang w:val="eu-ES" w:eastAsia="es-ES"/>
        </w:rPr>
        <w:t>%</w:t>
      </w:r>
      <w:r w:rsidRPr="001E2F6E">
        <w:rPr>
          <w:lang w:val="eu-ES" w:eastAsia="es-ES"/>
        </w:rPr>
        <w:t>24,3), baina askoz txikiagoa lan-sozietateetan gertatutakoa baino (-</w:t>
      </w:r>
      <w:r w:rsidRPr="001E2F6E">
        <w:rPr>
          <w:spacing w:val="60"/>
          <w:lang w:val="eu-ES" w:eastAsia="es-ES"/>
        </w:rPr>
        <w:t>%</w:t>
      </w:r>
      <w:r w:rsidRPr="001E2F6E">
        <w:rPr>
          <w:lang w:val="eu-ES" w:eastAsia="es-ES"/>
        </w:rPr>
        <w:t>55,7). Lan-sozietateetan, aldi baterako enpleguan zein sozietate-enpleguan gertatu da galera (hurrenez hurren, -</w:t>
      </w:r>
      <w:r w:rsidRPr="001E2F6E">
        <w:rPr>
          <w:spacing w:val="60"/>
          <w:lang w:val="eu-ES" w:eastAsia="es-ES"/>
        </w:rPr>
        <w:t>%</w:t>
      </w:r>
      <w:r w:rsidRPr="001E2F6E">
        <w:rPr>
          <w:lang w:val="eu-ES" w:eastAsia="es-ES"/>
        </w:rPr>
        <w:t>53,6 eta -</w:t>
      </w:r>
      <w:r w:rsidRPr="001E2F6E">
        <w:rPr>
          <w:spacing w:val="60"/>
          <w:lang w:val="eu-ES" w:eastAsia="es-ES"/>
        </w:rPr>
        <w:t>%</w:t>
      </w:r>
      <w:r w:rsidRPr="001E2F6E">
        <w:rPr>
          <w:lang w:val="eu-ES" w:eastAsia="es-ES"/>
        </w:rPr>
        <w:t>8,6).</w:t>
      </w:r>
    </w:p>
    <w:p w:rsidR="004A72E7" w:rsidRPr="001E2F6E" w:rsidRDefault="004A72E7" w:rsidP="00A95E68">
      <w:pPr>
        <w:ind w:left="426" w:hanging="426"/>
        <w:rPr>
          <w:lang w:val="eu-ES" w:eastAsia="es-ES"/>
        </w:rPr>
      </w:pPr>
    </w:p>
    <w:p w:rsidR="004A72E7" w:rsidRPr="001E2F6E" w:rsidRDefault="004A72E7" w:rsidP="00A95E68">
      <w:pPr>
        <w:spacing w:line="240" w:lineRule="auto"/>
        <w:ind w:left="227" w:hanging="227"/>
        <w:jc w:val="center"/>
        <w:rPr>
          <w:rFonts w:ascii="Times New Roman" w:hAnsi="Times New Roman" w:cs="Times New Roman"/>
          <w:color w:val="1F497D" w:themeColor="text2"/>
          <w:sz w:val="24"/>
          <w:szCs w:val="24"/>
          <w:lang w:val="eu-ES" w:eastAsia="es-ES"/>
        </w:rPr>
      </w:pPr>
      <w:r w:rsidRPr="001E2F6E">
        <w:rPr>
          <w:b/>
          <w:bCs/>
          <w:noProof/>
          <w:color w:val="1F497D" w:themeColor="text2"/>
          <w:sz w:val="18"/>
          <w:szCs w:val="18"/>
          <w:lang w:val="eu-ES"/>
        </w:rPr>
        <w:t>ENPLEGU-BANAKETA FORMA JURIDIKOAREN ETA KONTRATU-MOTAREN ARABERA EAE-KO GIZARTE EKONOMIAN, 2006-2012 (kopuru absolutuak)</w:t>
      </w:r>
    </w:p>
    <w:tbl>
      <w:tblPr>
        <w:tblW w:w="5000" w:type="pct"/>
        <w:jc w:val="center"/>
        <w:tblCellMar>
          <w:left w:w="70" w:type="dxa"/>
          <w:right w:w="70" w:type="dxa"/>
        </w:tblCellMar>
        <w:tblLook w:val="00A0" w:firstRow="1" w:lastRow="0" w:firstColumn="1" w:lastColumn="0" w:noHBand="0" w:noVBand="0"/>
      </w:tblPr>
      <w:tblGrid>
        <w:gridCol w:w="1785"/>
        <w:gridCol w:w="1785"/>
        <w:gridCol w:w="1786"/>
        <w:gridCol w:w="1786"/>
        <w:gridCol w:w="1786"/>
      </w:tblGrid>
      <w:tr w:rsidR="004A72E7" w:rsidRPr="001E2F6E">
        <w:trPr>
          <w:jc w:val="center"/>
        </w:trPr>
        <w:tc>
          <w:tcPr>
            <w:tcW w:w="1000" w:type="pct"/>
            <w:tcBorders>
              <w:top w:val="single" w:sz="4" w:space="0" w:color="BFBFBF"/>
              <w:bottom w:val="single" w:sz="4" w:space="0" w:color="BFBFBF"/>
              <w:right w:val="single" w:sz="4" w:space="0" w:color="BFBFBF"/>
            </w:tcBorders>
            <w:shd w:val="clear" w:color="auto" w:fill="DBE5F1"/>
            <w:vAlign w:val="bottom"/>
          </w:tcPr>
          <w:p w:rsidR="004A72E7" w:rsidRPr="001E2F6E" w:rsidRDefault="004A72E7" w:rsidP="00A95E68">
            <w:pPr>
              <w:spacing w:line="240" w:lineRule="exact"/>
              <w:jc w:val="left"/>
              <w:rPr>
                <w:rFonts w:ascii="Calibri" w:hAnsi="Calibri" w:cs="Calibri"/>
                <w:sz w:val="22"/>
                <w:szCs w:val="22"/>
                <w:lang w:val="eu-ES" w:eastAsia="es-ES"/>
              </w:rPr>
            </w:pPr>
            <w:r w:rsidRPr="001E2F6E">
              <w:rPr>
                <w:rFonts w:ascii="Calibri" w:hAnsi="Calibri" w:cs="Calibri"/>
                <w:sz w:val="22"/>
                <w:szCs w:val="22"/>
                <w:lang w:val="eu-ES" w:eastAsia="es-ES"/>
              </w:rPr>
              <w:t> </w:t>
            </w:r>
          </w:p>
        </w:tc>
        <w:tc>
          <w:tcPr>
            <w:tcW w:w="1000" w:type="pct"/>
            <w:tcBorders>
              <w:top w:val="single" w:sz="4" w:space="0" w:color="BFBFBF"/>
              <w:left w:val="single" w:sz="4" w:space="0" w:color="BFBFBF"/>
              <w:bottom w:val="single" w:sz="4" w:space="0" w:color="BFBFBF"/>
              <w:right w:val="single" w:sz="4" w:space="0" w:color="BFBFBF"/>
            </w:tcBorders>
            <w:shd w:val="clear" w:color="auto" w:fill="DBE5F1"/>
            <w:vAlign w:val="bottom"/>
          </w:tcPr>
          <w:p w:rsidR="004A72E7" w:rsidRPr="001E2F6E" w:rsidRDefault="004A72E7" w:rsidP="00A95E68">
            <w:pPr>
              <w:spacing w:line="240" w:lineRule="exact"/>
              <w:jc w:val="center"/>
              <w:rPr>
                <w:b/>
                <w:bCs/>
                <w:sz w:val="16"/>
                <w:szCs w:val="16"/>
                <w:lang w:eastAsia="es-ES"/>
              </w:rPr>
            </w:pPr>
            <w:r w:rsidRPr="001E2F6E">
              <w:rPr>
                <w:b/>
                <w:bCs/>
                <w:sz w:val="16"/>
                <w:szCs w:val="16"/>
                <w:lang w:val="eu-ES" w:eastAsia="es-ES"/>
              </w:rPr>
              <w:t>Bazkideak</w:t>
            </w:r>
          </w:p>
        </w:tc>
        <w:tc>
          <w:tcPr>
            <w:tcW w:w="1000" w:type="pct"/>
            <w:tcBorders>
              <w:top w:val="single" w:sz="4" w:space="0" w:color="BFBFBF"/>
              <w:left w:val="single" w:sz="4" w:space="0" w:color="BFBFBF"/>
              <w:bottom w:val="single" w:sz="4" w:space="0" w:color="BFBFBF"/>
              <w:right w:val="single" w:sz="4" w:space="0" w:color="BFBFBF"/>
            </w:tcBorders>
            <w:shd w:val="clear" w:color="auto" w:fill="DBE5F1"/>
            <w:vAlign w:val="bottom"/>
          </w:tcPr>
          <w:p w:rsidR="004A72E7" w:rsidRPr="001E2F6E" w:rsidRDefault="004A72E7" w:rsidP="00A95E68">
            <w:pPr>
              <w:spacing w:line="240" w:lineRule="exact"/>
              <w:jc w:val="center"/>
              <w:rPr>
                <w:b/>
                <w:bCs/>
                <w:sz w:val="16"/>
                <w:szCs w:val="16"/>
                <w:lang w:eastAsia="es-ES"/>
              </w:rPr>
            </w:pPr>
            <w:r w:rsidRPr="001E2F6E">
              <w:rPr>
                <w:b/>
                <w:bCs/>
                <w:sz w:val="16"/>
                <w:szCs w:val="16"/>
                <w:lang w:val="eu-ES" w:eastAsia="es-ES"/>
              </w:rPr>
              <w:t>Soldatapekoak</w:t>
            </w:r>
          </w:p>
        </w:tc>
        <w:tc>
          <w:tcPr>
            <w:tcW w:w="1000" w:type="pct"/>
            <w:tcBorders>
              <w:top w:val="single" w:sz="4" w:space="0" w:color="BFBFBF"/>
              <w:left w:val="single" w:sz="4" w:space="0" w:color="BFBFBF"/>
              <w:bottom w:val="single" w:sz="4" w:space="0" w:color="BFBFBF"/>
              <w:right w:val="single" w:sz="4" w:space="0" w:color="BFBFBF"/>
            </w:tcBorders>
            <w:shd w:val="clear" w:color="auto" w:fill="DBE5F1"/>
            <w:vAlign w:val="bottom"/>
          </w:tcPr>
          <w:p w:rsidR="004A72E7" w:rsidRPr="001E2F6E" w:rsidRDefault="004A72E7" w:rsidP="00A95E68">
            <w:pPr>
              <w:spacing w:line="240" w:lineRule="exact"/>
              <w:jc w:val="center"/>
              <w:rPr>
                <w:b/>
                <w:bCs/>
                <w:sz w:val="16"/>
                <w:szCs w:val="16"/>
                <w:lang w:eastAsia="es-ES"/>
              </w:rPr>
            </w:pPr>
            <w:r w:rsidRPr="001E2F6E">
              <w:rPr>
                <w:b/>
                <w:bCs/>
                <w:sz w:val="16"/>
                <w:szCs w:val="16"/>
                <w:lang w:val="eu-ES" w:eastAsia="es-ES"/>
              </w:rPr>
              <w:t>Finkoak</w:t>
            </w:r>
          </w:p>
        </w:tc>
        <w:tc>
          <w:tcPr>
            <w:tcW w:w="1000" w:type="pct"/>
            <w:tcBorders>
              <w:top w:val="single" w:sz="4" w:space="0" w:color="BFBFBF"/>
              <w:left w:val="single" w:sz="4" w:space="0" w:color="BFBFBF"/>
              <w:bottom w:val="single" w:sz="4" w:space="0" w:color="BFBFBF"/>
            </w:tcBorders>
            <w:shd w:val="clear" w:color="auto" w:fill="DBE5F1"/>
            <w:vAlign w:val="bottom"/>
          </w:tcPr>
          <w:p w:rsidR="004A72E7" w:rsidRPr="001E2F6E" w:rsidRDefault="004A72E7" w:rsidP="00A95E68">
            <w:pPr>
              <w:spacing w:line="240" w:lineRule="exact"/>
              <w:jc w:val="center"/>
              <w:rPr>
                <w:b/>
                <w:bCs/>
                <w:sz w:val="16"/>
                <w:szCs w:val="16"/>
                <w:lang w:eastAsia="es-ES"/>
              </w:rPr>
            </w:pPr>
            <w:r w:rsidRPr="001E2F6E">
              <w:rPr>
                <w:b/>
                <w:bCs/>
                <w:sz w:val="16"/>
                <w:szCs w:val="16"/>
                <w:lang w:val="eu-ES" w:eastAsia="es-ES"/>
              </w:rPr>
              <w:t>Aldi baterakoak</w:t>
            </w:r>
          </w:p>
        </w:tc>
      </w:tr>
      <w:tr w:rsidR="004A72E7" w:rsidRPr="001E2F6E">
        <w:trPr>
          <w:jc w:val="center"/>
        </w:trPr>
        <w:tc>
          <w:tcPr>
            <w:tcW w:w="1000" w:type="pct"/>
            <w:tcBorders>
              <w:top w:val="single" w:sz="4" w:space="0" w:color="BFBFBF"/>
              <w:right w:val="single" w:sz="4" w:space="0" w:color="BFBFBF"/>
            </w:tcBorders>
            <w:vAlign w:val="bottom"/>
          </w:tcPr>
          <w:p w:rsidR="004A72E7" w:rsidRPr="001E2F6E" w:rsidRDefault="004A72E7" w:rsidP="00A95E68">
            <w:pPr>
              <w:spacing w:line="240" w:lineRule="exact"/>
              <w:rPr>
                <w:b/>
                <w:bCs/>
                <w:sz w:val="16"/>
                <w:szCs w:val="16"/>
                <w:lang w:eastAsia="es-ES"/>
              </w:rPr>
            </w:pPr>
            <w:r w:rsidRPr="001E2F6E">
              <w:rPr>
                <w:b/>
                <w:bCs/>
                <w:sz w:val="16"/>
                <w:szCs w:val="16"/>
                <w:lang w:val="eu-ES" w:eastAsia="es-ES"/>
              </w:rPr>
              <w:t>KOOP.ELK.</w:t>
            </w:r>
          </w:p>
        </w:tc>
        <w:tc>
          <w:tcPr>
            <w:tcW w:w="1000" w:type="pct"/>
            <w:tcBorders>
              <w:top w:val="single" w:sz="4" w:space="0" w:color="BFBFBF"/>
              <w:left w:val="single" w:sz="4" w:space="0" w:color="BFBFBF"/>
              <w:right w:val="single" w:sz="4" w:space="0" w:color="BFBFBF"/>
            </w:tcBorders>
            <w:vAlign w:val="bottom"/>
          </w:tcPr>
          <w:p w:rsidR="004A72E7" w:rsidRPr="001E2F6E" w:rsidRDefault="004A72E7" w:rsidP="00A95E68">
            <w:pPr>
              <w:spacing w:line="240" w:lineRule="exact"/>
              <w:jc w:val="left"/>
              <w:rPr>
                <w:rFonts w:ascii="Calibri" w:hAnsi="Calibri" w:cs="Calibri"/>
                <w:sz w:val="22"/>
                <w:szCs w:val="22"/>
                <w:lang w:eastAsia="es-ES"/>
              </w:rPr>
            </w:pPr>
            <w:r w:rsidRPr="001E2F6E">
              <w:rPr>
                <w:rFonts w:ascii="Calibri" w:hAnsi="Calibri" w:cs="Calibri"/>
                <w:sz w:val="22"/>
                <w:szCs w:val="22"/>
                <w:lang w:eastAsia="es-ES"/>
              </w:rPr>
              <w:t> </w:t>
            </w:r>
          </w:p>
        </w:tc>
        <w:tc>
          <w:tcPr>
            <w:tcW w:w="1000" w:type="pct"/>
            <w:tcBorders>
              <w:top w:val="single" w:sz="4" w:space="0" w:color="BFBFBF"/>
              <w:left w:val="single" w:sz="4" w:space="0" w:color="BFBFBF"/>
              <w:right w:val="single" w:sz="4" w:space="0" w:color="BFBFBF"/>
            </w:tcBorders>
            <w:vAlign w:val="bottom"/>
          </w:tcPr>
          <w:p w:rsidR="004A72E7" w:rsidRPr="001E2F6E" w:rsidRDefault="004A72E7" w:rsidP="00A95E68">
            <w:pPr>
              <w:spacing w:line="240" w:lineRule="exact"/>
              <w:jc w:val="left"/>
              <w:rPr>
                <w:rFonts w:ascii="Calibri" w:hAnsi="Calibri" w:cs="Calibri"/>
                <w:sz w:val="22"/>
                <w:szCs w:val="22"/>
                <w:lang w:eastAsia="es-ES"/>
              </w:rPr>
            </w:pPr>
            <w:r w:rsidRPr="001E2F6E">
              <w:rPr>
                <w:rFonts w:ascii="Calibri" w:hAnsi="Calibri" w:cs="Calibri"/>
                <w:sz w:val="22"/>
                <w:szCs w:val="22"/>
                <w:lang w:eastAsia="es-ES"/>
              </w:rPr>
              <w:t> </w:t>
            </w:r>
          </w:p>
        </w:tc>
        <w:tc>
          <w:tcPr>
            <w:tcW w:w="1000" w:type="pct"/>
            <w:tcBorders>
              <w:top w:val="single" w:sz="4" w:space="0" w:color="BFBFBF"/>
              <w:left w:val="single" w:sz="4" w:space="0" w:color="BFBFBF"/>
              <w:right w:val="single" w:sz="4" w:space="0" w:color="BFBFBF"/>
            </w:tcBorders>
            <w:vAlign w:val="bottom"/>
          </w:tcPr>
          <w:p w:rsidR="004A72E7" w:rsidRPr="001E2F6E" w:rsidRDefault="004A72E7" w:rsidP="00A95E68">
            <w:pPr>
              <w:spacing w:line="240" w:lineRule="exact"/>
              <w:jc w:val="left"/>
              <w:rPr>
                <w:rFonts w:ascii="Calibri" w:hAnsi="Calibri" w:cs="Calibri"/>
                <w:sz w:val="22"/>
                <w:szCs w:val="22"/>
                <w:lang w:eastAsia="es-ES"/>
              </w:rPr>
            </w:pPr>
            <w:r w:rsidRPr="001E2F6E">
              <w:rPr>
                <w:rFonts w:ascii="Calibri" w:hAnsi="Calibri" w:cs="Calibri"/>
                <w:sz w:val="22"/>
                <w:szCs w:val="22"/>
                <w:lang w:eastAsia="es-ES"/>
              </w:rPr>
              <w:t> </w:t>
            </w:r>
          </w:p>
        </w:tc>
        <w:tc>
          <w:tcPr>
            <w:tcW w:w="1000" w:type="pct"/>
            <w:tcBorders>
              <w:top w:val="single" w:sz="4" w:space="0" w:color="BFBFBF"/>
              <w:left w:val="single" w:sz="4" w:space="0" w:color="BFBFBF"/>
            </w:tcBorders>
            <w:vAlign w:val="bottom"/>
          </w:tcPr>
          <w:p w:rsidR="004A72E7" w:rsidRPr="001E2F6E" w:rsidRDefault="004A72E7" w:rsidP="00A95E68">
            <w:pPr>
              <w:spacing w:line="240" w:lineRule="exact"/>
              <w:jc w:val="left"/>
              <w:rPr>
                <w:rFonts w:ascii="Calibri" w:hAnsi="Calibri" w:cs="Calibri"/>
                <w:sz w:val="22"/>
                <w:szCs w:val="22"/>
                <w:lang w:eastAsia="es-ES"/>
              </w:rPr>
            </w:pPr>
            <w:r w:rsidRPr="001E2F6E">
              <w:rPr>
                <w:rFonts w:ascii="Calibri" w:hAnsi="Calibri" w:cs="Calibri"/>
                <w:sz w:val="22"/>
                <w:szCs w:val="22"/>
                <w:lang w:eastAsia="es-ES"/>
              </w:rPr>
              <w:t> </w:t>
            </w:r>
          </w:p>
        </w:tc>
      </w:tr>
      <w:tr w:rsidR="004A72E7" w:rsidRPr="001E2F6E">
        <w:trPr>
          <w:jc w:val="center"/>
        </w:trPr>
        <w:tc>
          <w:tcPr>
            <w:tcW w:w="1000" w:type="pct"/>
            <w:tcBorders>
              <w:right w:val="single" w:sz="4" w:space="0" w:color="BFBFBF"/>
            </w:tcBorders>
            <w:vAlign w:val="bottom"/>
          </w:tcPr>
          <w:p w:rsidR="004A72E7" w:rsidRPr="001E2F6E" w:rsidRDefault="004A72E7" w:rsidP="00A95E68">
            <w:pPr>
              <w:spacing w:line="240" w:lineRule="exact"/>
              <w:rPr>
                <w:sz w:val="16"/>
                <w:szCs w:val="16"/>
                <w:lang w:eastAsia="es-ES"/>
              </w:rPr>
            </w:pPr>
            <w:r w:rsidRPr="001E2F6E">
              <w:rPr>
                <w:sz w:val="16"/>
                <w:szCs w:val="16"/>
                <w:lang w:eastAsia="es-ES"/>
              </w:rPr>
              <w:t>2006</w:t>
            </w:r>
          </w:p>
        </w:tc>
        <w:tc>
          <w:tcPr>
            <w:tcW w:w="1000" w:type="pct"/>
            <w:tcBorders>
              <w:left w:val="single" w:sz="4" w:space="0" w:color="BFBFBF"/>
              <w:right w:val="single" w:sz="4" w:space="0" w:color="BFBFBF"/>
            </w:tcBorders>
            <w:vAlign w:val="bottom"/>
          </w:tcPr>
          <w:p w:rsidR="004A72E7" w:rsidRPr="001E2F6E" w:rsidRDefault="004A72E7" w:rsidP="00917494">
            <w:pPr>
              <w:spacing w:line="240" w:lineRule="exact"/>
              <w:ind w:right="170"/>
              <w:jc w:val="right"/>
              <w:rPr>
                <w:sz w:val="16"/>
                <w:szCs w:val="16"/>
                <w:lang w:eastAsia="es-ES"/>
              </w:rPr>
            </w:pPr>
            <w:r w:rsidRPr="001E2F6E">
              <w:rPr>
                <w:sz w:val="16"/>
                <w:szCs w:val="16"/>
                <w:lang w:eastAsia="es-ES"/>
              </w:rPr>
              <w:t>34.746</w:t>
            </w:r>
          </w:p>
        </w:tc>
        <w:tc>
          <w:tcPr>
            <w:tcW w:w="1000" w:type="pct"/>
            <w:tcBorders>
              <w:left w:val="single" w:sz="4" w:space="0" w:color="BFBFBF"/>
              <w:right w:val="single" w:sz="4" w:space="0" w:color="BFBFBF"/>
            </w:tcBorders>
            <w:vAlign w:val="bottom"/>
          </w:tcPr>
          <w:p w:rsidR="004A72E7" w:rsidRPr="001E2F6E" w:rsidRDefault="004A72E7" w:rsidP="00917494">
            <w:pPr>
              <w:spacing w:line="240" w:lineRule="exact"/>
              <w:ind w:right="170"/>
              <w:jc w:val="right"/>
              <w:rPr>
                <w:sz w:val="16"/>
                <w:szCs w:val="16"/>
                <w:lang w:eastAsia="es-ES"/>
              </w:rPr>
            </w:pPr>
            <w:r w:rsidRPr="001E2F6E">
              <w:rPr>
                <w:sz w:val="16"/>
                <w:szCs w:val="16"/>
                <w:lang w:eastAsia="es-ES"/>
              </w:rPr>
              <w:t>15.405</w:t>
            </w:r>
          </w:p>
        </w:tc>
        <w:tc>
          <w:tcPr>
            <w:tcW w:w="1000" w:type="pct"/>
            <w:tcBorders>
              <w:left w:val="single" w:sz="4" w:space="0" w:color="BFBFBF"/>
              <w:right w:val="single" w:sz="4" w:space="0" w:color="BFBFBF"/>
            </w:tcBorders>
            <w:vAlign w:val="bottom"/>
          </w:tcPr>
          <w:p w:rsidR="004A72E7" w:rsidRPr="001E2F6E" w:rsidRDefault="004A72E7" w:rsidP="00917494">
            <w:pPr>
              <w:spacing w:line="240" w:lineRule="exact"/>
              <w:ind w:right="170"/>
              <w:jc w:val="right"/>
              <w:rPr>
                <w:sz w:val="16"/>
                <w:szCs w:val="16"/>
                <w:lang w:eastAsia="es-ES"/>
              </w:rPr>
            </w:pPr>
            <w:r w:rsidRPr="001E2F6E">
              <w:rPr>
                <w:sz w:val="16"/>
                <w:szCs w:val="16"/>
                <w:lang w:eastAsia="es-ES"/>
              </w:rPr>
              <w:t>4.999</w:t>
            </w:r>
          </w:p>
        </w:tc>
        <w:tc>
          <w:tcPr>
            <w:tcW w:w="1000" w:type="pct"/>
            <w:tcBorders>
              <w:left w:val="single" w:sz="4" w:space="0" w:color="BFBFBF"/>
            </w:tcBorders>
            <w:vAlign w:val="bottom"/>
          </w:tcPr>
          <w:p w:rsidR="004A72E7" w:rsidRPr="001E2F6E" w:rsidRDefault="004A72E7" w:rsidP="00917494">
            <w:pPr>
              <w:spacing w:line="240" w:lineRule="exact"/>
              <w:ind w:right="170"/>
              <w:jc w:val="right"/>
              <w:rPr>
                <w:sz w:val="16"/>
                <w:szCs w:val="16"/>
                <w:lang w:eastAsia="es-ES"/>
              </w:rPr>
            </w:pPr>
            <w:r w:rsidRPr="001E2F6E">
              <w:rPr>
                <w:sz w:val="16"/>
                <w:szCs w:val="16"/>
                <w:lang w:eastAsia="es-ES"/>
              </w:rPr>
              <w:t>10.406</w:t>
            </w:r>
          </w:p>
        </w:tc>
      </w:tr>
      <w:tr w:rsidR="004A72E7" w:rsidRPr="001E2F6E">
        <w:trPr>
          <w:jc w:val="center"/>
        </w:trPr>
        <w:tc>
          <w:tcPr>
            <w:tcW w:w="1000" w:type="pct"/>
            <w:tcBorders>
              <w:right w:val="single" w:sz="4" w:space="0" w:color="BFBFBF"/>
            </w:tcBorders>
            <w:vAlign w:val="bottom"/>
          </w:tcPr>
          <w:p w:rsidR="004A72E7" w:rsidRPr="001E2F6E" w:rsidRDefault="004A72E7" w:rsidP="00A95E68">
            <w:pPr>
              <w:spacing w:line="240" w:lineRule="exact"/>
              <w:rPr>
                <w:sz w:val="16"/>
                <w:szCs w:val="16"/>
                <w:lang w:eastAsia="es-ES"/>
              </w:rPr>
            </w:pPr>
            <w:r w:rsidRPr="001E2F6E">
              <w:rPr>
                <w:sz w:val="16"/>
                <w:szCs w:val="16"/>
                <w:lang w:eastAsia="es-ES"/>
              </w:rPr>
              <w:t>2008</w:t>
            </w:r>
          </w:p>
        </w:tc>
        <w:tc>
          <w:tcPr>
            <w:tcW w:w="1000" w:type="pct"/>
            <w:tcBorders>
              <w:left w:val="single" w:sz="4" w:space="0" w:color="BFBFBF"/>
              <w:right w:val="single" w:sz="4" w:space="0" w:color="BFBFBF"/>
            </w:tcBorders>
            <w:vAlign w:val="bottom"/>
          </w:tcPr>
          <w:p w:rsidR="004A72E7" w:rsidRPr="001E2F6E" w:rsidRDefault="004A72E7" w:rsidP="00917494">
            <w:pPr>
              <w:spacing w:line="240" w:lineRule="exact"/>
              <w:ind w:right="170"/>
              <w:jc w:val="right"/>
              <w:rPr>
                <w:sz w:val="16"/>
                <w:szCs w:val="16"/>
                <w:lang w:eastAsia="es-ES"/>
              </w:rPr>
            </w:pPr>
            <w:r w:rsidRPr="001E2F6E">
              <w:rPr>
                <w:sz w:val="16"/>
                <w:szCs w:val="16"/>
                <w:lang w:eastAsia="es-ES"/>
              </w:rPr>
              <w:t>34.710</w:t>
            </w:r>
          </w:p>
        </w:tc>
        <w:tc>
          <w:tcPr>
            <w:tcW w:w="1000" w:type="pct"/>
            <w:tcBorders>
              <w:left w:val="single" w:sz="4" w:space="0" w:color="BFBFBF"/>
              <w:right w:val="single" w:sz="4" w:space="0" w:color="BFBFBF"/>
            </w:tcBorders>
            <w:vAlign w:val="bottom"/>
          </w:tcPr>
          <w:p w:rsidR="004A72E7" w:rsidRPr="001E2F6E" w:rsidRDefault="004A72E7" w:rsidP="00917494">
            <w:pPr>
              <w:spacing w:line="240" w:lineRule="exact"/>
              <w:ind w:right="170"/>
              <w:jc w:val="right"/>
              <w:rPr>
                <w:sz w:val="16"/>
                <w:szCs w:val="16"/>
                <w:lang w:eastAsia="es-ES"/>
              </w:rPr>
            </w:pPr>
            <w:r w:rsidRPr="001E2F6E">
              <w:rPr>
                <w:sz w:val="16"/>
                <w:szCs w:val="16"/>
                <w:lang w:eastAsia="es-ES"/>
              </w:rPr>
              <w:t>15.649</w:t>
            </w:r>
          </w:p>
        </w:tc>
        <w:tc>
          <w:tcPr>
            <w:tcW w:w="1000" w:type="pct"/>
            <w:tcBorders>
              <w:left w:val="single" w:sz="4" w:space="0" w:color="BFBFBF"/>
              <w:right w:val="single" w:sz="4" w:space="0" w:color="BFBFBF"/>
            </w:tcBorders>
            <w:vAlign w:val="bottom"/>
          </w:tcPr>
          <w:p w:rsidR="004A72E7" w:rsidRPr="001E2F6E" w:rsidRDefault="004A72E7" w:rsidP="00917494">
            <w:pPr>
              <w:spacing w:line="240" w:lineRule="exact"/>
              <w:ind w:right="170"/>
              <w:jc w:val="right"/>
              <w:rPr>
                <w:sz w:val="16"/>
                <w:szCs w:val="16"/>
                <w:lang w:eastAsia="es-ES"/>
              </w:rPr>
            </w:pPr>
            <w:r w:rsidRPr="001E2F6E">
              <w:rPr>
                <w:sz w:val="16"/>
                <w:szCs w:val="16"/>
                <w:lang w:eastAsia="es-ES"/>
              </w:rPr>
              <w:t>6.534</w:t>
            </w:r>
          </w:p>
        </w:tc>
        <w:tc>
          <w:tcPr>
            <w:tcW w:w="1000" w:type="pct"/>
            <w:tcBorders>
              <w:left w:val="single" w:sz="4" w:space="0" w:color="BFBFBF"/>
            </w:tcBorders>
            <w:vAlign w:val="bottom"/>
          </w:tcPr>
          <w:p w:rsidR="004A72E7" w:rsidRPr="001E2F6E" w:rsidRDefault="004A72E7" w:rsidP="00917494">
            <w:pPr>
              <w:spacing w:line="240" w:lineRule="exact"/>
              <w:ind w:right="170"/>
              <w:jc w:val="right"/>
              <w:rPr>
                <w:sz w:val="16"/>
                <w:szCs w:val="16"/>
                <w:lang w:eastAsia="es-ES"/>
              </w:rPr>
            </w:pPr>
            <w:r w:rsidRPr="001E2F6E">
              <w:rPr>
                <w:sz w:val="16"/>
                <w:szCs w:val="16"/>
                <w:lang w:eastAsia="es-ES"/>
              </w:rPr>
              <w:t>9.115</w:t>
            </w:r>
          </w:p>
        </w:tc>
      </w:tr>
      <w:tr w:rsidR="004A72E7" w:rsidRPr="001E2F6E">
        <w:trPr>
          <w:jc w:val="center"/>
        </w:trPr>
        <w:tc>
          <w:tcPr>
            <w:tcW w:w="1000" w:type="pct"/>
            <w:tcBorders>
              <w:right w:val="single" w:sz="4" w:space="0" w:color="BFBFBF"/>
            </w:tcBorders>
            <w:vAlign w:val="bottom"/>
          </w:tcPr>
          <w:p w:rsidR="004A72E7" w:rsidRPr="001E2F6E" w:rsidRDefault="004A72E7" w:rsidP="00A95E68">
            <w:pPr>
              <w:spacing w:line="240" w:lineRule="exact"/>
              <w:rPr>
                <w:sz w:val="16"/>
                <w:szCs w:val="16"/>
                <w:lang w:eastAsia="es-ES"/>
              </w:rPr>
            </w:pPr>
            <w:r w:rsidRPr="001E2F6E">
              <w:rPr>
                <w:sz w:val="16"/>
                <w:szCs w:val="16"/>
                <w:lang w:eastAsia="es-ES"/>
              </w:rPr>
              <w:t>2010</w:t>
            </w:r>
          </w:p>
        </w:tc>
        <w:tc>
          <w:tcPr>
            <w:tcW w:w="1000" w:type="pct"/>
            <w:tcBorders>
              <w:left w:val="single" w:sz="4" w:space="0" w:color="BFBFBF"/>
              <w:right w:val="single" w:sz="4" w:space="0" w:color="BFBFBF"/>
            </w:tcBorders>
            <w:vAlign w:val="bottom"/>
          </w:tcPr>
          <w:p w:rsidR="004A72E7" w:rsidRPr="001E2F6E" w:rsidRDefault="004A72E7" w:rsidP="00917494">
            <w:pPr>
              <w:spacing w:line="240" w:lineRule="exact"/>
              <w:ind w:right="170"/>
              <w:jc w:val="right"/>
              <w:rPr>
                <w:sz w:val="16"/>
                <w:szCs w:val="16"/>
                <w:lang w:eastAsia="es-ES"/>
              </w:rPr>
            </w:pPr>
            <w:r w:rsidRPr="001E2F6E">
              <w:rPr>
                <w:sz w:val="16"/>
                <w:szCs w:val="16"/>
                <w:lang w:eastAsia="es-ES"/>
              </w:rPr>
              <w:t>33.895</w:t>
            </w:r>
          </w:p>
        </w:tc>
        <w:tc>
          <w:tcPr>
            <w:tcW w:w="1000" w:type="pct"/>
            <w:tcBorders>
              <w:left w:val="single" w:sz="4" w:space="0" w:color="BFBFBF"/>
              <w:right w:val="single" w:sz="4" w:space="0" w:color="BFBFBF"/>
            </w:tcBorders>
            <w:vAlign w:val="bottom"/>
          </w:tcPr>
          <w:p w:rsidR="004A72E7" w:rsidRPr="001E2F6E" w:rsidRDefault="004A72E7" w:rsidP="00917494">
            <w:pPr>
              <w:spacing w:line="240" w:lineRule="exact"/>
              <w:ind w:right="170"/>
              <w:jc w:val="right"/>
              <w:rPr>
                <w:sz w:val="16"/>
                <w:szCs w:val="16"/>
                <w:lang w:eastAsia="es-ES"/>
              </w:rPr>
            </w:pPr>
            <w:r w:rsidRPr="001E2F6E">
              <w:rPr>
                <w:sz w:val="16"/>
                <w:szCs w:val="16"/>
                <w:lang w:eastAsia="es-ES"/>
              </w:rPr>
              <w:t>14.197</w:t>
            </w:r>
          </w:p>
        </w:tc>
        <w:tc>
          <w:tcPr>
            <w:tcW w:w="1000" w:type="pct"/>
            <w:tcBorders>
              <w:left w:val="single" w:sz="4" w:space="0" w:color="BFBFBF"/>
              <w:right w:val="single" w:sz="4" w:space="0" w:color="BFBFBF"/>
            </w:tcBorders>
            <w:vAlign w:val="bottom"/>
          </w:tcPr>
          <w:p w:rsidR="004A72E7" w:rsidRPr="001E2F6E" w:rsidRDefault="004A72E7" w:rsidP="00917494">
            <w:pPr>
              <w:spacing w:line="240" w:lineRule="exact"/>
              <w:ind w:right="170"/>
              <w:jc w:val="right"/>
              <w:rPr>
                <w:sz w:val="16"/>
                <w:szCs w:val="16"/>
                <w:lang w:eastAsia="es-ES"/>
              </w:rPr>
            </w:pPr>
            <w:r w:rsidRPr="001E2F6E">
              <w:rPr>
                <w:sz w:val="16"/>
                <w:szCs w:val="16"/>
                <w:lang w:eastAsia="es-ES"/>
              </w:rPr>
              <w:t>8.256</w:t>
            </w:r>
          </w:p>
        </w:tc>
        <w:tc>
          <w:tcPr>
            <w:tcW w:w="1000" w:type="pct"/>
            <w:tcBorders>
              <w:left w:val="single" w:sz="4" w:space="0" w:color="BFBFBF"/>
            </w:tcBorders>
            <w:vAlign w:val="bottom"/>
          </w:tcPr>
          <w:p w:rsidR="004A72E7" w:rsidRPr="001E2F6E" w:rsidRDefault="004A72E7" w:rsidP="00917494">
            <w:pPr>
              <w:spacing w:line="240" w:lineRule="exact"/>
              <w:ind w:right="170"/>
              <w:jc w:val="right"/>
              <w:rPr>
                <w:sz w:val="16"/>
                <w:szCs w:val="16"/>
                <w:lang w:eastAsia="es-ES"/>
              </w:rPr>
            </w:pPr>
            <w:r w:rsidRPr="001E2F6E">
              <w:rPr>
                <w:sz w:val="16"/>
                <w:szCs w:val="16"/>
                <w:lang w:eastAsia="es-ES"/>
              </w:rPr>
              <w:t>5.941</w:t>
            </w:r>
          </w:p>
        </w:tc>
      </w:tr>
      <w:tr w:rsidR="004A72E7" w:rsidRPr="001E2F6E">
        <w:trPr>
          <w:jc w:val="center"/>
        </w:trPr>
        <w:tc>
          <w:tcPr>
            <w:tcW w:w="1000" w:type="pct"/>
            <w:tcBorders>
              <w:bottom w:val="single" w:sz="4" w:space="0" w:color="BFBFBF"/>
              <w:right w:val="single" w:sz="4" w:space="0" w:color="BFBFBF"/>
            </w:tcBorders>
            <w:vAlign w:val="bottom"/>
          </w:tcPr>
          <w:p w:rsidR="004A72E7" w:rsidRPr="001E2F6E" w:rsidRDefault="004A72E7" w:rsidP="00A95E68">
            <w:pPr>
              <w:spacing w:line="240" w:lineRule="exact"/>
              <w:rPr>
                <w:sz w:val="16"/>
                <w:szCs w:val="16"/>
                <w:lang w:eastAsia="es-ES"/>
              </w:rPr>
            </w:pPr>
            <w:r w:rsidRPr="001E2F6E">
              <w:rPr>
                <w:sz w:val="16"/>
                <w:szCs w:val="16"/>
                <w:lang w:eastAsia="es-ES"/>
              </w:rPr>
              <w:t>2012</w:t>
            </w:r>
          </w:p>
        </w:tc>
        <w:tc>
          <w:tcPr>
            <w:tcW w:w="1000" w:type="pct"/>
            <w:tcBorders>
              <w:left w:val="single" w:sz="4" w:space="0" w:color="BFBFBF"/>
              <w:bottom w:val="single" w:sz="4" w:space="0" w:color="BFBFBF"/>
              <w:right w:val="single" w:sz="4" w:space="0" w:color="BFBFBF"/>
            </w:tcBorders>
            <w:vAlign w:val="bottom"/>
          </w:tcPr>
          <w:p w:rsidR="004A72E7" w:rsidRPr="001E2F6E" w:rsidRDefault="004A72E7" w:rsidP="00917494">
            <w:pPr>
              <w:spacing w:line="240" w:lineRule="exact"/>
              <w:ind w:right="170"/>
              <w:jc w:val="right"/>
              <w:rPr>
                <w:sz w:val="16"/>
                <w:szCs w:val="16"/>
                <w:lang w:eastAsia="es-ES"/>
              </w:rPr>
            </w:pPr>
            <w:r w:rsidRPr="001E2F6E">
              <w:rPr>
                <w:sz w:val="16"/>
                <w:szCs w:val="16"/>
                <w:lang w:eastAsia="es-ES"/>
              </w:rPr>
              <w:t>34.241</w:t>
            </w:r>
          </w:p>
        </w:tc>
        <w:tc>
          <w:tcPr>
            <w:tcW w:w="1000" w:type="pct"/>
            <w:tcBorders>
              <w:left w:val="single" w:sz="4" w:space="0" w:color="BFBFBF"/>
              <w:bottom w:val="single" w:sz="4" w:space="0" w:color="BFBFBF"/>
              <w:right w:val="single" w:sz="4" w:space="0" w:color="BFBFBF"/>
            </w:tcBorders>
            <w:vAlign w:val="bottom"/>
          </w:tcPr>
          <w:p w:rsidR="004A72E7" w:rsidRPr="001E2F6E" w:rsidRDefault="004A72E7" w:rsidP="00917494">
            <w:pPr>
              <w:spacing w:line="240" w:lineRule="exact"/>
              <w:ind w:right="170"/>
              <w:jc w:val="right"/>
              <w:rPr>
                <w:sz w:val="16"/>
                <w:szCs w:val="16"/>
                <w:lang w:eastAsia="es-ES"/>
              </w:rPr>
            </w:pPr>
            <w:r w:rsidRPr="001E2F6E">
              <w:rPr>
                <w:sz w:val="16"/>
                <w:szCs w:val="16"/>
                <w:lang w:eastAsia="es-ES"/>
              </w:rPr>
              <w:t>13.703</w:t>
            </w:r>
          </w:p>
        </w:tc>
        <w:tc>
          <w:tcPr>
            <w:tcW w:w="1000" w:type="pct"/>
            <w:tcBorders>
              <w:left w:val="single" w:sz="4" w:space="0" w:color="BFBFBF"/>
              <w:bottom w:val="single" w:sz="4" w:space="0" w:color="BFBFBF"/>
              <w:right w:val="single" w:sz="4" w:space="0" w:color="BFBFBF"/>
            </w:tcBorders>
            <w:vAlign w:val="bottom"/>
          </w:tcPr>
          <w:p w:rsidR="004A72E7" w:rsidRPr="001E2F6E" w:rsidRDefault="004A72E7" w:rsidP="00917494">
            <w:pPr>
              <w:spacing w:line="240" w:lineRule="exact"/>
              <w:ind w:right="170"/>
              <w:jc w:val="right"/>
              <w:rPr>
                <w:sz w:val="16"/>
                <w:szCs w:val="16"/>
                <w:lang w:eastAsia="es-ES"/>
              </w:rPr>
            </w:pPr>
            <w:r w:rsidRPr="001E2F6E">
              <w:rPr>
                <w:sz w:val="16"/>
                <w:szCs w:val="16"/>
                <w:lang w:eastAsia="es-ES"/>
              </w:rPr>
              <w:t>6.251</w:t>
            </w:r>
          </w:p>
        </w:tc>
        <w:tc>
          <w:tcPr>
            <w:tcW w:w="1000" w:type="pct"/>
            <w:tcBorders>
              <w:left w:val="single" w:sz="4" w:space="0" w:color="BFBFBF"/>
              <w:bottom w:val="single" w:sz="4" w:space="0" w:color="BFBFBF"/>
            </w:tcBorders>
            <w:vAlign w:val="bottom"/>
          </w:tcPr>
          <w:p w:rsidR="004A72E7" w:rsidRPr="001E2F6E" w:rsidRDefault="004A72E7" w:rsidP="00917494">
            <w:pPr>
              <w:spacing w:line="240" w:lineRule="exact"/>
              <w:ind w:right="170"/>
              <w:jc w:val="right"/>
              <w:rPr>
                <w:sz w:val="16"/>
                <w:szCs w:val="16"/>
                <w:lang w:eastAsia="es-ES"/>
              </w:rPr>
            </w:pPr>
            <w:r w:rsidRPr="001E2F6E">
              <w:rPr>
                <w:sz w:val="16"/>
                <w:szCs w:val="16"/>
                <w:lang w:eastAsia="es-ES"/>
              </w:rPr>
              <w:t>7.451</w:t>
            </w:r>
          </w:p>
        </w:tc>
      </w:tr>
      <w:tr w:rsidR="004A72E7" w:rsidRPr="001E2F6E">
        <w:trPr>
          <w:jc w:val="center"/>
        </w:trPr>
        <w:tc>
          <w:tcPr>
            <w:tcW w:w="1000" w:type="pct"/>
            <w:tcBorders>
              <w:top w:val="single" w:sz="4" w:space="0" w:color="BFBFBF"/>
              <w:right w:val="single" w:sz="4" w:space="0" w:color="BFBFBF"/>
            </w:tcBorders>
            <w:vAlign w:val="bottom"/>
          </w:tcPr>
          <w:p w:rsidR="004A72E7" w:rsidRPr="001E2F6E" w:rsidRDefault="004A72E7" w:rsidP="00A95E68">
            <w:pPr>
              <w:spacing w:line="240" w:lineRule="exact"/>
              <w:rPr>
                <w:b/>
                <w:bCs/>
                <w:sz w:val="16"/>
                <w:szCs w:val="16"/>
                <w:lang w:eastAsia="es-ES"/>
              </w:rPr>
            </w:pPr>
            <w:r w:rsidRPr="001E2F6E">
              <w:rPr>
                <w:b/>
                <w:bCs/>
                <w:sz w:val="16"/>
                <w:szCs w:val="16"/>
                <w:lang w:val="eu-ES" w:eastAsia="es-ES"/>
              </w:rPr>
              <w:t>Lan-sozietateak</w:t>
            </w:r>
          </w:p>
        </w:tc>
        <w:tc>
          <w:tcPr>
            <w:tcW w:w="1000" w:type="pct"/>
            <w:tcBorders>
              <w:top w:val="single" w:sz="4" w:space="0" w:color="BFBFBF"/>
              <w:left w:val="single" w:sz="4" w:space="0" w:color="BFBFBF"/>
              <w:right w:val="single" w:sz="4" w:space="0" w:color="BFBFBF"/>
            </w:tcBorders>
            <w:vAlign w:val="bottom"/>
          </w:tcPr>
          <w:p w:rsidR="004A72E7" w:rsidRPr="001E2F6E" w:rsidRDefault="004A72E7" w:rsidP="00917494">
            <w:pPr>
              <w:spacing w:line="240" w:lineRule="exact"/>
              <w:ind w:right="170"/>
              <w:jc w:val="right"/>
              <w:rPr>
                <w:rFonts w:ascii="Calibri" w:hAnsi="Calibri" w:cs="Calibri"/>
                <w:sz w:val="22"/>
                <w:szCs w:val="22"/>
                <w:lang w:eastAsia="es-ES"/>
              </w:rPr>
            </w:pPr>
            <w:r w:rsidRPr="001E2F6E">
              <w:rPr>
                <w:rFonts w:ascii="Calibri" w:hAnsi="Calibri" w:cs="Calibri"/>
                <w:sz w:val="22"/>
                <w:szCs w:val="22"/>
                <w:lang w:eastAsia="es-ES"/>
              </w:rPr>
              <w:t> </w:t>
            </w:r>
          </w:p>
        </w:tc>
        <w:tc>
          <w:tcPr>
            <w:tcW w:w="1000" w:type="pct"/>
            <w:tcBorders>
              <w:top w:val="single" w:sz="4" w:space="0" w:color="BFBFBF"/>
              <w:left w:val="single" w:sz="4" w:space="0" w:color="BFBFBF"/>
              <w:right w:val="single" w:sz="4" w:space="0" w:color="BFBFBF"/>
            </w:tcBorders>
            <w:vAlign w:val="bottom"/>
          </w:tcPr>
          <w:p w:rsidR="004A72E7" w:rsidRPr="001E2F6E" w:rsidRDefault="004A72E7" w:rsidP="00917494">
            <w:pPr>
              <w:spacing w:line="240" w:lineRule="exact"/>
              <w:ind w:right="170"/>
              <w:jc w:val="right"/>
              <w:rPr>
                <w:rFonts w:ascii="Calibri" w:hAnsi="Calibri" w:cs="Calibri"/>
                <w:sz w:val="22"/>
                <w:szCs w:val="22"/>
                <w:lang w:eastAsia="es-ES"/>
              </w:rPr>
            </w:pPr>
            <w:r w:rsidRPr="001E2F6E">
              <w:rPr>
                <w:rFonts w:ascii="Calibri" w:hAnsi="Calibri" w:cs="Calibri"/>
                <w:sz w:val="22"/>
                <w:szCs w:val="22"/>
                <w:lang w:eastAsia="es-ES"/>
              </w:rPr>
              <w:t> </w:t>
            </w:r>
          </w:p>
        </w:tc>
        <w:tc>
          <w:tcPr>
            <w:tcW w:w="1000" w:type="pct"/>
            <w:tcBorders>
              <w:top w:val="single" w:sz="4" w:space="0" w:color="BFBFBF"/>
              <w:left w:val="single" w:sz="4" w:space="0" w:color="BFBFBF"/>
              <w:right w:val="single" w:sz="4" w:space="0" w:color="BFBFBF"/>
            </w:tcBorders>
            <w:vAlign w:val="bottom"/>
          </w:tcPr>
          <w:p w:rsidR="004A72E7" w:rsidRPr="001E2F6E" w:rsidRDefault="004A72E7" w:rsidP="00917494">
            <w:pPr>
              <w:spacing w:line="240" w:lineRule="exact"/>
              <w:ind w:right="170"/>
              <w:jc w:val="right"/>
              <w:rPr>
                <w:rFonts w:ascii="Calibri" w:hAnsi="Calibri" w:cs="Calibri"/>
                <w:sz w:val="22"/>
                <w:szCs w:val="22"/>
                <w:lang w:eastAsia="es-ES"/>
              </w:rPr>
            </w:pPr>
            <w:r w:rsidRPr="001E2F6E">
              <w:rPr>
                <w:rFonts w:ascii="Calibri" w:hAnsi="Calibri" w:cs="Calibri"/>
                <w:sz w:val="22"/>
                <w:szCs w:val="22"/>
                <w:lang w:eastAsia="es-ES"/>
              </w:rPr>
              <w:t> </w:t>
            </w:r>
          </w:p>
        </w:tc>
        <w:tc>
          <w:tcPr>
            <w:tcW w:w="1000" w:type="pct"/>
            <w:tcBorders>
              <w:top w:val="single" w:sz="4" w:space="0" w:color="BFBFBF"/>
              <w:left w:val="single" w:sz="4" w:space="0" w:color="BFBFBF"/>
            </w:tcBorders>
            <w:vAlign w:val="bottom"/>
          </w:tcPr>
          <w:p w:rsidR="004A72E7" w:rsidRPr="001E2F6E" w:rsidRDefault="004A72E7" w:rsidP="00917494">
            <w:pPr>
              <w:spacing w:line="240" w:lineRule="exact"/>
              <w:ind w:right="170"/>
              <w:jc w:val="right"/>
              <w:rPr>
                <w:rFonts w:ascii="Calibri" w:hAnsi="Calibri" w:cs="Calibri"/>
                <w:sz w:val="22"/>
                <w:szCs w:val="22"/>
                <w:lang w:eastAsia="es-ES"/>
              </w:rPr>
            </w:pPr>
            <w:r w:rsidRPr="001E2F6E">
              <w:rPr>
                <w:rFonts w:ascii="Calibri" w:hAnsi="Calibri" w:cs="Calibri"/>
                <w:sz w:val="22"/>
                <w:szCs w:val="22"/>
                <w:lang w:eastAsia="es-ES"/>
              </w:rPr>
              <w:t> </w:t>
            </w:r>
          </w:p>
        </w:tc>
      </w:tr>
      <w:tr w:rsidR="004A72E7" w:rsidRPr="001E2F6E">
        <w:trPr>
          <w:jc w:val="center"/>
        </w:trPr>
        <w:tc>
          <w:tcPr>
            <w:tcW w:w="1000" w:type="pct"/>
            <w:tcBorders>
              <w:right w:val="single" w:sz="4" w:space="0" w:color="BFBFBF"/>
            </w:tcBorders>
            <w:vAlign w:val="bottom"/>
          </w:tcPr>
          <w:p w:rsidR="004A72E7" w:rsidRPr="001E2F6E" w:rsidRDefault="004A72E7" w:rsidP="00A95E68">
            <w:pPr>
              <w:spacing w:line="240" w:lineRule="exact"/>
              <w:rPr>
                <w:sz w:val="16"/>
                <w:szCs w:val="16"/>
                <w:lang w:eastAsia="es-ES"/>
              </w:rPr>
            </w:pPr>
            <w:r w:rsidRPr="001E2F6E">
              <w:rPr>
                <w:sz w:val="16"/>
                <w:szCs w:val="16"/>
                <w:lang w:eastAsia="es-ES"/>
              </w:rPr>
              <w:t>2006</w:t>
            </w:r>
          </w:p>
        </w:tc>
        <w:tc>
          <w:tcPr>
            <w:tcW w:w="1000" w:type="pct"/>
            <w:tcBorders>
              <w:left w:val="single" w:sz="4" w:space="0" w:color="BFBFBF"/>
              <w:right w:val="single" w:sz="4" w:space="0" w:color="BFBFBF"/>
            </w:tcBorders>
            <w:vAlign w:val="bottom"/>
          </w:tcPr>
          <w:p w:rsidR="004A72E7" w:rsidRPr="001E2F6E" w:rsidRDefault="004A72E7" w:rsidP="00917494">
            <w:pPr>
              <w:spacing w:line="240" w:lineRule="exact"/>
              <w:ind w:right="170"/>
              <w:jc w:val="right"/>
              <w:rPr>
                <w:sz w:val="16"/>
                <w:szCs w:val="16"/>
                <w:lang w:eastAsia="es-ES"/>
              </w:rPr>
            </w:pPr>
            <w:r w:rsidRPr="001E2F6E">
              <w:rPr>
                <w:sz w:val="16"/>
                <w:szCs w:val="16"/>
                <w:lang w:eastAsia="es-ES"/>
              </w:rPr>
              <w:t>7.160</w:t>
            </w:r>
          </w:p>
        </w:tc>
        <w:tc>
          <w:tcPr>
            <w:tcW w:w="1000" w:type="pct"/>
            <w:tcBorders>
              <w:left w:val="single" w:sz="4" w:space="0" w:color="BFBFBF"/>
              <w:right w:val="single" w:sz="4" w:space="0" w:color="BFBFBF"/>
            </w:tcBorders>
            <w:vAlign w:val="bottom"/>
          </w:tcPr>
          <w:p w:rsidR="004A72E7" w:rsidRPr="001E2F6E" w:rsidRDefault="004A72E7" w:rsidP="00917494">
            <w:pPr>
              <w:spacing w:line="240" w:lineRule="exact"/>
              <w:ind w:right="170"/>
              <w:jc w:val="right"/>
              <w:rPr>
                <w:sz w:val="16"/>
                <w:szCs w:val="16"/>
                <w:lang w:eastAsia="es-ES"/>
              </w:rPr>
            </w:pPr>
            <w:r w:rsidRPr="001E2F6E">
              <w:rPr>
                <w:sz w:val="16"/>
                <w:szCs w:val="16"/>
                <w:lang w:eastAsia="es-ES"/>
              </w:rPr>
              <w:t>6.168</w:t>
            </w:r>
          </w:p>
        </w:tc>
        <w:tc>
          <w:tcPr>
            <w:tcW w:w="1000" w:type="pct"/>
            <w:tcBorders>
              <w:left w:val="single" w:sz="4" w:space="0" w:color="BFBFBF"/>
              <w:right w:val="single" w:sz="4" w:space="0" w:color="BFBFBF"/>
            </w:tcBorders>
            <w:vAlign w:val="bottom"/>
          </w:tcPr>
          <w:p w:rsidR="004A72E7" w:rsidRPr="001E2F6E" w:rsidRDefault="004A72E7" w:rsidP="00917494">
            <w:pPr>
              <w:spacing w:line="240" w:lineRule="exact"/>
              <w:ind w:right="170"/>
              <w:jc w:val="right"/>
              <w:rPr>
                <w:sz w:val="16"/>
                <w:szCs w:val="16"/>
                <w:lang w:eastAsia="es-ES"/>
              </w:rPr>
            </w:pPr>
            <w:r w:rsidRPr="001E2F6E">
              <w:rPr>
                <w:sz w:val="16"/>
                <w:szCs w:val="16"/>
                <w:lang w:eastAsia="es-ES"/>
              </w:rPr>
              <w:t>2.885</w:t>
            </w:r>
          </w:p>
        </w:tc>
        <w:tc>
          <w:tcPr>
            <w:tcW w:w="1000" w:type="pct"/>
            <w:tcBorders>
              <w:left w:val="single" w:sz="4" w:space="0" w:color="BFBFBF"/>
            </w:tcBorders>
            <w:vAlign w:val="bottom"/>
          </w:tcPr>
          <w:p w:rsidR="004A72E7" w:rsidRPr="001E2F6E" w:rsidRDefault="004A72E7" w:rsidP="00917494">
            <w:pPr>
              <w:spacing w:line="240" w:lineRule="exact"/>
              <w:ind w:right="170"/>
              <w:jc w:val="right"/>
              <w:rPr>
                <w:sz w:val="16"/>
                <w:szCs w:val="16"/>
                <w:lang w:eastAsia="es-ES"/>
              </w:rPr>
            </w:pPr>
            <w:r w:rsidRPr="001E2F6E">
              <w:rPr>
                <w:sz w:val="16"/>
                <w:szCs w:val="16"/>
                <w:lang w:eastAsia="es-ES"/>
              </w:rPr>
              <w:t>3.283</w:t>
            </w:r>
          </w:p>
        </w:tc>
      </w:tr>
      <w:tr w:rsidR="004A72E7" w:rsidRPr="001E2F6E">
        <w:trPr>
          <w:jc w:val="center"/>
        </w:trPr>
        <w:tc>
          <w:tcPr>
            <w:tcW w:w="1000" w:type="pct"/>
            <w:tcBorders>
              <w:right w:val="single" w:sz="4" w:space="0" w:color="BFBFBF"/>
            </w:tcBorders>
            <w:vAlign w:val="bottom"/>
          </w:tcPr>
          <w:p w:rsidR="004A72E7" w:rsidRPr="001E2F6E" w:rsidRDefault="004A72E7" w:rsidP="00A95E68">
            <w:pPr>
              <w:spacing w:line="240" w:lineRule="exact"/>
              <w:rPr>
                <w:sz w:val="16"/>
                <w:szCs w:val="16"/>
                <w:lang w:eastAsia="es-ES"/>
              </w:rPr>
            </w:pPr>
            <w:r w:rsidRPr="001E2F6E">
              <w:rPr>
                <w:sz w:val="16"/>
                <w:szCs w:val="16"/>
                <w:lang w:eastAsia="es-ES"/>
              </w:rPr>
              <w:t>2008</w:t>
            </w:r>
          </w:p>
        </w:tc>
        <w:tc>
          <w:tcPr>
            <w:tcW w:w="1000" w:type="pct"/>
            <w:tcBorders>
              <w:left w:val="single" w:sz="4" w:space="0" w:color="BFBFBF"/>
              <w:right w:val="single" w:sz="4" w:space="0" w:color="BFBFBF"/>
            </w:tcBorders>
            <w:vAlign w:val="bottom"/>
          </w:tcPr>
          <w:p w:rsidR="004A72E7" w:rsidRPr="001E2F6E" w:rsidRDefault="004A72E7" w:rsidP="00917494">
            <w:pPr>
              <w:spacing w:line="240" w:lineRule="exact"/>
              <w:ind w:right="170"/>
              <w:jc w:val="right"/>
              <w:rPr>
                <w:sz w:val="16"/>
                <w:szCs w:val="16"/>
                <w:lang w:eastAsia="es-ES"/>
              </w:rPr>
            </w:pPr>
            <w:r w:rsidRPr="001E2F6E">
              <w:rPr>
                <w:sz w:val="16"/>
                <w:szCs w:val="16"/>
                <w:lang w:eastAsia="es-ES"/>
              </w:rPr>
              <w:t>7.159</w:t>
            </w:r>
          </w:p>
        </w:tc>
        <w:tc>
          <w:tcPr>
            <w:tcW w:w="1000" w:type="pct"/>
            <w:tcBorders>
              <w:left w:val="single" w:sz="4" w:space="0" w:color="BFBFBF"/>
              <w:right w:val="single" w:sz="4" w:space="0" w:color="BFBFBF"/>
            </w:tcBorders>
            <w:vAlign w:val="bottom"/>
          </w:tcPr>
          <w:p w:rsidR="004A72E7" w:rsidRPr="001E2F6E" w:rsidRDefault="004A72E7" w:rsidP="00917494">
            <w:pPr>
              <w:spacing w:line="240" w:lineRule="exact"/>
              <w:ind w:right="170"/>
              <w:jc w:val="right"/>
              <w:rPr>
                <w:sz w:val="16"/>
                <w:szCs w:val="16"/>
                <w:lang w:eastAsia="es-ES"/>
              </w:rPr>
            </w:pPr>
            <w:r w:rsidRPr="001E2F6E">
              <w:rPr>
                <w:sz w:val="16"/>
                <w:szCs w:val="16"/>
                <w:lang w:eastAsia="es-ES"/>
              </w:rPr>
              <w:t>5.098</w:t>
            </w:r>
          </w:p>
        </w:tc>
        <w:tc>
          <w:tcPr>
            <w:tcW w:w="1000" w:type="pct"/>
            <w:tcBorders>
              <w:left w:val="single" w:sz="4" w:space="0" w:color="BFBFBF"/>
              <w:right w:val="single" w:sz="4" w:space="0" w:color="BFBFBF"/>
            </w:tcBorders>
            <w:vAlign w:val="bottom"/>
          </w:tcPr>
          <w:p w:rsidR="004A72E7" w:rsidRPr="001E2F6E" w:rsidRDefault="004A72E7" w:rsidP="00917494">
            <w:pPr>
              <w:spacing w:line="240" w:lineRule="exact"/>
              <w:ind w:right="170"/>
              <w:jc w:val="right"/>
              <w:rPr>
                <w:sz w:val="16"/>
                <w:szCs w:val="16"/>
                <w:lang w:eastAsia="es-ES"/>
              </w:rPr>
            </w:pPr>
            <w:r w:rsidRPr="001E2F6E">
              <w:rPr>
                <w:sz w:val="16"/>
                <w:szCs w:val="16"/>
                <w:lang w:eastAsia="es-ES"/>
              </w:rPr>
              <w:t>3.364</w:t>
            </w:r>
          </w:p>
        </w:tc>
        <w:tc>
          <w:tcPr>
            <w:tcW w:w="1000" w:type="pct"/>
            <w:tcBorders>
              <w:left w:val="single" w:sz="4" w:space="0" w:color="BFBFBF"/>
            </w:tcBorders>
            <w:vAlign w:val="bottom"/>
          </w:tcPr>
          <w:p w:rsidR="004A72E7" w:rsidRPr="001E2F6E" w:rsidRDefault="004A72E7" w:rsidP="00917494">
            <w:pPr>
              <w:spacing w:line="240" w:lineRule="exact"/>
              <w:ind w:right="170"/>
              <w:jc w:val="right"/>
              <w:rPr>
                <w:sz w:val="16"/>
                <w:szCs w:val="16"/>
                <w:lang w:eastAsia="es-ES"/>
              </w:rPr>
            </w:pPr>
            <w:r w:rsidRPr="001E2F6E">
              <w:rPr>
                <w:sz w:val="16"/>
                <w:szCs w:val="16"/>
                <w:lang w:eastAsia="es-ES"/>
              </w:rPr>
              <w:t>1.734</w:t>
            </w:r>
          </w:p>
        </w:tc>
      </w:tr>
      <w:tr w:rsidR="004A72E7" w:rsidRPr="001E2F6E">
        <w:trPr>
          <w:jc w:val="center"/>
        </w:trPr>
        <w:tc>
          <w:tcPr>
            <w:tcW w:w="1000" w:type="pct"/>
            <w:tcBorders>
              <w:right w:val="single" w:sz="4" w:space="0" w:color="BFBFBF"/>
            </w:tcBorders>
            <w:vAlign w:val="bottom"/>
          </w:tcPr>
          <w:p w:rsidR="004A72E7" w:rsidRPr="001E2F6E" w:rsidRDefault="004A72E7" w:rsidP="00A95E68">
            <w:pPr>
              <w:spacing w:line="240" w:lineRule="exact"/>
              <w:rPr>
                <w:sz w:val="16"/>
                <w:szCs w:val="16"/>
                <w:lang w:eastAsia="es-ES"/>
              </w:rPr>
            </w:pPr>
            <w:r w:rsidRPr="001E2F6E">
              <w:rPr>
                <w:sz w:val="16"/>
                <w:szCs w:val="16"/>
                <w:lang w:eastAsia="es-ES"/>
              </w:rPr>
              <w:t>2010</w:t>
            </w:r>
          </w:p>
        </w:tc>
        <w:tc>
          <w:tcPr>
            <w:tcW w:w="1000" w:type="pct"/>
            <w:tcBorders>
              <w:left w:val="single" w:sz="4" w:space="0" w:color="BFBFBF"/>
              <w:right w:val="single" w:sz="4" w:space="0" w:color="BFBFBF"/>
            </w:tcBorders>
            <w:vAlign w:val="bottom"/>
          </w:tcPr>
          <w:p w:rsidR="004A72E7" w:rsidRPr="001E2F6E" w:rsidRDefault="004A72E7" w:rsidP="00917494">
            <w:pPr>
              <w:spacing w:line="240" w:lineRule="exact"/>
              <w:ind w:right="170"/>
              <w:jc w:val="right"/>
              <w:rPr>
                <w:sz w:val="16"/>
                <w:szCs w:val="16"/>
                <w:lang w:eastAsia="es-ES"/>
              </w:rPr>
            </w:pPr>
            <w:r w:rsidRPr="001E2F6E">
              <w:rPr>
                <w:sz w:val="16"/>
                <w:szCs w:val="16"/>
                <w:lang w:eastAsia="es-ES"/>
              </w:rPr>
              <w:t>5.471</w:t>
            </w:r>
          </w:p>
        </w:tc>
        <w:tc>
          <w:tcPr>
            <w:tcW w:w="1000" w:type="pct"/>
            <w:tcBorders>
              <w:left w:val="single" w:sz="4" w:space="0" w:color="BFBFBF"/>
              <w:right w:val="single" w:sz="4" w:space="0" w:color="BFBFBF"/>
            </w:tcBorders>
            <w:vAlign w:val="bottom"/>
          </w:tcPr>
          <w:p w:rsidR="004A72E7" w:rsidRPr="001E2F6E" w:rsidRDefault="004A72E7" w:rsidP="00917494">
            <w:pPr>
              <w:spacing w:line="240" w:lineRule="exact"/>
              <w:ind w:right="170"/>
              <w:jc w:val="right"/>
              <w:rPr>
                <w:sz w:val="16"/>
                <w:szCs w:val="16"/>
                <w:lang w:eastAsia="es-ES"/>
              </w:rPr>
            </w:pPr>
            <w:r w:rsidRPr="001E2F6E">
              <w:rPr>
                <w:sz w:val="16"/>
                <w:szCs w:val="16"/>
                <w:lang w:eastAsia="es-ES"/>
              </w:rPr>
              <w:t>6.353</w:t>
            </w:r>
          </w:p>
        </w:tc>
        <w:tc>
          <w:tcPr>
            <w:tcW w:w="1000" w:type="pct"/>
            <w:tcBorders>
              <w:left w:val="single" w:sz="4" w:space="0" w:color="BFBFBF"/>
              <w:right w:val="single" w:sz="4" w:space="0" w:color="BFBFBF"/>
            </w:tcBorders>
            <w:vAlign w:val="bottom"/>
          </w:tcPr>
          <w:p w:rsidR="004A72E7" w:rsidRPr="001E2F6E" w:rsidRDefault="004A72E7" w:rsidP="00917494">
            <w:pPr>
              <w:spacing w:line="240" w:lineRule="exact"/>
              <w:ind w:right="170"/>
              <w:jc w:val="right"/>
              <w:rPr>
                <w:sz w:val="16"/>
                <w:szCs w:val="16"/>
                <w:lang w:eastAsia="es-ES"/>
              </w:rPr>
            </w:pPr>
            <w:r w:rsidRPr="001E2F6E">
              <w:rPr>
                <w:sz w:val="16"/>
                <w:szCs w:val="16"/>
                <w:lang w:eastAsia="es-ES"/>
              </w:rPr>
              <w:t>3.985</w:t>
            </w:r>
          </w:p>
        </w:tc>
        <w:tc>
          <w:tcPr>
            <w:tcW w:w="1000" w:type="pct"/>
            <w:tcBorders>
              <w:left w:val="single" w:sz="4" w:space="0" w:color="BFBFBF"/>
            </w:tcBorders>
            <w:vAlign w:val="bottom"/>
          </w:tcPr>
          <w:p w:rsidR="004A72E7" w:rsidRPr="001E2F6E" w:rsidRDefault="004A72E7" w:rsidP="00917494">
            <w:pPr>
              <w:spacing w:line="240" w:lineRule="exact"/>
              <w:ind w:right="170"/>
              <w:jc w:val="right"/>
              <w:rPr>
                <w:sz w:val="16"/>
                <w:szCs w:val="16"/>
                <w:lang w:eastAsia="es-ES"/>
              </w:rPr>
            </w:pPr>
            <w:r w:rsidRPr="001E2F6E">
              <w:rPr>
                <w:sz w:val="16"/>
                <w:szCs w:val="16"/>
                <w:lang w:eastAsia="es-ES"/>
              </w:rPr>
              <w:t>2.368</w:t>
            </w:r>
          </w:p>
        </w:tc>
      </w:tr>
      <w:tr w:rsidR="004A72E7" w:rsidRPr="001E2F6E">
        <w:trPr>
          <w:jc w:val="center"/>
        </w:trPr>
        <w:tc>
          <w:tcPr>
            <w:tcW w:w="1000" w:type="pct"/>
            <w:tcBorders>
              <w:bottom w:val="single" w:sz="4" w:space="0" w:color="BFBFBF"/>
              <w:right w:val="single" w:sz="4" w:space="0" w:color="BFBFBF"/>
            </w:tcBorders>
            <w:vAlign w:val="bottom"/>
          </w:tcPr>
          <w:p w:rsidR="004A72E7" w:rsidRPr="001E2F6E" w:rsidRDefault="004A72E7" w:rsidP="00A95E68">
            <w:pPr>
              <w:spacing w:line="240" w:lineRule="exact"/>
              <w:rPr>
                <w:sz w:val="16"/>
                <w:szCs w:val="16"/>
                <w:lang w:eastAsia="es-ES"/>
              </w:rPr>
            </w:pPr>
            <w:r w:rsidRPr="001E2F6E">
              <w:rPr>
                <w:sz w:val="16"/>
                <w:szCs w:val="16"/>
                <w:lang w:eastAsia="es-ES"/>
              </w:rPr>
              <w:t>2012</w:t>
            </w:r>
          </w:p>
        </w:tc>
        <w:tc>
          <w:tcPr>
            <w:tcW w:w="1000" w:type="pct"/>
            <w:tcBorders>
              <w:left w:val="single" w:sz="4" w:space="0" w:color="BFBFBF"/>
              <w:bottom w:val="single" w:sz="4" w:space="0" w:color="BFBFBF"/>
              <w:right w:val="single" w:sz="4" w:space="0" w:color="BFBFBF"/>
            </w:tcBorders>
            <w:vAlign w:val="bottom"/>
          </w:tcPr>
          <w:p w:rsidR="004A72E7" w:rsidRPr="001E2F6E" w:rsidRDefault="004A72E7" w:rsidP="00917494">
            <w:pPr>
              <w:spacing w:line="240" w:lineRule="exact"/>
              <w:ind w:right="170"/>
              <w:jc w:val="right"/>
              <w:rPr>
                <w:sz w:val="16"/>
                <w:szCs w:val="16"/>
                <w:lang w:eastAsia="es-ES"/>
              </w:rPr>
            </w:pPr>
            <w:r w:rsidRPr="001E2F6E">
              <w:rPr>
                <w:sz w:val="16"/>
                <w:szCs w:val="16"/>
                <w:lang w:eastAsia="es-ES"/>
              </w:rPr>
              <w:t>5.001</w:t>
            </w:r>
          </w:p>
        </w:tc>
        <w:tc>
          <w:tcPr>
            <w:tcW w:w="1000" w:type="pct"/>
            <w:tcBorders>
              <w:left w:val="single" w:sz="4" w:space="0" w:color="BFBFBF"/>
              <w:bottom w:val="single" w:sz="4" w:space="0" w:color="BFBFBF"/>
              <w:right w:val="single" w:sz="4" w:space="0" w:color="BFBFBF"/>
            </w:tcBorders>
            <w:vAlign w:val="bottom"/>
          </w:tcPr>
          <w:p w:rsidR="004A72E7" w:rsidRPr="001E2F6E" w:rsidRDefault="004A72E7" w:rsidP="00917494">
            <w:pPr>
              <w:spacing w:line="240" w:lineRule="exact"/>
              <w:ind w:right="170"/>
              <w:jc w:val="right"/>
              <w:rPr>
                <w:sz w:val="16"/>
                <w:szCs w:val="16"/>
                <w:lang w:eastAsia="es-ES"/>
              </w:rPr>
            </w:pPr>
            <w:r w:rsidRPr="001E2F6E">
              <w:rPr>
                <w:sz w:val="16"/>
                <w:szCs w:val="16"/>
                <w:lang w:eastAsia="es-ES"/>
              </w:rPr>
              <w:t>2.865</w:t>
            </w:r>
          </w:p>
        </w:tc>
        <w:tc>
          <w:tcPr>
            <w:tcW w:w="1000" w:type="pct"/>
            <w:tcBorders>
              <w:left w:val="single" w:sz="4" w:space="0" w:color="BFBFBF"/>
              <w:bottom w:val="single" w:sz="4" w:space="0" w:color="BFBFBF"/>
              <w:right w:val="single" w:sz="4" w:space="0" w:color="BFBFBF"/>
            </w:tcBorders>
            <w:vAlign w:val="bottom"/>
          </w:tcPr>
          <w:p w:rsidR="004A72E7" w:rsidRPr="001E2F6E" w:rsidRDefault="004A72E7" w:rsidP="00917494">
            <w:pPr>
              <w:spacing w:line="240" w:lineRule="exact"/>
              <w:ind w:right="170"/>
              <w:jc w:val="right"/>
              <w:rPr>
                <w:sz w:val="16"/>
                <w:szCs w:val="16"/>
                <w:lang w:eastAsia="es-ES"/>
              </w:rPr>
            </w:pPr>
            <w:r w:rsidRPr="001E2F6E">
              <w:rPr>
                <w:sz w:val="16"/>
                <w:szCs w:val="16"/>
                <w:lang w:eastAsia="es-ES"/>
              </w:rPr>
              <w:t>1.767</w:t>
            </w:r>
          </w:p>
        </w:tc>
        <w:tc>
          <w:tcPr>
            <w:tcW w:w="1000" w:type="pct"/>
            <w:tcBorders>
              <w:left w:val="single" w:sz="4" w:space="0" w:color="BFBFBF"/>
              <w:bottom w:val="single" w:sz="4" w:space="0" w:color="BFBFBF"/>
            </w:tcBorders>
            <w:vAlign w:val="bottom"/>
          </w:tcPr>
          <w:p w:rsidR="004A72E7" w:rsidRPr="001E2F6E" w:rsidRDefault="004A72E7" w:rsidP="00917494">
            <w:pPr>
              <w:spacing w:line="240" w:lineRule="exact"/>
              <w:ind w:right="170"/>
              <w:jc w:val="right"/>
              <w:rPr>
                <w:sz w:val="16"/>
                <w:szCs w:val="16"/>
                <w:lang w:eastAsia="es-ES"/>
              </w:rPr>
            </w:pPr>
            <w:r w:rsidRPr="001E2F6E">
              <w:rPr>
                <w:sz w:val="16"/>
                <w:szCs w:val="16"/>
                <w:lang w:eastAsia="es-ES"/>
              </w:rPr>
              <w:t>1.098</w:t>
            </w:r>
          </w:p>
        </w:tc>
      </w:tr>
      <w:tr w:rsidR="004A72E7" w:rsidRPr="001E2F6E">
        <w:trPr>
          <w:jc w:val="center"/>
        </w:trPr>
        <w:tc>
          <w:tcPr>
            <w:tcW w:w="1000" w:type="pct"/>
            <w:tcBorders>
              <w:top w:val="single" w:sz="4" w:space="0" w:color="BFBFBF"/>
              <w:right w:val="single" w:sz="4" w:space="0" w:color="BFBFBF"/>
            </w:tcBorders>
            <w:vAlign w:val="bottom"/>
          </w:tcPr>
          <w:p w:rsidR="004A72E7" w:rsidRPr="001E2F6E" w:rsidRDefault="004A72E7" w:rsidP="00A95E68">
            <w:pPr>
              <w:spacing w:line="240" w:lineRule="exact"/>
              <w:rPr>
                <w:b/>
                <w:bCs/>
                <w:sz w:val="16"/>
                <w:szCs w:val="16"/>
                <w:lang w:eastAsia="es-ES"/>
              </w:rPr>
            </w:pPr>
            <w:r w:rsidRPr="001E2F6E">
              <w:rPr>
                <w:b/>
                <w:bCs/>
                <w:sz w:val="16"/>
                <w:szCs w:val="16"/>
                <w:lang w:val="eu-ES" w:eastAsia="es-ES"/>
              </w:rPr>
              <w:t>Lan-sozietate anonimoak</w:t>
            </w:r>
          </w:p>
        </w:tc>
        <w:tc>
          <w:tcPr>
            <w:tcW w:w="1000" w:type="pct"/>
            <w:tcBorders>
              <w:top w:val="single" w:sz="4" w:space="0" w:color="BFBFBF"/>
              <w:left w:val="single" w:sz="4" w:space="0" w:color="BFBFBF"/>
              <w:right w:val="single" w:sz="4" w:space="0" w:color="BFBFBF"/>
            </w:tcBorders>
            <w:vAlign w:val="bottom"/>
          </w:tcPr>
          <w:p w:rsidR="004A72E7" w:rsidRPr="001E2F6E" w:rsidRDefault="004A72E7" w:rsidP="00917494">
            <w:pPr>
              <w:spacing w:line="240" w:lineRule="exact"/>
              <w:ind w:right="170"/>
              <w:jc w:val="right"/>
              <w:rPr>
                <w:rFonts w:ascii="Calibri" w:hAnsi="Calibri" w:cs="Calibri"/>
                <w:sz w:val="22"/>
                <w:szCs w:val="22"/>
                <w:lang w:eastAsia="es-ES"/>
              </w:rPr>
            </w:pPr>
            <w:r w:rsidRPr="001E2F6E">
              <w:rPr>
                <w:rFonts w:ascii="Calibri" w:hAnsi="Calibri" w:cs="Calibri"/>
                <w:sz w:val="22"/>
                <w:szCs w:val="22"/>
                <w:lang w:eastAsia="es-ES"/>
              </w:rPr>
              <w:t> </w:t>
            </w:r>
          </w:p>
        </w:tc>
        <w:tc>
          <w:tcPr>
            <w:tcW w:w="1000" w:type="pct"/>
            <w:tcBorders>
              <w:top w:val="single" w:sz="4" w:space="0" w:color="BFBFBF"/>
              <w:left w:val="single" w:sz="4" w:space="0" w:color="BFBFBF"/>
              <w:right w:val="single" w:sz="4" w:space="0" w:color="BFBFBF"/>
            </w:tcBorders>
            <w:vAlign w:val="bottom"/>
          </w:tcPr>
          <w:p w:rsidR="004A72E7" w:rsidRPr="001E2F6E" w:rsidRDefault="004A72E7" w:rsidP="00917494">
            <w:pPr>
              <w:spacing w:line="240" w:lineRule="exact"/>
              <w:ind w:right="170"/>
              <w:jc w:val="right"/>
              <w:rPr>
                <w:rFonts w:ascii="Calibri" w:hAnsi="Calibri" w:cs="Calibri"/>
                <w:sz w:val="22"/>
                <w:szCs w:val="22"/>
                <w:lang w:eastAsia="es-ES"/>
              </w:rPr>
            </w:pPr>
            <w:r w:rsidRPr="001E2F6E">
              <w:rPr>
                <w:rFonts w:ascii="Calibri" w:hAnsi="Calibri" w:cs="Calibri"/>
                <w:sz w:val="22"/>
                <w:szCs w:val="22"/>
                <w:lang w:eastAsia="es-ES"/>
              </w:rPr>
              <w:t> </w:t>
            </w:r>
          </w:p>
        </w:tc>
        <w:tc>
          <w:tcPr>
            <w:tcW w:w="1000" w:type="pct"/>
            <w:tcBorders>
              <w:top w:val="single" w:sz="4" w:space="0" w:color="BFBFBF"/>
              <w:left w:val="single" w:sz="4" w:space="0" w:color="BFBFBF"/>
              <w:right w:val="single" w:sz="4" w:space="0" w:color="BFBFBF"/>
            </w:tcBorders>
            <w:vAlign w:val="bottom"/>
          </w:tcPr>
          <w:p w:rsidR="004A72E7" w:rsidRPr="001E2F6E" w:rsidRDefault="004A72E7" w:rsidP="00917494">
            <w:pPr>
              <w:spacing w:line="240" w:lineRule="exact"/>
              <w:ind w:right="170"/>
              <w:jc w:val="right"/>
              <w:rPr>
                <w:rFonts w:ascii="Calibri" w:hAnsi="Calibri" w:cs="Calibri"/>
                <w:sz w:val="22"/>
                <w:szCs w:val="22"/>
                <w:lang w:eastAsia="es-ES"/>
              </w:rPr>
            </w:pPr>
            <w:r w:rsidRPr="001E2F6E">
              <w:rPr>
                <w:rFonts w:ascii="Calibri" w:hAnsi="Calibri" w:cs="Calibri"/>
                <w:sz w:val="22"/>
                <w:szCs w:val="22"/>
                <w:lang w:eastAsia="es-ES"/>
              </w:rPr>
              <w:t> </w:t>
            </w:r>
          </w:p>
        </w:tc>
        <w:tc>
          <w:tcPr>
            <w:tcW w:w="1000" w:type="pct"/>
            <w:tcBorders>
              <w:top w:val="single" w:sz="4" w:space="0" w:color="BFBFBF"/>
              <w:left w:val="single" w:sz="4" w:space="0" w:color="BFBFBF"/>
            </w:tcBorders>
            <w:vAlign w:val="bottom"/>
          </w:tcPr>
          <w:p w:rsidR="004A72E7" w:rsidRPr="001E2F6E" w:rsidRDefault="004A72E7" w:rsidP="00917494">
            <w:pPr>
              <w:spacing w:line="240" w:lineRule="exact"/>
              <w:ind w:right="170"/>
              <w:jc w:val="right"/>
              <w:rPr>
                <w:rFonts w:ascii="Calibri" w:hAnsi="Calibri" w:cs="Calibri"/>
                <w:sz w:val="22"/>
                <w:szCs w:val="22"/>
                <w:lang w:eastAsia="es-ES"/>
              </w:rPr>
            </w:pPr>
            <w:r w:rsidRPr="001E2F6E">
              <w:rPr>
                <w:rFonts w:ascii="Calibri" w:hAnsi="Calibri" w:cs="Calibri"/>
                <w:sz w:val="22"/>
                <w:szCs w:val="22"/>
                <w:lang w:eastAsia="es-ES"/>
              </w:rPr>
              <w:t> </w:t>
            </w:r>
          </w:p>
        </w:tc>
      </w:tr>
      <w:tr w:rsidR="004A72E7" w:rsidRPr="001E2F6E">
        <w:trPr>
          <w:jc w:val="center"/>
        </w:trPr>
        <w:tc>
          <w:tcPr>
            <w:tcW w:w="1000" w:type="pct"/>
            <w:tcBorders>
              <w:right w:val="single" w:sz="4" w:space="0" w:color="BFBFBF"/>
            </w:tcBorders>
            <w:vAlign w:val="bottom"/>
          </w:tcPr>
          <w:p w:rsidR="004A72E7" w:rsidRPr="001E2F6E" w:rsidRDefault="004A72E7" w:rsidP="00A95E68">
            <w:pPr>
              <w:spacing w:line="240" w:lineRule="exact"/>
              <w:rPr>
                <w:sz w:val="16"/>
                <w:szCs w:val="16"/>
                <w:lang w:eastAsia="es-ES"/>
              </w:rPr>
            </w:pPr>
            <w:r w:rsidRPr="001E2F6E">
              <w:rPr>
                <w:sz w:val="16"/>
                <w:szCs w:val="16"/>
                <w:lang w:eastAsia="es-ES"/>
              </w:rPr>
              <w:t>2006</w:t>
            </w:r>
          </w:p>
        </w:tc>
        <w:tc>
          <w:tcPr>
            <w:tcW w:w="1000" w:type="pct"/>
            <w:tcBorders>
              <w:left w:val="single" w:sz="4" w:space="0" w:color="BFBFBF"/>
              <w:right w:val="single" w:sz="4" w:space="0" w:color="BFBFBF"/>
            </w:tcBorders>
            <w:vAlign w:val="bottom"/>
          </w:tcPr>
          <w:p w:rsidR="004A72E7" w:rsidRPr="001E2F6E" w:rsidRDefault="004A72E7" w:rsidP="00917494">
            <w:pPr>
              <w:spacing w:line="240" w:lineRule="exact"/>
              <w:ind w:right="170"/>
              <w:jc w:val="right"/>
              <w:rPr>
                <w:sz w:val="16"/>
                <w:szCs w:val="16"/>
                <w:lang w:eastAsia="es-ES"/>
              </w:rPr>
            </w:pPr>
            <w:r w:rsidRPr="001E2F6E">
              <w:rPr>
                <w:sz w:val="16"/>
                <w:szCs w:val="16"/>
                <w:lang w:eastAsia="es-ES"/>
              </w:rPr>
              <w:t>4.142</w:t>
            </w:r>
          </w:p>
        </w:tc>
        <w:tc>
          <w:tcPr>
            <w:tcW w:w="1000" w:type="pct"/>
            <w:tcBorders>
              <w:left w:val="single" w:sz="4" w:space="0" w:color="BFBFBF"/>
              <w:right w:val="single" w:sz="4" w:space="0" w:color="BFBFBF"/>
            </w:tcBorders>
            <w:vAlign w:val="bottom"/>
          </w:tcPr>
          <w:p w:rsidR="004A72E7" w:rsidRPr="001E2F6E" w:rsidRDefault="004A72E7" w:rsidP="00917494">
            <w:pPr>
              <w:spacing w:line="240" w:lineRule="exact"/>
              <w:ind w:right="170"/>
              <w:jc w:val="right"/>
              <w:rPr>
                <w:sz w:val="16"/>
                <w:szCs w:val="16"/>
                <w:lang w:eastAsia="es-ES"/>
              </w:rPr>
            </w:pPr>
            <w:r w:rsidRPr="001E2F6E">
              <w:rPr>
                <w:sz w:val="16"/>
                <w:szCs w:val="16"/>
                <w:lang w:eastAsia="es-ES"/>
              </w:rPr>
              <w:t>4.088</w:t>
            </w:r>
          </w:p>
        </w:tc>
        <w:tc>
          <w:tcPr>
            <w:tcW w:w="1000" w:type="pct"/>
            <w:tcBorders>
              <w:left w:val="single" w:sz="4" w:space="0" w:color="BFBFBF"/>
              <w:right w:val="single" w:sz="4" w:space="0" w:color="BFBFBF"/>
            </w:tcBorders>
            <w:vAlign w:val="bottom"/>
          </w:tcPr>
          <w:p w:rsidR="004A72E7" w:rsidRPr="001E2F6E" w:rsidRDefault="004A72E7" w:rsidP="00917494">
            <w:pPr>
              <w:spacing w:line="240" w:lineRule="exact"/>
              <w:ind w:right="170"/>
              <w:jc w:val="right"/>
              <w:rPr>
                <w:sz w:val="16"/>
                <w:szCs w:val="16"/>
                <w:lang w:eastAsia="es-ES"/>
              </w:rPr>
            </w:pPr>
            <w:r w:rsidRPr="001E2F6E">
              <w:rPr>
                <w:sz w:val="16"/>
                <w:szCs w:val="16"/>
                <w:lang w:eastAsia="es-ES"/>
              </w:rPr>
              <w:t>1.966</w:t>
            </w:r>
          </w:p>
        </w:tc>
        <w:tc>
          <w:tcPr>
            <w:tcW w:w="1000" w:type="pct"/>
            <w:tcBorders>
              <w:left w:val="single" w:sz="4" w:space="0" w:color="BFBFBF"/>
            </w:tcBorders>
            <w:vAlign w:val="bottom"/>
          </w:tcPr>
          <w:p w:rsidR="004A72E7" w:rsidRPr="001E2F6E" w:rsidRDefault="004A72E7" w:rsidP="00917494">
            <w:pPr>
              <w:spacing w:line="240" w:lineRule="exact"/>
              <w:ind w:right="170"/>
              <w:jc w:val="right"/>
              <w:rPr>
                <w:sz w:val="16"/>
                <w:szCs w:val="16"/>
                <w:lang w:eastAsia="es-ES"/>
              </w:rPr>
            </w:pPr>
            <w:r w:rsidRPr="001E2F6E">
              <w:rPr>
                <w:sz w:val="16"/>
                <w:szCs w:val="16"/>
                <w:lang w:eastAsia="es-ES"/>
              </w:rPr>
              <w:t>2.122</w:t>
            </w:r>
          </w:p>
        </w:tc>
      </w:tr>
      <w:tr w:rsidR="004A72E7" w:rsidRPr="001E2F6E">
        <w:trPr>
          <w:jc w:val="center"/>
        </w:trPr>
        <w:tc>
          <w:tcPr>
            <w:tcW w:w="1000" w:type="pct"/>
            <w:tcBorders>
              <w:right w:val="single" w:sz="4" w:space="0" w:color="BFBFBF"/>
            </w:tcBorders>
            <w:vAlign w:val="bottom"/>
          </w:tcPr>
          <w:p w:rsidR="004A72E7" w:rsidRPr="001E2F6E" w:rsidRDefault="004A72E7" w:rsidP="00A95E68">
            <w:pPr>
              <w:spacing w:line="240" w:lineRule="exact"/>
              <w:rPr>
                <w:sz w:val="16"/>
                <w:szCs w:val="16"/>
                <w:lang w:eastAsia="es-ES"/>
              </w:rPr>
            </w:pPr>
            <w:r w:rsidRPr="001E2F6E">
              <w:rPr>
                <w:sz w:val="16"/>
                <w:szCs w:val="16"/>
                <w:lang w:eastAsia="es-ES"/>
              </w:rPr>
              <w:t>2008</w:t>
            </w:r>
          </w:p>
        </w:tc>
        <w:tc>
          <w:tcPr>
            <w:tcW w:w="1000" w:type="pct"/>
            <w:tcBorders>
              <w:left w:val="single" w:sz="4" w:space="0" w:color="BFBFBF"/>
              <w:right w:val="single" w:sz="4" w:space="0" w:color="BFBFBF"/>
            </w:tcBorders>
            <w:vAlign w:val="bottom"/>
          </w:tcPr>
          <w:p w:rsidR="004A72E7" w:rsidRPr="001E2F6E" w:rsidRDefault="004A72E7" w:rsidP="00917494">
            <w:pPr>
              <w:spacing w:line="240" w:lineRule="exact"/>
              <w:ind w:right="170"/>
              <w:jc w:val="right"/>
              <w:rPr>
                <w:sz w:val="16"/>
                <w:szCs w:val="16"/>
                <w:lang w:eastAsia="es-ES"/>
              </w:rPr>
            </w:pPr>
            <w:r w:rsidRPr="001E2F6E">
              <w:rPr>
                <w:sz w:val="16"/>
                <w:szCs w:val="16"/>
                <w:lang w:eastAsia="es-ES"/>
              </w:rPr>
              <w:t>4.441</w:t>
            </w:r>
          </w:p>
        </w:tc>
        <w:tc>
          <w:tcPr>
            <w:tcW w:w="1000" w:type="pct"/>
            <w:tcBorders>
              <w:left w:val="single" w:sz="4" w:space="0" w:color="BFBFBF"/>
              <w:right w:val="single" w:sz="4" w:space="0" w:color="BFBFBF"/>
            </w:tcBorders>
            <w:vAlign w:val="bottom"/>
          </w:tcPr>
          <w:p w:rsidR="004A72E7" w:rsidRPr="001E2F6E" w:rsidRDefault="004A72E7" w:rsidP="00917494">
            <w:pPr>
              <w:spacing w:line="240" w:lineRule="exact"/>
              <w:ind w:right="170"/>
              <w:jc w:val="right"/>
              <w:rPr>
                <w:sz w:val="16"/>
                <w:szCs w:val="16"/>
                <w:lang w:eastAsia="es-ES"/>
              </w:rPr>
            </w:pPr>
            <w:r w:rsidRPr="001E2F6E">
              <w:rPr>
                <w:sz w:val="16"/>
                <w:szCs w:val="16"/>
                <w:lang w:eastAsia="es-ES"/>
              </w:rPr>
              <w:t>3.010</w:t>
            </w:r>
          </w:p>
        </w:tc>
        <w:tc>
          <w:tcPr>
            <w:tcW w:w="1000" w:type="pct"/>
            <w:tcBorders>
              <w:left w:val="single" w:sz="4" w:space="0" w:color="BFBFBF"/>
              <w:right w:val="single" w:sz="4" w:space="0" w:color="BFBFBF"/>
            </w:tcBorders>
            <w:vAlign w:val="bottom"/>
          </w:tcPr>
          <w:p w:rsidR="004A72E7" w:rsidRPr="001E2F6E" w:rsidRDefault="004A72E7" w:rsidP="00917494">
            <w:pPr>
              <w:spacing w:line="240" w:lineRule="exact"/>
              <w:ind w:right="170"/>
              <w:jc w:val="right"/>
              <w:rPr>
                <w:sz w:val="16"/>
                <w:szCs w:val="16"/>
                <w:lang w:eastAsia="es-ES"/>
              </w:rPr>
            </w:pPr>
            <w:r w:rsidRPr="001E2F6E">
              <w:rPr>
                <w:sz w:val="16"/>
                <w:szCs w:val="16"/>
                <w:lang w:eastAsia="es-ES"/>
              </w:rPr>
              <w:t>2.288</w:t>
            </w:r>
          </w:p>
        </w:tc>
        <w:tc>
          <w:tcPr>
            <w:tcW w:w="1000" w:type="pct"/>
            <w:tcBorders>
              <w:left w:val="single" w:sz="4" w:space="0" w:color="BFBFBF"/>
            </w:tcBorders>
            <w:vAlign w:val="bottom"/>
          </w:tcPr>
          <w:p w:rsidR="004A72E7" w:rsidRPr="001E2F6E" w:rsidRDefault="004A72E7" w:rsidP="00917494">
            <w:pPr>
              <w:spacing w:line="240" w:lineRule="exact"/>
              <w:ind w:right="170"/>
              <w:jc w:val="right"/>
              <w:rPr>
                <w:sz w:val="16"/>
                <w:szCs w:val="16"/>
                <w:lang w:eastAsia="es-ES"/>
              </w:rPr>
            </w:pPr>
            <w:r w:rsidRPr="001E2F6E">
              <w:rPr>
                <w:sz w:val="16"/>
                <w:szCs w:val="16"/>
                <w:lang w:eastAsia="es-ES"/>
              </w:rPr>
              <w:t>722</w:t>
            </w:r>
          </w:p>
        </w:tc>
      </w:tr>
      <w:tr w:rsidR="004A72E7" w:rsidRPr="001E2F6E">
        <w:trPr>
          <w:jc w:val="center"/>
        </w:trPr>
        <w:tc>
          <w:tcPr>
            <w:tcW w:w="1000" w:type="pct"/>
            <w:tcBorders>
              <w:right w:val="single" w:sz="4" w:space="0" w:color="BFBFBF"/>
            </w:tcBorders>
            <w:vAlign w:val="bottom"/>
          </w:tcPr>
          <w:p w:rsidR="004A72E7" w:rsidRPr="001E2F6E" w:rsidRDefault="004A72E7" w:rsidP="00A95E68">
            <w:pPr>
              <w:spacing w:line="240" w:lineRule="exact"/>
              <w:rPr>
                <w:sz w:val="16"/>
                <w:szCs w:val="16"/>
                <w:lang w:eastAsia="es-ES"/>
              </w:rPr>
            </w:pPr>
            <w:r w:rsidRPr="001E2F6E">
              <w:rPr>
                <w:sz w:val="16"/>
                <w:szCs w:val="16"/>
                <w:lang w:eastAsia="es-ES"/>
              </w:rPr>
              <w:t>2010</w:t>
            </w:r>
          </w:p>
        </w:tc>
        <w:tc>
          <w:tcPr>
            <w:tcW w:w="1000" w:type="pct"/>
            <w:tcBorders>
              <w:left w:val="single" w:sz="4" w:space="0" w:color="BFBFBF"/>
              <w:right w:val="single" w:sz="4" w:space="0" w:color="BFBFBF"/>
            </w:tcBorders>
            <w:vAlign w:val="bottom"/>
          </w:tcPr>
          <w:p w:rsidR="004A72E7" w:rsidRPr="001E2F6E" w:rsidRDefault="004A72E7" w:rsidP="00917494">
            <w:pPr>
              <w:spacing w:line="240" w:lineRule="exact"/>
              <w:ind w:right="170"/>
              <w:jc w:val="right"/>
              <w:rPr>
                <w:sz w:val="16"/>
                <w:szCs w:val="16"/>
                <w:lang w:eastAsia="es-ES"/>
              </w:rPr>
            </w:pPr>
            <w:r w:rsidRPr="001E2F6E">
              <w:rPr>
                <w:sz w:val="16"/>
                <w:szCs w:val="16"/>
                <w:lang w:eastAsia="es-ES"/>
              </w:rPr>
              <w:t>2.592</w:t>
            </w:r>
          </w:p>
        </w:tc>
        <w:tc>
          <w:tcPr>
            <w:tcW w:w="1000" w:type="pct"/>
            <w:tcBorders>
              <w:left w:val="single" w:sz="4" w:space="0" w:color="BFBFBF"/>
              <w:right w:val="single" w:sz="4" w:space="0" w:color="BFBFBF"/>
            </w:tcBorders>
            <w:vAlign w:val="bottom"/>
          </w:tcPr>
          <w:p w:rsidR="004A72E7" w:rsidRPr="001E2F6E" w:rsidRDefault="004A72E7" w:rsidP="00917494">
            <w:pPr>
              <w:spacing w:line="240" w:lineRule="exact"/>
              <w:ind w:right="170"/>
              <w:jc w:val="right"/>
              <w:rPr>
                <w:sz w:val="16"/>
                <w:szCs w:val="16"/>
                <w:lang w:eastAsia="es-ES"/>
              </w:rPr>
            </w:pPr>
            <w:r w:rsidRPr="001E2F6E">
              <w:rPr>
                <w:sz w:val="16"/>
                <w:szCs w:val="16"/>
                <w:lang w:eastAsia="es-ES"/>
              </w:rPr>
              <w:t>4.828</w:t>
            </w:r>
          </w:p>
        </w:tc>
        <w:tc>
          <w:tcPr>
            <w:tcW w:w="1000" w:type="pct"/>
            <w:tcBorders>
              <w:left w:val="single" w:sz="4" w:space="0" w:color="BFBFBF"/>
              <w:right w:val="single" w:sz="4" w:space="0" w:color="BFBFBF"/>
            </w:tcBorders>
            <w:vAlign w:val="bottom"/>
          </w:tcPr>
          <w:p w:rsidR="004A72E7" w:rsidRPr="001E2F6E" w:rsidRDefault="004A72E7" w:rsidP="00917494">
            <w:pPr>
              <w:spacing w:line="240" w:lineRule="exact"/>
              <w:ind w:right="170"/>
              <w:jc w:val="right"/>
              <w:rPr>
                <w:sz w:val="16"/>
                <w:szCs w:val="16"/>
                <w:lang w:eastAsia="es-ES"/>
              </w:rPr>
            </w:pPr>
            <w:r w:rsidRPr="001E2F6E">
              <w:rPr>
                <w:sz w:val="16"/>
                <w:szCs w:val="16"/>
                <w:lang w:eastAsia="es-ES"/>
              </w:rPr>
              <w:t>3.060</w:t>
            </w:r>
          </w:p>
        </w:tc>
        <w:tc>
          <w:tcPr>
            <w:tcW w:w="1000" w:type="pct"/>
            <w:tcBorders>
              <w:left w:val="single" w:sz="4" w:space="0" w:color="BFBFBF"/>
            </w:tcBorders>
            <w:vAlign w:val="bottom"/>
          </w:tcPr>
          <w:p w:rsidR="004A72E7" w:rsidRPr="001E2F6E" w:rsidRDefault="004A72E7" w:rsidP="00917494">
            <w:pPr>
              <w:spacing w:line="240" w:lineRule="exact"/>
              <w:ind w:right="170"/>
              <w:jc w:val="right"/>
              <w:rPr>
                <w:sz w:val="16"/>
                <w:szCs w:val="16"/>
                <w:lang w:eastAsia="es-ES"/>
              </w:rPr>
            </w:pPr>
            <w:r w:rsidRPr="001E2F6E">
              <w:rPr>
                <w:sz w:val="16"/>
                <w:szCs w:val="16"/>
                <w:lang w:eastAsia="es-ES"/>
              </w:rPr>
              <w:t>1.768</w:t>
            </w:r>
          </w:p>
        </w:tc>
      </w:tr>
      <w:tr w:rsidR="004A72E7" w:rsidRPr="001E2F6E">
        <w:trPr>
          <w:jc w:val="center"/>
        </w:trPr>
        <w:tc>
          <w:tcPr>
            <w:tcW w:w="1000" w:type="pct"/>
            <w:tcBorders>
              <w:bottom w:val="single" w:sz="4" w:space="0" w:color="BFBFBF"/>
              <w:right w:val="single" w:sz="4" w:space="0" w:color="BFBFBF"/>
            </w:tcBorders>
            <w:vAlign w:val="bottom"/>
          </w:tcPr>
          <w:p w:rsidR="004A72E7" w:rsidRPr="001E2F6E" w:rsidRDefault="004A72E7" w:rsidP="00A95E68">
            <w:pPr>
              <w:spacing w:line="240" w:lineRule="exact"/>
              <w:rPr>
                <w:sz w:val="16"/>
                <w:szCs w:val="16"/>
                <w:lang w:eastAsia="es-ES"/>
              </w:rPr>
            </w:pPr>
            <w:r w:rsidRPr="001E2F6E">
              <w:rPr>
                <w:sz w:val="16"/>
                <w:szCs w:val="16"/>
                <w:lang w:eastAsia="es-ES"/>
              </w:rPr>
              <w:t>2012</w:t>
            </w:r>
          </w:p>
        </w:tc>
        <w:tc>
          <w:tcPr>
            <w:tcW w:w="1000" w:type="pct"/>
            <w:tcBorders>
              <w:left w:val="single" w:sz="4" w:space="0" w:color="BFBFBF"/>
              <w:bottom w:val="single" w:sz="4" w:space="0" w:color="BFBFBF"/>
              <w:right w:val="single" w:sz="4" w:space="0" w:color="BFBFBF"/>
            </w:tcBorders>
            <w:vAlign w:val="bottom"/>
          </w:tcPr>
          <w:p w:rsidR="004A72E7" w:rsidRPr="001E2F6E" w:rsidRDefault="004A72E7" w:rsidP="00917494">
            <w:pPr>
              <w:spacing w:line="240" w:lineRule="exact"/>
              <w:ind w:right="170"/>
              <w:jc w:val="right"/>
              <w:rPr>
                <w:sz w:val="16"/>
                <w:szCs w:val="16"/>
                <w:lang w:eastAsia="es-ES"/>
              </w:rPr>
            </w:pPr>
            <w:r w:rsidRPr="001E2F6E">
              <w:rPr>
                <w:sz w:val="16"/>
                <w:szCs w:val="16"/>
                <w:lang w:eastAsia="es-ES"/>
              </w:rPr>
              <w:t>2.387</w:t>
            </w:r>
          </w:p>
        </w:tc>
        <w:tc>
          <w:tcPr>
            <w:tcW w:w="1000" w:type="pct"/>
            <w:tcBorders>
              <w:left w:val="single" w:sz="4" w:space="0" w:color="BFBFBF"/>
              <w:bottom w:val="single" w:sz="4" w:space="0" w:color="BFBFBF"/>
              <w:right w:val="single" w:sz="4" w:space="0" w:color="BFBFBF"/>
            </w:tcBorders>
            <w:vAlign w:val="bottom"/>
          </w:tcPr>
          <w:p w:rsidR="004A72E7" w:rsidRPr="001E2F6E" w:rsidRDefault="004A72E7" w:rsidP="00917494">
            <w:pPr>
              <w:spacing w:line="240" w:lineRule="exact"/>
              <w:ind w:right="170"/>
              <w:jc w:val="right"/>
              <w:rPr>
                <w:sz w:val="16"/>
                <w:szCs w:val="16"/>
                <w:lang w:eastAsia="es-ES"/>
              </w:rPr>
            </w:pPr>
            <w:r w:rsidRPr="001E2F6E">
              <w:rPr>
                <w:sz w:val="16"/>
                <w:szCs w:val="16"/>
                <w:lang w:eastAsia="es-ES"/>
              </w:rPr>
              <w:t>1.638</w:t>
            </w:r>
          </w:p>
        </w:tc>
        <w:tc>
          <w:tcPr>
            <w:tcW w:w="1000" w:type="pct"/>
            <w:tcBorders>
              <w:left w:val="single" w:sz="4" w:space="0" w:color="BFBFBF"/>
              <w:bottom w:val="single" w:sz="4" w:space="0" w:color="BFBFBF"/>
              <w:right w:val="single" w:sz="4" w:space="0" w:color="BFBFBF"/>
            </w:tcBorders>
            <w:vAlign w:val="bottom"/>
          </w:tcPr>
          <w:p w:rsidR="004A72E7" w:rsidRPr="001E2F6E" w:rsidRDefault="004A72E7" w:rsidP="00917494">
            <w:pPr>
              <w:spacing w:line="240" w:lineRule="exact"/>
              <w:ind w:right="170"/>
              <w:jc w:val="right"/>
              <w:rPr>
                <w:sz w:val="16"/>
                <w:szCs w:val="16"/>
                <w:lang w:eastAsia="es-ES"/>
              </w:rPr>
            </w:pPr>
            <w:r w:rsidRPr="001E2F6E">
              <w:rPr>
                <w:sz w:val="16"/>
                <w:szCs w:val="16"/>
                <w:lang w:eastAsia="es-ES"/>
              </w:rPr>
              <w:t>1.096</w:t>
            </w:r>
          </w:p>
        </w:tc>
        <w:tc>
          <w:tcPr>
            <w:tcW w:w="1000" w:type="pct"/>
            <w:tcBorders>
              <w:left w:val="single" w:sz="4" w:space="0" w:color="BFBFBF"/>
              <w:bottom w:val="single" w:sz="4" w:space="0" w:color="BFBFBF"/>
            </w:tcBorders>
            <w:vAlign w:val="bottom"/>
          </w:tcPr>
          <w:p w:rsidR="004A72E7" w:rsidRPr="001E2F6E" w:rsidRDefault="004A72E7" w:rsidP="00917494">
            <w:pPr>
              <w:spacing w:line="240" w:lineRule="exact"/>
              <w:ind w:right="170"/>
              <w:jc w:val="right"/>
              <w:rPr>
                <w:sz w:val="16"/>
                <w:szCs w:val="16"/>
                <w:lang w:eastAsia="es-ES"/>
              </w:rPr>
            </w:pPr>
            <w:r w:rsidRPr="001E2F6E">
              <w:rPr>
                <w:sz w:val="16"/>
                <w:szCs w:val="16"/>
                <w:lang w:eastAsia="es-ES"/>
              </w:rPr>
              <w:t>542</w:t>
            </w:r>
          </w:p>
        </w:tc>
      </w:tr>
      <w:tr w:rsidR="004A72E7" w:rsidRPr="001E2F6E">
        <w:trPr>
          <w:jc w:val="center"/>
        </w:trPr>
        <w:tc>
          <w:tcPr>
            <w:tcW w:w="1000" w:type="pct"/>
            <w:tcBorders>
              <w:top w:val="single" w:sz="4" w:space="0" w:color="BFBFBF"/>
              <w:right w:val="single" w:sz="4" w:space="0" w:color="BFBFBF"/>
            </w:tcBorders>
            <w:vAlign w:val="bottom"/>
          </w:tcPr>
          <w:p w:rsidR="004A72E7" w:rsidRPr="001E2F6E" w:rsidRDefault="004A72E7" w:rsidP="00A95E68">
            <w:pPr>
              <w:spacing w:line="240" w:lineRule="exact"/>
              <w:rPr>
                <w:b/>
                <w:bCs/>
                <w:sz w:val="16"/>
                <w:szCs w:val="16"/>
                <w:lang w:eastAsia="es-ES"/>
              </w:rPr>
            </w:pPr>
            <w:r w:rsidRPr="001E2F6E">
              <w:rPr>
                <w:b/>
                <w:bCs/>
                <w:sz w:val="16"/>
                <w:szCs w:val="16"/>
                <w:lang w:val="eu-ES" w:eastAsia="es-ES"/>
              </w:rPr>
              <w:t>Lan-sozietate mugatuak</w:t>
            </w:r>
          </w:p>
        </w:tc>
        <w:tc>
          <w:tcPr>
            <w:tcW w:w="1000" w:type="pct"/>
            <w:tcBorders>
              <w:top w:val="single" w:sz="4" w:space="0" w:color="BFBFBF"/>
              <w:left w:val="single" w:sz="4" w:space="0" w:color="BFBFBF"/>
              <w:right w:val="single" w:sz="4" w:space="0" w:color="BFBFBF"/>
            </w:tcBorders>
            <w:vAlign w:val="bottom"/>
          </w:tcPr>
          <w:p w:rsidR="004A72E7" w:rsidRPr="001E2F6E" w:rsidRDefault="004A72E7" w:rsidP="00917494">
            <w:pPr>
              <w:spacing w:line="240" w:lineRule="exact"/>
              <w:ind w:right="170"/>
              <w:jc w:val="right"/>
              <w:rPr>
                <w:rFonts w:ascii="Calibri" w:hAnsi="Calibri" w:cs="Calibri"/>
                <w:sz w:val="22"/>
                <w:szCs w:val="22"/>
                <w:lang w:eastAsia="es-ES"/>
              </w:rPr>
            </w:pPr>
            <w:r w:rsidRPr="001E2F6E">
              <w:rPr>
                <w:rFonts w:ascii="Calibri" w:hAnsi="Calibri" w:cs="Calibri"/>
                <w:sz w:val="22"/>
                <w:szCs w:val="22"/>
                <w:lang w:eastAsia="es-ES"/>
              </w:rPr>
              <w:t> </w:t>
            </w:r>
          </w:p>
        </w:tc>
        <w:tc>
          <w:tcPr>
            <w:tcW w:w="1000" w:type="pct"/>
            <w:tcBorders>
              <w:top w:val="single" w:sz="4" w:space="0" w:color="BFBFBF"/>
              <w:left w:val="single" w:sz="4" w:space="0" w:color="BFBFBF"/>
              <w:right w:val="single" w:sz="4" w:space="0" w:color="BFBFBF"/>
            </w:tcBorders>
            <w:vAlign w:val="bottom"/>
          </w:tcPr>
          <w:p w:rsidR="004A72E7" w:rsidRPr="001E2F6E" w:rsidRDefault="004A72E7" w:rsidP="00917494">
            <w:pPr>
              <w:spacing w:line="240" w:lineRule="exact"/>
              <w:ind w:right="170"/>
              <w:jc w:val="right"/>
              <w:rPr>
                <w:rFonts w:ascii="Calibri" w:hAnsi="Calibri" w:cs="Calibri"/>
                <w:sz w:val="22"/>
                <w:szCs w:val="22"/>
                <w:lang w:eastAsia="es-ES"/>
              </w:rPr>
            </w:pPr>
            <w:r w:rsidRPr="001E2F6E">
              <w:rPr>
                <w:rFonts w:ascii="Calibri" w:hAnsi="Calibri" w:cs="Calibri"/>
                <w:sz w:val="22"/>
                <w:szCs w:val="22"/>
                <w:lang w:eastAsia="es-ES"/>
              </w:rPr>
              <w:t> </w:t>
            </w:r>
          </w:p>
        </w:tc>
        <w:tc>
          <w:tcPr>
            <w:tcW w:w="1000" w:type="pct"/>
            <w:tcBorders>
              <w:top w:val="single" w:sz="4" w:space="0" w:color="BFBFBF"/>
              <w:left w:val="single" w:sz="4" w:space="0" w:color="BFBFBF"/>
              <w:right w:val="single" w:sz="4" w:space="0" w:color="BFBFBF"/>
            </w:tcBorders>
            <w:vAlign w:val="bottom"/>
          </w:tcPr>
          <w:p w:rsidR="004A72E7" w:rsidRPr="001E2F6E" w:rsidRDefault="004A72E7" w:rsidP="00917494">
            <w:pPr>
              <w:spacing w:line="240" w:lineRule="exact"/>
              <w:ind w:right="170"/>
              <w:jc w:val="right"/>
              <w:rPr>
                <w:rFonts w:ascii="Calibri" w:hAnsi="Calibri" w:cs="Calibri"/>
                <w:sz w:val="22"/>
                <w:szCs w:val="22"/>
                <w:lang w:eastAsia="es-ES"/>
              </w:rPr>
            </w:pPr>
            <w:r w:rsidRPr="001E2F6E">
              <w:rPr>
                <w:rFonts w:ascii="Calibri" w:hAnsi="Calibri" w:cs="Calibri"/>
                <w:sz w:val="22"/>
                <w:szCs w:val="22"/>
                <w:lang w:eastAsia="es-ES"/>
              </w:rPr>
              <w:t> </w:t>
            </w:r>
          </w:p>
        </w:tc>
        <w:tc>
          <w:tcPr>
            <w:tcW w:w="1000" w:type="pct"/>
            <w:tcBorders>
              <w:top w:val="single" w:sz="4" w:space="0" w:color="BFBFBF"/>
              <w:left w:val="single" w:sz="4" w:space="0" w:color="BFBFBF"/>
            </w:tcBorders>
            <w:vAlign w:val="bottom"/>
          </w:tcPr>
          <w:p w:rsidR="004A72E7" w:rsidRPr="001E2F6E" w:rsidRDefault="004A72E7" w:rsidP="00917494">
            <w:pPr>
              <w:spacing w:line="240" w:lineRule="exact"/>
              <w:ind w:right="170"/>
              <w:jc w:val="right"/>
              <w:rPr>
                <w:rFonts w:ascii="Calibri" w:hAnsi="Calibri" w:cs="Calibri"/>
                <w:sz w:val="22"/>
                <w:szCs w:val="22"/>
                <w:lang w:eastAsia="es-ES"/>
              </w:rPr>
            </w:pPr>
            <w:r w:rsidRPr="001E2F6E">
              <w:rPr>
                <w:rFonts w:ascii="Calibri" w:hAnsi="Calibri" w:cs="Calibri"/>
                <w:sz w:val="22"/>
                <w:szCs w:val="22"/>
                <w:lang w:eastAsia="es-ES"/>
              </w:rPr>
              <w:t> </w:t>
            </w:r>
          </w:p>
        </w:tc>
      </w:tr>
      <w:tr w:rsidR="004A72E7" w:rsidRPr="001E2F6E">
        <w:trPr>
          <w:jc w:val="center"/>
        </w:trPr>
        <w:tc>
          <w:tcPr>
            <w:tcW w:w="1000" w:type="pct"/>
            <w:tcBorders>
              <w:right w:val="single" w:sz="4" w:space="0" w:color="BFBFBF"/>
            </w:tcBorders>
            <w:vAlign w:val="bottom"/>
          </w:tcPr>
          <w:p w:rsidR="004A72E7" w:rsidRPr="001E2F6E" w:rsidRDefault="004A72E7" w:rsidP="00A95E68">
            <w:pPr>
              <w:spacing w:line="240" w:lineRule="exact"/>
              <w:rPr>
                <w:sz w:val="16"/>
                <w:szCs w:val="16"/>
                <w:lang w:eastAsia="es-ES"/>
              </w:rPr>
            </w:pPr>
            <w:r w:rsidRPr="001E2F6E">
              <w:rPr>
                <w:sz w:val="16"/>
                <w:szCs w:val="16"/>
                <w:lang w:eastAsia="es-ES"/>
              </w:rPr>
              <w:t>2006</w:t>
            </w:r>
          </w:p>
        </w:tc>
        <w:tc>
          <w:tcPr>
            <w:tcW w:w="1000" w:type="pct"/>
            <w:tcBorders>
              <w:left w:val="single" w:sz="4" w:space="0" w:color="BFBFBF"/>
              <w:right w:val="single" w:sz="4" w:space="0" w:color="BFBFBF"/>
            </w:tcBorders>
            <w:vAlign w:val="bottom"/>
          </w:tcPr>
          <w:p w:rsidR="004A72E7" w:rsidRPr="001E2F6E" w:rsidRDefault="004A72E7" w:rsidP="00917494">
            <w:pPr>
              <w:spacing w:line="240" w:lineRule="exact"/>
              <w:ind w:right="170"/>
              <w:jc w:val="right"/>
              <w:rPr>
                <w:sz w:val="16"/>
                <w:szCs w:val="16"/>
                <w:lang w:eastAsia="es-ES"/>
              </w:rPr>
            </w:pPr>
            <w:r w:rsidRPr="001E2F6E">
              <w:rPr>
                <w:sz w:val="16"/>
                <w:szCs w:val="16"/>
                <w:lang w:eastAsia="es-ES"/>
              </w:rPr>
              <w:t>3.018</w:t>
            </w:r>
          </w:p>
        </w:tc>
        <w:tc>
          <w:tcPr>
            <w:tcW w:w="1000" w:type="pct"/>
            <w:tcBorders>
              <w:left w:val="single" w:sz="4" w:space="0" w:color="BFBFBF"/>
              <w:right w:val="single" w:sz="4" w:space="0" w:color="BFBFBF"/>
            </w:tcBorders>
            <w:vAlign w:val="bottom"/>
          </w:tcPr>
          <w:p w:rsidR="004A72E7" w:rsidRPr="001E2F6E" w:rsidRDefault="004A72E7" w:rsidP="00917494">
            <w:pPr>
              <w:spacing w:line="240" w:lineRule="exact"/>
              <w:ind w:right="170"/>
              <w:jc w:val="right"/>
              <w:rPr>
                <w:sz w:val="16"/>
                <w:szCs w:val="16"/>
                <w:lang w:eastAsia="es-ES"/>
              </w:rPr>
            </w:pPr>
            <w:r w:rsidRPr="001E2F6E">
              <w:rPr>
                <w:sz w:val="16"/>
                <w:szCs w:val="16"/>
                <w:lang w:eastAsia="es-ES"/>
              </w:rPr>
              <w:t>2.080</w:t>
            </w:r>
          </w:p>
        </w:tc>
        <w:tc>
          <w:tcPr>
            <w:tcW w:w="1000" w:type="pct"/>
            <w:tcBorders>
              <w:left w:val="single" w:sz="4" w:space="0" w:color="BFBFBF"/>
              <w:right w:val="single" w:sz="4" w:space="0" w:color="BFBFBF"/>
            </w:tcBorders>
            <w:vAlign w:val="bottom"/>
          </w:tcPr>
          <w:p w:rsidR="004A72E7" w:rsidRPr="001E2F6E" w:rsidRDefault="004A72E7" w:rsidP="00917494">
            <w:pPr>
              <w:spacing w:line="240" w:lineRule="exact"/>
              <w:ind w:right="170"/>
              <w:jc w:val="right"/>
              <w:rPr>
                <w:sz w:val="16"/>
                <w:szCs w:val="16"/>
                <w:lang w:eastAsia="es-ES"/>
              </w:rPr>
            </w:pPr>
            <w:r w:rsidRPr="001E2F6E">
              <w:rPr>
                <w:sz w:val="16"/>
                <w:szCs w:val="16"/>
                <w:lang w:eastAsia="es-ES"/>
              </w:rPr>
              <w:t>919</w:t>
            </w:r>
          </w:p>
        </w:tc>
        <w:tc>
          <w:tcPr>
            <w:tcW w:w="1000" w:type="pct"/>
            <w:tcBorders>
              <w:left w:val="single" w:sz="4" w:space="0" w:color="BFBFBF"/>
            </w:tcBorders>
            <w:vAlign w:val="bottom"/>
          </w:tcPr>
          <w:p w:rsidR="004A72E7" w:rsidRPr="001E2F6E" w:rsidRDefault="004A72E7" w:rsidP="00917494">
            <w:pPr>
              <w:spacing w:line="240" w:lineRule="exact"/>
              <w:ind w:right="170"/>
              <w:jc w:val="right"/>
              <w:rPr>
                <w:sz w:val="16"/>
                <w:szCs w:val="16"/>
                <w:lang w:eastAsia="es-ES"/>
              </w:rPr>
            </w:pPr>
            <w:r w:rsidRPr="001E2F6E">
              <w:rPr>
                <w:sz w:val="16"/>
                <w:szCs w:val="16"/>
                <w:lang w:eastAsia="es-ES"/>
              </w:rPr>
              <w:t>1.161</w:t>
            </w:r>
          </w:p>
        </w:tc>
      </w:tr>
      <w:tr w:rsidR="004A72E7" w:rsidRPr="001E2F6E">
        <w:trPr>
          <w:jc w:val="center"/>
        </w:trPr>
        <w:tc>
          <w:tcPr>
            <w:tcW w:w="1000" w:type="pct"/>
            <w:tcBorders>
              <w:right w:val="single" w:sz="4" w:space="0" w:color="BFBFBF"/>
            </w:tcBorders>
            <w:vAlign w:val="bottom"/>
          </w:tcPr>
          <w:p w:rsidR="004A72E7" w:rsidRPr="001E2F6E" w:rsidRDefault="004A72E7" w:rsidP="00A95E68">
            <w:pPr>
              <w:spacing w:line="240" w:lineRule="exact"/>
              <w:rPr>
                <w:sz w:val="16"/>
                <w:szCs w:val="16"/>
                <w:lang w:eastAsia="es-ES"/>
              </w:rPr>
            </w:pPr>
            <w:r w:rsidRPr="001E2F6E">
              <w:rPr>
                <w:sz w:val="16"/>
                <w:szCs w:val="16"/>
                <w:lang w:eastAsia="es-ES"/>
              </w:rPr>
              <w:t>2008</w:t>
            </w:r>
          </w:p>
        </w:tc>
        <w:tc>
          <w:tcPr>
            <w:tcW w:w="1000" w:type="pct"/>
            <w:tcBorders>
              <w:left w:val="single" w:sz="4" w:space="0" w:color="BFBFBF"/>
              <w:right w:val="single" w:sz="4" w:space="0" w:color="BFBFBF"/>
            </w:tcBorders>
            <w:vAlign w:val="bottom"/>
          </w:tcPr>
          <w:p w:rsidR="004A72E7" w:rsidRPr="001E2F6E" w:rsidRDefault="004A72E7" w:rsidP="00917494">
            <w:pPr>
              <w:spacing w:line="240" w:lineRule="exact"/>
              <w:ind w:right="170"/>
              <w:jc w:val="right"/>
              <w:rPr>
                <w:sz w:val="16"/>
                <w:szCs w:val="16"/>
                <w:lang w:eastAsia="es-ES"/>
              </w:rPr>
            </w:pPr>
            <w:r w:rsidRPr="001E2F6E">
              <w:rPr>
                <w:sz w:val="16"/>
                <w:szCs w:val="16"/>
                <w:lang w:eastAsia="es-ES"/>
              </w:rPr>
              <w:t>2.718</w:t>
            </w:r>
          </w:p>
        </w:tc>
        <w:tc>
          <w:tcPr>
            <w:tcW w:w="1000" w:type="pct"/>
            <w:tcBorders>
              <w:left w:val="single" w:sz="4" w:space="0" w:color="BFBFBF"/>
              <w:right w:val="single" w:sz="4" w:space="0" w:color="BFBFBF"/>
            </w:tcBorders>
            <w:vAlign w:val="bottom"/>
          </w:tcPr>
          <w:p w:rsidR="004A72E7" w:rsidRPr="001E2F6E" w:rsidRDefault="004A72E7" w:rsidP="00917494">
            <w:pPr>
              <w:spacing w:line="240" w:lineRule="exact"/>
              <w:ind w:right="170"/>
              <w:jc w:val="right"/>
              <w:rPr>
                <w:sz w:val="16"/>
                <w:szCs w:val="16"/>
                <w:lang w:eastAsia="es-ES"/>
              </w:rPr>
            </w:pPr>
            <w:r w:rsidRPr="001E2F6E">
              <w:rPr>
                <w:sz w:val="16"/>
                <w:szCs w:val="16"/>
                <w:lang w:eastAsia="es-ES"/>
              </w:rPr>
              <w:t>2.088</w:t>
            </w:r>
          </w:p>
        </w:tc>
        <w:tc>
          <w:tcPr>
            <w:tcW w:w="1000" w:type="pct"/>
            <w:tcBorders>
              <w:left w:val="single" w:sz="4" w:space="0" w:color="BFBFBF"/>
              <w:right w:val="single" w:sz="4" w:space="0" w:color="BFBFBF"/>
            </w:tcBorders>
            <w:vAlign w:val="bottom"/>
          </w:tcPr>
          <w:p w:rsidR="004A72E7" w:rsidRPr="001E2F6E" w:rsidRDefault="004A72E7" w:rsidP="00917494">
            <w:pPr>
              <w:spacing w:line="240" w:lineRule="exact"/>
              <w:ind w:right="170"/>
              <w:jc w:val="right"/>
              <w:rPr>
                <w:sz w:val="16"/>
                <w:szCs w:val="16"/>
                <w:lang w:eastAsia="es-ES"/>
              </w:rPr>
            </w:pPr>
            <w:r w:rsidRPr="001E2F6E">
              <w:rPr>
                <w:sz w:val="16"/>
                <w:szCs w:val="16"/>
                <w:lang w:eastAsia="es-ES"/>
              </w:rPr>
              <w:t>1.076</w:t>
            </w:r>
          </w:p>
        </w:tc>
        <w:tc>
          <w:tcPr>
            <w:tcW w:w="1000" w:type="pct"/>
            <w:tcBorders>
              <w:left w:val="single" w:sz="4" w:space="0" w:color="BFBFBF"/>
            </w:tcBorders>
            <w:vAlign w:val="bottom"/>
          </w:tcPr>
          <w:p w:rsidR="004A72E7" w:rsidRPr="001E2F6E" w:rsidRDefault="004A72E7" w:rsidP="00917494">
            <w:pPr>
              <w:spacing w:line="240" w:lineRule="exact"/>
              <w:ind w:right="170"/>
              <w:jc w:val="right"/>
              <w:rPr>
                <w:sz w:val="16"/>
                <w:szCs w:val="16"/>
                <w:lang w:eastAsia="es-ES"/>
              </w:rPr>
            </w:pPr>
            <w:r w:rsidRPr="001E2F6E">
              <w:rPr>
                <w:sz w:val="16"/>
                <w:szCs w:val="16"/>
                <w:lang w:eastAsia="es-ES"/>
              </w:rPr>
              <w:t>1.012</w:t>
            </w:r>
          </w:p>
        </w:tc>
      </w:tr>
      <w:tr w:rsidR="004A72E7" w:rsidRPr="001E2F6E">
        <w:trPr>
          <w:jc w:val="center"/>
        </w:trPr>
        <w:tc>
          <w:tcPr>
            <w:tcW w:w="1000" w:type="pct"/>
            <w:tcBorders>
              <w:right w:val="single" w:sz="4" w:space="0" w:color="BFBFBF"/>
            </w:tcBorders>
            <w:vAlign w:val="bottom"/>
          </w:tcPr>
          <w:p w:rsidR="004A72E7" w:rsidRPr="001E2F6E" w:rsidRDefault="004A72E7" w:rsidP="00A95E68">
            <w:pPr>
              <w:spacing w:line="240" w:lineRule="exact"/>
              <w:rPr>
                <w:sz w:val="16"/>
                <w:szCs w:val="16"/>
                <w:lang w:eastAsia="es-ES"/>
              </w:rPr>
            </w:pPr>
            <w:r w:rsidRPr="001E2F6E">
              <w:rPr>
                <w:sz w:val="16"/>
                <w:szCs w:val="16"/>
                <w:lang w:eastAsia="es-ES"/>
              </w:rPr>
              <w:t>2010</w:t>
            </w:r>
          </w:p>
        </w:tc>
        <w:tc>
          <w:tcPr>
            <w:tcW w:w="1000" w:type="pct"/>
            <w:tcBorders>
              <w:left w:val="single" w:sz="4" w:space="0" w:color="BFBFBF"/>
              <w:right w:val="single" w:sz="4" w:space="0" w:color="BFBFBF"/>
            </w:tcBorders>
            <w:vAlign w:val="bottom"/>
          </w:tcPr>
          <w:p w:rsidR="004A72E7" w:rsidRPr="001E2F6E" w:rsidRDefault="004A72E7" w:rsidP="00917494">
            <w:pPr>
              <w:spacing w:line="240" w:lineRule="exact"/>
              <w:ind w:right="170"/>
              <w:jc w:val="right"/>
              <w:rPr>
                <w:sz w:val="16"/>
                <w:szCs w:val="16"/>
                <w:lang w:eastAsia="es-ES"/>
              </w:rPr>
            </w:pPr>
            <w:r w:rsidRPr="001E2F6E">
              <w:rPr>
                <w:sz w:val="16"/>
                <w:szCs w:val="16"/>
                <w:lang w:eastAsia="es-ES"/>
              </w:rPr>
              <w:t>2.879</w:t>
            </w:r>
          </w:p>
        </w:tc>
        <w:tc>
          <w:tcPr>
            <w:tcW w:w="1000" w:type="pct"/>
            <w:tcBorders>
              <w:left w:val="single" w:sz="4" w:space="0" w:color="BFBFBF"/>
              <w:right w:val="single" w:sz="4" w:space="0" w:color="BFBFBF"/>
            </w:tcBorders>
            <w:vAlign w:val="bottom"/>
          </w:tcPr>
          <w:p w:rsidR="004A72E7" w:rsidRPr="001E2F6E" w:rsidRDefault="004A72E7" w:rsidP="00917494">
            <w:pPr>
              <w:spacing w:line="240" w:lineRule="exact"/>
              <w:ind w:right="170"/>
              <w:jc w:val="right"/>
              <w:rPr>
                <w:sz w:val="16"/>
                <w:szCs w:val="16"/>
                <w:lang w:eastAsia="es-ES"/>
              </w:rPr>
            </w:pPr>
            <w:r w:rsidRPr="001E2F6E">
              <w:rPr>
                <w:sz w:val="16"/>
                <w:szCs w:val="16"/>
                <w:lang w:eastAsia="es-ES"/>
              </w:rPr>
              <w:t>1.525</w:t>
            </w:r>
          </w:p>
        </w:tc>
        <w:tc>
          <w:tcPr>
            <w:tcW w:w="1000" w:type="pct"/>
            <w:tcBorders>
              <w:left w:val="single" w:sz="4" w:space="0" w:color="BFBFBF"/>
              <w:right w:val="single" w:sz="4" w:space="0" w:color="BFBFBF"/>
            </w:tcBorders>
            <w:vAlign w:val="bottom"/>
          </w:tcPr>
          <w:p w:rsidR="004A72E7" w:rsidRPr="001E2F6E" w:rsidRDefault="004A72E7" w:rsidP="00917494">
            <w:pPr>
              <w:spacing w:line="240" w:lineRule="exact"/>
              <w:ind w:right="170"/>
              <w:jc w:val="right"/>
              <w:rPr>
                <w:sz w:val="16"/>
                <w:szCs w:val="16"/>
                <w:lang w:eastAsia="es-ES"/>
              </w:rPr>
            </w:pPr>
            <w:r w:rsidRPr="001E2F6E">
              <w:rPr>
                <w:sz w:val="16"/>
                <w:szCs w:val="16"/>
                <w:lang w:eastAsia="es-ES"/>
              </w:rPr>
              <w:t>925</w:t>
            </w:r>
          </w:p>
        </w:tc>
        <w:tc>
          <w:tcPr>
            <w:tcW w:w="1000" w:type="pct"/>
            <w:tcBorders>
              <w:left w:val="single" w:sz="4" w:space="0" w:color="BFBFBF"/>
            </w:tcBorders>
            <w:vAlign w:val="bottom"/>
          </w:tcPr>
          <w:p w:rsidR="004A72E7" w:rsidRPr="001E2F6E" w:rsidRDefault="004A72E7" w:rsidP="00917494">
            <w:pPr>
              <w:spacing w:line="240" w:lineRule="exact"/>
              <w:ind w:right="170"/>
              <w:jc w:val="right"/>
              <w:rPr>
                <w:sz w:val="16"/>
                <w:szCs w:val="16"/>
                <w:lang w:eastAsia="es-ES"/>
              </w:rPr>
            </w:pPr>
            <w:r w:rsidRPr="001E2F6E">
              <w:rPr>
                <w:sz w:val="16"/>
                <w:szCs w:val="16"/>
                <w:lang w:eastAsia="es-ES"/>
              </w:rPr>
              <w:t>600</w:t>
            </w:r>
          </w:p>
        </w:tc>
      </w:tr>
      <w:tr w:rsidR="004A72E7" w:rsidRPr="001E2F6E">
        <w:trPr>
          <w:jc w:val="center"/>
        </w:trPr>
        <w:tc>
          <w:tcPr>
            <w:tcW w:w="1000" w:type="pct"/>
            <w:tcBorders>
              <w:bottom w:val="single" w:sz="4" w:space="0" w:color="BFBFBF"/>
              <w:right w:val="single" w:sz="4" w:space="0" w:color="BFBFBF"/>
            </w:tcBorders>
            <w:vAlign w:val="bottom"/>
          </w:tcPr>
          <w:p w:rsidR="004A72E7" w:rsidRPr="001E2F6E" w:rsidRDefault="004A72E7" w:rsidP="00A95E68">
            <w:pPr>
              <w:spacing w:line="240" w:lineRule="exact"/>
              <w:rPr>
                <w:sz w:val="16"/>
                <w:szCs w:val="16"/>
                <w:lang w:eastAsia="es-ES"/>
              </w:rPr>
            </w:pPr>
            <w:r w:rsidRPr="001E2F6E">
              <w:rPr>
                <w:sz w:val="16"/>
                <w:szCs w:val="16"/>
                <w:lang w:eastAsia="es-ES"/>
              </w:rPr>
              <w:t>2012</w:t>
            </w:r>
          </w:p>
        </w:tc>
        <w:tc>
          <w:tcPr>
            <w:tcW w:w="1000" w:type="pct"/>
            <w:tcBorders>
              <w:left w:val="single" w:sz="4" w:space="0" w:color="BFBFBF"/>
              <w:bottom w:val="single" w:sz="4" w:space="0" w:color="BFBFBF"/>
              <w:right w:val="single" w:sz="4" w:space="0" w:color="BFBFBF"/>
            </w:tcBorders>
            <w:vAlign w:val="bottom"/>
          </w:tcPr>
          <w:p w:rsidR="004A72E7" w:rsidRPr="001E2F6E" w:rsidRDefault="004A72E7" w:rsidP="00917494">
            <w:pPr>
              <w:spacing w:line="240" w:lineRule="exact"/>
              <w:ind w:right="170"/>
              <w:jc w:val="right"/>
              <w:rPr>
                <w:sz w:val="16"/>
                <w:szCs w:val="16"/>
                <w:lang w:eastAsia="es-ES"/>
              </w:rPr>
            </w:pPr>
            <w:r w:rsidRPr="001E2F6E">
              <w:rPr>
                <w:sz w:val="16"/>
                <w:szCs w:val="16"/>
                <w:lang w:eastAsia="es-ES"/>
              </w:rPr>
              <w:t>2.614</w:t>
            </w:r>
          </w:p>
        </w:tc>
        <w:tc>
          <w:tcPr>
            <w:tcW w:w="1000" w:type="pct"/>
            <w:tcBorders>
              <w:left w:val="single" w:sz="4" w:space="0" w:color="BFBFBF"/>
              <w:bottom w:val="single" w:sz="4" w:space="0" w:color="BFBFBF"/>
              <w:right w:val="single" w:sz="4" w:space="0" w:color="BFBFBF"/>
            </w:tcBorders>
            <w:vAlign w:val="bottom"/>
          </w:tcPr>
          <w:p w:rsidR="004A72E7" w:rsidRPr="001E2F6E" w:rsidRDefault="004A72E7" w:rsidP="00917494">
            <w:pPr>
              <w:spacing w:line="240" w:lineRule="exact"/>
              <w:ind w:right="170"/>
              <w:jc w:val="right"/>
              <w:rPr>
                <w:sz w:val="16"/>
                <w:szCs w:val="16"/>
                <w:lang w:eastAsia="es-ES"/>
              </w:rPr>
            </w:pPr>
            <w:r w:rsidRPr="001E2F6E">
              <w:rPr>
                <w:sz w:val="16"/>
                <w:szCs w:val="16"/>
                <w:lang w:eastAsia="es-ES"/>
              </w:rPr>
              <w:t>1.227</w:t>
            </w:r>
          </w:p>
        </w:tc>
        <w:tc>
          <w:tcPr>
            <w:tcW w:w="1000" w:type="pct"/>
            <w:tcBorders>
              <w:left w:val="single" w:sz="4" w:space="0" w:color="BFBFBF"/>
              <w:bottom w:val="single" w:sz="4" w:space="0" w:color="BFBFBF"/>
              <w:right w:val="single" w:sz="4" w:space="0" w:color="BFBFBF"/>
            </w:tcBorders>
            <w:vAlign w:val="bottom"/>
          </w:tcPr>
          <w:p w:rsidR="004A72E7" w:rsidRPr="001E2F6E" w:rsidRDefault="004A72E7" w:rsidP="00917494">
            <w:pPr>
              <w:spacing w:line="240" w:lineRule="exact"/>
              <w:ind w:right="170"/>
              <w:jc w:val="right"/>
              <w:rPr>
                <w:sz w:val="16"/>
                <w:szCs w:val="16"/>
                <w:lang w:eastAsia="es-ES"/>
              </w:rPr>
            </w:pPr>
            <w:r w:rsidRPr="001E2F6E">
              <w:rPr>
                <w:sz w:val="16"/>
                <w:szCs w:val="16"/>
                <w:lang w:eastAsia="es-ES"/>
              </w:rPr>
              <w:t>671</w:t>
            </w:r>
          </w:p>
        </w:tc>
        <w:tc>
          <w:tcPr>
            <w:tcW w:w="1000" w:type="pct"/>
            <w:tcBorders>
              <w:left w:val="single" w:sz="4" w:space="0" w:color="BFBFBF"/>
              <w:bottom w:val="single" w:sz="4" w:space="0" w:color="BFBFBF"/>
            </w:tcBorders>
            <w:vAlign w:val="bottom"/>
          </w:tcPr>
          <w:p w:rsidR="004A72E7" w:rsidRPr="001E2F6E" w:rsidRDefault="004A72E7" w:rsidP="00917494">
            <w:pPr>
              <w:spacing w:line="240" w:lineRule="exact"/>
              <w:ind w:right="170"/>
              <w:jc w:val="right"/>
              <w:rPr>
                <w:sz w:val="16"/>
                <w:szCs w:val="16"/>
                <w:lang w:eastAsia="es-ES"/>
              </w:rPr>
            </w:pPr>
            <w:r w:rsidRPr="001E2F6E">
              <w:rPr>
                <w:sz w:val="16"/>
                <w:szCs w:val="16"/>
                <w:lang w:eastAsia="es-ES"/>
              </w:rPr>
              <w:t>556</w:t>
            </w:r>
          </w:p>
        </w:tc>
      </w:tr>
      <w:tr w:rsidR="004A72E7" w:rsidRPr="001E2F6E">
        <w:trPr>
          <w:jc w:val="center"/>
        </w:trPr>
        <w:tc>
          <w:tcPr>
            <w:tcW w:w="1000" w:type="pct"/>
            <w:tcBorders>
              <w:top w:val="single" w:sz="4" w:space="0" w:color="BFBFBF"/>
              <w:right w:val="single" w:sz="4" w:space="0" w:color="BFBFBF"/>
            </w:tcBorders>
            <w:vAlign w:val="bottom"/>
          </w:tcPr>
          <w:p w:rsidR="004A72E7" w:rsidRPr="001E2F6E" w:rsidRDefault="004A72E7" w:rsidP="00A95E68">
            <w:pPr>
              <w:spacing w:line="240" w:lineRule="exact"/>
              <w:rPr>
                <w:b/>
                <w:bCs/>
                <w:sz w:val="16"/>
                <w:szCs w:val="16"/>
                <w:lang w:eastAsia="es-ES"/>
              </w:rPr>
            </w:pPr>
            <w:r w:rsidRPr="001E2F6E">
              <w:rPr>
                <w:b/>
                <w:bCs/>
                <w:sz w:val="16"/>
                <w:szCs w:val="16"/>
                <w:lang w:val="eu-ES" w:eastAsia="es-ES"/>
              </w:rPr>
              <w:t>GUZTIRA</w:t>
            </w:r>
          </w:p>
        </w:tc>
        <w:tc>
          <w:tcPr>
            <w:tcW w:w="1000" w:type="pct"/>
            <w:tcBorders>
              <w:top w:val="single" w:sz="4" w:space="0" w:color="BFBFBF"/>
              <w:left w:val="single" w:sz="4" w:space="0" w:color="BFBFBF"/>
              <w:right w:val="single" w:sz="4" w:space="0" w:color="BFBFBF"/>
            </w:tcBorders>
            <w:vAlign w:val="bottom"/>
          </w:tcPr>
          <w:p w:rsidR="004A72E7" w:rsidRPr="001E2F6E" w:rsidRDefault="004A72E7" w:rsidP="00917494">
            <w:pPr>
              <w:spacing w:line="240" w:lineRule="exact"/>
              <w:ind w:right="170"/>
              <w:jc w:val="right"/>
              <w:rPr>
                <w:sz w:val="16"/>
                <w:szCs w:val="16"/>
                <w:lang w:eastAsia="es-ES"/>
              </w:rPr>
            </w:pPr>
            <w:r w:rsidRPr="001E2F6E">
              <w:rPr>
                <w:sz w:val="16"/>
                <w:szCs w:val="16"/>
                <w:lang w:eastAsia="es-ES"/>
              </w:rPr>
              <w:t> </w:t>
            </w:r>
          </w:p>
        </w:tc>
        <w:tc>
          <w:tcPr>
            <w:tcW w:w="1000" w:type="pct"/>
            <w:tcBorders>
              <w:top w:val="single" w:sz="4" w:space="0" w:color="BFBFBF"/>
              <w:left w:val="single" w:sz="4" w:space="0" w:color="BFBFBF"/>
              <w:right w:val="single" w:sz="4" w:space="0" w:color="BFBFBF"/>
            </w:tcBorders>
            <w:vAlign w:val="bottom"/>
          </w:tcPr>
          <w:p w:rsidR="004A72E7" w:rsidRPr="001E2F6E" w:rsidRDefault="004A72E7" w:rsidP="00917494">
            <w:pPr>
              <w:spacing w:line="240" w:lineRule="exact"/>
              <w:ind w:right="170"/>
              <w:jc w:val="right"/>
              <w:rPr>
                <w:sz w:val="16"/>
                <w:szCs w:val="16"/>
                <w:lang w:eastAsia="es-ES"/>
              </w:rPr>
            </w:pPr>
            <w:r w:rsidRPr="001E2F6E">
              <w:rPr>
                <w:sz w:val="16"/>
                <w:szCs w:val="16"/>
                <w:lang w:eastAsia="es-ES"/>
              </w:rPr>
              <w:t> </w:t>
            </w:r>
          </w:p>
        </w:tc>
        <w:tc>
          <w:tcPr>
            <w:tcW w:w="1000" w:type="pct"/>
            <w:tcBorders>
              <w:top w:val="single" w:sz="4" w:space="0" w:color="BFBFBF"/>
              <w:left w:val="single" w:sz="4" w:space="0" w:color="BFBFBF"/>
              <w:right w:val="single" w:sz="4" w:space="0" w:color="BFBFBF"/>
            </w:tcBorders>
            <w:vAlign w:val="bottom"/>
          </w:tcPr>
          <w:p w:rsidR="004A72E7" w:rsidRPr="001E2F6E" w:rsidRDefault="004A72E7" w:rsidP="00917494">
            <w:pPr>
              <w:spacing w:line="240" w:lineRule="exact"/>
              <w:ind w:right="170"/>
              <w:jc w:val="right"/>
              <w:rPr>
                <w:sz w:val="16"/>
                <w:szCs w:val="16"/>
                <w:lang w:eastAsia="es-ES"/>
              </w:rPr>
            </w:pPr>
            <w:r w:rsidRPr="001E2F6E">
              <w:rPr>
                <w:sz w:val="16"/>
                <w:szCs w:val="16"/>
                <w:lang w:eastAsia="es-ES"/>
              </w:rPr>
              <w:t> </w:t>
            </w:r>
          </w:p>
        </w:tc>
        <w:tc>
          <w:tcPr>
            <w:tcW w:w="1000" w:type="pct"/>
            <w:tcBorders>
              <w:top w:val="single" w:sz="4" w:space="0" w:color="BFBFBF"/>
              <w:left w:val="single" w:sz="4" w:space="0" w:color="BFBFBF"/>
            </w:tcBorders>
            <w:vAlign w:val="bottom"/>
          </w:tcPr>
          <w:p w:rsidR="004A72E7" w:rsidRPr="001E2F6E" w:rsidRDefault="004A72E7" w:rsidP="00917494">
            <w:pPr>
              <w:spacing w:line="240" w:lineRule="exact"/>
              <w:ind w:right="170"/>
              <w:jc w:val="right"/>
              <w:rPr>
                <w:sz w:val="16"/>
                <w:szCs w:val="16"/>
                <w:lang w:eastAsia="es-ES"/>
              </w:rPr>
            </w:pPr>
            <w:r w:rsidRPr="001E2F6E">
              <w:rPr>
                <w:sz w:val="16"/>
                <w:szCs w:val="16"/>
                <w:lang w:eastAsia="es-ES"/>
              </w:rPr>
              <w:t> </w:t>
            </w:r>
          </w:p>
        </w:tc>
      </w:tr>
      <w:tr w:rsidR="004A72E7" w:rsidRPr="001E2F6E">
        <w:trPr>
          <w:jc w:val="center"/>
        </w:trPr>
        <w:tc>
          <w:tcPr>
            <w:tcW w:w="1000" w:type="pct"/>
            <w:tcBorders>
              <w:right w:val="single" w:sz="4" w:space="0" w:color="BFBFBF"/>
            </w:tcBorders>
            <w:vAlign w:val="bottom"/>
          </w:tcPr>
          <w:p w:rsidR="004A72E7" w:rsidRPr="001E2F6E" w:rsidRDefault="004A72E7" w:rsidP="00A95E68">
            <w:pPr>
              <w:spacing w:line="240" w:lineRule="exact"/>
              <w:rPr>
                <w:sz w:val="16"/>
                <w:szCs w:val="16"/>
                <w:lang w:eastAsia="es-ES"/>
              </w:rPr>
            </w:pPr>
            <w:r w:rsidRPr="001E2F6E">
              <w:rPr>
                <w:sz w:val="16"/>
                <w:szCs w:val="16"/>
                <w:lang w:eastAsia="es-ES"/>
              </w:rPr>
              <w:t>2006</w:t>
            </w:r>
          </w:p>
        </w:tc>
        <w:tc>
          <w:tcPr>
            <w:tcW w:w="1000" w:type="pct"/>
            <w:tcBorders>
              <w:left w:val="single" w:sz="4" w:space="0" w:color="BFBFBF"/>
              <w:right w:val="single" w:sz="4" w:space="0" w:color="BFBFBF"/>
            </w:tcBorders>
            <w:vAlign w:val="bottom"/>
          </w:tcPr>
          <w:p w:rsidR="004A72E7" w:rsidRPr="001E2F6E" w:rsidRDefault="004A72E7" w:rsidP="00917494">
            <w:pPr>
              <w:spacing w:line="240" w:lineRule="exact"/>
              <w:ind w:right="170"/>
              <w:jc w:val="right"/>
              <w:rPr>
                <w:b/>
                <w:bCs/>
                <w:sz w:val="16"/>
                <w:szCs w:val="16"/>
                <w:lang w:eastAsia="es-ES"/>
              </w:rPr>
            </w:pPr>
            <w:r w:rsidRPr="001E2F6E">
              <w:rPr>
                <w:b/>
                <w:bCs/>
                <w:sz w:val="16"/>
                <w:szCs w:val="16"/>
                <w:lang w:eastAsia="es-ES"/>
              </w:rPr>
              <w:t>41.906</w:t>
            </w:r>
          </w:p>
        </w:tc>
        <w:tc>
          <w:tcPr>
            <w:tcW w:w="1000" w:type="pct"/>
            <w:tcBorders>
              <w:left w:val="single" w:sz="4" w:space="0" w:color="BFBFBF"/>
              <w:right w:val="single" w:sz="4" w:space="0" w:color="BFBFBF"/>
            </w:tcBorders>
            <w:vAlign w:val="bottom"/>
          </w:tcPr>
          <w:p w:rsidR="004A72E7" w:rsidRPr="001E2F6E" w:rsidRDefault="004A72E7" w:rsidP="00917494">
            <w:pPr>
              <w:spacing w:line="240" w:lineRule="exact"/>
              <w:ind w:right="170"/>
              <w:jc w:val="right"/>
              <w:rPr>
                <w:b/>
                <w:bCs/>
                <w:sz w:val="16"/>
                <w:szCs w:val="16"/>
                <w:lang w:eastAsia="es-ES"/>
              </w:rPr>
            </w:pPr>
            <w:r w:rsidRPr="001E2F6E">
              <w:rPr>
                <w:b/>
                <w:bCs/>
                <w:sz w:val="16"/>
                <w:szCs w:val="16"/>
                <w:lang w:eastAsia="es-ES"/>
              </w:rPr>
              <w:t>21.573</w:t>
            </w:r>
          </w:p>
        </w:tc>
        <w:tc>
          <w:tcPr>
            <w:tcW w:w="1000" w:type="pct"/>
            <w:tcBorders>
              <w:left w:val="single" w:sz="4" w:space="0" w:color="BFBFBF"/>
              <w:right w:val="single" w:sz="4" w:space="0" w:color="BFBFBF"/>
            </w:tcBorders>
            <w:vAlign w:val="bottom"/>
          </w:tcPr>
          <w:p w:rsidR="004A72E7" w:rsidRPr="001E2F6E" w:rsidRDefault="004A72E7" w:rsidP="00917494">
            <w:pPr>
              <w:spacing w:line="240" w:lineRule="exact"/>
              <w:ind w:right="170"/>
              <w:jc w:val="right"/>
              <w:rPr>
                <w:b/>
                <w:bCs/>
                <w:sz w:val="16"/>
                <w:szCs w:val="16"/>
                <w:lang w:eastAsia="es-ES"/>
              </w:rPr>
            </w:pPr>
            <w:r w:rsidRPr="001E2F6E">
              <w:rPr>
                <w:b/>
                <w:bCs/>
                <w:sz w:val="16"/>
                <w:szCs w:val="16"/>
                <w:lang w:eastAsia="es-ES"/>
              </w:rPr>
              <w:t>7.884</w:t>
            </w:r>
          </w:p>
        </w:tc>
        <w:tc>
          <w:tcPr>
            <w:tcW w:w="1000" w:type="pct"/>
            <w:tcBorders>
              <w:left w:val="single" w:sz="4" w:space="0" w:color="BFBFBF"/>
            </w:tcBorders>
            <w:vAlign w:val="bottom"/>
          </w:tcPr>
          <w:p w:rsidR="004A72E7" w:rsidRPr="001E2F6E" w:rsidRDefault="004A72E7" w:rsidP="00917494">
            <w:pPr>
              <w:spacing w:line="240" w:lineRule="exact"/>
              <w:ind w:right="170"/>
              <w:jc w:val="right"/>
              <w:rPr>
                <w:b/>
                <w:bCs/>
                <w:sz w:val="16"/>
                <w:szCs w:val="16"/>
                <w:lang w:eastAsia="es-ES"/>
              </w:rPr>
            </w:pPr>
            <w:r w:rsidRPr="001E2F6E">
              <w:rPr>
                <w:b/>
                <w:bCs/>
                <w:sz w:val="16"/>
                <w:szCs w:val="16"/>
                <w:lang w:eastAsia="es-ES"/>
              </w:rPr>
              <w:t>13.689</w:t>
            </w:r>
          </w:p>
        </w:tc>
      </w:tr>
      <w:tr w:rsidR="004A72E7" w:rsidRPr="001E2F6E">
        <w:trPr>
          <w:jc w:val="center"/>
        </w:trPr>
        <w:tc>
          <w:tcPr>
            <w:tcW w:w="1000" w:type="pct"/>
            <w:tcBorders>
              <w:right w:val="single" w:sz="4" w:space="0" w:color="BFBFBF"/>
            </w:tcBorders>
            <w:vAlign w:val="bottom"/>
          </w:tcPr>
          <w:p w:rsidR="004A72E7" w:rsidRPr="001E2F6E" w:rsidRDefault="004A72E7" w:rsidP="00A95E68">
            <w:pPr>
              <w:spacing w:line="240" w:lineRule="exact"/>
              <w:rPr>
                <w:sz w:val="16"/>
                <w:szCs w:val="16"/>
                <w:lang w:eastAsia="es-ES"/>
              </w:rPr>
            </w:pPr>
            <w:r w:rsidRPr="001E2F6E">
              <w:rPr>
                <w:sz w:val="16"/>
                <w:szCs w:val="16"/>
                <w:lang w:eastAsia="es-ES"/>
              </w:rPr>
              <w:t>2008</w:t>
            </w:r>
          </w:p>
        </w:tc>
        <w:tc>
          <w:tcPr>
            <w:tcW w:w="1000" w:type="pct"/>
            <w:tcBorders>
              <w:left w:val="single" w:sz="4" w:space="0" w:color="BFBFBF"/>
              <w:right w:val="single" w:sz="4" w:space="0" w:color="BFBFBF"/>
            </w:tcBorders>
            <w:vAlign w:val="bottom"/>
          </w:tcPr>
          <w:p w:rsidR="004A72E7" w:rsidRPr="001E2F6E" w:rsidRDefault="004A72E7" w:rsidP="00917494">
            <w:pPr>
              <w:spacing w:line="240" w:lineRule="exact"/>
              <w:ind w:right="170"/>
              <w:jc w:val="right"/>
              <w:rPr>
                <w:b/>
                <w:bCs/>
                <w:sz w:val="16"/>
                <w:szCs w:val="16"/>
                <w:lang w:eastAsia="es-ES"/>
              </w:rPr>
            </w:pPr>
            <w:r w:rsidRPr="001E2F6E">
              <w:rPr>
                <w:b/>
                <w:bCs/>
                <w:sz w:val="16"/>
                <w:szCs w:val="16"/>
                <w:lang w:eastAsia="es-ES"/>
              </w:rPr>
              <w:t>41.869</w:t>
            </w:r>
          </w:p>
        </w:tc>
        <w:tc>
          <w:tcPr>
            <w:tcW w:w="1000" w:type="pct"/>
            <w:tcBorders>
              <w:left w:val="single" w:sz="4" w:space="0" w:color="BFBFBF"/>
              <w:right w:val="single" w:sz="4" w:space="0" w:color="BFBFBF"/>
            </w:tcBorders>
            <w:vAlign w:val="bottom"/>
          </w:tcPr>
          <w:p w:rsidR="004A72E7" w:rsidRPr="001E2F6E" w:rsidRDefault="004A72E7" w:rsidP="00917494">
            <w:pPr>
              <w:spacing w:line="240" w:lineRule="exact"/>
              <w:ind w:right="170"/>
              <w:jc w:val="right"/>
              <w:rPr>
                <w:b/>
                <w:bCs/>
                <w:sz w:val="16"/>
                <w:szCs w:val="16"/>
                <w:lang w:eastAsia="es-ES"/>
              </w:rPr>
            </w:pPr>
            <w:r w:rsidRPr="001E2F6E">
              <w:rPr>
                <w:b/>
                <w:bCs/>
                <w:sz w:val="16"/>
                <w:szCs w:val="16"/>
                <w:lang w:eastAsia="es-ES"/>
              </w:rPr>
              <w:t>20.747</w:t>
            </w:r>
          </w:p>
        </w:tc>
        <w:tc>
          <w:tcPr>
            <w:tcW w:w="1000" w:type="pct"/>
            <w:tcBorders>
              <w:left w:val="single" w:sz="4" w:space="0" w:color="BFBFBF"/>
              <w:right w:val="single" w:sz="4" w:space="0" w:color="BFBFBF"/>
            </w:tcBorders>
            <w:vAlign w:val="bottom"/>
          </w:tcPr>
          <w:p w:rsidR="004A72E7" w:rsidRPr="001E2F6E" w:rsidRDefault="004A72E7" w:rsidP="00917494">
            <w:pPr>
              <w:spacing w:line="240" w:lineRule="exact"/>
              <w:ind w:right="170"/>
              <w:jc w:val="right"/>
              <w:rPr>
                <w:b/>
                <w:bCs/>
                <w:sz w:val="16"/>
                <w:szCs w:val="16"/>
                <w:lang w:eastAsia="es-ES"/>
              </w:rPr>
            </w:pPr>
            <w:r w:rsidRPr="001E2F6E">
              <w:rPr>
                <w:b/>
                <w:bCs/>
                <w:sz w:val="16"/>
                <w:szCs w:val="16"/>
                <w:lang w:eastAsia="es-ES"/>
              </w:rPr>
              <w:t>9.898</w:t>
            </w:r>
          </w:p>
        </w:tc>
        <w:tc>
          <w:tcPr>
            <w:tcW w:w="1000" w:type="pct"/>
            <w:tcBorders>
              <w:left w:val="single" w:sz="4" w:space="0" w:color="BFBFBF"/>
            </w:tcBorders>
            <w:vAlign w:val="bottom"/>
          </w:tcPr>
          <w:p w:rsidR="004A72E7" w:rsidRPr="001E2F6E" w:rsidRDefault="004A72E7" w:rsidP="00917494">
            <w:pPr>
              <w:spacing w:line="240" w:lineRule="exact"/>
              <w:ind w:right="170"/>
              <w:jc w:val="right"/>
              <w:rPr>
                <w:b/>
                <w:bCs/>
                <w:sz w:val="16"/>
                <w:szCs w:val="16"/>
                <w:lang w:eastAsia="es-ES"/>
              </w:rPr>
            </w:pPr>
            <w:r w:rsidRPr="001E2F6E">
              <w:rPr>
                <w:b/>
                <w:bCs/>
                <w:sz w:val="16"/>
                <w:szCs w:val="16"/>
                <w:lang w:eastAsia="es-ES"/>
              </w:rPr>
              <w:t>10.849</w:t>
            </w:r>
          </w:p>
        </w:tc>
      </w:tr>
      <w:tr w:rsidR="004A72E7" w:rsidRPr="001E2F6E">
        <w:trPr>
          <w:jc w:val="center"/>
        </w:trPr>
        <w:tc>
          <w:tcPr>
            <w:tcW w:w="1000" w:type="pct"/>
            <w:tcBorders>
              <w:right w:val="single" w:sz="4" w:space="0" w:color="BFBFBF"/>
            </w:tcBorders>
            <w:vAlign w:val="bottom"/>
          </w:tcPr>
          <w:p w:rsidR="004A72E7" w:rsidRPr="001E2F6E" w:rsidRDefault="004A72E7" w:rsidP="00A95E68">
            <w:pPr>
              <w:spacing w:line="240" w:lineRule="exact"/>
              <w:rPr>
                <w:sz w:val="16"/>
                <w:szCs w:val="16"/>
                <w:lang w:eastAsia="es-ES"/>
              </w:rPr>
            </w:pPr>
            <w:r w:rsidRPr="001E2F6E">
              <w:rPr>
                <w:sz w:val="16"/>
                <w:szCs w:val="16"/>
                <w:lang w:eastAsia="es-ES"/>
              </w:rPr>
              <w:t>2010</w:t>
            </w:r>
          </w:p>
        </w:tc>
        <w:tc>
          <w:tcPr>
            <w:tcW w:w="1000" w:type="pct"/>
            <w:tcBorders>
              <w:left w:val="single" w:sz="4" w:space="0" w:color="BFBFBF"/>
              <w:right w:val="single" w:sz="4" w:space="0" w:color="BFBFBF"/>
            </w:tcBorders>
            <w:vAlign w:val="bottom"/>
          </w:tcPr>
          <w:p w:rsidR="004A72E7" w:rsidRPr="001E2F6E" w:rsidRDefault="004A72E7" w:rsidP="00917494">
            <w:pPr>
              <w:spacing w:line="240" w:lineRule="exact"/>
              <w:ind w:right="170"/>
              <w:jc w:val="right"/>
              <w:rPr>
                <w:b/>
                <w:bCs/>
                <w:sz w:val="16"/>
                <w:szCs w:val="16"/>
                <w:lang w:eastAsia="es-ES"/>
              </w:rPr>
            </w:pPr>
            <w:r w:rsidRPr="001E2F6E">
              <w:rPr>
                <w:b/>
                <w:bCs/>
                <w:sz w:val="16"/>
                <w:szCs w:val="16"/>
                <w:lang w:eastAsia="es-ES"/>
              </w:rPr>
              <w:t>39.366</w:t>
            </w:r>
          </w:p>
        </w:tc>
        <w:tc>
          <w:tcPr>
            <w:tcW w:w="1000" w:type="pct"/>
            <w:tcBorders>
              <w:left w:val="single" w:sz="4" w:space="0" w:color="BFBFBF"/>
              <w:right w:val="single" w:sz="4" w:space="0" w:color="BFBFBF"/>
            </w:tcBorders>
            <w:vAlign w:val="bottom"/>
          </w:tcPr>
          <w:p w:rsidR="004A72E7" w:rsidRPr="001E2F6E" w:rsidRDefault="004A72E7" w:rsidP="00917494">
            <w:pPr>
              <w:spacing w:line="240" w:lineRule="exact"/>
              <w:ind w:right="170"/>
              <w:jc w:val="right"/>
              <w:rPr>
                <w:b/>
                <w:bCs/>
                <w:sz w:val="16"/>
                <w:szCs w:val="16"/>
                <w:lang w:eastAsia="es-ES"/>
              </w:rPr>
            </w:pPr>
            <w:r w:rsidRPr="001E2F6E">
              <w:rPr>
                <w:b/>
                <w:bCs/>
                <w:sz w:val="16"/>
                <w:szCs w:val="16"/>
                <w:lang w:eastAsia="es-ES"/>
              </w:rPr>
              <w:t>20.550</w:t>
            </w:r>
          </w:p>
        </w:tc>
        <w:tc>
          <w:tcPr>
            <w:tcW w:w="1000" w:type="pct"/>
            <w:tcBorders>
              <w:left w:val="single" w:sz="4" w:space="0" w:color="BFBFBF"/>
              <w:right w:val="single" w:sz="4" w:space="0" w:color="BFBFBF"/>
            </w:tcBorders>
            <w:vAlign w:val="bottom"/>
          </w:tcPr>
          <w:p w:rsidR="004A72E7" w:rsidRPr="001E2F6E" w:rsidRDefault="004A72E7" w:rsidP="00917494">
            <w:pPr>
              <w:spacing w:line="240" w:lineRule="exact"/>
              <w:ind w:right="170"/>
              <w:jc w:val="right"/>
              <w:rPr>
                <w:b/>
                <w:bCs/>
                <w:sz w:val="16"/>
                <w:szCs w:val="16"/>
                <w:lang w:eastAsia="es-ES"/>
              </w:rPr>
            </w:pPr>
            <w:r w:rsidRPr="001E2F6E">
              <w:rPr>
                <w:b/>
                <w:bCs/>
                <w:sz w:val="16"/>
                <w:szCs w:val="16"/>
                <w:lang w:eastAsia="es-ES"/>
              </w:rPr>
              <w:t>12.241</w:t>
            </w:r>
          </w:p>
        </w:tc>
        <w:tc>
          <w:tcPr>
            <w:tcW w:w="1000" w:type="pct"/>
            <w:tcBorders>
              <w:left w:val="single" w:sz="4" w:space="0" w:color="BFBFBF"/>
            </w:tcBorders>
            <w:vAlign w:val="bottom"/>
          </w:tcPr>
          <w:p w:rsidR="004A72E7" w:rsidRPr="001E2F6E" w:rsidRDefault="004A72E7" w:rsidP="00917494">
            <w:pPr>
              <w:spacing w:line="240" w:lineRule="exact"/>
              <w:ind w:right="170"/>
              <w:jc w:val="right"/>
              <w:rPr>
                <w:b/>
                <w:bCs/>
                <w:sz w:val="16"/>
                <w:szCs w:val="16"/>
                <w:lang w:eastAsia="es-ES"/>
              </w:rPr>
            </w:pPr>
            <w:r w:rsidRPr="001E2F6E">
              <w:rPr>
                <w:b/>
                <w:bCs/>
                <w:sz w:val="16"/>
                <w:szCs w:val="16"/>
                <w:lang w:eastAsia="es-ES"/>
              </w:rPr>
              <w:t>8.309</w:t>
            </w:r>
          </w:p>
        </w:tc>
      </w:tr>
      <w:tr w:rsidR="004A72E7" w:rsidRPr="001E2F6E">
        <w:trPr>
          <w:jc w:val="center"/>
        </w:trPr>
        <w:tc>
          <w:tcPr>
            <w:tcW w:w="1000" w:type="pct"/>
            <w:tcBorders>
              <w:bottom w:val="single" w:sz="4" w:space="0" w:color="BFBFBF"/>
              <w:right w:val="single" w:sz="4" w:space="0" w:color="BFBFBF"/>
            </w:tcBorders>
            <w:vAlign w:val="bottom"/>
          </w:tcPr>
          <w:p w:rsidR="004A72E7" w:rsidRPr="001E2F6E" w:rsidRDefault="004A72E7" w:rsidP="00A95E68">
            <w:pPr>
              <w:spacing w:line="240" w:lineRule="exact"/>
              <w:rPr>
                <w:sz w:val="16"/>
                <w:szCs w:val="16"/>
                <w:lang w:eastAsia="es-ES"/>
              </w:rPr>
            </w:pPr>
            <w:r w:rsidRPr="001E2F6E">
              <w:rPr>
                <w:sz w:val="16"/>
                <w:szCs w:val="16"/>
                <w:lang w:eastAsia="es-ES"/>
              </w:rPr>
              <w:t>2012</w:t>
            </w:r>
          </w:p>
        </w:tc>
        <w:tc>
          <w:tcPr>
            <w:tcW w:w="1000" w:type="pct"/>
            <w:tcBorders>
              <w:left w:val="single" w:sz="4" w:space="0" w:color="BFBFBF"/>
              <w:bottom w:val="single" w:sz="4" w:space="0" w:color="BFBFBF"/>
              <w:right w:val="single" w:sz="4" w:space="0" w:color="BFBFBF"/>
            </w:tcBorders>
            <w:vAlign w:val="bottom"/>
          </w:tcPr>
          <w:p w:rsidR="004A72E7" w:rsidRPr="001E2F6E" w:rsidRDefault="004A72E7" w:rsidP="00917494">
            <w:pPr>
              <w:spacing w:line="240" w:lineRule="exact"/>
              <w:ind w:right="170"/>
              <w:jc w:val="right"/>
              <w:rPr>
                <w:b/>
                <w:bCs/>
                <w:sz w:val="16"/>
                <w:szCs w:val="16"/>
                <w:lang w:eastAsia="es-ES"/>
              </w:rPr>
            </w:pPr>
            <w:r w:rsidRPr="001E2F6E">
              <w:rPr>
                <w:b/>
                <w:bCs/>
                <w:sz w:val="16"/>
                <w:szCs w:val="16"/>
                <w:lang w:eastAsia="es-ES"/>
              </w:rPr>
              <w:t>39.242</w:t>
            </w:r>
          </w:p>
        </w:tc>
        <w:tc>
          <w:tcPr>
            <w:tcW w:w="1000" w:type="pct"/>
            <w:tcBorders>
              <w:left w:val="single" w:sz="4" w:space="0" w:color="BFBFBF"/>
              <w:bottom w:val="single" w:sz="4" w:space="0" w:color="BFBFBF"/>
              <w:right w:val="single" w:sz="4" w:space="0" w:color="BFBFBF"/>
            </w:tcBorders>
            <w:vAlign w:val="bottom"/>
          </w:tcPr>
          <w:p w:rsidR="004A72E7" w:rsidRPr="001E2F6E" w:rsidRDefault="004A72E7" w:rsidP="00917494">
            <w:pPr>
              <w:spacing w:line="240" w:lineRule="exact"/>
              <w:ind w:right="170"/>
              <w:jc w:val="right"/>
              <w:rPr>
                <w:b/>
                <w:bCs/>
                <w:sz w:val="16"/>
                <w:szCs w:val="16"/>
                <w:lang w:eastAsia="es-ES"/>
              </w:rPr>
            </w:pPr>
            <w:r w:rsidRPr="001E2F6E">
              <w:rPr>
                <w:b/>
                <w:bCs/>
                <w:sz w:val="16"/>
                <w:szCs w:val="16"/>
                <w:lang w:eastAsia="es-ES"/>
              </w:rPr>
              <w:t>16.568</w:t>
            </w:r>
          </w:p>
        </w:tc>
        <w:tc>
          <w:tcPr>
            <w:tcW w:w="1000" w:type="pct"/>
            <w:tcBorders>
              <w:left w:val="single" w:sz="4" w:space="0" w:color="BFBFBF"/>
              <w:bottom w:val="single" w:sz="4" w:space="0" w:color="BFBFBF"/>
              <w:right w:val="single" w:sz="4" w:space="0" w:color="BFBFBF"/>
            </w:tcBorders>
            <w:vAlign w:val="bottom"/>
          </w:tcPr>
          <w:p w:rsidR="004A72E7" w:rsidRPr="001E2F6E" w:rsidRDefault="004A72E7" w:rsidP="00917494">
            <w:pPr>
              <w:spacing w:line="240" w:lineRule="exact"/>
              <w:ind w:right="170"/>
              <w:jc w:val="right"/>
              <w:rPr>
                <w:b/>
                <w:bCs/>
                <w:sz w:val="16"/>
                <w:szCs w:val="16"/>
                <w:lang w:eastAsia="es-ES"/>
              </w:rPr>
            </w:pPr>
            <w:r w:rsidRPr="001E2F6E">
              <w:rPr>
                <w:b/>
                <w:bCs/>
                <w:sz w:val="16"/>
                <w:szCs w:val="16"/>
                <w:lang w:eastAsia="es-ES"/>
              </w:rPr>
              <w:t>8.018</w:t>
            </w:r>
          </w:p>
        </w:tc>
        <w:tc>
          <w:tcPr>
            <w:tcW w:w="1000" w:type="pct"/>
            <w:tcBorders>
              <w:left w:val="single" w:sz="4" w:space="0" w:color="BFBFBF"/>
              <w:bottom w:val="single" w:sz="4" w:space="0" w:color="BFBFBF"/>
            </w:tcBorders>
            <w:vAlign w:val="bottom"/>
          </w:tcPr>
          <w:p w:rsidR="004A72E7" w:rsidRPr="001E2F6E" w:rsidRDefault="004A72E7" w:rsidP="00917494">
            <w:pPr>
              <w:spacing w:line="240" w:lineRule="exact"/>
              <w:ind w:right="170"/>
              <w:jc w:val="right"/>
              <w:rPr>
                <w:b/>
                <w:bCs/>
                <w:sz w:val="16"/>
                <w:szCs w:val="16"/>
                <w:lang w:eastAsia="es-ES"/>
              </w:rPr>
            </w:pPr>
            <w:r w:rsidRPr="001E2F6E">
              <w:rPr>
                <w:b/>
                <w:bCs/>
                <w:sz w:val="16"/>
                <w:szCs w:val="16"/>
                <w:lang w:eastAsia="es-ES"/>
              </w:rPr>
              <w:t>8.549</w:t>
            </w:r>
          </w:p>
        </w:tc>
      </w:tr>
    </w:tbl>
    <w:p w:rsidR="004A72E7" w:rsidRPr="001E2F6E" w:rsidRDefault="004A72E7" w:rsidP="00354E9D">
      <w:pPr>
        <w:ind w:left="227" w:hanging="227"/>
        <w:rPr>
          <w:lang w:val="es-ES_tradnl" w:eastAsia="es-ES"/>
        </w:rPr>
      </w:pPr>
    </w:p>
    <w:p w:rsidR="004A72E7" w:rsidRPr="001E2F6E" w:rsidRDefault="004A72E7" w:rsidP="00354E9D">
      <w:pPr>
        <w:ind w:left="227" w:hanging="227"/>
        <w:rPr>
          <w:lang w:val="es-ES_tradnl" w:eastAsia="es-ES"/>
        </w:rPr>
      </w:pPr>
    </w:p>
    <w:p w:rsidR="004A72E7" w:rsidRPr="00A253D5" w:rsidRDefault="004A72E7" w:rsidP="00A47D13">
      <w:pPr>
        <w:pStyle w:val="Ttulo3"/>
        <w:spacing w:line="360" w:lineRule="auto"/>
        <w:rPr>
          <w:sz w:val="24"/>
          <w:szCs w:val="24"/>
          <w:lang w:val="de-DE"/>
        </w:rPr>
      </w:pPr>
      <w:bookmarkStart w:id="6" w:name="_Toc392585656"/>
      <w:r w:rsidRPr="001E2F6E">
        <w:rPr>
          <w:sz w:val="24"/>
          <w:szCs w:val="24"/>
          <w:lang w:val="eu-ES"/>
        </w:rPr>
        <w:t>Enplegua txikitzen bada ere, establezimendu-kopurua handitu egiten da</w:t>
      </w:r>
      <w:bookmarkEnd w:id="6"/>
    </w:p>
    <w:p w:rsidR="004A72E7" w:rsidRPr="00A253D5" w:rsidRDefault="004A72E7" w:rsidP="00354E9D">
      <w:pPr>
        <w:pStyle w:val="Prrafodelista"/>
        <w:spacing w:after="0" w:line="360" w:lineRule="auto"/>
        <w:ind w:left="227" w:hanging="227"/>
        <w:rPr>
          <w:rFonts w:ascii="Arial" w:hAnsi="Arial" w:cs="Arial"/>
          <w:b/>
          <w:bCs/>
          <w:lang w:val="de-DE" w:eastAsia="es-ES"/>
        </w:rPr>
      </w:pPr>
    </w:p>
    <w:p w:rsidR="004A72E7" w:rsidRPr="00A253D5" w:rsidRDefault="004A72E7" w:rsidP="001451B1">
      <w:pPr>
        <w:pStyle w:val="ARIALNARROW"/>
        <w:numPr>
          <w:ilvl w:val="0"/>
          <w:numId w:val="2"/>
        </w:numPr>
        <w:spacing w:line="360" w:lineRule="auto"/>
        <w:ind w:left="426" w:hanging="426"/>
        <w:rPr>
          <w:spacing w:val="4"/>
          <w:lang w:val="de-DE"/>
        </w:rPr>
      </w:pPr>
      <w:r w:rsidRPr="00A253D5">
        <w:rPr>
          <w:b/>
          <w:bCs/>
          <w:lang w:val="de-DE"/>
        </w:rPr>
        <w:tab/>
      </w:r>
      <w:r w:rsidRPr="001E2F6E">
        <w:rPr>
          <w:b/>
          <w:bCs/>
          <w:lang w:val="eu-ES"/>
        </w:rPr>
        <w:t>2010etik 2012ra bitartean, establezimendu-kopurua handitu egin zen</w:t>
      </w:r>
    </w:p>
    <w:p w:rsidR="004A72E7" w:rsidRPr="00A253D5" w:rsidRDefault="004A72E7" w:rsidP="00917494">
      <w:pPr>
        <w:ind w:left="426" w:hanging="426"/>
        <w:rPr>
          <w:lang w:val="de-DE"/>
        </w:rPr>
      </w:pPr>
    </w:p>
    <w:p w:rsidR="004A72E7" w:rsidRPr="001E2F6E" w:rsidRDefault="004A72E7" w:rsidP="00917494">
      <w:pPr>
        <w:pStyle w:val="ARIALNARROW"/>
        <w:spacing w:line="360" w:lineRule="auto"/>
        <w:ind w:left="426" w:hanging="426"/>
      </w:pPr>
      <w:r w:rsidRPr="00A253D5">
        <w:rPr>
          <w:lang w:val="de-DE"/>
        </w:rPr>
        <w:tab/>
      </w:r>
      <w:r w:rsidRPr="001E2F6E">
        <w:rPr>
          <w:lang w:val="eu-ES"/>
        </w:rPr>
        <w:t>Enplegu-datuek beherakada izan bazuten ere, establezimendu-kopuruak gora egin zuen 2010etik 2012ra bitartean.</w:t>
      </w:r>
      <w:r w:rsidRPr="00A253D5">
        <w:rPr>
          <w:lang w:val="de-DE"/>
        </w:rPr>
        <w:t xml:space="preserve"> </w:t>
      </w:r>
      <w:r w:rsidRPr="001E2F6E">
        <w:rPr>
          <w:lang w:val="eu-ES"/>
        </w:rPr>
        <w:t>2006an, establezimendu-kopurua handiena izan zen: 3.096 establezimendu. Hurrengo urteetan, 3.000 establezimendu baino gutxiago egon ziren Gizarte Ekonomian; esate baterako, 2010ean, 2.997 establezimendu zeuden. 2012an, berriz, 3.078 zeuden.</w:t>
      </w:r>
    </w:p>
    <w:p w:rsidR="004A72E7" w:rsidRPr="001E2F6E" w:rsidRDefault="004A72E7" w:rsidP="00E878B8"/>
    <w:p w:rsidR="004A72E7" w:rsidRPr="001E2F6E" w:rsidRDefault="004A72E7" w:rsidP="00354E9D">
      <w:pPr>
        <w:ind w:left="227" w:hanging="227"/>
        <w:jc w:val="center"/>
        <w:rPr>
          <w:b/>
          <w:bCs/>
          <w:color w:val="1F497D" w:themeColor="text2"/>
          <w:sz w:val="18"/>
          <w:szCs w:val="18"/>
        </w:rPr>
      </w:pPr>
      <w:r w:rsidRPr="001E2F6E">
        <w:rPr>
          <w:b/>
          <w:bCs/>
          <w:color w:val="1F497D" w:themeColor="text2"/>
          <w:sz w:val="18"/>
          <w:szCs w:val="18"/>
          <w:lang w:val="eu-ES"/>
        </w:rPr>
        <w:t>EAE-KO GIZARTE EKONOMIAKO ESTABLEZIMENDUEN BILAKAERA, 1994-2012</w:t>
      </w:r>
    </w:p>
    <w:p w:rsidR="004A72E7" w:rsidRPr="001E2F6E" w:rsidRDefault="004A7052" w:rsidP="00354E9D">
      <w:pPr>
        <w:ind w:left="227" w:hanging="227"/>
      </w:pPr>
      <w:r w:rsidRPr="001E2F6E">
        <w:rPr>
          <w:noProof/>
          <w:lang w:eastAsia="es-ES"/>
        </w:rPr>
        <w:drawing>
          <wp:anchor distT="402336" distB="188976" distL="236220" distR="309372" simplePos="0" relativeHeight="251642880" behindDoc="0" locked="0" layoutInCell="1" allowOverlap="1">
            <wp:simplePos x="0" y="0"/>
            <wp:positionH relativeFrom="column">
              <wp:posOffset>146685</wp:posOffset>
            </wp:positionH>
            <wp:positionV relativeFrom="paragraph">
              <wp:posOffset>19050</wp:posOffset>
            </wp:positionV>
            <wp:extent cx="5276850" cy="1438275"/>
            <wp:effectExtent l="0" t="0" r="0" b="0"/>
            <wp:wrapNone/>
            <wp:docPr id="23" name="Objeto 2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anchor>
        </w:drawing>
      </w:r>
    </w:p>
    <w:p w:rsidR="004A72E7" w:rsidRPr="001E2F6E" w:rsidRDefault="004A72E7" w:rsidP="00354E9D">
      <w:pPr>
        <w:ind w:left="227" w:hanging="227"/>
      </w:pPr>
    </w:p>
    <w:p w:rsidR="004A72E7" w:rsidRPr="001E2F6E" w:rsidRDefault="004A72E7" w:rsidP="00354E9D">
      <w:pPr>
        <w:ind w:left="227" w:hanging="227"/>
      </w:pPr>
    </w:p>
    <w:p w:rsidR="004A72E7" w:rsidRPr="001E2F6E" w:rsidRDefault="004A72E7" w:rsidP="00354E9D">
      <w:pPr>
        <w:ind w:left="227" w:hanging="227"/>
      </w:pPr>
    </w:p>
    <w:p w:rsidR="004A72E7" w:rsidRPr="001E2F6E" w:rsidRDefault="004A72E7" w:rsidP="00354E9D">
      <w:pPr>
        <w:ind w:left="227" w:hanging="227"/>
      </w:pPr>
    </w:p>
    <w:p w:rsidR="004A72E7" w:rsidRPr="001E2F6E" w:rsidRDefault="004A72E7" w:rsidP="00354E9D">
      <w:pPr>
        <w:ind w:left="227" w:hanging="227"/>
      </w:pPr>
    </w:p>
    <w:p w:rsidR="004A72E7" w:rsidRPr="001E2F6E" w:rsidRDefault="004A72E7" w:rsidP="00354E9D">
      <w:pPr>
        <w:ind w:left="227" w:hanging="227"/>
      </w:pPr>
    </w:p>
    <w:p w:rsidR="004A72E7" w:rsidRPr="001E2F6E" w:rsidRDefault="004A72E7" w:rsidP="00E878B8">
      <w:pPr>
        <w:pStyle w:val="ARIALNARROW"/>
        <w:spacing w:line="360" w:lineRule="auto"/>
        <w:ind w:left="227"/>
        <w:rPr>
          <w:spacing w:val="4"/>
        </w:rPr>
      </w:pPr>
    </w:p>
    <w:p w:rsidR="004A72E7" w:rsidRPr="001E2F6E" w:rsidRDefault="004A72E7" w:rsidP="001451B1">
      <w:pPr>
        <w:pStyle w:val="ARIALNARROW"/>
        <w:numPr>
          <w:ilvl w:val="0"/>
          <w:numId w:val="2"/>
        </w:numPr>
        <w:spacing w:line="360" w:lineRule="auto"/>
        <w:ind w:left="426" w:hanging="426"/>
        <w:rPr>
          <w:spacing w:val="4"/>
        </w:rPr>
      </w:pPr>
      <w:r w:rsidRPr="001E2F6E">
        <w:rPr>
          <w:b/>
          <w:bCs/>
        </w:rPr>
        <w:tab/>
      </w:r>
      <w:r w:rsidRPr="001E2F6E">
        <w:rPr>
          <w:b/>
          <w:bCs/>
          <w:lang w:val="eu-ES"/>
        </w:rPr>
        <w:t>Enpleguaren beheranzko dinamikarekiko kontrasteak adierazten du enpresa txikien eta establezimendu txikien pisua handiagoa zela</w:t>
      </w:r>
    </w:p>
    <w:p w:rsidR="004A72E7" w:rsidRPr="001E2F6E" w:rsidRDefault="004A72E7" w:rsidP="00917494">
      <w:pPr>
        <w:pStyle w:val="ARIALNARROW"/>
        <w:spacing w:line="360" w:lineRule="auto"/>
        <w:ind w:left="426" w:hanging="426"/>
      </w:pPr>
    </w:p>
    <w:p w:rsidR="004A72E7" w:rsidRPr="001E2F6E" w:rsidRDefault="004A72E7" w:rsidP="00917494">
      <w:pPr>
        <w:pStyle w:val="ARIALNARROW"/>
        <w:spacing w:line="360" w:lineRule="auto"/>
        <w:ind w:left="426" w:hanging="426"/>
        <w:rPr>
          <w:lang w:val="eu-ES"/>
        </w:rPr>
      </w:pPr>
      <w:r w:rsidRPr="001E2F6E">
        <w:tab/>
      </w:r>
      <w:r w:rsidRPr="001E2F6E">
        <w:rPr>
          <w:lang w:val="eu-ES"/>
        </w:rPr>
        <w:t xml:space="preserve">Establezimendu-kopuruak portaera hobea izan zuen enpleguak baino, eta hori lotuta omen dago lantoki txikiek 2010-2012 biurtekoan izandako dinamika positiboarekin. Izan ere, 5 langile baino gutxiago zituzten establezimenduen kopurua </w:t>
      </w:r>
      <w:r w:rsidRPr="001E2F6E">
        <w:rPr>
          <w:spacing w:val="60"/>
          <w:lang w:val="eu-ES"/>
        </w:rPr>
        <w:t>%</w:t>
      </w:r>
      <w:r w:rsidRPr="001E2F6E">
        <w:rPr>
          <w:lang w:val="eu-ES"/>
        </w:rPr>
        <w:t xml:space="preserve">8,8 handitu zen denboraldi hartan. </w:t>
      </w:r>
    </w:p>
    <w:p w:rsidR="004A72E7" w:rsidRPr="001E2F6E" w:rsidRDefault="004A72E7" w:rsidP="00917494">
      <w:pPr>
        <w:ind w:left="426" w:hanging="426"/>
        <w:jc w:val="left"/>
        <w:rPr>
          <w:b/>
          <w:bCs/>
          <w:color w:val="1F497D" w:themeColor="text2"/>
          <w:sz w:val="18"/>
          <w:szCs w:val="18"/>
          <w:lang w:val="eu-ES"/>
        </w:rPr>
      </w:pPr>
    </w:p>
    <w:p w:rsidR="004A72E7" w:rsidRPr="001E2F6E" w:rsidRDefault="004A72E7" w:rsidP="00917494">
      <w:pPr>
        <w:spacing w:line="240" w:lineRule="auto"/>
        <w:ind w:left="227" w:hanging="227"/>
        <w:jc w:val="center"/>
        <w:rPr>
          <w:b/>
          <w:bCs/>
          <w:color w:val="1F497D" w:themeColor="text2"/>
          <w:sz w:val="18"/>
          <w:szCs w:val="18"/>
          <w:lang w:val="eu-ES"/>
        </w:rPr>
      </w:pPr>
      <w:r w:rsidRPr="001E2F6E">
        <w:rPr>
          <w:b/>
          <w:bCs/>
          <w:color w:val="1F497D" w:themeColor="text2"/>
          <w:sz w:val="18"/>
          <w:szCs w:val="18"/>
          <w:lang w:val="eu-ES"/>
        </w:rPr>
        <w:t>LANPOSTU-KOPURUAREN BILAKAERA GIZARTE EKONOMIAKO ENPRESEN TAMAINAREN ARABERA, 2010-2012</w:t>
      </w:r>
    </w:p>
    <w:tbl>
      <w:tblPr>
        <w:tblW w:w="5000" w:type="pct"/>
        <w:jc w:val="center"/>
        <w:tblCellMar>
          <w:left w:w="0" w:type="dxa"/>
          <w:right w:w="0" w:type="dxa"/>
        </w:tblCellMar>
        <w:tblLook w:val="00A0" w:firstRow="1" w:lastRow="0" w:firstColumn="1" w:lastColumn="0" w:noHBand="0" w:noVBand="0"/>
      </w:tblPr>
      <w:tblGrid>
        <w:gridCol w:w="3528"/>
        <w:gridCol w:w="1824"/>
        <w:gridCol w:w="1824"/>
        <w:gridCol w:w="1612"/>
      </w:tblGrid>
      <w:tr w:rsidR="004A72E7" w:rsidRPr="001E2F6E">
        <w:trPr>
          <w:jc w:val="center"/>
        </w:trPr>
        <w:tc>
          <w:tcPr>
            <w:tcW w:w="2007" w:type="pct"/>
            <w:tcBorders>
              <w:top w:val="single" w:sz="8" w:space="0" w:color="BFBFBF"/>
              <w:left w:val="nil"/>
              <w:bottom w:val="single" w:sz="8" w:space="0" w:color="BFBFBF"/>
              <w:right w:val="single" w:sz="8" w:space="0" w:color="BFBFBF"/>
            </w:tcBorders>
            <w:shd w:val="clear" w:color="auto" w:fill="DBE5F1"/>
            <w:vAlign w:val="center"/>
          </w:tcPr>
          <w:p w:rsidR="004A72E7" w:rsidRPr="001E2F6E" w:rsidRDefault="004A72E7" w:rsidP="00917494">
            <w:pPr>
              <w:spacing w:line="240" w:lineRule="exact"/>
              <w:ind w:left="227" w:hanging="227"/>
              <w:rPr>
                <w:sz w:val="16"/>
                <w:szCs w:val="16"/>
                <w:lang w:val="eu-ES" w:eastAsia="es-ES"/>
              </w:rPr>
            </w:pPr>
          </w:p>
        </w:tc>
        <w:tc>
          <w:tcPr>
            <w:tcW w:w="1038" w:type="pct"/>
            <w:tcBorders>
              <w:top w:val="single" w:sz="8" w:space="0" w:color="BFBFBF"/>
              <w:left w:val="nil"/>
              <w:bottom w:val="single" w:sz="8" w:space="0" w:color="BFBFBF"/>
              <w:right w:val="single" w:sz="4" w:space="0" w:color="BFBFBF"/>
            </w:tcBorders>
            <w:shd w:val="clear" w:color="auto" w:fill="DBE5F1"/>
            <w:vAlign w:val="center"/>
          </w:tcPr>
          <w:p w:rsidR="004A72E7" w:rsidRPr="001E2F6E" w:rsidRDefault="004A72E7" w:rsidP="00917494">
            <w:pPr>
              <w:spacing w:line="240" w:lineRule="exact"/>
              <w:ind w:left="227" w:hanging="227"/>
              <w:jc w:val="center"/>
              <w:rPr>
                <w:b/>
                <w:bCs/>
                <w:sz w:val="16"/>
                <w:szCs w:val="16"/>
                <w:lang w:eastAsia="es-ES"/>
              </w:rPr>
            </w:pPr>
            <w:r w:rsidRPr="001E2F6E">
              <w:rPr>
                <w:b/>
                <w:bCs/>
                <w:sz w:val="16"/>
                <w:szCs w:val="16"/>
                <w:lang w:val="eu-ES" w:eastAsia="es-ES"/>
              </w:rPr>
              <w:t>Lanpostuak</w:t>
            </w:r>
            <w:r w:rsidRPr="001E2F6E">
              <w:rPr>
                <w:b/>
                <w:bCs/>
                <w:sz w:val="16"/>
                <w:szCs w:val="16"/>
                <w:lang w:eastAsia="es-ES"/>
              </w:rPr>
              <w:t xml:space="preserve"> </w:t>
            </w:r>
          </w:p>
          <w:p w:rsidR="004A72E7" w:rsidRPr="001E2F6E" w:rsidRDefault="004A72E7" w:rsidP="00917494">
            <w:pPr>
              <w:spacing w:line="240" w:lineRule="exact"/>
              <w:ind w:left="227" w:hanging="227"/>
              <w:jc w:val="center"/>
              <w:rPr>
                <w:sz w:val="16"/>
                <w:szCs w:val="16"/>
                <w:lang w:eastAsia="es-ES"/>
              </w:rPr>
            </w:pPr>
            <w:r w:rsidRPr="001E2F6E">
              <w:rPr>
                <w:b/>
                <w:bCs/>
                <w:sz w:val="16"/>
                <w:szCs w:val="16"/>
                <w:lang w:eastAsia="es-ES"/>
              </w:rPr>
              <w:t>2010</w:t>
            </w:r>
          </w:p>
        </w:tc>
        <w:tc>
          <w:tcPr>
            <w:tcW w:w="1038" w:type="pct"/>
            <w:tcBorders>
              <w:top w:val="single" w:sz="8" w:space="0" w:color="BFBFBF"/>
              <w:left w:val="single" w:sz="4" w:space="0" w:color="BFBFBF"/>
              <w:bottom w:val="single" w:sz="8" w:space="0" w:color="BFBFBF"/>
              <w:right w:val="single" w:sz="4" w:space="0" w:color="BFBFBF"/>
            </w:tcBorders>
            <w:shd w:val="clear" w:color="auto" w:fill="DBE5F1"/>
            <w:vAlign w:val="center"/>
          </w:tcPr>
          <w:p w:rsidR="004A72E7" w:rsidRPr="001E2F6E" w:rsidRDefault="004A72E7" w:rsidP="00917494">
            <w:pPr>
              <w:spacing w:line="240" w:lineRule="exact"/>
              <w:ind w:left="227" w:hanging="227"/>
              <w:jc w:val="center"/>
              <w:rPr>
                <w:b/>
                <w:bCs/>
                <w:sz w:val="16"/>
                <w:szCs w:val="16"/>
                <w:lang w:eastAsia="es-ES"/>
              </w:rPr>
            </w:pPr>
            <w:r w:rsidRPr="001E2F6E">
              <w:rPr>
                <w:b/>
                <w:bCs/>
                <w:sz w:val="16"/>
                <w:szCs w:val="16"/>
                <w:lang w:val="eu-ES" w:eastAsia="es-ES"/>
              </w:rPr>
              <w:t>Lanpostuak</w:t>
            </w:r>
          </w:p>
          <w:p w:rsidR="004A72E7" w:rsidRPr="001E2F6E" w:rsidRDefault="004A72E7" w:rsidP="00917494">
            <w:pPr>
              <w:spacing w:line="240" w:lineRule="exact"/>
              <w:ind w:left="227" w:hanging="227"/>
              <w:jc w:val="center"/>
              <w:rPr>
                <w:sz w:val="16"/>
                <w:szCs w:val="16"/>
                <w:lang w:eastAsia="es-ES"/>
              </w:rPr>
            </w:pPr>
            <w:r w:rsidRPr="001E2F6E">
              <w:rPr>
                <w:b/>
                <w:bCs/>
                <w:sz w:val="16"/>
                <w:szCs w:val="16"/>
                <w:lang w:eastAsia="es-ES"/>
              </w:rPr>
              <w:t>2012</w:t>
            </w:r>
          </w:p>
        </w:tc>
        <w:tc>
          <w:tcPr>
            <w:tcW w:w="917" w:type="pct"/>
            <w:tcBorders>
              <w:top w:val="single" w:sz="8" w:space="0" w:color="BFBFBF"/>
              <w:left w:val="single" w:sz="4" w:space="0" w:color="BFBFBF"/>
              <w:bottom w:val="single" w:sz="8" w:space="0" w:color="BFBFBF"/>
            </w:tcBorders>
            <w:shd w:val="clear" w:color="auto" w:fill="DBE5F1"/>
            <w:vAlign w:val="center"/>
          </w:tcPr>
          <w:p w:rsidR="004A72E7" w:rsidRPr="001E2F6E" w:rsidRDefault="004A72E7" w:rsidP="00917494">
            <w:pPr>
              <w:spacing w:line="240" w:lineRule="exact"/>
              <w:ind w:left="227" w:hanging="227"/>
              <w:jc w:val="center"/>
              <w:rPr>
                <w:b/>
                <w:bCs/>
                <w:sz w:val="16"/>
                <w:szCs w:val="16"/>
                <w:lang w:eastAsia="es-ES"/>
              </w:rPr>
            </w:pPr>
            <w:r w:rsidRPr="001E2F6E">
              <w:rPr>
                <w:b/>
                <w:bCs/>
                <w:sz w:val="16"/>
                <w:szCs w:val="16"/>
                <w:lang w:val="eu-ES" w:eastAsia="es-ES"/>
              </w:rPr>
              <w:t>Bilakaera</w:t>
            </w:r>
            <w:r w:rsidRPr="001E2F6E">
              <w:rPr>
                <w:b/>
                <w:bCs/>
                <w:sz w:val="16"/>
                <w:szCs w:val="16"/>
                <w:lang w:eastAsia="es-ES"/>
              </w:rPr>
              <w:t xml:space="preserve"> </w:t>
            </w:r>
          </w:p>
          <w:p w:rsidR="004A72E7" w:rsidRPr="001E2F6E" w:rsidRDefault="004A72E7" w:rsidP="00917494">
            <w:pPr>
              <w:spacing w:line="240" w:lineRule="exact"/>
              <w:ind w:left="227" w:hanging="227"/>
              <w:jc w:val="center"/>
              <w:rPr>
                <w:sz w:val="16"/>
                <w:szCs w:val="16"/>
                <w:lang w:eastAsia="es-ES"/>
              </w:rPr>
            </w:pPr>
            <w:r w:rsidRPr="001E2F6E">
              <w:rPr>
                <w:b/>
                <w:bCs/>
                <w:sz w:val="16"/>
                <w:szCs w:val="16"/>
                <w:lang w:eastAsia="es-ES"/>
              </w:rPr>
              <w:t>2010 - 2012</w:t>
            </w:r>
          </w:p>
        </w:tc>
      </w:tr>
      <w:tr w:rsidR="004A72E7" w:rsidRPr="001E2F6E">
        <w:trPr>
          <w:jc w:val="center"/>
        </w:trPr>
        <w:tc>
          <w:tcPr>
            <w:tcW w:w="2007" w:type="pct"/>
            <w:tcBorders>
              <w:top w:val="nil"/>
              <w:left w:val="nil"/>
              <w:bottom w:val="nil"/>
              <w:right w:val="single" w:sz="8" w:space="0" w:color="BFBFBF"/>
            </w:tcBorders>
            <w:vAlign w:val="center"/>
          </w:tcPr>
          <w:p w:rsidR="004A72E7" w:rsidRPr="001E2F6E" w:rsidRDefault="004A72E7" w:rsidP="00917494">
            <w:pPr>
              <w:spacing w:line="240" w:lineRule="exact"/>
              <w:ind w:left="227" w:hanging="227"/>
              <w:rPr>
                <w:sz w:val="16"/>
                <w:szCs w:val="16"/>
                <w:lang w:eastAsia="es-ES"/>
              </w:rPr>
            </w:pPr>
            <w:r w:rsidRPr="001E2F6E">
              <w:rPr>
                <w:sz w:val="16"/>
                <w:szCs w:val="16"/>
                <w:lang w:val="eu-ES" w:eastAsia="es-ES"/>
              </w:rPr>
              <w:t>5 langile edo gutxiago</w:t>
            </w:r>
          </w:p>
        </w:tc>
        <w:tc>
          <w:tcPr>
            <w:tcW w:w="1038" w:type="pct"/>
            <w:tcBorders>
              <w:top w:val="nil"/>
              <w:left w:val="nil"/>
              <w:bottom w:val="nil"/>
              <w:right w:val="single" w:sz="4" w:space="0" w:color="BFBFBF"/>
            </w:tcBorders>
            <w:vAlign w:val="center"/>
          </w:tcPr>
          <w:p w:rsidR="004A72E7" w:rsidRPr="001E2F6E" w:rsidRDefault="004A72E7" w:rsidP="00917494">
            <w:pPr>
              <w:spacing w:line="240" w:lineRule="exact"/>
              <w:ind w:left="227" w:right="170" w:hanging="227"/>
              <w:jc w:val="right"/>
              <w:rPr>
                <w:sz w:val="16"/>
                <w:szCs w:val="16"/>
                <w:lang w:eastAsia="es-ES"/>
              </w:rPr>
            </w:pPr>
            <w:r w:rsidRPr="001E2F6E">
              <w:rPr>
                <w:sz w:val="16"/>
                <w:szCs w:val="16"/>
                <w:lang w:eastAsia="es-ES"/>
              </w:rPr>
              <w:t>3.639</w:t>
            </w:r>
          </w:p>
        </w:tc>
        <w:tc>
          <w:tcPr>
            <w:tcW w:w="1038" w:type="pct"/>
            <w:tcBorders>
              <w:top w:val="nil"/>
              <w:left w:val="single" w:sz="4" w:space="0" w:color="BFBFBF"/>
              <w:bottom w:val="nil"/>
              <w:right w:val="single" w:sz="4" w:space="0" w:color="BFBFBF"/>
            </w:tcBorders>
            <w:vAlign w:val="center"/>
          </w:tcPr>
          <w:p w:rsidR="004A72E7" w:rsidRPr="001E2F6E" w:rsidRDefault="004A72E7" w:rsidP="00917494">
            <w:pPr>
              <w:spacing w:line="240" w:lineRule="exact"/>
              <w:ind w:left="227" w:right="170" w:hanging="227"/>
              <w:jc w:val="right"/>
              <w:rPr>
                <w:sz w:val="16"/>
                <w:szCs w:val="16"/>
                <w:lang w:eastAsia="es-ES"/>
              </w:rPr>
            </w:pPr>
            <w:r w:rsidRPr="001E2F6E">
              <w:rPr>
                <w:sz w:val="16"/>
                <w:szCs w:val="16"/>
                <w:lang w:eastAsia="es-ES"/>
              </w:rPr>
              <w:t>3.960</w:t>
            </w:r>
          </w:p>
        </w:tc>
        <w:tc>
          <w:tcPr>
            <w:tcW w:w="917" w:type="pct"/>
            <w:tcBorders>
              <w:top w:val="nil"/>
              <w:left w:val="single" w:sz="4" w:space="0" w:color="BFBFBF"/>
              <w:bottom w:val="nil"/>
            </w:tcBorders>
            <w:vAlign w:val="center"/>
          </w:tcPr>
          <w:p w:rsidR="004A72E7" w:rsidRPr="001E2F6E" w:rsidRDefault="004A72E7" w:rsidP="00917494">
            <w:pPr>
              <w:spacing w:line="240" w:lineRule="exact"/>
              <w:ind w:left="227" w:right="170" w:hanging="227"/>
              <w:jc w:val="right"/>
              <w:rPr>
                <w:sz w:val="16"/>
                <w:szCs w:val="16"/>
                <w:lang w:eastAsia="es-ES"/>
              </w:rPr>
            </w:pPr>
            <w:r w:rsidRPr="001E2F6E">
              <w:rPr>
                <w:sz w:val="16"/>
                <w:szCs w:val="16"/>
                <w:lang w:eastAsia="es-ES"/>
              </w:rPr>
              <w:t>8,8</w:t>
            </w:r>
          </w:p>
        </w:tc>
      </w:tr>
      <w:tr w:rsidR="004A72E7" w:rsidRPr="001E2F6E">
        <w:trPr>
          <w:jc w:val="center"/>
        </w:trPr>
        <w:tc>
          <w:tcPr>
            <w:tcW w:w="2007" w:type="pct"/>
            <w:tcBorders>
              <w:top w:val="nil"/>
              <w:left w:val="nil"/>
              <w:bottom w:val="nil"/>
              <w:right w:val="single" w:sz="8" w:space="0" w:color="BFBFBF"/>
            </w:tcBorders>
            <w:vAlign w:val="center"/>
          </w:tcPr>
          <w:p w:rsidR="004A72E7" w:rsidRPr="001E2F6E" w:rsidRDefault="004A72E7" w:rsidP="00917494">
            <w:pPr>
              <w:spacing w:line="240" w:lineRule="exact"/>
              <w:ind w:left="227" w:hanging="227"/>
              <w:rPr>
                <w:sz w:val="16"/>
                <w:szCs w:val="16"/>
                <w:lang w:eastAsia="es-ES"/>
              </w:rPr>
            </w:pPr>
            <w:r w:rsidRPr="001E2F6E">
              <w:rPr>
                <w:sz w:val="16"/>
                <w:szCs w:val="16"/>
                <w:lang w:val="eu-ES" w:eastAsia="es-ES"/>
              </w:rPr>
              <w:t>6-15 langile</w:t>
            </w:r>
          </w:p>
        </w:tc>
        <w:tc>
          <w:tcPr>
            <w:tcW w:w="1038" w:type="pct"/>
            <w:tcBorders>
              <w:top w:val="nil"/>
              <w:left w:val="nil"/>
              <w:bottom w:val="nil"/>
              <w:right w:val="single" w:sz="4" w:space="0" w:color="BFBFBF"/>
            </w:tcBorders>
            <w:vAlign w:val="center"/>
          </w:tcPr>
          <w:p w:rsidR="004A72E7" w:rsidRPr="001E2F6E" w:rsidRDefault="004A72E7" w:rsidP="00917494">
            <w:pPr>
              <w:spacing w:line="240" w:lineRule="exact"/>
              <w:ind w:left="227" w:right="170" w:hanging="227"/>
              <w:jc w:val="right"/>
              <w:rPr>
                <w:sz w:val="16"/>
                <w:szCs w:val="16"/>
                <w:lang w:eastAsia="es-ES"/>
              </w:rPr>
            </w:pPr>
            <w:r w:rsidRPr="001E2F6E">
              <w:rPr>
                <w:sz w:val="16"/>
                <w:szCs w:val="16"/>
                <w:lang w:eastAsia="es-ES"/>
              </w:rPr>
              <w:t>4.636</w:t>
            </w:r>
          </w:p>
        </w:tc>
        <w:tc>
          <w:tcPr>
            <w:tcW w:w="1038" w:type="pct"/>
            <w:tcBorders>
              <w:top w:val="nil"/>
              <w:left w:val="single" w:sz="4" w:space="0" w:color="BFBFBF"/>
              <w:bottom w:val="nil"/>
              <w:right w:val="single" w:sz="4" w:space="0" w:color="BFBFBF"/>
            </w:tcBorders>
            <w:vAlign w:val="center"/>
          </w:tcPr>
          <w:p w:rsidR="004A72E7" w:rsidRPr="001E2F6E" w:rsidRDefault="004A72E7" w:rsidP="00917494">
            <w:pPr>
              <w:spacing w:line="240" w:lineRule="exact"/>
              <w:ind w:left="227" w:right="170" w:hanging="227"/>
              <w:jc w:val="right"/>
              <w:rPr>
                <w:sz w:val="16"/>
                <w:szCs w:val="16"/>
                <w:lang w:eastAsia="es-ES"/>
              </w:rPr>
            </w:pPr>
            <w:r w:rsidRPr="001E2F6E">
              <w:rPr>
                <w:sz w:val="16"/>
                <w:szCs w:val="16"/>
                <w:lang w:eastAsia="es-ES"/>
              </w:rPr>
              <w:t>4.472</w:t>
            </w:r>
          </w:p>
        </w:tc>
        <w:tc>
          <w:tcPr>
            <w:tcW w:w="917" w:type="pct"/>
            <w:tcBorders>
              <w:top w:val="nil"/>
              <w:left w:val="single" w:sz="4" w:space="0" w:color="BFBFBF"/>
              <w:bottom w:val="nil"/>
            </w:tcBorders>
            <w:vAlign w:val="center"/>
          </w:tcPr>
          <w:p w:rsidR="004A72E7" w:rsidRPr="001E2F6E" w:rsidRDefault="004A72E7" w:rsidP="00917494">
            <w:pPr>
              <w:spacing w:line="240" w:lineRule="exact"/>
              <w:ind w:left="227" w:right="170" w:hanging="227"/>
              <w:jc w:val="right"/>
              <w:rPr>
                <w:sz w:val="16"/>
                <w:szCs w:val="16"/>
                <w:lang w:eastAsia="es-ES"/>
              </w:rPr>
            </w:pPr>
            <w:r w:rsidRPr="001E2F6E">
              <w:rPr>
                <w:sz w:val="16"/>
                <w:szCs w:val="16"/>
                <w:lang w:eastAsia="es-ES"/>
              </w:rPr>
              <w:t>-3,5</w:t>
            </w:r>
          </w:p>
        </w:tc>
      </w:tr>
      <w:tr w:rsidR="004A72E7" w:rsidRPr="001E2F6E">
        <w:trPr>
          <w:jc w:val="center"/>
        </w:trPr>
        <w:tc>
          <w:tcPr>
            <w:tcW w:w="2007" w:type="pct"/>
            <w:tcBorders>
              <w:top w:val="nil"/>
              <w:left w:val="nil"/>
              <w:bottom w:val="nil"/>
              <w:right w:val="single" w:sz="8" w:space="0" w:color="BFBFBF"/>
            </w:tcBorders>
            <w:vAlign w:val="center"/>
          </w:tcPr>
          <w:p w:rsidR="004A72E7" w:rsidRPr="001E2F6E" w:rsidRDefault="004A72E7" w:rsidP="00917494">
            <w:pPr>
              <w:spacing w:line="240" w:lineRule="exact"/>
              <w:ind w:left="227" w:hanging="227"/>
              <w:rPr>
                <w:sz w:val="16"/>
                <w:szCs w:val="16"/>
                <w:lang w:eastAsia="es-ES"/>
              </w:rPr>
            </w:pPr>
            <w:r w:rsidRPr="001E2F6E">
              <w:rPr>
                <w:sz w:val="16"/>
                <w:szCs w:val="16"/>
                <w:lang w:val="eu-ES" w:eastAsia="es-ES"/>
              </w:rPr>
              <w:t>16-50 langile</w:t>
            </w:r>
          </w:p>
        </w:tc>
        <w:tc>
          <w:tcPr>
            <w:tcW w:w="1038" w:type="pct"/>
            <w:tcBorders>
              <w:top w:val="nil"/>
              <w:left w:val="nil"/>
              <w:bottom w:val="nil"/>
              <w:right w:val="single" w:sz="4" w:space="0" w:color="BFBFBF"/>
            </w:tcBorders>
            <w:vAlign w:val="center"/>
          </w:tcPr>
          <w:p w:rsidR="004A72E7" w:rsidRPr="001E2F6E" w:rsidRDefault="004A72E7" w:rsidP="00917494">
            <w:pPr>
              <w:spacing w:line="240" w:lineRule="exact"/>
              <w:ind w:left="227" w:right="170" w:hanging="227"/>
              <w:jc w:val="right"/>
              <w:rPr>
                <w:sz w:val="16"/>
                <w:szCs w:val="16"/>
                <w:lang w:eastAsia="es-ES"/>
              </w:rPr>
            </w:pPr>
            <w:r w:rsidRPr="001E2F6E">
              <w:rPr>
                <w:sz w:val="16"/>
                <w:szCs w:val="16"/>
                <w:lang w:eastAsia="es-ES"/>
              </w:rPr>
              <w:t>8.801</w:t>
            </w:r>
          </w:p>
        </w:tc>
        <w:tc>
          <w:tcPr>
            <w:tcW w:w="1038" w:type="pct"/>
            <w:tcBorders>
              <w:top w:val="nil"/>
              <w:left w:val="single" w:sz="4" w:space="0" w:color="BFBFBF"/>
              <w:bottom w:val="nil"/>
              <w:right w:val="single" w:sz="4" w:space="0" w:color="BFBFBF"/>
            </w:tcBorders>
            <w:vAlign w:val="center"/>
          </w:tcPr>
          <w:p w:rsidR="004A72E7" w:rsidRPr="001E2F6E" w:rsidRDefault="004A72E7" w:rsidP="00917494">
            <w:pPr>
              <w:spacing w:line="240" w:lineRule="exact"/>
              <w:ind w:left="227" w:right="170" w:hanging="227"/>
              <w:jc w:val="right"/>
              <w:rPr>
                <w:sz w:val="16"/>
                <w:szCs w:val="16"/>
                <w:lang w:eastAsia="es-ES"/>
              </w:rPr>
            </w:pPr>
            <w:r w:rsidRPr="001E2F6E">
              <w:rPr>
                <w:sz w:val="16"/>
                <w:szCs w:val="16"/>
                <w:lang w:eastAsia="es-ES"/>
              </w:rPr>
              <w:t>6.638</w:t>
            </w:r>
          </w:p>
        </w:tc>
        <w:tc>
          <w:tcPr>
            <w:tcW w:w="917" w:type="pct"/>
            <w:tcBorders>
              <w:top w:val="nil"/>
              <w:left w:val="single" w:sz="4" w:space="0" w:color="BFBFBF"/>
              <w:bottom w:val="nil"/>
            </w:tcBorders>
            <w:vAlign w:val="center"/>
          </w:tcPr>
          <w:p w:rsidR="004A72E7" w:rsidRPr="001E2F6E" w:rsidRDefault="004A72E7" w:rsidP="00917494">
            <w:pPr>
              <w:spacing w:line="240" w:lineRule="exact"/>
              <w:ind w:left="227" w:right="170" w:hanging="227"/>
              <w:jc w:val="right"/>
              <w:rPr>
                <w:sz w:val="16"/>
                <w:szCs w:val="16"/>
                <w:lang w:eastAsia="es-ES"/>
              </w:rPr>
            </w:pPr>
            <w:r w:rsidRPr="001E2F6E">
              <w:rPr>
                <w:sz w:val="16"/>
                <w:szCs w:val="16"/>
                <w:lang w:eastAsia="es-ES"/>
              </w:rPr>
              <w:t>-24,6</w:t>
            </w:r>
          </w:p>
        </w:tc>
      </w:tr>
      <w:tr w:rsidR="004A72E7" w:rsidRPr="001E2F6E">
        <w:trPr>
          <w:jc w:val="center"/>
        </w:trPr>
        <w:tc>
          <w:tcPr>
            <w:tcW w:w="2007" w:type="pct"/>
            <w:tcBorders>
              <w:top w:val="nil"/>
              <w:left w:val="nil"/>
              <w:bottom w:val="nil"/>
              <w:right w:val="single" w:sz="8" w:space="0" w:color="BFBFBF"/>
            </w:tcBorders>
            <w:vAlign w:val="center"/>
          </w:tcPr>
          <w:p w:rsidR="004A72E7" w:rsidRPr="001E2F6E" w:rsidRDefault="004A72E7" w:rsidP="00917494">
            <w:pPr>
              <w:spacing w:line="240" w:lineRule="exact"/>
              <w:ind w:left="227" w:hanging="227"/>
              <w:rPr>
                <w:sz w:val="16"/>
                <w:szCs w:val="16"/>
                <w:lang w:eastAsia="es-ES"/>
              </w:rPr>
            </w:pPr>
            <w:r w:rsidRPr="001E2F6E">
              <w:rPr>
                <w:sz w:val="16"/>
                <w:szCs w:val="16"/>
                <w:lang w:val="eu-ES" w:eastAsia="es-ES"/>
              </w:rPr>
              <w:t>51-100 langile</w:t>
            </w:r>
          </w:p>
        </w:tc>
        <w:tc>
          <w:tcPr>
            <w:tcW w:w="1038" w:type="pct"/>
            <w:tcBorders>
              <w:top w:val="nil"/>
              <w:left w:val="nil"/>
              <w:bottom w:val="nil"/>
              <w:right w:val="single" w:sz="4" w:space="0" w:color="BFBFBF"/>
            </w:tcBorders>
            <w:vAlign w:val="center"/>
          </w:tcPr>
          <w:p w:rsidR="004A72E7" w:rsidRPr="001E2F6E" w:rsidRDefault="004A72E7" w:rsidP="00917494">
            <w:pPr>
              <w:spacing w:line="240" w:lineRule="exact"/>
              <w:ind w:left="227" w:right="170" w:hanging="227"/>
              <w:jc w:val="right"/>
              <w:rPr>
                <w:sz w:val="16"/>
                <w:szCs w:val="16"/>
                <w:lang w:eastAsia="es-ES"/>
              </w:rPr>
            </w:pPr>
            <w:r w:rsidRPr="001E2F6E">
              <w:rPr>
                <w:sz w:val="16"/>
                <w:szCs w:val="16"/>
                <w:lang w:eastAsia="es-ES"/>
              </w:rPr>
              <w:t>6.064</w:t>
            </w:r>
          </w:p>
        </w:tc>
        <w:tc>
          <w:tcPr>
            <w:tcW w:w="1038" w:type="pct"/>
            <w:tcBorders>
              <w:top w:val="nil"/>
              <w:left w:val="single" w:sz="4" w:space="0" w:color="BFBFBF"/>
              <w:bottom w:val="nil"/>
              <w:right w:val="single" w:sz="4" w:space="0" w:color="BFBFBF"/>
            </w:tcBorders>
            <w:vAlign w:val="center"/>
          </w:tcPr>
          <w:p w:rsidR="004A72E7" w:rsidRPr="001E2F6E" w:rsidRDefault="004A72E7" w:rsidP="00917494">
            <w:pPr>
              <w:spacing w:line="240" w:lineRule="exact"/>
              <w:ind w:left="227" w:right="170" w:hanging="227"/>
              <w:jc w:val="right"/>
              <w:rPr>
                <w:sz w:val="16"/>
                <w:szCs w:val="16"/>
                <w:lang w:eastAsia="es-ES"/>
              </w:rPr>
            </w:pPr>
            <w:r w:rsidRPr="001E2F6E">
              <w:rPr>
                <w:sz w:val="16"/>
                <w:szCs w:val="16"/>
                <w:lang w:eastAsia="es-ES"/>
              </w:rPr>
              <w:t>6.117</w:t>
            </w:r>
          </w:p>
        </w:tc>
        <w:tc>
          <w:tcPr>
            <w:tcW w:w="917" w:type="pct"/>
            <w:tcBorders>
              <w:top w:val="nil"/>
              <w:left w:val="single" w:sz="4" w:space="0" w:color="BFBFBF"/>
              <w:bottom w:val="nil"/>
            </w:tcBorders>
            <w:vAlign w:val="center"/>
          </w:tcPr>
          <w:p w:rsidR="004A72E7" w:rsidRPr="001E2F6E" w:rsidRDefault="004A72E7" w:rsidP="00917494">
            <w:pPr>
              <w:spacing w:line="240" w:lineRule="exact"/>
              <w:ind w:left="227" w:right="170" w:hanging="227"/>
              <w:jc w:val="right"/>
              <w:rPr>
                <w:sz w:val="16"/>
                <w:szCs w:val="16"/>
                <w:lang w:eastAsia="es-ES"/>
              </w:rPr>
            </w:pPr>
            <w:r w:rsidRPr="001E2F6E">
              <w:rPr>
                <w:sz w:val="16"/>
                <w:szCs w:val="16"/>
                <w:lang w:eastAsia="es-ES"/>
              </w:rPr>
              <w:t>0,9</w:t>
            </w:r>
          </w:p>
        </w:tc>
      </w:tr>
      <w:tr w:rsidR="004A72E7" w:rsidRPr="001E2F6E">
        <w:trPr>
          <w:jc w:val="center"/>
        </w:trPr>
        <w:tc>
          <w:tcPr>
            <w:tcW w:w="2007" w:type="pct"/>
            <w:tcBorders>
              <w:top w:val="nil"/>
              <w:left w:val="nil"/>
              <w:bottom w:val="nil"/>
              <w:right w:val="single" w:sz="8" w:space="0" w:color="BFBFBF"/>
            </w:tcBorders>
            <w:vAlign w:val="center"/>
          </w:tcPr>
          <w:p w:rsidR="004A72E7" w:rsidRPr="001E2F6E" w:rsidRDefault="004A72E7" w:rsidP="00917494">
            <w:pPr>
              <w:spacing w:line="240" w:lineRule="exact"/>
              <w:ind w:left="227" w:hanging="227"/>
              <w:rPr>
                <w:sz w:val="16"/>
                <w:szCs w:val="16"/>
                <w:lang w:eastAsia="es-ES"/>
              </w:rPr>
            </w:pPr>
            <w:r w:rsidRPr="001E2F6E">
              <w:rPr>
                <w:sz w:val="16"/>
                <w:szCs w:val="16"/>
                <w:lang w:val="eu-ES" w:eastAsia="es-ES"/>
              </w:rPr>
              <w:t>101-200 langile</w:t>
            </w:r>
          </w:p>
        </w:tc>
        <w:tc>
          <w:tcPr>
            <w:tcW w:w="1038" w:type="pct"/>
            <w:tcBorders>
              <w:top w:val="nil"/>
              <w:left w:val="nil"/>
              <w:bottom w:val="nil"/>
              <w:right w:val="single" w:sz="4" w:space="0" w:color="BFBFBF"/>
            </w:tcBorders>
            <w:vAlign w:val="center"/>
          </w:tcPr>
          <w:p w:rsidR="004A72E7" w:rsidRPr="001E2F6E" w:rsidRDefault="004A72E7" w:rsidP="00917494">
            <w:pPr>
              <w:spacing w:line="240" w:lineRule="exact"/>
              <w:ind w:left="227" w:right="170" w:hanging="227"/>
              <w:jc w:val="right"/>
              <w:rPr>
                <w:sz w:val="16"/>
                <w:szCs w:val="16"/>
                <w:lang w:eastAsia="es-ES"/>
              </w:rPr>
            </w:pPr>
            <w:r w:rsidRPr="001E2F6E">
              <w:rPr>
                <w:sz w:val="16"/>
                <w:szCs w:val="16"/>
                <w:lang w:eastAsia="es-ES"/>
              </w:rPr>
              <w:t>5.182</w:t>
            </w:r>
          </w:p>
        </w:tc>
        <w:tc>
          <w:tcPr>
            <w:tcW w:w="1038" w:type="pct"/>
            <w:tcBorders>
              <w:top w:val="nil"/>
              <w:left w:val="single" w:sz="4" w:space="0" w:color="BFBFBF"/>
              <w:bottom w:val="nil"/>
              <w:right w:val="single" w:sz="4" w:space="0" w:color="BFBFBF"/>
            </w:tcBorders>
            <w:vAlign w:val="center"/>
          </w:tcPr>
          <w:p w:rsidR="004A72E7" w:rsidRPr="001E2F6E" w:rsidRDefault="004A72E7" w:rsidP="00917494">
            <w:pPr>
              <w:spacing w:line="240" w:lineRule="exact"/>
              <w:ind w:left="227" w:right="170" w:hanging="227"/>
              <w:jc w:val="right"/>
              <w:rPr>
                <w:sz w:val="16"/>
                <w:szCs w:val="16"/>
                <w:lang w:eastAsia="es-ES"/>
              </w:rPr>
            </w:pPr>
            <w:r w:rsidRPr="001E2F6E">
              <w:rPr>
                <w:sz w:val="16"/>
                <w:szCs w:val="16"/>
                <w:lang w:eastAsia="es-ES"/>
              </w:rPr>
              <w:t>5.748</w:t>
            </w:r>
          </w:p>
        </w:tc>
        <w:tc>
          <w:tcPr>
            <w:tcW w:w="917" w:type="pct"/>
            <w:tcBorders>
              <w:top w:val="nil"/>
              <w:left w:val="single" w:sz="4" w:space="0" w:color="BFBFBF"/>
              <w:bottom w:val="nil"/>
            </w:tcBorders>
            <w:vAlign w:val="center"/>
          </w:tcPr>
          <w:p w:rsidR="004A72E7" w:rsidRPr="001E2F6E" w:rsidRDefault="004A72E7" w:rsidP="00917494">
            <w:pPr>
              <w:spacing w:line="240" w:lineRule="exact"/>
              <w:ind w:left="227" w:right="170" w:hanging="227"/>
              <w:jc w:val="right"/>
              <w:rPr>
                <w:sz w:val="16"/>
                <w:szCs w:val="16"/>
                <w:lang w:eastAsia="es-ES"/>
              </w:rPr>
            </w:pPr>
            <w:r w:rsidRPr="001E2F6E">
              <w:rPr>
                <w:sz w:val="16"/>
                <w:szCs w:val="16"/>
                <w:lang w:eastAsia="es-ES"/>
              </w:rPr>
              <w:t>10,9</w:t>
            </w:r>
          </w:p>
        </w:tc>
      </w:tr>
      <w:tr w:rsidR="004A72E7" w:rsidRPr="001E2F6E">
        <w:trPr>
          <w:jc w:val="center"/>
        </w:trPr>
        <w:tc>
          <w:tcPr>
            <w:tcW w:w="2007" w:type="pct"/>
            <w:tcBorders>
              <w:top w:val="nil"/>
              <w:left w:val="nil"/>
              <w:bottom w:val="nil"/>
              <w:right w:val="single" w:sz="8" w:space="0" w:color="BFBFBF"/>
            </w:tcBorders>
            <w:vAlign w:val="center"/>
          </w:tcPr>
          <w:p w:rsidR="004A72E7" w:rsidRPr="001E2F6E" w:rsidRDefault="004A72E7" w:rsidP="00917494">
            <w:pPr>
              <w:spacing w:line="240" w:lineRule="exact"/>
              <w:ind w:left="227" w:hanging="227"/>
              <w:rPr>
                <w:sz w:val="16"/>
                <w:szCs w:val="16"/>
                <w:lang w:eastAsia="es-ES"/>
              </w:rPr>
            </w:pPr>
            <w:r w:rsidRPr="001E2F6E">
              <w:rPr>
                <w:sz w:val="16"/>
                <w:szCs w:val="16"/>
                <w:lang w:val="eu-ES" w:eastAsia="es-ES"/>
              </w:rPr>
              <w:t>201-500 langile</w:t>
            </w:r>
          </w:p>
        </w:tc>
        <w:tc>
          <w:tcPr>
            <w:tcW w:w="1038" w:type="pct"/>
            <w:tcBorders>
              <w:top w:val="nil"/>
              <w:left w:val="nil"/>
              <w:bottom w:val="nil"/>
              <w:right w:val="single" w:sz="4" w:space="0" w:color="BFBFBF"/>
            </w:tcBorders>
            <w:vAlign w:val="center"/>
          </w:tcPr>
          <w:p w:rsidR="004A72E7" w:rsidRPr="001E2F6E" w:rsidRDefault="004A72E7" w:rsidP="00917494">
            <w:pPr>
              <w:spacing w:line="240" w:lineRule="exact"/>
              <w:ind w:left="227" w:right="170" w:hanging="227"/>
              <w:jc w:val="right"/>
              <w:rPr>
                <w:sz w:val="16"/>
                <w:szCs w:val="16"/>
                <w:lang w:eastAsia="es-ES"/>
              </w:rPr>
            </w:pPr>
            <w:r w:rsidRPr="001E2F6E">
              <w:rPr>
                <w:sz w:val="16"/>
                <w:szCs w:val="16"/>
                <w:lang w:eastAsia="es-ES"/>
              </w:rPr>
              <w:t>8.101</w:t>
            </w:r>
          </w:p>
        </w:tc>
        <w:tc>
          <w:tcPr>
            <w:tcW w:w="1038" w:type="pct"/>
            <w:tcBorders>
              <w:top w:val="nil"/>
              <w:left w:val="single" w:sz="4" w:space="0" w:color="BFBFBF"/>
              <w:bottom w:val="nil"/>
              <w:right w:val="single" w:sz="4" w:space="0" w:color="BFBFBF"/>
            </w:tcBorders>
            <w:vAlign w:val="center"/>
          </w:tcPr>
          <w:p w:rsidR="004A72E7" w:rsidRPr="001E2F6E" w:rsidRDefault="004A72E7" w:rsidP="00917494">
            <w:pPr>
              <w:spacing w:line="240" w:lineRule="exact"/>
              <w:ind w:left="227" w:right="170" w:hanging="227"/>
              <w:jc w:val="right"/>
              <w:rPr>
                <w:sz w:val="16"/>
                <w:szCs w:val="16"/>
                <w:lang w:eastAsia="es-ES"/>
              </w:rPr>
            </w:pPr>
            <w:r w:rsidRPr="001E2F6E">
              <w:rPr>
                <w:sz w:val="16"/>
                <w:szCs w:val="16"/>
                <w:lang w:eastAsia="es-ES"/>
              </w:rPr>
              <w:t>7.229</w:t>
            </w:r>
          </w:p>
        </w:tc>
        <w:tc>
          <w:tcPr>
            <w:tcW w:w="917" w:type="pct"/>
            <w:tcBorders>
              <w:top w:val="nil"/>
              <w:left w:val="single" w:sz="4" w:space="0" w:color="BFBFBF"/>
              <w:bottom w:val="nil"/>
            </w:tcBorders>
            <w:vAlign w:val="center"/>
          </w:tcPr>
          <w:p w:rsidR="004A72E7" w:rsidRPr="001E2F6E" w:rsidRDefault="004A72E7" w:rsidP="00917494">
            <w:pPr>
              <w:spacing w:line="240" w:lineRule="exact"/>
              <w:ind w:left="227" w:right="170" w:hanging="227"/>
              <w:jc w:val="right"/>
              <w:rPr>
                <w:sz w:val="16"/>
                <w:szCs w:val="16"/>
                <w:lang w:eastAsia="es-ES"/>
              </w:rPr>
            </w:pPr>
            <w:r w:rsidRPr="001E2F6E">
              <w:rPr>
                <w:sz w:val="16"/>
                <w:szCs w:val="16"/>
                <w:lang w:eastAsia="es-ES"/>
              </w:rPr>
              <w:t>-10,8</w:t>
            </w:r>
          </w:p>
        </w:tc>
      </w:tr>
      <w:tr w:rsidR="004A72E7" w:rsidRPr="001E2F6E">
        <w:trPr>
          <w:jc w:val="center"/>
        </w:trPr>
        <w:tc>
          <w:tcPr>
            <w:tcW w:w="2007" w:type="pct"/>
            <w:tcBorders>
              <w:top w:val="nil"/>
              <w:left w:val="nil"/>
              <w:bottom w:val="single" w:sz="8" w:space="0" w:color="BFBFBF"/>
              <w:right w:val="single" w:sz="8" w:space="0" w:color="BFBFBF"/>
            </w:tcBorders>
            <w:vAlign w:val="center"/>
          </w:tcPr>
          <w:p w:rsidR="004A72E7" w:rsidRPr="001E2F6E" w:rsidRDefault="004A72E7" w:rsidP="00917494">
            <w:pPr>
              <w:spacing w:line="240" w:lineRule="exact"/>
              <w:ind w:left="227" w:hanging="227"/>
              <w:rPr>
                <w:sz w:val="16"/>
                <w:szCs w:val="16"/>
                <w:lang w:eastAsia="es-ES"/>
              </w:rPr>
            </w:pPr>
            <w:r w:rsidRPr="001E2F6E">
              <w:rPr>
                <w:sz w:val="16"/>
                <w:szCs w:val="16"/>
                <w:lang w:val="eu-ES" w:eastAsia="es-ES"/>
              </w:rPr>
              <w:t>500 langile baino gehiago</w:t>
            </w:r>
          </w:p>
        </w:tc>
        <w:tc>
          <w:tcPr>
            <w:tcW w:w="1038" w:type="pct"/>
            <w:tcBorders>
              <w:top w:val="nil"/>
              <w:left w:val="nil"/>
              <w:bottom w:val="single" w:sz="8" w:space="0" w:color="BFBFBF"/>
              <w:right w:val="single" w:sz="4" w:space="0" w:color="BFBFBF"/>
            </w:tcBorders>
            <w:vAlign w:val="center"/>
          </w:tcPr>
          <w:p w:rsidR="004A72E7" w:rsidRPr="001E2F6E" w:rsidRDefault="004A72E7" w:rsidP="00917494">
            <w:pPr>
              <w:spacing w:line="240" w:lineRule="exact"/>
              <w:ind w:left="227" w:right="170" w:hanging="227"/>
              <w:jc w:val="right"/>
              <w:rPr>
                <w:sz w:val="16"/>
                <w:szCs w:val="16"/>
                <w:lang w:eastAsia="es-ES"/>
              </w:rPr>
            </w:pPr>
            <w:r w:rsidRPr="001E2F6E">
              <w:rPr>
                <w:sz w:val="16"/>
                <w:szCs w:val="16"/>
                <w:lang w:eastAsia="es-ES"/>
              </w:rPr>
              <w:t>23.492</w:t>
            </w:r>
          </w:p>
        </w:tc>
        <w:tc>
          <w:tcPr>
            <w:tcW w:w="1038" w:type="pct"/>
            <w:tcBorders>
              <w:top w:val="nil"/>
              <w:left w:val="single" w:sz="4" w:space="0" w:color="BFBFBF"/>
              <w:bottom w:val="single" w:sz="8" w:space="0" w:color="BFBFBF"/>
              <w:right w:val="single" w:sz="4" w:space="0" w:color="BFBFBF"/>
            </w:tcBorders>
            <w:vAlign w:val="center"/>
          </w:tcPr>
          <w:p w:rsidR="004A72E7" w:rsidRPr="001E2F6E" w:rsidRDefault="004A72E7" w:rsidP="00917494">
            <w:pPr>
              <w:spacing w:line="240" w:lineRule="exact"/>
              <w:ind w:left="227" w:right="170" w:hanging="227"/>
              <w:jc w:val="right"/>
              <w:rPr>
                <w:sz w:val="16"/>
                <w:szCs w:val="16"/>
                <w:lang w:eastAsia="es-ES"/>
              </w:rPr>
            </w:pPr>
            <w:r w:rsidRPr="001E2F6E">
              <w:rPr>
                <w:sz w:val="16"/>
                <w:szCs w:val="16"/>
                <w:lang w:eastAsia="es-ES"/>
              </w:rPr>
              <w:t>21.646</w:t>
            </w:r>
          </w:p>
        </w:tc>
        <w:tc>
          <w:tcPr>
            <w:tcW w:w="917" w:type="pct"/>
            <w:tcBorders>
              <w:top w:val="nil"/>
              <w:left w:val="single" w:sz="4" w:space="0" w:color="BFBFBF"/>
              <w:bottom w:val="single" w:sz="4" w:space="0" w:color="BFBFBF"/>
            </w:tcBorders>
            <w:vAlign w:val="center"/>
          </w:tcPr>
          <w:p w:rsidR="004A72E7" w:rsidRPr="001E2F6E" w:rsidRDefault="004A72E7" w:rsidP="00917494">
            <w:pPr>
              <w:spacing w:line="240" w:lineRule="exact"/>
              <w:ind w:left="227" w:right="170" w:hanging="227"/>
              <w:jc w:val="right"/>
              <w:rPr>
                <w:sz w:val="16"/>
                <w:szCs w:val="16"/>
                <w:lang w:eastAsia="es-ES"/>
              </w:rPr>
            </w:pPr>
            <w:r w:rsidRPr="001E2F6E">
              <w:rPr>
                <w:sz w:val="16"/>
                <w:szCs w:val="16"/>
                <w:lang w:eastAsia="es-ES"/>
              </w:rPr>
              <w:t>-7,9</w:t>
            </w:r>
          </w:p>
        </w:tc>
      </w:tr>
      <w:tr w:rsidR="004A72E7" w:rsidRPr="001E2F6E">
        <w:trPr>
          <w:jc w:val="center"/>
        </w:trPr>
        <w:tc>
          <w:tcPr>
            <w:tcW w:w="2007" w:type="pct"/>
            <w:tcBorders>
              <w:top w:val="nil"/>
              <w:left w:val="nil"/>
              <w:bottom w:val="single" w:sz="8" w:space="0" w:color="BFBFBF"/>
              <w:right w:val="single" w:sz="8" w:space="0" w:color="BFBFBF"/>
            </w:tcBorders>
            <w:vAlign w:val="center"/>
          </w:tcPr>
          <w:p w:rsidR="004A72E7" w:rsidRPr="001E2F6E" w:rsidRDefault="004A72E7" w:rsidP="00917494">
            <w:pPr>
              <w:spacing w:line="240" w:lineRule="exact"/>
              <w:ind w:left="227" w:hanging="227"/>
              <w:rPr>
                <w:sz w:val="16"/>
                <w:szCs w:val="16"/>
                <w:lang w:eastAsia="es-ES"/>
              </w:rPr>
            </w:pPr>
            <w:r w:rsidRPr="001E2F6E">
              <w:rPr>
                <w:b/>
                <w:bCs/>
                <w:sz w:val="16"/>
                <w:szCs w:val="16"/>
                <w:lang w:val="eu-ES" w:eastAsia="es-ES"/>
              </w:rPr>
              <w:t>GUZTIRA</w:t>
            </w:r>
          </w:p>
        </w:tc>
        <w:tc>
          <w:tcPr>
            <w:tcW w:w="1038" w:type="pct"/>
            <w:tcBorders>
              <w:top w:val="nil"/>
              <w:left w:val="nil"/>
              <w:bottom w:val="single" w:sz="8" w:space="0" w:color="BFBFBF"/>
              <w:right w:val="single" w:sz="4" w:space="0" w:color="BFBFBF"/>
            </w:tcBorders>
            <w:vAlign w:val="center"/>
          </w:tcPr>
          <w:p w:rsidR="004A72E7" w:rsidRPr="001E2F6E" w:rsidRDefault="004A72E7" w:rsidP="00917494">
            <w:pPr>
              <w:spacing w:line="240" w:lineRule="exact"/>
              <w:ind w:left="227" w:right="170" w:hanging="227"/>
              <w:jc w:val="right"/>
              <w:rPr>
                <w:sz w:val="16"/>
                <w:szCs w:val="16"/>
                <w:lang w:eastAsia="es-ES"/>
              </w:rPr>
            </w:pPr>
            <w:r w:rsidRPr="001E2F6E">
              <w:rPr>
                <w:b/>
                <w:bCs/>
                <w:sz w:val="16"/>
                <w:szCs w:val="16"/>
                <w:lang w:eastAsia="es-ES"/>
              </w:rPr>
              <w:t>59.915</w:t>
            </w:r>
          </w:p>
        </w:tc>
        <w:tc>
          <w:tcPr>
            <w:tcW w:w="1038" w:type="pct"/>
            <w:tcBorders>
              <w:top w:val="nil"/>
              <w:left w:val="single" w:sz="4" w:space="0" w:color="BFBFBF"/>
              <w:bottom w:val="single" w:sz="8" w:space="0" w:color="BFBFBF"/>
              <w:right w:val="single" w:sz="4" w:space="0" w:color="BFBFBF"/>
            </w:tcBorders>
            <w:vAlign w:val="center"/>
          </w:tcPr>
          <w:p w:rsidR="004A72E7" w:rsidRPr="001E2F6E" w:rsidRDefault="004A72E7" w:rsidP="00917494">
            <w:pPr>
              <w:spacing w:line="240" w:lineRule="exact"/>
              <w:ind w:left="227" w:right="170" w:hanging="227"/>
              <w:jc w:val="right"/>
              <w:rPr>
                <w:sz w:val="16"/>
                <w:szCs w:val="16"/>
                <w:lang w:eastAsia="es-ES"/>
              </w:rPr>
            </w:pPr>
            <w:r w:rsidRPr="001E2F6E">
              <w:rPr>
                <w:b/>
                <w:bCs/>
                <w:sz w:val="16"/>
                <w:szCs w:val="16"/>
                <w:lang w:eastAsia="es-ES"/>
              </w:rPr>
              <w:t>55.809</w:t>
            </w:r>
          </w:p>
        </w:tc>
        <w:tc>
          <w:tcPr>
            <w:tcW w:w="917" w:type="pct"/>
            <w:tcBorders>
              <w:top w:val="single" w:sz="4" w:space="0" w:color="BFBFBF"/>
              <w:left w:val="single" w:sz="4" w:space="0" w:color="BFBFBF"/>
              <w:bottom w:val="single" w:sz="8" w:space="0" w:color="BFBFBF"/>
              <w:right w:val="nil"/>
            </w:tcBorders>
            <w:vAlign w:val="center"/>
          </w:tcPr>
          <w:p w:rsidR="004A72E7" w:rsidRPr="001E2F6E" w:rsidRDefault="004A72E7" w:rsidP="00917494">
            <w:pPr>
              <w:spacing w:line="240" w:lineRule="exact"/>
              <w:ind w:left="227" w:right="170" w:hanging="227"/>
              <w:jc w:val="right"/>
              <w:rPr>
                <w:sz w:val="16"/>
                <w:szCs w:val="16"/>
                <w:lang w:eastAsia="es-ES"/>
              </w:rPr>
            </w:pPr>
            <w:r w:rsidRPr="001E2F6E">
              <w:rPr>
                <w:b/>
                <w:bCs/>
                <w:sz w:val="16"/>
                <w:szCs w:val="16"/>
                <w:lang w:eastAsia="es-ES"/>
              </w:rPr>
              <w:t>-6,9</w:t>
            </w:r>
          </w:p>
        </w:tc>
      </w:tr>
    </w:tbl>
    <w:p w:rsidR="004A72E7" w:rsidRPr="001E2F6E" w:rsidRDefault="004A72E7" w:rsidP="00354E9D">
      <w:pPr>
        <w:ind w:left="227" w:hanging="227"/>
      </w:pPr>
    </w:p>
    <w:p w:rsidR="004A72E7" w:rsidRPr="001E2F6E" w:rsidRDefault="004A72E7" w:rsidP="00354E9D">
      <w:pPr>
        <w:ind w:left="227" w:hanging="227"/>
      </w:pPr>
    </w:p>
    <w:p w:rsidR="004A72E7" w:rsidRPr="001E2F6E" w:rsidRDefault="004A72E7">
      <w:pPr>
        <w:spacing w:after="200" w:line="276" w:lineRule="auto"/>
        <w:jc w:val="left"/>
        <w:rPr>
          <w:lang w:val="es-ES_tradnl" w:eastAsia="es-ES"/>
        </w:rPr>
      </w:pPr>
      <w:r w:rsidRPr="001E2F6E">
        <w:br w:type="page"/>
      </w:r>
    </w:p>
    <w:p w:rsidR="004A72E7" w:rsidRPr="001E2F6E" w:rsidRDefault="004A72E7" w:rsidP="00781D09">
      <w:pPr>
        <w:pStyle w:val="ARIALNARROW"/>
        <w:spacing w:line="360" w:lineRule="auto"/>
        <w:ind w:left="426" w:hanging="426"/>
        <w:rPr>
          <w:lang w:val="eu-ES"/>
        </w:rPr>
      </w:pPr>
      <w:r w:rsidRPr="001E2F6E">
        <w:lastRenderedPageBreak/>
        <w:tab/>
      </w:r>
      <w:r w:rsidRPr="001E2F6E">
        <w:rPr>
          <w:lang w:val="eu-ES"/>
        </w:rPr>
        <w:t>Neurri handi batean, kooperatiba txikiak sortzearen dinamismo handiagoagatik azal daiteke hori, erregulazio malguago baten eta mikroenpresa horiek sustatzeko laguntza-programen esparru batean baitaude.</w:t>
      </w:r>
      <w:r w:rsidRPr="001E2F6E">
        <w:t xml:space="preserve"> </w:t>
      </w:r>
      <w:r w:rsidRPr="001E2F6E">
        <w:rPr>
          <w:lang w:val="eu-ES"/>
        </w:rPr>
        <w:t>Izan ere, establezimendu-kopuruaren hazkundea kooperatiben sektorean gertatu zen bakarrik; hain zuzen, 2010ean, 2.029 establezimendu zeuden sektorean, eta 2012an, berriz, 2.194. Sektorearen barruan, kooperatiba handiagoen bolumena txikitzeko testuinguru batean, 2010ean, bost langileko edo gutxiagoko 612 establezimendu kooperatibo zeuden, eta 2012an, ordea, 900.</w:t>
      </w:r>
    </w:p>
    <w:p w:rsidR="004A72E7" w:rsidRPr="001E2F6E" w:rsidRDefault="004A72E7" w:rsidP="00354E9D">
      <w:pPr>
        <w:pStyle w:val="ARIALNARROW"/>
        <w:spacing w:line="360" w:lineRule="auto"/>
        <w:ind w:left="227" w:hanging="227"/>
        <w:rPr>
          <w:lang w:val="eu-ES"/>
        </w:rPr>
      </w:pPr>
    </w:p>
    <w:p w:rsidR="004A72E7" w:rsidRPr="001E2F6E" w:rsidRDefault="004A72E7" w:rsidP="00917494">
      <w:pPr>
        <w:pStyle w:val="ARIALNARROW"/>
        <w:spacing w:line="240" w:lineRule="auto"/>
        <w:ind w:left="227" w:hanging="227"/>
        <w:jc w:val="center"/>
        <w:rPr>
          <w:color w:val="1F497D" w:themeColor="text2"/>
          <w:lang w:val="eu-ES"/>
        </w:rPr>
      </w:pPr>
      <w:r w:rsidRPr="001E2F6E">
        <w:rPr>
          <w:b/>
          <w:bCs/>
          <w:color w:val="1F497D" w:themeColor="text2"/>
          <w:sz w:val="18"/>
          <w:szCs w:val="18"/>
          <w:lang w:val="eu-ES"/>
        </w:rPr>
        <w:t>ESTABLEZIMENDU KOOPERATIBOEN KOPURUAREN BILAKAERA TAMAINAREN ARABERA, 2010-2012</w:t>
      </w:r>
    </w:p>
    <w:tbl>
      <w:tblPr>
        <w:tblW w:w="8804" w:type="dxa"/>
        <w:tblInd w:w="55" w:type="dxa"/>
        <w:tblCellMar>
          <w:left w:w="70" w:type="dxa"/>
          <w:right w:w="70" w:type="dxa"/>
        </w:tblCellMar>
        <w:tblLook w:val="00A0" w:firstRow="1" w:lastRow="0" w:firstColumn="1" w:lastColumn="0" w:noHBand="0" w:noVBand="0"/>
      </w:tblPr>
      <w:tblGrid>
        <w:gridCol w:w="3559"/>
        <w:gridCol w:w="1843"/>
        <w:gridCol w:w="1701"/>
        <w:gridCol w:w="1701"/>
      </w:tblGrid>
      <w:tr w:rsidR="004A72E7" w:rsidRPr="001E2F6E">
        <w:tc>
          <w:tcPr>
            <w:tcW w:w="3559" w:type="dxa"/>
            <w:vMerge w:val="restart"/>
            <w:tcBorders>
              <w:top w:val="single" w:sz="8" w:space="0" w:color="BFBFBF"/>
              <w:left w:val="nil"/>
              <w:bottom w:val="single" w:sz="8" w:space="0" w:color="BFBFBF"/>
              <w:right w:val="single" w:sz="8" w:space="0" w:color="BFBFBF"/>
            </w:tcBorders>
            <w:shd w:val="clear" w:color="000000" w:fill="DBE5F1"/>
            <w:vAlign w:val="bottom"/>
          </w:tcPr>
          <w:p w:rsidR="004A72E7" w:rsidRPr="001E2F6E" w:rsidRDefault="004A72E7" w:rsidP="00917494">
            <w:pPr>
              <w:spacing w:line="240" w:lineRule="exact"/>
              <w:jc w:val="left"/>
              <w:rPr>
                <w:rFonts w:ascii="Calibri" w:hAnsi="Calibri" w:cs="Calibri"/>
                <w:color w:val="000000"/>
                <w:sz w:val="22"/>
                <w:szCs w:val="22"/>
                <w:lang w:val="eu-ES" w:eastAsia="es-ES"/>
              </w:rPr>
            </w:pPr>
            <w:r w:rsidRPr="001E2F6E">
              <w:rPr>
                <w:rFonts w:ascii="Calibri" w:hAnsi="Calibri" w:cs="Calibri"/>
                <w:color w:val="000000"/>
                <w:sz w:val="22"/>
                <w:szCs w:val="22"/>
                <w:lang w:val="eu-ES" w:eastAsia="es-ES"/>
              </w:rPr>
              <w:t> </w:t>
            </w:r>
          </w:p>
        </w:tc>
        <w:tc>
          <w:tcPr>
            <w:tcW w:w="1843" w:type="dxa"/>
            <w:tcBorders>
              <w:top w:val="single" w:sz="8" w:space="0" w:color="BFBFBF"/>
              <w:left w:val="nil"/>
              <w:bottom w:val="nil"/>
              <w:right w:val="single" w:sz="8" w:space="0" w:color="BFBFBF"/>
            </w:tcBorders>
            <w:shd w:val="clear" w:color="000000" w:fill="DBE5F1"/>
            <w:vAlign w:val="bottom"/>
          </w:tcPr>
          <w:p w:rsidR="004A72E7" w:rsidRPr="001E2F6E" w:rsidRDefault="004A72E7" w:rsidP="00917494">
            <w:pPr>
              <w:spacing w:line="240" w:lineRule="exact"/>
              <w:jc w:val="center"/>
              <w:rPr>
                <w:b/>
                <w:bCs/>
                <w:color w:val="000000"/>
                <w:sz w:val="16"/>
                <w:szCs w:val="16"/>
                <w:lang w:eastAsia="es-ES"/>
              </w:rPr>
            </w:pPr>
            <w:r w:rsidRPr="001E2F6E">
              <w:rPr>
                <w:b/>
                <w:bCs/>
                <w:sz w:val="16"/>
                <w:szCs w:val="16"/>
                <w:lang w:val="eu-ES" w:eastAsia="es-ES"/>
              </w:rPr>
              <w:t>Establezimenduak</w:t>
            </w:r>
            <w:r w:rsidRPr="001E2F6E">
              <w:rPr>
                <w:b/>
                <w:bCs/>
                <w:color w:val="000000"/>
                <w:sz w:val="16"/>
                <w:szCs w:val="16"/>
                <w:lang w:eastAsia="es-ES"/>
              </w:rPr>
              <w:t xml:space="preserve"> </w:t>
            </w:r>
          </w:p>
        </w:tc>
        <w:tc>
          <w:tcPr>
            <w:tcW w:w="1701" w:type="dxa"/>
            <w:tcBorders>
              <w:top w:val="single" w:sz="8" w:space="0" w:color="BFBFBF"/>
              <w:left w:val="nil"/>
              <w:bottom w:val="nil"/>
              <w:right w:val="single" w:sz="8" w:space="0" w:color="BFBFBF"/>
            </w:tcBorders>
            <w:shd w:val="clear" w:color="000000" w:fill="DBE5F1"/>
            <w:vAlign w:val="bottom"/>
          </w:tcPr>
          <w:p w:rsidR="004A72E7" w:rsidRPr="001E2F6E" w:rsidRDefault="004A72E7" w:rsidP="00917494">
            <w:pPr>
              <w:spacing w:line="240" w:lineRule="exact"/>
              <w:jc w:val="center"/>
              <w:rPr>
                <w:b/>
                <w:bCs/>
                <w:color w:val="000000"/>
                <w:sz w:val="16"/>
                <w:szCs w:val="16"/>
                <w:lang w:eastAsia="es-ES"/>
              </w:rPr>
            </w:pPr>
            <w:r w:rsidRPr="001E2F6E">
              <w:rPr>
                <w:b/>
                <w:bCs/>
                <w:sz w:val="16"/>
                <w:szCs w:val="16"/>
                <w:lang w:val="eu-ES" w:eastAsia="es-ES"/>
              </w:rPr>
              <w:t>Establezimenduak</w:t>
            </w:r>
          </w:p>
        </w:tc>
        <w:tc>
          <w:tcPr>
            <w:tcW w:w="1701" w:type="dxa"/>
            <w:tcBorders>
              <w:top w:val="single" w:sz="8" w:space="0" w:color="BFBFBF"/>
              <w:left w:val="nil"/>
              <w:bottom w:val="nil"/>
              <w:right w:val="nil"/>
            </w:tcBorders>
            <w:shd w:val="clear" w:color="000000" w:fill="DBE5F1"/>
            <w:vAlign w:val="bottom"/>
          </w:tcPr>
          <w:p w:rsidR="004A72E7" w:rsidRPr="001E2F6E" w:rsidRDefault="004A72E7" w:rsidP="00917494">
            <w:pPr>
              <w:spacing w:line="240" w:lineRule="exact"/>
              <w:jc w:val="center"/>
              <w:rPr>
                <w:b/>
                <w:bCs/>
                <w:sz w:val="16"/>
                <w:szCs w:val="16"/>
                <w:lang w:eastAsia="es-ES"/>
              </w:rPr>
            </w:pPr>
            <w:r w:rsidRPr="001E2F6E">
              <w:rPr>
                <w:b/>
                <w:bCs/>
                <w:sz w:val="16"/>
                <w:szCs w:val="16"/>
                <w:lang w:val="eu-ES" w:eastAsia="es-ES"/>
              </w:rPr>
              <w:t>Bilakaera</w:t>
            </w:r>
            <w:r w:rsidRPr="001E2F6E">
              <w:rPr>
                <w:b/>
                <w:bCs/>
                <w:sz w:val="16"/>
                <w:szCs w:val="16"/>
                <w:lang w:eastAsia="es-ES"/>
              </w:rPr>
              <w:t xml:space="preserve"> </w:t>
            </w:r>
          </w:p>
        </w:tc>
      </w:tr>
      <w:tr w:rsidR="004A72E7" w:rsidRPr="001E2F6E">
        <w:tc>
          <w:tcPr>
            <w:tcW w:w="3559" w:type="dxa"/>
            <w:vMerge/>
            <w:tcBorders>
              <w:top w:val="single" w:sz="8" w:space="0" w:color="BFBFBF"/>
              <w:left w:val="nil"/>
              <w:bottom w:val="single" w:sz="8" w:space="0" w:color="BFBFBF"/>
              <w:right w:val="single" w:sz="8" w:space="0" w:color="BFBFBF"/>
            </w:tcBorders>
            <w:vAlign w:val="center"/>
          </w:tcPr>
          <w:p w:rsidR="004A72E7" w:rsidRPr="001E2F6E" w:rsidRDefault="004A72E7" w:rsidP="00917494">
            <w:pPr>
              <w:spacing w:line="240" w:lineRule="exact"/>
              <w:jc w:val="left"/>
              <w:rPr>
                <w:rFonts w:ascii="Calibri" w:hAnsi="Calibri" w:cs="Calibri"/>
                <w:color w:val="000000"/>
                <w:sz w:val="22"/>
                <w:szCs w:val="22"/>
                <w:lang w:eastAsia="es-ES"/>
              </w:rPr>
            </w:pPr>
          </w:p>
        </w:tc>
        <w:tc>
          <w:tcPr>
            <w:tcW w:w="1843" w:type="dxa"/>
            <w:tcBorders>
              <w:top w:val="nil"/>
              <w:left w:val="nil"/>
              <w:bottom w:val="single" w:sz="8" w:space="0" w:color="BFBFBF"/>
              <w:right w:val="single" w:sz="8" w:space="0" w:color="BFBFBF"/>
            </w:tcBorders>
            <w:shd w:val="clear" w:color="000000" w:fill="DBE5F1"/>
            <w:vAlign w:val="bottom"/>
          </w:tcPr>
          <w:p w:rsidR="004A72E7" w:rsidRPr="001E2F6E" w:rsidRDefault="004A72E7" w:rsidP="00917494">
            <w:pPr>
              <w:spacing w:line="240" w:lineRule="exact"/>
              <w:jc w:val="center"/>
              <w:rPr>
                <w:b/>
                <w:bCs/>
                <w:color w:val="000000"/>
                <w:sz w:val="16"/>
                <w:szCs w:val="16"/>
                <w:lang w:eastAsia="es-ES"/>
              </w:rPr>
            </w:pPr>
            <w:r w:rsidRPr="001E2F6E">
              <w:rPr>
                <w:b/>
                <w:bCs/>
                <w:color w:val="000000"/>
                <w:sz w:val="16"/>
                <w:szCs w:val="16"/>
                <w:lang w:eastAsia="es-ES"/>
              </w:rPr>
              <w:t>2010</w:t>
            </w:r>
          </w:p>
        </w:tc>
        <w:tc>
          <w:tcPr>
            <w:tcW w:w="1701" w:type="dxa"/>
            <w:tcBorders>
              <w:top w:val="nil"/>
              <w:left w:val="nil"/>
              <w:bottom w:val="single" w:sz="8" w:space="0" w:color="BFBFBF"/>
              <w:right w:val="single" w:sz="8" w:space="0" w:color="BFBFBF"/>
            </w:tcBorders>
            <w:shd w:val="clear" w:color="000000" w:fill="DBE5F1"/>
            <w:vAlign w:val="bottom"/>
          </w:tcPr>
          <w:p w:rsidR="004A72E7" w:rsidRPr="001E2F6E" w:rsidRDefault="004A72E7" w:rsidP="00917494">
            <w:pPr>
              <w:spacing w:line="240" w:lineRule="exact"/>
              <w:jc w:val="center"/>
              <w:rPr>
                <w:b/>
                <w:bCs/>
                <w:color w:val="000000"/>
                <w:sz w:val="16"/>
                <w:szCs w:val="16"/>
                <w:lang w:eastAsia="es-ES"/>
              </w:rPr>
            </w:pPr>
            <w:r w:rsidRPr="001E2F6E">
              <w:rPr>
                <w:b/>
                <w:bCs/>
                <w:color w:val="000000"/>
                <w:sz w:val="16"/>
                <w:szCs w:val="16"/>
                <w:lang w:eastAsia="es-ES"/>
              </w:rPr>
              <w:t>2012</w:t>
            </w:r>
          </w:p>
        </w:tc>
        <w:tc>
          <w:tcPr>
            <w:tcW w:w="1701" w:type="dxa"/>
            <w:tcBorders>
              <w:top w:val="nil"/>
              <w:left w:val="nil"/>
              <w:bottom w:val="single" w:sz="8" w:space="0" w:color="BFBFBF"/>
              <w:right w:val="nil"/>
            </w:tcBorders>
            <w:shd w:val="clear" w:color="000000" w:fill="DBE5F1"/>
            <w:vAlign w:val="bottom"/>
          </w:tcPr>
          <w:p w:rsidR="004A72E7" w:rsidRPr="001E2F6E" w:rsidRDefault="004A72E7" w:rsidP="00917494">
            <w:pPr>
              <w:spacing w:line="240" w:lineRule="exact"/>
              <w:jc w:val="center"/>
              <w:rPr>
                <w:b/>
                <w:bCs/>
                <w:sz w:val="16"/>
                <w:szCs w:val="16"/>
                <w:lang w:eastAsia="es-ES"/>
              </w:rPr>
            </w:pPr>
            <w:r w:rsidRPr="001E2F6E">
              <w:rPr>
                <w:b/>
                <w:bCs/>
                <w:sz w:val="16"/>
                <w:szCs w:val="16"/>
                <w:lang w:eastAsia="es-ES"/>
              </w:rPr>
              <w:t>2010 – 2012 (%)</w:t>
            </w:r>
          </w:p>
        </w:tc>
      </w:tr>
      <w:tr w:rsidR="004A72E7" w:rsidRPr="001E2F6E">
        <w:tc>
          <w:tcPr>
            <w:tcW w:w="3559" w:type="dxa"/>
            <w:tcBorders>
              <w:top w:val="nil"/>
              <w:left w:val="nil"/>
              <w:bottom w:val="nil"/>
              <w:right w:val="single" w:sz="8" w:space="0" w:color="BFBFBF"/>
            </w:tcBorders>
            <w:vAlign w:val="bottom"/>
          </w:tcPr>
          <w:p w:rsidR="004A72E7" w:rsidRPr="001E2F6E" w:rsidRDefault="004A72E7" w:rsidP="00917494">
            <w:pPr>
              <w:spacing w:line="240" w:lineRule="exact"/>
              <w:rPr>
                <w:color w:val="000000"/>
                <w:sz w:val="16"/>
                <w:szCs w:val="16"/>
                <w:lang w:eastAsia="es-ES"/>
              </w:rPr>
            </w:pPr>
            <w:r w:rsidRPr="001E2F6E">
              <w:rPr>
                <w:sz w:val="16"/>
                <w:szCs w:val="16"/>
                <w:lang w:val="eu-ES" w:eastAsia="es-ES"/>
              </w:rPr>
              <w:t>5 langile edo gutxiago</w:t>
            </w:r>
          </w:p>
        </w:tc>
        <w:tc>
          <w:tcPr>
            <w:tcW w:w="1843" w:type="dxa"/>
            <w:tcBorders>
              <w:top w:val="nil"/>
              <w:left w:val="nil"/>
              <w:bottom w:val="nil"/>
              <w:right w:val="single" w:sz="8" w:space="0" w:color="BFBFBF"/>
            </w:tcBorders>
            <w:vAlign w:val="bottom"/>
          </w:tcPr>
          <w:p w:rsidR="004A72E7" w:rsidRPr="001E2F6E" w:rsidRDefault="004A72E7" w:rsidP="00917494">
            <w:pPr>
              <w:spacing w:line="240" w:lineRule="exact"/>
              <w:ind w:right="170"/>
              <w:jc w:val="right"/>
              <w:rPr>
                <w:color w:val="000000"/>
                <w:sz w:val="16"/>
                <w:szCs w:val="16"/>
                <w:lang w:eastAsia="es-ES"/>
              </w:rPr>
            </w:pPr>
            <w:r w:rsidRPr="001E2F6E">
              <w:rPr>
                <w:color w:val="000000"/>
                <w:sz w:val="16"/>
                <w:szCs w:val="16"/>
                <w:lang w:eastAsia="es-ES"/>
              </w:rPr>
              <w:t>612</w:t>
            </w:r>
          </w:p>
        </w:tc>
        <w:tc>
          <w:tcPr>
            <w:tcW w:w="1701" w:type="dxa"/>
            <w:tcBorders>
              <w:top w:val="nil"/>
              <w:left w:val="nil"/>
              <w:bottom w:val="nil"/>
              <w:right w:val="single" w:sz="8" w:space="0" w:color="BFBFBF"/>
            </w:tcBorders>
            <w:vAlign w:val="bottom"/>
          </w:tcPr>
          <w:p w:rsidR="004A72E7" w:rsidRPr="001E2F6E" w:rsidRDefault="004A72E7" w:rsidP="00917494">
            <w:pPr>
              <w:spacing w:line="240" w:lineRule="exact"/>
              <w:ind w:right="170"/>
              <w:jc w:val="right"/>
              <w:rPr>
                <w:color w:val="000000"/>
                <w:sz w:val="16"/>
                <w:szCs w:val="16"/>
                <w:lang w:eastAsia="es-ES"/>
              </w:rPr>
            </w:pPr>
            <w:r w:rsidRPr="001E2F6E">
              <w:rPr>
                <w:color w:val="000000"/>
                <w:sz w:val="16"/>
                <w:szCs w:val="16"/>
                <w:lang w:eastAsia="es-ES"/>
              </w:rPr>
              <w:t>900</w:t>
            </w:r>
          </w:p>
        </w:tc>
        <w:tc>
          <w:tcPr>
            <w:tcW w:w="1701" w:type="dxa"/>
            <w:tcBorders>
              <w:top w:val="nil"/>
              <w:left w:val="nil"/>
              <w:bottom w:val="nil"/>
              <w:right w:val="nil"/>
            </w:tcBorders>
            <w:vAlign w:val="bottom"/>
          </w:tcPr>
          <w:p w:rsidR="004A72E7" w:rsidRPr="001E2F6E" w:rsidRDefault="004A72E7" w:rsidP="00917494">
            <w:pPr>
              <w:spacing w:line="240" w:lineRule="exact"/>
              <w:ind w:right="170"/>
              <w:jc w:val="right"/>
              <w:rPr>
                <w:sz w:val="16"/>
                <w:szCs w:val="16"/>
                <w:lang w:eastAsia="es-ES"/>
              </w:rPr>
            </w:pPr>
            <w:r w:rsidRPr="001E2F6E">
              <w:rPr>
                <w:sz w:val="16"/>
                <w:szCs w:val="16"/>
                <w:lang w:eastAsia="es-ES"/>
              </w:rPr>
              <w:t>47,1</w:t>
            </w:r>
          </w:p>
        </w:tc>
      </w:tr>
      <w:tr w:rsidR="004A72E7" w:rsidRPr="001E2F6E">
        <w:tc>
          <w:tcPr>
            <w:tcW w:w="3559" w:type="dxa"/>
            <w:tcBorders>
              <w:top w:val="nil"/>
              <w:left w:val="nil"/>
              <w:bottom w:val="nil"/>
              <w:right w:val="single" w:sz="8" w:space="0" w:color="BFBFBF"/>
            </w:tcBorders>
            <w:vAlign w:val="bottom"/>
          </w:tcPr>
          <w:p w:rsidR="004A72E7" w:rsidRPr="001E2F6E" w:rsidRDefault="004A72E7" w:rsidP="00917494">
            <w:pPr>
              <w:spacing w:line="240" w:lineRule="exact"/>
              <w:rPr>
                <w:color w:val="000000"/>
                <w:sz w:val="16"/>
                <w:szCs w:val="16"/>
                <w:lang w:eastAsia="es-ES"/>
              </w:rPr>
            </w:pPr>
            <w:r w:rsidRPr="001E2F6E">
              <w:rPr>
                <w:sz w:val="16"/>
                <w:szCs w:val="16"/>
                <w:lang w:val="eu-ES" w:eastAsia="es-ES"/>
              </w:rPr>
              <w:t>6-15 langile</w:t>
            </w:r>
          </w:p>
        </w:tc>
        <w:tc>
          <w:tcPr>
            <w:tcW w:w="1843" w:type="dxa"/>
            <w:tcBorders>
              <w:top w:val="nil"/>
              <w:left w:val="nil"/>
              <w:bottom w:val="nil"/>
              <w:right w:val="single" w:sz="8" w:space="0" w:color="BFBFBF"/>
            </w:tcBorders>
            <w:vAlign w:val="bottom"/>
          </w:tcPr>
          <w:p w:rsidR="004A72E7" w:rsidRPr="001E2F6E" w:rsidRDefault="004A72E7" w:rsidP="00917494">
            <w:pPr>
              <w:spacing w:line="240" w:lineRule="exact"/>
              <w:ind w:right="170"/>
              <w:jc w:val="right"/>
              <w:rPr>
                <w:color w:val="000000"/>
                <w:sz w:val="16"/>
                <w:szCs w:val="16"/>
                <w:lang w:eastAsia="es-ES"/>
              </w:rPr>
            </w:pPr>
            <w:r w:rsidRPr="001E2F6E">
              <w:rPr>
                <w:color w:val="000000"/>
                <w:sz w:val="16"/>
                <w:szCs w:val="16"/>
                <w:lang w:eastAsia="es-ES"/>
              </w:rPr>
              <w:t>299</w:t>
            </w:r>
          </w:p>
        </w:tc>
        <w:tc>
          <w:tcPr>
            <w:tcW w:w="1701" w:type="dxa"/>
            <w:tcBorders>
              <w:top w:val="nil"/>
              <w:left w:val="nil"/>
              <w:bottom w:val="nil"/>
              <w:right w:val="single" w:sz="8" w:space="0" w:color="BFBFBF"/>
            </w:tcBorders>
            <w:vAlign w:val="bottom"/>
          </w:tcPr>
          <w:p w:rsidR="004A72E7" w:rsidRPr="001E2F6E" w:rsidRDefault="004A72E7" w:rsidP="00917494">
            <w:pPr>
              <w:spacing w:line="240" w:lineRule="exact"/>
              <w:ind w:right="170"/>
              <w:jc w:val="right"/>
              <w:rPr>
                <w:color w:val="000000"/>
                <w:sz w:val="16"/>
                <w:szCs w:val="16"/>
                <w:lang w:eastAsia="es-ES"/>
              </w:rPr>
            </w:pPr>
            <w:r w:rsidRPr="001E2F6E">
              <w:rPr>
                <w:color w:val="000000"/>
                <w:sz w:val="16"/>
                <w:szCs w:val="16"/>
                <w:lang w:eastAsia="es-ES"/>
              </w:rPr>
              <w:t>303</w:t>
            </w:r>
          </w:p>
        </w:tc>
        <w:tc>
          <w:tcPr>
            <w:tcW w:w="1701" w:type="dxa"/>
            <w:tcBorders>
              <w:top w:val="nil"/>
              <w:left w:val="nil"/>
              <w:bottom w:val="nil"/>
              <w:right w:val="nil"/>
            </w:tcBorders>
            <w:vAlign w:val="bottom"/>
          </w:tcPr>
          <w:p w:rsidR="004A72E7" w:rsidRPr="001E2F6E" w:rsidRDefault="004A72E7" w:rsidP="00917494">
            <w:pPr>
              <w:spacing w:line="240" w:lineRule="exact"/>
              <w:ind w:right="170"/>
              <w:jc w:val="right"/>
              <w:rPr>
                <w:sz w:val="16"/>
                <w:szCs w:val="16"/>
                <w:lang w:eastAsia="es-ES"/>
              </w:rPr>
            </w:pPr>
            <w:r w:rsidRPr="001E2F6E">
              <w:rPr>
                <w:sz w:val="16"/>
                <w:szCs w:val="16"/>
                <w:lang w:eastAsia="es-ES"/>
              </w:rPr>
              <w:t>1,3</w:t>
            </w:r>
          </w:p>
        </w:tc>
      </w:tr>
      <w:tr w:rsidR="004A72E7" w:rsidRPr="001E2F6E">
        <w:tc>
          <w:tcPr>
            <w:tcW w:w="3559" w:type="dxa"/>
            <w:tcBorders>
              <w:top w:val="nil"/>
              <w:left w:val="nil"/>
              <w:bottom w:val="nil"/>
              <w:right w:val="single" w:sz="8" w:space="0" w:color="BFBFBF"/>
            </w:tcBorders>
            <w:vAlign w:val="bottom"/>
          </w:tcPr>
          <w:p w:rsidR="004A72E7" w:rsidRPr="001E2F6E" w:rsidRDefault="004A72E7" w:rsidP="00917494">
            <w:pPr>
              <w:spacing w:line="240" w:lineRule="exact"/>
              <w:rPr>
                <w:color w:val="000000"/>
                <w:sz w:val="16"/>
                <w:szCs w:val="16"/>
                <w:lang w:eastAsia="es-ES"/>
              </w:rPr>
            </w:pPr>
            <w:r w:rsidRPr="001E2F6E">
              <w:rPr>
                <w:sz w:val="16"/>
                <w:szCs w:val="16"/>
                <w:lang w:val="eu-ES" w:eastAsia="es-ES"/>
              </w:rPr>
              <w:t>16-50 langile</w:t>
            </w:r>
          </w:p>
        </w:tc>
        <w:tc>
          <w:tcPr>
            <w:tcW w:w="1843" w:type="dxa"/>
            <w:tcBorders>
              <w:top w:val="nil"/>
              <w:left w:val="nil"/>
              <w:bottom w:val="nil"/>
              <w:right w:val="single" w:sz="8" w:space="0" w:color="BFBFBF"/>
            </w:tcBorders>
            <w:vAlign w:val="bottom"/>
          </w:tcPr>
          <w:p w:rsidR="004A72E7" w:rsidRPr="001E2F6E" w:rsidRDefault="004A72E7" w:rsidP="00917494">
            <w:pPr>
              <w:spacing w:line="240" w:lineRule="exact"/>
              <w:ind w:right="170"/>
              <w:jc w:val="right"/>
              <w:rPr>
                <w:color w:val="000000"/>
                <w:sz w:val="16"/>
                <w:szCs w:val="16"/>
                <w:lang w:eastAsia="es-ES"/>
              </w:rPr>
            </w:pPr>
            <w:r w:rsidRPr="001E2F6E">
              <w:rPr>
                <w:color w:val="000000"/>
                <w:sz w:val="16"/>
                <w:szCs w:val="16"/>
                <w:lang w:eastAsia="es-ES"/>
              </w:rPr>
              <w:t>231</w:t>
            </w:r>
          </w:p>
        </w:tc>
        <w:tc>
          <w:tcPr>
            <w:tcW w:w="1701" w:type="dxa"/>
            <w:tcBorders>
              <w:top w:val="nil"/>
              <w:left w:val="nil"/>
              <w:bottom w:val="nil"/>
              <w:right w:val="single" w:sz="8" w:space="0" w:color="BFBFBF"/>
            </w:tcBorders>
            <w:vAlign w:val="bottom"/>
          </w:tcPr>
          <w:p w:rsidR="004A72E7" w:rsidRPr="001E2F6E" w:rsidRDefault="004A72E7" w:rsidP="00917494">
            <w:pPr>
              <w:spacing w:line="240" w:lineRule="exact"/>
              <w:ind w:right="170"/>
              <w:jc w:val="right"/>
              <w:rPr>
                <w:color w:val="000000"/>
                <w:sz w:val="16"/>
                <w:szCs w:val="16"/>
                <w:lang w:eastAsia="es-ES"/>
              </w:rPr>
            </w:pPr>
            <w:r w:rsidRPr="001E2F6E">
              <w:rPr>
                <w:color w:val="000000"/>
                <w:sz w:val="16"/>
                <w:szCs w:val="16"/>
                <w:lang w:eastAsia="es-ES"/>
              </w:rPr>
              <w:t>181</w:t>
            </w:r>
          </w:p>
        </w:tc>
        <w:tc>
          <w:tcPr>
            <w:tcW w:w="1701" w:type="dxa"/>
            <w:tcBorders>
              <w:top w:val="nil"/>
              <w:left w:val="nil"/>
              <w:bottom w:val="nil"/>
              <w:right w:val="nil"/>
            </w:tcBorders>
            <w:vAlign w:val="bottom"/>
          </w:tcPr>
          <w:p w:rsidR="004A72E7" w:rsidRPr="001E2F6E" w:rsidRDefault="004A72E7" w:rsidP="00917494">
            <w:pPr>
              <w:spacing w:line="240" w:lineRule="exact"/>
              <w:ind w:right="170"/>
              <w:jc w:val="right"/>
              <w:rPr>
                <w:sz w:val="16"/>
                <w:szCs w:val="16"/>
                <w:lang w:eastAsia="es-ES"/>
              </w:rPr>
            </w:pPr>
            <w:r w:rsidRPr="001E2F6E">
              <w:rPr>
                <w:sz w:val="16"/>
                <w:szCs w:val="16"/>
                <w:lang w:eastAsia="es-ES"/>
              </w:rPr>
              <w:t>-21,6</w:t>
            </w:r>
          </w:p>
        </w:tc>
      </w:tr>
      <w:tr w:rsidR="004A72E7" w:rsidRPr="001E2F6E">
        <w:tc>
          <w:tcPr>
            <w:tcW w:w="3559" w:type="dxa"/>
            <w:tcBorders>
              <w:top w:val="nil"/>
              <w:left w:val="nil"/>
              <w:bottom w:val="nil"/>
              <w:right w:val="single" w:sz="8" w:space="0" w:color="BFBFBF"/>
            </w:tcBorders>
            <w:vAlign w:val="bottom"/>
          </w:tcPr>
          <w:p w:rsidR="004A72E7" w:rsidRPr="001E2F6E" w:rsidRDefault="004A72E7" w:rsidP="00917494">
            <w:pPr>
              <w:spacing w:line="240" w:lineRule="exact"/>
              <w:rPr>
                <w:color w:val="000000"/>
                <w:sz w:val="16"/>
                <w:szCs w:val="16"/>
                <w:lang w:eastAsia="es-ES"/>
              </w:rPr>
            </w:pPr>
            <w:r w:rsidRPr="001E2F6E">
              <w:rPr>
                <w:sz w:val="16"/>
                <w:szCs w:val="16"/>
                <w:lang w:val="eu-ES" w:eastAsia="es-ES"/>
              </w:rPr>
              <w:t>51-100 langile</w:t>
            </w:r>
          </w:p>
        </w:tc>
        <w:tc>
          <w:tcPr>
            <w:tcW w:w="1843" w:type="dxa"/>
            <w:tcBorders>
              <w:top w:val="nil"/>
              <w:left w:val="nil"/>
              <w:bottom w:val="nil"/>
              <w:right w:val="single" w:sz="8" w:space="0" w:color="BFBFBF"/>
            </w:tcBorders>
            <w:vAlign w:val="bottom"/>
          </w:tcPr>
          <w:p w:rsidR="004A72E7" w:rsidRPr="001E2F6E" w:rsidRDefault="004A72E7" w:rsidP="00917494">
            <w:pPr>
              <w:spacing w:line="240" w:lineRule="exact"/>
              <w:ind w:right="170"/>
              <w:jc w:val="right"/>
              <w:rPr>
                <w:color w:val="000000"/>
                <w:sz w:val="16"/>
                <w:szCs w:val="16"/>
                <w:lang w:eastAsia="es-ES"/>
              </w:rPr>
            </w:pPr>
            <w:r w:rsidRPr="001E2F6E">
              <w:rPr>
                <w:color w:val="000000"/>
                <w:sz w:val="16"/>
                <w:szCs w:val="16"/>
                <w:lang w:eastAsia="es-ES"/>
              </w:rPr>
              <w:t>92</w:t>
            </w:r>
          </w:p>
        </w:tc>
        <w:tc>
          <w:tcPr>
            <w:tcW w:w="1701" w:type="dxa"/>
            <w:tcBorders>
              <w:top w:val="nil"/>
              <w:left w:val="nil"/>
              <w:bottom w:val="nil"/>
              <w:right w:val="single" w:sz="8" w:space="0" w:color="BFBFBF"/>
            </w:tcBorders>
            <w:vAlign w:val="bottom"/>
          </w:tcPr>
          <w:p w:rsidR="004A72E7" w:rsidRPr="001E2F6E" w:rsidRDefault="004A72E7" w:rsidP="00917494">
            <w:pPr>
              <w:spacing w:line="240" w:lineRule="exact"/>
              <w:ind w:right="170"/>
              <w:jc w:val="right"/>
              <w:rPr>
                <w:color w:val="000000"/>
                <w:sz w:val="16"/>
                <w:szCs w:val="16"/>
                <w:lang w:eastAsia="es-ES"/>
              </w:rPr>
            </w:pPr>
            <w:r w:rsidRPr="001E2F6E">
              <w:rPr>
                <w:color w:val="000000"/>
                <w:sz w:val="16"/>
                <w:szCs w:val="16"/>
                <w:lang w:eastAsia="es-ES"/>
              </w:rPr>
              <w:t>94</w:t>
            </w:r>
          </w:p>
        </w:tc>
        <w:tc>
          <w:tcPr>
            <w:tcW w:w="1701" w:type="dxa"/>
            <w:tcBorders>
              <w:top w:val="nil"/>
              <w:left w:val="nil"/>
              <w:bottom w:val="nil"/>
              <w:right w:val="nil"/>
            </w:tcBorders>
            <w:vAlign w:val="bottom"/>
          </w:tcPr>
          <w:p w:rsidR="004A72E7" w:rsidRPr="001E2F6E" w:rsidRDefault="004A72E7" w:rsidP="00917494">
            <w:pPr>
              <w:spacing w:line="240" w:lineRule="exact"/>
              <w:ind w:right="170"/>
              <w:jc w:val="right"/>
              <w:rPr>
                <w:sz w:val="16"/>
                <w:szCs w:val="16"/>
                <w:lang w:eastAsia="es-ES"/>
              </w:rPr>
            </w:pPr>
            <w:r w:rsidRPr="001E2F6E">
              <w:rPr>
                <w:sz w:val="16"/>
                <w:szCs w:val="16"/>
                <w:lang w:eastAsia="es-ES"/>
              </w:rPr>
              <w:t>2,2</w:t>
            </w:r>
          </w:p>
        </w:tc>
      </w:tr>
      <w:tr w:rsidR="004A72E7" w:rsidRPr="001E2F6E">
        <w:tc>
          <w:tcPr>
            <w:tcW w:w="3559" w:type="dxa"/>
            <w:tcBorders>
              <w:top w:val="nil"/>
              <w:left w:val="nil"/>
              <w:bottom w:val="nil"/>
              <w:right w:val="single" w:sz="8" w:space="0" w:color="BFBFBF"/>
            </w:tcBorders>
            <w:vAlign w:val="bottom"/>
          </w:tcPr>
          <w:p w:rsidR="004A72E7" w:rsidRPr="001E2F6E" w:rsidRDefault="004A72E7" w:rsidP="00917494">
            <w:pPr>
              <w:spacing w:line="240" w:lineRule="exact"/>
              <w:rPr>
                <w:color w:val="000000"/>
                <w:sz w:val="16"/>
                <w:szCs w:val="16"/>
                <w:lang w:eastAsia="es-ES"/>
              </w:rPr>
            </w:pPr>
            <w:r w:rsidRPr="001E2F6E">
              <w:rPr>
                <w:sz w:val="16"/>
                <w:szCs w:val="16"/>
                <w:lang w:val="eu-ES" w:eastAsia="es-ES"/>
              </w:rPr>
              <w:t>101-200 langile</w:t>
            </w:r>
          </w:p>
        </w:tc>
        <w:tc>
          <w:tcPr>
            <w:tcW w:w="1843" w:type="dxa"/>
            <w:tcBorders>
              <w:top w:val="nil"/>
              <w:left w:val="nil"/>
              <w:bottom w:val="nil"/>
              <w:right w:val="single" w:sz="8" w:space="0" w:color="BFBFBF"/>
            </w:tcBorders>
            <w:vAlign w:val="bottom"/>
          </w:tcPr>
          <w:p w:rsidR="004A72E7" w:rsidRPr="001E2F6E" w:rsidRDefault="004A72E7" w:rsidP="00917494">
            <w:pPr>
              <w:spacing w:line="240" w:lineRule="exact"/>
              <w:ind w:right="170"/>
              <w:jc w:val="right"/>
              <w:rPr>
                <w:color w:val="000000"/>
                <w:sz w:val="16"/>
                <w:szCs w:val="16"/>
                <w:lang w:eastAsia="es-ES"/>
              </w:rPr>
            </w:pPr>
            <w:r w:rsidRPr="001E2F6E">
              <w:rPr>
                <w:color w:val="000000"/>
                <w:sz w:val="16"/>
                <w:szCs w:val="16"/>
                <w:lang w:eastAsia="es-ES"/>
              </w:rPr>
              <w:t>126</w:t>
            </w:r>
          </w:p>
        </w:tc>
        <w:tc>
          <w:tcPr>
            <w:tcW w:w="1701" w:type="dxa"/>
            <w:tcBorders>
              <w:top w:val="nil"/>
              <w:left w:val="nil"/>
              <w:bottom w:val="nil"/>
              <w:right w:val="single" w:sz="8" w:space="0" w:color="BFBFBF"/>
            </w:tcBorders>
            <w:vAlign w:val="bottom"/>
          </w:tcPr>
          <w:p w:rsidR="004A72E7" w:rsidRPr="001E2F6E" w:rsidRDefault="004A72E7" w:rsidP="00917494">
            <w:pPr>
              <w:spacing w:line="240" w:lineRule="exact"/>
              <w:ind w:right="170"/>
              <w:jc w:val="right"/>
              <w:rPr>
                <w:color w:val="000000"/>
                <w:sz w:val="16"/>
                <w:szCs w:val="16"/>
                <w:lang w:eastAsia="es-ES"/>
              </w:rPr>
            </w:pPr>
            <w:r w:rsidRPr="001E2F6E">
              <w:rPr>
                <w:color w:val="000000"/>
                <w:sz w:val="16"/>
                <w:szCs w:val="16"/>
                <w:lang w:eastAsia="es-ES"/>
              </w:rPr>
              <w:t>60</w:t>
            </w:r>
          </w:p>
        </w:tc>
        <w:tc>
          <w:tcPr>
            <w:tcW w:w="1701" w:type="dxa"/>
            <w:tcBorders>
              <w:top w:val="nil"/>
              <w:left w:val="nil"/>
              <w:bottom w:val="nil"/>
              <w:right w:val="nil"/>
            </w:tcBorders>
            <w:vAlign w:val="bottom"/>
          </w:tcPr>
          <w:p w:rsidR="004A72E7" w:rsidRPr="001E2F6E" w:rsidRDefault="004A72E7" w:rsidP="00917494">
            <w:pPr>
              <w:spacing w:line="240" w:lineRule="exact"/>
              <w:ind w:right="170"/>
              <w:jc w:val="right"/>
              <w:rPr>
                <w:sz w:val="16"/>
                <w:szCs w:val="16"/>
                <w:lang w:eastAsia="es-ES"/>
              </w:rPr>
            </w:pPr>
            <w:r w:rsidRPr="001E2F6E">
              <w:rPr>
                <w:sz w:val="16"/>
                <w:szCs w:val="16"/>
                <w:lang w:eastAsia="es-ES"/>
              </w:rPr>
              <w:t>-52,4</w:t>
            </w:r>
          </w:p>
        </w:tc>
      </w:tr>
      <w:tr w:rsidR="004A72E7" w:rsidRPr="001E2F6E">
        <w:tc>
          <w:tcPr>
            <w:tcW w:w="3559" w:type="dxa"/>
            <w:tcBorders>
              <w:top w:val="nil"/>
              <w:left w:val="nil"/>
              <w:bottom w:val="nil"/>
              <w:right w:val="single" w:sz="8" w:space="0" w:color="BFBFBF"/>
            </w:tcBorders>
            <w:vAlign w:val="bottom"/>
          </w:tcPr>
          <w:p w:rsidR="004A72E7" w:rsidRPr="001E2F6E" w:rsidRDefault="004A72E7" w:rsidP="00917494">
            <w:pPr>
              <w:spacing w:line="240" w:lineRule="exact"/>
              <w:rPr>
                <w:color w:val="000000"/>
                <w:sz w:val="16"/>
                <w:szCs w:val="16"/>
                <w:lang w:eastAsia="es-ES"/>
              </w:rPr>
            </w:pPr>
            <w:r w:rsidRPr="001E2F6E">
              <w:rPr>
                <w:sz w:val="16"/>
                <w:szCs w:val="16"/>
                <w:lang w:val="eu-ES" w:eastAsia="es-ES"/>
              </w:rPr>
              <w:t>201-500 langile</w:t>
            </w:r>
          </w:p>
        </w:tc>
        <w:tc>
          <w:tcPr>
            <w:tcW w:w="1843" w:type="dxa"/>
            <w:tcBorders>
              <w:top w:val="nil"/>
              <w:left w:val="nil"/>
              <w:bottom w:val="nil"/>
              <w:right w:val="single" w:sz="8" w:space="0" w:color="BFBFBF"/>
            </w:tcBorders>
            <w:vAlign w:val="bottom"/>
          </w:tcPr>
          <w:p w:rsidR="004A72E7" w:rsidRPr="001E2F6E" w:rsidRDefault="004A72E7" w:rsidP="00917494">
            <w:pPr>
              <w:spacing w:line="240" w:lineRule="exact"/>
              <w:ind w:right="170"/>
              <w:jc w:val="right"/>
              <w:rPr>
                <w:color w:val="000000"/>
                <w:sz w:val="16"/>
                <w:szCs w:val="16"/>
                <w:lang w:eastAsia="es-ES"/>
              </w:rPr>
            </w:pPr>
            <w:r w:rsidRPr="001E2F6E">
              <w:rPr>
                <w:color w:val="000000"/>
                <w:sz w:val="16"/>
                <w:szCs w:val="16"/>
                <w:lang w:eastAsia="es-ES"/>
              </w:rPr>
              <w:t>206</w:t>
            </w:r>
          </w:p>
        </w:tc>
        <w:tc>
          <w:tcPr>
            <w:tcW w:w="1701" w:type="dxa"/>
            <w:tcBorders>
              <w:top w:val="nil"/>
              <w:left w:val="nil"/>
              <w:bottom w:val="nil"/>
              <w:right w:val="single" w:sz="8" w:space="0" w:color="BFBFBF"/>
            </w:tcBorders>
            <w:vAlign w:val="bottom"/>
          </w:tcPr>
          <w:p w:rsidR="004A72E7" w:rsidRPr="001E2F6E" w:rsidRDefault="004A72E7" w:rsidP="00917494">
            <w:pPr>
              <w:spacing w:line="240" w:lineRule="exact"/>
              <w:ind w:right="170"/>
              <w:jc w:val="right"/>
              <w:rPr>
                <w:color w:val="000000"/>
                <w:sz w:val="16"/>
                <w:szCs w:val="16"/>
                <w:lang w:eastAsia="es-ES"/>
              </w:rPr>
            </w:pPr>
            <w:r w:rsidRPr="001E2F6E">
              <w:rPr>
                <w:color w:val="000000"/>
                <w:sz w:val="16"/>
                <w:szCs w:val="16"/>
                <w:lang w:eastAsia="es-ES"/>
              </w:rPr>
              <w:t>128</w:t>
            </w:r>
          </w:p>
        </w:tc>
        <w:tc>
          <w:tcPr>
            <w:tcW w:w="1701" w:type="dxa"/>
            <w:tcBorders>
              <w:top w:val="nil"/>
              <w:left w:val="nil"/>
              <w:bottom w:val="nil"/>
              <w:right w:val="nil"/>
            </w:tcBorders>
            <w:vAlign w:val="bottom"/>
          </w:tcPr>
          <w:p w:rsidR="004A72E7" w:rsidRPr="001E2F6E" w:rsidRDefault="004A72E7" w:rsidP="00917494">
            <w:pPr>
              <w:spacing w:line="240" w:lineRule="exact"/>
              <w:ind w:right="170"/>
              <w:jc w:val="right"/>
              <w:rPr>
                <w:sz w:val="16"/>
                <w:szCs w:val="16"/>
                <w:lang w:eastAsia="es-ES"/>
              </w:rPr>
            </w:pPr>
            <w:r w:rsidRPr="001E2F6E">
              <w:rPr>
                <w:sz w:val="16"/>
                <w:szCs w:val="16"/>
                <w:lang w:eastAsia="es-ES"/>
              </w:rPr>
              <w:t>-37,9</w:t>
            </w:r>
          </w:p>
        </w:tc>
      </w:tr>
      <w:tr w:rsidR="004A72E7" w:rsidRPr="001E2F6E">
        <w:tc>
          <w:tcPr>
            <w:tcW w:w="3559" w:type="dxa"/>
            <w:tcBorders>
              <w:top w:val="nil"/>
              <w:left w:val="nil"/>
              <w:bottom w:val="single" w:sz="8" w:space="0" w:color="BFBFBF"/>
              <w:right w:val="single" w:sz="8" w:space="0" w:color="BFBFBF"/>
            </w:tcBorders>
            <w:vAlign w:val="bottom"/>
          </w:tcPr>
          <w:p w:rsidR="004A72E7" w:rsidRPr="001E2F6E" w:rsidRDefault="004A72E7" w:rsidP="00917494">
            <w:pPr>
              <w:spacing w:line="240" w:lineRule="exact"/>
              <w:rPr>
                <w:color w:val="000000"/>
                <w:sz w:val="16"/>
                <w:szCs w:val="16"/>
                <w:lang w:eastAsia="es-ES"/>
              </w:rPr>
            </w:pPr>
            <w:r w:rsidRPr="001E2F6E">
              <w:rPr>
                <w:sz w:val="16"/>
                <w:szCs w:val="16"/>
                <w:lang w:val="eu-ES" w:eastAsia="es-ES"/>
              </w:rPr>
              <w:t>500 langile baino gehiago</w:t>
            </w:r>
          </w:p>
        </w:tc>
        <w:tc>
          <w:tcPr>
            <w:tcW w:w="1843" w:type="dxa"/>
            <w:tcBorders>
              <w:top w:val="nil"/>
              <w:left w:val="nil"/>
              <w:bottom w:val="single" w:sz="8" w:space="0" w:color="BFBFBF"/>
              <w:right w:val="single" w:sz="8" w:space="0" w:color="BFBFBF"/>
            </w:tcBorders>
            <w:vAlign w:val="bottom"/>
          </w:tcPr>
          <w:p w:rsidR="004A72E7" w:rsidRPr="001E2F6E" w:rsidRDefault="004A72E7" w:rsidP="00917494">
            <w:pPr>
              <w:spacing w:line="240" w:lineRule="exact"/>
              <w:ind w:right="170"/>
              <w:jc w:val="right"/>
              <w:rPr>
                <w:color w:val="000000"/>
                <w:sz w:val="16"/>
                <w:szCs w:val="16"/>
                <w:lang w:eastAsia="es-ES"/>
              </w:rPr>
            </w:pPr>
            <w:r w:rsidRPr="001E2F6E">
              <w:rPr>
                <w:color w:val="000000"/>
                <w:sz w:val="16"/>
                <w:szCs w:val="16"/>
                <w:lang w:eastAsia="es-ES"/>
              </w:rPr>
              <w:t>463</w:t>
            </w:r>
          </w:p>
        </w:tc>
        <w:tc>
          <w:tcPr>
            <w:tcW w:w="1701" w:type="dxa"/>
            <w:tcBorders>
              <w:top w:val="nil"/>
              <w:left w:val="nil"/>
              <w:bottom w:val="single" w:sz="8" w:space="0" w:color="BFBFBF"/>
              <w:right w:val="single" w:sz="8" w:space="0" w:color="BFBFBF"/>
            </w:tcBorders>
            <w:vAlign w:val="bottom"/>
          </w:tcPr>
          <w:p w:rsidR="004A72E7" w:rsidRPr="001E2F6E" w:rsidRDefault="004A72E7" w:rsidP="00917494">
            <w:pPr>
              <w:spacing w:line="240" w:lineRule="exact"/>
              <w:ind w:right="170"/>
              <w:jc w:val="right"/>
              <w:rPr>
                <w:color w:val="000000"/>
                <w:sz w:val="16"/>
                <w:szCs w:val="16"/>
                <w:lang w:eastAsia="es-ES"/>
              </w:rPr>
            </w:pPr>
            <w:r w:rsidRPr="001E2F6E">
              <w:rPr>
                <w:color w:val="000000"/>
                <w:sz w:val="16"/>
                <w:szCs w:val="16"/>
                <w:lang w:eastAsia="es-ES"/>
              </w:rPr>
              <w:t>528</w:t>
            </w:r>
          </w:p>
        </w:tc>
        <w:tc>
          <w:tcPr>
            <w:tcW w:w="1701" w:type="dxa"/>
            <w:tcBorders>
              <w:top w:val="nil"/>
              <w:left w:val="nil"/>
              <w:bottom w:val="single" w:sz="8" w:space="0" w:color="BFBFBF"/>
              <w:right w:val="nil"/>
            </w:tcBorders>
            <w:vAlign w:val="bottom"/>
          </w:tcPr>
          <w:p w:rsidR="004A72E7" w:rsidRPr="001E2F6E" w:rsidRDefault="004A72E7" w:rsidP="00917494">
            <w:pPr>
              <w:spacing w:line="240" w:lineRule="exact"/>
              <w:ind w:right="170"/>
              <w:jc w:val="right"/>
              <w:rPr>
                <w:sz w:val="16"/>
                <w:szCs w:val="16"/>
                <w:lang w:eastAsia="es-ES"/>
              </w:rPr>
            </w:pPr>
            <w:r w:rsidRPr="001E2F6E">
              <w:rPr>
                <w:sz w:val="16"/>
                <w:szCs w:val="16"/>
                <w:lang w:eastAsia="es-ES"/>
              </w:rPr>
              <w:t>14,0</w:t>
            </w:r>
          </w:p>
        </w:tc>
      </w:tr>
      <w:tr w:rsidR="004A72E7" w:rsidRPr="001E2F6E">
        <w:tc>
          <w:tcPr>
            <w:tcW w:w="3559" w:type="dxa"/>
            <w:tcBorders>
              <w:top w:val="nil"/>
              <w:left w:val="nil"/>
              <w:bottom w:val="single" w:sz="8" w:space="0" w:color="BFBFBF"/>
              <w:right w:val="single" w:sz="8" w:space="0" w:color="BFBFBF"/>
            </w:tcBorders>
            <w:vAlign w:val="bottom"/>
          </w:tcPr>
          <w:p w:rsidR="004A72E7" w:rsidRPr="001E2F6E" w:rsidRDefault="004A72E7" w:rsidP="00917494">
            <w:pPr>
              <w:spacing w:line="240" w:lineRule="exact"/>
              <w:rPr>
                <w:b/>
                <w:bCs/>
                <w:color w:val="000000"/>
                <w:sz w:val="16"/>
                <w:szCs w:val="16"/>
                <w:lang w:eastAsia="es-ES"/>
              </w:rPr>
            </w:pPr>
            <w:r w:rsidRPr="001E2F6E">
              <w:rPr>
                <w:b/>
                <w:bCs/>
                <w:sz w:val="16"/>
                <w:szCs w:val="16"/>
                <w:lang w:val="eu-ES" w:eastAsia="es-ES"/>
              </w:rPr>
              <w:t>GUZTIRA</w:t>
            </w:r>
          </w:p>
        </w:tc>
        <w:tc>
          <w:tcPr>
            <w:tcW w:w="1843" w:type="dxa"/>
            <w:tcBorders>
              <w:top w:val="nil"/>
              <w:left w:val="nil"/>
              <w:bottom w:val="single" w:sz="8" w:space="0" w:color="BFBFBF"/>
              <w:right w:val="single" w:sz="8" w:space="0" w:color="BFBFBF"/>
            </w:tcBorders>
            <w:vAlign w:val="bottom"/>
          </w:tcPr>
          <w:p w:rsidR="004A72E7" w:rsidRPr="001E2F6E" w:rsidRDefault="004A72E7" w:rsidP="00917494">
            <w:pPr>
              <w:spacing w:line="240" w:lineRule="exact"/>
              <w:ind w:right="170"/>
              <w:jc w:val="right"/>
              <w:rPr>
                <w:b/>
                <w:bCs/>
                <w:color w:val="000000"/>
                <w:sz w:val="16"/>
                <w:szCs w:val="16"/>
                <w:lang w:eastAsia="es-ES"/>
              </w:rPr>
            </w:pPr>
            <w:r w:rsidRPr="001E2F6E">
              <w:rPr>
                <w:b/>
                <w:bCs/>
                <w:color w:val="000000"/>
                <w:sz w:val="16"/>
                <w:szCs w:val="16"/>
                <w:lang w:eastAsia="es-ES"/>
              </w:rPr>
              <w:t>2.029</w:t>
            </w:r>
          </w:p>
        </w:tc>
        <w:tc>
          <w:tcPr>
            <w:tcW w:w="1701" w:type="dxa"/>
            <w:tcBorders>
              <w:top w:val="nil"/>
              <w:left w:val="nil"/>
              <w:bottom w:val="single" w:sz="8" w:space="0" w:color="BFBFBF"/>
              <w:right w:val="single" w:sz="8" w:space="0" w:color="BFBFBF"/>
            </w:tcBorders>
            <w:vAlign w:val="bottom"/>
          </w:tcPr>
          <w:p w:rsidR="004A72E7" w:rsidRPr="001E2F6E" w:rsidRDefault="004A72E7" w:rsidP="00917494">
            <w:pPr>
              <w:spacing w:line="240" w:lineRule="exact"/>
              <w:ind w:right="170"/>
              <w:jc w:val="right"/>
              <w:rPr>
                <w:b/>
                <w:bCs/>
                <w:color w:val="000000"/>
                <w:sz w:val="16"/>
                <w:szCs w:val="16"/>
                <w:lang w:eastAsia="es-ES"/>
              </w:rPr>
            </w:pPr>
            <w:r w:rsidRPr="001E2F6E">
              <w:rPr>
                <w:b/>
                <w:bCs/>
                <w:color w:val="000000"/>
                <w:sz w:val="16"/>
                <w:szCs w:val="16"/>
                <w:lang w:eastAsia="es-ES"/>
              </w:rPr>
              <w:t>2.194</w:t>
            </w:r>
          </w:p>
        </w:tc>
        <w:tc>
          <w:tcPr>
            <w:tcW w:w="1701" w:type="dxa"/>
            <w:tcBorders>
              <w:top w:val="nil"/>
              <w:left w:val="nil"/>
              <w:bottom w:val="single" w:sz="8" w:space="0" w:color="BFBFBF"/>
              <w:right w:val="nil"/>
            </w:tcBorders>
            <w:vAlign w:val="bottom"/>
          </w:tcPr>
          <w:p w:rsidR="004A72E7" w:rsidRPr="001E2F6E" w:rsidRDefault="004A72E7" w:rsidP="00917494">
            <w:pPr>
              <w:spacing w:line="240" w:lineRule="exact"/>
              <w:ind w:right="170"/>
              <w:jc w:val="right"/>
              <w:rPr>
                <w:b/>
                <w:bCs/>
                <w:sz w:val="16"/>
                <w:szCs w:val="16"/>
                <w:lang w:eastAsia="es-ES"/>
              </w:rPr>
            </w:pPr>
            <w:r w:rsidRPr="001E2F6E">
              <w:rPr>
                <w:b/>
                <w:bCs/>
                <w:sz w:val="16"/>
                <w:szCs w:val="16"/>
                <w:lang w:eastAsia="es-ES"/>
              </w:rPr>
              <w:t>8,1</w:t>
            </w:r>
          </w:p>
        </w:tc>
      </w:tr>
    </w:tbl>
    <w:p w:rsidR="004A72E7" w:rsidRPr="001E2F6E" w:rsidRDefault="004A72E7" w:rsidP="00781D09">
      <w:pPr>
        <w:ind w:left="426" w:hanging="426"/>
      </w:pPr>
    </w:p>
    <w:p w:rsidR="004A72E7" w:rsidRPr="001E2F6E" w:rsidRDefault="004A72E7" w:rsidP="00781D09">
      <w:pPr>
        <w:ind w:left="426" w:hanging="426"/>
      </w:pPr>
    </w:p>
    <w:p w:rsidR="004A72E7" w:rsidRPr="001E2F6E" w:rsidRDefault="004A72E7" w:rsidP="00781D09">
      <w:pPr>
        <w:ind w:left="426" w:hanging="426"/>
      </w:pPr>
      <w:r w:rsidRPr="001E2F6E">
        <w:tab/>
      </w:r>
      <w:r w:rsidRPr="001E2F6E">
        <w:rPr>
          <w:lang w:val="eu-ES"/>
        </w:rPr>
        <w:t>Behatutako joeren ondorioz, Gizarte Ekonomiako enpresen eta establezimenduen tamainari buruzko adierazleak gutxitu egin ziren.</w:t>
      </w:r>
      <w:r w:rsidRPr="001E2F6E">
        <w:t xml:space="preserve"> </w:t>
      </w:r>
      <w:r w:rsidRPr="001E2F6E">
        <w:rPr>
          <w:lang w:val="eu-ES"/>
        </w:rPr>
        <w:t>Horrenbestez, 2010etik 2012ra bitartean, enpresa bakoitzeko establezimendu-kopurua txikitu egin zen (1,38tik 1,31ra), eta enpresa bakoitzeko lanpostuen batez besteko kopurua (27,6tik 23,8ra), eta establezimendu bakoitzeko enplegu-bolumena (20,0tik 18,1era oro har, eta 23,8tik 21,9ra kooperatibetan).</w:t>
      </w:r>
    </w:p>
    <w:p w:rsidR="004A72E7" w:rsidRPr="001E2F6E" w:rsidRDefault="004A72E7" w:rsidP="00781D09">
      <w:pPr>
        <w:ind w:left="426" w:hanging="426"/>
      </w:pPr>
    </w:p>
    <w:p w:rsidR="004A72E7" w:rsidRPr="001E2F6E" w:rsidRDefault="004A72E7" w:rsidP="00354E9D">
      <w:pPr>
        <w:ind w:left="227" w:hanging="227"/>
        <w:jc w:val="center"/>
        <w:rPr>
          <w:b/>
          <w:bCs/>
          <w:color w:val="1F497D" w:themeColor="text2"/>
          <w:sz w:val="18"/>
          <w:szCs w:val="18"/>
        </w:rPr>
      </w:pPr>
      <w:r w:rsidRPr="001E2F6E">
        <w:rPr>
          <w:b/>
          <w:bCs/>
          <w:color w:val="1F497D" w:themeColor="text2"/>
          <w:sz w:val="18"/>
          <w:szCs w:val="18"/>
          <w:lang w:val="eu-ES"/>
        </w:rPr>
        <w:t>GIZARTE EKONOMIAKO ENPRESEN TAMAINAREN ADIERAZLEAK, 2010-2012</w:t>
      </w:r>
    </w:p>
    <w:tbl>
      <w:tblPr>
        <w:tblW w:w="5000" w:type="pct"/>
        <w:jc w:val="center"/>
        <w:tblLook w:val="00A0" w:firstRow="1" w:lastRow="0" w:firstColumn="1" w:lastColumn="0" w:noHBand="0" w:noVBand="0"/>
      </w:tblPr>
      <w:tblGrid>
        <w:gridCol w:w="5359"/>
        <w:gridCol w:w="1891"/>
        <w:gridCol w:w="1754"/>
      </w:tblGrid>
      <w:tr w:rsidR="004A72E7" w:rsidRPr="001E2F6E">
        <w:trPr>
          <w:jc w:val="center"/>
        </w:trPr>
        <w:tc>
          <w:tcPr>
            <w:tcW w:w="2976" w:type="pct"/>
            <w:tcBorders>
              <w:top w:val="single" w:sz="4" w:space="0" w:color="BFBFBF"/>
              <w:bottom w:val="single" w:sz="4" w:space="0" w:color="BFBFBF"/>
              <w:right w:val="single" w:sz="4" w:space="0" w:color="BFBFBF"/>
            </w:tcBorders>
            <w:shd w:val="clear" w:color="auto" w:fill="DBE5F1"/>
          </w:tcPr>
          <w:p w:rsidR="004A72E7" w:rsidRPr="001E2F6E" w:rsidRDefault="004A72E7" w:rsidP="00354E9D">
            <w:pPr>
              <w:ind w:left="227" w:hanging="227"/>
              <w:rPr>
                <w:b/>
                <w:bCs/>
                <w:sz w:val="16"/>
                <w:szCs w:val="16"/>
              </w:rPr>
            </w:pPr>
          </w:p>
        </w:tc>
        <w:tc>
          <w:tcPr>
            <w:tcW w:w="1050" w:type="pct"/>
            <w:tcBorders>
              <w:top w:val="single" w:sz="4" w:space="0" w:color="BFBFBF"/>
              <w:left w:val="single" w:sz="4" w:space="0" w:color="BFBFBF"/>
              <w:bottom w:val="single" w:sz="4" w:space="0" w:color="BFBFBF"/>
              <w:right w:val="single" w:sz="4" w:space="0" w:color="BFBFBF"/>
            </w:tcBorders>
            <w:shd w:val="clear" w:color="auto" w:fill="DBE5F1"/>
          </w:tcPr>
          <w:p w:rsidR="004A72E7" w:rsidRPr="001E2F6E" w:rsidRDefault="004A72E7" w:rsidP="00354E9D">
            <w:pPr>
              <w:ind w:left="227" w:hanging="227"/>
              <w:jc w:val="center"/>
              <w:rPr>
                <w:b/>
                <w:bCs/>
                <w:sz w:val="16"/>
                <w:szCs w:val="16"/>
              </w:rPr>
            </w:pPr>
            <w:r w:rsidRPr="001E2F6E">
              <w:rPr>
                <w:b/>
                <w:bCs/>
                <w:sz w:val="16"/>
                <w:szCs w:val="16"/>
              </w:rPr>
              <w:t>2010</w:t>
            </w:r>
          </w:p>
        </w:tc>
        <w:tc>
          <w:tcPr>
            <w:tcW w:w="974" w:type="pct"/>
            <w:tcBorders>
              <w:top w:val="single" w:sz="4" w:space="0" w:color="BFBFBF"/>
              <w:left w:val="single" w:sz="4" w:space="0" w:color="BFBFBF"/>
              <w:bottom w:val="single" w:sz="4" w:space="0" w:color="BFBFBF"/>
            </w:tcBorders>
            <w:shd w:val="clear" w:color="auto" w:fill="DBE5F1"/>
          </w:tcPr>
          <w:p w:rsidR="004A72E7" w:rsidRPr="001E2F6E" w:rsidRDefault="004A72E7" w:rsidP="00354E9D">
            <w:pPr>
              <w:ind w:left="227" w:hanging="227"/>
              <w:jc w:val="center"/>
              <w:rPr>
                <w:b/>
                <w:bCs/>
                <w:sz w:val="16"/>
                <w:szCs w:val="16"/>
              </w:rPr>
            </w:pPr>
            <w:r w:rsidRPr="001E2F6E">
              <w:rPr>
                <w:b/>
                <w:bCs/>
                <w:sz w:val="16"/>
                <w:szCs w:val="16"/>
              </w:rPr>
              <w:t>2012</w:t>
            </w:r>
          </w:p>
        </w:tc>
      </w:tr>
      <w:tr w:rsidR="004A72E7" w:rsidRPr="001E2F6E">
        <w:trPr>
          <w:jc w:val="center"/>
        </w:trPr>
        <w:tc>
          <w:tcPr>
            <w:tcW w:w="2976" w:type="pct"/>
            <w:tcBorders>
              <w:top w:val="single" w:sz="4" w:space="0" w:color="BFBFBF"/>
              <w:right w:val="single" w:sz="4" w:space="0" w:color="BFBFBF"/>
            </w:tcBorders>
          </w:tcPr>
          <w:p w:rsidR="004A72E7" w:rsidRPr="001E2F6E" w:rsidRDefault="004A72E7" w:rsidP="00354E9D">
            <w:pPr>
              <w:ind w:left="227" w:hanging="227"/>
              <w:rPr>
                <w:sz w:val="16"/>
                <w:szCs w:val="16"/>
              </w:rPr>
            </w:pPr>
            <w:r w:rsidRPr="001E2F6E">
              <w:rPr>
                <w:sz w:val="16"/>
                <w:szCs w:val="16"/>
                <w:lang w:val="eu-ES"/>
              </w:rPr>
              <w:t>Enpresa bakoitzeko establezimendu-kopurua</w:t>
            </w:r>
          </w:p>
        </w:tc>
        <w:tc>
          <w:tcPr>
            <w:tcW w:w="1050" w:type="pct"/>
            <w:tcBorders>
              <w:top w:val="single" w:sz="4" w:space="0" w:color="BFBFBF"/>
              <w:left w:val="single" w:sz="4" w:space="0" w:color="BFBFBF"/>
              <w:right w:val="single" w:sz="4" w:space="0" w:color="BFBFBF"/>
            </w:tcBorders>
          </w:tcPr>
          <w:p w:rsidR="004A72E7" w:rsidRPr="001E2F6E" w:rsidRDefault="004A72E7" w:rsidP="00917494">
            <w:pPr>
              <w:ind w:left="227" w:right="170" w:hanging="227"/>
              <w:jc w:val="right"/>
              <w:rPr>
                <w:sz w:val="16"/>
                <w:szCs w:val="16"/>
              </w:rPr>
            </w:pPr>
            <w:r w:rsidRPr="001E2F6E">
              <w:rPr>
                <w:sz w:val="16"/>
                <w:szCs w:val="16"/>
              </w:rPr>
              <w:t>1,38</w:t>
            </w:r>
          </w:p>
        </w:tc>
        <w:tc>
          <w:tcPr>
            <w:tcW w:w="974" w:type="pct"/>
            <w:tcBorders>
              <w:top w:val="single" w:sz="4" w:space="0" w:color="BFBFBF"/>
              <w:left w:val="single" w:sz="4" w:space="0" w:color="BFBFBF"/>
            </w:tcBorders>
          </w:tcPr>
          <w:p w:rsidR="004A72E7" w:rsidRPr="001E2F6E" w:rsidRDefault="004A72E7" w:rsidP="00917494">
            <w:pPr>
              <w:ind w:left="227" w:right="170" w:hanging="227"/>
              <w:jc w:val="right"/>
              <w:rPr>
                <w:sz w:val="16"/>
                <w:szCs w:val="16"/>
              </w:rPr>
            </w:pPr>
            <w:r w:rsidRPr="001E2F6E">
              <w:rPr>
                <w:sz w:val="16"/>
                <w:szCs w:val="16"/>
              </w:rPr>
              <w:t>1,31</w:t>
            </w:r>
          </w:p>
        </w:tc>
      </w:tr>
      <w:tr w:rsidR="004A72E7" w:rsidRPr="001E2F6E">
        <w:trPr>
          <w:jc w:val="center"/>
        </w:trPr>
        <w:tc>
          <w:tcPr>
            <w:tcW w:w="2976" w:type="pct"/>
            <w:tcBorders>
              <w:right w:val="single" w:sz="4" w:space="0" w:color="BFBFBF"/>
            </w:tcBorders>
          </w:tcPr>
          <w:p w:rsidR="004A72E7" w:rsidRPr="001E2F6E" w:rsidRDefault="004A72E7" w:rsidP="00354E9D">
            <w:pPr>
              <w:ind w:left="227" w:hanging="227"/>
              <w:rPr>
                <w:sz w:val="16"/>
                <w:szCs w:val="16"/>
                <w:lang w:val="fi-FI"/>
              </w:rPr>
            </w:pPr>
            <w:r w:rsidRPr="001E2F6E">
              <w:rPr>
                <w:sz w:val="16"/>
                <w:szCs w:val="16"/>
                <w:lang w:val="eu-ES"/>
              </w:rPr>
              <w:t>Enpresen batez besteko tamaina (lanpostuak)</w:t>
            </w:r>
          </w:p>
        </w:tc>
        <w:tc>
          <w:tcPr>
            <w:tcW w:w="1050" w:type="pct"/>
            <w:tcBorders>
              <w:left w:val="single" w:sz="4" w:space="0" w:color="BFBFBF"/>
              <w:right w:val="single" w:sz="4" w:space="0" w:color="BFBFBF"/>
            </w:tcBorders>
          </w:tcPr>
          <w:p w:rsidR="004A72E7" w:rsidRPr="001E2F6E" w:rsidRDefault="004A72E7" w:rsidP="00917494">
            <w:pPr>
              <w:ind w:left="227" w:right="170" w:hanging="227"/>
              <w:jc w:val="right"/>
              <w:rPr>
                <w:sz w:val="16"/>
                <w:szCs w:val="16"/>
              </w:rPr>
            </w:pPr>
            <w:r w:rsidRPr="001E2F6E">
              <w:rPr>
                <w:sz w:val="16"/>
                <w:szCs w:val="16"/>
              </w:rPr>
              <w:t>27,6</w:t>
            </w:r>
          </w:p>
        </w:tc>
        <w:tc>
          <w:tcPr>
            <w:tcW w:w="974" w:type="pct"/>
            <w:tcBorders>
              <w:left w:val="single" w:sz="4" w:space="0" w:color="BFBFBF"/>
            </w:tcBorders>
          </w:tcPr>
          <w:p w:rsidR="004A72E7" w:rsidRPr="001E2F6E" w:rsidRDefault="004A72E7" w:rsidP="00917494">
            <w:pPr>
              <w:ind w:left="227" w:right="170" w:hanging="227"/>
              <w:jc w:val="right"/>
              <w:rPr>
                <w:sz w:val="16"/>
                <w:szCs w:val="16"/>
              </w:rPr>
            </w:pPr>
            <w:r w:rsidRPr="001E2F6E">
              <w:rPr>
                <w:sz w:val="16"/>
                <w:szCs w:val="16"/>
              </w:rPr>
              <w:t>23,8</w:t>
            </w:r>
          </w:p>
        </w:tc>
      </w:tr>
      <w:tr w:rsidR="004A72E7" w:rsidRPr="001E2F6E">
        <w:trPr>
          <w:jc w:val="center"/>
        </w:trPr>
        <w:tc>
          <w:tcPr>
            <w:tcW w:w="2976" w:type="pct"/>
            <w:tcBorders>
              <w:bottom w:val="single" w:sz="4" w:space="0" w:color="BFBFBF"/>
              <w:right w:val="single" w:sz="4" w:space="0" w:color="BFBFBF"/>
            </w:tcBorders>
          </w:tcPr>
          <w:p w:rsidR="004A72E7" w:rsidRPr="001E2F6E" w:rsidRDefault="004A72E7" w:rsidP="00354E9D">
            <w:pPr>
              <w:ind w:left="227" w:hanging="227"/>
              <w:rPr>
                <w:sz w:val="16"/>
                <w:szCs w:val="16"/>
              </w:rPr>
            </w:pPr>
            <w:r w:rsidRPr="001E2F6E">
              <w:rPr>
                <w:sz w:val="16"/>
                <w:szCs w:val="16"/>
                <w:lang w:val="eu-ES"/>
              </w:rPr>
              <w:t>Establezimenduen batez besteko tamaina (lanpostuak)</w:t>
            </w:r>
          </w:p>
        </w:tc>
        <w:tc>
          <w:tcPr>
            <w:tcW w:w="1050" w:type="pct"/>
            <w:tcBorders>
              <w:left w:val="single" w:sz="4" w:space="0" w:color="BFBFBF"/>
              <w:bottom w:val="single" w:sz="4" w:space="0" w:color="BFBFBF"/>
              <w:right w:val="single" w:sz="4" w:space="0" w:color="BFBFBF"/>
            </w:tcBorders>
          </w:tcPr>
          <w:p w:rsidR="004A72E7" w:rsidRPr="001E2F6E" w:rsidRDefault="004A72E7" w:rsidP="00917494">
            <w:pPr>
              <w:ind w:left="227" w:right="170" w:hanging="227"/>
              <w:jc w:val="right"/>
              <w:rPr>
                <w:sz w:val="16"/>
                <w:szCs w:val="16"/>
              </w:rPr>
            </w:pPr>
            <w:r w:rsidRPr="001E2F6E">
              <w:rPr>
                <w:sz w:val="16"/>
                <w:szCs w:val="16"/>
              </w:rPr>
              <w:t>20,0</w:t>
            </w:r>
          </w:p>
        </w:tc>
        <w:tc>
          <w:tcPr>
            <w:tcW w:w="974" w:type="pct"/>
            <w:tcBorders>
              <w:left w:val="single" w:sz="4" w:space="0" w:color="BFBFBF"/>
              <w:bottom w:val="single" w:sz="4" w:space="0" w:color="BFBFBF"/>
            </w:tcBorders>
          </w:tcPr>
          <w:p w:rsidR="004A72E7" w:rsidRPr="001E2F6E" w:rsidRDefault="004A72E7" w:rsidP="00917494">
            <w:pPr>
              <w:ind w:left="227" w:right="170" w:hanging="227"/>
              <w:jc w:val="right"/>
              <w:rPr>
                <w:sz w:val="16"/>
                <w:szCs w:val="16"/>
              </w:rPr>
            </w:pPr>
            <w:r w:rsidRPr="001E2F6E">
              <w:rPr>
                <w:sz w:val="16"/>
                <w:szCs w:val="16"/>
              </w:rPr>
              <w:t>18,1</w:t>
            </w:r>
          </w:p>
        </w:tc>
      </w:tr>
    </w:tbl>
    <w:p w:rsidR="004A72E7" w:rsidRPr="001E2F6E" w:rsidRDefault="004A72E7" w:rsidP="00781D09">
      <w:pPr>
        <w:ind w:left="426" w:hanging="426"/>
      </w:pPr>
    </w:p>
    <w:p w:rsidR="004A72E7" w:rsidRPr="001E2F6E" w:rsidRDefault="004A72E7" w:rsidP="00781D09">
      <w:pPr>
        <w:ind w:left="426" w:hanging="426"/>
      </w:pPr>
    </w:p>
    <w:p w:rsidR="004A72E7" w:rsidRPr="001E2F6E" w:rsidRDefault="004A72E7" w:rsidP="00781D09">
      <w:pPr>
        <w:ind w:left="426" w:hanging="426"/>
      </w:pPr>
      <w:r w:rsidRPr="001E2F6E">
        <w:tab/>
      </w:r>
      <w:r w:rsidRPr="001E2F6E">
        <w:rPr>
          <w:lang w:val="eu-ES"/>
        </w:rPr>
        <w:t>Gizarte Ekonomiako enpresen eta establezimenduen batez besteko tamaina txikitu bazen ere, ekonomiako sektore horren tamaina nabarmen handiagoa zen, orduan ere, Euskadiko enpresa-ehunaren batez besteko tamaina baino.</w:t>
      </w:r>
      <w:r w:rsidRPr="001E2F6E">
        <w:t xml:space="preserve"> </w:t>
      </w:r>
      <w:r w:rsidRPr="001E2F6E">
        <w:rPr>
          <w:lang w:val="eu-ES"/>
        </w:rPr>
        <w:t>2012an, kooperatiben eta lan-sozietateen batez besteko tamaina 23,8 lanpostukoa zen; hau da, Euskadiko enpresena (5,5 lanpostu/enpresa) baino ia lau aldiz handiagoa.</w:t>
      </w:r>
      <w:r w:rsidRPr="001E2F6E">
        <w:t xml:space="preserve"> </w:t>
      </w:r>
      <w:r w:rsidRPr="001E2F6E">
        <w:rPr>
          <w:lang w:val="eu-ES"/>
        </w:rPr>
        <w:t>Gizarte Ekonomiako establezimenduen batez besteko tamaina ere (18,1 lanpostu establezimendu bakoitzeko) nabarmen handiagoa da Euskadiko ekonomiakoa baino (4,9 lanpostu establezimendu bakoitzeko).</w:t>
      </w:r>
    </w:p>
    <w:p w:rsidR="004A72E7" w:rsidRPr="001E2F6E" w:rsidRDefault="004A72E7">
      <w:pPr>
        <w:spacing w:after="200" w:line="276" w:lineRule="auto"/>
        <w:jc w:val="left"/>
        <w:rPr>
          <w:b/>
          <w:bCs/>
          <w:color w:val="1F497D"/>
          <w:sz w:val="18"/>
          <w:szCs w:val="18"/>
        </w:rPr>
      </w:pPr>
      <w:r w:rsidRPr="001E2F6E">
        <w:rPr>
          <w:b/>
          <w:bCs/>
          <w:color w:val="1F497D"/>
          <w:sz w:val="18"/>
          <w:szCs w:val="18"/>
        </w:rPr>
        <w:br w:type="page"/>
      </w:r>
    </w:p>
    <w:p w:rsidR="004A72E7" w:rsidRPr="001E2F6E" w:rsidRDefault="004A72E7" w:rsidP="00781D09">
      <w:pPr>
        <w:pStyle w:val="ARIALNARROW"/>
        <w:spacing w:line="240" w:lineRule="auto"/>
        <w:ind w:left="227" w:hanging="227"/>
        <w:jc w:val="center"/>
        <w:rPr>
          <w:b/>
          <w:bCs/>
          <w:color w:val="1F497D" w:themeColor="text2"/>
          <w:sz w:val="18"/>
          <w:szCs w:val="18"/>
          <w:lang w:val="es-ES" w:eastAsia="en-US"/>
        </w:rPr>
      </w:pPr>
      <w:r w:rsidRPr="001E2F6E">
        <w:rPr>
          <w:b/>
          <w:bCs/>
          <w:color w:val="1F497D" w:themeColor="text2"/>
          <w:sz w:val="18"/>
          <w:szCs w:val="18"/>
          <w:lang w:val="eu-ES" w:eastAsia="en-US"/>
        </w:rPr>
        <w:lastRenderedPageBreak/>
        <w:t>GIZARTE EKONOMIAKO ETA EAE-KO EKONOMIAKO ESTABLEZIMENDU ETA ENPRESEN TAMAINA, ENPLEGUAREN ARABERA,</w:t>
      </w:r>
      <w:r w:rsidRPr="001E2F6E">
        <w:rPr>
          <w:b/>
          <w:bCs/>
          <w:color w:val="1F497D" w:themeColor="text2"/>
          <w:sz w:val="18"/>
          <w:szCs w:val="18"/>
          <w:lang w:val="es-ES" w:eastAsia="en-US"/>
        </w:rPr>
        <w:t xml:space="preserve"> 2012</w:t>
      </w:r>
    </w:p>
    <w:tbl>
      <w:tblPr>
        <w:tblW w:w="5000" w:type="pct"/>
        <w:jc w:val="center"/>
        <w:tblLook w:val="00A0" w:firstRow="1" w:lastRow="0" w:firstColumn="1" w:lastColumn="0" w:noHBand="0" w:noVBand="0"/>
      </w:tblPr>
      <w:tblGrid>
        <w:gridCol w:w="3203"/>
        <w:gridCol w:w="2878"/>
        <w:gridCol w:w="2923"/>
      </w:tblGrid>
      <w:tr w:rsidR="004A72E7" w:rsidRPr="001E2F6E">
        <w:trPr>
          <w:jc w:val="center"/>
        </w:trPr>
        <w:tc>
          <w:tcPr>
            <w:tcW w:w="1779" w:type="pct"/>
            <w:tcBorders>
              <w:top w:val="single" w:sz="4" w:space="0" w:color="BFBFBF"/>
              <w:bottom w:val="single" w:sz="4" w:space="0" w:color="BFBFBF"/>
              <w:right w:val="single" w:sz="4" w:space="0" w:color="BFBFBF"/>
            </w:tcBorders>
            <w:shd w:val="clear" w:color="auto" w:fill="DBE5F1"/>
          </w:tcPr>
          <w:p w:rsidR="004A72E7" w:rsidRPr="001E2F6E" w:rsidRDefault="004A72E7" w:rsidP="000B6AD4">
            <w:pPr>
              <w:spacing w:line="240" w:lineRule="exact"/>
              <w:ind w:left="227" w:hanging="227"/>
              <w:jc w:val="center"/>
              <w:rPr>
                <w:b/>
                <w:bCs/>
                <w:snapToGrid w:val="0"/>
                <w:sz w:val="16"/>
                <w:szCs w:val="16"/>
              </w:rPr>
            </w:pPr>
          </w:p>
        </w:tc>
        <w:tc>
          <w:tcPr>
            <w:tcW w:w="1598" w:type="pct"/>
            <w:tcBorders>
              <w:top w:val="single" w:sz="4" w:space="0" w:color="BFBFBF"/>
              <w:left w:val="single" w:sz="4" w:space="0" w:color="BFBFBF"/>
              <w:bottom w:val="single" w:sz="4" w:space="0" w:color="BFBFBF"/>
              <w:right w:val="single" w:sz="4" w:space="0" w:color="BFBFBF"/>
            </w:tcBorders>
            <w:shd w:val="clear" w:color="auto" w:fill="DBE5F1"/>
          </w:tcPr>
          <w:p w:rsidR="004A72E7" w:rsidRPr="001E2F6E" w:rsidRDefault="004A72E7" w:rsidP="000B6AD4">
            <w:pPr>
              <w:spacing w:line="240" w:lineRule="exact"/>
              <w:ind w:left="227" w:hanging="227"/>
              <w:jc w:val="center"/>
              <w:rPr>
                <w:b/>
                <w:bCs/>
                <w:snapToGrid w:val="0"/>
                <w:sz w:val="16"/>
                <w:szCs w:val="16"/>
              </w:rPr>
            </w:pPr>
            <w:r w:rsidRPr="001E2F6E">
              <w:rPr>
                <w:b/>
                <w:bCs/>
                <w:snapToGrid w:val="0"/>
                <w:sz w:val="16"/>
                <w:szCs w:val="16"/>
                <w:lang w:val="eu-ES"/>
              </w:rPr>
              <w:t>Establezimenduen batez besteko tamaina</w:t>
            </w:r>
          </w:p>
        </w:tc>
        <w:tc>
          <w:tcPr>
            <w:tcW w:w="1623" w:type="pct"/>
            <w:tcBorders>
              <w:top w:val="single" w:sz="4" w:space="0" w:color="BFBFBF"/>
              <w:left w:val="single" w:sz="4" w:space="0" w:color="BFBFBF"/>
              <w:bottom w:val="single" w:sz="4" w:space="0" w:color="BFBFBF"/>
            </w:tcBorders>
            <w:shd w:val="clear" w:color="auto" w:fill="DBE5F1"/>
          </w:tcPr>
          <w:p w:rsidR="004A72E7" w:rsidRPr="001E2F6E" w:rsidRDefault="004A72E7" w:rsidP="000B6AD4">
            <w:pPr>
              <w:spacing w:line="240" w:lineRule="exact"/>
              <w:ind w:left="227" w:hanging="227"/>
              <w:jc w:val="center"/>
              <w:rPr>
                <w:b/>
                <w:bCs/>
                <w:snapToGrid w:val="0"/>
                <w:sz w:val="16"/>
                <w:szCs w:val="16"/>
              </w:rPr>
            </w:pPr>
            <w:r w:rsidRPr="001E2F6E">
              <w:rPr>
                <w:b/>
                <w:bCs/>
                <w:snapToGrid w:val="0"/>
                <w:sz w:val="16"/>
                <w:szCs w:val="16"/>
                <w:lang w:val="eu-ES"/>
              </w:rPr>
              <w:t>Enpresen batez besteko tamaina</w:t>
            </w:r>
          </w:p>
        </w:tc>
      </w:tr>
      <w:tr w:rsidR="004A72E7" w:rsidRPr="001E2F6E">
        <w:trPr>
          <w:jc w:val="center"/>
        </w:trPr>
        <w:tc>
          <w:tcPr>
            <w:tcW w:w="1779" w:type="pct"/>
            <w:tcBorders>
              <w:top w:val="single" w:sz="4" w:space="0" w:color="BFBFBF"/>
              <w:right w:val="single" w:sz="4" w:space="0" w:color="BFBFBF"/>
            </w:tcBorders>
            <w:vAlign w:val="bottom"/>
          </w:tcPr>
          <w:p w:rsidR="004A72E7" w:rsidRPr="001E2F6E" w:rsidRDefault="004A72E7" w:rsidP="000B6AD4">
            <w:pPr>
              <w:spacing w:line="240" w:lineRule="exact"/>
              <w:ind w:left="227" w:hanging="227"/>
              <w:rPr>
                <w:snapToGrid w:val="0"/>
                <w:sz w:val="16"/>
                <w:szCs w:val="16"/>
              </w:rPr>
            </w:pPr>
            <w:r w:rsidRPr="001E2F6E">
              <w:rPr>
                <w:snapToGrid w:val="0"/>
                <w:sz w:val="16"/>
                <w:szCs w:val="16"/>
                <w:lang w:val="eu-ES"/>
              </w:rPr>
              <w:t>Gizarte Ekonomia, 2012</w:t>
            </w:r>
          </w:p>
        </w:tc>
        <w:tc>
          <w:tcPr>
            <w:tcW w:w="1598" w:type="pct"/>
            <w:tcBorders>
              <w:top w:val="single" w:sz="4" w:space="0" w:color="BFBFBF"/>
              <w:left w:val="single" w:sz="4" w:space="0" w:color="BFBFBF"/>
              <w:right w:val="single" w:sz="4" w:space="0" w:color="BFBFBF"/>
            </w:tcBorders>
            <w:vAlign w:val="bottom"/>
          </w:tcPr>
          <w:p w:rsidR="004A72E7" w:rsidRPr="001E2F6E" w:rsidRDefault="004A72E7" w:rsidP="000B6AD4">
            <w:pPr>
              <w:spacing w:line="240" w:lineRule="exact"/>
              <w:ind w:left="227" w:right="170" w:hanging="227"/>
              <w:jc w:val="right"/>
              <w:rPr>
                <w:snapToGrid w:val="0"/>
                <w:sz w:val="16"/>
                <w:szCs w:val="16"/>
              </w:rPr>
            </w:pPr>
            <w:r w:rsidRPr="001E2F6E">
              <w:rPr>
                <w:sz w:val="16"/>
                <w:szCs w:val="16"/>
              </w:rPr>
              <w:t>18,1</w:t>
            </w:r>
          </w:p>
        </w:tc>
        <w:tc>
          <w:tcPr>
            <w:tcW w:w="1623" w:type="pct"/>
            <w:tcBorders>
              <w:top w:val="single" w:sz="4" w:space="0" w:color="BFBFBF"/>
              <w:left w:val="single" w:sz="4" w:space="0" w:color="BFBFBF"/>
            </w:tcBorders>
            <w:vAlign w:val="bottom"/>
          </w:tcPr>
          <w:p w:rsidR="004A72E7" w:rsidRPr="001E2F6E" w:rsidRDefault="004A72E7" w:rsidP="000B6AD4">
            <w:pPr>
              <w:spacing w:line="240" w:lineRule="exact"/>
              <w:ind w:left="227" w:right="170" w:hanging="227"/>
              <w:jc w:val="right"/>
              <w:rPr>
                <w:snapToGrid w:val="0"/>
                <w:sz w:val="16"/>
                <w:szCs w:val="16"/>
              </w:rPr>
            </w:pPr>
            <w:r w:rsidRPr="001E2F6E">
              <w:rPr>
                <w:snapToGrid w:val="0"/>
                <w:sz w:val="16"/>
                <w:szCs w:val="16"/>
              </w:rPr>
              <w:t>23,8</w:t>
            </w:r>
          </w:p>
        </w:tc>
      </w:tr>
      <w:tr w:rsidR="004A72E7" w:rsidRPr="001E2F6E">
        <w:trPr>
          <w:jc w:val="center"/>
        </w:trPr>
        <w:tc>
          <w:tcPr>
            <w:tcW w:w="1779" w:type="pct"/>
            <w:tcBorders>
              <w:bottom w:val="single" w:sz="4" w:space="0" w:color="BFBFBF"/>
              <w:right w:val="single" w:sz="4" w:space="0" w:color="BFBFBF"/>
            </w:tcBorders>
            <w:vAlign w:val="bottom"/>
          </w:tcPr>
          <w:p w:rsidR="004A72E7" w:rsidRPr="001E2F6E" w:rsidRDefault="004A72E7" w:rsidP="000B6AD4">
            <w:pPr>
              <w:spacing w:line="240" w:lineRule="exact"/>
              <w:ind w:left="227" w:hanging="227"/>
              <w:rPr>
                <w:snapToGrid w:val="0"/>
                <w:sz w:val="16"/>
                <w:szCs w:val="16"/>
              </w:rPr>
            </w:pPr>
            <w:r w:rsidRPr="001E2F6E">
              <w:rPr>
                <w:snapToGrid w:val="0"/>
                <w:sz w:val="16"/>
                <w:szCs w:val="16"/>
                <w:lang w:val="eu-ES"/>
              </w:rPr>
              <w:t>EAEko ekonomia, 2012</w:t>
            </w:r>
          </w:p>
        </w:tc>
        <w:tc>
          <w:tcPr>
            <w:tcW w:w="1598" w:type="pct"/>
            <w:tcBorders>
              <w:left w:val="single" w:sz="4" w:space="0" w:color="BFBFBF"/>
              <w:bottom w:val="single" w:sz="4" w:space="0" w:color="BFBFBF"/>
              <w:right w:val="single" w:sz="4" w:space="0" w:color="BFBFBF"/>
            </w:tcBorders>
            <w:vAlign w:val="bottom"/>
          </w:tcPr>
          <w:p w:rsidR="004A72E7" w:rsidRPr="001E2F6E" w:rsidRDefault="004A72E7" w:rsidP="000B6AD4">
            <w:pPr>
              <w:spacing w:line="240" w:lineRule="exact"/>
              <w:ind w:left="227" w:right="170" w:hanging="227"/>
              <w:jc w:val="right"/>
              <w:rPr>
                <w:snapToGrid w:val="0"/>
                <w:sz w:val="16"/>
                <w:szCs w:val="16"/>
              </w:rPr>
            </w:pPr>
            <w:r w:rsidRPr="001E2F6E">
              <w:rPr>
                <w:snapToGrid w:val="0"/>
                <w:sz w:val="16"/>
                <w:szCs w:val="16"/>
              </w:rPr>
              <w:t>4,9</w:t>
            </w:r>
          </w:p>
        </w:tc>
        <w:tc>
          <w:tcPr>
            <w:tcW w:w="1623" w:type="pct"/>
            <w:tcBorders>
              <w:left w:val="single" w:sz="4" w:space="0" w:color="BFBFBF"/>
              <w:bottom w:val="single" w:sz="4" w:space="0" w:color="BFBFBF"/>
            </w:tcBorders>
            <w:vAlign w:val="bottom"/>
          </w:tcPr>
          <w:p w:rsidR="004A72E7" w:rsidRPr="001E2F6E" w:rsidRDefault="004A72E7" w:rsidP="000B6AD4">
            <w:pPr>
              <w:spacing w:line="240" w:lineRule="exact"/>
              <w:ind w:left="227" w:right="170" w:hanging="227"/>
              <w:jc w:val="right"/>
              <w:rPr>
                <w:snapToGrid w:val="0"/>
                <w:sz w:val="16"/>
                <w:szCs w:val="16"/>
              </w:rPr>
            </w:pPr>
            <w:r w:rsidRPr="001E2F6E">
              <w:rPr>
                <w:snapToGrid w:val="0"/>
                <w:sz w:val="16"/>
                <w:szCs w:val="16"/>
              </w:rPr>
              <w:t>5,5</w:t>
            </w:r>
          </w:p>
        </w:tc>
      </w:tr>
    </w:tbl>
    <w:p w:rsidR="004A72E7" w:rsidRPr="001E2F6E" w:rsidRDefault="004A72E7" w:rsidP="00354E9D">
      <w:pPr>
        <w:ind w:left="227" w:hanging="227"/>
        <w:jc w:val="center"/>
        <w:rPr>
          <w:i/>
          <w:iCs/>
          <w:sz w:val="16"/>
          <w:szCs w:val="16"/>
        </w:rPr>
      </w:pPr>
      <w:r w:rsidRPr="001E2F6E">
        <w:rPr>
          <w:i/>
          <w:iCs/>
          <w:sz w:val="16"/>
          <w:szCs w:val="16"/>
          <w:lang w:val="eu-ES"/>
        </w:rPr>
        <w:t>Oharra:</w:t>
      </w:r>
      <w:r w:rsidRPr="001E2F6E">
        <w:rPr>
          <w:i/>
          <w:iCs/>
          <w:sz w:val="16"/>
          <w:szCs w:val="16"/>
        </w:rPr>
        <w:t xml:space="preserve"> </w:t>
      </w:r>
      <w:r w:rsidRPr="001E2F6E">
        <w:rPr>
          <w:i/>
          <w:iCs/>
          <w:sz w:val="16"/>
          <w:szCs w:val="16"/>
          <w:lang w:val="eu-ES"/>
        </w:rPr>
        <w:t>EAEko datuak Jarduera ekonomikoen gidazerrendatik hartu dira.</w:t>
      </w:r>
      <w:r w:rsidRPr="001E2F6E">
        <w:rPr>
          <w:i/>
          <w:iCs/>
          <w:sz w:val="16"/>
          <w:szCs w:val="16"/>
        </w:rPr>
        <w:t xml:space="preserve"> </w:t>
      </w:r>
      <w:r w:rsidRPr="001E2F6E">
        <w:rPr>
          <w:i/>
          <w:iCs/>
          <w:sz w:val="16"/>
          <w:szCs w:val="16"/>
          <w:lang w:val="eu-ES"/>
        </w:rPr>
        <w:t>Eustat, 2012.</w:t>
      </w:r>
    </w:p>
    <w:p w:rsidR="004A72E7" w:rsidRPr="001E2F6E" w:rsidRDefault="004A72E7" w:rsidP="00354E9D">
      <w:pPr>
        <w:ind w:left="227" w:hanging="227"/>
        <w:rPr>
          <w:i/>
          <w:iCs/>
        </w:rPr>
      </w:pPr>
    </w:p>
    <w:p w:rsidR="004A72E7" w:rsidRPr="001E2F6E" w:rsidRDefault="004A72E7" w:rsidP="00354E9D">
      <w:pPr>
        <w:ind w:left="227" w:hanging="227"/>
        <w:rPr>
          <w:i/>
          <w:iCs/>
        </w:rPr>
      </w:pPr>
    </w:p>
    <w:p w:rsidR="004A72E7" w:rsidRPr="001E2F6E" w:rsidRDefault="004A72E7" w:rsidP="006B1883">
      <w:pPr>
        <w:pStyle w:val="Ttulo2"/>
        <w:spacing w:line="360" w:lineRule="auto"/>
      </w:pPr>
      <w:bookmarkStart w:id="7" w:name="_Toc392585657"/>
      <w:r w:rsidRPr="001E2F6E">
        <w:rPr>
          <w:lang w:val="eu-ES"/>
        </w:rPr>
        <w:t>Enplegu-beherakada sektoreko fakturazioa txikitzearekin eta errentagarritasun-adierazleak okerragotzearekin dago lotuta</w:t>
      </w:r>
      <w:bookmarkEnd w:id="7"/>
    </w:p>
    <w:p w:rsidR="004A72E7" w:rsidRPr="001E2F6E" w:rsidRDefault="004A72E7" w:rsidP="00781D09">
      <w:pPr>
        <w:ind w:left="426" w:hanging="426"/>
        <w:rPr>
          <w:lang w:val="es-ES_tradnl"/>
        </w:rPr>
      </w:pPr>
    </w:p>
    <w:p w:rsidR="004A72E7" w:rsidRPr="001E2F6E" w:rsidRDefault="004A72E7" w:rsidP="001451B1">
      <w:pPr>
        <w:pStyle w:val="Prrafodelista"/>
        <w:numPr>
          <w:ilvl w:val="0"/>
          <w:numId w:val="2"/>
        </w:numPr>
        <w:spacing w:after="0" w:line="360" w:lineRule="auto"/>
        <w:ind w:left="426" w:hanging="426"/>
        <w:rPr>
          <w:rFonts w:ascii="Arial" w:hAnsi="Arial" w:cs="Arial"/>
          <w:b/>
          <w:bCs/>
          <w:color w:val="000000"/>
          <w:lang w:val="es-ES_tradnl" w:eastAsia="es-ES"/>
        </w:rPr>
      </w:pPr>
      <w:r w:rsidRPr="001E2F6E">
        <w:rPr>
          <w:rFonts w:ascii="Arial" w:hAnsi="Arial" w:cs="Arial"/>
          <w:b/>
          <w:bCs/>
          <w:color w:val="000000"/>
          <w:lang w:val="es-ES_tradnl" w:eastAsia="es-ES"/>
        </w:rPr>
        <w:tab/>
      </w:r>
      <w:r w:rsidRPr="001E2F6E">
        <w:rPr>
          <w:rFonts w:ascii="Arial" w:hAnsi="Arial" w:cs="Arial"/>
          <w:b/>
          <w:bCs/>
          <w:lang w:val="eu-ES" w:eastAsia="es-ES"/>
        </w:rPr>
        <w:t>Gizarte Ekonomiako fakturazio orokorra txikitu egiten da, eta balio erantsi gutxiago sortzen da</w:t>
      </w:r>
    </w:p>
    <w:p w:rsidR="004A72E7" w:rsidRPr="001E2F6E" w:rsidRDefault="004A72E7" w:rsidP="00781D09">
      <w:pPr>
        <w:ind w:left="426" w:hanging="426"/>
      </w:pPr>
    </w:p>
    <w:p w:rsidR="004A72E7" w:rsidRPr="001E2F6E" w:rsidRDefault="004A72E7" w:rsidP="00781D09">
      <w:pPr>
        <w:ind w:left="426" w:hanging="426"/>
        <w:rPr>
          <w:color w:val="000000"/>
        </w:rPr>
      </w:pPr>
      <w:r w:rsidRPr="001E2F6E">
        <w:rPr>
          <w:color w:val="000000"/>
        </w:rPr>
        <w:tab/>
      </w:r>
      <w:r w:rsidRPr="001E2F6E">
        <w:rPr>
          <w:lang w:val="eu-ES"/>
        </w:rPr>
        <w:t>2010etik 2012ra bitarteko enplegu-beherakada eta fakturazio-beherakada oso estuki lotuta daude.</w:t>
      </w:r>
      <w:r w:rsidRPr="001E2F6E">
        <w:t xml:space="preserve"> </w:t>
      </w:r>
      <w:r w:rsidRPr="001E2F6E">
        <w:rPr>
          <w:lang w:val="eu-ES"/>
        </w:rPr>
        <w:t xml:space="preserve">Biurteko hartan, Gizarte Ekonomiaren fakturazioa </w:t>
      </w:r>
      <w:r w:rsidRPr="001E2F6E">
        <w:rPr>
          <w:spacing w:val="60"/>
          <w:lang w:val="eu-ES"/>
        </w:rPr>
        <w:t>%</w:t>
      </w:r>
      <w:r w:rsidRPr="001E2F6E">
        <w:rPr>
          <w:lang w:val="eu-ES"/>
        </w:rPr>
        <w:t>3,3 txikitu zen.</w:t>
      </w:r>
      <w:r w:rsidRPr="001E2F6E">
        <w:t xml:space="preserve"> </w:t>
      </w:r>
      <w:r w:rsidRPr="001E2F6E">
        <w:rPr>
          <w:lang w:val="eu-ES"/>
        </w:rPr>
        <w:t xml:space="preserve">Beherakada hori adierazgarria izan zen, 2008-2010 denboraldiko </w:t>
      </w:r>
      <w:r w:rsidRPr="001E2F6E">
        <w:rPr>
          <w:spacing w:val="60"/>
          <w:lang w:val="eu-ES"/>
        </w:rPr>
        <w:t>%</w:t>
      </w:r>
      <w:r w:rsidRPr="001E2F6E">
        <w:rPr>
          <w:lang w:val="eu-ES"/>
        </w:rPr>
        <w:t>12,2koa luzatu baitzuen.</w:t>
      </w:r>
      <w:r w:rsidRPr="001E2F6E">
        <w:rPr>
          <w:color w:val="000000"/>
        </w:rPr>
        <w:t xml:space="preserve"> </w:t>
      </w:r>
    </w:p>
    <w:p w:rsidR="004A72E7" w:rsidRPr="001E2F6E" w:rsidRDefault="004A72E7" w:rsidP="00781D09">
      <w:pPr>
        <w:ind w:left="426" w:hanging="426"/>
        <w:rPr>
          <w:color w:val="000000"/>
        </w:rPr>
      </w:pPr>
    </w:p>
    <w:p w:rsidR="004A72E7" w:rsidRPr="001E2F6E" w:rsidRDefault="004A72E7" w:rsidP="00CD42D5">
      <w:pPr>
        <w:ind w:left="426"/>
      </w:pPr>
      <w:r w:rsidRPr="001E2F6E">
        <w:rPr>
          <w:lang w:val="eu-ES"/>
        </w:rPr>
        <w:t xml:space="preserve">2013ko Aurrerapeneko datuek adierazten dute fakturazioa txikitzeko prozesua amaitu egingo dela, baina, oraindik ere, ez dirudi susperraldi handirik gertatuko denik; hain zuzen, 2012an eta 2013an salmentak </w:t>
      </w:r>
      <w:r w:rsidRPr="001E2F6E">
        <w:rPr>
          <w:spacing w:val="60"/>
          <w:lang w:val="eu-ES"/>
        </w:rPr>
        <w:t>%</w:t>
      </w:r>
      <w:r w:rsidRPr="001E2F6E">
        <w:rPr>
          <w:lang w:val="eu-ES"/>
        </w:rPr>
        <w:t>0,3 handituko direla aurreikusten da.</w:t>
      </w:r>
    </w:p>
    <w:p w:rsidR="004A72E7" w:rsidRPr="001E2F6E" w:rsidRDefault="004A72E7" w:rsidP="00781D09">
      <w:pPr>
        <w:ind w:left="426" w:hanging="426"/>
        <w:rPr>
          <w:color w:val="000000"/>
        </w:rPr>
      </w:pPr>
    </w:p>
    <w:p w:rsidR="004A72E7" w:rsidRPr="001E2F6E" w:rsidRDefault="004A72E7" w:rsidP="00781D09">
      <w:pPr>
        <w:ind w:left="426" w:hanging="426"/>
        <w:rPr>
          <w:lang w:val="eu-ES"/>
        </w:rPr>
      </w:pPr>
      <w:r w:rsidRPr="001E2F6E">
        <w:tab/>
      </w:r>
      <w:r w:rsidRPr="001E2F6E">
        <w:rPr>
          <w:lang w:val="eu-ES"/>
        </w:rPr>
        <w:t xml:space="preserve">Susperraldi hori egiaztatuko balitz ere, 2013rako aurreikusitako 8.304,5 milioiko fakturazioa </w:t>
      </w:r>
      <w:r w:rsidRPr="001E2F6E">
        <w:rPr>
          <w:spacing w:val="60"/>
          <w:lang w:val="eu-ES"/>
        </w:rPr>
        <w:t>%</w:t>
      </w:r>
      <w:r w:rsidRPr="001E2F6E">
        <w:rPr>
          <w:lang w:val="eu-ES"/>
        </w:rPr>
        <w:t>19,5 txikiagoa izango litzateke Gizarte Ekonomiak 2007koa baino (10.314,9 milioi). 2006-2008 denboraldiko batez besteko fakturazioaren</w:t>
      </w:r>
      <w:r w:rsidRPr="001E2F6E">
        <w:rPr>
          <w:rStyle w:val="Refdenotaalpie"/>
          <w:rFonts w:cs="Arial"/>
          <w:lang w:val="eu-ES"/>
        </w:rPr>
        <w:footnoteReference w:id="7"/>
      </w:r>
      <w:r w:rsidRPr="001E2F6E">
        <w:rPr>
          <w:lang w:val="eu-ES"/>
        </w:rPr>
        <w:t xml:space="preserve"> eta 2012-2013 denboraldiko batez besteko fakturazioaren artean, </w:t>
      </w:r>
      <w:r w:rsidRPr="001E2F6E">
        <w:rPr>
          <w:spacing w:val="60"/>
          <w:lang w:val="eu-ES"/>
        </w:rPr>
        <w:t>%</w:t>
      </w:r>
      <w:r w:rsidRPr="001E2F6E">
        <w:rPr>
          <w:lang w:val="eu-ES"/>
        </w:rPr>
        <w:t>15,9ko beherakada dago.</w:t>
      </w:r>
      <w:r w:rsidRPr="001E2F6E">
        <w:rPr>
          <w:rStyle w:val="Refdenotaalpie"/>
          <w:rFonts w:cs="Arial"/>
        </w:rPr>
        <w:footnoteReference w:id="8"/>
      </w:r>
    </w:p>
    <w:p w:rsidR="004A72E7" w:rsidRPr="001E2F6E" w:rsidRDefault="001451B1" w:rsidP="00354E9D">
      <w:pPr>
        <w:ind w:left="227" w:hanging="227"/>
        <w:rPr>
          <w:b/>
          <w:bCs/>
          <w:color w:val="1F497D"/>
          <w:sz w:val="18"/>
          <w:szCs w:val="18"/>
          <w:lang w:val="eu-ES"/>
        </w:rPr>
      </w:pPr>
      <w:r w:rsidRPr="001E2F6E">
        <w:rPr>
          <w:noProof/>
          <w:lang w:eastAsia="es-ES"/>
        </w:rPr>
        <w:drawing>
          <wp:anchor distT="292608" distB="188976" distL="138684" distR="223498" simplePos="0" relativeHeight="251658240" behindDoc="0" locked="0" layoutInCell="1" allowOverlap="1">
            <wp:simplePos x="0" y="0"/>
            <wp:positionH relativeFrom="column">
              <wp:posOffset>106045</wp:posOffset>
            </wp:positionH>
            <wp:positionV relativeFrom="paragraph">
              <wp:posOffset>440690</wp:posOffset>
            </wp:positionV>
            <wp:extent cx="5377180" cy="1347470"/>
            <wp:effectExtent l="0" t="0" r="0" b="0"/>
            <wp:wrapNone/>
            <wp:docPr id="24" name="Objeto 2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anchor>
        </w:drawing>
      </w:r>
    </w:p>
    <w:p w:rsidR="004A72E7" w:rsidRPr="001E2F6E" w:rsidRDefault="004A72E7" w:rsidP="00354E9D">
      <w:pPr>
        <w:ind w:left="227" w:hanging="227"/>
        <w:jc w:val="center"/>
        <w:rPr>
          <w:b/>
          <w:bCs/>
          <w:color w:val="1F497D" w:themeColor="text2"/>
          <w:sz w:val="18"/>
          <w:szCs w:val="18"/>
          <w:lang w:val="eu-ES"/>
        </w:rPr>
      </w:pPr>
      <w:r w:rsidRPr="001E2F6E">
        <w:rPr>
          <w:b/>
          <w:bCs/>
          <w:color w:val="1F497D" w:themeColor="text2"/>
          <w:sz w:val="18"/>
          <w:szCs w:val="18"/>
          <w:lang w:val="eu-ES"/>
        </w:rPr>
        <w:t>FAKTURAZIOAREN BILAKAERA, 2006-2013 (milaka eurotan)</w:t>
      </w:r>
    </w:p>
    <w:p w:rsidR="004A72E7" w:rsidRPr="001E2F6E" w:rsidRDefault="004A72E7" w:rsidP="00354E9D">
      <w:pPr>
        <w:ind w:left="227" w:hanging="227"/>
        <w:rPr>
          <w:rFonts w:ascii="Times New Roman" w:hAnsi="Times New Roman" w:cs="Times New Roman"/>
          <w:sz w:val="24"/>
          <w:szCs w:val="24"/>
          <w:lang w:val="eu-ES" w:eastAsia="es-ES"/>
        </w:rPr>
      </w:pPr>
    </w:p>
    <w:p w:rsidR="004A72E7" w:rsidRPr="001E2F6E" w:rsidRDefault="004A72E7" w:rsidP="00354E9D">
      <w:pPr>
        <w:ind w:left="227" w:hanging="227"/>
        <w:rPr>
          <w:rFonts w:ascii="Times New Roman" w:hAnsi="Times New Roman" w:cs="Times New Roman"/>
          <w:sz w:val="24"/>
          <w:szCs w:val="24"/>
          <w:lang w:val="eu-ES" w:eastAsia="es-ES"/>
        </w:rPr>
      </w:pPr>
    </w:p>
    <w:p w:rsidR="004A72E7" w:rsidRPr="001E2F6E" w:rsidRDefault="004A72E7" w:rsidP="00354E9D">
      <w:pPr>
        <w:ind w:left="227" w:hanging="227"/>
        <w:rPr>
          <w:lang w:val="eu-ES"/>
        </w:rPr>
      </w:pPr>
    </w:p>
    <w:p w:rsidR="004A72E7" w:rsidRPr="001E2F6E" w:rsidRDefault="004A72E7" w:rsidP="00354E9D">
      <w:pPr>
        <w:ind w:left="227" w:hanging="227"/>
        <w:rPr>
          <w:lang w:val="eu-ES"/>
        </w:rPr>
      </w:pPr>
    </w:p>
    <w:p w:rsidR="004A72E7" w:rsidRPr="001E2F6E" w:rsidRDefault="004A72E7" w:rsidP="00354E9D">
      <w:pPr>
        <w:ind w:left="227" w:hanging="227"/>
        <w:rPr>
          <w:lang w:val="eu-ES"/>
        </w:rPr>
      </w:pPr>
    </w:p>
    <w:p w:rsidR="004A72E7" w:rsidRPr="001E2F6E" w:rsidRDefault="004A72E7" w:rsidP="00354E9D">
      <w:pPr>
        <w:ind w:left="227" w:hanging="227"/>
        <w:rPr>
          <w:lang w:val="eu-ES"/>
        </w:rPr>
      </w:pPr>
    </w:p>
    <w:p w:rsidR="004A72E7" w:rsidRPr="001E2F6E" w:rsidRDefault="004A72E7" w:rsidP="00354E9D">
      <w:pPr>
        <w:ind w:left="227" w:hanging="227"/>
        <w:rPr>
          <w:lang w:val="eu-ES"/>
        </w:rPr>
      </w:pPr>
    </w:p>
    <w:p w:rsidR="004A72E7" w:rsidRPr="001E2F6E" w:rsidRDefault="004A72E7" w:rsidP="00354E9D">
      <w:pPr>
        <w:ind w:left="227" w:hanging="227"/>
        <w:rPr>
          <w:sz w:val="16"/>
          <w:szCs w:val="16"/>
          <w:lang w:val="eu-ES"/>
        </w:rPr>
      </w:pPr>
      <w:r w:rsidRPr="001E2F6E">
        <w:rPr>
          <w:sz w:val="16"/>
          <w:szCs w:val="16"/>
          <w:lang w:val="eu-ES"/>
        </w:rPr>
        <w:tab/>
        <w:t>* Urte bakoitietan, fakturatutako bolumena enpresek aurreko urtean egindako aurreikuspenari dagokio.</w:t>
      </w:r>
    </w:p>
    <w:p w:rsidR="004A72E7" w:rsidRPr="001E2F6E" w:rsidRDefault="004A72E7" w:rsidP="00354E9D">
      <w:pPr>
        <w:ind w:left="227" w:hanging="227"/>
        <w:rPr>
          <w:lang w:val="eu-ES"/>
        </w:rPr>
      </w:pPr>
    </w:p>
    <w:p w:rsidR="004A72E7" w:rsidRPr="001E2F6E" w:rsidRDefault="004A72E7">
      <w:pPr>
        <w:spacing w:after="200" w:line="276" w:lineRule="auto"/>
        <w:jc w:val="left"/>
        <w:rPr>
          <w:lang w:val="eu-ES" w:eastAsia="es-ES"/>
        </w:rPr>
      </w:pPr>
    </w:p>
    <w:p w:rsidR="004A72E7" w:rsidRPr="001E2F6E" w:rsidRDefault="004A72E7" w:rsidP="00781D09">
      <w:pPr>
        <w:pStyle w:val="Prrafodelista"/>
        <w:spacing w:after="0" w:line="360" w:lineRule="auto"/>
        <w:ind w:left="426" w:hanging="426"/>
        <w:rPr>
          <w:rFonts w:ascii="Arial" w:hAnsi="Arial" w:cs="Arial"/>
          <w:b/>
          <w:bCs/>
          <w:lang w:val="eu-ES" w:eastAsia="es-ES"/>
        </w:rPr>
      </w:pPr>
      <w:r w:rsidRPr="001E2F6E">
        <w:rPr>
          <w:rFonts w:ascii="Arial" w:hAnsi="Arial" w:cs="Arial"/>
          <w:lang w:val="eu-ES" w:eastAsia="es-ES"/>
        </w:rPr>
        <w:lastRenderedPageBreak/>
        <w:tab/>
        <w:t xml:space="preserve">Fakturazioa txikitzearekin batera, balio erantsi gordina (BEGd-a) ere txikitu zen. Kasu honetan, 2012. ekitaldiko BEGd-a </w:t>
      </w:r>
      <w:r w:rsidRPr="001E2F6E">
        <w:rPr>
          <w:rFonts w:ascii="Arial" w:hAnsi="Arial" w:cs="Arial"/>
          <w:spacing w:val="60"/>
          <w:lang w:val="eu-ES" w:eastAsia="es-ES"/>
        </w:rPr>
        <w:t>%</w:t>
      </w:r>
      <w:r w:rsidRPr="001E2F6E">
        <w:rPr>
          <w:rFonts w:ascii="Arial" w:hAnsi="Arial" w:cs="Arial"/>
          <w:lang w:val="eu-ES" w:eastAsia="es-ES"/>
        </w:rPr>
        <w:t>6,4 txikiagoa izan zen 2010ean, termino arruntetan. Atzerakada hori oso antzekoa izan zen bi sektore handietan (-</w:t>
      </w:r>
      <w:r w:rsidRPr="001E2F6E">
        <w:rPr>
          <w:rFonts w:ascii="Arial" w:hAnsi="Arial" w:cs="Arial"/>
          <w:spacing w:val="60"/>
          <w:lang w:val="eu-ES" w:eastAsia="es-ES"/>
        </w:rPr>
        <w:t>%</w:t>
      </w:r>
      <w:r w:rsidRPr="001E2F6E">
        <w:rPr>
          <w:rFonts w:ascii="Arial" w:hAnsi="Arial" w:cs="Arial"/>
          <w:lang w:val="eu-ES" w:eastAsia="es-ES"/>
        </w:rPr>
        <w:t>6,1 industrian eta -</w:t>
      </w:r>
      <w:r w:rsidRPr="001E2F6E">
        <w:rPr>
          <w:rFonts w:ascii="Arial" w:hAnsi="Arial" w:cs="Arial"/>
          <w:spacing w:val="60"/>
          <w:lang w:val="eu-ES" w:eastAsia="es-ES"/>
        </w:rPr>
        <w:t>%</w:t>
      </w:r>
      <w:r w:rsidRPr="001E2F6E">
        <w:rPr>
          <w:rFonts w:ascii="Arial" w:hAnsi="Arial" w:cs="Arial"/>
          <w:lang w:val="eu-ES" w:eastAsia="es-ES"/>
        </w:rPr>
        <w:t xml:space="preserve">6,0 zerbitzu-sektorean). Lehen sektorearen eta eraikuntza-sektorearen kasuan, BEGd-aren beherakada </w:t>
      </w:r>
      <w:r w:rsidRPr="001E2F6E">
        <w:rPr>
          <w:rFonts w:ascii="Arial" w:hAnsi="Arial" w:cs="Arial"/>
          <w:spacing w:val="60"/>
          <w:lang w:val="eu-ES" w:eastAsia="es-ES"/>
        </w:rPr>
        <w:t>%</w:t>
      </w:r>
      <w:r w:rsidRPr="001E2F6E">
        <w:rPr>
          <w:rFonts w:ascii="Arial" w:hAnsi="Arial" w:cs="Arial"/>
          <w:lang w:val="eu-ES" w:eastAsia="es-ES"/>
        </w:rPr>
        <w:t>18,2koa izan zen.</w:t>
      </w:r>
    </w:p>
    <w:p w:rsidR="004A72E7" w:rsidRPr="001E2F6E" w:rsidRDefault="004A72E7" w:rsidP="00781D09">
      <w:pPr>
        <w:pStyle w:val="Prrafodelista"/>
        <w:spacing w:after="0" w:line="240" w:lineRule="auto"/>
        <w:ind w:left="227" w:hanging="227"/>
        <w:rPr>
          <w:rFonts w:ascii="Arial" w:hAnsi="Arial" w:cs="Arial"/>
          <w:lang w:val="eu-ES"/>
        </w:rPr>
      </w:pPr>
    </w:p>
    <w:p w:rsidR="004A72E7" w:rsidRPr="001E2F6E" w:rsidRDefault="004A72E7" w:rsidP="00781D09">
      <w:pPr>
        <w:spacing w:line="240" w:lineRule="auto"/>
        <w:ind w:left="227" w:hanging="227"/>
        <w:jc w:val="center"/>
        <w:rPr>
          <w:b/>
          <w:bCs/>
          <w:color w:val="1F497D" w:themeColor="text2"/>
          <w:sz w:val="18"/>
          <w:szCs w:val="18"/>
          <w:lang w:val="sv-SE"/>
        </w:rPr>
      </w:pPr>
      <w:r w:rsidRPr="001E2F6E">
        <w:rPr>
          <w:b/>
          <w:bCs/>
          <w:color w:val="1F497D" w:themeColor="text2"/>
          <w:sz w:val="18"/>
          <w:szCs w:val="18"/>
          <w:lang w:val="eu-ES"/>
        </w:rPr>
        <w:t>BEGd-AREN SEKTORE-HAZKUNDEA 2010-2012 DENBORALDIAN (prezio arruntetan)</w:t>
      </w:r>
    </w:p>
    <w:tbl>
      <w:tblPr>
        <w:tblW w:w="5000" w:type="pct"/>
        <w:jc w:val="center"/>
        <w:tblLook w:val="00A0" w:firstRow="1" w:lastRow="0" w:firstColumn="1" w:lastColumn="0" w:noHBand="0" w:noVBand="0"/>
      </w:tblPr>
      <w:tblGrid>
        <w:gridCol w:w="4587"/>
        <w:gridCol w:w="4417"/>
      </w:tblGrid>
      <w:tr w:rsidR="004A72E7" w:rsidRPr="001E2F6E">
        <w:trPr>
          <w:jc w:val="center"/>
        </w:trPr>
        <w:tc>
          <w:tcPr>
            <w:tcW w:w="2547" w:type="pct"/>
            <w:tcBorders>
              <w:top w:val="single" w:sz="4" w:space="0" w:color="BFBFBF"/>
              <w:bottom w:val="single" w:sz="4" w:space="0" w:color="BFBFBF"/>
              <w:right w:val="single" w:sz="4" w:space="0" w:color="BFBFBF"/>
            </w:tcBorders>
            <w:shd w:val="clear" w:color="auto" w:fill="DBE5F1"/>
          </w:tcPr>
          <w:p w:rsidR="004A72E7" w:rsidRPr="001E2F6E" w:rsidRDefault="004A72E7" w:rsidP="000E1CA6">
            <w:pPr>
              <w:spacing w:line="240" w:lineRule="exact"/>
              <w:ind w:left="227" w:hanging="227"/>
              <w:rPr>
                <w:b/>
                <w:bCs/>
                <w:sz w:val="16"/>
                <w:szCs w:val="16"/>
              </w:rPr>
            </w:pPr>
            <w:r w:rsidRPr="001E2F6E">
              <w:rPr>
                <w:b/>
                <w:bCs/>
                <w:sz w:val="16"/>
                <w:szCs w:val="16"/>
                <w:lang w:val="eu-ES"/>
              </w:rPr>
              <w:t>Sektoreak</w:t>
            </w:r>
          </w:p>
        </w:tc>
        <w:tc>
          <w:tcPr>
            <w:tcW w:w="2453" w:type="pct"/>
            <w:tcBorders>
              <w:top w:val="single" w:sz="4" w:space="0" w:color="BFBFBF"/>
              <w:left w:val="single" w:sz="4" w:space="0" w:color="BFBFBF"/>
              <w:bottom w:val="single" w:sz="4" w:space="0" w:color="BFBFBF"/>
            </w:tcBorders>
            <w:shd w:val="clear" w:color="auto" w:fill="DBE5F1"/>
          </w:tcPr>
          <w:p w:rsidR="004A72E7" w:rsidRPr="001E2F6E" w:rsidRDefault="004A72E7" w:rsidP="000E1CA6">
            <w:pPr>
              <w:spacing w:line="240" w:lineRule="exact"/>
              <w:ind w:left="227" w:hanging="227"/>
              <w:jc w:val="center"/>
              <w:rPr>
                <w:b/>
                <w:bCs/>
                <w:sz w:val="16"/>
                <w:szCs w:val="16"/>
              </w:rPr>
            </w:pPr>
            <w:r w:rsidRPr="001E2F6E">
              <w:rPr>
                <w:b/>
                <w:bCs/>
                <w:sz w:val="16"/>
                <w:szCs w:val="16"/>
                <w:lang w:val="eu-ES"/>
              </w:rPr>
              <w:t>Hazkunde-tasa</w:t>
            </w:r>
          </w:p>
        </w:tc>
      </w:tr>
      <w:tr w:rsidR="004A72E7" w:rsidRPr="001E2F6E">
        <w:trPr>
          <w:jc w:val="center"/>
        </w:trPr>
        <w:tc>
          <w:tcPr>
            <w:tcW w:w="2547" w:type="pct"/>
            <w:tcBorders>
              <w:top w:val="single" w:sz="4" w:space="0" w:color="BFBFBF"/>
              <w:right w:val="single" w:sz="4" w:space="0" w:color="BFBFBF"/>
            </w:tcBorders>
          </w:tcPr>
          <w:p w:rsidR="004A72E7" w:rsidRPr="001E2F6E" w:rsidRDefault="004A72E7" w:rsidP="000E1CA6">
            <w:pPr>
              <w:spacing w:line="240" w:lineRule="exact"/>
              <w:ind w:left="227" w:hanging="227"/>
              <w:rPr>
                <w:sz w:val="16"/>
                <w:szCs w:val="16"/>
              </w:rPr>
            </w:pPr>
            <w:r w:rsidRPr="001E2F6E">
              <w:rPr>
                <w:sz w:val="16"/>
                <w:szCs w:val="16"/>
                <w:lang w:val="eu-ES"/>
              </w:rPr>
              <w:t>Industria</w:t>
            </w:r>
          </w:p>
        </w:tc>
        <w:tc>
          <w:tcPr>
            <w:tcW w:w="2453" w:type="pct"/>
            <w:tcBorders>
              <w:top w:val="single" w:sz="4" w:space="0" w:color="BFBFBF"/>
              <w:left w:val="single" w:sz="4" w:space="0" w:color="BFBFBF"/>
            </w:tcBorders>
          </w:tcPr>
          <w:p w:rsidR="004A72E7" w:rsidRPr="001E2F6E" w:rsidRDefault="004A72E7" w:rsidP="000E1CA6">
            <w:pPr>
              <w:spacing w:line="240" w:lineRule="exact"/>
              <w:ind w:left="227" w:hanging="227"/>
              <w:jc w:val="center"/>
              <w:rPr>
                <w:sz w:val="16"/>
                <w:szCs w:val="16"/>
              </w:rPr>
            </w:pPr>
            <w:r w:rsidRPr="001E2F6E">
              <w:rPr>
                <w:sz w:val="16"/>
                <w:szCs w:val="16"/>
              </w:rPr>
              <w:t>-</w:t>
            </w:r>
            <w:r w:rsidRPr="001E2F6E">
              <w:rPr>
                <w:spacing w:val="60"/>
                <w:sz w:val="16"/>
                <w:szCs w:val="16"/>
              </w:rPr>
              <w:t>%</w:t>
            </w:r>
            <w:r w:rsidRPr="001E2F6E">
              <w:rPr>
                <w:sz w:val="16"/>
                <w:szCs w:val="16"/>
              </w:rPr>
              <w:t>6,1</w:t>
            </w:r>
          </w:p>
        </w:tc>
      </w:tr>
      <w:tr w:rsidR="004A72E7" w:rsidRPr="001E2F6E">
        <w:trPr>
          <w:jc w:val="center"/>
        </w:trPr>
        <w:tc>
          <w:tcPr>
            <w:tcW w:w="2547" w:type="pct"/>
            <w:tcBorders>
              <w:right w:val="single" w:sz="4" w:space="0" w:color="BFBFBF"/>
            </w:tcBorders>
          </w:tcPr>
          <w:p w:rsidR="004A72E7" w:rsidRPr="001E2F6E" w:rsidRDefault="004A72E7" w:rsidP="000E1CA6">
            <w:pPr>
              <w:spacing w:line="240" w:lineRule="exact"/>
              <w:ind w:left="227" w:hanging="227"/>
              <w:rPr>
                <w:sz w:val="16"/>
                <w:szCs w:val="16"/>
              </w:rPr>
            </w:pPr>
            <w:r w:rsidRPr="001E2F6E">
              <w:rPr>
                <w:sz w:val="16"/>
                <w:szCs w:val="16"/>
                <w:lang w:val="eu-ES"/>
              </w:rPr>
              <w:t>Zerbitzuak</w:t>
            </w:r>
          </w:p>
        </w:tc>
        <w:tc>
          <w:tcPr>
            <w:tcW w:w="2453" w:type="pct"/>
            <w:tcBorders>
              <w:left w:val="single" w:sz="4" w:space="0" w:color="BFBFBF"/>
            </w:tcBorders>
          </w:tcPr>
          <w:p w:rsidR="004A72E7" w:rsidRPr="001E2F6E" w:rsidRDefault="004A72E7" w:rsidP="000E1CA6">
            <w:pPr>
              <w:spacing w:line="240" w:lineRule="exact"/>
              <w:ind w:left="227" w:hanging="227"/>
              <w:jc w:val="center"/>
              <w:rPr>
                <w:sz w:val="16"/>
                <w:szCs w:val="16"/>
              </w:rPr>
            </w:pPr>
            <w:r w:rsidRPr="001E2F6E">
              <w:rPr>
                <w:sz w:val="16"/>
                <w:szCs w:val="16"/>
              </w:rPr>
              <w:t>-</w:t>
            </w:r>
            <w:r w:rsidRPr="001E2F6E">
              <w:rPr>
                <w:spacing w:val="60"/>
                <w:sz w:val="16"/>
                <w:szCs w:val="16"/>
              </w:rPr>
              <w:t>%</w:t>
            </w:r>
            <w:r w:rsidRPr="001E2F6E">
              <w:rPr>
                <w:sz w:val="16"/>
                <w:szCs w:val="16"/>
              </w:rPr>
              <w:t>6,0</w:t>
            </w:r>
          </w:p>
        </w:tc>
      </w:tr>
      <w:tr w:rsidR="004A72E7" w:rsidRPr="001E2F6E">
        <w:trPr>
          <w:jc w:val="center"/>
        </w:trPr>
        <w:tc>
          <w:tcPr>
            <w:tcW w:w="2547" w:type="pct"/>
            <w:tcBorders>
              <w:bottom w:val="single" w:sz="4" w:space="0" w:color="BFBFBF"/>
              <w:right w:val="single" w:sz="4" w:space="0" w:color="BFBFBF"/>
            </w:tcBorders>
          </w:tcPr>
          <w:p w:rsidR="004A72E7" w:rsidRPr="001E2F6E" w:rsidRDefault="004A72E7" w:rsidP="000E1CA6">
            <w:pPr>
              <w:spacing w:line="240" w:lineRule="exact"/>
              <w:ind w:left="227" w:hanging="227"/>
              <w:rPr>
                <w:sz w:val="16"/>
                <w:szCs w:val="16"/>
              </w:rPr>
            </w:pPr>
            <w:r w:rsidRPr="001E2F6E">
              <w:rPr>
                <w:sz w:val="16"/>
                <w:szCs w:val="16"/>
                <w:lang w:val="eu-ES"/>
              </w:rPr>
              <w:t>Lehen sektorea + Eraikuntza</w:t>
            </w:r>
          </w:p>
        </w:tc>
        <w:tc>
          <w:tcPr>
            <w:tcW w:w="2453" w:type="pct"/>
            <w:tcBorders>
              <w:left w:val="single" w:sz="4" w:space="0" w:color="BFBFBF"/>
              <w:bottom w:val="single" w:sz="4" w:space="0" w:color="BFBFBF"/>
            </w:tcBorders>
          </w:tcPr>
          <w:p w:rsidR="004A72E7" w:rsidRPr="001E2F6E" w:rsidRDefault="004A72E7" w:rsidP="000E1CA6">
            <w:pPr>
              <w:spacing w:line="240" w:lineRule="exact"/>
              <w:ind w:left="227" w:hanging="227"/>
              <w:jc w:val="center"/>
              <w:rPr>
                <w:sz w:val="16"/>
                <w:szCs w:val="16"/>
              </w:rPr>
            </w:pPr>
            <w:r w:rsidRPr="001E2F6E">
              <w:rPr>
                <w:sz w:val="16"/>
                <w:szCs w:val="16"/>
              </w:rPr>
              <w:t>-</w:t>
            </w:r>
            <w:r w:rsidRPr="001E2F6E">
              <w:rPr>
                <w:spacing w:val="60"/>
                <w:sz w:val="16"/>
                <w:szCs w:val="16"/>
              </w:rPr>
              <w:t>%</w:t>
            </w:r>
            <w:r w:rsidRPr="001E2F6E">
              <w:rPr>
                <w:sz w:val="16"/>
                <w:szCs w:val="16"/>
              </w:rPr>
              <w:t>18,2</w:t>
            </w:r>
          </w:p>
        </w:tc>
      </w:tr>
      <w:tr w:rsidR="004A72E7" w:rsidRPr="001E2F6E">
        <w:trPr>
          <w:jc w:val="center"/>
        </w:trPr>
        <w:tc>
          <w:tcPr>
            <w:tcW w:w="2547" w:type="pct"/>
            <w:tcBorders>
              <w:top w:val="single" w:sz="4" w:space="0" w:color="BFBFBF"/>
              <w:bottom w:val="single" w:sz="4" w:space="0" w:color="BFBFBF"/>
              <w:right w:val="single" w:sz="4" w:space="0" w:color="BFBFBF"/>
            </w:tcBorders>
          </w:tcPr>
          <w:p w:rsidR="004A72E7" w:rsidRPr="001E2F6E" w:rsidRDefault="004A72E7" w:rsidP="000E1CA6">
            <w:pPr>
              <w:spacing w:line="240" w:lineRule="exact"/>
              <w:ind w:left="227" w:hanging="227"/>
              <w:rPr>
                <w:b/>
                <w:bCs/>
                <w:sz w:val="16"/>
                <w:szCs w:val="16"/>
              </w:rPr>
            </w:pPr>
            <w:r w:rsidRPr="001E2F6E">
              <w:rPr>
                <w:b/>
                <w:bCs/>
                <w:sz w:val="16"/>
                <w:szCs w:val="16"/>
                <w:lang w:val="eu-ES"/>
              </w:rPr>
              <w:t>GUZTIRA</w:t>
            </w:r>
          </w:p>
        </w:tc>
        <w:tc>
          <w:tcPr>
            <w:tcW w:w="2453" w:type="pct"/>
            <w:tcBorders>
              <w:top w:val="single" w:sz="4" w:space="0" w:color="BFBFBF"/>
              <w:left w:val="single" w:sz="4" w:space="0" w:color="BFBFBF"/>
              <w:bottom w:val="single" w:sz="4" w:space="0" w:color="BFBFBF"/>
            </w:tcBorders>
          </w:tcPr>
          <w:p w:rsidR="004A72E7" w:rsidRPr="001E2F6E" w:rsidRDefault="004A72E7" w:rsidP="000E1CA6">
            <w:pPr>
              <w:spacing w:line="240" w:lineRule="exact"/>
              <w:ind w:left="227" w:hanging="227"/>
              <w:jc w:val="center"/>
              <w:rPr>
                <w:b/>
                <w:bCs/>
                <w:sz w:val="16"/>
                <w:szCs w:val="16"/>
              </w:rPr>
            </w:pPr>
            <w:r w:rsidRPr="001E2F6E">
              <w:rPr>
                <w:b/>
                <w:bCs/>
                <w:sz w:val="16"/>
                <w:szCs w:val="16"/>
              </w:rPr>
              <w:t>-</w:t>
            </w:r>
            <w:r w:rsidRPr="001E2F6E">
              <w:rPr>
                <w:b/>
                <w:bCs/>
                <w:spacing w:val="60"/>
                <w:sz w:val="16"/>
                <w:szCs w:val="16"/>
              </w:rPr>
              <w:t>%</w:t>
            </w:r>
            <w:r w:rsidRPr="001E2F6E">
              <w:rPr>
                <w:b/>
                <w:bCs/>
                <w:sz w:val="16"/>
                <w:szCs w:val="16"/>
              </w:rPr>
              <w:t>6,4</w:t>
            </w:r>
          </w:p>
        </w:tc>
      </w:tr>
    </w:tbl>
    <w:p w:rsidR="004A72E7" w:rsidRPr="001E2F6E" w:rsidRDefault="004A72E7" w:rsidP="00781D09">
      <w:pPr>
        <w:ind w:left="426" w:hanging="426"/>
        <w:rPr>
          <w:lang w:val="es-ES_tradnl"/>
        </w:rPr>
      </w:pPr>
    </w:p>
    <w:p w:rsidR="004A72E7" w:rsidRPr="001E2F6E" w:rsidRDefault="004A72E7" w:rsidP="00781D09">
      <w:pPr>
        <w:ind w:left="426" w:hanging="426"/>
        <w:rPr>
          <w:lang w:val="es-ES_tradnl"/>
        </w:rPr>
      </w:pPr>
    </w:p>
    <w:p w:rsidR="004A72E7" w:rsidRPr="001E2F6E" w:rsidRDefault="004A72E7" w:rsidP="00781D09">
      <w:pPr>
        <w:ind w:left="426" w:hanging="426"/>
        <w:rPr>
          <w:lang w:val="eu-ES"/>
        </w:rPr>
      </w:pPr>
      <w:r w:rsidRPr="001E2F6E">
        <w:rPr>
          <w:lang w:val="es-ES_tradnl"/>
        </w:rPr>
        <w:tab/>
      </w:r>
      <w:r w:rsidRPr="001E2F6E">
        <w:rPr>
          <w:lang w:val="eu-ES"/>
        </w:rPr>
        <w:t>BEGd-ak sektore horietan antzeko dinamika izan bazuen ere, enplegu-beherakada absolutua handiagoa izan zen zerbitzu-sektorean besteetan baino, eta horrek zuzeneko eraginak izan zituen 2010-2012 biurtekoko itxurazko produktibitatean. Alde batetik, hirugarren sektorean, 2010etik 2012ra bitartean, produktibitateak gora egin zuen langile-kopurua txikitzearen ondorioz (</w:t>
      </w:r>
      <w:r w:rsidRPr="001E2F6E">
        <w:rPr>
          <w:spacing w:val="60"/>
          <w:lang w:val="eu-ES"/>
        </w:rPr>
        <w:t>%</w:t>
      </w:r>
      <w:r w:rsidRPr="001E2F6E">
        <w:rPr>
          <w:lang w:val="eu-ES"/>
        </w:rPr>
        <w:t xml:space="preserve">4,7). Aitzitik, industria-enpresetan enplegua suntsitzeko prozesuari eusteko ahaleginaren ondorioz, langile bakoitzaren produktibitatea </w:t>
      </w:r>
      <w:r w:rsidRPr="001E2F6E">
        <w:rPr>
          <w:spacing w:val="60"/>
          <w:lang w:val="eu-ES"/>
        </w:rPr>
        <w:t>%</w:t>
      </w:r>
      <w:r w:rsidRPr="001E2F6E">
        <w:rPr>
          <w:lang w:val="eu-ES"/>
        </w:rPr>
        <w:t>3,2 txikitu zen 2010-2012 biurtekoan.</w:t>
      </w:r>
    </w:p>
    <w:p w:rsidR="004A72E7" w:rsidRPr="001E2F6E" w:rsidRDefault="004A72E7" w:rsidP="00781D09">
      <w:pPr>
        <w:ind w:left="426" w:hanging="426"/>
        <w:rPr>
          <w:lang w:val="eu-ES"/>
        </w:rPr>
      </w:pPr>
    </w:p>
    <w:p w:rsidR="004A72E7" w:rsidRPr="001E2F6E" w:rsidRDefault="004A72E7" w:rsidP="00781D09">
      <w:pPr>
        <w:spacing w:line="240" w:lineRule="auto"/>
        <w:ind w:left="227" w:hanging="227"/>
        <w:jc w:val="center"/>
        <w:rPr>
          <w:b/>
          <w:bCs/>
          <w:color w:val="1F497D" w:themeColor="text2"/>
          <w:sz w:val="18"/>
          <w:szCs w:val="18"/>
          <w:lang w:val="eu-ES"/>
        </w:rPr>
      </w:pPr>
      <w:r w:rsidRPr="001E2F6E">
        <w:rPr>
          <w:b/>
          <w:bCs/>
          <w:color w:val="1F497D" w:themeColor="text2"/>
          <w:sz w:val="18"/>
          <w:szCs w:val="18"/>
          <w:lang w:val="eu-ES"/>
        </w:rPr>
        <w:t>GIZARTE EKONOMIAKO SEKTOREEN ITXURAZKO PRODUKTIBITATEAREN BILAKAERA, 2010-2012 DENBORALDIAN (BEGd-a: euroak/langile. Prezio arruntak)</w:t>
      </w:r>
    </w:p>
    <w:tbl>
      <w:tblPr>
        <w:tblW w:w="5000" w:type="pct"/>
        <w:jc w:val="center"/>
        <w:tblLook w:val="00A0" w:firstRow="1" w:lastRow="0" w:firstColumn="1" w:lastColumn="0" w:noHBand="0" w:noVBand="0"/>
      </w:tblPr>
      <w:tblGrid>
        <w:gridCol w:w="2608"/>
        <w:gridCol w:w="2132"/>
        <w:gridCol w:w="2132"/>
        <w:gridCol w:w="2132"/>
      </w:tblGrid>
      <w:tr w:rsidR="004A72E7" w:rsidRPr="001E2F6E">
        <w:trPr>
          <w:jc w:val="center"/>
        </w:trPr>
        <w:tc>
          <w:tcPr>
            <w:tcW w:w="1448" w:type="pct"/>
            <w:tcBorders>
              <w:top w:val="single" w:sz="4" w:space="0" w:color="BFBFBF"/>
              <w:bottom w:val="single" w:sz="4" w:space="0" w:color="BFBFBF"/>
              <w:right w:val="single" w:sz="4" w:space="0" w:color="BFBFBF"/>
            </w:tcBorders>
            <w:shd w:val="clear" w:color="auto" w:fill="DBE5F1"/>
            <w:vAlign w:val="center"/>
          </w:tcPr>
          <w:p w:rsidR="004A72E7" w:rsidRPr="001E2F6E" w:rsidRDefault="004A72E7" w:rsidP="00354E9D">
            <w:pPr>
              <w:ind w:left="227" w:hanging="227"/>
              <w:rPr>
                <w:b/>
                <w:bCs/>
                <w:sz w:val="16"/>
                <w:szCs w:val="16"/>
                <w:lang w:val="eu-ES"/>
              </w:rPr>
            </w:pPr>
          </w:p>
        </w:tc>
        <w:tc>
          <w:tcPr>
            <w:tcW w:w="1184" w:type="pct"/>
            <w:tcBorders>
              <w:top w:val="single" w:sz="4" w:space="0" w:color="BFBFBF"/>
              <w:left w:val="single" w:sz="4" w:space="0" w:color="BFBFBF"/>
              <w:bottom w:val="single" w:sz="4" w:space="0" w:color="BFBFBF"/>
            </w:tcBorders>
            <w:shd w:val="clear" w:color="auto" w:fill="DBE5F1"/>
            <w:vAlign w:val="center"/>
          </w:tcPr>
          <w:p w:rsidR="004A72E7" w:rsidRPr="001E2F6E" w:rsidRDefault="004A72E7" w:rsidP="00354E9D">
            <w:pPr>
              <w:ind w:left="227" w:hanging="227"/>
              <w:jc w:val="center"/>
              <w:rPr>
                <w:b/>
                <w:bCs/>
                <w:sz w:val="16"/>
                <w:szCs w:val="16"/>
              </w:rPr>
            </w:pPr>
            <w:r w:rsidRPr="001E2F6E">
              <w:rPr>
                <w:b/>
                <w:bCs/>
                <w:sz w:val="16"/>
                <w:szCs w:val="16"/>
              </w:rPr>
              <w:t>2010</w:t>
            </w:r>
          </w:p>
        </w:tc>
        <w:tc>
          <w:tcPr>
            <w:tcW w:w="1184" w:type="pct"/>
            <w:tcBorders>
              <w:top w:val="single" w:sz="4" w:space="0" w:color="BFBFBF"/>
              <w:left w:val="single" w:sz="4" w:space="0" w:color="BFBFBF"/>
              <w:bottom w:val="single" w:sz="4" w:space="0" w:color="BFBFBF"/>
            </w:tcBorders>
            <w:shd w:val="clear" w:color="auto" w:fill="DBE5F1"/>
            <w:vAlign w:val="center"/>
          </w:tcPr>
          <w:p w:rsidR="004A72E7" w:rsidRPr="001E2F6E" w:rsidRDefault="004A72E7" w:rsidP="00354E9D">
            <w:pPr>
              <w:ind w:left="227" w:hanging="227"/>
              <w:jc w:val="center"/>
              <w:rPr>
                <w:b/>
                <w:bCs/>
                <w:sz w:val="16"/>
                <w:szCs w:val="16"/>
              </w:rPr>
            </w:pPr>
            <w:r w:rsidRPr="001E2F6E">
              <w:rPr>
                <w:b/>
                <w:bCs/>
                <w:sz w:val="16"/>
                <w:szCs w:val="16"/>
              </w:rPr>
              <w:t>2012</w:t>
            </w:r>
          </w:p>
        </w:tc>
        <w:tc>
          <w:tcPr>
            <w:tcW w:w="1184" w:type="pct"/>
            <w:tcBorders>
              <w:top w:val="single" w:sz="4" w:space="0" w:color="BFBFBF"/>
              <w:left w:val="single" w:sz="4" w:space="0" w:color="BFBFBF"/>
              <w:bottom w:val="single" w:sz="4" w:space="0" w:color="BFBFBF"/>
            </w:tcBorders>
            <w:shd w:val="clear" w:color="auto" w:fill="DBE5F1"/>
          </w:tcPr>
          <w:p w:rsidR="004A72E7" w:rsidRPr="001E2F6E" w:rsidRDefault="004A72E7" w:rsidP="00354E9D">
            <w:pPr>
              <w:ind w:left="227" w:hanging="227"/>
              <w:jc w:val="center"/>
              <w:rPr>
                <w:b/>
                <w:bCs/>
                <w:sz w:val="16"/>
                <w:szCs w:val="16"/>
              </w:rPr>
            </w:pPr>
            <w:r w:rsidRPr="001E2F6E">
              <w:rPr>
                <w:b/>
                <w:bCs/>
                <w:sz w:val="16"/>
                <w:szCs w:val="16"/>
                <w:lang w:val="eu-ES"/>
              </w:rPr>
              <w:t>2010-2012ko aldaketa</w:t>
            </w:r>
          </w:p>
        </w:tc>
      </w:tr>
      <w:tr w:rsidR="004A72E7" w:rsidRPr="001E2F6E">
        <w:trPr>
          <w:jc w:val="center"/>
        </w:trPr>
        <w:tc>
          <w:tcPr>
            <w:tcW w:w="1448" w:type="pct"/>
            <w:tcBorders>
              <w:right w:val="single" w:sz="4" w:space="0" w:color="BFBFBF"/>
            </w:tcBorders>
          </w:tcPr>
          <w:p w:rsidR="004A72E7" w:rsidRPr="001E2F6E" w:rsidRDefault="004A72E7" w:rsidP="00354E9D">
            <w:pPr>
              <w:ind w:left="227" w:hanging="227"/>
              <w:rPr>
                <w:sz w:val="16"/>
                <w:szCs w:val="16"/>
              </w:rPr>
            </w:pPr>
            <w:r w:rsidRPr="001E2F6E">
              <w:rPr>
                <w:sz w:val="16"/>
                <w:szCs w:val="16"/>
                <w:lang w:val="eu-ES"/>
              </w:rPr>
              <w:t>Industria</w:t>
            </w:r>
          </w:p>
        </w:tc>
        <w:tc>
          <w:tcPr>
            <w:tcW w:w="1184" w:type="pct"/>
            <w:tcBorders>
              <w:left w:val="single" w:sz="4" w:space="0" w:color="BFBFBF"/>
            </w:tcBorders>
            <w:vAlign w:val="bottom"/>
          </w:tcPr>
          <w:p w:rsidR="004A72E7" w:rsidRPr="001E2F6E" w:rsidRDefault="004A72E7" w:rsidP="00781D09">
            <w:pPr>
              <w:ind w:left="227" w:right="170" w:hanging="227"/>
              <w:jc w:val="right"/>
              <w:rPr>
                <w:sz w:val="16"/>
                <w:szCs w:val="16"/>
              </w:rPr>
            </w:pPr>
            <w:r w:rsidRPr="001E2F6E">
              <w:rPr>
                <w:sz w:val="16"/>
                <w:szCs w:val="16"/>
              </w:rPr>
              <w:t>54.773</w:t>
            </w:r>
          </w:p>
        </w:tc>
        <w:tc>
          <w:tcPr>
            <w:tcW w:w="1184" w:type="pct"/>
            <w:tcBorders>
              <w:left w:val="single" w:sz="4" w:space="0" w:color="BFBFBF"/>
            </w:tcBorders>
            <w:vAlign w:val="bottom"/>
          </w:tcPr>
          <w:p w:rsidR="004A72E7" w:rsidRPr="001E2F6E" w:rsidRDefault="004A72E7" w:rsidP="00781D09">
            <w:pPr>
              <w:ind w:left="227" w:right="170" w:hanging="227"/>
              <w:jc w:val="right"/>
              <w:rPr>
                <w:sz w:val="16"/>
                <w:szCs w:val="16"/>
              </w:rPr>
            </w:pPr>
            <w:r w:rsidRPr="001E2F6E">
              <w:rPr>
                <w:sz w:val="16"/>
                <w:szCs w:val="16"/>
              </w:rPr>
              <w:t>53.001</w:t>
            </w:r>
          </w:p>
        </w:tc>
        <w:tc>
          <w:tcPr>
            <w:tcW w:w="1184" w:type="pct"/>
            <w:tcBorders>
              <w:left w:val="single" w:sz="4" w:space="0" w:color="BFBFBF"/>
            </w:tcBorders>
          </w:tcPr>
          <w:p w:rsidR="004A72E7" w:rsidRPr="001E2F6E" w:rsidRDefault="004A72E7" w:rsidP="00781D09">
            <w:pPr>
              <w:ind w:left="227" w:right="170" w:hanging="227"/>
              <w:jc w:val="right"/>
              <w:rPr>
                <w:sz w:val="16"/>
                <w:szCs w:val="16"/>
              </w:rPr>
            </w:pPr>
            <w:r w:rsidRPr="001E2F6E">
              <w:rPr>
                <w:sz w:val="16"/>
                <w:szCs w:val="16"/>
              </w:rPr>
              <w:t>-</w:t>
            </w:r>
            <w:r w:rsidRPr="001E2F6E">
              <w:rPr>
                <w:spacing w:val="60"/>
                <w:sz w:val="16"/>
                <w:szCs w:val="16"/>
              </w:rPr>
              <w:t>%</w:t>
            </w:r>
            <w:r w:rsidRPr="001E2F6E">
              <w:rPr>
                <w:sz w:val="16"/>
                <w:szCs w:val="16"/>
              </w:rPr>
              <w:t>3,2</w:t>
            </w:r>
          </w:p>
        </w:tc>
      </w:tr>
      <w:tr w:rsidR="004A72E7" w:rsidRPr="001E2F6E">
        <w:trPr>
          <w:jc w:val="center"/>
        </w:trPr>
        <w:tc>
          <w:tcPr>
            <w:tcW w:w="1448" w:type="pct"/>
            <w:tcBorders>
              <w:right w:val="single" w:sz="4" w:space="0" w:color="BFBFBF"/>
            </w:tcBorders>
          </w:tcPr>
          <w:p w:rsidR="004A72E7" w:rsidRPr="001E2F6E" w:rsidRDefault="004A72E7" w:rsidP="00354E9D">
            <w:pPr>
              <w:ind w:left="227" w:hanging="227"/>
              <w:rPr>
                <w:sz w:val="16"/>
                <w:szCs w:val="16"/>
              </w:rPr>
            </w:pPr>
            <w:r w:rsidRPr="001E2F6E">
              <w:rPr>
                <w:sz w:val="16"/>
                <w:szCs w:val="16"/>
                <w:lang w:val="eu-ES"/>
              </w:rPr>
              <w:t>Eraikuntza</w:t>
            </w:r>
          </w:p>
        </w:tc>
        <w:tc>
          <w:tcPr>
            <w:tcW w:w="1184" w:type="pct"/>
            <w:tcBorders>
              <w:left w:val="single" w:sz="4" w:space="0" w:color="BFBFBF"/>
            </w:tcBorders>
            <w:vAlign w:val="bottom"/>
          </w:tcPr>
          <w:p w:rsidR="004A72E7" w:rsidRPr="001E2F6E" w:rsidRDefault="004A72E7" w:rsidP="00781D09">
            <w:pPr>
              <w:ind w:left="227" w:right="170" w:hanging="227"/>
              <w:jc w:val="right"/>
              <w:rPr>
                <w:sz w:val="16"/>
                <w:szCs w:val="16"/>
              </w:rPr>
            </w:pPr>
            <w:r w:rsidRPr="001E2F6E">
              <w:rPr>
                <w:sz w:val="16"/>
                <w:szCs w:val="16"/>
              </w:rPr>
              <w:t>33.895</w:t>
            </w:r>
          </w:p>
        </w:tc>
        <w:tc>
          <w:tcPr>
            <w:tcW w:w="1184" w:type="pct"/>
            <w:tcBorders>
              <w:left w:val="single" w:sz="4" w:space="0" w:color="BFBFBF"/>
            </w:tcBorders>
            <w:vAlign w:val="bottom"/>
          </w:tcPr>
          <w:p w:rsidR="004A72E7" w:rsidRPr="001E2F6E" w:rsidRDefault="004A72E7" w:rsidP="00781D09">
            <w:pPr>
              <w:ind w:left="227" w:right="170" w:hanging="227"/>
              <w:jc w:val="right"/>
              <w:rPr>
                <w:sz w:val="16"/>
                <w:szCs w:val="16"/>
              </w:rPr>
            </w:pPr>
            <w:r w:rsidRPr="001E2F6E">
              <w:rPr>
                <w:sz w:val="16"/>
                <w:szCs w:val="16"/>
              </w:rPr>
              <w:t>29.220</w:t>
            </w:r>
          </w:p>
        </w:tc>
        <w:tc>
          <w:tcPr>
            <w:tcW w:w="1184" w:type="pct"/>
            <w:tcBorders>
              <w:left w:val="single" w:sz="4" w:space="0" w:color="BFBFBF"/>
            </w:tcBorders>
          </w:tcPr>
          <w:p w:rsidR="004A72E7" w:rsidRPr="001E2F6E" w:rsidRDefault="004A72E7" w:rsidP="00781D09">
            <w:pPr>
              <w:ind w:left="227" w:right="170" w:hanging="227"/>
              <w:jc w:val="right"/>
              <w:rPr>
                <w:sz w:val="16"/>
                <w:szCs w:val="16"/>
              </w:rPr>
            </w:pPr>
            <w:r w:rsidRPr="001E2F6E">
              <w:rPr>
                <w:sz w:val="16"/>
                <w:szCs w:val="16"/>
              </w:rPr>
              <w:t>-</w:t>
            </w:r>
            <w:r w:rsidRPr="001E2F6E">
              <w:rPr>
                <w:spacing w:val="60"/>
                <w:sz w:val="16"/>
                <w:szCs w:val="16"/>
              </w:rPr>
              <w:t>%</w:t>
            </w:r>
            <w:r w:rsidRPr="001E2F6E">
              <w:rPr>
                <w:sz w:val="16"/>
                <w:szCs w:val="16"/>
              </w:rPr>
              <w:t>13,8</w:t>
            </w:r>
          </w:p>
        </w:tc>
      </w:tr>
      <w:tr w:rsidR="004A72E7" w:rsidRPr="001E2F6E">
        <w:trPr>
          <w:jc w:val="center"/>
        </w:trPr>
        <w:tc>
          <w:tcPr>
            <w:tcW w:w="1448" w:type="pct"/>
            <w:tcBorders>
              <w:bottom w:val="single" w:sz="4" w:space="0" w:color="BFBFBF"/>
              <w:right w:val="single" w:sz="4" w:space="0" w:color="BFBFBF"/>
            </w:tcBorders>
          </w:tcPr>
          <w:p w:rsidR="004A72E7" w:rsidRPr="001E2F6E" w:rsidRDefault="004A72E7" w:rsidP="00354E9D">
            <w:pPr>
              <w:ind w:left="227" w:hanging="227"/>
              <w:rPr>
                <w:sz w:val="16"/>
                <w:szCs w:val="16"/>
              </w:rPr>
            </w:pPr>
            <w:r w:rsidRPr="001E2F6E">
              <w:rPr>
                <w:sz w:val="16"/>
                <w:szCs w:val="16"/>
                <w:lang w:val="eu-ES"/>
              </w:rPr>
              <w:t>Zerbitzuak</w:t>
            </w:r>
          </w:p>
        </w:tc>
        <w:tc>
          <w:tcPr>
            <w:tcW w:w="1184" w:type="pct"/>
            <w:tcBorders>
              <w:left w:val="single" w:sz="4" w:space="0" w:color="BFBFBF"/>
              <w:bottom w:val="single" w:sz="4" w:space="0" w:color="BFBFBF"/>
            </w:tcBorders>
            <w:vAlign w:val="bottom"/>
          </w:tcPr>
          <w:p w:rsidR="004A72E7" w:rsidRPr="001E2F6E" w:rsidRDefault="004A72E7" w:rsidP="00781D09">
            <w:pPr>
              <w:ind w:left="227" w:right="170" w:hanging="227"/>
              <w:jc w:val="right"/>
              <w:rPr>
                <w:sz w:val="16"/>
                <w:szCs w:val="16"/>
              </w:rPr>
            </w:pPr>
            <w:r w:rsidRPr="001E2F6E">
              <w:rPr>
                <w:sz w:val="16"/>
                <w:szCs w:val="16"/>
              </w:rPr>
              <w:t>41.648</w:t>
            </w:r>
          </w:p>
        </w:tc>
        <w:tc>
          <w:tcPr>
            <w:tcW w:w="1184" w:type="pct"/>
            <w:tcBorders>
              <w:left w:val="single" w:sz="4" w:space="0" w:color="BFBFBF"/>
              <w:bottom w:val="single" w:sz="4" w:space="0" w:color="BFBFBF"/>
            </w:tcBorders>
            <w:vAlign w:val="bottom"/>
          </w:tcPr>
          <w:p w:rsidR="004A72E7" w:rsidRPr="001E2F6E" w:rsidRDefault="004A72E7" w:rsidP="00781D09">
            <w:pPr>
              <w:ind w:left="227" w:right="170" w:hanging="227"/>
              <w:jc w:val="right"/>
              <w:rPr>
                <w:sz w:val="16"/>
                <w:szCs w:val="16"/>
              </w:rPr>
            </w:pPr>
            <w:r w:rsidRPr="001E2F6E">
              <w:rPr>
                <w:sz w:val="16"/>
                <w:szCs w:val="16"/>
              </w:rPr>
              <w:t>43.620</w:t>
            </w:r>
          </w:p>
        </w:tc>
        <w:tc>
          <w:tcPr>
            <w:tcW w:w="1184" w:type="pct"/>
            <w:tcBorders>
              <w:left w:val="single" w:sz="4" w:space="0" w:color="BFBFBF"/>
              <w:bottom w:val="single" w:sz="4" w:space="0" w:color="BFBFBF"/>
            </w:tcBorders>
          </w:tcPr>
          <w:p w:rsidR="004A72E7" w:rsidRPr="001E2F6E" w:rsidRDefault="004A72E7" w:rsidP="00781D09">
            <w:pPr>
              <w:ind w:left="227" w:right="170" w:hanging="227"/>
              <w:jc w:val="right"/>
              <w:rPr>
                <w:sz w:val="16"/>
                <w:szCs w:val="16"/>
              </w:rPr>
            </w:pPr>
            <w:r w:rsidRPr="001E2F6E">
              <w:rPr>
                <w:spacing w:val="60"/>
                <w:sz w:val="16"/>
                <w:szCs w:val="16"/>
              </w:rPr>
              <w:t>%</w:t>
            </w:r>
            <w:r w:rsidRPr="001E2F6E">
              <w:rPr>
                <w:sz w:val="16"/>
                <w:szCs w:val="16"/>
              </w:rPr>
              <w:t>4,7</w:t>
            </w:r>
          </w:p>
        </w:tc>
      </w:tr>
      <w:tr w:rsidR="004A72E7" w:rsidRPr="001E2F6E">
        <w:trPr>
          <w:jc w:val="center"/>
        </w:trPr>
        <w:tc>
          <w:tcPr>
            <w:tcW w:w="1448" w:type="pct"/>
            <w:tcBorders>
              <w:top w:val="single" w:sz="4" w:space="0" w:color="BFBFBF"/>
              <w:bottom w:val="single" w:sz="4" w:space="0" w:color="BFBFBF"/>
              <w:right w:val="single" w:sz="4" w:space="0" w:color="BFBFBF"/>
            </w:tcBorders>
          </w:tcPr>
          <w:p w:rsidR="004A72E7" w:rsidRPr="001E2F6E" w:rsidRDefault="004A72E7" w:rsidP="00354E9D">
            <w:pPr>
              <w:ind w:left="227" w:hanging="227"/>
              <w:rPr>
                <w:b/>
                <w:bCs/>
                <w:sz w:val="16"/>
                <w:szCs w:val="16"/>
              </w:rPr>
            </w:pPr>
            <w:r w:rsidRPr="001E2F6E">
              <w:rPr>
                <w:b/>
                <w:bCs/>
                <w:sz w:val="16"/>
                <w:szCs w:val="16"/>
                <w:lang w:val="eu-ES"/>
              </w:rPr>
              <w:t>GUZTIRA</w:t>
            </w:r>
          </w:p>
        </w:tc>
        <w:tc>
          <w:tcPr>
            <w:tcW w:w="1184" w:type="pct"/>
            <w:tcBorders>
              <w:top w:val="single" w:sz="4" w:space="0" w:color="BFBFBF"/>
              <w:left w:val="single" w:sz="4" w:space="0" w:color="BFBFBF"/>
              <w:bottom w:val="single" w:sz="4" w:space="0" w:color="BFBFBF"/>
            </w:tcBorders>
            <w:vAlign w:val="bottom"/>
          </w:tcPr>
          <w:p w:rsidR="004A72E7" w:rsidRPr="001E2F6E" w:rsidRDefault="004A72E7" w:rsidP="00781D09">
            <w:pPr>
              <w:ind w:left="227" w:right="170" w:hanging="227"/>
              <w:jc w:val="right"/>
              <w:rPr>
                <w:b/>
                <w:bCs/>
                <w:sz w:val="16"/>
                <w:szCs w:val="16"/>
              </w:rPr>
            </w:pPr>
            <w:r w:rsidRPr="001E2F6E">
              <w:rPr>
                <w:b/>
                <w:bCs/>
                <w:sz w:val="16"/>
                <w:szCs w:val="16"/>
              </w:rPr>
              <w:t>47.126</w:t>
            </w:r>
          </w:p>
        </w:tc>
        <w:tc>
          <w:tcPr>
            <w:tcW w:w="1184" w:type="pct"/>
            <w:tcBorders>
              <w:top w:val="single" w:sz="4" w:space="0" w:color="BFBFBF"/>
              <w:left w:val="single" w:sz="4" w:space="0" w:color="BFBFBF"/>
              <w:bottom w:val="single" w:sz="4" w:space="0" w:color="BFBFBF"/>
            </w:tcBorders>
            <w:vAlign w:val="bottom"/>
          </w:tcPr>
          <w:p w:rsidR="004A72E7" w:rsidRPr="001E2F6E" w:rsidRDefault="004A72E7" w:rsidP="00781D09">
            <w:pPr>
              <w:ind w:left="227" w:right="170" w:hanging="227"/>
              <w:jc w:val="right"/>
              <w:rPr>
                <w:b/>
                <w:bCs/>
                <w:sz w:val="16"/>
                <w:szCs w:val="16"/>
              </w:rPr>
            </w:pPr>
            <w:r w:rsidRPr="001E2F6E">
              <w:rPr>
                <w:b/>
                <w:bCs/>
                <w:sz w:val="16"/>
                <w:szCs w:val="16"/>
              </w:rPr>
              <w:t>47.364</w:t>
            </w:r>
          </w:p>
        </w:tc>
        <w:tc>
          <w:tcPr>
            <w:tcW w:w="1184" w:type="pct"/>
            <w:tcBorders>
              <w:top w:val="single" w:sz="4" w:space="0" w:color="BFBFBF"/>
              <w:left w:val="single" w:sz="4" w:space="0" w:color="BFBFBF"/>
              <w:bottom w:val="single" w:sz="4" w:space="0" w:color="BFBFBF"/>
            </w:tcBorders>
          </w:tcPr>
          <w:p w:rsidR="004A72E7" w:rsidRPr="001E2F6E" w:rsidRDefault="004A72E7" w:rsidP="00781D09">
            <w:pPr>
              <w:ind w:left="227" w:right="170" w:hanging="227"/>
              <w:jc w:val="right"/>
              <w:rPr>
                <w:b/>
                <w:bCs/>
                <w:sz w:val="16"/>
                <w:szCs w:val="16"/>
              </w:rPr>
            </w:pPr>
            <w:r w:rsidRPr="001E2F6E">
              <w:rPr>
                <w:b/>
                <w:bCs/>
                <w:spacing w:val="60"/>
                <w:sz w:val="16"/>
                <w:szCs w:val="16"/>
              </w:rPr>
              <w:t>%</w:t>
            </w:r>
            <w:r w:rsidRPr="001E2F6E">
              <w:rPr>
                <w:b/>
                <w:bCs/>
                <w:sz w:val="16"/>
                <w:szCs w:val="16"/>
              </w:rPr>
              <w:t>0,5</w:t>
            </w:r>
          </w:p>
        </w:tc>
      </w:tr>
    </w:tbl>
    <w:p w:rsidR="004A72E7" w:rsidRPr="001E2F6E" w:rsidRDefault="004A72E7" w:rsidP="00115016">
      <w:pPr>
        <w:rPr>
          <w:lang w:val="es-ES_tradnl"/>
        </w:rPr>
      </w:pPr>
    </w:p>
    <w:p w:rsidR="004A72E7" w:rsidRPr="001E2F6E" w:rsidRDefault="004A72E7" w:rsidP="00115016">
      <w:pPr>
        <w:rPr>
          <w:lang w:val="es-ES_tradnl"/>
        </w:rPr>
      </w:pPr>
    </w:p>
    <w:p w:rsidR="004A72E7" w:rsidRPr="001E2F6E" w:rsidRDefault="004A72E7" w:rsidP="0010095A">
      <w:pPr>
        <w:ind w:left="227" w:hanging="227"/>
        <w:rPr>
          <w:lang w:val="es-ES_tradnl"/>
        </w:rPr>
      </w:pPr>
      <w:r w:rsidRPr="001E2F6E">
        <w:rPr>
          <w:lang w:val="es-ES_tradnl"/>
        </w:rPr>
        <w:tab/>
      </w:r>
      <w:r w:rsidRPr="001E2F6E">
        <w:rPr>
          <w:lang w:val="eu-ES"/>
        </w:rPr>
        <w:t>Bestalde, Gizarte Ekonomiako enpresetan, 2010-2012 denboraldiko BEGd-aren beherakada erlatiboa handiagoa izan zen Euskadiko ekonomian baino.</w:t>
      </w:r>
      <w:r w:rsidRPr="001E2F6E">
        <w:rPr>
          <w:lang w:val="es-ES_tradnl"/>
        </w:rPr>
        <w:t xml:space="preserve"> </w:t>
      </w:r>
      <w:r w:rsidRPr="001E2F6E">
        <w:rPr>
          <w:lang w:val="eu-ES"/>
        </w:rPr>
        <w:t xml:space="preserve">Horrek esan nahi du enpresa horiek Euskadiko BPGari egiten dioten ekarpena txikitu egin zela; hain zuzen, 2010ean, </w:t>
      </w:r>
      <w:r w:rsidRPr="001E2F6E">
        <w:rPr>
          <w:spacing w:val="60"/>
          <w:lang w:val="eu-ES"/>
        </w:rPr>
        <w:t>%</w:t>
      </w:r>
      <w:r w:rsidRPr="001E2F6E">
        <w:rPr>
          <w:lang w:val="eu-ES"/>
        </w:rPr>
        <w:t xml:space="preserve">4,8ko parte-hartze erlatiboa izan zuten, eta 2012an, berriz, </w:t>
      </w:r>
      <w:r w:rsidRPr="001E2F6E">
        <w:rPr>
          <w:spacing w:val="60"/>
          <w:lang w:val="eu-ES"/>
        </w:rPr>
        <w:t>%</w:t>
      </w:r>
      <w:r w:rsidRPr="001E2F6E">
        <w:rPr>
          <w:lang w:val="eu-ES"/>
        </w:rPr>
        <w:t>4,5ekoa.</w:t>
      </w:r>
    </w:p>
    <w:p w:rsidR="004A72E7" w:rsidRPr="001E2F6E" w:rsidRDefault="004A72E7" w:rsidP="0010095A">
      <w:pPr>
        <w:ind w:left="227" w:hanging="227"/>
        <w:rPr>
          <w:lang w:val="es-ES_tradnl"/>
        </w:rPr>
      </w:pPr>
    </w:p>
    <w:p w:rsidR="004A72E7" w:rsidRPr="001E2F6E" w:rsidRDefault="004A72E7" w:rsidP="0010095A">
      <w:pPr>
        <w:ind w:left="227" w:hanging="227"/>
        <w:rPr>
          <w:lang w:val="eu-ES"/>
        </w:rPr>
      </w:pPr>
      <w:r w:rsidRPr="001E2F6E">
        <w:rPr>
          <w:lang w:val="es-ES_tradnl"/>
        </w:rPr>
        <w:tab/>
      </w:r>
      <w:r w:rsidRPr="001E2F6E">
        <w:rPr>
          <w:lang w:val="eu-ES"/>
        </w:rPr>
        <w:t xml:space="preserve">Beheranzko joera hori are nabarmenagoa izan zen hirugarren sektorean; hain zuzen, sektoreko BPGan zuen parte-hartzea </w:t>
      </w:r>
      <w:r w:rsidRPr="001E2F6E">
        <w:rPr>
          <w:spacing w:val="60"/>
          <w:lang w:val="eu-ES"/>
        </w:rPr>
        <w:t>%</w:t>
      </w:r>
      <w:r w:rsidRPr="001E2F6E">
        <w:rPr>
          <w:lang w:val="eu-ES"/>
        </w:rPr>
        <w:t xml:space="preserve">3,3koa izan zen 2010ean, eta </w:t>
      </w:r>
      <w:r w:rsidRPr="001E2F6E">
        <w:rPr>
          <w:spacing w:val="60"/>
          <w:lang w:val="eu-ES"/>
        </w:rPr>
        <w:t>%</w:t>
      </w:r>
      <w:r w:rsidRPr="001E2F6E">
        <w:rPr>
          <w:lang w:val="eu-ES"/>
        </w:rPr>
        <w:t xml:space="preserve">3koa 2012an. Gizarte Ekonomiako industriak, ordea, Euskadiko ekonomian zuen pisuari eutsi zion: EAEko industriako BPGari </w:t>
      </w:r>
      <w:r w:rsidRPr="001E2F6E">
        <w:rPr>
          <w:spacing w:val="60"/>
          <w:lang w:val="eu-ES"/>
        </w:rPr>
        <w:t>%</w:t>
      </w:r>
      <w:r w:rsidRPr="001E2F6E">
        <w:rPr>
          <w:lang w:val="eu-ES"/>
        </w:rPr>
        <w:t xml:space="preserve">9,9ko ekarpena egin zion, 2010eko </w:t>
      </w:r>
      <w:r w:rsidRPr="001E2F6E">
        <w:rPr>
          <w:spacing w:val="60"/>
          <w:lang w:val="eu-ES"/>
        </w:rPr>
        <w:t>%</w:t>
      </w:r>
      <w:r w:rsidRPr="001E2F6E">
        <w:rPr>
          <w:lang w:val="eu-ES"/>
        </w:rPr>
        <w:t>10a baino hamarren bat txikiagoa.</w:t>
      </w:r>
    </w:p>
    <w:p w:rsidR="004A72E7" w:rsidRPr="001E2F6E" w:rsidRDefault="004A72E7" w:rsidP="00354E9D">
      <w:pPr>
        <w:ind w:left="227" w:hanging="227"/>
        <w:rPr>
          <w:lang w:val="eu-ES"/>
        </w:rPr>
      </w:pPr>
    </w:p>
    <w:p w:rsidR="004A72E7" w:rsidRPr="001E2F6E" w:rsidRDefault="004A72E7">
      <w:pPr>
        <w:spacing w:after="200" w:line="276" w:lineRule="auto"/>
        <w:jc w:val="left"/>
        <w:rPr>
          <w:b/>
          <w:bCs/>
          <w:color w:val="1F497D"/>
          <w:sz w:val="18"/>
          <w:szCs w:val="18"/>
          <w:lang w:val="eu-ES"/>
        </w:rPr>
      </w:pPr>
      <w:r w:rsidRPr="001E2F6E">
        <w:rPr>
          <w:b/>
          <w:bCs/>
          <w:color w:val="1F497D"/>
          <w:sz w:val="18"/>
          <w:szCs w:val="18"/>
          <w:lang w:val="eu-ES"/>
        </w:rPr>
        <w:br w:type="page"/>
      </w:r>
    </w:p>
    <w:p w:rsidR="004A72E7" w:rsidRPr="001E2F6E" w:rsidRDefault="004A72E7" w:rsidP="00781D09">
      <w:pPr>
        <w:spacing w:line="240" w:lineRule="auto"/>
        <w:ind w:left="227" w:hanging="227"/>
        <w:jc w:val="center"/>
        <w:rPr>
          <w:b/>
          <w:bCs/>
          <w:color w:val="1F497D" w:themeColor="text2"/>
          <w:sz w:val="18"/>
          <w:szCs w:val="18"/>
          <w:lang w:val="eu-ES"/>
        </w:rPr>
      </w:pPr>
      <w:r w:rsidRPr="001E2F6E">
        <w:rPr>
          <w:b/>
          <w:bCs/>
          <w:color w:val="1F497D" w:themeColor="text2"/>
          <w:sz w:val="18"/>
          <w:szCs w:val="18"/>
          <w:lang w:val="eu-ES"/>
        </w:rPr>
        <w:lastRenderedPageBreak/>
        <w:t>GIZARTE EKONOMIAREN EKARPENA SEKTOREKO BARNE PRODUKTU GORDINEAN. 2010-2012 BIURTEKOKO ERREFERENTZIA KONPARATIBOA</w:t>
      </w:r>
    </w:p>
    <w:tbl>
      <w:tblPr>
        <w:tblW w:w="5000" w:type="pct"/>
        <w:jc w:val="center"/>
        <w:tblLook w:val="00A0" w:firstRow="1" w:lastRow="0" w:firstColumn="1" w:lastColumn="0" w:noHBand="0" w:noVBand="0"/>
      </w:tblPr>
      <w:tblGrid>
        <w:gridCol w:w="4187"/>
        <w:gridCol w:w="2409"/>
        <w:gridCol w:w="2408"/>
      </w:tblGrid>
      <w:tr w:rsidR="004A72E7" w:rsidRPr="001E2F6E">
        <w:trPr>
          <w:jc w:val="center"/>
        </w:trPr>
        <w:tc>
          <w:tcPr>
            <w:tcW w:w="2325" w:type="pct"/>
            <w:tcBorders>
              <w:top w:val="single" w:sz="4" w:space="0" w:color="BFBFBF"/>
              <w:bottom w:val="single" w:sz="4" w:space="0" w:color="BFBFBF"/>
              <w:right w:val="single" w:sz="4" w:space="0" w:color="BFBFBF"/>
            </w:tcBorders>
            <w:shd w:val="clear" w:color="auto" w:fill="DBE5F1"/>
          </w:tcPr>
          <w:p w:rsidR="004A72E7" w:rsidRPr="001E2F6E" w:rsidRDefault="004A72E7" w:rsidP="00354E9D">
            <w:pPr>
              <w:ind w:left="227" w:hanging="227"/>
              <w:rPr>
                <w:b/>
                <w:bCs/>
                <w:sz w:val="16"/>
                <w:szCs w:val="16"/>
                <w:lang w:val="eu-ES"/>
              </w:rPr>
            </w:pPr>
          </w:p>
        </w:tc>
        <w:tc>
          <w:tcPr>
            <w:tcW w:w="1338" w:type="pct"/>
            <w:tcBorders>
              <w:top w:val="single" w:sz="4" w:space="0" w:color="BFBFBF"/>
              <w:left w:val="single" w:sz="4" w:space="0" w:color="BFBFBF"/>
              <w:bottom w:val="single" w:sz="4" w:space="0" w:color="BFBFBF"/>
              <w:right w:val="single" w:sz="4" w:space="0" w:color="BFBFBF"/>
            </w:tcBorders>
            <w:shd w:val="clear" w:color="auto" w:fill="DBE5F1"/>
          </w:tcPr>
          <w:p w:rsidR="004A72E7" w:rsidRPr="001E2F6E" w:rsidRDefault="004A72E7" w:rsidP="00354E9D">
            <w:pPr>
              <w:ind w:left="227" w:hanging="227"/>
              <w:jc w:val="center"/>
              <w:rPr>
                <w:b/>
                <w:bCs/>
                <w:sz w:val="16"/>
                <w:szCs w:val="16"/>
              </w:rPr>
            </w:pPr>
            <w:r w:rsidRPr="001E2F6E">
              <w:rPr>
                <w:b/>
                <w:bCs/>
                <w:sz w:val="16"/>
                <w:szCs w:val="16"/>
              </w:rPr>
              <w:t>2010</w:t>
            </w:r>
          </w:p>
        </w:tc>
        <w:tc>
          <w:tcPr>
            <w:tcW w:w="1338" w:type="pct"/>
            <w:tcBorders>
              <w:top w:val="single" w:sz="4" w:space="0" w:color="BFBFBF"/>
              <w:left w:val="single" w:sz="4" w:space="0" w:color="BFBFBF"/>
              <w:bottom w:val="single" w:sz="4" w:space="0" w:color="BFBFBF"/>
            </w:tcBorders>
            <w:shd w:val="clear" w:color="auto" w:fill="DBE5F1"/>
          </w:tcPr>
          <w:p w:rsidR="004A72E7" w:rsidRPr="001E2F6E" w:rsidRDefault="004A72E7" w:rsidP="00354E9D">
            <w:pPr>
              <w:ind w:left="227" w:hanging="227"/>
              <w:jc w:val="center"/>
              <w:rPr>
                <w:b/>
                <w:bCs/>
                <w:sz w:val="16"/>
                <w:szCs w:val="16"/>
              </w:rPr>
            </w:pPr>
            <w:r w:rsidRPr="001E2F6E">
              <w:rPr>
                <w:b/>
                <w:bCs/>
                <w:sz w:val="16"/>
                <w:szCs w:val="16"/>
              </w:rPr>
              <w:t>2012</w:t>
            </w:r>
          </w:p>
        </w:tc>
      </w:tr>
      <w:tr w:rsidR="004A72E7" w:rsidRPr="001E2F6E">
        <w:trPr>
          <w:jc w:val="center"/>
        </w:trPr>
        <w:tc>
          <w:tcPr>
            <w:tcW w:w="2325" w:type="pct"/>
            <w:tcBorders>
              <w:top w:val="single" w:sz="4" w:space="0" w:color="BFBFBF"/>
              <w:right w:val="single" w:sz="4" w:space="0" w:color="BFBFBF"/>
            </w:tcBorders>
            <w:vAlign w:val="bottom"/>
          </w:tcPr>
          <w:p w:rsidR="004A72E7" w:rsidRPr="001E2F6E" w:rsidRDefault="004A72E7" w:rsidP="00354E9D">
            <w:pPr>
              <w:ind w:left="227" w:hanging="227"/>
              <w:rPr>
                <w:sz w:val="16"/>
                <w:szCs w:val="16"/>
              </w:rPr>
            </w:pPr>
            <w:r w:rsidRPr="001E2F6E">
              <w:rPr>
                <w:sz w:val="16"/>
                <w:szCs w:val="16"/>
                <w:lang w:val="eu-ES"/>
              </w:rPr>
              <w:t>Industria</w:t>
            </w:r>
          </w:p>
        </w:tc>
        <w:tc>
          <w:tcPr>
            <w:tcW w:w="1338" w:type="pct"/>
            <w:tcBorders>
              <w:top w:val="single" w:sz="4" w:space="0" w:color="BFBFBF"/>
              <w:left w:val="single" w:sz="4" w:space="0" w:color="BFBFBF"/>
              <w:right w:val="single" w:sz="4" w:space="0" w:color="BFBFBF"/>
            </w:tcBorders>
            <w:vAlign w:val="bottom"/>
          </w:tcPr>
          <w:p w:rsidR="004A72E7" w:rsidRPr="001E2F6E" w:rsidRDefault="004A72E7" w:rsidP="00781D09">
            <w:pPr>
              <w:tabs>
                <w:tab w:val="left" w:pos="751"/>
              </w:tabs>
              <w:ind w:left="227" w:right="170" w:hanging="227"/>
              <w:jc w:val="right"/>
              <w:rPr>
                <w:sz w:val="16"/>
                <w:szCs w:val="16"/>
              </w:rPr>
            </w:pPr>
            <w:r w:rsidRPr="001E2F6E">
              <w:rPr>
                <w:sz w:val="16"/>
                <w:szCs w:val="16"/>
              </w:rPr>
              <w:t>10,0</w:t>
            </w:r>
          </w:p>
        </w:tc>
        <w:tc>
          <w:tcPr>
            <w:tcW w:w="1338" w:type="pct"/>
            <w:tcBorders>
              <w:top w:val="single" w:sz="4" w:space="0" w:color="BFBFBF"/>
              <w:left w:val="single" w:sz="4" w:space="0" w:color="BFBFBF"/>
            </w:tcBorders>
            <w:vAlign w:val="bottom"/>
          </w:tcPr>
          <w:p w:rsidR="004A72E7" w:rsidRPr="001E2F6E" w:rsidRDefault="004A72E7" w:rsidP="00781D09">
            <w:pPr>
              <w:ind w:left="227" w:right="170" w:hanging="227"/>
              <w:jc w:val="right"/>
              <w:rPr>
                <w:sz w:val="16"/>
                <w:szCs w:val="16"/>
              </w:rPr>
            </w:pPr>
            <w:r w:rsidRPr="001E2F6E">
              <w:rPr>
                <w:sz w:val="16"/>
                <w:szCs w:val="16"/>
              </w:rPr>
              <w:t>9,9</w:t>
            </w:r>
          </w:p>
        </w:tc>
      </w:tr>
      <w:tr w:rsidR="004A72E7" w:rsidRPr="001E2F6E">
        <w:trPr>
          <w:jc w:val="center"/>
        </w:trPr>
        <w:tc>
          <w:tcPr>
            <w:tcW w:w="2325" w:type="pct"/>
            <w:tcBorders>
              <w:right w:val="single" w:sz="4" w:space="0" w:color="BFBFBF"/>
            </w:tcBorders>
            <w:vAlign w:val="bottom"/>
          </w:tcPr>
          <w:p w:rsidR="004A72E7" w:rsidRPr="001E2F6E" w:rsidRDefault="004A72E7" w:rsidP="00354E9D">
            <w:pPr>
              <w:ind w:left="227" w:hanging="227"/>
              <w:rPr>
                <w:sz w:val="16"/>
                <w:szCs w:val="16"/>
              </w:rPr>
            </w:pPr>
            <w:r w:rsidRPr="001E2F6E">
              <w:rPr>
                <w:sz w:val="16"/>
                <w:szCs w:val="16"/>
                <w:lang w:val="eu-ES"/>
              </w:rPr>
              <w:t>Eraikuntza</w:t>
            </w:r>
          </w:p>
        </w:tc>
        <w:tc>
          <w:tcPr>
            <w:tcW w:w="1338" w:type="pct"/>
            <w:tcBorders>
              <w:left w:val="single" w:sz="4" w:space="0" w:color="BFBFBF"/>
              <w:right w:val="single" w:sz="4" w:space="0" w:color="BFBFBF"/>
            </w:tcBorders>
            <w:vAlign w:val="bottom"/>
          </w:tcPr>
          <w:p w:rsidR="004A72E7" w:rsidRPr="001E2F6E" w:rsidRDefault="004A72E7" w:rsidP="00781D09">
            <w:pPr>
              <w:tabs>
                <w:tab w:val="left" w:pos="751"/>
              </w:tabs>
              <w:ind w:left="227" w:right="170" w:hanging="227"/>
              <w:jc w:val="right"/>
              <w:rPr>
                <w:sz w:val="16"/>
                <w:szCs w:val="16"/>
              </w:rPr>
            </w:pPr>
            <w:r w:rsidRPr="001E2F6E">
              <w:rPr>
                <w:sz w:val="16"/>
                <w:szCs w:val="16"/>
              </w:rPr>
              <w:t>1,5</w:t>
            </w:r>
          </w:p>
        </w:tc>
        <w:tc>
          <w:tcPr>
            <w:tcW w:w="1338" w:type="pct"/>
            <w:tcBorders>
              <w:left w:val="single" w:sz="4" w:space="0" w:color="BFBFBF"/>
            </w:tcBorders>
            <w:vAlign w:val="bottom"/>
          </w:tcPr>
          <w:p w:rsidR="004A72E7" w:rsidRPr="001E2F6E" w:rsidRDefault="004A72E7" w:rsidP="00781D09">
            <w:pPr>
              <w:ind w:left="227" w:right="170" w:hanging="227"/>
              <w:jc w:val="right"/>
              <w:rPr>
                <w:sz w:val="16"/>
                <w:szCs w:val="16"/>
              </w:rPr>
            </w:pPr>
            <w:r w:rsidRPr="001E2F6E">
              <w:rPr>
                <w:sz w:val="16"/>
                <w:szCs w:val="16"/>
              </w:rPr>
              <w:t>1,4</w:t>
            </w:r>
          </w:p>
        </w:tc>
      </w:tr>
      <w:tr w:rsidR="004A72E7" w:rsidRPr="001E2F6E">
        <w:trPr>
          <w:jc w:val="center"/>
        </w:trPr>
        <w:tc>
          <w:tcPr>
            <w:tcW w:w="2325" w:type="pct"/>
            <w:tcBorders>
              <w:bottom w:val="single" w:sz="4" w:space="0" w:color="BFBFBF"/>
              <w:right w:val="single" w:sz="4" w:space="0" w:color="BFBFBF"/>
            </w:tcBorders>
            <w:vAlign w:val="bottom"/>
          </w:tcPr>
          <w:p w:rsidR="004A72E7" w:rsidRPr="001E2F6E" w:rsidRDefault="004A72E7" w:rsidP="00354E9D">
            <w:pPr>
              <w:ind w:left="227" w:hanging="227"/>
              <w:rPr>
                <w:sz w:val="16"/>
                <w:szCs w:val="16"/>
              </w:rPr>
            </w:pPr>
            <w:r w:rsidRPr="001E2F6E">
              <w:rPr>
                <w:sz w:val="16"/>
                <w:szCs w:val="16"/>
                <w:lang w:val="eu-ES"/>
              </w:rPr>
              <w:t>Zerbitzuak</w:t>
            </w:r>
          </w:p>
        </w:tc>
        <w:tc>
          <w:tcPr>
            <w:tcW w:w="1338" w:type="pct"/>
            <w:tcBorders>
              <w:left w:val="single" w:sz="4" w:space="0" w:color="BFBFBF"/>
              <w:bottom w:val="single" w:sz="4" w:space="0" w:color="BFBFBF"/>
              <w:right w:val="single" w:sz="4" w:space="0" w:color="BFBFBF"/>
            </w:tcBorders>
            <w:vAlign w:val="bottom"/>
          </w:tcPr>
          <w:p w:rsidR="004A72E7" w:rsidRPr="001E2F6E" w:rsidRDefault="004A72E7" w:rsidP="00781D09">
            <w:pPr>
              <w:tabs>
                <w:tab w:val="left" w:pos="751"/>
              </w:tabs>
              <w:ind w:left="227" w:right="170" w:hanging="227"/>
              <w:jc w:val="right"/>
              <w:rPr>
                <w:sz w:val="16"/>
                <w:szCs w:val="16"/>
              </w:rPr>
            </w:pPr>
            <w:r w:rsidRPr="001E2F6E">
              <w:rPr>
                <w:sz w:val="16"/>
                <w:szCs w:val="16"/>
              </w:rPr>
              <w:t>3,3</w:t>
            </w:r>
          </w:p>
        </w:tc>
        <w:tc>
          <w:tcPr>
            <w:tcW w:w="1338" w:type="pct"/>
            <w:tcBorders>
              <w:left w:val="single" w:sz="4" w:space="0" w:color="BFBFBF"/>
              <w:bottom w:val="single" w:sz="4" w:space="0" w:color="BFBFBF"/>
            </w:tcBorders>
            <w:vAlign w:val="bottom"/>
          </w:tcPr>
          <w:p w:rsidR="004A72E7" w:rsidRPr="001E2F6E" w:rsidRDefault="004A72E7" w:rsidP="00781D09">
            <w:pPr>
              <w:ind w:left="227" w:right="170" w:hanging="227"/>
              <w:jc w:val="right"/>
              <w:rPr>
                <w:sz w:val="16"/>
                <w:szCs w:val="16"/>
              </w:rPr>
            </w:pPr>
            <w:r w:rsidRPr="001E2F6E">
              <w:rPr>
                <w:sz w:val="16"/>
                <w:szCs w:val="16"/>
              </w:rPr>
              <w:t>3,0</w:t>
            </w:r>
          </w:p>
        </w:tc>
      </w:tr>
      <w:tr w:rsidR="004A72E7" w:rsidRPr="001E2F6E">
        <w:trPr>
          <w:jc w:val="center"/>
        </w:trPr>
        <w:tc>
          <w:tcPr>
            <w:tcW w:w="2325" w:type="pct"/>
            <w:tcBorders>
              <w:top w:val="single" w:sz="4" w:space="0" w:color="BFBFBF"/>
              <w:bottom w:val="single" w:sz="4" w:space="0" w:color="BFBFBF"/>
              <w:right w:val="single" w:sz="4" w:space="0" w:color="BFBFBF"/>
            </w:tcBorders>
            <w:vAlign w:val="bottom"/>
          </w:tcPr>
          <w:p w:rsidR="004A72E7" w:rsidRPr="001E2F6E" w:rsidRDefault="004A72E7" w:rsidP="00354E9D">
            <w:pPr>
              <w:ind w:left="227" w:hanging="227"/>
              <w:rPr>
                <w:b/>
                <w:bCs/>
                <w:sz w:val="16"/>
                <w:szCs w:val="16"/>
              </w:rPr>
            </w:pPr>
            <w:r w:rsidRPr="001E2F6E">
              <w:rPr>
                <w:b/>
                <w:bCs/>
                <w:sz w:val="16"/>
                <w:szCs w:val="16"/>
                <w:lang w:val="eu-ES"/>
              </w:rPr>
              <w:t>GUZTIRA</w:t>
            </w:r>
          </w:p>
        </w:tc>
        <w:tc>
          <w:tcPr>
            <w:tcW w:w="1338" w:type="pct"/>
            <w:tcBorders>
              <w:top w:val="single" w:sz="4" w:space="0" w:color="BFBFBF"/>
              <w:left w:val="single" w:sz="4" w:space="0" w:color="BFBFBF"/>
              <w:bottom w:val="single" w:sz="4" w:space="0" w:color="BFBFBF"/>
              <w:right w:val="single" w:sz="4" w:space="0" w:color="BFBFBF"/>
            </w:tcBorders>
            <w:vAlign w:val="bottom"/>
          </w:tcPr>
          <w:p w:rsidR="004A72E7" w:rsidRPr="001E2F6E" w:rsidRDefault="004A72E7" w:rsidP="00781D09">
            <w:pPr>
              <w:tabs>
                <w:tab w:val="left" w:pos="751"/>
              </w:tabs>
              <w:ind w:left="227" w:right="170" w:hanging="227"/>
              <w:jc w:val="right"/>
              <w:rPr>
                <w:b/>
                <w:bCs/>
                <w:sz w:val="16"/>
                <w:szCs w:val="16"/>
              </w:rPr>
            </w:pPr>
            <w:r w:rsidRPr="001E2F6E">
              <w:rPr>
                <w:b/>
                <w:bCs/>
                <w:sz w:val="16"/>
                <w:szCs w:val="16"/>
              </w:rPr>
              <w:t>4,8</w:t>
            </w:r>
          </w:p>
        </w:tc>
        <w:tc>
          <w:tcPr>
            <w:tcW w:w="1338" w:type="pct"/>
            <w:tcBorders>
              <w:top w:val="single" w:sz="4" w:space="0" w:color="BFBFBF"/>
              <w:left w:val="single" w:sz="4" w:space="0" w:color="BFBFBF"/>
              <w:bottom w:val="single" w:sz="4" w:space="0" w:color="BFBFBF"/>
            </w:tcBorders>
            <w:vAlign w:val="bottom"/>
          </w:tcPr>
          <w:p w:rsidR="004A72E7" w:rsidRPr="001E2F6E" w:rsidRDefault="004A72E7" w:rsidP="00781D09">
            <w:pPr>
              <w:ind w:left="227" w:right="170" w:hanging="227"/>
              <w:jc w:val="right"/>
              <w:rPr>
                <w:b/>
                <w:bCs/>
                <w:sz w:val="16"/>
                <w:szCs w:val="16"/>
              </w:rPr>
            </w:pPr>
            <w:r w:rsidRPr="001E2F6E">
              <w:rPr>
                <w:b/>
                <w:bCs/>
                <w:sz w:val="16"/>
                <w:szCs w:val="16"/>
              </w:rPr>
              <w:t>4,5</w:t>
            </w:r>
          </w:p>
        </w:tc>
      </w:tr>
    </w:tbl>
    <w:p w:rsidR="004A72E7" w:rsidRPr="001E2F6E" w:rsidRDefault="004A72E7" w:rsidP="008C022A">
      <w:pPr>
        <w:rPr>
          <w:lang w:val="es-ES_tradnl" w:eastAsia="es-ES"/>
        </w:rPr>
      </w:pPr>
    </w:p>
    <w:p w:rsidR="004A72E7" w:rsidRPr="001E2F6E" w:rsidRDefault="004A72E7" w:rsidP="008C022A">
      <w:pPr>
        <w:rPr>
          <w:lang w:val="es-ES_tradnl" w:eastAsia="es-ES"/>
        </w:rPr>
      </w:pPr>
    </w:p>
    <w:p w:rsidR="004A72E7" w:rsidRPr="001E2F6E" w:rsidRDefault="004A72E7" w:rsidP="001451B1">
      <w:pPr>
        <w:pStyle w:val="Prrafodelista"/>
        <w:numPr>
          <w:ilvl w:val="0"/>
          <w:numId w:val="2"/>
        </w:numPr>
        <w:spacing w:after="0" w:line="360" w:lineRule="auto"/>
        <w:ind w:left="426" w:hanging="426"/>
        <w:rPr>
          <w:rFonts w:ascii="Arial" w:hAnsi="Arial" w:cs="Arial"/>
          <w:b/>
          <w:bCs/>
          <w:lang w:val="es-ES_tradnl" w:eastAsia="es-ES"/>
        </w:rPr>
      </w:pPr>
      <w:r w:rsidRPr="001E2F6E">
        <w:rPr>
          <w:rFonts w:ascii="Arial" w:hAnsi="Arial" w:cs="Arial"/>
          <w:b/>
          <w:bCs/>
          <w:lang w:val="es-ES_tradnl" w:eastAsia="es-ES"/>
        </w:rPr>
        <w:tab/>
      </w:r>
      <w:r w:rsidRPr="001E2F6E">
        <w:rPr>
          <w:rFonts w:ascii="Arial" w:hAnsi="Arial" w:cs="Arial"/>
          <w:b/>
          <w:bCs/>
          <w:lang w:val="eu-ES" w:eastAsia="es-ES"/>
        </w:rPr>
        <w:t xml:space="preserve">Orobat, </w:t>
      </w:r>
      <w:r w:rsidRPr="00A105C6">
        <w:rPr>
          <w:rFonts w:ascii="Arial" w:hAnsi="Arial" w:cs="Arial"/>
          <w:b/>
          <w:bCs/>
          <w:lang w:val="eu-ES" w:eastAsia="es-ES"/>
        </w:rPr>
        <w:t xml:space="preserve">irabaziei eta </w:t>
      </w:r>
      <w:r w:rsidRPr="00A105C6">
        <w:rPr>
          <w:rFonts w:ascii="Arial" w:hAnsi="Arial" w:cs="Arial"/>
          <w:b/>
          <w:bCs/>
          <w:iCs/>
          <w:lang w:val="eu-ES" w:eastAsia="es-ES"/>
        </w:rPr>
        <w:t>cash-flow</w:t>
      </w:r>
      <w:r w:rsidRPr="00A105C6">
        <w:rPr>
          <w:rFonts w:ascii="Arial" w:hAnsi="Arial" w:cs="Arial"/>
          <w:b/>
          <w:bCs/>
          <w:lang w:val="eu-ES" w:eastAsia="es-ES"/>
        </w:rPr>
        <w:t>ari buruzko</w:t>
      </w:r>
      <w:r w:rsidRPr="001E2F6E">
        <w:rPr>
          <w:rFonts w:ascii="Arial" w:hAnsi="Arial" w:cs="Arial"/>
          <w:b/>
          <w:bCs/>
          <w:lang w:val="eu-ES" w:eastAsia="es-ES"/>
        </w:rPr>
        <w:t xml:space="preserve"> adierazleak txikitu egiten dira, baita Gizarte Ekonomiaren Fondo Propioak ere</w:t>
      </w:r>
    </w:p>
    <w:p w:rsidR="004A72E7" w:rsidRPr="001E2F6E" w:rsidRDefault="004A72E7" w:rsidP="00781D09">
      <w:pPr>
        <w:pStyle w:val="Prrafodelista"/>
        <w:spacing w:after="0" w:line="360" w:lineRule="auto"/>
        <w:ind w:left="426" w:hanging="426"/>
        <w:rPr>
          <w:rFonts w:ascii="Arial" w:hAnsi="Arial" w:cs="Arial"/>
          <w:i/>
          <w:iCs/>
          <w:lang w:val="es-ES_tradnl" w:eastAsia="es-ES"/>
        </w:rPr>
      </w:pPr>
    </w:p>
    <w:p w:rsidR="004A72E7" w:rsidRPr="001E2F6E" w:rsidRDefault="004A72E7" w:rsidP="00781D09">
      <w:pPr>
        <w:pStyle w:val="Prrafodelista"/>
        <w:spacing w:after="0" w:line="360" w:lineRule="auto"/>
        <w:ind w:left="426" w:hanging="426"/>
        <w:rPr>
          <w:rFonts w:ascii="Arial" w:hAnsi="Arial" w:cs="Arial"/>
          <w:b/>
          <w:bCs/>
          <w:lang w:val="eu-ES" w:eastAsia="es-ES"/>
        </w:rPr>
      </w:pPr>
      <w:r w:rsidRPr="001E2F6E">
        <w:rPr>
          <w:rFonts w:ascii="Arial" w:hAnsi="Arial" w:cs="Arial"/>
          <w:lang w:val="es-ES_tradnl" w:eastAsia="es-ES"/>
        </w:rPr>
        <w:tab/>
      </w:r>
      <w:r w:rsidRPr="001E2F6E">
        <w:rPr>
          <w:rFonts w:ascii="Arial" w:hAnsi="Arial" w:cs="Arial"/>
          <w:lang w:val="eu-ES" w:eastAsia="es-ES"/>
        </w:rPr>
        <w:t xml:space="preserve">Fakturazio-beherakadak eragin negatiboa du irabaziei eta </w:t>
      </w:r>
      <w:r w:rsidRPr="001E2F6E">
        <w:rPr>
          <w:rFonts w:ascii="Arial" w:hAnsi="Arial" w:cs="Arial"/>
          <w:i/>
          <w:iCs/>
          <w:lang w:val="eu-ES" w:eastAsia="es-ES"/>
        </w:rPr>
        <w:t>cash-flow</w:t>
      </w:r>
      <w:r w:rsidRPr="001E2F6E">
        <w:rPr>
          <w:rFonts w:ascii="Arial" w:hAnsi="Arial" w:cs="Arial"/>
          <w:lang w:val="eu-ES" w:eastAsia="es-ES"/>
        </w:rPr>
        <w:t>ari buruzko adierazleetan.</w:t>
      </w:r>
      <w:r w:rsidRPr="001E2F6E">
        <w:rPr>
          <w:rFonts w:ascii="Arial" w:hAnsi="Arial" w:cs="Arial"/>
          <w:lang w:val="es-ES_tradnl" w:eastAsia="es-ES"/>
        </w:rPr>
        <w:t xml:space="preserve"> </w:t>
      </w:r>
      <w:r w:rsidRPr="001E2F6E">
        <w:rPr>
          <w:rFonts w:ascii="Arial" w:hAnsi="Arial" w:cs="Arial"/>
          <w:lang w:val="eu-ES" w:eastAsia="es-ES"/>
        </w:rPr>
        <w:t xml:space="preserve">Horrenbestez, sektoreko emaitza ekonomikoak gutxitzeko joerak bere horretan jarraitzen du: 2008an, 248,2 milioi euroko irabaziak lortu zituen, eta 2010ean eta 2012an, 99,7 eta 79,3 milioi, hurrenez hurren. Aztertzen ari garen biurtekoan, </w:t>
      </w:r>
      <w:r w:rsidRPr="001E2F6E">
        <w:rPr>
          <w:rFonts w:ascii="Arial" w:hAnsi="Arial" w:cs="Arial"/>
          <w:i/>
          <w:iCs/>
          <w:lang w:val="eu-ES" w:eastAsia="es-ES"/>
        </w:rPr>
        <w:t>cash-flow</w:t>
      </w:r>
      <w:r w:rsidRPr="001E2F6E">
        <w:rPr>
          <w:rFonts w:ascii="Arial" w:hAnsi="Arial" w:cs="Arial"/>
          <w:lang w:val="eu-ES" w:eastAsia="es-ES"/>
        </w:rPr>
        <w:t>a ere nabarmen txikitu zen: 2008an, 1.040,6 milioi eurokoa izan zen; 954,7 milioikoa 2010ean; eta 932,3 milioikoa 2012. ekitaldian.</w:t>
      </w:r>
    </w:p>
    <w:p w:rsidR="004A72E7" w:rsidRPr="001E2F6E" w:rsidRDefault="004A72E7" w:rsidP="00781D09">
      <w:pPr>
        <w:ind w:left="426" w:hanging="426"/>
        <w:rPr>
          <w:snapToGrid w:val="0"/>
          <w:lang w:val="eu-ES" w:eastAsia="es-ES"/>
        </w:rPr>
      </w:pPr>
    </w:p>
    <w:p w:rsidR="004A72E7" w:rsidRPr="001E2F6E" w:rsidRDefault="004A72E7" w:rsidP="00781D09">
      <w:pPr>
        <w:spacing w:line="240" w:lineRule="auto"/>
        <w:ind w:left="227" w:hanging="227"/>
        <w:jc w:val="center"/>
        <w:rPr>
          <w:b/>
          <w:bCs/>
          <w:color w:val="1F497D" w:themeColor="text2"/>
          <w:sz w:val="18"/>
          <w:szCs w:val="18"/>
          <w:lang w:val="eu-ES"/>
        </w:rPr>
      </w:pPr>
      <w:r w:rsidRPr="001E2F6E">
        <w:rPr>
          <w:b/>
          <w:bCs/>
          <w:color w:val="1F497D" w:themeColor="text2"/>
          <w:sz w:val="18"/>
          <w:szCs w:val="18"/>
          <w:lang w:val="eu-ES"/>
        </w:rPr>
        <w:t xml:space="preserve">GIZARTE EKONOMIAREN EMAITZA EKONOMIKOEN (IRABAZIAK) ETA </w:t>
      </w:r>
      <w:r w:rsidRPr="001E2F6E">
        <w:rPr>
          <w:b/>
          <w:bCs/>
          <w:i/>
          <w:iCs/>
          <w:color w:val="1F497D" w:themeColor="text2"/>
          <w:sz w:val="18"/>
          <w:szCs w:val="18"/>
          <w:lang w:val="eu-ES"/>
        </w:rPr>
        <w:t>CASH-FLOWA</w:t>
      </w:r>
      <w:r w:rsidRPr="001E2F6E">
        <w:rPr>
          <w:b/>
          <w:bCs/>
          <w:color w:val="1F497D" w:themeColor="text2"/>
          <w:sz w:val="18"/>
          <w:szCs w:val="18"/>
          <w:lang w:val="eu-ES"/>
        </w:rPr>
        <w:t>REN BILAKAERA, 2010-2012 (kopuru absolutuak, milaka eurotan)</w:t>
      </w:r>
      <w:r w:rsidRPr="001E2F6E">
        <w:rPr>
          <w:rStyle w:val="Refdenotaalpie"/>
          <w:rFonts w:cs="Arial"/>
          <w:b/>
          <w:bCs/>
          <w:color w:val="1F497D" w:themeColor="text2"/>
          <w:sz w:val="18"/>
          <w:szCs w:val="18"/>
          <w:lang w:val="eu-ES"/>
        </w:rPr>
        <w:t xml:space="preserve"> </w:t>
      </w:r>
      <w:r w:rsidRPr="001E2F6E">
        <w:rPr>
          <w:rStyle w:val="Refdenotaalpie"/>
          <w:rFonts w:cs="Arial"/>
          <w:b/>
          <w:bCs/>
          <w:color w:val="1F497D" w:themeColor="text2"/>
          <w:sz w:val="18"/>
          <w:szCs w:val="18"/>
        </w:rPr>
        <w:footnoteReference w:id="9"/>
      </w:r>
    </w:p>
    <w:p w:rsidR="004A72E7" w:rsidRPr="001E2F6E" w:rsidRDefault="001451B1" w:rsidP="00354E9D">
      <w:pPr>
        <w:ind w:left="227" w:hanging="227"/>
        <w:jc w:val="center"/>
        <w:rPr>
          <w:b/>
          <w:bCs/>
          <w:color w:val="000080"/>
          <w:sz w:val="16"/>
          <w:szCs w:val="16"/>
          <w:lang w:val="eu-ES"/>
        </w:rPr>
      </w:pPr>
      <w:r w:rsidRPr="001E2F6E">
        <w:rPr>
          <w:noProof/>
          <w:lang w:eastAsia="es-ES"/>
        </w:rPr>
        <w:drawing>
          <wp:anchor distT="152400" distB="166243" distL="644652" distR="736854" simplePos="0" relativeHeight="251672576" behindDoc="0" locked="0" layoutInCell="1" allowOverlap="1">
            <wp:simplePos x="0" y="0"/>
            <wp:positionH relativeFrom="column">
              <wp:posOffset>166370</wp:posOffset>
            </wp:positionH>
            <wp:positionV relativeFrom="paragraph">
              <wp:posOffset>163195</wp:posOffset>
            </wp:positionV>
            <wp:extent cx="5067935" cy="1631950"/>
            <wp:effectExtent l="0" t="0" r="0" b="0"/>
            <wp:wrapNone/>
            <wp:docPr id="2" name="Objeto 2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anchor>
        </w:drawing>
      </w:r>
    </w:p>
    <w:p w:rsidR="004A72E7" w:rsidRPr="001E2F6E" w:rsidRDefault="004A72E7" w:rsidP="00354E9D">
      <w:pPr>
        <w:ind w:left="227" w:hanging="227"/>
        <w:jc w:val="center"/>
        <w:rPr>
          <w:b/>
          <w:bCs/>
          <w:color w:val="000080"/>
          <w:sz w:val="16"/>
          <w:szCs w:val="16"/>
          <w:lang w:val="eu-ES"/>
        </w:rPr>
      </w:pPr>
    </w:p>
    <w:p w:rsidR="004A72E7" w:rsidRPr="001E2F6E" w:rsidRDefault="004A72E7" w:rsidP="00354E9D">
      <w:pPr>
        <w:ind w:left="227" w:hanging="227"/>
        <w:jc w:val="center"/>
        <w:rPr>
          <w:b/>
          <w:bCs/>
          <w:color w:val="000080"/>
          <w:sz w:val="16"/>
          <w:szCs w:val="16"/>
          <w:lang w:val="eu-ES"/>
        </w:rPr>
      </w:pPr>
    </w:p>
    <w:p w:rsidR="004A72E7" w:rsidRPr="001E2F6E" w:rsidRDefault="004A72E7" w:rsidP="00354E9D">
      <w:pPr>
        <w:ind w:left="227" w:hanging="227"/>
        <w:jc w:val="center"/>
        <w:rPr>
          <w:b/>
          <w:bCs/>
          <w:color w:val="000080"/>
          <w:sz w:val="16"/>
          <w:szCs w:val="16"/>
          <w:lang w:val="eu-ES"/>
        </w:rPr>
      </w:pPr>
    </w:p>
    <w:p w:rsidR="004A72E7" w:rsidRPr="001E2F6E" w:rsidRDefault="004A72E7" w:rsidP="00354E9D">
      <w:pPr>
        <w:ind w:left="227" w:hanging="227"/>
        <w:jc w:val="center"/>
        <w:rPr>
          <w:b/>
          <w:bCs/>
          <w:color w:val="000080"/>
          <w:sz w:val="16"/>
          <w:szCs w:val="16"/>
          <w:lang w:val="eu-ES"/>
        </w:rPr>
      </w:pPr>
    </w:p>
    <w:p w:rsidR="004A72E7" w:rsidRPr="001E2F6E" w:rsidRDefault="004A72E7" w:rsidP="00354E9D">
      <w:pPr>
        <w:ind w:left="227" w:hanging="227"/>
        <w:jc w:val="center"/>
        <w:rPr>
          <w:b/>
          <w:bCs/>
          <w:color w:val="000080"/>
          <w:sz w:val="16"/>
          <w:szCs w:val="16"/>
          <w:lang w:val="eu-ES"/>
        </w:rPr>
      </w:pPr>
    </w:p>
    <w:p w:rsidR="004A72E7" w:rsidRPr="001E2F6E" w:rsidRDefault="004A72E7" w:rsidP="00354E9D">
      <w:pPr>
        <w:ind w:left="227" w:hanging="227"/>
        <w:jc w:val="center"/>
        <w:rPr>
          <w:b/>
          <w:bCs/>
          <w:color w:val="000080"/>
          <w:sz w:val="16"/>
          <w:szCs w:val="16"/>
          <w:lang w:val="eu-ES"/>
        </w:rPr>
      </w:pPr>
    </w:p>
    <w:p w:rsidR="004A72E7" w:rsidRPr="001E2F6E" w:rsidRDefault="004A72E7" w:rsidP="00354E9D">
      <w:pPr>
        <w:ind w:left="227" w:hanging="227"/>
        <w:jc w:val="center"/>
        <w:rPr>
          <w:rFonts w:ascii="Tahoma" w:hAnsi="Tahoma" w:cs="Tahoma"/>
          <w:b/>
          <w:bCs/>
          <w:i/>
          <w:iCs/>
          <w:sz w:val="16"/>
          <w:szCs w:val="16"/>
          <w:lang w:val="eu-ES"/>
        </w:rPr>
      </w:pPr>
    </w:p>
    <w:p w:rsidR="004A72E7" w:rsidRPr="001E2F6E" w:rsidRDefault="004A72E7" w:rsidP="00354E9D">
      <w:pPr>
        <w:ind w:left="227" w:hanging="227"/>
        <w:jc w:val="center"/>
        <w:rPr>
          <w:rFonts w:ascii="Tahoma" w:hAnsi="Tahoma" w:cs="Tahoma"/>
          <w:b/>
          <w:bCs/>
          <w:i/>
          <w:iCs/>
          <w:sz w:val="16"/>
          <w:szCs w:val="16"/>
          <w:lang w:val="eu-ES"/>
        </w:rPr>
      </w:pPr>
    </w:p>
    <w:p w:rsidR="004A72E7" w:rsidRPr="001E2F6E" w:rsidRDefault="004A72E7" w:rsidP="00354E9D">
      <w:pPr>
        <w:ind w:left="227" w:hanging="227"/>
        <w:jc w:val="center"/>
        <w:rPr>
          <w:rFonts w:ascii="Tahoma" w:hAnsi="Tahoma" w:cs="Tahoma"/>
          <w:b/>
          <w:bCs/>
          <w:i/>
          <w:iCs/>
          <w:sz w:val="16"/>
          <w:szCs w:val="16"/>
          <w:lang w:val="eu-ES"/>
        </w:rPr>
      </w:pPr>
    </w:p>
    <w:p w:rsidR="004A72E7" w:rsidRPr="001E2F6E" w:rsidRDefault="004A72E7" w:rsidP="00354E9D">
      <w:pPr>
        <w:ind w:left="227" w:hanging="227"/>
        <w:rPr>
          <w:lang w:val="eu-ES"/>
        </w:rPr>
      </w:pPr>
    </w:p>
    <w:p w:rsidR="004A72E7" w:rsidRPr="001E2F6E" w:rsidRDefault="004A72E7" w:rsidP="00354E9D">
      <w:pPr>
        <w:ind w:left="227" w:hanging="227"/>
        <w:rPr>
          <w:lang w:val="eu-ES"/>
        </w:rPr>
      </w:pPr>
    </w:p>
    <w:p w:rsidR="004A72E7" w:rsidRPr="001E2F6E" w:rsidRDefault="004A72E7" w:rsidP="00781D09">
      <w:pPr>
        <w:ind w:left="426" w:hanging="426"/>
        <w:rPr>
          <w:lang w:val="eu-ES"/>
        </w:rPr>
      </w:pPr>
      <w:r w:rsidRPr="001E2F6E">
        <w:rPr>
          <w:lang w:val="eu-ES"/>
        </w:rPr>
        <w:tab/>
        <w:t xml:space="preserve">Irabaziak eta </w:t>
      </w:r>
      <w:r w:rsidRPr="001E2F6E">
        <w:rPr>
          <w:i/>
          <w:iCs/>
          <w:lang w:val="eu-ES"/>
        </w:rPr>
        <w:t>cash-flow</w:t>
      </w:r>
      <w:r w:rsidRPr="001E2F6E">
        <w:rPr>
          <w:lang w:val="eu-ES"/>
        </w:rPr>
        <w:t xml:space="preserve">a txikitzean, Gizarte Ekonomiaren Fondo Propioak ere txikitu ziren aldi berean. Hain zuzen ere, Gizarte Ekonomiaren Fondo Propioen magnitude orokorra </w:t>
      </w:r>
      <w:r w:rsidRPr="001E2F6E">
        <w:rPr>
          <w:spacing w:val="60"/>
          <w:lang w:val="eu-ES"/>
        </w:rPr>
        <w:t>%</w:t>
      </w:r>
      <w:r w:rsidRPr="001E2F6E">
        <w:rPr>
          <w:lang w:val="eu-ES"/>
        </w:rPr>
        <w:t xml:space="preserve">3,6 gutxitu zen 2010etik 2012ra bitartean. </w:t>
      </w:r>
    </w:p>
    <w:p w:rsidR="004A72E7" w:rsidRPr="001E2F6E" w:rsidRDefault="004A72E7">
      <w:pPr>
        <w:spacing w:after="200" w:line="276" w:lineRule="auto"/>
        <w:jc w:val="left"/>
        <w:rPr>
          <w:lang w:val="eu-ES"/>
        </w:rPr>
      </w:pPr>
      <w:r w:rsidRPr="001E2F6E">
        <w:rPr>
          <w:lang w:val="eu-ES"/>
        </w:rPr>
        <w:br w:type="page"/>
      </w:r>
    </w:p>
    <w:p w:rsidR="004A72E7" w:rsidRPr="001E2F6E" w:rsidRDefault="004A72E7" w:rsidP="00781D09">
      <w:pPr>
        <w:ind w:left="426" w:hanging="426"/>
        <w:rPr>
          <w:lang w:val="eu-ES"/>
        </w:rPr>
      </w:pPr>
      <w:r w:rsidRPr="001E2F6E">
        <w:rPr>
          <w:lang w:val="eu-ES"/>
        </w:rPr>
        <w:lastRenderedPageBreak/>
        <w:tab/>
        <w:t xml:space="preserve">Zerbitzu-sektorea izan zen kaltetuena. Hartan, Fondo Propioak </w:t>
      </w:r>
      <w:r w:rsidRPr="001E2F6E">
        <w:rPr>
          <w:spacing w:val="60"/>
          <w:lang w:val="eu-ES"/>
        </w:rPr>
        <w:t>%</w:t>
      </w:r>
      <w:r w:rsidRPr="001E2F6E">
        <w:rPr>
          <w:lang w:val="eu-ES"/>
        </w:rPr>
        <w:t>12,3 gutxitu ziren, neurri handi batean erreserba-fondoak berresleitu zirelako sektoreko enpresak onbideratzeko eta indartzeko</w:t>
      </w:r>
      <w:r w:rsidRPr="001E2F6E">
        <w:rPr>
          <w:rStyle w:val="Refdenotaalpie"/>
          <w:rFonts w:cs="Arial"/>
          <w:lang w:val="eu-ES"/>
        </w:rPr>
        <w:footnoteReference w:id="10"/>
      </w:r>
      <w:r w:rsidRPr="001E2F6E">
        <w:rPr>
          <w:lang w:val="eu-ES"/>
        </w:rPr>
        <w:t xml:space="preserve">. Industriak, ostera, bere kapitalizazio- eta zuzkidura-maila indartu zuen; hain zuzen, industria-sektoreko Fondo Propioak </w:t>
      </w:r>
      <w:r w:rsidRPr="001E2F6E">
        <w:rPr>
          <w:spacing w:val="60"/>
          <w:lang w:val="eu-ES"/>
        </w:rPr>
        <w:t>%</w:t>
      </w:r>
      <w:r w:rsidRPr="001E2F6E">
        <w:rPr>
          <w:lang w:val="eu-ES"/>
        </w:rPr>
        <w:t>11,4 handitu ziren.</w:t>
      </w:r>
    </w:p>
    <w:p w:rsidR="004A72E7" w:rsidRPr="001E2F6E" w:rsidRDefault="004A72E7" w:rsidP="00354E9D">
      <w:pPr>
        <w:ind w:left="227" w:hanging="227"/>
        <w:rPr>
          <w:lang w:val="eu-ES"/>
        </w:rPr>
      </w:pPr>
    </w:p>
    <w:p w:rsidR="004A72E7" w:rsidRPr="001E2F6E" w:rsidRDefault="004A72E7" w:rsidP="00781D09">
      <w:pPr>
        <w:spacing w:line="240" w:lineRule="auto"/>
        <w:ind w:left="227" w:hanging="227"/>
        <w:jc w:val="center"/>
        <w:rPr>
          <w:b/>
          <w:bCs/>
          <w:color w:val="1F497D" w:themeColor="text2"/>
          <w:sz w:val="18"/>
          <w:szCs w:val="18"/>
          <w:lang w:val="nb-NO"/>
        </w:rPr>
      </w:pPr>
      <w:r w:rsidRPr="001E2F6E">
        <w:rPr>
          <w:b/>
          <w:bCs/>
          <w:color w:val="1F497D" w:themeColor="text2"/>
          <w:sz w:val="18"/>
          <w:szCs w:val="18"/>
          <w:lang w:val="eu-ES"/>
        </w:rPr>
        <w:t>GIZARTE EKONOMIAREN FONDO PROPIOEN SEKTORE-BANAKETA,</w:t>
      </w:r>
      <w:r w:rsidRPr="001E2F6E">
        <w:rPr>
          <w:b/>
          <w:bCs/>
          <w:color w:val="1F497D" w:themeColor="text2"/>
          <w:sz w:val="18"/>
          <w:szCs w:val="18"/>
          <w:lang w:val="nb-NO"/>
        </w:rPr>
        <w:t xml:space="preserve"> </w:t>
      </w:r>
      <w:r w:rsidRPr="001E2F6E">
        <w:rPr>
          <w:b/>
          <w:bCs/>
          <w:color w:val="1F497D" w:themeColor="text2"/>
          <w:sz w:val="18"/>
          <w:szCs w:val="18"/>
          <w:lang w:val="eu-ES"/>
        </w:rPr>
        <w:t>2010-2012</w:t>
      </w:r>
    </w:p>
    <w:p w:rsidR="004A72E7" w:rsidRPr="001E2F6E" w:rsidRDefault="004A72E7" w:rsidP="00781D09">
      <w:pPr>
        <w:spacing w:line="240" w:lineRule="auto"/>
        <w:ind w:left="227" w:hanging="227"/>
        <w:jc w:val="center"/>
        <w:rPr>
          <w:b/>
          <w:bCs/>
          <w:color w:val="1F497D" w:themeColor="text2"/>
          <w:sz w:val="18"/>
          <w:szCs w:val="18"/>
          <w:lang w:val="sv-SE"/>
        </w:rPr>
      </w:pPr>
      <w:r w:rsidRPr="001E2F6E">
        <w:rPr>
          <w:b/>
          <w:bCs/>
          <w:color w:val="1F497D" w:themeColor="text2"/>
          <w:sz w:val="18"/>
          <w:szCs w:val="18"/>
          <w:lang w:val="eu-ES"/>
        </w:rPr>
        <w:t xml:space="preserve"> (kopuru absolutuak milaka eurotan, % bertikalak)</w:t>
      </w:r>
    </w:p>
    <w:tbl>
      <w:tblPr>
        <w:tblW w:w="5000" w:type="pct"/>
        <w:jc w:val="center"/>
        <w:tblCellMar>
          <w:left w:w="70" w:type="dxa"/>
          <w:right w:w="70" w:type="dxa"/>
        </w:tblCellMar>
        <w:tblLook w:val="00A0" w:firstRow="1" w:lastRow="0" w:firstColumn="1" w:lastColumn="0" w:noHBand="0" w:noVBand="0"/>
      </w:tblPr>
      <w:tblGrid>
        <w:gridCol w:w="2430"/>
        <w:gridCol w:w="1864"/>
        <w:gridCol w:w="1261"/>
        <w:gridCol w:w="2070"/>
        <w:gridCol w:w="1303"/>
      </w:tblGrid>
      <w:tr w:rsidR="004A72E7" w:rsidRPr="001E2F6E">
        <w:trPr>
          <w:jc w:val="center"/>
        </w:trPr>
        <w:tc>
          <w:tcPr>
            <w:tcW w:w="1361" w:type="pct"/>
            <w:tcBorders>
              <w:top w:val="single" w:sz="8" w:space="0" w:color="BFBFBF"/>
              <w:left w:val="nil"/>
              <w:bottom w:val="nil"/>
              <w:right w:val="single" w:sz="8" w:space="0" w:color="BFBFBF"/>
            </w:tcBorders>
            <w:shd w:val="clear" w:color="000000" w:fill="DBE5F1"/>
          </w:tcPr>
          <w:p w:rsidR="004A72E7" w:rsidRPr="001E2F6E" w:rsidRDefault="004A72E7" w:rsidP="00781D09">
            <w:pPr>
              <w:spacing w:line="240" w:lineRule="exact"/>
              <w:ind w:left="227" w:hanging="227"/>
              <w:rPr>
                <w:lang w:val="sv-SE" w:eastAsia="es-ES"/>
              </w:rPr>
            </w:pPr>
            <w:r w:rsidRPr="001E2F6E">
              <w:rPr>
                <w:lang w:val="sv-SE" w:eastAsia="es-ES"/>
              </w:rPr>
              <w:t> </w:t>
            </w:r>
          </w:p>
        </w:tc>
        <w:tc>
          <w:tcPr>
            <w:tcW w:w="1750" w:type="pct"/>
            <w:gridSpan w:val="2"/>
            <w:tcBorders>
              <w:top w:val="single" w:sz="8" w:space="0" w:color="BFBFBF"/>
              <w:left w:val="nil"/>
              <w:bottom w:val="single" w:sz="8" w:space="0" w:color="BFBFBF"/>
              <w:right w:val="single" w:sz="8" w:space="0" w:color="BFBFBF"/>
            </w:tcBorders>
            <w:shd w:val="clear" w:color="000000" w:fill="DBE5F1"/>
          </w:tcPr>
          <w:p w:rsidR="004A72E7" w:rsidRPr="001E2F6E" w:rsidRDefault="004A72E7" w:rsidP="00781D09">
            <w:pPr>
              <w:spacing w:line="240" w:lineRule="exact"/>
              <w:ind w:left="227" w:hanging="227"/>
              <w:jc w:val="center"/>
              <w:rPr>
                <w:b/>
                <w:bCs/>
                <w:sz w:val="16"/>
                <w:szCs w:val="16"/>
                <w:lang w:eastAsia="es-ES"/>
              </w:rPr>
            </w:pPr>
            <w:r w:rsidRPr="001E2F6E">
              <w:rPr>
                <w:b/>
                <w:bCs/>
                <w:sz w:val="16"/>
                <w:szCs w:val="16"/>
                <w:lang w:eastAsia="es-ES"/>
              </w:rPr>
              <w:t>2010</w:t>
            </w:r>
          </w:p>
        </w:tc>
        <w:tc>
          <w:tcPr>
            <w:tcW w:w="1889" w:type="pct"/>
            <w:gridSpan w:val="2"/>
            <w:tcBorders>
              <w:top w:val="single" w:sz="8" w:space="0" w:color="BFBFBF"/>
              <w:left w:val="nil"/>
              <w:bottom w:val="single" w:sz="8" w:space="0" w:color="BFBFBF"/>
              <w:right w:val="nil"/>
            </w:tcBorders>
            <w:shd w:val="clear" w:color="000000" w:fill="DBE5F1"/>
          </w:tcPr>
          <w:p w:rsidR="004A72E7" w:rsidRPr="001E2F6E" w:rsidRDefault="004A72E7" w:rsidP="00781D09">
            <w:pPr>
              <w:spacing w:line="240" w:lineRule="exact"/>
              <w:ind w:left="227" w:hanging="227"/>
              <w:jc w:val="center"/>
              <w:rPr>
                <w:b/>
                <w:bCs/>
                <w:sz w:val="16"/>
                <w:szCs w:val="16"/>
                <w:lang w:eastAsia="es-ES"/>
              </w:rPr>
            </w:pPr>
            <w:r w:rsidRPr="001E2F6E">
              <w:rPr>
                <w:b/>
                <w:bCs/>
                <w:sz w:val="16"/>
                <w:szCs w:val="16"/>
                <w:lang w:eastAsia="es-ES"/>
              </w:rPr>
              <w:t>2012</w:t>
            </w:r>
          </w:p>
        </w:tc>
      </w:tr>
      <w:tr w:rsidR="004A72E7" w:rsidRPr="001E2F6E">
        <w:trPr>
          <w:jc w:val="center"/>
        </w:trPr>
        <w:tc>
          <w:tcPr>
            <w:tcW w:w="1361" w:type="pct"/>
            <w:tcBorders>
              <w:top w:val="nil"/>
              <w:left w:val="nil"/>
              <w:bottom w:val="single" w:sz="8" w:space="0" w:color="BFBFBF"/>
              <w:right w:val="single" w:sz="8" w:space="0" w:color="BFBFBF"/>
            </w:tcBorders>
            <w:shd w:val="clear" w:color="000000" w:fill="DBE5F1"/>
          </w:tcPr>
          <w:p w:rsidR="004A72E7" w:rsidRPr="001E2F6E" w:rsidRDefault="004A72E7" w:rsidP="00781D09">
            <w:pPr>
              <w:spacing w:line="240" w:lineRule="exact"/>
              <w:ind w:left="227" w:hanging="227"/>
              <w:rPr>
                <w:lang w:eastAsia="es-ES"/>
              </w:rPr>
            </w:pPr>
            <w:r w:rsidRPr="001E2F6E">
              <w:rPr>
                <w:lang w:eastAsia="es-ES"/>
              </w:rPr>
              <w:t> </w:t>
            </w:r>
          </w:p>
        </w:tc>
        <w:tc>
          <w:tcPr>
            <w:tcW w:w="1044" w:type="pct"/>
            <w:tcBorders>
              <w:top w:val="nil"/>
              <w:left w:val="nil"/>
              <w:bottom w:val="single" w:sz="8" w:space="0" w:color="BFBFBF"/>
              <w:right w:val="nil"/>
            </w:tcBorders>
            <w:shd w:val="clear" w:color="000000" w:fill="DBE5F1"/>
          </w:tcPr>
          <w:p w:rsidR="004A72E7" w:rsidRPr="001E2F6E" w:rsidRDefault="004A72E7" w:rsidP="00781D09">
            <w:pPr>
              <w:spacing w:line="240" w:lineRule="exact"/>
              <w:ind w:left="227" w:hanging="227"/>
              <w:jc w:val="center"/>
              <w:rPr>
                <w:b/>
                <w:bCs/>
                <w:sz w:val="16"/>
                <w:szCs w:val="16"/>
                <w:lang w:eastAsia="es-ES"/>
              </w:rPr>
            </w:pPr>
            <w:r w:rsidRPr="001E2F6E">
              <w:rPr>
                <w:b/>
                <w:bCs/>
                <w:sz w:val="16"/>
                <w:szCs w:val="16"/>
                <w:lang w:val="eu-ES" w:eastAsia="es-ES"/>
              </w:rPr>
              <w:t>Euroak</w:t>
            </w:r>
          </w:p>
        </w:tc>
        <w:tc>
          <w:tcPr>
            <w:tcW w:w="706" w:type="pct"/>
            <w:tcBorders>
              <w:top w:val="nil"/>
              <w:left w:val="nil"/>
              <w:bottom w:val="single" w:sz="8" w:space="0" w:color="BFBFBF"/>
              <w:right w:val="single" w:sz="8" w:space="0" w:color="BFBFBF"/>
            </w:tcBorders>
            <w:shd w:val="clear" w:color="000000" w:fill="DBE5F1"/>
          </w:tcPr>
          <w:p w:rsidR="004A72E7" w:rsidRPr="001E2F6E" w:rsidRDefault="004A72E7" w:rsidP="00781D09">
            <w:pPr>
              <w:spacing w:line="240" w:lineRule="exact"/>
              <w:ind w:left="227" w:hanging="227"/>
              <w:jc w:val="center"/>
              <w:rPr>
                <w:b/>
                <w:bCs/>
                <w:sz w:val="16"/>
                <w:szCs w:val="16"/>
                <w:lang w:eastAsia="es-ES"/>
              </w:rPr>
            </w:pPr>
            <w:r w:rsidRPr="001E2F6E">
              <w:rPr>
                <w:b/>
                <w:bCs/>
                <w:sz w:val="16"/>
                <w:szCs w:val="16"/>
                <w:lang w:val="eu-ES" w:eastAsia="es-ES"/>
              </w:rPr>
              <w:t>% ber.</w:t>
            </w:r>
          </w:p>
        </w:tc>
        <w:tc>
          <w:tcPr>
            <w:tcW w:w="1159" w:type="pct"/>
            <w:tcBorders>
              <w:top w:val="nil"/>
              <w:left w:val="nil"/>
              <w:bottom w:val="single" w:sz="8" w:space="0" w:color="BFBFBF"/>
              <w:right w:val="nil"/>
            </w:tcBorders>
            <w:shd w:val="clear" w:color="000000" w:fill="DBE5F1"/>
          </w:tcPr>
          <w:p w:rsidR="004A72E7" w:rsidRPr="001E2F6E" w:rsidRDefault="004A72E7" w:rsidP="00781D09">
            <w:pPr>
              <w:spacing w:line="240" w:lineRule="exact"/>
              <w:ind w:left="227" w:hanging="227"/>
              <w:jc w:val="center"/>
              <w:rPr>
                <w:b/>
                <w:bCs/>
                <w:sz w:val="16"/>
                <w:szCs w:val="16"/>
                <w:lang w:eastAsia="es-ES"/>
              </w:rPr>
            </w:pPr>
            <w:r w:rsidRPr="001E2F6E">
              <w:rPr>
                <w:b/>
                <w:bCs/>
                <w:sz w:val="16"/>
                <w:szCs w:val="16"/>
                <w:lang w:val="eu-ES" w:eastAsia="es-ES"/>
              </w:rPr>
              <w:t>Euroak</w:t>
            </w:r>
          </w:p>
        </w:tc>
        <w:tc>
          <w:tcPr>
            <w:tcW w:w="729" w:type="pct"/>
            <w:tcBorders>
              <w:top w:val="nil"/>
              <w:left w:val="nil"/>
              <w:bottom w:val="single" w:sz="8" w:space="0" w:color="BFBFBF"/>
              <w:right w:val="nil"/>
            </w:tcBorders>
            <w:shd w:val="clear" w:color="000000" w:fill="DBE5F1"/>
          </w:tcPr>
          <w:p w:rsidR="004A72E7" w:rsidRPr="001E2F6E" w:rsidRDefault="004A72E7" w:rsidP="00781D09">
            <w:pPr>
              <w:spacing w:line="240" w:lineRule="exact"/>
              <w:ind w:left="227" w:hanging="227"/>
              <w:jc w:val="center"/>
              <w:rPr>
                <w:b/>
                <w:bCs/>
                <w:sz w:val="16"/>
                <w:szCs w:val="16"/>
                <w:lang w:eastAsia="es-ES"/>
              </w:rPr>
            </w:pPr>
            <w:r w:rsidRPr="001E2F6E">
              <w:rPr>
                <w:b/>
                <w:bCs/>
                <w:sz w:val="16"/>
                <w:szCs w:val="16"/>
                <w:lang w:val="eu-ES" w:eastAsia="es-ES"/>
              </w:rPr>
              <w:t>% ber.</w:t>
            </w:r>
          </w:p>
        </w:tc>
      </w:tr>
      <w:tr w:rsidR="004A72E7" w:rsidRPr="001E2F6E">
        <w:trPr>
          <w:jc w:val="center"/>
        </w:trPr>
        <w:tc>
          <w:tcPr>
            <w:tcW w:w="1361" w:type="pct"/>
            <w:tcBorders>
              <w:top w:val="nil"/>
              <w:left w:val="nil"/>
              <w:bottom w:val="nil"/>
              <w:right w:val="single" w:sz="8" w:space="0" w:color="BFBFBF"/>
            </w:tcBorders>
            <w:noWrap/>
          </w:tcPr>
          <w:p w:rsidR="004A72E7" w:rsidRPr="001E2F6E" w:rsidRDefault="004A72E7" w:rsidP="00781D09">
            <w:pPr>
              <w:spacing w:line="240" w:lineRule="exact"/>
              <w:ind w:left="227" w:hanging="227"/>
              <w:rPr>
                <w:sz w:val="16"/>
                <w:szCs w:val="16"/>
                <w:lang w:eastAsia="es-ES"/>
              </w:rPr>
            </w:pPr>
            <w:r w:rsidRPr="001E2F6E">
              <w:rPr>
                <w:sz w:val="16"/>
                <w:szCs w:val="16"/>
                <w:lang w:val="eu-ES" w:eastAsia="es-ES"/>
              </w:rPr>
              <w:t>Lehen sektorea</w:t>
            </w:r>
          </w:p>
        </w:tc>
        <w:tc>
          <w:tcPr>
            <w:tcW w:w="1044" w:type="pct"/>
            <w:tcBorders>
              <w:top w:val="nil"/>
              <w:left w:val="nil"/>
              <w:bottom w:val="nil"/>
              <w:right w:val="nil"/>
            </w:tcBorders>
            <w:noWrap/>
          </w:tcPr>
          <w:p w:rsidR="004A72E7" w:rsidRPr="001E2F6E" w:rsidRDefault="004A72E7" w:rsidP="00781D09">
            <w:pPr>
              <w:spacing w:line="240" w:lineRule="exact"/>
              <w:ind w:left="227" w:right="170" w:hanging="227"/>
              <w:jc w:val="right"/>
              <w:rPr>
                <w:sz w:val="16"/>
                <w:szCs w:val="16"/>
                <w:lang w:eastAsia="es-ES"/>
              </w:rPr>
            </w:pPr>
            <w:r w:rsidRPr="001E2F6E">
              <w:rPr>
                <w:sz w:val="16"/>
                <w:szCs w:val="16"/>
                <w:lang w:eastAsia="es-ES"/>
              </w:rPr>
              <w:t>6.276.220</w:t>
            </w:r>
          </w:p>
        </w:tc>
        <w:tc>
          <w:tcPr>
            <w:tcW w:w="706" w:type="pct"/>
            <w:tcBorders>
              <w:top w:val="nil"/>
              <w:left w:val="nil"/>
              <w:bottom w:val="nil"/>
              <w:right w:val="single" w:sz="8" w:space="0" w:color="BFBFBF"/>
            </w:tcBorders>
          </w:tcPr>
          <w:p w:rsidR="004A72E7" w:rsidRPr="001E2F6E" w:rsidRDefault="004A72E7" w:rsidP="00781D09">
            <w:pPr>
              <w:spacing w:line="240" w:lineRule="exact"/>
              <w:ind w:left="227" w:right="170" w:hanging="227"/>
              <w:jc w:val="right"/>
              <w:rPr>
                <w:sz w:val="16"/>
                <w:szCs w:val="16"/>
                <w:lang w:eastAsia="es-ES"/>
              </w:rPr>
            </w:pPr>
            <w:r w:rsidRPr="001E2F6E">
              <w:rPr>
                <w:sz w:val="16"/>
                <w:szCs w:val="16"/>
                <w:lang w:eastAsia="es-ES"/>
              </w:rPr>
              <w:t>0,1</w:t>
            </w:r>
          </w:p>
        </w:tc>
        <w:tc>
          <w:tcPr>
            <w:tcW w:w="1159" w:type="pct"/>
            <w:tcBorders>
              <w:top w:val="nil"/>
              <w:left w:val="nil"/>
              <w:bottom w:val="nil"/>
              <w:right w:val="nil"/>
            </w:tcBorders>
            <w:noWrap/>
          </w:tcPr>
          <w:p w:rsidR="004A72E7" w:rsidRPr="001E2F6E" w:rsidRDefault="004A72E7" w:rsidP="00781D09">
            <w:pPr>
              <w:spacing w:line="240" w:lineRule="exact"/>
              <w:ind w:left="227" w:right="170" w:hanging="227"/>
              <w:jc w:val="right"/>
              <w:rPr>
                <w:sz w:val="16"/>
                <w:szCs w:val="16"/>
                <w:lang w:eastAsia="es-ES"/>
              </w:rPr>
            </w:pPr>
            <w:r w:rsidRPr="001E2F6E">
              <w:rPr>
                <w:sz w:val="16"/>
                <w:szCs w:val="16"/>
                <w:lang w:eastAsia="es-ES"/>
              </w:rPr>
              <w:t>6.219.052</w:t>
            </w:r>
          </w:p>
        </w:tc>
        <w:tc>
          <w:tcPr>
            <w:tcW w:w="729" w:type="pct"/>
            <w:tcBorders>
              <w:top w:val="nil"/>
              <w:left w:val="nil"/>
              <w:bottom w:val="nil"/>
              <w:right w:val="nil"/>
            </w:tcBorders>
          </w:tcPr>
          <w:p w:rsidR="004A72E7" w:rsidRPr="001E2F6E" w:rsidRDefault="004A72E7" w:rsidP="00781D09">
            <w:pPr>
              <w:spacing w:line="240" w:lineRule="exact"/>
              <w:ind w:left="227" w:right="170" w:hanging="227"/>
              <w:jc w:val="right"/>
              <w:rPr>
                <w:sz w:val="16"/>
                <w:szCs w:val="16"/>
                <w:lang w:eastAsia="es-ES"/>
              </w:rPr>
            </w:pPr>
            <w:r w:rsidRPr="001E2F6E">
              <w:rPr>
                <w:sz w:val="16"/>
                <w:szCs w:val="16"/>
                <w:lang w:eastAsia="es-ES"/>
              </w:rPr>
              <w:t>0,1</w:t>
            </w:r>
          </w:p>
        </w:tc>
      </w:tr>
      <w:tr w:rsidR="004A72E7" w:rsidRPr="001E2F6E">
        <w:trPr>
          <w:jc w:val="center"/>
        </w:trPr>
        <w:tc>
          <w:tcPr>
            <w:tcW w:w="1361" w:type="pct"/>
            <w:tcBorders>
              <w:top w:val="nil"/>
              <w:left w:val="nil"/>
              <w:bottom w:val="nil"/>
              <w:right w:val="single" w:sz="8" w:space="0" w:color="BFBFBF"/>
            </w:tcBorders>
          </w:tcPr>
          <w:p w:rsidR="004A72E7" w:rsidRPr="001E2F6E" w:rsidRDefault="004A72E7" w:rsidP="00781D09">
            <w:pPr>
              <w:spacing w:line="240" w:lineRule="exact"/>
              <w:ind w:left="227" w:hanging="227"/>
              <w:rPr>
                <w:sz w:val="16"/>
                <w:szCs w:val="16"/>
                <w:lang w:eastAsia="es-ES"/>
              </w:rPr>
            </w:pPr>
            <w:r w:rsidRPr="001E2F6E">
              <w:rPr>
                <w:sz w:val="16"/>
                <w:szCs w:val="16"/>
                <w:lang w:val="eu-ES" w:eastAsia="es-ES"/>
              </w:rPr>
              <w:t>Industria</w:t>
            </w:r>
            <w:r w:rsidRPr="001E2F6E">
              <w:rPr>
                <w:sz w:val="16"/>
                <w:szCs w:val="16"/>
                <w:lang w:eastAsia="es-ES"/>
              </w:rPr>
              <w:t xml:space="preserve"> </w:t>
            </w:r>
          </w:p>
        </w:tc>
        <w:tc>
          <w:tcPr>
            <w:tcW w:w="1044" w:type="pct"/>
            <w:tcBorders>
              <w:top w:val="nil"/>
              <w:left w:val="nil"/>
              <w:bottom w:val="nil"/>
              <w:right w:val="nil"/>
            </w:tcBorders>
            <w:noWrap/>
          </w:tcPr>
          <w:p w:rsidR="004A72E7" w:rsidRPr="001E2F6E" w:rsidRDefault="004A72E7" w:rsidP="00781D09">
            <w:pPr>
              <w:spacing w:line="240" w:lineRule="exact"/>
              <w:ind w:left="227" w:right="170" w:hanging="227"/>
              <w:jc w:val="right"/>
              <w:rPr>
                <w:sz w:val="16"/>
                <w:szCs w:val="16"/>
                <w:lang w:eastAsia="es-ES"/>
              </w:rPr>
            </w:pPr>
            <w:r w:rsidRPr="001E2F6E">
              <w:rPr>
                <w:sz w:val="16"/>
                <w:szCs w:val="16"/>
                <w:lang w:eastAsia="es-ES"/>
              </w:rPr>
              <w:t>2.179.586.578</w:t>
            </w:r>
          </w:p>
        </w:tc>
        <w:tc>
          <w:tcPr>
            <w:tcW w:w="706" w:type="pct"/>
            <w:tcBorders>
              <w:top w:val="nil"/>
              <w:left w:val="nil"/>
              <w:bottom w:val="nil"/>
              <w:right w:val="single" w:sz="8" w:space="0" w:color="BFBFBF"/>
            </w:tcBorders>
          </w:tcPr>
          <w:p w:rsidR="004A72E7" w:rsidRPr="001E2F6E" w:rsidRDefault="004A72E7" w:rsidP="00781D09">
            <w:pPr>
              <w:spacing w:line="240" w:lineRule="exact"/>
              <w:ind w:left="227" w:right="170" w:hanging="227"/>
              <w:jc w:val="right"/>
              <w:rPr>
                <w:sz w:val="16"/>
                <w:szCs w:val="16"/>
                <w:lang w:eastAsia="es-ES"/>
              </w:rPr>
            </w:pPr>
            <w:r w:rsidRPr="001E2F6E">
              <w:rPr>
                <w:sz w:val="16"/>
                <w:szCs w:val="16"/>
                <w:lang w:eastAsia="es-ES"/>
              </w:rPr>
              <w:t>36,8</w:t>
            </w:r>
          </w:p>
        </w:tc>
        <w:tc>
          <w:tcPr>
            <w:tcW w:w="1159" w:type="pct"/>
            <w:tcBorders>
              <w:top w:val="nil"/>
              <w:left w:val="nil"/>
              <w:bottom w:val="nil"/>
              <w:right w:val="nil"/>
            </w:tcBorders>
            <w:noWrap/>
          </w:tcPr>
          <w:p w:rsidR="004A72E7" w:rsidRPr="001E2F6E" w:rsidRDefault="004A72E7" w:rsidP="00781D09">
            <w:pPr>
              <w:spacing w:line="240" w:lineRule="exact"/>
              <w:ind w:left="227" w:right="170" w:hanging="227"/>
              <w:jc w:val="right"/>
              <w:rPr>
                <w:sz w:val="16"/>
                <w:szCs w:val="16"/>
                <w:lang w:eastAsia="es-ES"/>
              </w:rPr>
            </w:pPr>
            <w:r w:rsidRPr="001E2F6E">
              <w:rPr>
                <w:sz w:val="16"/>
                <w:szCs w:val="16"/>
                <w:lang w:eastAsia="es-ES"/>
              </w:rPr>
              <w:t>2.428.715.928</w:t>
            </w:r>
          </w:p>
        </w:tc>
        <w:tc>
          <w:tcPr>
            <w:tcW w:w="729" w:type="pct"/>
            <w:tcBorders>
              <w:top w:val="nil"/>
              <w:left w:val="nil"/>
              <w:bottom w:val="nil"/>
              <w:right w:val="nil"/>
            </w:tcBorders>
          </w:tcPr>
          <w:p w:rsidR="004A72E7" w:rsidRPr="001E2F6E" w:rsidRDefault="004A72E7" w:rsidP="00781D09">
            <w:pPr>
              <w:spacing w:line="240" w:lineRule="exact"/>
              <w:ind w:left="227" w:right="170" w:hanging="227"/>
              <w:jc w:val="right"/>
              <w:rPr>
                <w:sz w:val="16"/>
                <w:szCs w:val="16"/>
                <w:lang w:eastAsia="es-ES"/>
              </w:rPr>
            </w:pPr>
            <w:r w:rsidRPr="001E2F6E">
              <w:rPr>
                <w:sz w:val="16"/>
                <w:szCs w:val="16"/>
                <w:lang w:eastAsia="es-ES"/>
              </w:rPr>
              <w:t>42,5</w:t>
            </w:r>
          </w:p>
        </w:tc>
      </w:tr>
      <w:tr w:rsidR="004A72E7" w:rsidRPr="001E2F6E">
        <w:trPr>
          <w:jc w:val="center"/>
        </w:trPr>
        <w:tc>
          <w:tcPr>
            <w:tcW w:w="1361" w:type="pct"/>
            <w:tcBorders>
              <w:top w:val="nil"/>
              <w:left w:val="nil"/>
              <w:bottom w:val="nil"/>
              <w:right w:val="single" w:sz="8" w:space="0" w:color="BFBFBF"/>
            </w:tcBorders>
            <w:noWrap/>
          </w:tcPr>
          <w:p w:rsidR="004A72E7" w:rsidRPr="001E2F6E" w:rsidRDefault="004A72E7" w:rsidP="00781D09">
            <w:pPr>
              <w:spacing w:line="240" w:lineRule="exact"/>
              <w:ind w:left="227" w:hanging="227"/>
              <w:rPr>
                <w:sz w:val="16"/>
                <w:szCs w:val="16"/>
                <w:lang w:eastAsia="es-ES"/>
              </w:rPr>
            </w:pPr>
            <w:r w:rsidRPr="001E2F6E">
              <w:rPr>
                <w:sz w:val="16"/>
                <w:szCs w:val="16"/>
                <w:lang w:val="eu-ES" w:eastAsia="es-ES"/>
              </w:rPr>
              <w:t>Eraikuntza</w:t>
            </w:r>
          </w:p>
        </w:tc>
        <w:tc>
          <w:tcPr>
            <w:tcW w:w="1044" w:type="pct"/>
            <w:tcBorders>
              <w:top w:val="nil"/>
              <w:left w:val="nil"/>
              <w:right w:val="nil"/>
            </w:tcBorders>
            <w:noWrap/>
          </w:tcPr>
          <w:p w:rsidR="004A72E7" w:rsidRPr="001E2F6E" w:rsidRDefault="004A72E7" w:rsidP="00781D09">
            <w:pPr>
              <w:spacing w:line="240" w:lineRule="exact"/>
              <w:ind w:left="227" w:right="170" w:hanging="227"/>
              <w:jc w:val="right"/>
              <w:rPr>
                <w:sz w:val="16"/>
                <w:szCs w:val="16"/>
                <w:lang w:eastAsia="es-ES"/>
              </w:rPr>
            </w:pPr>
            <w:r w:rsidRPr="001E2F6E">
              <w:rPr>
                <w:sz w:val="16"/>
                <w:szCs w:val="16"/>
                <w:lang w:eastAsia="es-ES"/>
              </w:rPr>
              <w:t>57.892.158</w:t>
            </w:r>
          </w:p>
        </w:tc>
        <w:tc>
          <w:tcPr>
            <w:tcW w:w="706" w:type="pct"/>
            <w:tcBorders>
              <w:top w:val="nil"/>
              <w:left w:val="nil"/>
              <w:bottom w:val="nil"/>
              <w:right w:val="single" w:sz="8" w:space="0" w:color="BFBFBF"/>
            </w:tcBorders>
          </w:tcPr>
          <w:p w:rsidR="004A72E7" w:rsidRPr="001E2F6E" w:rsidRDefault="004A72E7" w:rsidP="00781D09">
            <w:pPr>
              <w:spacing w:line="240" w:lineRule="exact"/>
              <w:ind w:left="227" w:right="170" w:hanging="227"/>
              <w:jc w:val="right"/>
              <w:rPr>
                <w:sz w:val="16"/>
                <w:szCs w:val="16"/>
                <w:lang w:eastAsia="es-ES"/>
              </w:rPr>
            </w:pPr>
            <w:r w:rsidRPr="001E2F6E">
              <w:rPr>
                <w:sz w:val="16"/>
                <w:szCs w:val="16"/>
                <w:lang w:eastAsia="es-ES"/>
              </w:rPr>
              <w:t>1</w:t>
            </w:r>
          </w:p>
        </w:tc>
        <w:tc>
          <w:tcPr>
            <w:tcW w:w="1159" w:type="pct"/>
            <w:tcBorders>
              <w:top w:val="nil"/>
              <w:left w:val="nil"/>
              <w:right w:val="nil"/>
            </w:tcBorders>
            <w:noWrap/>
          </w:tcPr>
          <w:p w:rsidR="004A72E7" w:rsidRPr="001E2F6E" w:rsidRDefault="004A72E7" w:rsidP="00781D09">
            <w:pPr>
              <w:spacing w:line="240" w:lineRule="exact"/>
              <w:ind w:left="227" w:right="170" w:hanging="227"/>
              <w:jc w:val="right"/>
              <w:rPr>
                <w:sz w:val="16"/>
                <w:szCs w:val="16"/>
                <w:lang w:eastAsia="es-ES"/>
              </w:rPr>
            </w:pPr>
            <w:r w:rsidRPr="001E2F6E">
              <w:rPr>
                <w:sz w:val="16"/>
                <w:szCs w:val="16"/>
                <w:lang w:eastAsia="es-ES"/>
              </w:rPr>
              <w:t>50.949.517</w:t>
            </w:r>
          </w:p>
        </w:tc>
        <w:tc>
          <w:tcPr>
            <w:tcW w:w="729" w:type="pct"/>
            <w:tcBorders>
              <w:top w:val="nil"/>
              <w:left w:val="nil"/>
              <w:right w:val="nil"/>
            </w:tcBorders>
          </w:tcPr>
          <w:p w:rsidR="004A72E7" w:rsidRPr="001E2F6E" w:rsidRDefault="004A72E7" w:rsidP="00781D09">
            <w:pPr>
              <w:spacing w:line="240" w:lineRule="exact"/>
              <w:ind w:left="227" w:right="170" w:hanging="227"/>
              <w:jc w:val="right"/>
              <w:rPr>
                <w:sz w:val="16"/>
                <w:szCs w:val="16"/>
                <w:lang w:eastAsia="es-ES"/>
              </w:rPr>
            </w:pPr>
            <w:r w:rsidRPr="001E2F6E">
              <w:rPr>
                <w:sz w:val="16"/>
                <w:szCs w:val="16"/>
                <w:lang w:eastAsia="es-ES"/>
              </w:rPr>
              <w:t>0,9</w:t>
            </w:r>
          </w:p>
        </w:tc>
      </w:tr>
      <w:tr w:rsidR="004A72E7" w:rsidRPr="001E2F6E">
        <w:trPr>
          <w:jc w:val="center"/>
        </w:trPr>
        <w:tc>
          <w:tcPr>
            <w:tcW w:w="1361" w:type="pct"/>
            <w:tcBorders>
              <w:top w:val="nil"/>
              <w:left w:val="nil"/>
              <w:bottom w:val="single" w:sz="8" w:space="0" w:color="BFBFBF"/>
              <w:right w:val="single" w:sz="8" w:space="0" w:color="BFBFBF"/>
            </w:tcBorders>
          </w:tcPr>
          <w:p w:rsidR="004A72E7" w:rsidRPr="001E2F6E" w:rsidRDefault="004A72E7" w:rsidP="00781D09">
            <w:pPr>
              <w:spacing w:line="240" w:lineRule="exact"/>
              <w:ind w:left="227" w:hanging="227"/>
              <w:rPr>
                <w:sz w:val="16"/>
                <w:szCs w:val="16"/>
                <w:lang w:eastAsia="es-ES"/>
              </w:rPr>
            </w:pPr>
            <w:r w:rsidRPr="001E2F6E">
              <w:rPr>
                <w:sz w:val="16"/>
                <w:szCs w:val="16"/>
                <w:lang w:val="eu-ES" w:eastAsia="es-ES"/>
              </w:rPr>
              <w:t>Zerbitzuak</w:t>
            </w:r>
            <w:r w:rsidRPr="001E2F6E">
              <w:rPr>
                <w:sz w:val="16"/>
                <w:szCs w:val="16"/>
                <w:lang w:eastAsia="es-ES"/>
              </w:rPr>
              <w:t xml:space="preserve"> </w:t>
            </w:r>
          </w:p>
        </w:tc>
        <w:tc>
          <w:tcPr>
            <w:tcW w:w="1044" w:type="pct"/>
            <w:tcBorders>
              <w:top w:val="nil"/>
              <w:left w:val="nil"/>
              <w:bottom w:val="single" w:sz="8" w:space="0" w:color="BFBFBF"/>
            </w:tcBorders>
          </w:tcPr>
          <w:p w:rsidR="004A72E7" w:rsidRPr="001E2F6E" w:rsidRDefault="004A72E7" w:rsidP="00781D09">
            <w:pPr>
              <w:spacing w:line="240" w:lineRule="exact"/>
              <w:ind w:left="227" w:right="170" w:hanging="227"/>
              <w:jc w:val="right"/>
              <w:rPr>
                <w:sz w:val="16"/>
                <w:szCs w:val="16"/>
                <w:lang w:eastAsia="es-ES"/>
              </w:rPr>
            </w:pPr>
            <w:r w:rsidRPr="001E2F6E">
              <w:rPr>
                <w:sz w:val="16"/>
                <w:szCs w:val="16"/>
                <w:lang w:eastAsia="es-ES"/>
              </w:rPr>
              <w:footnoteReference w:customMarkFollows="1" w:id="11"/>
              <w:t>3.680.316.122</w:t>
            </w:r>
            <w:r w:rsidRPr="001E2F6E">
              <w:rPr>
                <w:rStyle w:val="Refdenotaalpie"/>
                <w:rFonts w:cs="Arial"/>
                <w:sz w:val="16"/>
                <w:szCs w:val="16"/>
              </w:rPr>
              <w:footnoteReference w:id="12"/>
            </w:r>
          </w:p>
        </w:tc>
        <w:tc>
          <w:tcPr>
            <w:tcW w:w="706" w:type="pct"/>
            <w:tcBorders>
              <w:top w:val="nil"/>
              <w:left w:val="nil"/>
              <w:bottom w:val="single" w:sz="8" w:space="0" w:color="BFBFBF"/>
              <w:right w:val="single" w:sz="8" w:space="0" w:color="BFBFBF"/>
            </w:tcBorders>
          </w:tcPr>
          <w:p w:rsidR="004A72E7" w:rsidRPr="001E2F6E" w:rsidRDefault="004A72E7" w:rsidP="00781D09">
            <w:pPr>
              <w:spacing w:line="240" w:lineRule="exact"/>
              <w:ind w:left="227" w:right="170" w:hanging="227"/>
              <w:jc w:val="right"/>
              <w:rPr>
                <w:sz w:val="16"/>
                <w:szCs w:val="16"/>
                <w:lang w:eastAsia="es-ES"/>
              </w:rPr>
            </w:pPr>
            <w:r w:rsidRPr="001E2F6E">
              <w:rPr>
                <w:sz w:val="16"/>
                <w:szCs w:val="16"/>
                <w:lang w:eastAsia="es-ES"/>
              </w:rPr>
              <w:t>62,1</w:t>
            </w:r>
          </w:p>
        </w:tc>
        <w:tc>
          <w:tcPr>
            <w:tcW w:w="1159" w:type="pct"/>
            <w:tcBorders>
              <w:top w:val="nil"/>
              <w:left w:val="nil"/>
              <w:bottom w:val="single" w:sz="8" w:space="0" w:color="BFBFBF"/>
            </w:tcBorders>
          </w:tcPr>
          <w:p w:rsidR="004A72E7" w:rsidRPr="001E2F6E" w:rsidRDefault="004A72E7" w:rsidP="00781D09">
            <w:pPr>
              <w:spacing w:line="240" w:lineRule="exact"/>
              <w:ind w:left="227" w:right="170" w:hanging="227"/>
              <w:jc w:val="right"/>
              <w:rPr>
                <w:sz w:val="16"/>
                <w:szCs w:val="16"/>
                <w:lang w:eastAsia="es-ES"/>
              </w:rPr>
            </w:pPr>
            <w:r w:rsidRPr="001E2F6E">
              <w:rPr>
                <w:sz w:val="16"/>
                <w:szCs w:val="16"/>
                <w:lang w:eastAsia="es-ES"/>
              </w:rPr>
              <w:t>3.227.551.120</w:t>
            </w:r>
          </w:p>
        </w:tc>
        <w:tc>
          <w:tcPr>
            <w:tcW w:w="729" w:type="pct"/>
            <w:tcBorders>
              <w:top w:val="nil"/>
              <w:left w:val="nil"/>
              <w:bottom w:val="single" w:sz="8" w:space="0" w:color="BFBFBF"/>
            </w:tcBorders>
          </w:tcPr>
          <w:p w:rsidR="004A72E7" w:rsidRPr="001E2F6E" w:rsidRDefault="004A72E7" w:rsidP="00781D09">
            <w:pPr>
              <w:spacing w:line="240" w:lineRule="exact"/>
              <w:ind w:left="227" w:right="170" w:hanging="227"/>
              <w:jc w:val="right"/>
              <w:rPr>
                <w:sz w:val="16"/>
                <w:szCs w:val="16"/>
                <w:lang w:eastAsia="es-ES"/>
              </w:rPr>
            </w:pPr>
            <w:r w:rsidRPr="001E2F6E">
              <w:rPr>
                <w:sz w:val="16"/>
                <w:szCs w:val="16"/>
                <w:lang w:eastAsia="es-ES"/>
              </w:rPr>
              <w:t>56,5</w:t>
            </w:r>
          </w:p>
        </w:tc>
      </w:tr>
      <w:tr w:rsidR="004A72E7" w:rsidRPr="001E2F6E">
        <w:trPr>
          <w:jc w:val="center"/>
        </w:trPr>
        <w:tc>
          <w:tcPr>
            <w:tcW w:w="1361" w:type="pct"/>
            <w:tcBorders>
              <w:top w:val="nil"/>
              <w:left w:val="nil"/>
              <w:bottom w:val="single" w:sz="8" w:space="0" w:color="BFBFBF"/>
              <w:right w:val="single" w:sz="8" w:space="0" w:color="BFBFBF"/>
            </w:tcBorders>
          </w:tcPr>
          <w:p w:rsidR="004A72E7" w:rsidRPr="001E2F6E" w:rsidRDefault="004A72E7" w:rsidP="00781D09">
            <w:pPr>
              <w:spacing w:line="240" w:lineRule="exact"/>
              <w:ind w:left="227" w:hanging="227"/>
              <w:rPr>
                <w:b/>
                <w:bCs/>
                <w:sz w:val="16"/>
                <w:szCs w:val="16"/>
                <w:lang w:eastAsia="es-ES"/>
              </w:rPr>
            </w:pPr>
            <w:r w:rsidRPr="001E2F6E">
              <w:rPr>
                <w:b/>
                <w:bCs/>
                <w:sz w:val="16"/>
                <w:szCs w:val="16"/>
                <w:lang w:val="eu-ES" w:eastAsia="es-ES"/>
              </w:rPr>
              <w:t>GUZTIRA</w:t>
            </w:r>
          </w:p>
        </w:tc>
        <w:tc>
          <w:tcPr>
            <w:tcW w:w="1044" w:type="pct"/>
            <w:tcBorders>
              <w:top w:val="nil"/>
              <w:left w:val="nil"/>
              <w:bottom w:val="single" w:sz="8" w:space="0" w:color="BFBFBF"/>
              <w:right w:val="nil"/>
            </w:tcBorders>
          </w:tcPr>
          <w:p w:rsidR="004A72E7" w:rsidRPr="001E2F6E" w:rsidRDefault="004A72E7" w:rsidP="00781D09">
            <w:pPr>
              <w:spacing w:line="240" w:lineRule="exact"/>
              <w:ind w:left="227" w:right="170" w:hanging="227"/>
              <w:jc w:val="right"/>
              <w:rPr>
                <w:b/>
                <w:bCs/>
                <w:sz w:val="16"/>
                <w:szCs w:val="16"/>
                <w:lang w:eastAsia="es-ES"/>
              </w:rPr>
            </w:pPr>
            <w:r w:rsidRPr="001E2F6E">
              <w:rPr>
                <w:b/>
                <w:bCs/>
                <w:sz w:val="16"/>
                <w:szCs w:val="16"/>
                <w:lang w:eastAsia="es-ES"/>
              </w:rPr>
              <w:t>5.924.071.078</w:t>
            </w:r>
          </w:p>
        </w:tc>
        <w:tc>
          <w:tcPr>
            <w:tcW w:w="706" w:type="pct"/>
            <w:tcBorders>
              <w:top w:val="nil"/>
              <w:left w:val="nil"/>
              <w:bottom w:val="single" w:sz="8" w:space="0" w:color="BFBFBF"/>
              <w:right w:val="single" w:sz="8" w:space="0" w:color="BFBFBF"/>
            </w:tcBorders>
          </w:tcPr>
          <w:p w:rsidR="004A72E7" w:rsidRPr="001E2F6E" w:rsidRDefault="004A72E7" w:rsidP="00781D09">
            <w:pPr>
              <w:spacing w:line="240" w:lineRule="exact"/>
              <w:ind w:left="227" w:right="170" w:hanging="227"/>
              <w:jc w:val="right"/>
              <w:rPr>
                <w:b/>
                <w:bCs/>
                <w:sz w:val="16"/>
                <w:szCs w:val="16"/>
                <w:lang w:eastAsia="es-ES"/>
              </w:rPr>
            </w:pPr>
            <w:r w:rsidRPr="001E2F6E">
              <w:rPr>
                <w:b/>
                <w:bCs/>
                <w:sz w:val="16"/>
                <w:szCs w:val="16"/>
                <w:lang w:eastAsia="es-ES"/>
              </w:rPr>
              <w:t>100</w:t>
            </w:r>
          </w:p>
        </w:tc>
        <w:tc>
          <w:tcPr>
            <w:tcW w:w="1159" w:type="pct"/>
            <w:tcBorders>
              <w:top w:val="nil"/>
              <w:left w:val="nil"/>
              <w:bottom w:val="single" w:sz="8" w:space="0" w:color="BFBFBF"/>
              <w:right w:val="nil"/>
            </w:tcBorders>
          </w:tcPr>
          <w:p w:rsidR="004A72E7" w:rsidRPr="001E2F6E" w:rsidRDefault="004A72E7" w:rsidP="00781D09">
            <w:pPr>
              <w:spacing w:line="240" w:lineRule="exact"/>
              <w:ind w:left="227" w:right="170" w:hanging="227"/>
              <w:jc w:val="right"/>
              <w:rPr>
                <w:b/>
                <w:bCs/>
                <w:sz w:val="16"/>
                <w:szCs w:val="16"/>
                <w:lang w:eastAsia="es-ES"/>
              </w:rPr>
            </w:pPr>
            <w:r w:rsidRPr="001E2F6E">
              <w:rPr>
                <w:b/>
                <w:bCs/>
                <w:sz w:val="16"/>
                <w:szCs w:val="16"/>
                <w:lang w:eastAsia="es-ES"/>
              </w:rPr>
              <w:t>5.713.435.617</w:t>
            </w:r>
          </w:p>
        </w:tc>
        <w:tc>
          <w:tcPr>
            <w:tcW w:w="729" w:type="pct"/>
            <w:tcBorders>
              <w:top w:val="nil"/>
              <w:left w:val="nil"/>
              <w:bottom w:val="single" w:sz="8" w:space="0" w:color="BFBFBF"/>
              <w:right w:val="nil"/>
            </w:tcBorders>
          </w:tcPr>
          <w:p w:rsidR="004A72E7" w:rsidRPr="001E2F6E" w:rsidRDefault="004A72E7" w:rsidP="00781D09">
            <w:pPr>
              <w:spacing w:line="240" w:lineRule="exact"/>
              <w:ind w:left="227" w:right="170" w:hanging="227"/>
              <w:jc w:val="right"/>
              <w:rPr>
                <w:b/>
                <w:bCs/>
                <w:sz w:val="16"/>
                <w:szCs w:val="16"/>
                <w:lang w:eastAsia="es-ES"/>
              </w:rPr>
            </w:pPr>
            <w:r w:rsidRPr="001E2F6E">
              <w:rPr>
                <w:b/>
                <w:bCs/>
                <w:sz w:val="16"/>
                <w:szCs w:val="16"/>
                <w:lang w:eastAsia="es-ES"/>
              </w:rPr>
              <w:t>100</w:t>
            </w:r>
          </w:p>
        </w:tc>
      </w:tr>
    </w:tbl>
    <w:p w:rsidR="004A72E7" w:rsidRPr="001E2F6E" w:rsidRDefault="004A72E7" w:rsidP="00354E9D">
      <w:pPr>
        <w:ind w:left="227" w:hanging="227"/>
        <w:jc w:val="left"/>
        <w:rPr>
          <w:snapToGrid w:val="0"/>
          <w:lang w:val="es-ES_tradnl" w:eastAsia="es-ES"/>
        </w:rPr>
      </w:pPr>
    </w:p>
    <w:p w:rsidR="004A72E7" w:rsidRPr="001E2F6E" w:rsidRDefault="004A72E7" w:rsidP="00354E9D">
      <w:pPr>
        <w:ind w:left="227" w:hanging="227"/>
        <w:jc w:val="left"/>
        <w:rPr>
          <w:snapToGrid w:val="0"/>
          <w:lang w:val="es-ES_tradnl" w:eastAsia="es-ES"/>
        </w:rPr>
      </w:pPr>
    </w:p>
    <w:p w:rsidR="004A72E7" w:rsidRPr="001E2F6E" w:rsidRDefault="004A72E7" w:rsidP="008924BE">
      <w:pPr>
        <w:pStyle w:val="Ttulo2"/>
        <w:spacing w:line="360" w:lineRule="auto"/>
        <w:rPr>
          <w:lang w:val="eu-ES"/>
        </w:rPr>
      </w:pPr>
      <w:bookmarkStart w:id="8" w:name="_Toc392585658"/>
      <w:r w:rsidRPr="001E2F6E">
        <w:rPr>
          <w:lang w:val="eu-ES"/>
        </w:rPr>
        <w:t>Sektorearen beherakada lan-sozietateekin dago loturik, zalantzarik gabe</w:t>
      </w:r>
      <w:bookmarkEnd w:id="8"/>
    </w:p>
    <w:p w:rsidR="004A72E7" w:rsidRPr="001E2F6E" w:rsidRDefault="004A72E7" w:rsidP="00354E9D">
      <w:pPr>
        <w:ind w:left="227" w:hanging="227"/>
        <w:rPr>
          <w:lang w:val="eu-ES"/>
        </w:rPr>
      </w:pPr>
    </w:p>
    <w:p w:rsidR="004A72E7" w:rsidRPr="001E2F6E" w:rsidRDefault="004A72E7" w:rsidP="008924BE">
      <w:pPr>
        <w:rPr>
          <w:b/>
          <w:bCs/>
          <w:lang w:val="eu-ES" w:eastAsia="es-ES"/>
        </w:rPr>
      </w:pPr>
      <w:r w:rsidRPr="001E2F6E">
        <w:rPr>
          <w:lang w:val="eu-ES" w:eastAsia="es-ES"/>
        </w:rPr>
        <w:t>2010etik 2012ra bitartean, Gizarte Ekonomian, lan-sozietateen arloan gertatu zen okerragotze ekonomiko nagusia.</w:t>
      </w:r>
    </w:p>
    <w:p w:rsidR="004A72E7" w:rsidRPr="001E2F6E" w:rsidRDefault="004A72E7" w:rsidP="00354E9D">
      <w:pPr>
        <w:ind w:left="227" w:hanging="227"/>
        <w:rPr>
          <w:lang w:val="eu-ES"/>
        </w:rPr>
      </w:pPr>
    </w:p>
    <w:p w:rsidR="004A72E7" w:rsidRPr="001E2F6E" w:rsidRDefault="004A72E7" w:rsidP="001451B1">
      <w:pPr>
        <w:pStyle w:val="Prrafodelista"/>
        <w:numPr>
          <w:ilvl w:val="0"/>
          <w:numId w:val="2"/>
        </w:numPr>
        <w:spacing w:after="0" w:line="360" w:lineRule="auto"/>
        <w:ind w:left="426" w:hanging="426"/>
        <w:rPr>
          <w:rFonts w:ascii="Arial" w:hAnsi="Arial" w:cs="Arial"/>
          <w:b/>
          <w:bCs/>
          <w:lang w:val="eu-ES" w:eastAsia="es-ES"/>
        </w:rPr>
      </w:pPr>
      <w:r w:rsidRPr="001E2F6E">
        <w:rPr>
          <w:rFonts w:ascii="Arial" w:hAnsi="Arial" w:cs="Arial"/>
          <w:b/>
          <w:bCs/>
          <w:lang w:val="eu-ES" w:eastAsia="es-ES"/>
        </w:rPr>
        <w:tab/>
        <w:t>Lan-sozietate anonimoetan, enpleguaren beherakada handia gertatu zen</w:t>
      </w:r>
    </w:p>
    <w:p w:rsidR="004A72E7" w:rsidRPr="001E2F6E" w:rsidRDefault="004A72E7" w:rsidP="00781D09">
      <w:pPr>
        <w:ind w:left="426" w:hanging="426"/>
        <w:rPr>
          <w:lang w:val="eu-ES"/>
        </w:rPr>
      </w:pPr>
    </w:p>
    <w:p w:rsidR="004A72E7" w:rsidRPr="001E2F6E" w:rsidRDefault="004A72E7" w:rsidP="00C15A90">
      <w:pPr>
        <w:pStyle w:val="Prrafodelista"/>
        <w:spacing w:after="0" w:line="360" w:lineRule="auto"/>
        <w:ind w:left="227" w:hanging="227"/>
        <w:rPr>
          <w:rFonts w:ascii="Arial" w:hAnsi="Arial" w:cs="Arial"/>
          <w:lang w:val="eu-ES" w:eastAsia="es-ES"/>
        </w:rPr>
      </w:pPr>
      <w:r w:rsidRPr="001E2F6E">
        <w:rPr>
          <w:rFonts w:ascii="Arial" w:hAnsi="Arial" w:cs="Arial"/>
          <w:lang w:val="eu-ES" w:eastAsia="es-ES"/>
        </w:rPr>
        <w:tab/>
        <w:t>Lan-sozietateen egoerak okerrera egin izanaren lehen adierazlea 2010etik 2012ra bitarteko establezimendu-kopurua da (968 zeuden 2010ean, eta 884, 2012an). Joera horrekin batera, nabarmen gutxiagotu zen lanpostu-bolumena. Horrenbestez, kooperatiben sektorean enplegua egonkor samarra bazen ere (-</w:t>
      </w:r>
      <w:r w:rsidRPr="001E2F6E">
        <w:rPr>
          <w:rFonts w:ascii="Arial" w:hAnsi="Arial" w:cs="Arial"/>
          <w:spacing w:val="60"/>
          <w:lang w:val="eu-ES" w:eastAsia="es-ES"/>
        </w:rPr>
        <w:t>%</w:t>
      </w:r>
      <w:r w:rsidRPr="001E2F6E">
        <w:rPr>
          <w:rFonts w:ascii="Arial" w:hAnsi="Arial" w:cs="Arial"/>
          <w:lang w:val="eu-ES" w:eastAsia="es-ES"/>
        </w:rPr>
        <w:t xml:space="preserve">0,4), lan-sozietateen kasuan, </w:t>
      </w:r>
      <w:r w:rsidRPr="001E2F6E">
        <w:rPr>
          <w:rFonts w:ascii="Arial" w:hAnsi="Arial" w:cs="Arial"/>
          <w:spacing w:val="60"/>
          <w:lang w:val="eu-ES" w:eastAsia="es-ES"/>
        </w:rPr>
        <w:t>%</w:t>
      </w:r>
      <w:r w:rsidRPr="001E2F6E">
        <w:rPr>
          <w:rFonts w:ascii="Arial" w:hAnsi="Arial" w:cs="Arial"/>
          <w:lang w:val="eu-ES" w:eastAsia="es-ES"/>
        </w:rPr>
        <w:t xml:space="preserve">33,2 gutxitu zen. Lan-sozietate mugatuetan, beherakada </w:t>
      </w:r>
      <w:r w:rsidRPr="001E2F6E">
        <w:rPr>
          <w:rFonts w:ascii="Arial" w:hAnsi="Arial" w:cs="Arial"/>
          <w:spacing w:val="60"/>
          <w:lang w:val="eu-ES" w:eastAsia="es-ES"/>
        </w:rPr>
        <w:t>%</w:t>
      </w:r>
      <w:r w:rsidRPr="001E2F6E">
        <w:rPr>
          <w:rFonts w:ascii="Arial" w:hAnsi="Arial" w:cs="Arial"/>
          <w:lang w:val="eu-ES" w:eastAsia="es-ES"/>
        </w:rPr>
        <w:t xml:space="preserve">12,4koa izan zen, eta lan-sozietate anonimoetan, berriz, </w:t>
      </w:r>
      <w:r w:rsidRPr="001E2F6E">
        <w:rPr>
          <w:rFonts w:ascii="Arial" w:hAnsi="Arial" w:cs="Arial"/>
          <w:spacing w:val="60"/>
          <w:lang w:val="eu-ES" w:eastAsia="es-ES"/>
        </w:rPr>
        <w:t>%</w:t>
      </w:r>
      <w:r w:rsidRPr="001E2F6E">
        <w:rPr>
          <w:rFonts w:ascii="Arial" w:hAnsi="Arial" w:cs="Arial"/>
          <w:lang w:val="eu-ES" w:eastAsia="es-ES"/>
        </w:rPr>
        <w:t xml:space="preserve">45,5ekoa. </w:t>
      </w:r>
    </w:p>
    <w:p w:rsidR="004A72E7" w:rsidRPr="001E2F6E" w:rsidRDefault="004A72E7" w:rsidP="00C15A90">
      <w:pPr>
        <w:pStyle w:val="Prrafodelista"/>
        <w:spacing w:after="0" w:line="360" w:lineRule="auto"/>
        <w:ind w:left="227" w:hanging="227"/>
        <w:rPr>
          <w:rFonts w:ascii="Arial" w:hAnsi="Arial" w:cs="Arial"/>
          <w:lang w:val="eu-ES" w:eastAsia="es-ES"/>
        </w:rPr>
      </w:pPr>
    </w:p>
    <w:p w:rsidR="004A72E7" w:rsidRPr="001E2F6E" w:rsidRDefault="004A72E7" w:rsidP="00C15A90">
      <w:pPr>
        <w:pStyle w:val="Prrafodelista"/>
        <w:spacing w:after="0" w:line="360" w:lineRule="auto"/>
        <w:ind w:left="227"/>
        <w:rPr>
          <w:rFonts w:ascii="Arial" w:hAnsi="Arial" w:cs="Arial"/>
          <w:lang w:val="eu-ES" w:eastAsia="es-ES"/>
        </w:rPr>
      </w:pPr>
      <w:r w:rsidRPr="001E2F6E">
        <w:rPr>
          <w:rFonts w:ascii="Arial" w:hAnsi="Arial" w:cs="Arial"/>
          <w:lang w:val="eu-ES" w:eastAsia="es-ES"/>
        </w:rPr>
        <w:t xml:space="preserve">Gizarte Ekonomiak 2010etik 2012ra bitartean galdutako 4.106 lanpostuen </w:t>
      </w:r>
      <w:r w:rsidRPr="001E2F6E">
        <w:rPr>
          <w:rFonts w:ascii="Arial" w:hAnsi="Arial" w:cs="Arial"/>
          <w:spacing w:val="60"/>
          <w:lang w:val="eu-ES" w:eastAsia="es-ES"/>
        </w:rPr>
        <w:t>%</w:t>
      </w:r>
      <w:r w:rsidRPr="001E2F6E">
        <w:rPr>
          <w:rFonts w:ascii="Arial" w:hAnsi="Arial" w:cs="Arial"/>
          <w:lang w:val="eu-ES" w:eastAsia="es-ES"/>
        </w:rPr>
        <w:t xml:space="preserve">94,8 lan-sozietateetan galdu zen; </w:t>
      </w:r>
      <w:r w:rsidRPr="001E2F6E">
        <w:rPr>
          <w:rFonts w:ascii="Arial" w:hAnsi="Arial" w:cs="Arial"/>
          <w:spacing w:val="60"/>
          <w:lang w:val="eu-ES" w:eastAsia="es-ES"/>
        </w:rPr>
        <w:t>%</w:t>
      </w:r>
      <w:r w:rsidRPr="001E2F6E">
        <w:rPr>
          <w:rFonts w:ascii="Arial" w:hAnsi="Arial" w:cs="Arial"/>
          <w:lang w:val="eu-ES" w:eastAsia="es-ES"/>
        </w:rPr>
        <w:t>81,6 lan-sozietate anonimoetan gertatutako beherakadarekin lotuta dago.</w:t>
      </w:r>
    </w:p>
    <w:p w:rsidR="004A72E7" w:rsidRPr="001E2F6E" w:rsidRDefault="004A72E7" w:rsidP="00781D09">
      <w:pPr>
        <w:ind w:left="426" w:hanging="426"/>
        <w:rPr>
          <w:lang w:val="eu-ES"/>
        </w:rPr>
      </w:pPr>
    </w:p>
    <w:p w:rsidR="004A72E7" w:rsidRPr="001E2F6E" w:rsidRDefault="004A72E7">
      <w:pPr>
        <w:spacing w:after="200" w:line="276" w:lineRule="auto"/>
        <w:jc w:val="left"/>
        <w:rPr>
          <w:b/>
          <w:bCs/>
          <w:color w:val="1F497D"/>
          <w:sz w:val="18"/>
          <w:szCs w:val="18"/>
          <w:lang w:val="eu-ES"/>
        </w:rPr>
      </w:pPr>
      <w:r w:rsidRPr="001E2F6E">
        <w:rPr>
          <w:b/>
          <w:bCs/>
          <w:color w:val="1F497D"/>
          <w:sz w:val="18"/>
          <w:szCs w:val="18"/>
          <w:lang w:val="eu-ES"/>
        </w:rPr>
        <w:br w:type="page"/>
      </w:r>
    </w:p>
    <w:p w:rsidR="004A72E7" w:rsidRPr="001E2F6E" w:rsidRDefault="004A72E7" w:rsidP="00781D09">
      <w:pPr>
        <w:spacing w:line="240" w:lineRule="auto"/>
        <w:ind w:left="227" w:hanging="227"/>
        <w:jc w:val="center"/>
        <w:rPr>
          <w:color w:val="1F497D" w:themeColor="text2"/>
          <w:lang w:val="eu-ES"/>
        </w:rPr>
      </w:pPr>
      <w:r w:rsidRPr="001E2F6E">
        <w:rPr>
          <w:b/>
          <w:bCs/>
          <w:color w:val="1F497D" w:themeColor="text2"/>
          <w:sz w:val="18"/>
          <w:szCs w:val="18"/>
          <w:lang w:val="eu-ES"/>
        </w:rPr>
        <w:lastRenderedPageBreak/>
        <w:t>GIZARTE EKONOMIAKO LANPOSTU-KOPURUAREN BILAKAERA FORMA JURIDIKOAREN ARABERA, 2010-2012,</w:t>
      </w:r>
      <w:r w:rsidRPr="001E2F6E">
        <w:rPr>
          <w:color w:val="1F497D" w:themeColor="text2"/>
          <w:lang w:val="eu-ES"/>
        </w:rPr>
        <w:t xml:space="preserve"> </w:t>
      </w:r>
      <w:r w:rsidRPr="001E2F6E">
        <w:rPr>
          <w:b/>
          <w:bCs/>
          <w:color w:val="1F497D" w:themeColor="text2"/>
          <w:sz w:val="18"/>
          <w:szCs w:val="18"/>
          <w:lang w:val="eu-ES"/>
        </w:rPr>
        <w:t>(kopuru absolutuak eta % bertikalak)</w:t>
      </w:r>
    </w:p>
    <w:tbl>
      <w:tblPr>
        <w:tblW w:w="5000" w:type="pct"/>
        <w:jc w:val="center"/>
        <w:tblLook w:val="00A0" w:firstRow="1" w:lastRow="0" w:firstColumn="1" w:lastColumn="0" w:noHBand="0" w:noVBand="0"/>
      </w:tblPr>
      <w:tblGrid>
        <w:gridCol w:w="1780"/>
        <w:gridCol w:w="1360"/>
        <w:gridCol w:w="1169"/>
        <w:gridCol w:w="1360"/>
        <w:gridCol w:w="1361"/>
        <w:gridCol w:w="1974"/>
      </w:tblGrid>
      <w:tr w:rsidR="004A72E7" w:rsidRPr="001E2F6E">
        <w:trPr>
          <w:jc w:val="center"/>
        </w:trPr>
        <w:tc>
          <w:tcPr>
            <w:tcW w:w="989" w:type="pct"/>
            <w:tcBorders>
              <w:top w:val="single" w:sz="4" w:space="0" w:color="BFBFBF"/>
              <w:right w:val="single" w:sz="4" w:space="0" w:color="BFBFBF"/>
            </w:tcBorders>
            <w:shd w:val="clear" w:color="auto" w:fill="DBE5F1"/>
            <w:vAlign w:val="center"/>
          </w:tcPr>
          <w:p w:rsidR="004A72E7" w:rsidRPr="001E2F6E" w:rsidRDefault="004A72E7" w:rsidP="00781D09">
            <w:pPr>
              <w:spacing w:line="240" w:lineRule="exact"/>
              <w:ind w:left="227" w:hanging="227"/>
              <w:jc w:val="center"/>
              <w:rPr>
                <w:b/>
                <w:bCs/>
                <w:sz w:val="16"/>
                <w:szCs w:val="16"/>
                <w:lang w:val="eu-ES"/>
              </w:rPr>
            </w:pPr>
          </w:p>
        </w:tc>
        <w:tc>
          <w:tcPr>
            <w:tcW w:w="1403" w:type="pct"/>
            <w:gridSpan w:val="2"/>
            <w:tcBorders>
              <w:top w:val="single" w:sz="4" w:space="0" w:color="BFBFBF"/>
              <w:left w:val="single" w:sz="4" w:space="0" w:color="BFBFBF"/>
              <w:bottom w:val="single" w:sz="4" w:space="0" w:color="BFBFBF"/>
              <w:right w:val="single" w:sz="4" w:space="0" w:color="BFBFBF"/>
            </w:tcBorders>
            <w:shd w:val="clear" w:color="auto" w:fill="DBE5F1"/>
            <w:vAlign w:val="center"/>
          </w:tcPr>
          <w:p w:rsidR="004A72E7" w:rsidRPr="001E2F6E" w:rsidRDefault="004A72E7" w:rsidP="00781D09">
            <w:pPr>
              <w:spacing w:line="240" w:lineRule="exact"/>
              <w:ind w:left="227" w:hanging="227"/>
              <w:jc w:val="center"/>
              <w:rPr>
                <w:b/>
                <w:bCs/>
                <w:sz w:val="16"/>
                <w:szCs w:val="16"/>
              </w:rPr>
            </w:pPr>
            <w:r w:rsidRPr="001E2F6E">
              <w:rPr>
                <w:b/>
                <w:bCs/>
                <w:sz w:val="16"/>
                <w:szCs w:val="16"/>
                <w:lang w:val="pt-BR"/>
              </w:rPr>
              <w:t>2010</w:t>
            </w:r>
          </w:p>
        </w:tc>
        <w:tc>
          <w:tcPr>
            <w:tcW w:w="1511" w:type="pct"/>
            <w:gridSpan w:val="2"/>
            <w:tcBorders>
              <w:top w:val="single" w:sz="4" w:space="0" w:color="BFBFBF"/>
              <w:left w:val="single" w:sz="4" w:space="0" w:color="BFBFBF"/>
              <w:bottom w:val="single" w:sz="4" w:space="0" w:color="BFBFBF"/>
              <w:right w:val="single" w:sz="4" w:space="0" w:color="BFBFBF"/>
            </w:tcBorders>
            <w:shd w:val="clear" w:color="auto" w:fill="DBE5F1"/>
            <w:vAlign w:val="center"/>
          </w:tcPr>
          <w:p w:rsidR="004A72E7" w:rsidRPr="001E2F6E" w:rsidRDefault="004A72E7" w:rsidP="00781D09">
            <w:pPr>
              <w:spacing w:line="240" w:lineRule="exact"/>
              <w:ind w:left="227" w:hanging="227"/>
              <w:jc w:val="center"/>
              <w:rPr>
                <w:b/>
                <w:bCs/>
                <w:sz w:val="16"/>
                <w:szCs w:val="16"/>
              </w:rPr>
            </w:pPr>
            <w:r w:rsidRPr="001E2F6E">
              <w:rPr>
                <w:b/>
                <w:bCs/>
                <w:sz w:val="16"/>
                <w:szCs w:val="16"/>
                <w:lang w:val="pt-BR"/>
              </w:rPr>
              <w:t>2012</w:t>
            </w:r>
          </w:p>
        </w:tc>
        <w:tc>
          <w:tcPr>
            <w:tcW w:w="1096" w:type="pct"/>
            <w:vMerge w:val="restart"/>
            <w:tcBorders>
              <w:top w:val="single" w:sz="4" w:space="0" w:color="BFBFBF"/>
              <w:left w:val="single" w:sz="4" w:space="0" w:color="BFBFBF"/>
            </w:tcBorders>
            <w:shd w:val="clear" w:color="auto" w:fill="DBE5F1"/>
            <w:vAlign w:val="center"/>
          </w:tcPr>
          <w:p w:rsidR="004A72E7" w:rsidRPr="001E2F6E" w:rsidRDefault="004A72E7" w:rsidP="00781D09">
            <w:pPr>
              <w:spacing w:line="240" w:lineRule="exact"/>
              <w:ind w:left="227" w:hanging="227"/>
              <w:jc w:val="center"/>
              <w:rPr>
                <w:b/>
                <w:bCs/>
                <w:sz w:val="16"/>
                <w:szCs w:val="16"/>
              </w:rPr>
            </w:pPr>
            <w:r w:rsidRPr="001E2F6E">
              <w:rPr>
                <w:b/>
                <w:bCs/>
                <w:sz w:val="16"/>
                <w:szCs w:val="16"/>
                <w:lang w:val="pt-BR"/>
              </w:rPr>
              <w:t>%∆12/10 (1)</w:t>
            </w:r>
          </w:p>
        </w:tc>
      </w:tr>
      <w:tr w:rsidR="004A72E7" w:rsidRPr="001E2F6E">
        <w:trPr>
          <w:jc w:val="center"/>
        </w:trPr>
        <w:tc>
          <w:tcPr>
            <w:tcW w:w="989" w:type="pct"/>
            <w:tcBorders>
              <w:bottom w:val="single" w:sz="4" w:space="0" w:color="BFBFBF"/>
              <w:right w:val="single" w:sz="4" w:space="0" w:color="BFBFBF"/>
            </w:tcBorders>
            <w:shd w:val="clear" w:color="auto" w:fill="DBE5F1"/>
            <w:vAlign w:val="center"/>
          </w:tcPr>
          <w:p w:rsidR="004A72E7" w:rsidRPr="001E2F6E" w:rsidRDefault="004A72E7" w:rsidP="00781D09">
            <w:pPr>
              <w:spacing w:line="240" w:lineRule="exact"/>
              <w:ind w:left="227" w:hanging="227"/>
              <w:jc w:val="center"/>
              <w:rPr>
                <w:sz w:val="16"/>
                <w:szCs w:val="16"/>
              </w:rPr>
            </w:pPr>
          </w:p>
        </w:tc>
        <w:tc>
          <w:tcPr>
            <w:tcW w:w="755" w:type="pct"/>
            <w:tcBorders>
              <w:top w:val="single" w:sz="4" w:space="0" w:color="BFBFBF"/>
              <w:left w:val="single" w:sz="4" w:space="0" w:color="BFBFBF"/>
              <w:bottom w:val="single" w:sz="4" w:space="0" w:color="BFBFBF"/>
            </w:tcBorders>
            <w:shd w:val="clear" w:color="auto" w:fill="DBE5F1"/>
            <w:vAlign w:val="center"/>
          </w:tcPr>
          <w:p w:rsidR="004A72E7" w:rsidRPr="001E2F6E" w:rsidRDefault="004A72E7" w:rsidP="00781D09">
            <w:pPr>
              <w:spacing w:line="240" w:lineRule="exact"/>
              <w:ind w:left="227" w:hanging="227"/>
              <w:jc w:val="center"/>
              <w:rPr>
                <w:b/>
                <w:bCs/>
                <w:sz w:val="16"/>
                <w:szCs w:val="16"/>
              </w:rPr>
            </w:pPr>
            <w:r w:rsidRPr="001E2F6E">
              <w:rPr>
                <w:b/>
                <w:bCs/>
                <w:sz w:val="16"/>
                <w:szCs w:val="16"/>
                <w:lang w:val="eu-ES"/>
              </w:rPr>
              <w:t>Abs.</w:t>
            </w:r>
          </w:p>
        </w:tc>
        <w:tc>
          <w:tcPr>
            <w:tcW w:w="649" w:type="pct"/>
            <w:tcBorders>
              <w:top w:val="single" w:sz="4" w:space="0" w:color="BFBFBF"/>
              <w:bottom w:val="single" w:sz="4" w:space="0" w:color="BFBFBF"/>
              <w:right w:val="single" w:sz="4" w:space="0" w:color="BFBFBF"/>
            </w:tcBorders>
            <w:shd w:val="clear" w:color="auto" w:fill="DBE5F1"/>
            <w:vAlign w:val="center"/>
          </w:tcPr>
          <w:p w:rsidR="004A72E7" w:rsidRPr="001E2F6E" w:rsidRDefault="004A72E7" w:rsidP="00781D09">
            <w:pPr>
              <w:spacing w:line="240" w:lineRule="exact"/>
              <w:ind w:left="227" w:hanging="227"/>
              <w:jc w:val="center"/>
              <w:rPr>
                <w:b/>
                <w:bCs/>
                <w:sz w:val="16"/>
                <w:szCs w:val="16"/>
              </w:rPr>
            </w:pPr>
            <w:r w:rsidRPr="001E2F6E">
              <w:rPr>
                <w:b/>
                <w:bCs/>
                <w:sz w:val="16"/>
                <w:szCs w:val="16"/>
                <w:lang w:val="eu-ES"/>
              </w:rPr>
              <w:t>% ber.</w:t>
            </w:r>
          </w:p>
        </w:tc>
        <w:tc>
          <w:tcPr>
            <w:tcW w:w="755" w:type="pct"/>
            <w:tcBorders>
              <w:top w:val="single" w:sz="4" w:space="0" w:color="BFBFBF"/>
              <w:left w:val="single" w:sz="4" w:space="0" w:color="BFBFBF"/>
              <w:bottom w:val="single" w:sz="4" w:space="0" w:color="BFBFBF"/>
            </w:tcBorders>
            <w:shd w:val="clear" w:color="auto" w:fill="DBE5F1"/>
            <w:vAlign w:val="center"/>
          </w:tcPr>
          <w:p w:rsidR="004A72E7" w:rsidRPr="001E2F6E" w:rsidRDefault="004A72E7" w:rsidP="00781D09">
            <w:pPr>
              <w:spacing w:line="240" w:lineRule="exact"/>
              <w:ind w:left="227" w:hanging="227"/>
              <w:jc w:val="center"/>
              <w:rPr>
                <w:b/>
                <w:bCs/>
                <w:sz w:val="16"/>
                <w:szCs w:val="16"/>
              </w:rPr>
            </w:pPr>
            <w:r w:rsidRPr="001E2F6E">
              <w:rPr>
                <w:b/>
                <w:bCs/>
                <w:sz w:val="16"/>
                <w:szCs w:val="16"/>
                <w:lang w:val="eu-ES"/>
              </w:rPr>
              <w:t>Abs.</w:t>
            </w:r>
          </w:p>
        </w:tc>
        <w:tc>
          <w:tcPr>
            <w:tcW w:w="756" w:type="pct"/>
            <w:tcBorders>
              <w:top w:val="single" w:sz="4" w:space="0" w:color="BFBFBF"/>
              <w:bottom w:val="single" w:sz="4" w:space="0" w:color="BFBFBF"/>
              <w:right w:val="single" w:sz="4" w:space="0" w:color="BFBFBF"/>
            </w:tcBorders>
            <w:shd w:val="clear" w:color="auto" w:fill="DBE5F1"/>
            <w:vAlign w:val="center"/>
          </w:tcPr>
          <w:p w:rsidR="004A72E7" w:rsidRPr="001E2F6E" w:rsidRDefault="004A72E7" w:rsidP="00781D09">
            <w:pPr>
              <w:spacing w:line="240" w:lineRule="exact"/>
              <w:ind w:left="227" w:hanging="227"/>
              <w:jc w:val="center"/>
              <w:rPr>
                <w:b/>
                <w:bCs/>
                <w:sz w:val="16"/>
                <w:szCs w:val="16"/>
              </w:rPr>
            </w:pPr>
            <w:r w:rsidRPr="001E2F6E">
              <w:rPr>
                <w:b/>
                <w:bCs/>
                <w:sz w:val="16"/>
                <w:szCs w:val="16"/>
                <w:lang w:val="eu-ES"/>
              </w:rPr>
              <w:t>% ber.</w:t>
            </w:r>
          </w:p>
        </w:tc>
        <w:tc>
          <w:tcPr>
            <w:tcW w:w="1096" w:type="pct"/>
            <w:vMerge/>
            <w:tcBorders>
              <w:left w:val="single" w:sz="4" w:space="0" w:color="BFBFBF"/>
              <w:bottom w:val="single" w:sz="4" w:space="0" w:color="BFBFBF"/>
            </w:tcBorders>
            <w:shd w:val="clear" w:color="auto" w:fill="DBE5F1"/>
            <w:vAlign w:val="center"/>
          </w:tcPr>
          <w:p w:rsidR="004A72E7" w:rsidRPr="001E2F6E" w:rsidRDefault="004A72E7" w:rsidP="00781D09">
            <w:pPr>
              <w:spacing w:line="240" w:lineRule="exact"/>
              <w:ind w:left="227" w:hanging="227"/>
              <w:jc w:val="center"/>
              <w:rPr>
                <w:b/>
                <w:bCs/>
                <w:sz w:val="16"/>
                <w:szCs w:val="16"/>
              </w:rPr>
            </w:pPr>
          </w:p>
        </w:tc>
      </w:tr>
      <w:tr w:rsidR="004A72E7" w:rsidRPr="001E2F6E">
        <w:trPr>
          <w:jc w:val="center"/>
        </w:trPr>
        <w:tc>
          <w:tcPr>
            <w:tcW w:w="989" w:type="pct"/>
            <w:tcBorders>
              <w:top w:val="single" w:sz="4" w:space="0" w:color="BFBFBF"/>
              <w:right w:val="single" w:sz="4" w:space="0" w:color="BFBFBF"/>
            </w:tcBorders>
          </w:tcPr>
          <w:p w:rsidR="004A72E7" w:rsidRPr="001E2F6E" w:rsidRDefault="004A72E7" w:rsidP="00781D09">
            <w:pPr>
              <w:spacing w:line="240" w:lineRule="exact"/>
              <w:ind w:left="227" w:hanging="227"/>
              <w:rPr>
                <w:sz w:val="16"/>
                <w:szCs w:val="16"/>
              </w:rPr>
            </w:pPr>
            <w:r w:rsidRPr="001E2F6E">
              <w:rPr>
                <w:sz w:val="16"/>
                <w:szCs w:val="16"/>
                <w:lang w:val="eu-ES"/>
              </w:rPr>
              <w:t>Kooperatibak</w:t>
            </w:r>
          </w:p>
        </w:tc>
        <w:tc>
          <w:tcPr>
            <w:tcW w:w="755" w:type="pct"/>
            <w:tcBorders>
              <w:top w:val="single" w:sz="4" w:space="0" w:color="BFBFBF"/>
              <w:left w:val="single" w:sz="4" w:space="0" w:color="BFBFBF"/>
            </w:tcBorders>
          </w:tcPr>
          <w:p w:rsidR="004A72E7" w:rsidRPr="001E2F6E" w:rsidRDefault="004A72E7" w:rsidP="00781D09">
            <w:pPr>
              <w:spacing w:line="240" w:lineRule="exact"/>
              <w:ind w:left="227" w:right="170" w:hanging="227"/>
              <w:jc w:val="right"/>
              <w:rPr>
                <w:color w:val="000000"/>
                <w:sz w:val="16"/>
                <w:szCs w:val="16"/>
              </w:rPr>
            </w:pPr>
            <w:r w:rsidRPr="001E2F6E">
              <w:rPr>
                <w:color w:val="000000"/>
                <w:sz w:val="16"/>
                <w:szCs w:val="16"/>
              </w:rPr>
              <w:t>48.196</w:t>
            </w:r>
          </w:p>
        </w:tc>
        <w:tc>
          <w:tcPr>
            <w:tcW w:w="649" w:type="pct"/>
            <w:tcBorders>
              <w:top w:val="single" w:sz="4" w:space="0" w:color="BFBFBF"/>
              <w:right w:val="single" w:sz="4" w:space="0" w:color="BFBFBF"/>
            </w:tcBorders>
          </w:tcPr>
          <w:p w:rsidR="004A72E7" w:rsidRPr="001E2F6E" w:rsidRDefault="004A72E7" w:rsidP="00781D09">
            <w:pPr>
              <w:spacing w:line="240" w:lineRule="exact"/>
              <w:ind w:left="227" w:right="170" w:hanging="227"/>
              <w:jc w:val="right"/>
              <w:rPr>
                <w:color w:val="000000"/>
                <w:sz w:val="16"/>
                <w:szCs w:val="16"/>
              </w:rPr>
            </w:pPr>
            <w:r w:rsidRPr="001E2F6E">
              <w:rPr>
                <w:color w:val="000000"/>
                <w:sz w:val="16"/>
                <w:szCs w:val="16"/>
              </w:rPr>
              <w:t>80,5</w:t>
            </w:r>
          </w:p>
        </w:tc>
        <w:tc>
          <w:tcPr>
            <w:tcW w:w="755" w:type="pct"/>
            <w:tcBorders>
              <w:top w:val="single" w:sz="4" w:space="0" w:color="BFBFBF"/>
              <w:left w:val="single" w:sz="4" w:space="0" w:color="BFBFBF"/>
            </w:tcBorders>
          </w:tcPr>
          <w:p w:rsidR="004A72E7" w:rsidRPr="001E2F6E" w:rsidRDefault="004A72E7" w:rsidP="00781D09">
            <w:pPr>
              <w:spacing w:line="240" w:lineRule="exact"/>
              <w:ind w:left="227" w:right="170" w:hanging="227"/>
              <w:jc w:val="right"/>
              <w:rPr>
                <w:color w:val="000000"/>
                <w:sz w:val="16"/>
                <w:szCs w:val="16"/>
              </w:rPr>
            </w:pPr>
            <w:r w:rsidRPr="001E2F6E">
              <w:rPr>
                <w:color w:val="000000"/>
                <w:sz w:val="16"/>
                <w:szCs w:val="16"/>
              </w:rPr>
              <w:t>47.981</w:t>
            </w:r>
          </w:p>
        </w:tc>
        <w:tc>
          <w:tcPr>
            <w:tcW w:w="756" w:type="pct"/>
            <w:tcBorders>
              <w:top w:val="single" w:sz="4" w:space="0" w:color="BFBFBF"/>
              <w:right w:val="single" w:sz="4" w:space="0" w:color="BFBFBF"/>
            </w:tcBorders>
          </w:tcPr>
          <w:p w:rsidR="004A72E7" w:rsidRPr="001E2F6E" w:rsidRDefault="004A72E7" w:rsidP="00781D09">
            <w:pPr>
              <w:spacing w:line="240" w:lineRule="exact"/>
              <w:ind w:left="227" w:right="170" w:hanging="227"/>
              <w:jc w:val="right"/>
              <w:rPr>
                <w:color w:val="000000"/>
                <w:sz w:val="16"/>
                <w:szCs w:val="16"/>
              </w:rPr>
            </w:pPr>
            <w:r w:rsidRPr="001E2F6E">
              <w:rPr>
                <w:color w:val="000000"/>
                <w:sz w:val="16"/>
                <w:szCs w:val="16"/>
              </w:rPr>
              <w:t>86,0</w:t>
            </w:r>
          </w:p>
        </w:tc>
        <w:tc>
          <w:tcPr>
            <w:tcW w:w="1096" w:type="pct"/>
            <w:tcBorders>
              <w:top w:val="single" w:sz="4" w:space="0" w:color="BFBFBF"/>
              <w:left w:val="single" w:sz="4" w:space="0" w:color="BFBFBF"/>
            </w:tcBorders>
          </w:tcPr>
          <w:p w:rsidR="004A72E7" w:rsidRPr="001E2F6E" w:rsidRDefault="004A72E7" w:rsidP="00781D09">
            <w:pPr>
              <w:spacing w:line="240" w:lineRule="exact"/>
              <w:ind w:left="227" w:right="170" w:hanging="227"/>
              <w:jc w:val="right"/>
              <w:rPr>
                <w:color w:val="000000"/>
                <w:sz w:val="16"/>
                <w:szCs w:val="16"/>
              </w:rPr>
            </w:pPr>
            <w:r w:rsidRPr="001E2F6E">
              <w:rPr>
                <w:color w:val="000000"/>
                <w:sz w:val="16"/>
                <w:szCs w:val="16"/>
              </w:rPr>
              <w:t>-0,4</w:t>
            </w:r>
          </w:p>
        </w:tc>
      </w:tr>
      <w:tr w:rsidR="004A72E7" w:rsidRPr="001E2F6E">
        <w:trPr>
          <w:jc w:val="center"/>
        </w:trPr>
        <w:tc>
          <w:tcPr>
            <w:tcW w:w="989" w:type="pct"/>
            <w:tcBorders>
              <w:right w:val="single" w:sz="4" w:space="0" w:color="BFBFBF"/>
            </w:tcBorders>
          </w:tcPr>
          <w:p w:rsidR="004A72E7" w:rsidRPr="001E2F6E" w:rsidRDefault="004A72E7" w:rsidP="00781D09">
            <w:pPr>
              <w:spacing w:line="240" w:lineRule="exact"/>
              <w:ind w:left="227" w:hanging="227"/>
              <w:rPr>
                <w:sz w:val="16"/>
                <w:szCs w:val="16"/>
              </w:rPr>
            </w:pPr>
            <w:r w:rsidRPr="001E2F6E">
              <w:rPr>
                <w:sz w:val="16"/>
                <w:szCs w:val="16"/>
                <w:lang w:val="eu-ES"/>
              </w:rPr>
              <w:t>Lan-sozietateak</w:t>
            </w:r>
          </w:p>
        </w:tc>
        <w:tc>
          <w:tcPr>
            <w:tcW w:w="755" w:type="pct"/>
            <w:tcBorders>
              <w:left w:val="single" w:sz="4" w:space="0" w:color="BFBFBF"/>
            </w:tcBorders>
          </w:tcPr>
          <w:p w:rsidR="004A72E7" w:rsidRPr="001E2F6E" w:rsidRDefault="004A72E7" w:rsidP="00781D09">
            <w:pPr>
              <w:spacing w:line="240" w:lineRule="exact"/>
              <w:ind w:left="227" w:right="170" w:hanging="227"/>
              <w:jc w:val="right"/>
              <w:rPr>
                <w:color w:val="000000"/>
                <w:sz w:val="16"/>
                <w:szCs w:val="16"/>
              </w:rPr>
            </w:pPr>
            <w:r w:rsidRPr="001E2F6E">
              <w:rPr>
                <w:color w:val="000000"/>
                <w:sz w:val="16"/>
                <w:szCs w:val="16"/>
              </w:rPr>
              <w:t>11.720</w:t>
            </w:r>
          </w:p>
        </w:tc>
        <w:tc>
          <w:tcPr>
            <w:tcW w:w="649" w:type="pct"/>
            <w:tcBorders>
              <w:right w:val="single" w:sz="4" w:space="0" w:color="BFBFBF"/>
            </w:tcBorders>
          </w:tcPr>
          <w:p w:rsidR="004A72E7" w:rsidRPr="001E2F6E" w:rsidRDefault="004A72E7" w:rsidP="00781D09">
            <w:pPr>
              <w:spacing w:line="240" w:lineRule="exact"/>
              <w:ind w:left="227" w:right="170" w:hanging="227"/>
              <w:jc w:val="right"/>
              <w:rPr>
                <w:color w:val="000000"/>
                <w:sz w:val="16"/>
                <w:szCs w:val="16"/>
              </w:rPr>
            </w:pPr>
            <w:r w:rsidRPr="001E2F6E">
              <w:rPr>
                <w:color w:val="000000"/>
                <w:sz w:val="16"/>
                <w:szCs w:val="16"/>
              </w:rPr>
              <w:t>19,6</w:t>
            </w:r>
          </w:p>
        </w:tc>
        <w:tc>
          <w:tcPr>
            <w:tcW w:w="755" w:type="pct"/>
            <w:tcBorders>
              <w:left w:val="single" w:sz="4" w:space="0" w:color="BFBFBF"/>
            </w:tcBorders>
          </w:tcPr>
          <w:p w:rsidR="004A72E7" w:rsidRPr="001E2F6E" w:rsidRDefault="004A72E7" w:rsidP="00781D09">
            <w:pPr>
              <w:spacing w:line="240" w:lineRule="exact"/>
              <w:ind w:left="227" w:right="170" w:hanging="227"/>
              <w:jc w:val="right"/>
              <w:rPr>
                <w:color w:val="000000"/>
                <w:sz w:val="16"/>
                <w:szCs w:val="16"/>
              </w:rPr>
            </w:pPr>
            <w:r w:rsidRPr="001E2F6E">
              <w:rPr>
                <w:color w:val="000000"/>
                <w:sz w:val="16"/>
                <w:szCs w:val="16"/>
              </w:rPr>
              <w:t>7.828</w:t>
            </w:r>
          </w:p>
        </w:tc>
        <w:tc>
          <w:tcPr>
            <w:tcW w:w="756" w:type="pct"/>
            <w:tcBorders>
              <w:right w:val="single" w:sz="4" w:space="0" w:color="BFBFBF"/>
            </w:tcBorders>
          </w:tcPr>
          <w:p w:rsidR="004A72E7" w:rsidRPr="001E2F6E" w:rsidRDefault="004A72E7" w:rsidP="00781D09">
            <w:pPr>
              <w:spacing w:line="240" w:lineRule="exact"/>
              <w:ind w:left="227" w:right="170" w:hanging="227"/>
              <w:jc w:val="right"/>
              <w:rPr>
                <w:color w:val="000000"/>
                <w:sz w:val="16"/>
                <w:szCs w:val="16"/>
              </w:rPr>
            </w:pPr>
            <w:r w:rsidRPr="001E2F6E">
              <w:rPr>
                <w:color w:val="000000"/>
                <w:sz w:val="16"/>
                <w:szCs w:val="16"/>
              </w:rPr>
              <w:t>14,0</w:t>
            </w:r>
          </w:p>
        </w:tc>
        <w:tc>
          <w:tcPr>
            <w:tcW w:w="1096" w:type="pct"/>
            <w:tcBorders>
              <w:left w:val="single" w:sz="4" w:space="0" w:color="BFBFBF"/>
            </w:tcBorders>
          </w:tcPr>
          <w:p w:rsidR="004A72E7" w:rsidRPr="001E2F6E" w:rsidRDefault="004A72E7" w:rsidP="00781D09">
            <w:pPr>
              <w:spacing w:line="240" w:lineRule="exact"/>
              <w:ind w:left="227" w:right="170" w:hanging="227"/>
              <w:jc w:val="right"/>
              <w:rPr>
                <w:color w:val="000000"/>
                <w:sz w:val="16"/>
                <w:szCs w:val="16"/>
              </w:rPr>
            </w:pPr>
            <w:r w:rsidRPr="001E2F6E">
              <w:rPr>
                <w:color w:val="000000"/>
                <w:sz w:val="16"/>
                <w:szCs w:val="16"/>
              </w:rPr>
              <w:t>-33,2</w:t>
            </w:r>
          </w:p>
        </w:tc>
      </w:tr>
      <w:tr w:rsidR="004A72E7" w:rsidRPr="001E2F6E">
        <w:trPr>
          <w:jc w:val="center"/>
        </w:trPr>
        <w:tc>
          <w:tcPr>
            <w:tcW w:w="989" w:type="pct"/>
            <w:tcBorders>
              <w:right w:val="single" w:sz="4" w:space="0" w:color="BFBFBF"/>
            </w:tcBorders>
          </w:tcPr>
          <w:p w:rsidR="004A72E7" w:rsidRPr="001E2F6E" w:rsidRDefault="004A72E7" w:rsidP="00781D09">
            <w:pPr>
              <w:spacing w:line="240" w:lineRule="exact"/>
              <w:ind w:left="227" w:hanging="227"/>
              <w:rPr>
                <w:sz w:val="16"/>
                <w:szCs w:val="16"/>
              </w:rPr>
            </w:pPr>
            <w:r w:rsidRPr="001E2F6E">
              <w:rPr>
                <w:sz w:val="16"/>
                <w:szCs w:val="16"/>
              </w:rPr>
              <w:t xml:space="preserve">  </w:t>
            </w:r>
            <w:r w:rsidRPr="001E2F6E">
              <w:rPr>
                <w:sz w:val="16"/>
                <w:szCs w:val="16"/>
                <w:lang w:val="eu-ES"/>
              </w:rPr>
              <w:t>Lan-sozietate anonimoak</w:t>
            </w:r>
          </w:p>
        </w:tc>
        <w:tc>
          <w:tcPr>
            <w:tcW w:w="755" w:type="pct"/>
            <w:tcBorders>
              <w:left w:val="single" w:sz="4" w:space="0" w:color="BFBFBF"/>
            </w:tcBorders>
          </w:tcPr>
          <w:p w:rsidR="004A72E7" w:rsidRPr="001E2F6E" w:rsidRDefault="004A72E7" w:rsidP="00781D09">
            <w:pPr>
              <w:spacing w:line="240" w:lineRule="exact"/>
              <w:ind w:left="227" w:right="170" w:hanging="227"/>
              <w:jc w:val="right"/>
              <w:rPr>
                <w:color w:val="000000"/>
                <w:sz w:val="16"/>
                <w:szCs w:val="16"/>
              </w:rPr>
            </w:pPr>
            <w:r w:rsidRPr="001E2F6E">
              <w:rPr>
                <w:color w:val="000000"/>
                <w:sz w:val="16"/>
                <w:szCs w:val="16"/>
              </w:rPr>
              <w:t>7.355</w:t>
            </w:r>
          </w:p>
        </w:tc>
        <w:tc>
          <w:tcPr>
            <w:tcW w:w="649" w:type="pct"/>
            <w:tcBorders>
              <w:right w:val="single" w:sz="4" w:space="0" w:color="BFBFBF"/>
            </w:tcBorders>
          </w:tcPr>
          <w:p w:rsidR="004A72E7" w:rsidRPr="001E2F6E" w:rsidRDefault="004A72E7" w:rsidP="00781D09">
            <w:pPr>
              <w:spacing w:line="240" w:lineRule="exact"/>
              <w:ind w:left="227" w:right="170" w:hanging="227"/>
              <w:jc w:val="right"/>
              <w:rPr>
                <w:color w:val="000000"/>
                <w:sz w:val="16"/>
                <w:szCs w:val="16"/>
              </w:rPr>
            </w:pPr>
            <w:r w:rsidRPr="001E2F6E">
              <w:rPr>
                <w:color w:val="000000"/>
                <w:sz w:val="16"/>
                <w:szCs w:val="16"/>
              </w:rPr>
              <w:t>12,3</w:t>
            </w:r>
          </w:p>
        </w:tc>
        <w:tc>
          <w:tcPr>
            <w:tcW w:w="755" w:type="pct"/>
            <w:tcBorders>
              <w:left w:val="single" w:sz="4" w:space="0" w:color="BFBFBF"/>
            </w:tcBorders>
          </w:tcPr>
          <w:p w:rsidR="004A72E7" w:rsidRPr="001E2F6E" w:rsidRDefault="004A72E7" w:rsidP="00781D09">
            <w:pPr>
              <w:spacing w:line="240" w:lineRule="exact"/>
              <w:ind w:left="227" w:right="170" w:hanging="227"/>
              <w:jc w:val="right"/>
              <w:rPr>
                <w:color w:val="000000"/>
                <w:sz w:val="16"/>
                <w:szCs w:val="16"/>
              </w:rPr>
            </w:pPr>
            <w:r w:rsidRPr="001E2F6E">
              <w:rPr>
                <w:color w:val="000000"/>
                <w:sz w:val="16"/>
                <w:szCs w:val="16"/>
              </w:rPr>
              <w:t>4.005</w:t>
            </w:r>
          </w:p>
        </w:tc>
        <w:tc>
          <w:tcPr>
            <w:tcW w:w="756" w:type="pct"/>
            <w:tcBorders>
              <w:right w:val="single" w:sz="4" w:space="0" w:color="BFBFBF"/>
            </w:tcBorders>
          </w:tcPr>
          <w:p w:rsidR="004A72E7" w:rsidRPr="001E2F6E" w:rsidRDefault="004A72E7" w:rsidP="00781D09">
            <w:pPr>
              <w:spacing w:line="240" w:lineRule="exact"/>
              <w:ind w:left="227" w:right="170" w:hanging="227"/>
              <w:jc w:val="right"/>
              <w:rPr>
                <w:color w:val="000000"/>
                <w:sz w:val="16"/>
                <w:szCs w:val="16"/>
              </w:rPr>
            </w:pPr>
            <w:r w:rsidRPr="001E2F6E">
              <w:rPr>
                <w:color w:val="000000"/>
                <w:sz w:val="16"/>
                <w:szCs w:val="16"/>
              </w:rPr>
              <w:t>7,2</w:t>
            </w:r>
          </w:p>
        </w:tc>
        <w:tc>
          <w:tcPr>
            <w:tcW w:w="1096" w:type="pct"/>
            <w:tcBorders>
              <w:left w:val="single" w:sz="4" w:space="0" w:color="BFBFBF"/>
            </w:tcBorders>
          </w:tcPr>
          <w:p w:rsidR="004A72E7" w:rsidRPr="001E2F6E" w:rsidRDefault="004A72E7" w:rsidP="00781D09">
            <w:pPr>
              <w:spacing w:line="240" w:lineRule="exact"/>
              <w:ind w:left="227" w:right="170" w:hanging="227"/>
              <w:jc w:val="right"/>
              <w:rPr>
                <w:color w:val="000000"/>
                <w:sz w:val="16"/>
                <w:szCs w:val="16"/>
              </w:rPr>
            </w:pPr>
            <w:r w:rsidRPr="001E2F6E">
              <w:rPr>
                <w:color w:val="000000"/>
                <w:sz w:val="16"/>
                <w:szCs w:val="16"/>
              </w:rPr>
              <w:t>-45,5</w:t>
            </w:r>
          </w:p>
        </w:tc>
      </w:tr>
      <w:tr w:rsidR="004A72E7" w:rsidRPr="001E2F6E">
        <w:trPr>
          <w:jc w:val="center"/>
        </w:trPr>
        <w:tc>
          <w:tcPr>
            <w:tcW w:w="989" w:type="pct"/>
            <w:tcBorders>
              <w:bottom w:val="single" w:sz="4" w:space="0" w:color="BFBFBF"/>
              <w:right w:val="single" w:sz="4" w:space="0" w:color="BFBFBF"/>
            </w:tcBorders>
          </w:tcPr>
          <w:p w:rsidR="004A72E7" w:rsidRPr="001E2F6E" w:rsidRDefault="004A72E7" w:rsidP="00781D09">
            <w:pPr>
              <w:spacing w:line="240" w:lineRule="exact"/>
              <w:ind w:left="227" w:hanging="227"/>
              <w:rPr>
                <w:sz w:val="16"/>
                <w:szCs w:val="16"/>
              </w:rPr>
            </w:pPr>
            <w:r w:rsidRPr="001E2F6E">
              <w:rPr>
                <w:sz w:val="16"/>
                <w:szCs w:val="16"/>
              </w:rPr>
              <w:t xml:space="preserve">  </w:t>
            </w:r>
            <w:r w:rsidRPr="001E2F6E">
              <w:rPr>
                <w:sz w:val="16"/>
                <w:szCs w:val="16"/>
                <w:lang w:val="eu-ES"/>
              </w:rPr>
              <w:t>Lan-sozietate mugatuak</w:t>
            </w:r>
          </w:p>
        </w:tc>
        <w:tc>
          <w:tcPr>
            <w:tcW w:w="755" w:type="pct"/>
            <w:tcBorders>
              <w:left w:val="single" w:sz="4" w:space="0" w:color="BFBFBF"/>
              <w:bottom w:val="single" w:sz="4" w:space="0" w:color="BFBFBF"/>
            </w:tcBorders>
          </w:tcPr>
          <w:p w:rsidR="004A72E7" w:rsidRPr="001E2F6E" w:rsidRDefault="004A72E7" w:rsidP="00781D09">
            <w:pPr>
              <w:spacing w:line="240" w:lineRule="exact"/>
              <w:ind w:left="227" w:right="170" w:hanging="227"/>
              <w:jc w:val="right"/>
              <w:rPr>
                <w:color w:val="000000"/>
                <w:sz w:val="16"/>
                <w:szCs w:val="16"/>
              </w:rPr>
            </w:pPr>
            <w:r w:rsidRPr="001E2F6E">
              <w:rPr>
                <w:color w:val="000000"/>
                <w:sz w:val="16"/>
                <w:szCs w:val="16"/>
              </w:rPr>
              <w:t>4.365</w:t>
            </w:r>
          </w:p>
        </w:tc>
        <w:tc>
          <w:tcPr>
            <w:tcW w:w="649" w:type="pct"/>
            <w:tcBorders>
              <w:bottom w:val="single" w:sz="4" w:space="0" w:color="BFBFBF"/>
              <w:right w:val="single" w:sz="4" w:space="0" w:color="BFBFBF"/>
            </w:tcBorders>
          </w:tcPr>
          <w:p w:rsidR="004A72E7" w:rsidRPr="001E2F6E" w:rsidRDefault="004A72E7" w:rsidP="00781D09">
            <w:pPr>
              <w:spacing w:line="240" w:lineRule="exact"/>
              <w:ind w:left="227" w:right="170" w:hanging="227"/>
              <w:jc w:val="right"/>
              <w:rPr>
                <w:color w:val="000000"/>
                <w:sz w:val="16"/>
                <w:szCs w:val="16"/>
              </w:rPr>
            </w:pPr>
            <w:r w:rsidRPr="001E2F6E">
              <w:rPr>
                <w:color w:val="000000"/>
                <w:sz w:val="16"/>
                <w:szCs w:val="16"/>
              </w:rPr>
              <w:t>7,3</w:t>
            </w:r>
          </w:p>
        </w:tc>
        <w:tc>
          <w:tcPr>
            <w:tcW w:w="755" w:type="pct"/>
            <w:tcBorders>
              <w:left w:val="single" w:sz="4" w:space="0" w:color="BFBFBF"/>
              <w:bottom w:val="single" w:sz="4" w:space="0" w:color="BFBFBF"/>
            </w:tcBorders>
          </w:tcPr>
          <w:p w:rsidR="004A72E7" w:rsidRPr="001E2F6E" w:rsidRDefault="004A72E7" w:rsidP="00781D09">
            <w:pPr>
              <w:spacing w:line="240" w:lineRule="exact"/>
              <w:ind w:left="227" w:right="170" w:hanging="227"/>
              <w:jc w:val="right"/>
              <w:rPr>
                <w:color w:val="000000"/>
                <w:sz w:val="16"/>
                <w:szCs w:val="16"/>
              </w:rPr>
            </w:pPr>
            <w:r w:rsidRPr="001E2F6E">
              <w:rPr>
                <w:color w:val="000000"/>
                <w:sz w:val="16"/>
                <w:szCs w:val="16"/>
              </w:rPr>
              <w:t>3.823</w:t>
            </w:r>
          </w:p>
        </w:tc>
        <w:tc>
          <w:tcPr>
            <w:tcW w:w="756" w:type="pct"/>
            <w:tcBorders>
              <w:bottom w:val="single" w:sz="4" w:space="0" w:color="BFBFBF"/>
              <w:right w:val="single" w:sz="4" w:space="0" w:color="BFBFBF"/>
            </w:tcBorders>
          </w:tcPr>
          <w:p w:rsidR="004A72E7" w:rsidRPr="001E2F6E" w:rsidRDefault="004A72E7" w:rsidP="00781D09">
            <w:pPr>
              <w:spacing w:line="240" w:lineRule="exact"/>
              <w:ind w:left="227" w:right="170" w:hanging="227"/>
              <w:jc w:val="right"/>
              <w:rPr>
                <w:color w:val="000000"/>
                <w:sz w:val="16"/>
                <w:szCs w:val="16"/>
              </w:rPr>
            </w:pPr>
            <w:r w:rsidRPr="001E2F6E">
              <w:rPr>
                <w:color w:val="000000"/>
                <w:sz w:val="16"/>
                <w:szCs w:val="16"/>
              </w:rPr>
              <w:t>6,8</w:t>
            </w:r>
          </w:p>
        </w:tc>
        <w:tc>
          <w:tcPr>
            <w:tcW w:w="1096" w:type="pct"/>
            <w:tcBorders>
              <w:left w:val="single" w:sz="4" w:space="0" w:color="BFBFBF"/>
              <w:bottom w:val="single" w:sz="4" w:space="0" w:color="BFBFBF"/>
            </w:tcBorders>
          </w:tcPr>
          <w:p w:rsidR="004A72E7" w:rsidRPr="001E2F6E" w:rsidRDefault="004A72E7" w:rsidP="00781D09">
            <w:pPr>
              <w:spacing w:line="240" w:lineRule="exact"/>
              <w:ind w:left="227" w:right="170" w:hanging="227"/>
              <w:jc w:val="right"/>
              <w:rPr>
                <w:color w:val="000000"/>
                <w:sz w:val="16"/>
                <w:szCs w:val="16"/>
              </w:rPr>
            </w:pPr>
            <w:r w:rsidRPr="001E2F6E">
              <w:rPr>
                <w:color w:val="000000"/>
                <w:sz w:val="16"/>
                <w:szCs w:val="16"/>
              </w:rPr>
              <w:t>-12,4</w:t>
            </w:r>
          </w:p>
        </w:tc>
      </w:tr>
      <w:tr w:rsidR="004A72E7" w:rsidRPr="001E2F6E">
        <w:trPr>
          <w:jc w:val="center"/>
        </w:trPr>
        <w:tc>
          <w:tcPr>
            <w:tcW w:w="989" w:type="pct"/>
            <w:tcBorders>
              <w:top w:val="single" w:sz="4" w:space="0" w:color="BFBFBF"/>
              <w:bottom w:val="single" w:sz="4" w:space="0" w:color="BFBFBF"/>
              <w:right w:val="single" w:sz="4" w:space="0" w:color="BFBFBF"/>
            </w:tcBorders>
          </w:tcPr>
          <w:p w:rsidR="004A72E7" w:rsidRPr="001E2F6E" w:rsidRDefault="004A72E7" w:rsidP="00781D09">
            <w:pPr>
              <w:spacing w:line="240" w:lineRule="exact"/>
              <w:ind w:left="227" w:hanging="227"/>
              <w:rPr>
                <w:b/>
                <w:bCs/>
                <w:sz w:val="16"/>
                <w:szCs w:val="16"/>
              </w:rPr>
            </w:pPr>
            <w:r w:rsidRPr="001E2F6E">
              <w:rPr>
                <w:b/>
                <w:bCs/>
                <w:sz w:val="16"/>
                <w:szCs w:val="16"/>
                <w:lang w:val="eu-ES"/>
              </w:rPr>
              <w:t>GUZTIRA</w:t>
            </w:r>
          </w:p>
        </w:tc>
        <w:tc>
          <w:tcPr>
            <w:tcW w:w="755" w:type="pct"/>
            <w:tcBorders>
              <w:top w:val="single" w:sz="4" w:space="0" w:color="BFBFBF"/>
              <w:left w:val="single" w:sz="4" w:space="0" w:color="BFBFBF"/>
              <w:bottom w:val="single" w:sz="4" w:space="0" w:color="BFBFBF"/>
            </w:tcBorders>
          </w:tcPr>
          <w:p w:rsidR="004A72E7" w:rsidRPr="001E2F6E" w:rsidRDefault="004A72E7" w:rsidP="00781D09">
            <w:pPr>
              <w:spacing w:line="240" w:lineRule="exact"/>
              <w:ind w:left="227" w:right="170" w:hanging="227"/>
              <w:jc w:val="right"/>
              <w:rPr>
                <w:b/>
                <w:bCs/>
                <w:color w:val="000000"/>
                <w:sz w:val="16"/>
                <w:szCs w:val="16"/>
              </w:rPr>
            </w:pPr>
            <w:r w:rsidRPr="001E2F6E">
              <w:rPr>
                <w:b/>
                <w:bCs/>
                <w:color w:val="000000"/>
                <w:sz w:val="16"/>
                <w:szCs w:val="16"/>
              </w:rPr>
              <w:t>59.915</w:t>
            </w:r>
          </w:p>
        </w:tc>
        <w:tc>
          <w:tcPr>
            <w:tcW w:w="649" w:type="pct"/>
            <w:tcBorders>
              <w:top w:val="single" w:sz="4" w:space="0" w:color="BFBFBF"/>
              <w:bottom w:val="single" w:sz="4" w:space="0" w:color="BFBFBF"/>
              <w:right w:val="single" w:sz="4" w:space="0" w:color="BFBFBF"/>
            </w:tcBorders>
          </w:tcPr>
          <w:p w:rsidR="004A72E7" w:rsidRPr="001E2F6E" w:rsidRDefault="004A72E7" w:rsidP="00781D09">
            <w:pPr>
              <w:spacing w:line="240" w:lineRule="exact"/>
              <w:ind w:left="227" w:right="170" w:hanging="227"/>
              <w:jc w:val="right"/>
              <w:rPr>
                <w:b/>
                <w:bCs/>
                <w:color w:val="000000"/>
                <w:sz w:val="16"/>
                <w:szCs w:val="16"/>
              </w:rPr>
            </w:pPr>
            <w:r w:rsidRPr="001E2F6E">
              <w:rPr>
                <w:b/>
                <w:bCs/>
                <w:color w:val="000000"/>
                <w:sz w:val="16"/>
                <w:szCs w:val="16"/>
              </w:rPr>
              <w:t>100</w:t>
            </w:r>
          </w:p>
        </w:tc>
        <w:tc>
          <w:tcPr>
            <w:tcW w:w="755" w:type="pct"/>
            <w:tcBorders>
              <w:top w:val="single" w:sz="4" w:space="0" w:color="BFBFBF"/>
              <w:left w:val="single" w:sz="4" w:space="0" w:color="BFBFBF"/>
              <w:bottom w:val="single" w:sz="4" w:space="0" w:color="BFBFBF"/>
            </w:tcBorders>
          </w:tcPr>
          <w:p w:rsidR="004A72E7" w:rsidRPr="001E2F6E" w:rsidRDefault="004A72E7" w:rsidP="00781D09">
            <w:pPr>
              <w:spacing w:line="240" w:lineRule="exact"/>
              <w:ind w:left="227" w:right="170" w:hanging="227"/>
              <w:jc w:val="right"/>
              <w:rPr>
                <w:b/>
                <w:bCs/>
                <w:color w:val="000000"/>
                <w:sz w:val="16"/>
                <w:szCs w:val="16"/>
              </w:rPr>
            </w:pPr>
            <w:r w:rsidRPr="001E2F6E">
              <w:rPr>
                <w:b/>
                <w:bCs/>
                <w:color w:val="000000"/>
                <w:sz w:val="16"/>
                <w:szCs w:val="16"/>
              </w:rPr>
              <w:t>55.809</w:t>
            </w:r>
          </w:p>
        </w:tc>
        <w:tc>
          <w:tcPr>
            <w:tcW w:w="756" w:type="pct"/>
            <w:tcBorders>
              <w:top w:val="single" w:sz="4" w:space="0" w:color="BFBFBF"/>
              <w:bottom w:val="single" w:sz="4" w:space="0" w:color="BFBFBF"/>
              <w:right w:val="single" w:sz="4" w:space="0" w:color="BFBFBF"/>
            </w:tcBorders>
          </w:tcPr>
          <w:p w:rsidR="004A72E7" w:rsidRPr="001E2F6E" w:rsidRDefault="004A72E7" w:rsidP="00781D09">
            <w:pPr>
              <w:spacing w:line="240" w:lineRule="exact"/>
              <w:ind w:left="227" w:right="170" w:hanging="227"/>
              <w:jc w:val="right"/>
              <w:rPr>
                <w:b/>
                <w:bCs/>
                <w:color w:val="000000"/>
                <w:sz w:val="16"/>
                <w:szCs w:val="16"/>
              </w:rPr>
            </w:pPr>
            <w:r w:rsidRPr="001E2F6E">
              <w:rPr>
                <w:b/>
                <w:bCs/>
                <w:color w:val="000000"/>
                <w:sz w:val="16"/>
                <w:szCs w:val="16"/>
              </w:rPr>
              <w:t>100</w:t>
            </w:r>
          </w:p>
        </w:tc>
        <w:tc>
          <w:tcPr>
            <w:tcW w:w="1096" w:type="pct"/>
            <w:tcBorders>
              <w:top w:val="single" w:sz="4" w:space="0" w:color="BFBFBF"/>
              <w:left w:val="single" w:sz="4" w:space="0" w:color="BFBFBF"/>
              <w:bottom w:val="single" w:sz="4" w:space="0" w:color="BFBFBF"/>
            </w:tcBorders>
          </w:tcPr>
          <w:p w:rsidR="004A72E7" w:rsidRPr="001E2F6E" w:rsidRDefault="004A72E7" w:rsidP="00781D09">
            <w:pPr>
              <w:spacing w:line="240" w:lineRule="exact"/>
              <w:ind w:left="227" w:right="170" w:hanging="227"/>
              <w:jc w:val="right"/>
              <w:rPr>
                <w:b/>
                <w:bCs/>
                <w:color w:val="000000"/>
                <w:sz w:val="16"/>
                <w:szCs w:val="16"/>
              </w:rPr>
            </w:pPr>
            <w:r w:rsidRPr="001E2F6E">
              <w:rPr>
                <w:b/>
                <w:bCs/>
                <w:color w:val="000000"/>
                <w:sz w:val="16"/>
                <w:szCs w:val="16"/>
              </w:rPr>
              <w:t>-6,9</w:t>
            </w:r>
          </w:p>
        </w:tc>
      </w:tr>
    </w:tbl>
    <w:p w:rsidR="004A72E7" w:rsidRPr="001E2F6E" w:rsidRDefault="004A72E7" w:rsidP="0028529A">
      <w:pPr>
        <w:tabs>
          <w:tab w:val="left" w:pos="284"/>
        </w:tabs>
        <w:ind w:left="227" w:hanging="227"/>
        <w:rPr>
          <w:sz w:val="16"/>
          <w:szCs w:val="16"/>
        </w:rPr>
      </w:pPr>
      <w:r w:rsidRPr="001E2F6E">
        <w:rPr>
          <w:sz w:val="16"/>
          <w:szCs w:val="16"/>
        </w:rPr>
        <w:t xml:space="preserve">(1) </w:t>
      </w:r>
      <w:r w:rsidRPr="001E2F6E">
        <w:rPr>
          <w:sz w:val="16"/>
          <w:szCs w:val="16"/>
        </w:rPr>
        <w:tab/>
      </w:r>
      <w:r w:rsidRPr="001E2F6E">
        <w:rPr>
          <w:sz w:val="16"/>
          <w:szCs w:val="16"/>
          <w:lang w:val="eu-ES"/>
        </w:rPr>
        <w:t>2010etik 2012ra bitarteko kopuru absolutuekin lotutako portzentaje-aldaketa.</w:t>
      </w:r>
    </w:p>
    <w:p w:rsidR="004A72E7" w:rsidRPr="001E2F6E" w:rsidRDefault="004A72E7" w:rsidP="00354E9D">
      <w:pPr>
        <w:ind w:left="227" w:hanging="227"/>
        <w:jc w:val="left"/>
        <w:rPr>
          <w:lang w:eastAsia="es-ES"/>
        </w:rPr>
      </w:pPr>
    </w:p>
    <w:p w:rsidR="004A72E7" w:rsidRPr="001E2F6E" w:rsidRDefault="004A72E7" w:rsidP="00354E9D">
      <w:pPr>
        <w:ind w:left="227" w:hanging="227"/>
        <w:jc w:val="left"/>
        <w:rPr>
          <w:lang w:eastAsia="es-ES"/>
        </w:rPr>
      </w:pPr>
    </w:p>
    <w:p w:rsidR="004A72E7" w:rsidRPr="001E2F6E" w:rsidRDefault="004A72E7" w:rsidP="00781D09">
      <w:pPr>
        <w:pStyle w:val="Prrafodelista"/>
        <w:spacing w:after="0" w:line="360" w:lineRule="auto"/>
        <w:ind w:left="426" w:hanging="426"/>
        <w:rPr>
          <w:rFonts w:ascii="Arial" w:hAnsi="Arial" w:cs="Arial"/>
          <w:lang w:val="eu-ES" w:eastAsia="es-ES"/>
        </w:rPr>
      </w:pPr>
      <w:r w:rsidRPr="001E2F6E">
        <w:rPr>
          <w:rFonts w:ascii="Arial" w:hAnsi="Arial" w:cs="Arial"/>
          <w:lang w:val="es-ES_tradnl" w:eastAsia="es-ES"/>
        </w:rPr>
        <w:tab/>
      </w:r>
      <w:r w:rsidRPr="001E2F6E">
        <w:rPr>
          <w:rFonts w:ascii="Arial" w:hAnsi="Arial" w:cs="Arial"/>
          <w:lang w:val="eu-ES" w:eastAsia="es-ES"/>
        </w:rPr>
        <w:t xml:space="preserve">Adierazitako datuei erreparatuz gero, ikus daiteke 2008-2010 denboraldiko dinamika negatiboa asko aldatu zela; izan ere, denboraldi hartan, suntsitutako lanpostuen </w:t>
      </w:r>
      <w:r w:rsidRPr="001E2F6E">
        <w:rPr>
          <w:rFonts w:ascii="Arial" w:hAnsi="Arial" w:cs="Arial"/>
          <w:spacing w:val="60"/>
          <w:lang w:val="eu-ES" w:eastAsia="es-ES"/>
        </w:rPr>
        <w:t>%</w:t>
      </w:r>
      <w:r w:rsidRPr="001E2F6E">
        <w:rPr>
          <w:rFonts w:ascii="Arial" w:hAnsi="Arial" w:cs="Arial"/>
          <w:lang w:val="eu-ES" w:eastAsia="es-ES"/>
        </w:rPr>
        <w:t>80 enpresa kooperatibetan galdu zen.</w:t>
      </w:r>
      <w:r w:rsidRPr="001E2F6E">
        <w:rPr>
          <w:rFonts w:ascii="Arial" w:hAnsi="Arial" w:cs="Arial"/>
          <w:lang w:val="es-ES_tradnl" w:eastAsia="es-ES"/>
        </w:rPr>
        <w:t xml:space="preserve"> </w:t>
      </w:r>
      <w:r w:rsidRPr="001E2F6E">
        <w:rPr>
          <w:rFonts w:ascii="Arial" w:hAnsi="Arial" w:cs="Arial"/>
          <w:lang w:val="eu-ES" w:eastAsia="es-ES"/>
        </w:rPr>
        <w:t>Hala ere, lan-sozietateetan 2006tik gertatzen ari zen joerak bere horretan jarraitu zuela adierazten dute datuek. Izan ere, azken sei urteetan, enplegu-galera handia gertatu zen lan-sozietateetan; hain zuzen, 2006an, 13.313 lanpostu zituzten lan-sozietateek, eta 2012an, ordea, 7.828 (</w:t>
      </w:r>
      <w:r w:rsidRPr="001E2F6E">
        <w:rPr>
          <w:rFonts w:ascii="Arial" w:hAnsi="Arial" w:cs="Arial"/>
          <w:spacing w:val="60"/>
          <w:lang w:val="eu-ES" w:eastAsia="es-ES"/>
        </w:rPr>
        <w:t>%</w:t>
      </w:r>
      <w:r w:rsidRPr="001E2F6E">
        <w:rPr>
          <w:rFonts w:ascii="Arial" w:hAnsi="Arial" w:cs="Arial"/>
          <w:lang w:val="eu-ES" w:eastAsia="es-ES"/>
        </w:rPr>
        <w:t xml:space="preserve">41,2ko beherakada). Kooperatiben sektoreak hobeto eutsi zion krisi ekonomikoari; 2006tik 2012ra bitartean, lanpostuen </w:t>
      </w:r>
      <w:r w:rsidRPr="001E2F6E">
        <w:rPr>
          <w:rFonts w:ascii="Arial" w:hAnsi="Arial" w:cs="Arial"/>
          <w:spacing w:val="60"/>
          <w:lang w:val="eu-ES" w:eastAsia="es-ES"/>
        </w:rPr>
        <w:t>%</w:t>
      </w:r>
      <w:r w:rsidRPr="001E2F6E">
        <w:rPr>
          <w:rFonts w:ascii="Arial" w:hAnsi="Arial" w:cs="Arial"/>
          <w:lang w:val="eu-ES" w:eastAsia="es-ES"/>
        </w:rPr>
        <w:t>4,4 baino ez zen galdu.</w:t>
      </w:r>
    </w:p>
    <w:p w:rsidR="004A72E7" w:rsidRPr="001E2F6E" w:rsidRDefault="004A72E7" w:rsidP="00781D09">
      <w:pPr>
        <w:pStyle w:val="Prrafodelista"/>
        <w:spacing w:after="0" w:line="360" w:lineRule="auto"/>
        <w:ind w:left="426" w:hanging="426"/>
        <w:rPr>
          <w:rFonts w:ascii="Arial" w:hAnsi="Arial" w:cs="Arial"/>
          <w:lang w:val="eu-ES" w:eastAsia="es-ES"/>
        </w:rPr>
      </w:pPr>
    </w:p>
    <w:p w:rsidR="004A72E7" w:rsidRPr="001E2F6E" w:rsidRDefault="004A72E7" w:rsidP="00781D09">
      <w:pPr>
        <w:pStyle w:val="Prrafodelista"/>
        <w:spacing w:after="0" w:line="360" w:lineRule="auto"/>
        <w:ind w:left="426" w:hanging="426"/>
        <w:rPr>
          <w:rFonts w:ascii="Arial" w:hAnsi="Arial" w:cs="Arial"/>
          <w:lang w:val="eu-ES" w:eastAsia="es-ES"/>
        </w:rPr>
      </w:pPr>
      <w:r w:rsidRPr="001E2F6E">
        <w:rPr>
          <w:rFonts w:ascii="Arial" w:hAnsi="Arial" w:cs="Arial"/>
          <w:lang w:val="eu-ES" w:eastAsia="es-ES"/>
        </w:rPr>
        <w:tab/>
        <w:t>Dena den, zehaztu beharra dago lan-sozietateek galdutako lanpostuen zati bat sozietate horietako batzuk Gizarte Ekonomiatik kanpoko merkataritza-sozietate bihurtzearen ondorioz galdu zela</w:t>
      </w:r>
      <w:r w:rsidRPr="001E2F6E">
        <w:rPr>
          <w:rStyle w:val="Refdenotaalpie"/>
          <w:rFonts w:ascii="Arial" w:hAnsi="Arial" w:cs="Arial"/>
          <w:lang w:val="eu-ES" w:eastAsia="es-ES"/>
        </w:rPr>
        <w:footnoteReference w:id="13"/>
      </w:r>
      <w:r w:rsidRPr="001E2F6E">
        <w:rPr>
          <w:rFonts w:ascii="Arial" w:hAnsi="Arial" w:cs="Arial"/>
          <w:lang w:val="eu-ES" w:eastAsia="es-ES"/>
        </w:rPr>
        <w:t>.</w:t>
      </w:r>
    </w:p>
    <w:p w:rsidR="004A72E7" w:rsidRPr="001E2F6E" w:rsidRDefault="004A72E7" w:rsidP="00781D09">
      <w:pPr>
        <w:pStyle w:val="Prrafodelista"/>
        <w:spacing w:after="0" w:line="360" w:lineRule="auto"/>
        <w:ind w:left="426" w:hanging="426"/>
        <w:rPr>
          <w:rFonts w:ascii="Arial" w:hAnsi="Arial" w:cs="Arial"/>
          <w:lang w:val="eu-ES" w:eastAsia="es-ES"/>
        </w:rPr>
      </w:pPr>
    </w:p>
    <w:p w:rsidR="004A72E7" w:rsidRPr="001E2F6E" w:rsidRDefault="004A72E7" w:rsidP="00781D09">
      <w:pPr>
        <w:pStyle w:val="Prrafodelista"/>
        <w:spacing w:after="0" w:line="360" w:lineRule="auto"/>
        <w:ind w:left="426" w:hanging="426"/>
        <w:rPr>
          <w:rFonts w:ascii="Arial" w:hAnsi="Arial" w:cs="Arial"/>
          <w:lang w:val="eu-ES" w:eastAsia="es-ES"/>
        </w:rPr>
      </w:pPr>
    </w:p>
    <w:p w:rsidR="004A72E7" w:rsidRPr="001E2F6E" w:rsidRDefault="004A72E7" w:rsidP="00022DE2">
      <w:pPr>
        <w:pStyle w:val="Ttulo2"/>
        <w:spacing w:line="360" w:lineRule="auto"/>
        <w:rPr>
          <w:lang w:val="eu-ES"/>
        </w:rPr>
      </w:pPr>
      <w:bookmarkStart w:id="9" w:name="_Toc392585659"/>
      <w:r w:rsidRPr="001E2F6E">
        <w:rPr>
          <w:lang w:val="eu-ES"/>
        </w:rPr>
        <w:t>Zailtasunak zailtasun, Gizarte Ekonomiaren kanpo-presentzia handitu egin zen</w:t>
      </w:r>
      <w:bookmarkEnd w:id="9"/>
    </w:p>
    <w:p w:rsidR="004A72E7" w:rsidRPr="001E2F6E" w:rsidRDefault="004A72E7" w:rsidP="00354E9D">
      <w:pPr>
        <w:ind w:left="227" w:hanging="227"/>
        <w:rPr>
          <w:lang w:val="eu-ES" w:eastAsia="es-ES"/>
        </w:rPr>
      </w:pPr>
    </w:p>
    <w:p w:rsidR="004A72E7" w:rsidRPr="001E2F6E" w:rsidRDefault="004A72E7" w:rsidP="001451B1">
      <w:pPr>
        <w:pStyle w:val="Prrafodelista"/>
        <w:numPr>
          <w:ilvl w:val="0"/>
          <w:numId w:val="2"/>
        </w:numPr>
        <w:spacing w:after="0" w:line="360" w:lineRule="auto"/>
        <w:ind w:left="426" w:hanging="426"/>
        <w:rPr>
          <w:rFonts w:ascii="Arial" w:hAnsi="Arial" w:cs="Arial"/>
          <w:b/>
          <w:bCs/>
          <w:color w:val="000000"/>
          <w:lang w:val="eu-ES" w:eastAsia="es-ES"/>
        </w:rPr>
      </w:pPr>
      <w:r w:rsidRPr="001E2F6E">
        <w:rPr>
          <w:rFonts w:ascii="Arial" w:hAnsi="Arial" w:cs="Arial"/>
          <w:b/>
          <w:bCs/>
          <w:color w:val="000000"/>
          <w:lang w:val="eu-ES" w:eastAsia="es-ES"/>
        </w:rPr>
        <w:tab/>
      </w:r>
      <w:r w:rsidRPr="001E2F6E">
        <w:rPr>
          <w:rFonts w:ascii="Arial" w:hAnsi="Arial" w:cs="Arial"/>
          <w:b/>
          <w:bCs/>
          <w:lang w:val="eu-ES" w:eastAsia="es-ES"/>
        </w:rPr>
        <w:t>Gizarte Ekonomiaren kanporako irekiera erlatiboaren maila handitu egin zen</w:t>
      </w:r>
    </w:p>
    <w:p w:rsidR="004A72E7" w:rsidRPr="001E2F6E" w:rsidRDefault="004A72E7" w:rsidP="00781D09">
      <w:pPr>
        <w:pStyle w:val="Prrafodelista"/>
        <w:spacing w:after="0" w:line="360" w:lineRule="auto"/>
        <w:ind w:left="426" w:hanging="426"/>
        <w:rPr>
          <w:rFonts w:ascii="Arial" w:hAnsi="Arial" w:cs="Arial"/>
          <w:color w:val="000000"/>
          <w:lang w:val="eu-ES"/>
        </w:rPr>
      </w:pPr>
    </w:p>
    <w:p w:rsidR="004A72E7" w:rsidRPr="001E2F6E" w:rsidRDefault="004A72E7" w:rsidP="00781D09">
      <w:pPr>
        <w:pStyle w:val="Prrafodelista"/>
        <w:spacing w:after="0" w:line="360" w:lineRule="auto"/>
        <w:ind w:left="426" w:hanging="426"/>
        <w:rPr>
          <w:rFonts w:ascii="Arial" w:hAnsi="Arial" w:cs="Arial"/>
          <w:lang w:val="eu-ES"/>
        </w:rPr>
      </w:pPr>
      <w:r w:rsidRPr="001E2F6E">
        <w:rPr>
          <w:rFonts w:ascii="Arial" w:hAnsi="Arial" w:cs="Arial"/>
          <w:lang w:val="eu-ES"/>
        </w:rPr>
        <w:tab/>
        <w:t xml:space="preserve">Enpleguaren eta fakturazioaren bilakaera negatiboa gorabehera, 2010etik 2012ra bitartean, kooperatibek eta lan-sozietateek osatutako ekoizpen-sareak kanpora irteteko joera handia izan zuen, esportazioen bilakaera positiboak adierazten duenez. 2012. ekitaldian, Euskadiko Gizarte Ekonomiaren esportazio-bolumena </w:t>
      </w:r>
      <w:r w:rsidRPr="001E2F6E">
        <w:rPr>
          <w:rFonts w:ascii="Arial" w:hAnsi="Arial" w:cs="Arial"/>
          <w:spacing w:val="60"/>
          <w:lang w:val="eu-ES"/>
        </w:rPr>
        <w:t>%</w:t>
      </w:r>
      <w:r w:rsidRPr="001E2F6E">
        <w:rPr>
          <w:rFonts w:ascii="Arial" w:hAnsi="Arial" w:cs="Arial"/>
          <w:lang w:val="eu-ES"/>
        </w:rPr>
        <w:t>32,3koa izan zen fakturazioarekiko; hain zuzen, portzentajezko sei puntu handiagoa izan zen 2010ekoa baino (</w:t>
      </w:r>
      <w:r w:rsidRPr="001E2F6E">
        <w:rPr>
          <w:rFonts w:ascii="Arial" w:hAnsi="Arial" w:cs="Arial"/>
          <w:spacing w:val="60"/>
          <w:lang w:val="eu-ES"/>
        </w:rPr>
        <w:t>%</w:t>
      </w:r>
      <w:r w:rsidRPr="001E2F6E">
        <w:rPr>
          <w:rFonts w:ascii="Arial" w:hAnsi="Arial" w:cs="Arial"/>
          <w:lang w:val="eu-ES"/>
        </w:rPr>
        <w:t>26,3).</w:t>
      </w:r>
    </w:p>
    <w:p w:rsidR="004A72E7" w:rsidRPr="001E2F6E" w:rsidRDefault="004A72E7">
      <w:pPr>
        <w:spacing w:after="200" w:line="276" w:lineRule="auto"/>
        <w:jc w:val="left"/>
        <w:rPr>
          <w:color w:val="000000"/>
          <w:lang w:val="eu-ES"/>
        </w:rPr>
      </w:pPr>
      <w:r w:rsidRPr="001E2F6E">
        <w:rPr>
          <w:color w:val="000000"/>
          <w:lang w:val="eu-ES"/>
        </w:rPr>
        <w:br w:type="page"/>
      </w:r>
    </w:p>
    <w:p w:rsidR="004A72E7" w:rsidRPr="001E2F6E" w:rsidRDefault="004A72E7" w:rsidP="00781D09">
      <w:pPr>
        <w:pStyle w:val="Prrafodelista"/>
        <w:spacing w:after="0" w:line="360" w:lineRule="auto"/>
        <w:ind w:left="426" w:hanging="426"/>
        <w:rPr>
          <w:rFonts w:ascii="Arial" w:hAnsi="Arial" w:cs="Arial"/>
          <w:color w:val="000000"/>
        </w:rPr>
      </w:pPr>
      <w:r w:rsidRPr="001E2F6E">
        <w:rPr>
          <w:rFonts w:ascii="Arial" w:hAnsi="Arial" w:cs="Arial"/>
          <w:color w:val="000000"/>
          <w:lang w:val="eu-ES"/>
        </w:rPr>
        <w:lastRenderedPageBreak/>
        <w:tab/>
      </w:r>
      <w:r w:rsidRPr="001E2F6E">
        <w:rPr>
          <w:rFonts w:ascii="Arial" w:hAnsi="Arial" w:cs="Arial"/>
          <w:lang w:val="eu-ES"/>
        </w:rPr>
        <w:t xml:space="preserve">Kanpoko merkatuei dagokien fakturazioaren ehunekoa ere handitu zen kanpoko merkatuetan presentzia eraginkorra zuten enpresen kasuan: 2010ean </w:t>
      </w:r>
      <w:r w:rsidRPr="001E2F6E">
        <w:rPr>
          <w:rFonts w:ascii="Arial" w:hAnsi="Arial" w:cs="Arial"/>
          <w:spacing w:val="60"/>
          <w:lang w:val="eu-ES"/>
        </w:rPr>
        <w:t>%</w:t>
      </w:r>
      <w:r w:rsidRPr="001E2F6E">
        <w:rPr>
          <w:rFonts w:ascii="Arial" w:hAnsi="Arial" w:cs="Arial"/>
          <w:lang w:val="eu-ES"/>
        </w:rPr>
        <w:t xml:space="preserve">54,1ekoa izan zen, eta 2012an, berriz, </w:t>
      </w:r>
      <w:r w:rsidRPr="001E2F6E">
        <w:rPr>
          <w:rFonts w:ascii="Arial" w:hAnsi="Arial" w:cs="Arial"/>
          <w:spacing w:val="60"/>
          <w:lang w:val="eu-ES"/>
        </w:rPr>
        <w:t>%</w:t>
      </w:r>
      <w:r w:rsidRPr="001E2F6E">
        <w:rPr>
          <w:rFonts w:ascii="Arial" w:hAnsi="Arial" w:cs="Arial"/>
          <w:lang w:val="eu-ES"/>
        </w:rPr>
        <w:t>59,7koa.</w:t>
      </w:r>
      <w:r w:rsidRPr="001E2F6E">
        <w:rPr>
          <w:rFonts w:ascii="Arial" w:hAnsi="Arial" w:cs="Arial"/>
          <w:color w:val="000000"/>
          <w:lang w:val="eu-ES"/>
        </w:rPr>
        <w:t xml:space="preserve"> </w:t>
      </w:r>
      <w:r w:rsidRPr="001E2F6E">
        <w:rPr>
          <w:rFonts w:ascii="Arial" w:hAnsi="Arial" w:cs="Arial"/>
          <w:color w:val="000000"/>
        </w:rPr>
        <w:t>En las empresas exportadoras, se profundiza por tanto en la orientación dominante de la actividad hacia los mercados exteriores.</w:t>
      </w:r>
    </w:p>
    <w:p w:rsidR="004A72E7" w:rsidRPr="001E2F6E" w:rsidRDefault="004A72E7" w:rsidP="00354E9D">
      <w:pPr>
        <w:ind w:left="227" w:hanging="227"/>
      </w:pPr>
    </w:p>
    <w:p w:rsidR="004A72E7" w:rsidRPr="001E2F6E" w:rsidRDefault="004A72E7" w:rsidP="00781D09">
      <w:pPr>
        <w:pStyle w:val="Textoindependiente"/>
        <w:ind w:left="227" w:hanging="227"/>
        <w:jc w:val="center"/>
        <w:rPr>
          <w:rFonts w:ascii="Arial" w:hAnsi="Arial" w:cs="Arial"/>
          <w:b/>
          <w:bCs/>
          <w:color w:val="1F497D" w:themeColor="text2"/>
          <w:sz w:val="18"/>
          <w:szCs w:val="18"/>
          <w:lang w:val="es-ES_tradnl"/>
        </w:rPr>
      </w:pPr>
      <w:r w:rsidRPr="001E2F6E">
        <w:rPr>
          <w:rFonts w:ascii="Arial" w:hAnsi="Arial" w:cs="Arial"/>
          <w:b/>
          <w:bCs/>
          <w:color w:val="1F497D" w:themeColor="text2"/>
          <w:sz w:val="18"/>
          <w:szCs w:val="18"/>
          <w:lang w:val="eu-ES"/>
        </w:rPr>
        <w:t>GIZARTE EKONOMIAREN KANPO-MERKATUETARAKO IREKIERA-MAILAREN BILAKAERA (esportazio-bolumena guztizko fakturazioarekiko),</w:t>
      </w:r>
      <w:r w:rsidRPr="001E2F6E">
        <w:rPr>
          <w:rFonts w:ascii="Arial" w:hAnsi="Arial" w:cs="Arial"/>
          <w:b/>
          <w:bCs/>
          <w:color w:val="1F497D" w:themeColor="text2"/>
          <w:sz w:val="18"/>
          <w:szCs w:val="18"/>
          <w:lang w:val="es-ES_tradnl"/>
        </w:rPr>
        <w:t xml:space="preserve"> 1994-2012</w:t>
      </w:r>
    </w:p>
    <w:p w:rsidR="004A72E7" w:rsidRPr="001E2F6E" w:rsidRDefault="001451B1" w:rsidP="00354E9D">
      <w:pPr>
        <w:pStyle w:val="Textoindependiente"/>
        <w:spacing w:line="360" w:lineRule="auto"/>
        <w:ind w:left="227" w:hanging="227"/>
        <w:rPr>
          <w:rFonts w:ascii="Arial" w:hAnsi="Arial" w:cs="Arial"/>
          <w:b/>
          <w:bCs/>
          <w:i/>
          <w:iCs/>
          <w:sz w:val="16"/>
          <w:szCs w:val="16"/>
          <w:lang w:val="es-ES_tradnl"/>
        </w:rPr>
      </w:pPr>
      <w:r w:rsidRPr="001E2F6E">
        <w:rPr>
          <w:noProof/>
        </w:rPr>
        <w:drawing>
          <wp:anchor distT="121920" distB="188976" distL="120396" distR="269351" simplePos="0" relativeHeight="251646976" behindDoc="0" locked="0" layoutInCell="1" allowOverlap="1">
            <wp:simplePos x="0" y="0"/>
            <wp:positionH relativeFrom="column">
              <wp:posOffset>43815</wp:posOffset>
            </wp:positionH>
            <wp:positionV relativeFrom="paragraph">
              <wp:posOffset>179705</wp:posOffset>
            </wp:positionV>
            <wp:extent cx="5194935" cy="1515110"/>
            <wp:effectExtent l="19050" t="0" r="0" b="0"/>
            <wp:wrapNone/>
            <wp:docPr id="1" name="Objeto 2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anchor>
        </w:drawing>
      </w:r>
    </w:p>
    <w:p w:rsidR="004A72E7" w:rsidRPr="001E2F6E" w:rsidRDefault="004A72E7" w:rsidP="00354E9D">
      <w:pPr>
        <w:pStyle w:val="Textoindependiente"/>
        <w:spacing w:line="360" w:lineRule="auto"/>
        <w:ind w:left="227" w:hanging="227"/>
        <w:rPr>
          <w:rFonts w:ascii="Arial" w:hAnsi="Arial" w:cs="Arial"/>
          <w:b/>
          <w:bCs/>
          <w:i/>
          <w:iCs/>
          <w:sz w:val="16"/>
          <w:szCs w:val="16"/>
          <w:lang w:val="es-ES_tradnl"/>
        </w:rPr>
      </w:pPr>
    </w:p>
    <w:p w:rsidR="004A72E7" w:rsidRPr="001E2F6E" w:rsidRDefault="004A72E7" w:rsidP="00354E9D">
      <w:pPr>
        <w:pStyle w:val="Textoindependiente"/>
        <w:spacing w:line="360" w:lineRule="auto"/>
        <w:ind w:left="227" w:hanging="227"/>
        <w:rPr>
          <w:rFonts w:ascii="Arial" w:hAnsi="Arial" w:cs="Arial"/>
          <w:b/>
          <w:bCs/>
          <w:i/>
          <w:iCs/>
          <w:sz w:val="16"/>
          <w:szCs w:val="16"/>
          <w:lang w:val="es-ES_tradnl"/>
        </w:rPr>
      </w:pPr>
    </w:p>
    <w:p w:rsidR="004A72E7" w:rsidRPr="001E2F6E" w:rsidRDefault="004A72E7" w:rsidP="00354E9D">
      <w:pPr>
        <w:pStyle w:val="Textoindependiente"/>
        <w:spacing w:line="360" w:lineRule="auto"/>
        <w:ind w:left="227" w:hanging="227"/>
        <w:rPr>
          <w:rFonts w:ascii="Arial" w:hAnsi="Arial" w:cs="Arial"/>
          <w:b/>
          <w:bCs/>
          <w:i/>
          <w:iCs/>
          <w:sz w:val="16"/>
          <w:szCs w:val="16"/>
          <w:lang w:val="es-ES_tradnl"/>
        </w:rPr>
      </w:pPr>
    </w:p>
    <w:p w:rsidR="004A72E7" w:rsidRPr="001E2F6E" w:rsidRDefault="004A72E7" w:rsidP="00354E9D">
      <w:pPr>
        <w:pStyle w:val="Textoindependiente"/>
        <w:spacing w:line="360" w:lineRule="auto"/>
        <w:ind w:left="227" w:hanging="227"/>
        <w:rPr>
          <w:rFonts w:ascii="Arial" w:hAnsi="Arial" w:cs="Arial"/>
          <w:b/>
          <w:bCs/>
          <w:i/>
          <w:iCs/>
          <w:sz w:val="16"/>
          <w:szCs w:val="16"/>
          <w:lang w:val="es-ES_tradnl"/>
        </w:rPr>
      </w:pPr>
    </w:p>
    <w:p w:rsidR="004A72E7" w:rsidRPr="001E2F6E" w:rsidRDefault="004A72E7" w:rsidP="00354E9D">
      <w:pPr>
        <w:pStyle w:val="Textoindependiente"/>
        <w:spacing w:line="360" w:lineRule="auto"/>
        <w:ind w:left="227" w:hanging="227"/>
        <w:rPr>
          <w:rFonts w:ascii="Arial" w:hAnsi="Arial" w:cs="Arial"/>
          <w:b/>
          <w:bCs/>
          <w:i/>
          <w:iCs/>
          <w:sz w:val="16"/>
          <w:szCs w:val="16"/>
          <w:lang w:val="es-ES_tradnl"/>
        </w:rPr>
      </w:pPr>
    </w:p>
    <w:p w:rsidR="004A72E7" w:rsidRPr="001E2F6E" w:rsidRDefault="004A72E7" w:rsidP="00354E9D">
      <w:pPr>
        <w:pStyle w:val="Textoindependiente"/>
        <w:spacing w:line="360" w:lineRule="auto"/>
        <w:ind w:left="227" w:hanging="227"/>
        <w:rPr>
          <w:rFonts w:ascii="Arial" w:hAnsi="Arial" w:cs="Arial"/>
          <w:b/>
          <w:bCs/>
          <w:i/>
          <w:iCs/>
          <w:sz w:val="16"/>
          <w:szCs w:val="16"/>
          <w:lang w:val="es-ES_tradnl"/>
        </w:rPr>
      </w:pPr>
    </w:p>
    <w:p w:rsidR="004A72E7" w:rsidRPr="001E2F6E" w:rsidRDefault="004A72E7" w:rsidP="00354E9D">
      <w:pPr>
        <w:ind w:left="227" w:hanging="227"/>
      </w:pPr>
    </w:p>
    <w:p w:rsidR="004A72E7" w:rsidRPr="001E2F6E" w:rsidRDefault="004A72E7" w:rsidP="00354E9D">
      <w:pPr>
        <w:ind w:left="227" w:hanging="227"/>
      </w:pPr>
    </w:p>
    <w:p w:rsidR="004A72E7" w:rsidRPr="001E2F6E" w:rsidRDefault="004A72E7" w:rsidP="00354E9D">
      <w:pPr>
        <w:ind w:left="227" w:hanging="227"/>
      </w:pPr>
    </w:p>
    <w:p w:rsidR="004A72E7" w:rsidRPr="001E2F6E" w:rsidRDefault="004A72E7">
      <w:pPr>
        <w:spacing w:after="200" w:line="276" w:lineRule="auto"/>
        <w:jc w:val="left"/>
        <w:rPr>
          <w:b/>
          <w:bCs/>
          <w:color w:val="1F497D"/>
          <w:sz w:val="18"/>
          <w:szCs w:val="18"/>
          <w:lang w:val="es-ES_tradnl" w:eastAsia="es-ES"/>
        </w:rPr>
      </w:pPr>
    </w:p>
    <w:p w:rsidR="004A72E7" w:rsidRPr="001E2F6E" w:rsidRDefault="004A72E7" w:rsidP="00781D09">
      <w:pPr>
        <w:spacing w:line="240" w:lineRule="auto"/>
        <w:ind w:left="227" w:hanging="227"/>
        <w:jc w:val="center"/>
        <w:rPr>
          <w:b/>
          <w:bCs/>
          <w:color w:val="1F497D" w:themeColor="text2"/>
          <w:sz w:val="18"/>
          <w:szCs w:val="18"/>
          <w:lang w:val="es-ES_tradnl" w:eastAsia="es-ES"/>
        </w:rPr>
      </w:pPr>
      <w:r w:rsidRPr="001E2F6E">
        <w:rPr>
          <w:b/>
          <w:bCs/>
          <w:color w:val="1F497D" w:themeColor="text2"/>
          <w:sz w:val="18"/>
          <w:szCs w:val="18"/>
          <w:lang w:val="eu-ES" w:eastAsia="es-ES"/>
        </w:rPr>
        <w:t>ENPRESA ESPORTATZAILEEN KANPO-MERKATUETARAKO IREKIERA-MAILAREN BILAKAERA (esportazio-bolumena guztizko fakturazioarekiko), 2004-2012</w:t>
      </w:r>
    </w:p>
    <w:p w:rsidR="004A72E7" w:rsidRPr="001E2F6E" w:rsidRDefault="001451B1" w:rsidP="00354E9D">
      <w:pPr>
        <w:ind w:left="227" w:hanging="227"/>
        <w:rPr>
          <w:lang w:val="es-ES_tradnl"/>
        </w:rPr>
      </w:pPr>
      <w:r w:rsidRPr="001E2F6E">
        <w:rPr>
          <w:noProof/>
          <w:lang w:eastAsia="es-ES"/>
        </w:rPr>
        <w:drawing>
          <wp:anchor distT="42672" distB="92500" distL="120396" distR="577066" simplePos="0" relativeHeight="251648000" behindDoc="0" locked="0" layoutInCell="1" allowOverlap="1">
            <wp:simplePos x="0" y="0"/>
            <wp:positionH relativeFrom="column">
              <wp:posOffset>359410</wp:posOffset>
            </wp:positionH>
            <wp:positionV relativeFrom="paragraph">
              <wp:posOffset>67310</wp:posOffset>
            </wp:positionV>
            <wp:extent cx="4876800" cy="1295400"/>
            <wp:effectExtent l="0" t="0" r="0" b="0"/>
            <wp:wrapNone/>
            <wp:docPr id="27" name="Objeto 2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anchor>
        </w:drawing>
      </w:r>
    </w:p>
    <w:p w:rsidR="004A72E7" w:rsidRPr="001E2F6E" w:rsidRDefault="004A72E7" w:rsidP="00354E9D">
      <w:pPr>
        <w:ind w:left="227" w:hanging="227"/>
        <w:rPr>
          <w:lang w:val="es-ES_tradnl"/>
        </w:rPr>
      </w:pPr>
    </w:p>
    <w:p w:rsidR="004A72E7" w:rsidRPr="001E2F6E" w:rsidRDefault="004A72E7" w:rsidP="00354E9D">
      <w:pPr>
        <w:ind w:left="227" w:hanging="227"/>
        <w:rPr>
          <w:lang w:val="es-ES_tradnl"/>
        </w:rPr>
      </w:pPr>
    </w:p>
    <w:p w:rsidR="004A72E7" w:rsidRPr="001E2F6E" w:rsidRDefault="004A72E7" w:rsidP="00354E9D">
      <w:pPr>
        <w:ind w:left="227" w:hanging="227"/>
        <w:rPr>
          <w:lang w:val="es-ES_tradnl"/>
        </w:rPr>
      </w:pPr>
    </w:p>
    <w:p w:rsidR="004A72E7" w:rsidRPr="001E2F6E" w:rsidRDefault="004A72E7" w:rsidP="00354E9D">
      <w:pPr>
        <w:ind w:left="227" w:hanging="227"/>
        <w:rPr>
          <w:lang w:val="es-ES_tradnl"/>
        </w:rPr>
      </w:pPr>
    </w:p>
    <w:p w:rsidR="004A72E7" w:rsidRPr="001E2F6E" w:rsidRDefault="004A72E7" w:rsidP="00354E9D">
      <w:pPr>
        <w:ind w:left="227" w:hanging="227"/>
        <w:rPr>
          <w:lang w:val="es-ES_tradnl"/>
        </w:rPr>
      </w:pPr>
    </w:p>
    <w:p w:rsidR="004A72E7" w:rsidRPr="001E2F6E" w:rsidRDefault="004A72E7" w:rsidP="00354E9D">
      <w:pPr>
        <w:pStyle w:val="Prrafodelista"/>
        <w:spacing w:after="0" w:line="360" w:lineRule="auto"/>
        <w:ind w:left="227" w:hanging="227"/>
        <w:rPr>
          <w:rFonts w:ascii="Arial" w:hAnsi="Arial" w:cs="Arial"/>
        </w:rPr>
      </w:pPr>
    </w:p>
    <w:p w:rsidR="004A72E7" w:rsidRPr="001E2F6E" w:rsidRDefault="004A72E7" w:rsidP="00354E9D">
      <w:pPr>
        <w:pStyle w:val="Prrafodelista"/>
        <w:spacing w:after="0" w:line="360" w:lineRule="auto"/>
        <w:ind w:left="227" w:hanging="227"/>
        <w:rPr>
          <w:rFonts w:ascii="Arial" w:hAnsi="Arial" w:cs="Arial"/>
        </w:rPr>
      </w:pPr>
    </w:p>
    <w:p w:rsidR="004A72E7" w:rsidRPr="001E2F6E" w:rsidRDefault="004A72E7" w:rsidP="001451B1">
      <w:pPr>
        <w:pStyle w:val="Prrafodelista"/>
        <w:numPr>
          <w:ilvl w:val="0"/>
          <w:numId w:val="2"/>
        </w:numPr>
        <w:spacing w:after="0" w:line="360" w:lineRule="auto"/>
        <w:ind w:left="426" w:hanging="426"/>
        <w:rPr>
          <w:rFonts w:ascii="Arial" w:hAnsi="Arial" w:cs="Arial"/>
        </w:rPr>
      </w:pPr>
      <w:r w:rsidRPr="001E2F6E">
        <w:rPr>
          <w:rFonts w:ascii="Arial" w:hAnsi="Arial" w:cs="Arial"/>
          <w:b/>
          <w:bCs/>
          <w:color w:val="000000"/>
          <w:lang w:eastAsia="es-ES"/>
        </w:rPr>
        <w:tab/>
      </w:r>
      <w:r w:rsidRPr="001E2F6E">
        <w:rPr>
          <w:rFonts w:ascii="Arial" w:hAnsi="Arial" w:cs="Arial"/>
          <w:b/>
          <w:bCs/>
          <w:lang w:val="eu-ES" w:eastAsia="es-ES"/>
        </w:rPr>
        <w:t>Kanporako irekiera handiagoaren ondorioz, esportazioen susperraldi absolutua gertatu zen, baina Europar Batasuneko salmenta-maila txikiagoa zen 2008an baino</w:t>
      </w:r>
    </w:p>
    <w:p w:rsidR="004A72E7" w:rsidRPr="001E2F6E" w:rsidRDefault="004A72E7" w:rsidP="00781D09">
      <w:pPr>
        <w:pStyle w:val="Prrafodelista"/>
        <w:spacing w:after="0" w:line="360" w:lineRule="auto"/>
        <w:ind w:left="426" w:hanging="426"/>
        <w:rPr>
          <w:rFonts w:ascii="Arial" w:hAnsi="Arial" w:cs="Arial"/>
          <w:b/>
          <w:bCs/>
          <w:lang w:eastAsia="es-ES"/>
        </w:rPr>
      </w:pPr>
    </w:p>
    <w:p w:rsidR="004A72E7" w:rsidRPr="001E2F6E" w:rsidRDefault="004A72E7" w:rsidP="00781D09">
      <w:pPr>
        <w:pStyle w:val="Prrafodelista"/>
        <w:spacing w:after="0" w:line="360" w:lineRule="auto"/>
        <w:ind w:left="426" w:hanging="426"/>
        <w:rPr>
          <w:rFonts w:ascii="Arial" w:hAnsi="Arial" w:cs="Arial"/>
          <w:color w:val="000000"/>
          <w:lang w:val="es-ES_tradnl"/>
        </w:rPr>
      </w:pPr>
      <w:r w:rsidRPr="001E2F6E">
        <w:rPr>
          <w:rFonts w:ascii="Arial" w:hAnsi="Arial" w:cs="Arial"/>
          <w:color w:val="000000"/>
          <w:lang w:val="es-ES_tradnl"/>
        </w:rPr>
        <w:tab/>
      </w:r>
      <w:r w:rsidRPr="001E2F6E">
        <w:rPr>
          <w:rFonts w:ascii="Arial" w:hAnsi="Arial" w:cs="Arial"/>
          <w:lang w:val="eu-ES"/>
        </w:rPr>
        <w:t>2008tik 2010era, bitartean, Gizarte Ekonomiak kanporako irekiera handia izan zen, baina, beren-beregi, enpresek barne-merkatuetan zuten fakturazioak beherakada erlatibo handiagoa izan zutelako.</w:t>
      </w:r>
      <w:r w:rsidRPr="001E2F6E">
        <w:rPr>
          <w:rFonts w:ascii="Arial" w:hAnsi="Arial" w:cs="Arial"/>
          <w:color w:val="000000"/>
          <w:lang w:val="es-ES_tradnl"/>
        </w:rPr>
        <w:t xml:space="preserve"> </w:t>
      </w:r>
      <w:r w:rsidRPr="001E2F6E">
        <w:rPr>
          <w:rFonts w:ascii="Arial" w:hAnsi="Arial" w:cs="Arial"/>
          <w:lang w:val="eu-ES"/>
        </w:rPr>
        <w:t xml:space="preserve">Dinamika negatibo hori enpresa esportatzaileek kanpo-merkatuetan egiten zuten salmentetara ere hedatu zen; hain zuzen, enpresa horien esportazioak </w:t>
      </w:r>
      <w:r w:rsidRPr="001E2F6E">
        <w:rPr>
          <w:rFonts w:ascii="Arial" w:hAnsi="Arial" w:cs="Arial"/>
          <w:spacing w:val="60"/>
          <w:lang w:val="eu-ES"/>
        </w:rPr>
        <w:t>%</w:t>
      </w:r>
      <w:r w:rsidRPr="001E2F6E">
        <w:rPr>
          <w:rFonts w:ascii="Arial" w:hAnsi="Arial" w:cs="Arial"/>
          <w:lang w:val="eu-ES"/>
        </w:rPr>
        <w:t>7,2 jaitsi ziren.</w:t>
      </w:r>
    </w:p>
    <w:p w:rsidR="004A72E7" w:rsidRPr="001E2F6E" w:rsidRDefault="004A72E7" w:rsidP="00781D09">
      <w:pPr>
        <w:pStyle w:val="Prrafodelista"/>
        <w:spacing w:after="0" w:line="360" w:lineRule="auto"/>
        <w:ind w:left="426" w:hanging="426"/>
        <w:rPr>
          <w:rFonts w:ascii="Arial" w:hAnsi="Arial" w:cs="Arial"/>
          <w:color w:val="000000"/>
          <w:lang w:val="es-ES_tradnl"/>
        </w:rPr>
      </w:pPr>
    </w:p>
    <w:p w:rsidR="004A72E7" w:rsidRPr="001E2F6E" w:rsidRDefault="004A72E7" w:rsidP="00781D09">
      <w:pPr>
        <w:ind w:left="426" w:hanging="426"/>
        <w:rPr>
          <w:lang w:val="es-ES_tradnl"/>
        </w:rPr>
      </w:pPr>
      <w:r w:rsidRPr="001E2F6E">
        <w:rPr>
          <w:color w:val="000000"/>
          <w:lang w:val="es-ES_tradnl"/>
        </w:rPr>
        <w:tab/>
      </w:r>
      <w:r w:rsidRPr="001E2F6E">
        <w:rPr>
          <w:lang w:val="eu-ES"/>
        </w:rPr>
        <w:t xml:space="preserve">2010etik 2012ra bitartean, berriz, nahiz eta barne-merkatuetako fakturazioaren beherakadak bere horretan jarraitu, enpresa esportatzaileek </w:t>
      </w:r>
      <w:r w:rsidRPr="001E2F6E">
        <w:rPr>
          <w:spacing w:val="60"/>
          <w:lang w:val="eu-ES"/>
        </w:rPr>
        <w:t>%</w:t>
      </w:r>
      <w:r w:rsidRPr="001E2F6E">
        <w:rPr>
          <w:lang w:val="eu-ES"/>
        </w:rPr>
        <w:t>18,8 gehiago saldu zuten kanpo-merkatuetan.</w:t>
      </w:r>
      <w:r w:rsidRPr="001E2F6E">
        <w:rPr>
          <w:color w:val="000000"/>
          <w:lang w:val="es-ES_tradnl"/>
        </w:rPr>
        <w:t xml:space="preserve"> </w:t>
      </w:r>
      <w:r w:rsidRPr="001E2F6E">
        <w:rPr>
          <w:lang w:val="eu-ES"/>
        </w:rPr>
        <w:t>2012an, enpresa horien esportazio-bolumen absolutua 2.673,3 milioi eurokoa izan zen, 2008koa baino handiagoa (2.425.6 milioi euro).</w:t>
      </w:r>
    </w:p>
    <w:p w:rsidR="004A72E7" w:rsidRPr="001E2F6E" w:rsidRDefault="004A72E7" w:rsidP="00354E9D">
      <w:pPr>
        <w:pStyle w:val="Prrafodelista"/>
        <w:spacing w:after="0" w:line="360" w:lineRule="auto"/>
        <w:ind w:left="227" w:hanging="227"/>
        <w:rPr>
          <w:rFonts w:ascii="Arial" w:hAnsi="Arial" w:cs="Arial"/>
          <w:lang w:val="es-ES_tradnl"/>
        </w:rPr>
      </w:pPr>
    </w:p>
    <w:p w:rsidR="004A72E7" w:rsidRPr="001E2F6E" w:rsidRDefault="004A72E7" w:rsidP="00354E9D">
      <w:pPr>
        <w:pStyle w:val="Prrafodelista"/>
        <w:spacing w:after="0" w:line="360" w:lineRule="auto"/>
        <w:ind w:left="227" w:hanging="227"/>
        <w:rPr>
          <w:rFonts w:ascii="Arial" w:hAnsi="Arial" w:cs="Arial"/>
          <w:lang w:val="es-ES_tradnl"/>
        </w:rPr>
      </w:pPr>
    </w:p>
    <w:p w:rsidR="004A72E7" w:rsidRPr="001E2F6E" w:rsidRDefault="004A72E7" w:rsidP="00354E9D">
      <w:pPr>
        <w:pStyle w:val="Textoindependiente"/>
        <w:spacing w:line="360" w:lineRule="auto"/>
        <w:ind w:left="227" w:hanging="227"/>
        <w:jc w:val="center"/>
        <w:rPr>
          <w:rFonts w:cs="Arial"/>
          <w:color w:val="1F497D" w:themeColor="text2"/>
        </w:rPr>
      </w:pPr>
      <w:r w:rsidRPr="001E2F6E">
        <w:rPr>
          <w:rFonts w:ascii="Arial" w:hAnsi="Arial" w:cs="Arial"/>
          <w:b/>
          <w:bCs/>
          <w:color w:val="1F497D" w:themeColor="text2"/>
          <w:sz w:val="18"/>
          <w:szCs w:val="18"/>
          <w:lang w:val="eu-ES"/>
        </w:rPr>
        <w:lastRenderedPageBreak/>
        <w:t>BARNE-SALMENTEN ETA KANPO-SALMENTEN BILAKAERA, 2010-2012</w:t>
      </w:r>
    </w:p>
    <w:tbl>
      <w:tblPr>
        <w:tblW w:w="0" w:type="auto"/>
        <w:jc w:val="center"/>
        <w:tblInd w:w="-328" w:type="dxa"/>
        <w:tblCellMar>
          <w:left w:w="70" w:type="dxa"/>
          <w:right w:w="70" w:type="dxa"/>
        </w:tblCellMar>
        <w:tblLook w:val="00A0" w:firstRow="1" w:lastRow="0" w:firstColumn="1" w:lastColumn="0" w:noHBand="0" w:noVBand="0"/>
      </w:tblPr>
      <w:tblGrid>
        <w:gridCol w:w="3598"/>
        <w:gridCol w:w="1417"/>
        <w:gridCol w:w="1417"/>
        <w:gridCol w:w="1122"/>
        <w:gridCol w:w="1610"/>
      </w:tblGrid>
      <w:tr w:rsidR="004A72E7" w:rsidRPr="001E2F6E" w:rsidTr="00396118">
        <w:trPr>
          <w:jc w:val="center"/>
        </w:trPr>
        <w:tc>
          <w:tcPr>
            <w:tcW w:w="3598" w:type="dxa"/>
            <w:tcBorders>
              <w:top w:val="single" w:sz="8" w:space="0" w:color="BFBFBF"/>
              <w:left w:val="nil"/>
              <w:bottom w:val="single" w:sz="8" w:space="0" w:color="BFBFBF"/>
              <w:right w:val="single" w:sz="8" w:space="0" w:color="BFBFBF"/>
            </w:tcBorders>
            <w:shd w:val="clear" w:color="000000" w:fill="DBE5F1"/>
          </w:tcPr>
          <w:p w:rsidR="004A72E7" w:rsidRPr="001E2F6E" w:rsidRDefault="004A72E7" w:rsidP="00781D09">
            <w:pPr>
              <w:spacing w:line="240" w:lineRule="exact"/>
              <w:ind w:left="227" w:hanging="227"/>
              <w:rPr>
                <w:color w:val="000000"/>
                <w:lang w:eastAsia="es-ES"/>
              </w:rPr>
            </w:pPr>
            <w:r w:rsidRPr="001E2F6E">
              <w:rPr>
                <w:color w:val="000000"/>
                <w:lang w:eastAsia="es-ES"/>
              </w:rPr>
              <w:t> </w:t>
            </w:r>
          </w:p>
        </w:tc>
        <w:tc>
          <w:tcPr>
            <w:tcW w:w="1417" w:type="dxa"/>
            <w:tcBorders>
              <w:top w:val="single" w:sz="8" w:space="0" w:color="BFBFBF"/>
              <w:left w:val="nil"/>
              <w:bottom w:val="single" w:sz="8" w:space="0" w:color="BFBFBF"/>
              <w:right w:val="single" w:sz="8" w:space="0" w:color="BFBFBF"/>
            </w:tcBorders>
            <w:shd w:val="clear" w:color="000000" w:fill="DBE5F1"/>
            <w:vAlign w:val="center"/>
          </w:tcPr>
          <w:p w:rsidR="004A72E7" w:rsidRPr="001E2F6E" w:rsidRDefault="004A72E7" w:rsidP="00396118">
            <w:pPr>
              <w:spacing w:line="240" w:lineRule="exact"/>
              <w:ind w:left="227" w:hanging="227"/>
              <w:jc w:val="center"/>
              <w:rPr>
                <w:b/>
                <w:bCs/>
                <w:color w:val="000000"/>
                <w:sz w:val="16"/>
                <w:szCs w:val="16"/>
                <w:lang w:eastAsia="es-ES"/>
              </w:rPr>
            </w:pPr>
            <w:r w:rsidRPr="001E2F6E">
              <w:rPr>
                <w:b/>
                <w:bCs/>
                <w:color w:val="000000"/>
                <w:sz w:val="16"/>
                <w:szCs w:val="16"/>
                <w:lang w:eastAsia="es-ES"/>
              </w:rPr>
              <w:t>2010</w:t>
            </w:r>
          </w:p>
        </w:tc>
        <w:tc>
          <w:tcPr>
            <w:tcW w:w="1417" w:type="dxa"/>
            <w:tcBorders>
              <w:top w:val="single" w:sz="8" w:space="0" w:color="BFBFBF"/>
              <w:left w:val="nil"/>
              <w:bottom w:val="single" w:sz="8" w:space="0" w:color="BFBFBF"/>
              <w:right w:val="single" w:sz="8" w:space="0" w:color="BFBFBF"/>
            </w:tcBorders>
            <w:shd w:val="clear" w:color="000000" w:fill="DBE5F1"/>
            <w:vAlign w:val="center"/>
          </w:tcPr>
          <w:p w:rsidR="004A72E7" w:rsidRPr="001E2F6E" w:rsidRDefault="004A72E7" w:rsidP="00396118">
            <w:pPr>
              <w:spacing w:line="240" w:lineRule="exact"/>
              <w:ind w:left="227" w:hanging="227"/>
              <w:jc w:val="center"/>
              <w:rPr>
                <w:b/>
                <w:bCs/>
                <w:color w:val="000000"/>
                <w:sz w:val="16"/>
                <w:szCs w:val="16"/>
                <w:lang w:eastAsia="es-ES"/>
              </w:rPr>
            </w:pPr>
            <w:r w:rsidRPr="001E2F6E">
              <w:rPr>
                <w:b/>
                <w:bCs/>
                <w:color w:val="000000"/>
                <w:sz w:val="16"/>
                <w:szCs w:val="16"/>
                <w:lang w:eastAsia="es-ES"/>
              </w:rPr>
              <w:t>2012</w:t>
            </w:r>
          </w:p>
        </w:tc>
        <w:tc>
          <w:tcPr>
            <w:tcW w:w="1122" w:type="dxa"/>
            <w:tcBorders>
              <w:top w:val="single" w:sz="8" w:space="0" w:color="BFBFBF"/>
              <w:left w:val="nil"/>
              <w:bottom w:val="single" w:sz="8" w:space="0" w:color="BFBFBF"/>
              <w:right w:val="single" w:sz="8" w:space="0" w:color="BFBFBF"/>
            </w:tcBorders>
            <w:shd w:val="clear" w:color="000000" w:fill="DBE5F1"/>
            <w:vAlign w:val="center"/>
          </w:tcPr>
          <w:p w:rsidR="004A72E7" w:rsidRPr="001E2F6E" w:rsidRDefault="004A72E7" w:rsidP="00396118">
            <w:pPr>
              <w:spacing w:line="240" w:lineRule="exact"/>
              <w:ind w:left="227" w:hanging="227"/>
              <w:jc w:val="center"/>
              <w:rPr>
                <w:b/>
                <w:bCs/>
                <w:color w:val="000000"/>
                <w:sz w:val="16"/>
                <w:szCs w:val="16"/>
                <w:lang w:eastAsia="es-ES"/>
              </w:rPr>
            </w:pPr>
            <w:r w:rsidRPr="001E2F6E">
              <w:rPr>
                <w:b/>
                <w:bCs/>
                <w:color w:val="000000"/>
                <w:sz w:val="16"/>
                <w:szCs w:val="16"/>
                <w:lang w:val="pt-BR" w:eastAsia="es-ES"/>
              </w:rPr>
              <w:t>%</w:t>
            </w:r>
            <w:bookmarkStart w:id="10" w:name="OLE_LINK1"/>
            <w:r w:rsidRPr="001E2F6E">
              <w:rPr>
                <w:b/>
                <w:bCs/>
                <w:color w:val="000000"/>
                <w:sz w:val="16"/>
                <w:szCs w:val="16"/>
                <w:lang w:val="pt-BR" w:eastAsia="es-ES"/>
              </w:rPr>
              <w:t>∆12/10</w:t>
            </w:r>
            <w:bookmarkEnd w:id="10"/>
          </w:p>
        </w:tc>
        <w:tc>
          <w:tcPr>
            <w:tcW w:w="1610" w:type="dxa"/>
            <w:tcBorders>
              <w:top w:val="single" w:sz="8" w:space="0" w:color="BFBFBF"/>
              <w:left w:val="nil"/>
              <w:bottom w:val="single" w:sz="8" w:space="0" w:color="BFBFBF"/>
            </w:tcBorders>
            <w:shd w:val="clear" w:color="000000" w:fill="DBE5F1"/>
            <w:vAlign w:val="bottom"/>
          </w:tcPr>
          <w:p w:rsidR="004A72E7" w:rsidRPr="001E2F6E" w:rsidRDefault="004A72E7" w:rsidP="00781D09">
            <w:pPr>
              <w:spacing w:line="240" w:lineRule="exact"/>
              <w:ind w:left="227" w:hanging="227"/>
              <w:jc w:val="center"/>
              <w:rPr>
                <w:b/>
                <w:bCs/>
                <w:color w:val="000000"/>
                <w:sz w:val="16"/>
                <w:szCs w:val="16"/>
                <w:lang w:eastAsia="es-ES"/>
              </w:rPr>
            </w:pPr>
            <w:r w:rsidRPr="001E2F6E">
              <w:rPr>
                <w:b/>
                <w:bCs/>
                <w:sz w:val="16"/>
                <w:szCs w:val="16"/>
                <w:lang w:val="eu-ES" w:eastAsia="es-ES"/>
              </w:rPr>
              <w:t>kopuru absolutuak</w:t>
            </w:r>
            <w:r w:rsidRPr="001E2F6E">
              <w:rPr>
                <w:b/>
                <w:bCs/>
                <w:color w:val="000000"/>
                <w:sz w:val="16"/>
                <w:szCs w:val="16"/>
                <w:lang w:val="pt-BR" w:eastAsia="es-ES"/>
              </w:rPr>
              <w:t xml:space="preserve"> ∆12/10</w:t>
            </w:r>
          </w:p>
        </w:tc>
      </w:tr>
      <w:tr w:rsidR="004A72E7" w:rsidRPr="001E2F6E" w:rsidTr="00396118">
        <w:trPr>
          <w:jc w:val="center"/>
        </w:trPr>
        <w:tc>
          <w:tcPr>
            <w:tcW w:w="3598" w:type="dxa"/>
            <w:tcBorders>
              <w:top w:val="nil"/>
              <w:left w:val="nil"/>
              <w:bottom w:val="nil"/>
              <w:right w:val="single" w:sz="8" w:space="0" w:color="BFBFBF"/>
            </w:tcBorders>
          </w:tcPr>
          <w:p w:rsidR="004A72E7" w:rsidRPr="001E2F6E" w:rsidRDefault="004A72E7" w:rsidP="00781D09">
            <w:pPr>
              <w:spacing w:line="240" w:lineRule="exact"/>
              <w:ind w:left="227" w:hanging="227"/>
              <w:rPr>
                <w:b/>
                <w:bCs/>
                <w:color w:val="000000"/>
                <w:sz w:val="16"/>
                <w:szCs w:val="16"/>
                <w:lang w:eastAsia="es-ES"/>
              </w:rPr>
            </w:pPr>
            <w:r w:rsidRPr="001E2F6E">
              <w:rPr>
                <w:b/>
                <w:bCs/>
                <w:sz w:val="16"/>
                <w:szCs w:val="16"/>
                <w:lang w:val="eu-ES" w:eastAsia="es-ES"/>
              </w:rPr>
              <w:t>Fakturazio orokorra</w:t>
            </w:r>
          </w:p>
        </w:tc>
        <w:tc>
          <w:tcPr>
            <w:tcW w:w="1417" w:type="dxa"/>
            <w:tcBorders>
              <w:top w:val="nil"/>
              <w:left w:val="nil"/>
              <w:bottom w:val="nil"/>
              <w:right w:val="single" w:sz="8" w:space="0" w:color="BFBFBF"/>
            </w:tcBorders>
            <w:vAlign w:val="bottom"/>
          </w:tcPr>
          <w:p w:rsidR="004A72E7" w:rsidRPr="001E2F6E" w:rsidRDefault="004A72E7" w:rsidP="00781D09">
            <w:pPr>
              <w:spacing w:line="240" w:lineRule="exact"/>
              <w:ind w:left="227" w:right="170" w:hanging="227"/>
              <w:jc w:val="right"/>
              <w:rPr>
                <w:b/>
                <w:bCs/>
                <w:color w:val="000000"/>
                <w:sz w:val="16"/>
                <w:szCs w:val="16"/>
                <w:lang w:eastAsia="es-ES"/>
              </w:rPr>
            </w:pPr>
            <w:r w:rsidRPr="001E2F6E">
              <w:rPr>
                <w:b/>
                <w:bCs/>
                <w:color w:val="000000"/>
                <w:sz w:val="16"/>
                <w:szCs w:val="16"/>
                <w:lang w:eastAsia="es-ES"/>
              </w:rPr>
              <w:t>8.563.275.439</w:t>
            </w:r>
          </w:p>
        </w:tc>
        <w:tc>
          <w:tcPr>
            <w:tcW w:w="1417" w:type="dxa"/>
            <w:tcBorders>
              <w:top w:val="nil"/>
              <w:left w:val="nil"/>
              <w:bottom w:val="nil"/>
              <w:right w:val="single" w:sz="8" w:space="0" w:color="BFBFBF"/>
            </w:tcBorders>
            <w:vAlign w:val="bottom"/>
          </w:tcPr>
          <w:p w:rsidR="004A72E7" w:rsidRPr="001E2F6E" w:rsidRDefault="004A72E7" w:rsidP="00781D09">
            <w:pPr>
              <w:spacing w:line="240" w:lineRule="exact"/>
              <w:ind w:left="227" w:right="170" w:hanging="227"/>
              <w:jc w:val="right"/>
              <w:rPr>
                <w:b/>
                <w:bCs/>
                <w:color w:val="000000"/>
                <w:sz w:val="16"/>
                <w:szCs w:val="16"/>
                <w:lang w:eastAsia="es-ES"/>
              </w:rPr>
            </w:pPr>
            <w:r w:rsidRPr="001E2F6E">
              <w:rPr>
                <w:b/>
                <w:bCs/>
                <w:color w:val="000000"/>
                <w:sz w:val="16"/>
                <w:szCs w:val="16"/>
                <w:lang w:eastAsia="es-ES"/>
              </w:rPr>
              <w:t>8.283.006.345</w:t>
            </w:r>
          </w:p>
        </w:tc>
        <w:tc>
          <w:tcPr>
            <w:tcW w:w="1122" w:type="dxa"/>
            <w:tcBorders>
              <w:top w:val="nil"/>
              <w:left w:val="nil"/>
              <w:bottom w:val="nil"/>
              <w:right w:val="single" w:sz="8" w:space="0" w:color="BFBFBF"/>
            </w:tcBorders>
            <w:vAlign w:val="bottom"/>
          </w:tcPr>
          <w:p w:rsidR="004A72E7" w:rsidRPr="001E2F6E" w:rsidRDefault="004A72E7" w:rsidP="00781D09">
            <w:pPr>
              <w:spacing w:line="240" w:lineRule="exact"/>
              <w:ind w:left="227" w:right="170" w:hanging="227"/>
              <w:jc w:val="right"/>
              <w:rPr>
                <w:b/>
                <w:bCs/>
                <w:color w:val="000000"/>
                <w:sz w:val="16"/>
                <w:szCs w:val="16"/>
                <w:lang w:eastAsia="es-ES"/>
              </w:rPr>
            </w:pPr>
            <w:r w:rsidRPr="001E2F6E">
              <w:rPr>
                <w:b/>
                <w:bCs/>
                <w:color w:val="000000"/>
                <w:sz w:val="16"/>
                <w:szCs w:val="16"/>
                <w:lang w:eastAsia="es-ES"/>
              </w:rPr>
              <w:t>-</w:t>
            </w:r>
            <w:r w:rsidRPr="001E2F6E">
              <w:rPr>
                <w:b/>
                <w:bCs/>
                <w:color w:val="000000"/>
                <w:spacing w:val="60"/>
                <w:sz w:val="16"/>
                <w:szCs w:val="16"/>
                <w:lang w:eastAsia="es-ES"/>
              </w:rPr>
              <w:t>%</w:t>
            </w:r>
            <w:r w:rsidRPr="001E2F6E">
              <w:rPr>
                <w:b/>
                <w:bCs/>
                <w:color w:val="000000"/>
                <w:sz w:val="16"/>
                <w:szCs w:val="16"/>
                <w:lang w:eastAsia="es-ES"/>
              </w:rPr>
              <w:t>3,3</w:t>
            </w:r>
          </w:p>
        </w:tc>
        <w:tc>
          <w:tcPr>
            <w:tcW w:w="1610" w:type="dxa"/>
            <w:tcBorders>
              <w:top w:val="nil"/>
              <w:left w:val="nil"/>
              <w:bottom w:val="nil"/>
            </w:tcBorders>
            <w:vAlign w:val="bottom"/>
          </w:tcPr>
          <w:p w:rsidR="004A72E7" w:rsidRPr="001E2F6E" w:rsidRDefault="004A72E7" w:rsidP="00781D09">
            <w:pPr>
              <w:spacing w:line="240" w:lineRule="exact"/>
              <w:ind w:left="227" w:right="170" w:hanging="227"/>
              <w:jc w:val="right"/>
              <w:rPr>
                <w:b/>
                <w:bCs/>
                <w:color w:val="000000"/>
                <w:sz w:val="16"/>
                <w:szCs w:val="16"/>
                <w:lang w:eastAsia="es-ES"/>
              </w:rPr>
            </w:pPr>
            <w:r w:rsidRPr="001E2F6E">
              <w:rPr>
                <w:b/>
                <w:bCs/>
                <w:color w:val="000000"/>
                <w:sz w:val="16"/>
                <w:szCs w:val="16"/>
                <w:lang w:eastAsia="es-ES"/>
              </w:rPr>
              <w:t>-280.269.094</w:t>
            </w:r>
          </w:p>
        </w:tc>
      </w:tr>
      <w:tr w:rsidR="004A72E7" w:rsidRPr="001E2F6E" w:rsidTr="00396118">
        <w:trPr>
          <w:jc w:val="center"/>
        </w:trPr>
        <w:tc>
          <w:tcPr>
            <w:tcW w:w="3598" w:type="dxa"/>
            <w:tcBorders>
              <w:top w:val="nil"/>
              <w:left w:val="nil"/>
              <w:bottom w:val="nil"/>
              <w:right w:val="single" w:sz="8" w:space="0" w:color="BFBFBF"/>
            </w:tcBorders>
          </w:tcPr>
          <w:p w:rsidR="004A72E7" w:rsidRPr="001E2F6E" w:rsidRDefault="004A72E7" w:rsidP="00781D09">
            <w:pPr>
              <w:tabs>
                <w:tab w:val="left" w:pos="254"/>
              </w:tabs>
              <w:spacing w:line="240" w:lineRule="exact"/>
              <w:ind w:left="227" w:hanging="227"/>
              <w:rPr>
                <w:b/>
                <w:bCs/>
                <w:color w:val="000000"/>
                <w:sz w:val="16"/>
                <w:szCs w:val="16"/>
                <w:lang w:eastAsia="es-ES"/>
              </w:rPr>
            </w:pPr>
            <w:r w:rsidRPr="001E2F6E">
              <w:rPr>
                <w:b/>
                <w:bCs/>
                <w:color w:val="000000"/>
                <w:sz w:val="16"/>
                <w:szCs w:val="16"/>
                <w:lang w:eastAsia="es-ES"/>
              </w:rPr>
              <w:tab/>
            </w:r>
            <w:r w:rsidRPr="001E2F6E">
              <w:rPr>
                <w:b/>
                <w:bCs/>
                <w:sz w:val="16"/>
                <w:szCs w:val="16"/>
                <w:lang w:val="eu-ES" w:eastAsia="es-ES"/>
              </w:rPr>
              <w:t>EZ-esportatzaileen fakturazioa</w:t>
            </w:r>
          </w:p>
        </w:tc>
        <w:tc>
          <w:tcPr>
            <w:tcW w:w="1417" w:type="dxa"/>
            <w:tcBorders>
              <w:top w:val="nil"/>
              <w:left w:val="nil"/>
              <w:bottom w:val="nil"/>
              <w:right w:val="single" w:sz="8" w:space="0" w:color="BFBFBF"/>
            </w:tcBorders>
            <w:vAlign w:val="bottom"/>
          </w:tcPr>
          <w:p w:rsidR="004A72E7" w:rsidRPr="001E2F6E" w:rsidRDefault="004A72E7" w:rsidP="00781D09">
            <w:pPr>
              <w:spacing w:line="240" w:lineRule="exact"/>
              <w:ind w:left="227" w:right="170" w:hanging="227"/>
              <w:jc w:val="right"/>
              <w:rPr>
                <w:b/>
                <w:bCs/>
                <w:color w:val="000000"/>
                <w:sz w:val="16"/>
                <w:szCs w:val="16"/>
                <w:lang w:eastAsia="es-ES"/>
              </w:rPr>
            </w:pPr>
            <w:r w:rsidRPr="001E2F6E">
              <w:rPr>
                <w:b/>
                <w:bCs/>
                <w:color w:val="000000"/>
                <w:sz w:val="16"/>
                <w:szCs w:val="16"/>
                <w:lang w:eastAsia="es-ES"/>
              </w:rPr>
              <w:t>4.403.768.701</w:t>
            </w:r>
          </w:p>
        </w:tc>
        <w:tc>
          <w:tcPr>
            <w:tcW w:w="1417" w:type="dxa"/>
            <w:tcBorders>
              <w:top w:val="nil"/>
              <w:left w:val="nil"/>
              <w:bottom w:val="nil"/>
              <w:right w:val="single" w:sz="8" w:space="0" w:color="BFBFBF"/>
            </w:tcBorders>
            <w:vAlign w:val="bottom"/>
          </w:tcPr>
          <w:p w:rsidR="004A72E7" w:rsidRPr="001E2F6E" w:rsidRDefault="004A72E7" w:rsidP="00781D09">
            <w:pPr>
              <w:spacing w:line="240" w:lineRule="exact"/>
              <w:ind w:left="227" w:right="170" w:hanging="227"/>
              <w:jc w:val="right"/>
              <w:rPr>
                <w:b/>
                <w:bCs/>
                <w:color w:val="000000"/>
                <w:sz w:val="16"/>
                <w:szCs w:val="16"/>
                <w:lang w:eastAsia="es-ES"/>
              </w:rPr>
            </w:pPr>
            <w:r w:rsidRPr="001E2F6E">
              <w:rPr>
                <w:b/>
                <w:bCs/>
                <w:color w:val="000000"/>
                <w:sz w:val="16"/>
                <w:szCs w:val="16"/>
                <w:lang w:eastAsia="es-ES"/>
              </w:rPr>
              <w:t>3.806.223.169</w:t>
            </w:r>
          </w:p>
        </w:tc>
        <w:tc>
          <w:tcPr>
            <w:tcW w:w="1122" w:type="dxa"/>
            <w:tcBorders>
              <w:top w:val="nil"/>
              <w:left w:val="nil"/>
              <w:bottom w:val="nil"/>
              <w:right w:val="single" w:sz="8" w:space="0" w:color="BFBFBF"/>
            </w:tcBorders>
            <w:vAlign w:val="bottom"/>
          </w:tcPr>
          <w:p w:rsidR="004A72E7" w:rsidRPr="001E2F6E" w:rsidRDefault="004A72E7" w:rsidP="00781D09">
            <w:pPr>
              <w:spacing w:line="240" w:lineRule="exact"/>
              <w:ind w:left="227" w:right="170" w:hanging="227"/>
              <w:jc w:val="right"/>
              <w:rPr>
                <w:b/>
                <w:bCs/>
                <w:color w:val="000000"/>
                <w:sz w:val="16"/>
                <w:szCs w:val="16"/>
                <w:lang w:eastAsia="es-ES"/>
              </w:rPr>
            </w:pPr>
            <w:r w:rsidRPr="001E2F6E">
              <w:rPr>
                <w:b/>
                <w:bCs/>
                <w:color w:val="000000"/>
                <w:sz w:val="16"/>
                <w:szCs w:val="16"/>
                <w:lang w:eastAsia="es-ES"/>
              </w:rPr>
              <w:t>-</w:t>
            </w:r>
            <w:r w:rsidRPr="001E2F6E">
              <w:rPr>
                <w:b/>
                <w:bCs/>
                <w:color w:val="000000"/>
                <w:spacing w:val="60"/>
                <w:sz w:val="16"/>
                <w:szCs w:val="16"/>
                <w:lang w:eastAsia="es-ES"/>
              </w:rPr>
              <w:t>%</w:t>
            </w:r>
            <w:r w:rsidRPr="001E2F6E">
              <w:rPr>
                <w:b/>
                <w:bCs/>
                <w:color w:val="000000"/>
                <w:sz w:val="16"/>
                <w:szCs w:val="16"/>
                <w:lang w:eastAsia="es-ES"/>
              </w:rPr>
              <w:t>13,6</w:t>
            </w:r>
          </w:p>
        </w:tc>
        <w:tc>
          <w:tcPr>
            <w:tcW w:w="1610" w:type="dxa"/>
            <w:tcBorders>
              <w:top w:val="nil"/>
              <w:left w:val="nil"/>
              <w:bottom w:val="nil"/>
            </w:tcBorders>
            <w:vAlign w:val="bottom"/>
          </w:tcPr>
          <w:p w:rsidR="004A72E7" w:rsidRPr="001E2F6E" w:rsidRDefault="004A72E7" w:rsidP="00781D09">
            <w:pPr>
              <w:spacing w:line="240" w:lineRule="exact"/>
              <w:ind w:left="227" w:right="170" w:hanging="227"/>
              <w:jc w:val="right"/>
              <w:rPr>
                <w:b/>
                <w:bCs/>
                <w:color w:val="000000"/>
                <w:sz w:val="16"/>
                <w:szCs w:val="16"/>
                <w:lang w:eastAsia="es-ES"/>
              </w:rPr>
            </w:pPr>
            <w:r w:rsidRPr="001E2F6E">
              <w:rPr>
                <w:b/>
                <w:bCs/>
                <w:color w:val="000000"/>
                <w:sz w:val="16"/>
                <w:szCs w:val="16"/>
                <w:lang w:eastAsia="es-ES"/>
              </w:rPr>
              <w:t>-597.545.532</w:t>
            </w:r>
          </w:p>
        </w:tc>
      </w:tr>
      <w:tr w:rsidR="004A72E7" w:rsidRPr="001E2F6E" w:rsidTr="00396118">
        <w:trPr>
          <w:jc w:val="center"/>
        </w:trPr>
        <w:tc>
          <w:tcPr>
            <w:tcW w:w="3598" w:type="dxa"/>
            <w:tcBorders>
              <w:top w:val="nil"/>
              <w:left w:val="nil"/>
              <w:bottom w:val="nil"/>
              <w:right w:val="single" w:sz="8" w:space="0" w:color="BFBFBF"/>
            </w:tcBorders>
          </w:tcPr>
          <w:p w:rsidR="004A72E7" w:rsidRPr="001E2F6E" w:rsidRDefault="004A72E7" w:rsidP="00781D09">
            <w:pPr>
              <w:tabs>
                <w:tab w:val="left" w:pos="254"/>
              </w:tabs>
              <w:spacing w:line="240" w:lineRule="exact"/>
              <w:ind w:left="227" w:hanging="227"/>
              <w:rPr>
                <w:b/>
                <w:bCs/>
                <w:color w:val="000000"/>
                <w:sz w:val="16"/>
                <w:szCs w:val="16"/>
                <w:lang w:eastAsia="es-ES"/>
              </w:rPr>
            </w:pPr>
            <w:r w:rsidRPr="001E2F6E">
              <w:rPr>
                <w:b/>
                <w:bCs/>
                <w:color w:val="000000"/>
                <w:sz w:val="16"/>
                <w:szCs w:val="16"/>
                <w:lang w:eastAsia="es-ES"/>
              </w:rPr>
              <w:tab/>
            </w:r>
            <w:r w:rsidRPr="001E2F6E">
              <w:rPr>
                <w:b/>
                <w:bCs/>
                <w:sz w:val="16"/>
                <w:szCs w:val="16"/>
                <w:lang w:val="eu-ES" w:eastAsia="es-ES"/>
              </w:rPr>
              <w:t>Esportatzaileen fakturazioa</w:t>
            </w:r>
          </w:p>
        </w:tc>
        <w:tc>
          <w:tcPr>
            <w:tcW w:w="1417" w:type="dxa"/>
            <w:tcBorders>
              <w:top w:val="nil"/>
              <w:left w:val="nil"/>
              <w:bottom w:val="nil"/>
              <w:right w:val="single" w:sz="8" w:space="0" w:color="BFBFBF"/>
            </w:tcBorders>
            <w:vAlign w:val="bottom"/>
          </w:tcPr>
          <w:p w:rsidR="004A72E7" w:rsidRPr="001E2F6E" w:rsidRDefault="004A72E7" w:rsidP="00781D09">
            <w:pPr>
              <w:spacing w:line="240" w:lineRule="exact"/>
              <w:ind w:left="227" w:right="170" w:hanging="227"/>
              <w:jc w:val="right"/>
              <w:rPr>
                <w:b/>
                <w:bCs/>
                <w:color w:val="000000"/>
                <w:sz w:val="16"/>
                <w:szCs w:val="16"/>
                <w:lang w:eastAsia="es-ES"/>
              </w:rPr>
            </w:pPr>
            <w:r w:rsidRPr="001E2F6E">
              <w:rPr>
                <w:b/>
                <w:bCs/>
                <w:color w:val="000000"/>
                <w:sz w:val="16"/>
                <w:szCs w:val="16"/>
                <w:lang w:eastAsia="es-ES"/>
              </w:rPr>
              <w:t>4.159.506.738</w:t>
            </w:r>
          </w:p>
        </w:tc>
        <w:tc>
          <w:tcPr>
            <w:tcW w:w="1417" w:type="dxa"/>
            <w:tcBorders>
              <w:top w:val="nil"/>
              <w:left w:val="nil"/>
              <w:bottom w:val="nil"/>
              <w:right w:val="single" w:sz="8" w:space="0" w:color="BFBFBF"/>
            </w:tcBorders>
            <w:vAlign w:val="bottom"/>
          </w:tcPr>
          <w:p w:rsidR="004A72E7" w:rsidRPr="001E2F6E" w:rsidRDefault="004A72E7" w:rsidP="00781D09">
            <w:pPr>
              <w:spacing w:line="240" w:lineRule="exact"/>
              <w:ind w:left="227" w:right="170" w:hanging="227"/>
              <w:jc w:val="right"/>
              <w:rPr>
                <w:b/>
                <w:bCs/>
                <w:color w:val="000000"/>
                <w:sz w:val="16"/>
                <w:szCs w:val="16"/>
                <w:lang w:eastAsia="es-ES"/>
              </w:rPr>
            </w:pPr>
            <w:r w:rsidRPr="001E2F6E">
              <w:rPr>
                <w:b/>
                <w:bCs/>
                <w:color w:val="000000"/>
                <w:sz w:val="16"/>
                <w:szCs w:val="16"/>
                <w:lang w:eastAsia="es-ES"/>
              </w:rPr>
              <w:t>4.476.783.176</w:t>
            </w:r>
          </w:p>
        </w:tc>
        <w:tc>
          <w:tcPr>
            <w:tcW w:w="1122" w:type="dxa"/>
            <w:tcBorders>
              <w:top w:val="nil"/>
              <w:left w:val="nil"/>
              <w:bottom w:val="nil"/>
              <w:right w:val="single" w:sz="8" w:space="0" w:color="BFBFBF"/>
            </w:tcBorders>
            <w:vAlign w:val="bottom"/>
          </w:tcPr>
          <w:p w:rsidR="004A72E7" w:rsidRPr="001E2F6E" w:rsidRDefault="004A72E7" w:rsidP="00781D09">
            <w:pPr>
              <w:spacing w:line="240" w:lineRule="exact"/>
              <w:ind w:left="227" w:right="170" w:hanging="227"/>
              <w:jc w:val="right"/>
              <w:rPr>
                <w:b/>
                <w:bCs/>
                <w:color w:val="000000"/>
                <w:sz w:val="16"/>
                <w:szCs w:val="16"/>
                <w:lang w:eastAsia="es-ES"/>
              </w:rPr>
            </w:pPr>
            <w:r w:rsidRPr="001E2F6E">
              <w:rPr>
                <w:b/>
                <w:bCs/>
                <w:color w:val="000000"/>
                <w:spacing w:val="60"/>
                <w:sz w:val="16"/>
                <w:szCs w:val="16"/>
                <w:lang w:eastAsia="es-ES"/>
              </w:rPr>
              <w:t>%</w:t>
            </w:r>
            <w:r w:rsidRPr="001E2F6E">
              <w:rPr>
                <w:b/>
                <w:bCs/>
                <w:color w:val="000000"/>
                <w:sz w:val="16"/>
                <w:szCs w:val="16"/>
                <w:lang w:eastAsia="es-ES"/>
              </w:rPr>
              <w:t>7,6</w:t>
            </w:r>
          </w:p>
        </w:tc>
        <w:tc>
          <w:tcPr>
            <w:tcW w:w="1610" w:type="dxa"/>
            <w:tcBorders>
              <w:top w:val="nil"/>
              <w:left w:val="nil"/>
              <w:bottom w:val="nil"/>
            </w:tcBorders>
            <w:vAlign w:val="bottom"/>
          </w:tcPr>
          <w:p w:rsidR="004A72E7" w:rsidRPr="001E2F6E" w:rsidRDefault="004A72E7" w:rsidP="00781D09">
            <w:pPr>
              <w:spacing w:line="240" w:lineRule="exact"/>
              <w:ind w:left="227" w:right="170" w:hanging="227"/>
              <w:jc w:val="right"/>
              <w:rPr>
                <w:b/>
                <w:bCs/>
                <w:color w:val="000000"/>
                <w:sz w:val="16"/>
                <w:szCs w:val="16"/>
                <w:lang w:eastAsia="es-ES"/>
              </w:rPr>
            </w:pPr>
            <w:r w:rsidRPr="001E2F6E">
              <w:rPr>
                <w:b/>
                <w:bCs/>
                <w:color w:val="000000"/>
                <w:sz w:val="16"/>
                <w:szCs w:val="16"/>
                <w:lang w:eastAsia="es-ES"/>
              </w:rPr>
              <w:t>317.276.438</w:t>
            </w:r>
          </w:p>
        </w:tc>
      </w:tr>
      <w:tr w:rsidR="004A72E7" w:rsidRPr="001E2F6E" w:rsidTr="00396118">
        <w:trPr>
          <w:jc w:val="center"/>
        </w:trPr>
        <w:tc>
          <w:tcPr>
            <w:tcW w:w="3598" w:type="dxa"/>
            <w:tcBorders>
              <w:top w:val="nil"/>
              <w:left w:val="nil"/>
              <w:bottom w:val="nil"/>
              <w:right w:val="single" w:sz="8" w:space="0" w:color="BFBFBF"/>
            </w:tcBorders>
          </w:tcPr>
          <w:p w:rsidR="004A72E7" w:rsidRPr="001E2F6E" w:rsidRDefault="004A72E7" w:rsidP="00781D09">
            <w:pPr>
              <w:tabs>
                <w:tab w:val="left" w:pos="448"/>
              </w:tabs>
              <w:spacing w:line="240" w:lineRule="exact"/>
              <w:ind w:left="227" w:hanging="227"/>
              <w:rPr>
                <w:color w:val="000000"/>
                <w:sz w:val="16"/>
                <w:szCs w:val="16"/>
                <w:lang w:val="pt-BR" w:eastAsia="es-ES"/>
              </w:rPr>
            </w:pPr>
            <w:r w:rsidRPr="001E2F6E">
              <w:rPr>
                <w:color w:val="000000"/>
                <w:sz w:val="16"/>
                <w:szCs w:val="16"/>
                <w:lang w:val="pt-BR" w:eastAsia="es-ES"/>
              </w:rPr>
              <w:tab/>
            </w:r>
            <w:r w:rsidRPr="001E2F6E">
              <w:rPr>
                <w:sz w:val="16"/>
                <w:szCs w:val="16"/>
                <w:lang w:val="eu-ES" w:eastAsia="es-ES"/>
              </w:rPr>
              <w:t>a) Barne-salmentak</w:t>
            </w:r>
          </w:p>
        </w:tc>
        <w:tc>
          <w:tcPr>
            <w:tcW w:w="1417" w:type="dxa"/>
            <w:tcBorders>
              <w:top w:val="nil"/>
              <w:left w:val="nil"/>
              <w:bottom w:val="nil"/>
              <w:right w:val="single" w:sz="8" w:space="0" w:color="BFBFBF"/>
            </w:tcBorders>
            <w:vAlign w:val="bottom"/>
          </w:tcPr>
          <w:p w:rsidR="004A72E7" w:rsidRPr="001E2F6E" w:rsidRDefault="004A72E7" w:rsidP="00781D09">
            <w:pPr>
              <w:spacing w:line="240" w:lineRule="exact"/>
              <w:ind w:left="227" w:right="170" w:hanging="227"/>
              <w:jc w:val="right"/>
              <w:rPr>
                <w:color w:val="000000"/>
                <w:sz w:val="16"/>
                <w:szCs w:val="16"/>
                <w:lang w:eastAsia="es-ES"/>
              </w:rPr>
            </w:pPr>
            <w:r w:rsidRPr="001E2F6E">
              <w:rPr>
                <w:color w:val="000000"/>
                <w:sz w:val="16"/>
                <w:szCs w:val="16"/>
                <w:lang w:eastAsia="es-ES"/>
              </w:rPr>
              <w:t>1.909.021.877</w:t>
            </w:r>
          </w:p>
        </w:tc>
        <w:tc>
          <w:tcPr>
            <w:tcW w:w="1417" w:type="dxa"/>
            <w:tcBorders>
              <w:top w:val="nil"/>
              <w:left w:val="nil"/>
              <w:bottom w:val="nil"/>
              <w:right w:val="single" w:sz="8" w:space="0" w:color="BFBFBF"/>
            </w:tcBorders>
            <w:vAlign w:val="bottom"/>
          </w:tcPr>
          <w:p w:rsidR="004A72E7" w:rsidRPr="001E2F6E" w:rsidRDefault="004A72E7" w:rsidP="00781D09">
            <w:pPr>
              <w:spacing w:line="240" w:lineRule="exact"/>
              <w:ind w:left="227" w:right="170" w:hanging="227"/>
              <w:jc w:val="right"/>
              <w:rPr>
                <w:color w:val="000000"/>
                <w:sz w:val="16"/>
                <w:szCs w:val="16"/>
                <w:lang w:eastAsia="es-ES"/>
              </w:rPr>
            </w:pPr>
            <w:r w:rsidRPr="001E2F6E">
              <w:rPr>
                <w:color w:val="000000"/>
                <w:sz w:val="16"/>
                <w:szCs w:val="16"/>
                <w:lang w:eastAsia="es-ES"/>
              </w:rPr>
              <w:t>1.803.527.961</w:t>
            </w:r>
          </w:p>
        </w:tc>
        <w:tc>
          <w:tcPr>
            <w:tcW w:w="1122" w:type="dxa"/>
            <w:tcBorders>
              <w:top w:val="nil"/>
              <w:left w:val="nil"/>
              <w:bottom w:val="nil"/>
              <w:right w:val="single" w:sz="8" w:space="0" w:color="BFBFBF"/>
            </w:tcBorders>
            <w:vAlign w:val="bottom"/>
          </w:tcPr>
          <w:p w:rsidR="004A72E7" w:rsidRPr="001E2F6E" w:rsidRDefault="004A72E7" w:rsidP="00781D09">
            <w:pPr>
              <w:spacing w:line="240" w:lineRule="exact"/>
              <w:ind w:left="227" w:right="170" w:hanging="227"/>
              <w:jc w:val="right"/>
              <w:rPr>
                <w:color w:val="000000"/>
                <w:sz w:val="16"/>
                <w:szCs w:val="16"/>
                <w:lang w:eastAsia="es-ES"/>
              </w:rPr>
            </w:pPr>
            <w:r w:rsidRPr="001E2F6E">
              <w:rPr>
                <w:color w:val="000000"/>
                <w:sz w:val="16"/>
                <w:szCs w:val="16"/>
                <w:lang w:eastAsia="es-ES"/>
              </w:rPr>
              <w:t>-</w:t>
            </w:r>
            <w:r w:rsidRPr="001E2F6E">
              <w:rPr>
                <w:color w:val="000000"/>
                <w:spacing w:val="60"/>
                <w:sz w:val="16"/>
                <w:szCs w:val="16"/>
                <w:lang w:eastAsia="es-ES"/>
              </w:rPr>
              <w:t>%</w:t>
            </w:r>
            <w:r w:rsidRPr="001E2F6E">
              <w:rPr>
                <w:color w:val="000000"/>
                <w:sz w:val="16"/>
                <w:szCs w:val="16"/>
                <w:lang w:eastAsia="es-ES"/>
              </w:rPr>
              <w:t>5,5</w:t>
            </w:r>
          </w:p>
        </w:tc>
        <w:tc>
          <w:tcPr>
            <w:tcW w:w="1610" w:type="dxa"/>
            <w:tcBorders>
              <w:top w:val="nil"/>
              <w:left w:val="nil"/>
              <w:bottom w:val="nil"/>
            </w:tcBorders>
            <w:vAlign w:val="bottom"/>
          </w:tcPr>
          <w:p w:rsidR="004A72E7" w:rsidRPr="001E2F6E" w:rsidRDefault="004A72E7" w:rsidP="00781D09">
            <w:pPr>
              <w:spacing w:line="240" w:lineRule="exact"/>
              <w:ind w:left="227" w:right="170" w:hanging="227"/>
              <w:jc w:val="right"/>
              <w:rPr>
                <w:color w:val="000000"/>
                <w:sz w:val="16"/>
                <w:szCs w:val="16"/>
                <w:lang w:eastAsia="es-ES"/>
              </w:rPr>
            </w:pPr>
            <w:r w:rsidRPr="001E2F6E">
              <w:rPr>
                <w:color w:val="000000"/>
                <w:sz w:val="16"/>
                <w:szCs w:val="16"/>
                <w:lang w:eastAsia="es-ES"/>
              </w:rPr>
              <w:t>-105.493.916</w:t>
            </w:r>
          </w:p>
        </w:tc>
      </w:tr>
      <w:tr w:rsidR="004A72E7" w:rsidRPr="001E2F6E" w:rsidTr="00396118">
        <w:trPr>
          <w:jc w:val="center"/>
        </w:trPr>
        <w:tc>
          <w:tcPr>
            <w:tcW w:w="3598" w:type="dxa"/>
            <w:tcBorders>
              <w:top w:val="nil"/>
              <w:left w:val="nil"/>
              <w:bottom w:val="nil"/>
              <w:right w:val="single" w:sz="8" w:space="0" w:color="BFBFBF"/>
            </w:tcBorders>
          </w:tcPr>
          <w:p w:rsidR="004A72E7" w:rsidRPr="001E2F6E" w:rsidRDefault="004A72E7" w:rsidP="00781D09">
            <w:pPr>
              <w:tabs>
                <w:tab w:val="left" w:pos="448"/>
              </w:tabs>
              <w:spacing w:line="240" w:lineRule="exact"/>
              <w:ind w:left="227" w:hanging="227"/>
              <w:rPr>
                <w:color w:val="000000"/>
                <w:sz w:val="16"/>
                <w:szCs w:val="16"/>
                <w:lang w:eastAsia="es-ES"/>
              </w:rPr>
            </w:pPr>
            <w:r w:rsidRPr="001E2F6E">
              <w:rPr>
                <w:color w:val="000000"/>
                <w:sz w:val="16"/>
                <w:szCs w:val="16"/>
                <w:lang w:eastAsia="es-ES"/>
              </w:rPr>
              <w:tab/>
            </w:r>
            <w:r w:rsidRPr="001E2F6E">
              <w:rPr>
                <w:sz w:val="16"/>
                <w:szCs w:val="16"/>
                <w:lang w:val="eu-ES" w:eastAsia="es-ES"/>
              </w:rPr>
              <w:t>b) Kanpo-salmentak:</w:t>
            </w:r>
            <w:r w:rsidRPr="001E2F6E">
              <w:rPr>
                <w:color w:val="000000"/>
                <w:sz w:val="16"/>
                <w:szCs w:val="16"/>
                <w:lang w:eastAsia="es-ES"/>
              </w:rPr>
              <w:t xml:space="preserve">  </w:t>
            </w:r>
            <w:r w:rsidRPr="001E2F6E">
              <w:rPr>
                <w:sz w:val="16"/>
                <w:szCs w:val="16"/>
                <w:lang w:val="eu-ES" w:eastAsia="es-ES"/>
              </w:rPr>
              <w:t>Esportazioak</w:t>
            </w:r>
          </w:p>
        </w:tc>
        <w:tc>
          <w:tcPr>
            <w:tcW w:w="1417" w:type="dxa"/>
            <w:tcBorders>
              <w:top w:val="nil"/>
              <w:left w:val="nil"/>
              <w:bottom w:val="nil"/>
              <w:right w:val="single" w:sz="8" w:space="0" w:color="BFBFBF"/>
            </w:tcBorders>
            <w:vAlign w:val="bottom"/>
          </w:tcPr>
          <w:p w:rsidR="004A72E7" w:rsidRPr="001E2F6E" w:rsidRDefault="004A72E7" w:rsidP="00781D09">
            <w:pPr>
              <w:spacing w:line="240" w:lineRule="exact"/>
              <w:ind w:left="227" w:right="170" w:hanging="227"/>
              <w:jc w:val="right"/>
              <w:rPr>
                <w:color w:val="000000"/>
                <w:sz w:val="16"/>
                <w:szCs w:val="16"/>
                <w:lang w:eastAsia="es-ES"/>
              </w:rPr>
            </w:pPr>
            <w:r w:rsidRPr="001E2F6E">
              <w:rPr>
                <w:color w:val="000000"/>
                <w:sz w:val="16"/>
                <w:szCs w:val="16"/>
                <w:lang w:eastAsia="es-ES"/>
              </w:rPr>
              <w:t>2.250.484.862</w:t>
            </w:r>
          </w:p>
        </w:tc>
        <w:tc>
          <w:tcPr>
            <w:tcW w:w="1417" w:type="dxa"/>
            <w:tcBorders>
              <w:top w:val="nil"/>
              <w:left w:val="nil"/>
              <w:bottom w:val="nil"/>
              <w:right w:val="single" w:sz="8" w:space="0" w:color="BFBFBF"/>
            </w:tcBorders>
            <w:vAlign w:val="bottom"/>
          </w:tcPr>
          <w:p w:rsidR="004A72E7" w:rsidRPr="001E2F6E" w:rsidRDefault="004A72E7" w:rsidP="00781D09">
            <w:pPr>
              <w:spacing w:line="240" w:lineRule="exact"/>
              <w:ind w:left="227" w:right="170" w:hanging="227"/>
              <w:jc w:val="right"/>
              <w:rPr>
                <w:color w:val="000000"/>
                <w:sz w:val="16"/>
                <w:szCs w:val="16"/>
                <w:lang w:eastAsia="es-ES"/>
              </w:rPr>
            </w:pPr>
            <w:r w:rsidRPr="001E2F6E">
              <w:rPr>
                <w:color w:val="000000"/>
                <w:sz w:val="16"/>
                <w:szCs w:val="16"/>
                <w:lang w:eastAsia="es-ES"/>
              </w:rPr>
              <w:t>2.673.255.215</w:t>
            </w:r>
          </w:p>
        </w:tc>
        <w:tc>
          <w:tcPr>
            <w:tcW w:w="1122" w:type="dxa"/>
            <w:tcBorders>
              <w:top w:val="nil"/>
              <w:left w:val="nil"/>
              <w:bottom w:val="nil"/>
              <w:right w:val="single" w:sz="8" w:space="0" w:color="BFBFBF"/>
            </w:tcBorders>
            <w:vAlign w:val="bottom"/>
          </w:tcPr>
          <w:p w:rsidR="004A72E7" w:rsidRPr="001E2F6E" w:rsidRDefault="004A72E7" w:rsidP="00781D09">
            <w:pPr>
              <w:spacing w:line="240" w:lineRule="exact"/>
              <w:ind w:left="227" w:right="170" w:hanging="227"/>
              <w:jc w:val="right"/>
              <w:rPr>
                <w:color w:val="000000"/>
                <w:sz w:val="16"/>
                <w:szCs w:val="16"/>
                <w:lang w:eastAsia="es-ES"/>
              </w:rPr>
            </w:pPr>
            <w:r w:rsidRPr="001E2F6E">
              <w:rPr>
                <w:color w:val="000000"/>
                <w:spacing w:val="60"/>
                <w:sz w:val="16"/>
                <w:szCs w:val="16"/>
                <w:lang w:eastAsia="es-ES"/>
              </w:rPr>
              <w:t>%</w:t>
            </w:r>
            <w:r w:rsidRPr="001E2F6E">
              <w:rPr>
                <w:color w:val="000000"/>
                <w:sz w:val="16"/>
                <w:szCs w:val="16"/>
                <w:lang w:eastAsia="es-ES"/>
              </w:rPr>
              <w:t>18,8</w:t>
            </w:r>
          </w:p>
        </w:tc>
        <w:tc>
          <w:tcPr>
            <w:tcW w:w="1610" w:type="dxa"/>
            <w:tcBorders>
              <w:top w:val="nil"/>
              <w:left w:val="nil"/>
              <w:bottom w:val="nil"/>
            </w:tcBorders>
            <w:vAlign w:val="bottom"/>
          </w:tcPr>
          <w:p w:rsidR="004A72E7" w:rsidRPr="001E2F6E" w:rsidRDefault="004A72E7" w:rsidP="00781D09">
            <w:pPr>
              <w:spacing w:line="240" w:lineRule="exact"/>
              <w:ind w:left="227" w:right="170" w:hanging="227"/>
              <w:jc w:val="right"/>
              <w:rPr>
                <w:color w:val="000000"/>
                <w:sz w:val="16"/>
                <w:szCs w:val="16"/>
                <w:lang w:eastAsia="es-ES"/>
              </w:rPr>
            </w:pPr>
            <w:r w:rsidRPr="001E2F6E">
              <w:rPr>
                <w:color w:val="000000"/>
                <w:sz w:val="16"/>
                <w:szCs w:val="16"/>
                <w:lang w:eastAsia="es-ES"/>
              </w:rPr>
              <w:t>422.770.353</w:t>
            </w:r>
          </w:p>
        </w:tc>
      </w:tr>
      <w:tr w:rsidR="004A72E7" w:rsidRPr="001E2F6E" w:rsidTr="00396118">
        <w:trPr>
          <w:jc w:val="center"/>
        </w:trPr>
        <w:tc>
          <w:tcPr>
            <w:tcW w:w="3598" w:type="dxa"/>
            <w:tcBorders>
              <w:top w:val="nil"/>
              <w:left w:val="nil"/>
              <w:bottom w:val="nil"/>
              <w:right w:val="single" w:sz="8" w:space="0" w:color="BFBFBF"/>
            </w:tcBorders>
          </w:tcPr>
          <w:p w:rsidR="004A72E7" w:rsidRPr="001E2F6E" w:rsidRDefault="004A72E7" w:rsidP="00781D09">
            <w:pPr>
              <w:spacing w:line="240" w:lineRule="exact"/>
              <w:ind w:left="227" w:hanging="227"/>
              <w:rPr>
                <w:color w:val="000000"/>
                <w:sz w:val="16"/>
                <w:szCs w:val="16"/>
                <w:lang w:eastAsia="es-ES"/>
              </w:rPr>
            </w:pPr>
            <w:r w:rsidRPr="001E2F6E">
              <w:rPr>
                <w:color w:val="000000"/>
                <w:sz w:val="16"/>
                <w:szCs w:val="16"/>
                <w:lang w:eastAsia="es-ES"/>
              </w:rPr>
              <w:tab/>
            </w:r>
            <w:r w:rsidRPr="001E2F6E">
              <w:rPr>
                <w:sz w:val="16"/>
                <w:szCs w:val="16"/>
                <w:lang w:val="eu-ES" w:eastAsia="es-ES"/>
              </w:rPr>
              <w:t>b.1. Esportazioak Europara</w:t>
            </w:r>
          </w:p>
        </w:tc>
        <w:tc>
          <w:tcPr>
            <w:tcW w:w="1417" w:type="dxa"/>
            <w:tcBorders>
              <w:top w:val="nil"/>
              <w:left w:val="nil"/>
              <w:bottom w:val="nil"/>
              <w:right w:val="single" w:sz="8" w:space="0" w:color="BFBFBF"/>
            </w:tcBorders>
            <w:vAlign w:val="bottom"/>
          </w:tcPr>
          <w:p w:rsidR="004A72E7" w:rsidRPr="001E2F6E" w:rsidRDefault="004A72E7" w:rsidP="00781D09">
            <w:pPr>
              <w:spacing w:line="240" w:lineRule="exact"/>
              <w:ind w:left="227" w:right="170" w:hanging="227"/>
              <w:jc w:val="right"/>
              <w:rPr>
                <w:color w:val="000000"/>
                <w:sz w:val="16"/>
                <w:szCs w:val="16"/>
                <w:lang w:eastAsia="es-ES"/>
              </w:rPr>
            </w:pPr>
            <w:r w:rsidRPr="001E2F6E">
              <w:rPr>
                <w:color w:val="000000"/>
                <w:sz w:val="16"/>
                <w:szCs w:val="16"/>
                <w:lang w:eastAsia="es-ES"/>
              </w:rPr>
              <w:t>1.397.054.639</w:t>
            </w:r>
          </w:p>
        </w:tc>
        <w:tc>
          <w:tcPr>
            <w:tcW w:w="1417" w:type="dxa"/>
            <w:tcBorders>
              <w:top w:val="nil"/>
              <w:left w:val="nil"/>
              <w:bottom w:val="nil"/>
              <w:right w:val="single" w:sz="8" w:space="0" w:color="BFBFBF"/>
            </w:tcBorders>
            <w:vAlign w:val="bottom"/>
          </w:tcPr>
          <w:p w:rsidR="004A72E7" w:rsidRPr="001E2F6E" w:rsidRDefault="004A72E7" w:rsidP="00781D09">
            <w:pPr>
              <w:spacing w:line="240" w:lineRule="exact"/>
              <w:ind w:left="227" w:right="170" w:hanging="227"/>
              <w:jc w:val="right"/>
              <w:rPr>
                <w:color w:val="000000"/>
                <w:sz w:val="16"/>
                <w:szCs w:val="16"/>
                <w:lang w:eastAsia="es-ES"/>
              </w:rPr>
            </w:pPr>
            <w:r w:rsidRPr="001E2F6E">
              <w:rPr>
                <w:color w:val="000000"/>
                <w:sz w:val="16"/>
                <w:szCs w:val="16"/>
                <w:lang w:eastAsia="es-ES"/>
              </w:rPr>
              <w:t>1.588.386.617</w:t>
            </w:r>
          </w:p>
        </w:tc>
        <w:tc>
          <w:tcPr>
            <w:tcW w:w="1122" w:type="dxa"/>
            <w:tcBorders>
              <w:top w:val="nil"/>
              <w:left w:val="nil"/>
              <w:bottom w:val="nil"/>
              <w:right w:val="single" w:sz="8" w:space="0" w:color="BFBFBF"/>
            </w:tcBorders>
            <w:vAlign w:val="bottom"/>
          </w:tcPr>
          <w:p w:rsidR="004A72E7" w:rsidRPr="001E2F6E" w:rsidRDefault="004A72E7" w:rsidP="00781D09">
            <w:pPr>
              <w:spacing w:line="240" w:lineRule="exact"/>
              <w:ind w:left="227" w:right="170" w:hanging="227"/>
              <w:jc w:val="right"/>
              <w:rPr>
                <w:color w:val="000000"/>
                <w:sz w:val="16"/>
                <w:szCs w:val="16"/>
                <w:lang w:eastAsia="es-ES"/>
              </w:rPr>
            </w:pPr>
            <w:r w:rsidRPr="001E2F6E">
              <w:rPr>
                <w:color w:val="000000"/>
                <w:spacing w:val="60"/>
                <w:sz w:val="16"/>
                <w:szCs w:val="16"/>
                <w:lang w:eastAsia="es-ES"/>
              </w:rPr>
              <w:t>%</w:t>
            </w:r>
            <w:r w:rsidRPr="001E2F6E">
              <w:rPr>
                <w:color w:val="000000"/>
                <w:sz w:val="16"/>
                <w:szCs w:val="16"/>
                <w:lang w:eastAsia="es-ES"/>
              </w:rPr>
              <w:t>13,7</w:t>
            </w:r>
          </w:p>
        </w:tc>
        <w:tc>
          <w:tcPr>
            <w:tcW w:w="1610" w:type="dxa"/>
            <w:tcBorders>
              <w:top w:val="nil"/>
              <w:left w:val="nil"/>
              <w:bottom w:val="nil"/>
            </w:tcBorders>
            <w:vAlign w:val="bottom"/>
          </w:tcPr>
          <w:p w:rsidR="004A72E7" w:rsidRPr="001E2F6E" w:rsidRDefault="004A72E7" w:rsidP="00781D09">
            <w:pPr>
              <w:spacing w:line="240" w:lineRule="exact"/>
              <w:ind w:left="227" w:right="170" w:hanging="227"/>
              <w:jc w:val="right"/>
              <w:rPr>
                <w:color w:val="000000"/>
                <w:sz w:val="16"/>
                <w:szCs w:val="16"/>
                <w:lang w:eastAsia="es-ES"/>
              </w:rPr>
            </w:pPr>
            <w:r w:rsidRPr="001E2F6E">
              <w:rPr>
                <w:color w:val="000000"/>
                <w:sz w:val="16"/>
                <w:szCs w:val="16"/>
                <w:lang w:eastAsia="es-ES"/>
              </w:rPr>
              <w:t>191.331.978</w:t>
            </w:r>
          </w:p>
        </w:tc>
      </w:tr>
      <w:tr w:rsidR="004A72E7" w:rsidRPr="001E2F6E" w:rsidTr="00396118">
        <w:trPr>
          <w:jc w:val="center"/>
        </w:trPr>
        <w:tc>
          <w:tcPr>
            <w:tcW w:w="3598" w:type="dxa"/>
            <w:tcBorders>
              <w:top w:val="nil"/>
              <w:left w:val="nil"/>
              <w:bottom w:val="single" w:sz="8" w:space="0" w:color="BFBFBF"/>
              <w:right w:val="single" w:sz="8" w:space="0" w:color="BFBFBF"/>
            </w:tcBorders>
          </w:tcPr>
          <w:p w:rsidR="004A72E7" w:rsidRPr="001E2F6E" w:rsidRDefault="004A72E7" w:rsidP="00781D09">
            <w:pPr>
              <w:spacing w:line="240" w:lineRule="exact"/>
              <w:ind w:left="227" w:hanging="227"/>
              <w:rPr>
                <w:color w:val="000000"/>
                <w:sz w:val="16"/>
                <w:szCs w:val="16"/>
                <w:lang w:eastAsia="es-ES"/>
              </w:rPr>
            </w:pPr>
            <w:r w:rsidRPr="001E2F6E">
              <w:rPr>
                <w:color w:val="000000"/>
                <w:sz w:val="16"/>
                <w:szCs w:val="16"/>
                <w:lang w:eastAsia="es-ES"/>
              </w:rPr>
              <w:tab/>
            </w:r>
            <w:r w:rsidRPr="001E2F6E">
              <w:rPr>
                <w:sz w:val="16"/>
                <w:szCs w:val="16"/>
                <w:lang w:val="eu-ES" w:eastAsia="es-ES"/>
              </w:rPr>
              <w:t>b.2. Esportazioak munduko gainerako lekuetara</w:t>
            </w:r>
          </w:p>
        </w:tc>
        <w:tc>
          <w:tcPr>
            <w:tcW w:w="1417" w:type="dxa"/>
            <w:tcBorders>
              <w:top w:val="nil"/>
              <w:left w:val="nil"/>
              <w:bottom w:val="single" w:sz="8" w:space="0" w:color="BFBFBF"/>
              <w:right w:val="single" w:sz="8" w:space="0" w:color="BFBFBF"/>
            </w:tcBorders>
            <w:vAlign w:val="bottom"/>
          </w:tcPr>
          <w:p w:rsidR="004A72E7" w:rsidRPr="001E2F6E" w:rsidRDefault="004A72E7" w:rsidP="00781D09">
            <w:pPr>
              <w:spacing w:line="240" w:lineRule="exact"/>
              <w:ind w:left="227" w:right="170" w:hanging="227"/>
              <w:jc w:val="right"/>
              <w:rPr>
                <w:color w:val="000000"/>
                <w:sz w:val="16"/>
                <w:szCs w:val="16"/>
                <w:lang w:eastAsia="es-ES"/>
              </w:rPr>
            </w:pPr>
            <w:r w:rsidRPr="001E2F6E">
              <w:rPr>
                <w:color w:val="000000"/>
                <w:sz w:val="16"/>
                <w:szCs w:val="16"/>
                <w:lang w:eastAsia="es-ES"/>
              </w:rPr>
              <w:t>853.430.223</w:t>
            </w:r>
          </w:p>
        </w:tc>
        <w:tc>
          <w:tcPr>
            <w:tcW w:w="1417" w:type="dxa"/>
            <w:tcBorders>
              <w:top w:val="nil"/>
              <w:left w:val="nil"/>
              <w:bottom w:val="single" w:sz="8" w:space="0" w:color="BFBFBF"/>
              <w:right w:val="single" w:sz="8" w:space="0" w:color="BFBFBF"/>
            </w:tcBorders>
            <w:vAlign w:val="bottom"/>
          </w:tcPr>
          <w:p w:rsidR="004A72E7" w:rsidRPr="001E2F6E" w:rsidRDefault="004A72E7" w:rsidP="00781D09">
            <w:pPr>
              <w:spacing w:line="240" w:lineRule="exact"/>
              <w:ind w:left="227" w:right="170" w:hanging="227"/>
              <w:jc w:val="right"/>
              <w:rPr>
                <w:color w:val="000000"/>
                <w:sz w:val="16"/>
                <w:szCs w:val="16"/>
                <w:lang w:eastAsia="es-ES"/>
              </w:rPr>
            </w:pPr>
            <w:r w:rsidRPr="001E2F6E">
              <w:rPr>
                <w:color w:val="000000"/>
                <w:sz w:val="16"/>
                <w:szCs w:val="16"/>
                <w:lang w:eastAsia="es-ES"/>
              </w:rPr>
              <w:t>1.084.868.598</w:t>
            </w:r>
          </w:p>
        </w:tc>
        <w:tc>
          <w:tcPr>
            <w:tcW w:w="1122" w:type="dxa"/>
            <w:tcBorders>
              <w:top w:val="nil"/>
              <w:left w:val="nil"/>
              <w:bottom w:val="single" w:sz="8" w:space="0" w:color="BFBFBF"/>
              <w:right w:val="single" w:sz="8" w:space="0" w:color="BFBFBF"/>
            </w:tcBorders>
            <w:vAlign w:val="bottom"/>
          </w:tcPr>
          <w:p w:rsidR="004A72E7" w:rsidRPr="001E2F6E" w:rsidRDefault="004A72E7" w:rsidP="00781D09">
            <w:pPr>
              <w:spacing w:line="240" w:lineRule="exact"/>
              <w:ind w:left="227" w:right="170" w:hanging="227"/>
              <w:jc w:val="right"/>
              <w:rPr>
                <w:color w:val="000000"/>
                <w:sz w:val="16"/>
                <w:szCs w:val="16"/>
                <w:lang w:eastAsia="es-ES"/>
              </w:rPr>
            </w:pPr>
            <w:r w:rsidRPr="001E2F6E">
              <w:rPr>
                <w:color w:val="000000"/>
                <w:spacing w:val="60"/>
                <w:sz w:val="16"/>
                <w:szCs w:val="16"/>
                <w:lang w:eastAsia="es-ES"/>
              </w:rPr>
              <w:t>%</w:t>
            </w:r>
            <w:r w:rsidRPr="001E2F6E">
              <w:rPr>
                <w:color w:val="000000"/>
                <w:sz w:val="16"/>
                <w:szCs w:val="16"/>
                <w:lang w:eastAsia="es-ES"/>
              </w:rPr>
              <w:t>27,1</w:t>
            </w:r>
          </w:p>
        </w:tc>
        <w:tc>
          <w:tcPr>
            <w:tcW w:w="1610" w:type="dxa"/>
            <w:tcBorders>
              <w:top w:val="nil"/>
              <w:left w:val="nil"/>
              <w:bottom w:val="single" w:sz="8" w:space="0" w:color="BFBFBF"/>
            </w:tcBorders>
            <w:vAlign w:val="bottom"/>
          </w:tcPr>
          <w:p w:rsidR="004A72E7" w:rsidRPr="001E2F6E" w:rsidRDefault="004A72E7" w:rsidP="00781D09">
            <w:pPr>
              <w:spacing w:line="240" w:lineRule="exact"/>
              <w:ind w:left="227" w:right="170" w:hanging="227"/>
              <w:jc w:val="right"/>
              <w:rPr>
                <w:color w:val="000000"/>
                <w:sz w:val="16"/>
                <w:szCs w:val="16"/>
                <w:lang w:eastAsia="es-ES"/>
              </w:rPr>
            </w:pPr>
            <w:r w:rsidRPr="001E2F6E">
              <w:rPr>
                <w:color w:val="000000"/>
                <w:sz w:val="16"/>
                <w:szCs w:val="16"/>
                <w:lang w:eastAsia="es-ES"/>
              </w:rPr>
              <w:t>231.438.375</w:t>
            </w:r>
          </w:p>
        </w:tc>
      </w:tr>
    </w:tbl>
    <w:p w:rsidR="004A72E7" w:rsidRPr="001E2F6E" w:rsidRDefault="004A72E7" w:rsidP="00781D09">
      <w:pPr>
        <w:ind w:left="426" w:hanging="426"/>
      </w:pPr>
    </w:p>
    <w:p w:rsidR="004A72E7" w:rsidRPr="001E2F6E" w:rsidRDefault="004A72E7" w:rsidP="00781D09">
      <w:pPr>
        <w:ind w:left="426" w:hanging="426"/>
      </w:pPr>
    </w:p>
    <w:p w:rsidR="004A72E7" w:rsidRPr="001E2F6E" w:rsidRDefault="004A72E7" w:rsidP="00781D09">
      <w:pPr>
        <w:ind w:left="426" w:hanging="426"/>
        <w:rPr>
          <w:lang w:val="eu-ES"/>
        </w:rPr>
      </w:pPr>
      <w:r w:rsidRPr="001E2F6E">
        <w:rPr>
          <w:color w:val="000000"/>
        </w:rPr>
        <w:tab/>
      </w:r>
      <w:r w:rsidRPr="001E2F6E">
        <w:rPr>
          <w:lang w:val="eu-ES"/>
        </w:rPr>
        <w:t xml:space="preserve">Esportazioen hazkundearen ondorio nagusia hau da: enpresa esportatzaileen guztizko fakturazioa </w:t>
      </w:r>
      <w:r w:rsidRPr="001E2F6E">
        <w:rPr>
          <w:spacing w:val="60"/>
          <w:lang w:val="eu-ES"/>
        </w:rPr>
        <w:t>%</w:t>
      </w:r>
      <w:r w:rsidRPr="001E2F6E">
        <w:rPr>
          <w:lang w:val="eu-ES"/>
        </w:rPr>
        <w:t xml:space="preserve">7,6 handitu zen 2010etik 2012ra bitartean. Horren aldean, kanpo-merkatuetara bideratuta ez zeuden enpresen salmentek </w:t>
      </w:r>
      <w:r w:rsidRPr="001E2F6E">
        <w:rPr>
          <w:spacing w:val="60"/>
          <w:lang w:val="eu-ES"/>
        </w:rPr>
        <w:t>%</w:t>
      </w:r>
      <w:r w:rsidRPr="001E2F6E">
        <w:rPr>
          <w:lang w:val="eu-ES"/>
        </w:rPr>
        <w:t>13,6ko beherakada izan zuten.</w:t>
      </w:r>
      <w:r w:rsidRPr="001E2F6E">
        <w:rPr>
          <w:color w:val="000000"/>
          <w:lang w:val="eu-ES"/>
        </w:rPr>
        <w:t xml:space="preserve"> </w:t>
      </w:r>
      <w:r w:rsidRPr="001E2F6E">
        <w:rPr>
          <w:lang w:val="eu-ES"/>
        </w:rPr>
        <w:t>Gainera, enpresa esportatzaileen barne-salmenten beherakada erlatiboa txikiagoa izan zen.</w:t>
      </w:r>
    </w:p>
    <w:p w:rsidR="004A72E7" w:rsidRPr="001E2F6E" w:rsidRDefault="004A72E7" w:rsidP="00781D09">
      <w:pPr>
        <w:ind w:left="426" w:hanging="426"/>
        <w:rPr>
          <w:lang w:val="eu-ES"/>
        </w:rPr>
      </w:pPr>
    </w:p>
    <w:p w:rsidR="004A72E7" w:rsidRPr="001E2F6E" w:rsidRDefault="004A72E7" w:rsidP="00781D09">
      <w:pPr>
        <w:ind w:left="426" w:hanging="426"/>
        <w:rPr>
          <w:color w:val="000000"/>
          <w:lang w:val="eu-ES"/>
        </w:rPr>
      </w:pPr>
      <w:r w:rsidRPr="001E2F6E">
        <w:rPr>
          <w:lang w:val="eu-ES"/>
        </w:rPr>
        <w:tab/>
        <w:t xml:space="preserve">Europar Batasunean egindako salmenten bilakaera aldatu egin zen, eta horrek eragin zuen esportazioen aurrerakada handia, kontuan hartuta Europar Batasuneko merkatua bereziki zaila dela, maila teknologiko eta lehiakor handiagoko enpresen ahalmen lehiakor handia baitute. Hain zuzen ere, 2008tik 2010era bitartean, Europarako esportazioek </w:t>
      </w:r>
      <w:r w:rsidRPr="001E2F6E">
        <w:rPr>
          <w:spacing w:val="60"/>
          <w:lang w:val="eu-ES"/>
        </w:rPr>
        <w:t>%</w:t>
      </w:r>
      <w:r w:rsidRPr="001E2F6E">
        <w:rPr>
          <w:lang w:val="eu-ES"/>
        </w:rPr>
        <w:t xml:space="preserve">28,7ko beherakada izan zuten, eta 2010etik 2012ra bitartean, ostera, </w:t>
      </w:r>
      <w:r w:rsidRPr="001E2F6E">
        <w:rPr>
          <w:spacing w:val="60"/>
          <w:lang w:val="eu-ES"/>
        </w:rPr>
        <w:t>%</w:t>
      </w:r>
      <w:r w:rsidRPr="001E2F6E">
        <w:rPr>
          <w:lang w:val="eu-ES"/>
        </w:rPr>
        <w:t>13,7 handitu ziren.</w:t>
      </w:r>
      <w:r w:rsidRPr="001E2F6E">
        <w:rPr>
          <w:color w:val="000000"/>
          <w:lang w:val="eu-ES"/>
        </w:rPr>
        <w:t xml:space="preserve"> </w:t>
      </w:r>
      <w:r w:rsidRPr="001E2F6E">
        <w:rPr>
          <w:lang w:val="eu-ES"/>
        </w:rPr>
        <w:t>Hala ere, merkatu horretan, 2012ko esportazio-bolumena (1.588,4 milioi euro) askoz txikiagoa zen artean ere 2008koa baino (1.959,9 milioi euro).</w:t>
      </w:r>
    </w:p>
    <w:p w:rsidR="004A72E7" w:rsidRPr="001E2F6E" w:rsidRDefault="004A72E7" w:rsidP="00781D09">
      <w:pPr>
        <w:pStyle w:val="Prrafodelista"/>
        <w:spacing w:after="0" w:line="360" w:lineRule="auto"/>
        <w:ind w:left="426" w:hanging="426"/>
        <w:rPr>
          <w:rFonts w:ascii="Arial" w:hAnsi="Arial" w:cs="Arial"/>
          <w:color w:val="000000"/>
          <w:lang w:val="eu-ES"/>
        </w:rPr>
      </w:pPr>
    </w:p>
    <w:p w:rsidR="004A72E7" w:rsidRPr="001E2F6E" w:rsidRDefault="004A72E7" w:rsidP="00781D09">
      <w:pPr>
        <w:ind w:left="426" w:hanging="426"/>
        <w:rPr>
          <w:color w:val="000000"/>
          <w:lang w:val="eu-ES"/>
        </w:rPr>
      </w:pPr>
      <w:r w:rsidRPr="001E2F6E">
        <w:rPr>
          <w:color w:val="000000"/>
          <w:lang w:val="eu-ES"/>
        </w:rPr>
        <w:tab/>
      </w:r>
      <w:r w:rsidRPr="001E2F6E">
        <w:rPr>
          <w:lang w:val="eu-ES"/>
        </w:rPr>
        <w:t xml:space="preserve">Munduko gainerako lekuetara egindako esportazioen goranzko joerak bere horretan jarraitu zuen, eta batez ere, horrek eragin zuen 2012ko esportazio-maximoa: 2010etik 2012ra bitartean, munduko gainerako lekuetara egindako esportazioak </w:t>
      </w:r>
      <w:r w:rsidRPr="001E2F6E">
        <w:rPr>
          <w:spacing w:val="60"/>
          <w:lang w:val="eu-ES"/>
        </w:rPr>
        <w:t>%</w:t>
      </w:r>
      <w:r w:rsidRPr="001E2F6E">
        <w:rPr>
          <w:lang w:val="eu-ES"/>
        </w:rPr>
        <w:t xml:space="preserve">27,1 handitu ziren, eta beraz, jarraipena eman zitzaion 2008-2010 biurtekoko </w:t>
      </w:r>
      <w:r w:rsidRPr="001E2F6E">
        <w:rPr>
          <w:spacing w:val="60"/>
          <w:lang w:val="eu-ES"/>
        </w:rPr>
        <w:t>%</w:t>
      </w:r>
      <w:r w:rsidRPr="001E2F6E">
        <w:rPr>
          <w:lang w:val="eu-ES"/>
        </w:rPr>
        <w:t>83,2ko gorakadari. 2008an, 465,7 milioi euroko esportazioak egin ziren munduko gainerako lekuetara, eta 2012an, berriz, 1.084,9 milioi eurokoak izan ziren.</w:t>
      </w:r>
    </w:p>
    <w:p w:rsidR="004A72E7" w:rsidRPr="001E2F6E" w:rsidRDefault="004A72E7" w:rsidP="00781D09">
      <w:pPr>
        <w:pStyle w:val="Prrafodelista"/>
        <w:spacing w:after="0" w:line="360" w:lineRule="auto"/>
        <w:ind w:left="426" w:hanging="426"/>
        <w:rPr>
          <w:rFonts w:ascii="Arial" w:hAnsi="Arial" w:cs="Arial"/>
          <w:color w:val="000000"/>
          <w:lang w:val="eu-ES"/>
        </w:rPr>
      </w:pPr>
    </w:p>
    <w:p w:rsidR="004A72E7" w:rsidRPr="001E2F6E" w:rsidRDefault="004A72E7" w:rsidP="00781D09">
      <w:pPr>
        <w:ind w:left="426" w:hanging="426"/>
        <w:rPr>
          <w:color w:val="000000"/>
          <w:lang w:val="eu-ES"/>
        </w:rPr>
      </w:pPr>
      <w:r w:rsidRPr="001E2F6E">
        <w:rPr>
          <w:color w:val="000000"/>
          <w:lang w:val="eu-ES"/>
        </w:rPr>
        <w:tab/>
      </w:r>
      <w:r w:rsidRPr="001E2F6E">
        <w:rPr>
          <w:lang w:val="eu-ES"/>
        </w:rPr>
        <w:t xml:space="preserve">Portzentajezko terminoetan, aldaketa horien ondorioz, Euskadiko Gizarte Ekonomiak Europar Batasunera egindako esportazioen garrantzia gero eta txikiagoa da: 2008an </w:t>
      </w:r>
      <w:r w:rsidRPr="001E2F6E">
        <w:rPr>
          <w:spacing w:val="60"/>
          <w:lang w:val="eu-ES"/>
        </w:rPr>
        <w:t>%</w:t>
      </w:r>
      <w:r w:rsidRPr="001E2F6E">
        <w:rPr>
          <w:lang w:val="eu-ES"/>
        </w:rPr>
        <w:t xml:space="preserve">80,8koa, 2010ean </w:t>
      </w:r>
      <w:r w:rsidRPr="001E2F6E">
        <w:rPr>
          <w:spacing w:val="60"/>
          <w:lang w:val="eu-ES"/>
        </w:rPr>
        <w:t>%</w:t>
      </w:r>
      <w:r w:rsidRPr="001E2F6E">
        <w:rPr>
          <w:lang w:val="eu-ES"/>
        </w:rPr>
        <w:t xml:space="preserve">62,1ekoa, eta 2012an </w:t>
      </w:r>
      <w:r w:rsidRPr="001E2F6E">
        <w:rPr>
          <w:spacing w:val="60"/>
          <w:lang w:val="eu-ES"/>
        </w:rPr>
        <w:t>%</w:t>
      </w:r>
      <w:r w:rsidRPr="001E2F6E">
        <w:rPr>
          <w:lang w:val="eu-ES"/>
        </w:rPr>
        <w:t>59,4koa.</w:t>
      </w:r>
      <w:r w:rsidRPr="001E2F6E">
        <w:rPr>
          <w:color w:val="000000"/>
          <w:lang w:val="eu-ES"/>
        </w:rPr>
        <w:t xml:space="preserve"> </w:t>
      </w:r>
      <w:r w:rsidRPr="001E2F6E">
        <w:rPr>
          <w:lang w:val="eu-ES"/>
        </w:rPr>
        <w:t xml:space="preserve">Asiaren eta Hego Amerikaren garrantzia gero eta handiagoa da, eta beraz, sektoreak haietara egiten dituen esportazioek ere gora egiten dute. 2008an, eskualde horien parte-hartze orokorra </w:t>
      </w:r>
      <w:r w:rsidRPr="001E2F6E">
        <w:rPr>
          <w:spacing w:val="60"/>
          <w:lang w:val="eu-ES"/>
        </w:rPr>
        <w:t>%</w:t>
      </w:r>
      <w:r w:rsidRPr="001E2F6E">
        <w:rPr>
          <w:lang w:val="eu-ES"/>
        </w:rPr>
        <w:t xml:space="preserve">14,7koa izan zen, eta 2010ean eta 2012an, </w:t>
      </w:r>
      <w:r w:rsidRPr="001E2F6E">
        <w:rPr>
          <w:spacing w:val="60"/>
          <w:lang w:val="eu-ES"/>
        </w:rPr>
        <w:t>%</w:t>
      </w:r>
      <w:r w:rsidRPr="001E2F6E">
        <w:rPr>
          <w:lang w:val="eu-ES"/>
        </w:rPr>
        <w:t xml:space="preserve">25,8koa eta </w:t>
      </w:r>
      <w:r w:rsidRPr="001E2F6E">
        <w:rPr>
          <w:spacing w:val="60"/>
          <w:lang w:val="eu-ES"/>
        </w:rPr>
        <w:t>%</w:t>
      </w:r>
      <w:r w:rsidRPr="001E2F6E">
        <w:rPr>
          <w:lang w:val="eu-ES"/>
        </w:rPr>
        <w:t xml:space="preserve">27,5ekoa, hurrenez hurren. Gainerako eskualdeei (Estatu Batuak barne) dagokienez, esportazioak 2008ko </w:t>
      </w:r>
      <w:r w:rsidRPr="001E2F6E">
        <w:rPr>
          <w:spacing w:val="60"/>
          <w:lang w:val="eu-ES"/>
        </w:rPr>
        <w:t>%</w:t>
      </w:r>
      <w:r w:rsidRPr="001E2F6E">
        <w:rPr>
          <w:lang w:val="eu-ES"/>
        </w:rPr>
        <w:t xml:space="preserve">4,5etik 2012ko </w:t>
      </w:r>
      <w:r w:rsidRPr="001E2F6E">
        <w:rPr>
          <w:spacing w:val="60"/>
          <w:lang w:val="eu-ES"/>
        </w:rPr>
        <w:t>%</w:t>
      </w:r>
      <w:r w:rsidRPr="001E2F6E">
        <w:rPr>
          <w:lang w:val="eu-ES"/>
        </w:rPr>
        <w:t>13,1era igaro ziren.</w:t>
      </w:r>
    </w:p>
    <w:p w:rsidR="004A72E7" w:rsidRPr="001E2F6E" w:rsidRDefault="004A72E7" w:rsidP="00354E9D">
      <w:pPr>
        <w:pStyle w:val="Prrafodelista"/>
        <w:spacing w:after="0" w:line="360" w:lineRule="auto"/>
        <w:ind w:left="227" w:hanging="227"/>
        <w:rPr>
          <w:rFonts w:ascii="Arial" w:hAnsi="Arial" w:cs="Arial"/>
          <w:lang w:val="eu-ES"/>
        </w:rPr>
      </w:pPr>
    </w:p>
    <w:p w:rsidR="004A72E7" w:rsidRPr="001E2F6E" w:rsidRDefault="004A72E7" w:rsidP="00354E9D">
      <w:pPr>
        <w:pStyle w:val="Prrafodelista"/>
        <w:spacing w:after="0" w:line="360" w:lineRule="auto"/>
        <w:ind w:left="227" w:hanging="227"/>
        <w:rPr>
          <w:rFonts w:ascii="Arial" w:hAnsi="Arial" w:cs="Arial"/>
          <w:lang w:val="eu-ES"/>
        </w:rPr>
      </w:pPr>
    </w:p>
    <w:p w:rsidR="004A72E7" w:rsidRPr="001E2F6E" w:rsidRDefault="004A72E7" w:rsidP="00354E9D">
      <w:pPr>
        <w:pStyle w:val="Prrafodelista"/>
        <w:spacing w:after="0" w:line="360" w:lineRule="auto"/>
        <w:ind w:left="227" w:hanging="227"/>
        <w:rPr>
          <w:rFonts w:ascii="Arial" w:hAnsi="Arial" w:cs="Arial"/>
          <w:lang w:val="eu-ES"/>
        </w:rPr>
      </w:pPr>
    </w:p>
    <w:p w:rsidR="00D64E67" w:rsidRPr="001E2F6E" w:rsidRDefault="00D64E67" w:rsidP="001225C2">
      <w:pPr>
        <w:spacing w:line="240" w:lineRule="auto"/>
        <w:jc w:val="center"/>
        <w:rPr>
          <w:b/>
          <w:bCs/>
          <w:color w:val="1F497D" w:themeColor="text2"/>
          <w:sz w:val="18"/>
          <w:szCs w:val="18"/>
          <w:lang w:val="eu-ES"/>
        </w:rPr>
      </w:pPr>
    </w:p>
    <w:p w:rsidR="004A72E7" w:rsidRPr="001E2F6E" w:rsidRDefault="004A72E7" w:rsidP="001225C2">
      <w:pPr>
        <w:spacing w:line="240" w:lineRule="auto"/>
        <w:jc w:val="center"/>
        <w:rPr>
          <w:b/>
          <w:bCs/>
          <w:color w:val="1F497D" w:themeColor="text2"/>
          <w:sz w:val="18"/>
          <w:szCs w:val="18"/>
          <w:lang w:val="eu-ES"/>
        </w:rPr>
      </w:pPr>
      <w:r w:rsidRPr="001E2F6E">
        <w:rPr>
          <w:b/>
          <w:bCs/>
          <w:color w:val="1F497D" w:themeColor="text2"/>
          <w:sz w:val="18"/>
          <w:szCs w:val="18"/>
          <w:lang w:val="eu-ES"/>
        </w:rPr>
        <w:t xml:space="preserve">ESPORTAZIO-BOLUMENA ESKUALDEAREN ARABERA ETA BILAKAERA, 2008, 2010 eta 2012 </w:t>
      </w:r>
    </w:p>
    <w:p w:rsidR="004A72E7" w:rsidRPr="001E2F6E" w:rsidRDefault="004A72E7" w:rsidP="001225C2">
      <w:pPr>
        <w:spacing w:line="240" w:lineRule="auto"/>
        <w:jc w:val="center"/>
        <w:rPr>
          <w:b/>
          <w:bCs/>
          <w:color w:val="1F497D" w:themeColor="text2"/>
          <w:sz w:val="18"/>
          <w:szCs w:val="18"/>
        </w:rPr>
      </w:pPr>
      <w:r w:rsidRPr="001E2F6E">
        <w:rPr>
          <w:b/>
          <w:bCs/>
          <w:color w:val="1F497D" w:themeColor="text2"/>
          <w:sz w:val="18"/>
          <w:szCs w:val="18"/>
          <w:lang w:val="eu-ES"/>
        </w:rPr>
        <w:t xml:space="preserve"> (kopuru absolutuak eta % bertikalak)</w:t>
      </w:r>
    </w:p>
    <w:tbl>
      <w:tblPr>
        <w:tblW w:w="8736" w:type="dxa"/>
        <w:jc w:val="center"/>
        <w:tblInd w:w="-336" w:type="dxa"/>
        <w:tblCellMar>
          <w:left w:w="70" w:type="dxa"/>
          <w:right w:w="70" w:type="dxa"/>
        </w:tblCellMar>
        <w:tblLook w:val="00A0" w:firstRow="1" w:lastRow="0" w:firstColumn="1" w:lastColumn="0" w:noHBand="0" w:noVBand="0"/>
      </w:tblPr>
      <w:tblGrid>
        <w:gridCol w:w="1470"/>
        <w:gridCol w:w="1334"/>
        <w:gridCol w:w="1088"/>
        <w:gridCol w:w="1334"/>
        <w:gridCol w:w="1088"/>
        <w:gridCol w:w="1334"/>
        <w:gridCol w:w="1088"/>
      </w:tblGrid>
      <w:tr w:rsidR="004A72E7" w:rsidRPr="001E2F6E" w:rsidTr="00396118">
        <w:trPr>
          <w:jc w:val="center"/>
        </w:trPr>
        <w:tc>
          <w:tcPr>
            <w:tcW w:w="1470" w:type="dxa"/>
            <w:tcBorders>
              <w:top w:val="single" w:sz="8" w:space="0" w:color="BFBFBF"/>
              <w:left w:val="nil"/>
              <w:bottom w:val="single" w:sz="8" w:space="0" w:color="BFBFBF"/>
              <w:right w:val="single" w:sz="8" w:space="0" w:color="BFBFBF"/>
            </w:tcBorders>
            <w:shd w:val="clear" w:color="000000" w:fill="DBE5F1"/>
          </w:tcPr>
          <w:p w:rsidR="004A72E7" w:rsidRPr="001E2F6E" w:rsidRDefault="004A72E7" w:rsidP="00781D09">
            <w:pPr>
              <w:spacing w:line="240" w:lineRule="exact"/>
              <w:jc w:val="left"/>
              <w:rPr>
                <w:rFonts w:ascii="Calibri" w:hAnsi="Calibri" w:cs="Calibri"/>
                <w:sz w:val="22"/>
                <w:szCs w:val="22"/>
                <w:lang w:eastAsia="es-ES"/>
              </w:rPr>
            </w:pPr>
            <w:r w:rsidRPr="001E2F6E">
              <w:rPr>
                <w:rFonts w:ascii="Calibri" w:hAnsi="Calibri" w:cs="Calibri"/>
                <w:sz w:val="22"/>
                <w:szCs w:val="22"/>
                <w:lang w:eastAsia="es-ES"/>
              </w:rPr>
              <w:t> </w:t>
            </w:r>
          </w:p>
        </w:tc>
        <w:tc>
          <w:tcPr>
            <w:tcW w:w="1334" w:type="dxa"/>
            <w:tcBorders>
              <w:top w:val="single" w:sz="8" w:space="0" w:color="BFBFBF"/>
              <w:left w:val="nil"/>
              <w:bottom w:val="single" w:sz="8" w:space="0" w:color="BFBFBF"/>
              <w:right w:val="single" w:sz="8" w:space="0" w:color="BFBFBF"/>
            </w:tcBorders>
            <w:shd w:val="clear" w:color="000000" w:fill="DBE5F1"/>
            <w:vAlign w:val="center"/>
          </w:tcPr>
          <w:p w:rsidR="004A72E7" w:rsidRPr="001E2F6E" w:rsidRDefault="004A72E7" w:rsidP="00781D09">
            <w:pPr>
              <w:spacing w:line="240" w:lineRule="exact"/>
              <w:jc w:val="center"/>
              <w:rPr>
                <w:b/>
                <w:bCs/>
                <w:sz w:val="16"/>
                <w:szCs w:val="16"/>
                <w:lang w:eastAsia="es-ES"/>
              </w:rPr>
            </w:pPr>
            <w:r w:rsidRPr="001E2F6E">
              <w:rPr>
                <w:b/>
                <w:bCs/>
                <w:sz w:val="16"/>
                <w:szCs w:val="16"/>
                <w:lang w:val="eu-ES" w:eastAsia="es-ES"/>
              </w:rPr>
              <w:t>Abs.</w:t>
            </w:r>
            <w:r w:rsidRPr="001E2F6E">
              <w:rPr>
                <w:b/>
                <w:bCs/>
                <w:sz w:val="16"/>
                <w:szCs w:val="16"/>
                <w:lang w:eastAsia="es-ES"/>
              </w:rPr>
              <w:t xml:space="preserve"> 2008</w:t>
            </w:r>
          </w:p>
        </w:tc>
        <w:tc>
          <w:tcPr>
            <w:tcW w:w="1088" w:type="dxa"/>
            <w:tcBorders>
              <w:top w:val="single" w:sz="8" w:space="0" w:color="BFBFBF"/>
              <w:left w:val="nil"/>
              <w:bottom w:val="single" w:sz="8" w:space="0" w:color="BFBFBF"/>
              <w:right w:val="single" w:sz="8" w:space="0" w:color="BFBFBF"/>
            </w:tcBorders>
            <w:shd w:val="clear" w:color="000000" w:fill="DBE5F1"/>
            <w:vAlign w:val="center"/>
          </w:tcPr>
          <w:p w:rsidR="004A72E7" w:rsidRPr="001E2F6E" w:rsidRDefault="004A72E7" w:rsidP="00781D09">
            <w:pPr>
              <w:spacing w:line="240" w:lineRule="exact"/>
              <w:jc w:val="center"/>
              <w:rPr>
                <w:b/>
                <w:bCs/>
                <w:sz w:val="16"/>
                <w:szCs w:val="16"/>
                <w:lang w:eastAsia="es-ES"/>
              </w:rPr>
            </w:pPr>
            <w:r w:rsidRPr="001E2F6E">
              <w:rPr>
                <w:b/>
                <w:bCs/>
                <w:sz w:val="16"/>
                <w:szCs w:val="16"/>
                <w:lang w:val="eu-ES" w:eastAsia="es-ES"/>
              </w:rPr>
              <w:t>% ber.</w:t>
            </w:r>
          </w:p>
        </w:tc>
        <w:tc>
          <w:tcPr>
            <w:tcW w:w="1334" w:type="dxa"/>
            <w:tcBorders>
              <w:top w:val="single" w:sz="8" w:space="0" w:color="BFBFBF"/>
              <w:left w:val="nil"/>
              <w:bottom w:val="single" w:sz="8" w:space="0" w:color="BFBFBF"/>
              <w:right w:val="single" w:sz="8" w:space="0" w:color="BFBFBF"/>
            </w:tcBorders>
            <w:shd w:val="clear" w:color="000000" w:fill="DBE5F1"/>
            <w:vAlign w:val="center"/>
          </w:tcPr>
          <w:p w:rsidR="004A72E7" w:rsidRPr="001E2F6E" w:rsidRDefault="004A72E7" w:rsidP="00781D09">
            <w:pPr>
              <w:spacing w:line="240" w:lineRule="exact"/>
              <w:jc w:val="center"/>
              <w:rPr>
                <w:b/>
                <w:bCs/>
                <w:sz w:val="16"/>
                <w:szCs w:val="16"/>
                <w:lang w:eastAsia="es-ES"/>
              </w:rPr>
            </w:pPr>
            <w:r w:rsidRPr="001E2F6E">
              <w:rPr>
                <w:b/>
                <w:bCs/>
                <w:sz w:val="16"/>
                <w:szCs w:val="16"/>
                <w:lang w:val="eu-ES" w:eastAsia="es-ES"/>
              </w:rPr>
              <w:t>Abs.</w:t>
            </w:r>
            <w:r w:rsidRPr="001E2F6E">
              <w:rPr>
                <w:b/>
                <w:bCs/>
                <w:sz w:val="16"/>
                <w:szCs w:val="16"/>
                <w:lang w:eastAsia="es-ES"/>
              </w:rPr>
              <w:t xml:space="preserve"> 2010</w:t>
            </w:r>
          </w:p>
        </w:tc>
        <w:tc>
          <w:tcPr>
            <w:tcW w:w="1088" w:type="dxa"/>
            <w:tcBorders>
              <w:top w:val="single" w:sz="8" w:space="0" w:color="BFBFBF"/>
              <w:left w:val="nil"/>
              <w:bottom w:val="single" w:sz="8" w:space="0" w:color="BFBFBF"/>
              <w:right w:val="single" w:sz="8" w:space="0" w:color="BFBFBF"/>
            </w:tcBorders>
            <w:shd w:val="clear" w:color="000000" w:fill="DBE5F1"/>
            <w:vAlign w:val="center"/>
          </w:tcPr>
          <w:p w:rsidR="004A72E7" w:rsidRPr="001E2F6E" w:rsidRDefault="004A72E7" w:rsidP="00781D09">
            <w:pPr>
              <w:spacing w:line="240" w:lineRule="exact"/>
              <w:jc w:val="center"/>
              <w:rPr>
                <w:b/>
                <w:bCs/>
                <w:sz w:val="16"/>
                <w:szCs w:val="16"/>
                <w:lang w:eastAsia="es-ES"/>
              </w:rPr>
            </w:pPr>
            <w:r w:rsidRPr="001E2F6E">
              <w:rPr>
                <w:b/>
                <w:bCs/>
                <w:sz w:val="16"/>
                <w:szCs w:val="16"/>
                <w:lang w:val="eu-ES" w:eastAsia="es-ES"/>
              </w:rPr>
              <w:t>% ber.</w:t>
            </w:r>
          </w:p>
        </w:tc>
        <w:tc>
          <w:tcPr>
            <w:tcW w:w="1334" w:type="dxa"/>
            <w:tcBorders>
              <w:top w:val="single" w:sz="8" w:space="0" w:color="BFBFBF"/>
              <w:left w:val="nil"/>
              <w:bottom w:val="single" w:sz="8" w:space="0" w:color="BFBFBF"/>
              <w:right w:val="single" w:sz="8" w:space="0" w:color="BFBFBF"/>
            </w:tcBorders>
            <w:shd w:val="clear" w:color="000000" w:fill="DBE5F1"/>
            <w:vAlign w:val="center"/>
          </w:tcPr>
          <w:p w:rsidR="004A72E7" w:rsidRPr="001E2F6E" w:rsidRDefault="004A72E7" w:rsidP="00781D09">
            <w:pPr>
              <w:spacing w:line="240" w:lineRule="exact"/>
              <w:jc w:val="center"/>
              <w:rPr>
                <w:b/>
                <w:bCs/>
                <w:sz w:val="16"/>
                <w:szCs w:val="16"/>
                <w:lang w:eastAsia="es-ES"/>
              </w:rPr>
            </w:pPr>
            <w:r w:rsidRPr="001E2F6E">
              <w:rPr>
                <w:b/>
                <w:bCs/>
                <w:sz w:val="16"/>
                <w:szCs w:val="16"/>
                <w:lang w:val="eu-ES" w:eastAsia="es-ES"/>
              </w:rPr>
              <w:t>Abs.</w:t>
            </w:r>
            <w:r w:rsidRPr="001E2F6E">
              <w:rPr>
                <w:b/>
                <w:bCs/>
                <w:sz w:val="16"/>
                <w:szCs w:val="16"/>
                <w:lang w:eastAsia="es-ES"/>
              </w:rPr>
              <w:t xml:space="preserve"> 2012</w:t>
            </w:r>
          </w:p>
        </w:tc>
        <w:tc>
          <w:tcPr>
            <w:tcW w:w="1088" w:type="dxa"/>
            <w:tcBorders>
              <w:top w:val="single" w:sz="8" w:space="0" w:color="BFBFBF"/>
              <w:left w:val="nil"/>
              <w:bottom w:val="single" w:sz="8" w:space="0" w:color="BFBFBF"/>
            </w:tcBorders>
            <w:shd w:val="clear" w:color="000000" w:fill="DBE5F1"/>
            <w:vAlign w:val="center"/>
          </w:tcPr>
          <w:p w:rsidR="004A72E7" w:rsidRPr="001E2F6E" w:rsidRDefault="004A72E7" w:rsidP="00781D09">
            <w:pPr>
              <w:spacing w:line="240" w:lineRule="exact"/>
              <w:jc w:val="center"/>
              <w:rPr>
                <w:b/>
                <w:bCs/>
                <w:sz w:val="16"/>
                <w:szCs w:val="16"/>
                <w:lang w:eastAsia="es-ES"/>
              </w:rPr>
            </w:pPr>
            <w:r w:rsidRPr="001E2F6E">
              <w:rPr>
                <w:b/>
                <w:bCs/>
                <w:sz w:val="16"/>
                <w:szCs w:val="16"/>
                <w:lang w:val="eu-ES" w:eastAsia="es-ES"/>
              </w:rPr>
              <w:t>% ber.</w:t>
            </w:r>
          </w:p>
        </w:tc>
      </w:tr>
      <w:tr w:rsidR="004A72E7" w:rsidRPr="001E2F6E" w:rsidTr="00396118">
        <w:trPr>
          <w:jc w:val="center"/>
        </w:trPr>
        <w:tc>
          <w:tcPr>
            <w:tcW w:w="1470" w:type="dxa"/>
            <w:tcBorders>
              <w:top w:val="nil"/>
              <w:left w:val="nil"/>
              <w:bottom w:val="nil"/>
              <w:right w:val="single" w:sz="8" w:space="0" w:color="BFBFBF"/>
            </w:tcBorders>
          </w:tcPr>
          <w:p w:rsidR="004A72E7" w:rsidRPr="001E2F6E" w:rsidRDefault="004A72E7" w:rsidP="00781D09">
            <w:pPr>
              <w:spacing w:line="240" w:lineRule="exact"/>
              <w:rPr>
                <w:sz w:val="16"/>
                <w:szCs w:val="16"/>
                <w:lang w:eastAsia="es-ES"/>
              </w:rPr>
            </w:pPr>
            <w:r w:rsidRPr="001E2F6E">
              <w:rPr>
                <w:sz w:val="16"/>
                <w:szCs w:val="16"/>
                <w:lang w:val="eu-ES" w:eastAsia="es-ES"/>
              </w:rPr>
              <w:t>Europa</w:t>
            </w:r>
          </w:p>
        </w:tc>
        <w:tc>
          <w:tcPr>
            <w:tcW w:w="1334" w:type="dxa"/>
            <w:tcBorders>
              <w:top w:val="nil"/>
              <w:left w:val="nil"/>
              <w:bottom w:val="nil"/>
              <w:right w:val="single" w:sz="8" w:space="0" w:color="BFBFBF"/>
            </w:tcBorders>
          </w:tcPr>
          <w:p w:rsidR="004A72E7" w:rsidRPr="001E2F6E" w:rsidRDefault="004A72E7" w:rsidP="00781D09">
            <w:pPr>
              <w:spacing w:line="240" w:lineRule="exact"/>
              <w:ind w:right="170"/>
              <w:jc w:val="right"/>
              <w:rPr>
                <w:sz w:val="16"/>
                <w:szCs w:val="16"/>
                <w:lang w:eastAsia="es-ES"/>
              </w:rPr>
            </w:pPr>
            <w:r w:rsidRPr="001E2F6E">
              <w:rPr>
                <w:sz w:val="16"/>
                <w:szCs w:val="16"/>
                <w:lang w:eastAsia="es-ES"/>
              </w:rPr>
              <w:t>1.959.861.909</w:t>
            </w:r>
          </w:p>
        </w:tc>
        <w:tc>
          <w:tcPr>
            <w:tcW w:w="1088" w:type="dxa"/>
            <w:tcBorders>
              <w:top w:val="nil"/>
              <w:left w:val="nil"/>
              <w:bottom w:val="nil"/>
              <w:right w:val="single" w:sz="8" w:space="0" w:color="BFBFBF"/>
            </w:tcBorders>
          </w:tcPr>
          <w:p w:rsidR="004A72E7" w:rsidRPr="001E2F6E" w:rsidRDefault="004A72E7" w:rsidP="00781D09">
            <w:pPr>
              <w:spacing w:line="240" w:lineRule="exact"/>
              <w:ind w:right="170"/>
              <w:jc w:val="right"/>
              <w:rPr>
                <w:sz w:val="16"/>
                <w:szCs w:val="16"/>
                <w:lang w:eastAsia="es-ES"/>
              </w:rPr>
            </w:pPr>
            <w:r w:rsidRPr="001E2F6E">
              <w:rPr>
                <w:sz w:val="16"/>
                <w:szCs w:val="16"/>
                <w:lang w:eastAsia="es-ES"/>
              </w:rPr>
              <w:t>80,8</w:t>
            </w:r>
          </w:p>
        </w:tc>
        <w:tc>
          <w:tcPr>
            <w:tcW w:w="1334" w:type="dxa"/>
            <w:tcBorders>
              <w:top w:val="nil"/>
              <w:left w:val="nil"/>
              <w:bottom w:val="nil"/>
              <w:right w:val="single" w:sz="8" w:space="0" w:color="BFBFBF"/>
            </w:tcBorders>
          </w:tcPr>
          <w:p w:rsidR="004A72E7" w:rsidRPr="001E2F6E" w:rsidRDefault="004A72E7" w:rsidP="00781D09">
            <w:pPr>
              <w:spacing w:line="240" w:lineRule="exact"/>
              <w:ind w:right="170"/>
              <w:jc w:val="right"/>
              <w:rPr>
                <w:sz w:val="16"/>
                <w:szCs w:val="16"/>
                <w:lang w:eastAsia="es-ES"/>
              </w:rPr>
            </w:pPr>
            <w:r w:rsidRPr="001E2F6E">
              <w:rPr>
                <w:sz w:val="16"/>
                <w:szCs w:val="16"/>
                <w:lang w:eastAsia="es-ES"/>
              </w:rPr>
              <w:t>1.397.054.639</w:t>
            </w:r>
          </w:p>
        </w:tc>
        <w:tc>
          <w:tcPr>
            <w:tcW w:w="1088" w:type="dxa"/>
            <w:tcBorders>
              <w:top w:val="nil"/>
              <w:left w:val="nil"/>
              <w:bottom w:val="nil"/>
              <w:right w:val="single" w:sz="8" w:space="0" w:color="BFBFBF"/>
            </w:tcBorders>
          </w:tcPr>
          <w:p w:rsidR="004A72E7" w:rsidRPr="001E2F6E" w:rsidRDefault="004A72E7" w:rsidP="00781D09">
            <w:pPr>
              <w:spacing w:line="240" w:lineRule="exact"/>
              <w:ind w:right="170"/>
              <w:jc w:val="right"/>
              <w:rPr>
                <w:sz w:val="16"/>
                <w:szCs w:val="16"/>
                <w:lang w:eastAsia="es-ES"/>
              </w:rPr>
            </w:pPr>
            <w:r w:rsidRPr="001E2F6E">
              <w:rPr>
                <w:sz w:val="16"/>
                <w:szCs w:val="16"/>
                <w:lang w:eastAsia="es-ES"/>
              </w:rPr>
              <w:t>62,1</w:t>
            </w:r>
          </w:p>
        </w:tc>
        <w:tc>
          <w:tcPr>
            <w:tcW w:w="1334" w:type="dxa"/>
            <w:tcBorders>
              <w:top w:val="nil"/>
              <w:left w:val="nil"/>
              <w:bottom w:val="nil"/>
              <w:right w:val="single" w:sz="8" w:space="0" w:color="BFBFBF"/>
            </w:tcBorders>
          </w:tcPr>
          <w:p w:rsidR="004A72E7" w:rsidRPr="001E2F6E" w:rsidRDefault="004A72E7" w:rsidP="00781D09">
            <w:pPr>
              <w:spacing w:line="240" w:lineRule="exact"/>
              <w:ind w:right="170"/>
              <w:jc w:val="right"/>
              <w:rPr>
                <w:sz w:val="16"/>
                <w:szCs w:val="16"/>
                <w:lang w:eastAsia="es-ES"/>
              </w:rPr>
            </w:pPr>
            <w:r w:rsidRPr="001E2F6E">
              <w:rPr>
                <w:sz w:val="16"/>
                <w:szCs w:val="16"/>
                <w:lang w:eastAsia="es-ES"/>
              </w:rPr>
              <w:t>1.588.386.617</w:t>
            </w:r>
          </w:p>
        </w:tc>
        <w:tc>
          <w:tcPr>
            <w:tcW w:w="1088" w:type="dxa"/>
            <w:tcBorders>
              <w:top w:val="nil"/>
              <w:left w:val="nil"/>
              <w:bottom w:val="nil"/>
            </w:tcBorders>
          </w:tcPr>
          <w:p w:rsidR="004A72E7" w:rsidRPr="001E2F6E" w:rsidRDefault="004A72E7" w:rsidP="00781D09">
            <w:pPr>
              <w:spacing w:line="240" w:lineRule="exact"/>
              <w:ind w:right="170"/>
              <w:jc w:val="right"/>
              <w:rPr>
                <w:sz w:val="16"/>
                <w:szCs w:val="16"/>
                <w:lang w:eastAsia="es-ES"/>
              </w:rPr>
            </w:pPr>
            <w:r w:rsidRPr="001E2F6E">
              <w:rPr>
                <w:sz w:val="16"/>
                <w:szCs w:val="16"/>
                <w:lang w:eastAsia="es-ES"/>
              </w:rPr>
              <w:t>59,4</w:t>
            </w:r>
          </w:p>
        </w:tc>
      </w:tr>
      <w:tr w:rsidR="004A72E7" w:rsidRPr="001E2F6E" w:rsidTr="00396118">
        <w:trPr>
          <w:jc w:val="center"/>
        </w:trPr>
        <w:tc>
          <w:tcPr>
            <w:tcW w:w="1470" w:type="dxa"/>
            <w:tcBorders>
              <w:top w:val="nil"/>
              <w:left w:val="nil"/>
              <w:bottom w:val="nil"/>
              <w:right w:val="single" w:sz="8" w:space="0" w:color="BFBFBF"/>
            </w:tcBorders>
          </w:tcPr>
          <w:p w:rsidR="004A72E7" w:rsidRPr="001E2F6E" w:rsidRDefault="004A72E7" w:rsidP="00781D09">
            <w:pPr>
              <w:spacing w:line="240" w:lineRule="exact"/>
              <w:rPr>
                <w:sz w:val="16"/>
                <w:szCs w:val="16"/>
                <w:lang w:eastAsia="es-ES"/>
              </w:rPr>
            </w:pPr>
            <w:r w:rsidRPr="001E2F6E">
              <w:rPr>
                <w:sz w:val="16"/>
                <w:szCs w:val="16"/>
                <w:lang w:val="eu-ES" w:eastAsia="es-ES"/>
              </w:rPr>
              <w:t>Asia</w:t>
            </w:r>
          </w:p>
        </w:tc>
        <w:tc>
          <w:tcPr>
            <w:tcW w:w="1334" w:type="dxa"/>
            <w:tcBorders>
              <w:top w:val="nil"/>
              <w:left w:val="nil"/>
              <w:bottom w:val="nil"/>
              <w:right w:val="single" w:sz="8" w:space="0" w:color="BFBFBF"/>
            </w:tcBorders>
          </w:tcPr>
          <w:p w:rsidR="004A72E7" w:rsidRPr="001E2F6E" w:rsidRDefault="004A72E7" w:rsidP="00781D09">
            <w:pPr>
              <w:spacing w:line="240" w:lineRule="exact"/>
              <w:ind w:right="170"/>
              <w:jc w:val="right"/>
              <w:rPr>
                <w:sz w:val="16"/>
                <w:szCs w:val="16"/>
                <w:lang w:eastAsia="es-ES"/>
              </w:rPr>
            </w:pPr>
            <w:r w:rsidRPr="001E2F6E">
              <w:rPr>
                <w:sz w:val="16"/>
                <w:szCs w:val="16"/>
                <w:lang w:eastAsia="es-ES"/>
              </w:rPr>
              <w:t>189.287.966</w:t>
            </w:r>
          </w:p>
        </w:tc>
        <w:tc>
          <w:tcPr>
            <w:tcW w:w="1088" w:type="dxa"/>
            <w:tcBorders>
              <w:top w:val="nil"/>
              <w:left w:val="nil"/>
              <w:bottom w:val="nil"/>
              <w:right w:val="single" w:sz="8" w:space="0" w:color="BFBFBF"/>
            </w:tcBorders>
          </w:tcPr>
          <w:p w:rsidR="004A72E7" w:rsidRPr="001E2F6E" w:rsidRDefault="004A72E7" w:rsidP="00781D09">
            <w:pPr>
              <w:spacing w:line="240" w:lineRule="exact"/>
              <w:ind w:right="170"/>
              <w:jc w:val="right"/>
              <w:rPr>
                <w:sz w:val="16"/>
                <w:szCs w:val="16"/>
                <w:lang w:eastAsia="es-ES"/>
              </w:rPr>
            </w:pPr>
            <w:r w:rsidRPr="001E2F6E">
              <w:rPr>
                <w:sz w:val="16"/>
                <w:szCs w:val="16"/>
                <w:lang w:eastAsia="es-ES"/>
              </w:rPr>
              <w:t>7,8</w:t>
            </w:r>
          </w:p>
        </w:tc>
        <w:tc>
          <w:tcPr>
            <w:tcW w:w="1334" w:type="dxa"/>
            <w:tcBorders>
              <w:top w:val="nil"/>
              <w:left w:val="nil"/>
              <w:bottom w:val="nil"/>
              <w:right w:val="single" w:sz="8" w:space="0" w:color="BFBFBF"/>
            </w:tcBorders>
          </w:tcPr>
          <w:p w:rsidR="004A72E7" w:rsidRPr="001E2F6E" w:rsidRDefault="004A72E7" w:rsidP="00781D09">
            <w:pPr>
              <w:spacing w:line="240" w:lineRule="exact"/>
              <w:ind w:right="170"/>
              <w:jc w:val="right"/>
              <w:rPr>
                <w:sz w:val="16"/>
                <w:szCs w:val="16"/>
                <w:lang w:eastAsia="es-ES"/>
              </w:rPr>
            </w:pPr>
            <w:r w:rsidRPr="001E2F6E">
              <w:rPr>
                <w:sz w:val="16"/>
                <w:szCs w:val="16"/>
                <w:lang w:eastAsia="es-ES"/>
              </w:rPr>
              <w:t>370.036.555</w:t>
            </w:r>
          </w:p>
        </w:tc>
        <w:tc>
          <w:tcPr>
            <w:tcW w:w="1088" w:type="dxa"/>
            <w:tcBorders>
              <w:top w:val="nil"/>
              <w:left w:val="nil"/>
              <w:bottom w:val="nil"/>
              <w:right w:val="single" w:sz="8" w:space="0" w:color="BFBFBF"/>
            </w:tcBorders>
          </w:tcPr>
          <w:p w:rsidR="004A72E7" w:rsidRPr="001E2F6E" w:rsidRDefault="004A72E7" w:rsidP="00781D09">
            <w:pPr>
              <w:spacing w:line="240" w:lineRule="exact"/>
              <w:ind w:right="170"/>
              <w:jc w:val="right"/>
              <w:rPr>
                <w:sz w:val="16"/>
                <w:szCs w:val="16"/>
                <w:lang w:eastAsia="es-ES"/>
              </w:rPr>
            </w:pPr>
            <w:r w:rsidRPr="001E2F6E">
              <w:rPr>
                <w:sz w:val="16"/>
                <w:szCs w:val="16"/>
                <w:lang w:eastAsia="es-ES"/>
              </w:rPr>
              <w:t>16,4</w:t>
            </w:r>
          </w:p>
        </w:tc>
        <w:tc>
          <w:tcPr>
            <w:tcW w:w="1334" w:type="dxa"/>
            <w:tcBorders>
              <w:top w:val="nil"/>
              <w:left w:val="nil"/>
              <w:bottom w:val="nil"/>
              <w:right w:val="single" w:sz="8" w:space="0" w:color="BFBFBF"/>
            </w:tcBorders>
          </w:tcPr>
          <w:p w:rsidR="004A72E7" w:rsidRPr="001E2F6E" w:rsidRDefault="004A72E7" w:rsidP="00781D09">
            <w:pPr>
              <w:spacing w:line="240" w:lineRule="exact"/>
              <w:ind w:right="170"/>
              <w:jc w:val="right"/>
              <w:rPr>
                <w:sz w:val="16"/>
                <w:szCs w:val="16"/>
                <w:lang w:eastAsia="es-ES"/>
              </w:rPr>
            </w:pPr>
            <w:r w:rsidRPr="001E2F6E">
              <w:rPr>
                <w:sz w:val="16"/>
                <w:szCs w:val="16"/>
                <w:lang w:eastAsia="es-ES"/>
              </w:rPr>
              <w:t>440.345.111</w:t>
            </w:r>
          </w:p>
        </w:tc>
        <w:tc>
          <w:tcPr>
            <w:tcW w:w="1088" w:type="dxa"/>
            <w:tcBorders>
              <w:top w:val="nil"/>
              <w:left w:val="nil"/>
              <w:bottom w:val="nil"/>
            </w:tcBorders>
          </w:tcPr>
          <w:p w:rsidR="004A72E7" w:rsidRPr="001E2F6E" w:rsidRDefault="004A72E7" w:rsidP="00781D09">
            <w:pPr>
              <w:spacing w:line="240" w:lineRule="exact"/>
              <w:ind w:right="170"/>
              <w:jc w:val="right"/>
              <w:rPr>
                <w:sz w:val="16"/>
                <w:szCs w:val="16"/>
                <w:lang w:eastAsia="es-ES"/>
              </w:rPr>
            </w:pPr>
            <w:r w:rsidRPr="001E2F6E">
              <w:rPr>
                <w:sz w:val="16"/>
                <w:szCs w:val="16"/>
                <w:lang w:eastAsia="es-ES"/>
              </w:rPr>
              <w:t>16,5</w:t>
            </w:r>
          </w:p>
        </w:tc>
      </w:tr>
      <w:tr w:rsidR="004A72E7" w:rsidRPr="001E2F6E" w:rsidTr="00396118">
        <w:trPr>
          <w:jc w:val="center"/>
        </w:trPr>
        <w:tc>
          <w:tcPr>
            <w:tcW w:w="1470" w:type="dxa"/>
            <w:tcBorders>
              <w:top w:val="nil"/>
              <w:left w:val="nil"/>
              <w:bottom w:val="nil"/>
              <w:right w:val="single" w:sz="8" w:space="0" w:color="BFBFBF"/>
            </w:tcBorders>
          </w:tcPr>
          <w:p w:rsidR="004A72E7" w:rsidRPr="001E2F6E" w:rsidRDefault="004A72E7" w:rsidP="00781D09">
            <w:pPr>
              <w:spacing w:line="240" w:lineRule="exact"/>
              <w:rPr>
                <w:sz w:val="16"/>
                <w:szCs w:val="16"/>
                <w:lang w:eastAsia="es-ES"/>
              </w:rPr>
            </w:pPr>
            <w:r w:rsidRPr="001E2F6E">
              <w:rPr>
                <w:sz w:val="16"/>
                <w:szCs w:val="16"/>
                <w:lang w:val="eu-ES" w:eastAsia="es-ES"/>
              </w:rPr>
              <w:t>AEB</w:t>
            </w:r>
          </w:p>
        </w:tc>
        <w:tc>
          <w:tcPr>
            <w:tcW w:w="1334" w:type="dxa"/>
            <w:tcBorders>
              <w:top w:val="nil"/>
              <w:left w:val="nil"/>
              <w:bottom w:val="nil"/>
              <w:right w:val="single" w:sz="8" w:space="0" w:color="BFBFBF"/>
            </w:tcBorders>
          </w:tcPr>
          <w:p w:rsidR="004A72E7" w:rsidRPr="001E2F6E" w:rsidRDefault="004A72E7" w:rsidP="00781D09">
            <w:pPr>
              <w:spacing w:line="240" w:lineRule="exact"/>
              <w:ind w:right="170"/>
              <w:jc w:val="right"/>
              <w:rPr>
                <w:sz w:val="16"/>
                <w:szCs w:val="16"/>
                <w:lang w:eastAsia="es-ES"/>
              </w:rPr>
            </w:pPr>
            <w:r w:rsidRPr="001E2F6E">
              <w:rPr>
                <w:sz w:val="16"/>
                <w:szCs w:val="16"/>
                <w:lang w:eastAsia="es-ES"/>
              </w:rPr>
              <w:t>24.409.658</w:t>
            </w:r>
          </w:p>
        </w:tc>
        <w:tc>
          <w:tcPr>
            <w:tcW w:w="1088" w:type="dxa"/>
            <w:tcBorders>
              <w:top w:val="nil"/>
              <w:left w:val="nil"/>
              <w:bottom w:val="nil"/>
              <w:right w:val="single" w:sz="8" w:space="0" w:color="BFBFBF"/>
            </w:tcBorders>
          </w:tcPr>
          <w:p w:rsidR="004A72E7" w:rsidRPr="001E2F6E" w:rsidRDefault="004A72E7" w:rsidP="00781D09">
            <w:pPr>
              <w:spacing w:line="240" w:lineRule="exact"/>
              <w:ind w:right="170"/>
              <w:jc w:val="right"/>
              <w:rPr>
                <w:sz w:val="16"/>
                <w:szCs w:val="16"/>
                <w:lang w:eastAsia="es-ES"/>
              </w:rPr>
            </w:pPr>
            <w:r w:rsidRPr="001E2F6E">
              <w:rPr>
                <w:sz w:val="16"/>
                <w:szCs w:val="16"/>
                <w:lang w:eastAsia="es-ES"/>
              </w:rPr>
              <w:t>1,0</w:t>
            </w:r>
          </w:p>
        </w:tc>
        <w:tc>
          <w:tcPr>
            <w:tcW w:w="1334" w:type="dxa"/>
            <w:tcBorders>
              <w:top w:val="nil"/>
              <w:left w:val="nil"/>
              <w:bottom w:val="nil"/>
              <w:right w:val="single" w:sz="8" w:space="0" w:color="BFBFBF"/>
            </w:tcBorders>
          </w:tcPr>
          <w:p w:rsidR="004A72E7" w:rsidRPr="001E2F6E" w:rsidRDefault="004A72E7" w:rsidP="00781D09">
            <w:pPr>
              <w:spacing w:line="240" w:lineRule="exact"/>
              <w:ind w:right="170"/>
              <w:jc w:val="right"/>
              <w:rPr>
                <w:sz w:val="16"/>
                <w:szCs w:val="16"/>
                <w:lang w:eastAsia="es-ES"/>
              </w:rPr>
            </w:pPr>
            <w:r w:rsidRPr="001E2F6E">
              <w:rPr>
                <w:sz w:val="16"/>
                <w:szCs w:val="16"/>
                <w:lang w:eastAsia="es-ES"/>
              </w:rPr>
              <w:t>148.965.042</w:t>
            </w:r>
          </w:p>
        </w:tc>
        <w:tc>
          <w:tcPr>
            <w:tcW w:w="1088" w:type="dxa"/>
            <w:tcBorders>
              <w:top w:val="nil"/>
              <w:left w:val="nil"/>
              <w:bottom w:val="nil"/>
              <w:right w:val="single" w:sz="8" w:space="0" w:color="BFBFBF"/>
            </w:tcBorders>
          </w:tcPr>
          <w:p w:rsidR="004A72E7" w:rsidRPr="001E2F6E" w:rsidRDefault="004A72E7" w:rsidP="00781D09">
            <w:pPr>
              <w:spacing w:line="240" w:lineRule="exact"/>
              <w:ind w:right="170"/>
              <w:jc w:val="right"/>
              <w:rPr>
                <w:sz w:val="16"/>
                <w:szCs w:val="16"/>
                <w:lang w:eastAsia="es-ES"/>
              </w:rPr>
            </w:pPr>
            <w:r w:rsidRPr="001E2F6E">
              <w:rPr>
                <w:sz w:val="16"/>
                <w:szCs w:val="16"/>
                <w:lang w:eastAsia="es-ES"/>
              </w:rPr>
              <w:t>6,6</w:t>
            </w:r>
          </w:p>
        </w:tc>
        <w:tc>
          <w:tcPr>
            <w:tcW w:w="1334" w:type="dxa"/>
            <w:tcBorders>
              <w:top w:val="nil"/>
              <w:left w:val="nil"/>
              <w:bottom w:val="nil"/>
              <w:right w:val="single" w:sz="8" w:space="0" w:color="BFBFBF"/>
            </w:tcBorders>
          </w:tcPr>
          <w:p w:rsidR="004A72E7" w:rsidRPr="001E2F6E" w:rsidRDefault="004A72E7" w:rsidP="00781D09">
            <w:pPr>
              <w:spacing w:line="240" w:lineRule="exact"/>
              <w:ind w:right="170"/>
              <w:jc w:val="right"/>
              <w:rPr>
                <w:sz w:val="16"/>
                <w:szCs w:val="16"/>
                <w:lang w:eastAsia="es-ES"/>
              </w:rPr>
            </w:pPr>
            <w:r w:rsidRPr="001E2F6E">
              <w:rPr>
                <w:sz w:val="16"/>
                <w:szCs w:val="16"/>
                <w:lang w:eastAsia="es-ES"/>
              </w:rPr>
              <w:t>193.840.989</w:t>
            </w:r>
          </w:p>
        </w:tc>
        <w:tc>
          <w:tcPr>
            <w:tcW w:w="1088" w:type="dxa"/>
            <w:tcBorders>
              <w:top w:val="nil"/>
              <w:left w:val="nil"/>
              <w:bottom w:val="nil"/>
            </w:tcBorders>
          </w:tcPr>
          <w:p w:rsidR="004A72E7" w:rsidRPr="001E2F6E" w:rsidRDefault="004A72E7" w:rsidP="00781D09">
            <w:pPr>
              <w:spacing w:line="240" w:lineRule="exact"/>
              <w:ind w:right="170"/>
              <w:jc w:val="right"/>
              <w:rPr>
                <w:sz w:val="16"/>
                <w:szCs w:val="16"/>
                <w:lang w:eastAsia="es-ES"/>
              </w:rPr>
            </w:pPr>
            <w:r w:rsidRPr="001E2F6E">
              <w:rPr>
                <w:sz w:val="16"/>
                <w:szCs w:val="16"/>
                <w:lang w:eastAsia="es-ES"/>
              </w:rPr>
              <w:t>7,3</w:t>
            </w:r>
          </w:p>
        </w:tc>
      </w:tr>
      <w:tr w:rsidR="004A72E7" w:rsidRPr="001E2F6E" w:rsidTr="00396118">
        <w:trPr>
          <w:jc w:val="center"/>
        </w:trPr>
        <w:tc>
          <w:tcPr>
            <w:tcW w:w="1470" w:type="dxa"/>
            <w:tcBorders>
              <w:top w:val="nil"/>
              <w:left w:val="nil"/>
              <w:bottom w:val="nil"/>
              <w:right w:val="single" w:sz="8" w:space="0" w:color="BFBFBF"/>
            </w:tcBorders>
          </w:tcPr>
          <w:p w:rsidR="004A72E7" w:rsidRPr="001E2F6E" w:rsidRDefault="004A72E7" w:rsidP="00781D09">
            <w:pPr>
              <w:spacing w:line="240" w:lineRule="exact"/>
              <w:rPr>
                <w:sz w:val="16"/>
                <w:szCs w:val="16"/>
                <w:lang w:eastAsia="es-ES"/>
              </w:rPr>
            </w:pPr>
            <w:r w:rsidRPr="001E2F6E">
              <w:rPr>
                <w:sz w:val="16"/>
                <w:szCs w:val="16"/>
                <w:lang w:val="eu-ES" w:eastAsia="es-ES"/>
              </w:rPr>
              <w:t>Hego Amerika</w:t>
            </w:r>
          </w:p>
        </w:tc>
        <w:tc>
          <w:tcPr>
            <w:tcW w:w="1334" w:type="dxa"/>
            <w:tcBorders>
              <w:top w:val="nil"/>
              <w:left w:val="nil"/>
              <w:bottom w:val="nil"/>
              <w:right w:val="single" w:sz="8" w:space="0" w:color="BFBFBF"/>
            </w:tcBorders>
          </w:tcPr>
          <w:p w:rsidR="004A72E7" w:rsidRPr="001E2F6E" w:rsidRDefault="004A72E7" w:rsidP="00781D09">
            <w:pPr>
              <w:spacing w:line="240" w:lineRule="exact"/>
              <w:ind w:right="170"/>
              <w:jc w:val="right"/>
              <w:rPr>
                <w:sz w:val="16"/>
                <w:szCs w:val="16"/>
                <w:lang w:eastAsia="es-ES"/>
              </w:rPr>
            </w:pPr>
            <w:r w:rsidRPr="001E2F6E">
              <w:rPr>
                <w:sz w:val="16"/>
                <w:szCs w:val="16"/>
                <w:lang w:eastAsia="es-ES"/>
              </w:rPr>
              <w:t>166.542.425</w:t>
            </w:r>
          </w:p>
        </w:tc>
        <w:tc>
          <w:tcPr>
            <w:tcW w:w="1088" w:type="dxa"/>
            <w:tcBorders>
              <w:top w:val="nil"/>
              <w:left w:val="nil"/>
              <w:bottom w:val="nil"/>
              <w:right w:val="single" w:sz="8" w:space="0" w:color="BFBFBF"/>
            </w:tcBorders>
          </w:tcPr>
          <w:p w:rsidR="004A72E7" w:rsidRPr="001E2F6E" w:rsidRDefault="004A72E7" w:rsidP="00781D09">
            <w:pPr>
              <w:spacing w:line="240" w:lineRule="exact"/>
              <w:ind w:right="170"/>
              <w:jc w:val="right"/>
              <w:rPr>
                <w:sz w:val="16"/>
                <w:szCs w:val="16"/>
                <w:lang w:eastAsia="es-ES"/>
              </w:rPr>
            </w:pPr>
            <w:r w:rsidRPr="001E2F6E">
              <w:rPr>
                <w:sz w:val="16"/>
                <w:szCs w:val="16"/>
                <w:lang w:eastAsia="es-ES"/>
              </w:rPr>
              <w:t>6,9</w:t>
            </w:r>
          </w:p>
        </w:tc>
        <w:tc>
          <w:tcPr>
            <w:tcW w:w="1334" w:type="dxa"/>
            <w:tcBorders>
              <w:top w:val="nil"/>
              <w:left w:val="nil"/>
              <w:bottom w:val="nil"/>
              <w:right w:val="single" w:sz="8" w:space="0" w:color="BFBFBF"/>
            </w:tcBorders>
          </w:tcPr>
          <w:p w:rsidR="004A72E7" w:rsidRPr="001E2F6E" w:rsidRDefault="004A72E7" w:rsidP="00781D09">
            <w:pPr>
              <w:spacing w:line="240" w:lineRule="exact"/>
              <w:ind w:right="170"/>
              <w:jc w:val="right"/>
              <w:rPr>
                <w:sz w:val="16"/>
                <w:szCs w:val="16"/>
                <w:lang w:eastAsia="es-ES"/>
              </w:rPr>
            </w:pPr>
            <w:r w:rsidRPr="001E2F6E">
              <w:rPr>
                <w:sz w:val="16"/>
                <w:szCs w:val="16"/>
                <w:lang w:eastAsia="es-ES"/>
              </w:rPr>
              <w:t>210.994.736</w:t>
            </w:r>
          </w:p>
        </w:tc>
        <w:tc>
          <w:tcPr>
            <w:tcW w:w="1088" w:type="dxa"/>
            <w:tcBorders>
              <w:top w:val="nil"/>
              <w:left w:val="nil"/>
              <w:bottom w:val="nil"/>
              <w:right w:val="single" w:sz="8" w:space="0" w:color="BFBFBF"/>
            </w:tcBorders>
          </w:tcPr>
          <w:p w:rsidR="004A72E7" w:rsidRPr="001E2F6E" w:rsidRDefault="004A72E7" w:rsidP="00781D09">
            <w:pPr>
              <w:spacing w:line="240" w:lineRule="exact"/>
              <w:ind w:right="170"/>
              <w:jc w:val="right"/>
              <w:rPr>
                <w:sz w:val="16"/>
                <w:szCs w:val="16"/>
                <w:lang w:eastAsia="es-ES"/>
              </w:rPr>
            </w:pPr>
            <w:r w:rsidRPr="001E2F6E">
              <w:rPr>
                <w:sz w:val="16"/>
                <w:szCs w:val="16"/>
                <w:lang w:eastAsia="es-ES"/>
              </w:rPr>
              <w:t>9,4</w:t>
            </w:r>
          </w:p>
        </w:tc>
        <w:tc>
          <w:tcPr>
            <w:tcW w:w="1334" w:type="dxa"/>
            <w:tcBorders>
              <w:top w:val="nil"/>
              <w:left w:val="nil"/>
              <w:bottom w:val="nil"/>
              <w:right w:val="single" w:sz="8" w:space="0" w:color="BFBFBF"/>
            </w:tcBorders>
          </w:tcPr>
          <w:p w:rsidR="004A72E7" w:rsidRPr="001E2F6E" w:rsidRDefault="004A72E7" w:rsidP="00781D09">
            <w:pPr>
              <w:spacing w:line="240" w:lineRule="exact"/>
              <w:ind w:right="170"/>
              <w:jc w:val="right"/>
              <w:rPr>
                <w:sz w:val="16"/>
                <w:szCs w:val="16"/>
                <w:lang w:eastAsia="es-ES"/>
              </w:rPr>
            </w:pPr>
            <w:r w:rsidRPr="001E2F6E">
              <w:rPr>
                <w:sz w:val="16"/>
                <w:szCs w:val="16"/>
                <w:lang w:eastAsia="es-ES"/>
              </w:rPr>
              <w:t>295.090.191</w:t>
            </w:r>
          </w:p>
        </w:tc>
        <w:tc>
          <w:tcPr>
            <w:tcW w:w="1088" w:type="dxa"/>
            <w:tcBorders>
              <w:top w:val="nil"/>
              <w:left w:val="nil"/>
              <w:bottom w:val="nil"/>
            </w:tcBorders>
          </w:tcPr>
          <w:p w:rsidR="004A72E7" w:rsidRPr="001E2F6E" w:rsidRDefault="004A72E7" w:rsidP="00781D09">
            <w:pPr>
              <w:spacing w:line="240" w:lineRule="exact"/>
              <w:ind w:right="170"/>
              <w:jc w:val="right"/>
              <w:rPr>
                <w:sz w:val="16"/>
                <w:szCs w:val="16"/>
                <w:lang w:eastAsia="es-ES"/>
              </w:rPr>
            </w:pPr>
            <w:r w:rsidRPr="001E2F6E">
              <w:rPr>
                <w:sz w:val="16"/>
                <w:szCs w:val="16"/>
                <w:lang w:eastAsia="es-ES"/>
              </w:rPr>
              <w:t>11,0</w:t>
            </w:r>
          </w:p>
        </w:tc>
      </w:tr>
      <w:tr w:rsidR="004A72E7" w:rsidRPr="001E2F6E" w:rsidTr="00396118">
        <w:trPr>
          <w:jc w:val="center"/>
        </w:trPr>
        <w:tc>
          <w:tcPr>
            <w:tcW w:w="1470" w:type="dxa"/>
            <w:tcBorders>
              <w:top w:val="nil"/>
              <w:left w:val="nil"/>
              <w:bottom w:val="single" w:sz="8" w:space="0" w:color="BFBFBF"/>
              <w:right w:val="single" w:sz="8" w:space="0" w:color="BFBFBF"/>
            </w:tcBorders>
          </w:tcPr>
          <w:p w:rsidR="004A72E7" w:rsidRPr="001E2F6E" w:rsidRDefault="004A72E7" w:rsidP="00781D09">
            <w:pPr>
              <w:spacing w:line="240" w:lineRule="exact"/>
              <w:rPr>
                <w:sz w:val="16"/>
                <w:szCs w:val="16"/>
                <w:lang w:eastAsia="es-ES"/>
              </w:rPr>
            </w:pPr>
            <w:r w:rsidRPr="001E2F6E">
              <w:rPr>
                <w:sz w:val="16"/>
                <w:szCs w:val="16"/>
                <w:lang w:val="eu-ES" w:eastAsia="es-ES"/>
              </w:rPr>
              <w:t>Beste batzuk</w:t>
            </w:r>
          </w:p>
        </w:tc>
        <w:tc>
          <w:tcPr>
            <w:tcW w:w="1334" w:type="dxa"/>
            <w:tcBorders>
              <w:top w:val="nil"/>
              <w:left w:val="nil"/>
              <w:bottom w:val="single" w:sz="8" w:space="0" w:color="BFBFBF"/>
              <w:right w:val="single" w:sz="8" w:space="0" w:color="BFBFBF"/>
            </w:tcBorders>
          </w:tcPr>
          <w:p w:rsidR="004A72E7" w:rsidRPr="001E2F6E" w:rsidRDefault="004A72E7" w:rsidP="00781D09">
            <w:pPr>
              <w:spacing w:line="240" w:lineRule="exact"/>
              <w:ind w:right="170"/>
              <w:jc w:val="right"/>
              <w:rPr>
                <w:sz w:val="16"/>
                <w:szCs w:val="16"/>
                <w:lang w:eastAsia="es-ES"/>
              </w:rPr>
            </w:pPr>
            <w:r w:rsidRPr="001E2F6E">
              <w:rPr>
                <w:sz w:val="16"/>
                <w:szCs w:val="16"/>
                <w:lang w:eastAsia="es-ES"/>
              </w:rPr>
              <w:t>85.507.342</w:t>
            </w:r>
          </w:p>
        </w:tc>
        <w:tc>
          <w:tcPr>
            <w:tcW w:w="1088" w:type="dxa"/>
            <w:tcBorders>
              <w:top w:val="nil"/>
              <w:left w:val="nil"/>
              <w:bottom w:val="single" w:sz="8" w:space="0" w:color="BFBFBF"/>
              <w:right w:val="single" w:sz="8" w:space="0" w:color="BFBFBF"/>
            </w:tcBorders>
          </w:tcPr>
          <w:p w:rsidR="004A72E7" w:rsidRPr="001E2F6E" w:rsidRDefault="004A72E7" w:rsidP="00781D09">
            <w:pPr>
              <w:spacing w:line="240" w:lineRule="exact"/>
              <w:ind w:right="170"/>
              <w:jc w:val="right"/>
              <w:rPr>
                <w:sz w:val="16"/>
                <w:szCs w:val="16"/>
                <w:lang w:eastAsia="es-ES"/>
              </w:rPr>
            </w:pPr>
            <w:r w:rsidRPr="001E2F6E">
              <w:rPr>
                <w:sz w:val="16"/>
                <w:szCs w:val="16"/>
                <w:lang w:eastAsia="es-ES"/>
              </w:rPr>
              <w:t>3,5</w:t>
            </w:r>
          </w:p>
        </w:tc>
        <w:tc>
          <w:tcPr>
            <w:tcW w:w="1334" w:type="dxa"/>
            <w:tcBorders>
              <w:top w:val="nil"/>
              <w:left w:val="nil"/>
              <w:bottom w:val="single" w:sz="8" w:space="0" w:color="BFBFBF"/>
              <w:right w:val="single" w:sz="8" w:space="0" w:color="BFBFBF"/>
            </w:tcBorders>
          </w:tcPr>
          <w:p w:rsidR="004A72E7" w:rsidRPr="001E2F6E" w:rsidRDefault="004A72E7" w:rsidP="00781D09">
            <w:pPr>
              <w:spacing w:line="240" w:lineRule="exact"/>
              <w:ind w:right="170"/>
              <w:jc w:val="right"/>
              <w:rPr>
                <w:sz w:val="16"/>
                <w:szCs w:val="16"/>
                <w:lang w:eastAsia="es-ES"/>
              </w:rPr>
            </w:pPr>
            <w:r w:rsidRPr="001E2F6E">
              <w:rPr>
                <w:sz w:val="16"/>
                <w:szCs w:val="16"/>
                <w:lang w:eastAsia="es-ES"/>
              </w:rPr>
              <w:t>123.433.888</w:t>
            </w:r>
          </w:p>
        </w:tc>
        <w:tc>
          <w:tcPr>
            <w:tcW w:w="1088" w:type="dxa"/>
            <w:tcBorders>
              <w:top w:val="nil"/>
              <w:left w:val="nil"/>
              <w:bottom w:val="single" w:sz="8" w:space="0" w:color="BFBFBF"/>
              <w:right w:val="single" w:sz="8" w:space="0" w:color="BFBFBF"/>
            </w:tcBorders>
          </w:tcPr>
          <w:p w:rsidR="004A72E7" w:rsidRPr="001E2F6E" w:rsidRDefault="004A72E7" w:rsidP="00781D09">
            <w:pPr>
              <w:spacing w:line="240" w:lineRule="exact"/>
              <w:ind w:right="170"/>
              <w:jc w:val="right"/>
              <w:rPr>
                <w:sz w:val="16"/>
                <w:szCs w:val="16"/>
                <w:lang w:eastAsia="es-ES"/>
              </w:rPr>
            </w:pPr>
            <w:r w:rsidRPr="001E2F6E">
              <w:rPr>
                <w:sz w:val="16"/>
                <w:szCs w:val="16"/>
                <w:lang w:eastAsia="es-ES"/>
              </w:rPr>
              <w:t>5,5</w:t>
            </w:r>
          </w:p>
        </w:tc>
        <w:tc>
          <w:tcPr>
            <w:tcW w:w="1334" w:type="dxa"/>
            <w:tcBorders>
              <w:top w:val="nil"/>
              <w:left w:val="nil"/>
              <w:bottom w:val="single" w:sz="8" w:space="0" w:color="BFBFBF"/>
              <w:right w:val="single" w:sz="8" w:space="0" w:color="BFBFBF"/>
            </w:tcBorders>
          </w:tcPr>
          <w:p w:rsidR="004A72E7" w:rsidRPr="001E2F6E" w:rsidRDefault="004A72E7" w:rsidP="00781D09">
            <w:pPr>
              <w:spacing w:line="240" w:lineRule="exact"/>
              <w:ind w:right="170"/>
              <w:jc w:val="right"/>
              <w:rPr>
                <w:sz w:val="16"/>
                <w:szCs w:val="16"/>
                <w:lang w:eastAsia="es-ES"/>
              </w:rPr>
            </w:pPr>
            <w:r w:rsidRPr="001E2F6E">
              <w:rPr>
                <w:sz w:val="16"/>
                <w:szCs w:val="16"/>
                <w:lang w:eastAsia="es-ES"/>
              </w:rPr>
              <w:t>155.592.307</w:t>
            </w:r>
          </w:p>
        </w:tc>
        <w:tc>
          <w:tcPr>
            <w:tcW w:w="1088" w:type="dxa"/>
            <w:tcBorders>
              <w:top w:val="nil"/>
              <w:left w:val="nil"/>
              <w:bottom w:val="single" w:sz="8" w:space="0" w:color="BFBFBF"/>
            </w:tcBorders>
          </w:tcPr>
          <w:p w:rsidR="004A72E7" w:rsidRPr="001E2F6E" w:rsidRDefault="004A72E7" w:rsidP="00781D09">
            <w:pPr>
              <w:spacing w:line="240" w:lineRule="exact"/>
              <w:ind w:right="170"/>
              <w:jc w:val="right"/>
              <w:rPr>
                <w:sz w:val="16"/>
                <w:szCs w:val="16"/>
                <w:lang w:eastAsia="es-ES"/>
              </w:rPr>
            </w:pPr>
            <w:r w:rsidRPr="001E2F6E">
              <w:rPr>
                <w:sz w:val="16"/>
                <w:szCs w:val="16"/>
                <w:lang w:eastAsia="es-ES"/>
              </w:rPr>
              <w:t>5,8</w:t>
            </w:r>
          </w:p>
        </w:tc>
      </w:tr>
      <w:tr w:rsidR="004A72E7" w:rsidRPr="001E2F6E" w:rsidTr="00396118">
        <w:trPr>
          <w:jc w:val="center"/>
        </w:trPr>
        <w:tc>
          <w:tcPr>
            <w:tcW w:w="1470" w:type="dxa"/>
            <w:tcBorders>
              <w:top w:val="nil"/>
              <w:left w:val="nil"/>
              <w:bottom w:val="single" w:sz="8" w:space="0" w:color="BFBFBF"/>
              <w:right w:val="single" w:sz="8" w:space="0" w:color="BFBFBF"/>
            </w:tcBorders>
          </w:tcPr>
          <w:p w:rsidR="004A72E7" w:rsidRPr="001E2F6E" w:rsidRDefault="004A72E7" w:rsidP="00781D09">
            <w:pPr>
              <w:spacing w:line="240" w:lineRule="exact"/>
              <w:rPr>
                <w:b/>
                <w:bCs/>
                <w:sz w:val="16"/>
                <w:szCs w:val="16"/>
                <w:lang w:eastAsia="es-ES"/>
              </w:rPr>
            </w:pPr>
            <w:r w:rsidRPr="001E2F6E">
              <w:rPr>
                <w:b/>
                <w:bCs/>
                <w:sz w:val="16"/>
                <w:szCs w:val="16"/>
                <w:lang w:val="eu-ES" w:eastAsia="es-ES"/>
              </w:rPr>
              <w:t>GUZTIRA</w:t>
            </w:r>
          </w:p>
        </w:tc>
        <w:tc>
          <w:tcPr>
            <w:tcW w:w="1334" w:type="dxa"/>
            <w:tcBorders>
              <w:top w:val="nil"/>
              <w:left w:val="nil"/>
              <w:bottom w:val="single" w:sz="8" w:space="0" w:color="BFBFBF"/>
              <w:right w:val="single" w:sz="8" w:space="0" w:color="BFBFBF"/>
            </w:tcBorders>
          </w:tcPr>
          <w:p w:rsidR="004A72E7" w:rsidRPr="001E2F6E" w:rsidRDefault="004A72E7" w:rsidP="00781D09">
            <w:pPr>
              <w:spacing w:line="240" w:lineRule="exact"/>
              <w:ind w:right="170"/>
              <w:jc w:val="right"/>
              <w:rPr>
                <w:b/>
                <w:bCs/>
                <w:sz w:val="16"/>
                <w:szCs w:val="16"/>
                <w:lang w:eastAsia="es-ES"/>
              </w:rPr>
            </w:pPr>
            <w:r w:rsidRPr="001E2F6E">
              <w:rPr>
                <w:b/>
                <w:bCs/>
                <w:sz w:val="16"/>
                <w:szCs w:val="16"/>
                <w:lang w:eastAsia="es-ES"/>
              </w:rPr>
              <w:t>2.425.609.299</w:t>
            </w:r>
          </w:p>
        </w:tc>
        <w:tc>
          <w:tcPr>
            <w:tcW w:w="1088" w:type="dxa"/>
            <w:tcBorders>
              <w:top w:val="nil"/>
              <w:left w:val="nil"/>
              <w:bottom w:val="single" w:sz="8" w:space="0" w:color="BFBFBF"/>
              <w:right w:val="single" w:sz="8" w:space="0" w:color="BFBFBF"/>
            </w:tcBorders>
          </w:tcPr>
          <w:p w:rsidR="004A72E7" w:rsidRPr="001E2F6E" w:rsidRDefault="004A72E7" w:rsidP="00781D09">
            <w:pPr>
              <w:spacing w:line="240" w:lineRule="exact"/>
              <w:ind w:right="170"/>
              <w:jc w:val="right"/>
              <w:rPr>
                <w:b/>
                <w:bCs/>
                <w:sz w:val="16"/>
                <w:szCs w:val="16"/>
                <w:lang w:eastAsia="es-ES"/>
              </w:rPr>
            </w:pPr>
            <w:r w:rsidRPr="001E2F6E">
              <w:rPr>
                <w:b/>
                <w:bCs/>
                <w:sz w:val="16"/>
                <w:szCs w:val="16"/>
                <w:lang w:eastAsia="es-ES"/>
              </w:rPr>
              <w:t>100</w:t>
            </w:r>
          </w:p>
        </w:tc>
        <w:tc>
          <w:tcPr>
            <w:tcW w:w="1334" w:type="dxa"/>
            <w:tcBorders>
              <w:top w:val="nil"/>
              <w:left w:val="nil"/>
              <w:bottom w:val="single" w:sz="8" w:space="0" w:color="BFBFBF"/>
              <w:right w:val="single" w:sz="8" w:space="0" w:color="BFBFBF"/>
            </w:tcBorders>
          </w:tcPr>
          <w:p w:rsidR="004A72E7" w:rsidRPr="001E2F6E" w:rsidRDefault="004A72E7" w:rsidP="00781D09">
            <w:pPr>
              <w:spacing w:line="240" w:lineRule="exact"/>
              <w:ind w:right="170"/>
              <w:jc w:val="right"/>
              <w:rPr>
                <w:b/>
                <w:bCs/>
                <w:sz w:val="16"/>
                <w:szCs w:val="16"/>
                <w:lang w:eastAsia="es-ES"/>
              </w:rPr>
            </w:pPr>
            <w:r w:rsidRPr="001E2F6E">
              <w:rPr>
                <w:b/>
                <w:bCs/>
                <w:sz w:val="16"/>
                <w:szCs w:val="16"/>
                <w:lang w:eastAsia="es-ES"/>
              </w:rPr>
              <w:t>2.250.484.862</w:t>
            </w:r>
          </w:p>
        </w:tc>
        <w:tc>
          <w:tcPr>
            <w:tcW w:w="1088" w:type="dxa"/>
            <w:tcBorders>
              <w:top w:val="nil"/>
              <w:left w:val="nil"/>
              <w:bottom w:val="single" w:sz="8" w:space="0" w:color="BFBFBF"/>
              <w:right w:val="single" w:sz="8" w:space="0" w:color="BFBFBF"/>
            </w:tcBorders>
          </w:tcPr>
          <w:p w:rsidR="004A72E7" w:rsidRPr="001E2F6E" w:rsidRDefault="004A72E7" w:rsidP="00781D09">
            <w:pPr>
              <w:spacing w:line="240" w:lineRule="exact"/>
              <w:ind w:right="170"/>
              <w:jc w:val="right"/>
              <w:rPr>
                <w:b/>
                <w:bCs/>
                <w:sz w:val="16"/>
                <w:szCs w:val="16"/>
                <w:lang w:eastAsia="es-ES"/>
              </w:rPr>
            </w:pPr>
            <w:r w:rsidRPr="001E2F6E">
              <w:rPr>
                <w:b/>
                <w:bCs/>
                <w:sz w:val="16"/>
                <w:szCs w:val="16"/>
                <w:lang w:eastAsia="es-ES"/>
              </w:rPr>
              <w:t>100</w:t>
            </w:r>
          </w:p>
        </w:tc>
        <w:tc>
          <w:tcPr>
            <w:tcW w:w="1334" w:type="dxa"/>
            <w:tcBorders>
              <w:top w:val="nil"/>
              <w:left w:val="nil"/>
              <w:bottom w:val="single" w:sz="8" w:space="0" w:color="BFBFBF"/>
              <w:right w:val="single" w:sz="8" w:space="0" w:color="BFBFBF"/>
            </w:tcBorders>
          </w:tcPr>
          <w:p w:rsidR="004A72E7" w:rsidRPr="001E2F6E" w:rsidRDefault="004A72E7" w:rsidP="00781D09">
            <w:pPr>
              <w:spacing w:line="240" w:lineRule="exact"/>
              <w:ind w:right="170"/>
              <w:jc w:val="right"/>
              <w:rPr>
                <w:b/>
                <w:bCs/>
                <w:sz w:val="16"/>
                <w:szCs w:val="16"/>
                <w:lang w:eastAsia="es-ES"/>
              </w:rPr>
            </w:pPr>
            <w:r w:rsidRPr="001E2F6E">
              <w:rPr>
                <w:b/>
                <w:bCs/>
                <w:sz w:val="16"/>
                <w:szCs w:val="16"/>
                <w:lang w:eastAsia="es-ES"/>
              </w:rPr>
              <w:t>2.673.255.215</w:t>
            </w:r>
          </w:p>
        </w:tc>
        <w:tc>
          <w:tcPr>
            <w:tcW w:w="1088" w:type="dxa"/>
            <w:tcBorders>
              <w:top w:val="nil"/>
              <w:left w:val="nil"/>
              <w:bottom w:val="single" w:sz="8" w:space="0" w:color="BFBFBF"/>
            </w:tcBorders>
          </w:tcPr>
          <w:p w:rsidR="004A72E7" w:rsidRPr="001E2F6E" w:rsidRDefault="004A72E7" w:rsidP="00781D09">
            <w:pPr>
              <w:spacing w:line="240" w:lineRule="exact"/>
              <w:ind w:right="170"/>
              <w:jc w:val="right"/>
              <w:rPr>
                <w:b/>
                <w:bCs/>
                <w:sz w:val="16"/>
                <w:szCs w:val="16"/>
                <w:lang w:eastAsia="es-ES"/>
              </w:rPr>
            </w:pPr>
            <w:r w:rsidRPr="001E2F6E">
              <w:rPr>
                <w:b/>
                <w:bCs/>
                <w:sz w:val="16"/>
                <w:szCs w:val="16"/>
                <w:lang w:eastAsia="es-ES"/>
              </w:rPr>
              <w:t>100</w:t>
            </w:r>
          </w:p>
        </w:tc>
      </w:tr>
    </w:tbl>
    <w:p w:rsidR="004A72E7" w:rsidRPr="001E2F6E" w:rsidRDefault="004A72E7" w:rsidP="00B425F4">
      <w:pPr>
        <w:rPr>
          <w:lang w:val="es-ES_tradnl"/>
        </w:rPr>
      </w:pPr>
    </w:p>
    <w:p w:rsidR="004A72E7" w:rsidRPr="001E2F6E" w:rsidRDefault="004A72E7" w:rsidP="00B425F4">
      <w:pPr>
        <w:rPr>
          <w:lang w:val="es-ES_tradnl"/>
        </w:rPr>
      </w:pPr>
    </w:p>
    <w:p w:rsidR="004A72E7" w:rsidRPr="001E2F6E" w:rsidRDefault="004A72E7" w:rsidP="001451B1">
      <w:pPr>
        <w:pStyle w:val="Prrafodelista"/>
        <w:numPr>
          <w:ilvl w:val="0"/>
          <w:numId w:val="2"/>
        </w:numPr>
        <w:spacing w:after="0" w:line="360" w:lineRule="auto"/>
        <w:ind w:left="426" w:hanging="426"/>
        <w:rPr>
          <w:rFonts w:ascii="Arial" w:hAnsi="Arial" w:cs="Arial"/>
          <w:color w:val="000000"/>
          <w:lang w:val="es-ES_tradnl"/>
        </w:rPr>
      </w:pPr>
      <w:r w:rsidRPr="001E2F6E">
        <w:rPr>
          <w:rFonts w:ascii="Arial" w:hAnsi="Arial" w:cs="Arial"/>
          <w:b/>
          <w:bCs/>
          <w:color w:val="000000"/>
          <w:lang w:eastAsia="es-ES"/>
        </w:rPr>
        <w:tab/>
      </w:r>
      <w:r w:rsidRPr="001E2F6E">
        <w:rPr>
          <w:rFonts w:ascii="Arial" w:hAnsi="Arial" w:cs="Arial"/>
          <w:b/>
          <w:bCs/>
          <w:lang w:val="eu-ES" w:eastAsia="es-ES"/>
        </w:rPr>
        <w:t>Edonola ere, nahiz eta barne-merkatuko salmentek behera egin, Gizarte Ekonomiaren ekoizpenaren kanpo-irudia gero eta hobea zen</w:t>
      </w:r>
    </w:p>
    <w:p w:rsidR="004A72E7" w:rsidRPr="001E2F6E" w:rsidRDefault="004A72E7" w:rsidP="00E968C7">
      <w:pPr>
        <w:pStyle w:val="Prrafodelista"/>
        <w:spacing w:after="0" w:line="360" w:lineRule="auto"/>
        <w:ind w:left="426" w:hanging="426"/>
        <w:rPr>
          <w:rFonts w:ascii="Arial" w:hAnsi="Arial" w:cs="Arial"/>
          <w:color w:val="000000"/>
          <w:lang w:val="es-ES_tradnl"/>
        </w:rPr>
      </w:pPr>
    </w:p>
    <w:p w:rsidR="004A72E7" w:rsidRPr="001E2F6E" w:rsidRDefault="004A72E7" w:rsidP="00E968C7">
      <w:pPr>
        <w:pStyle w:val="Prrafodelista"/>
        <w:spacing w:after="0" w:line="360" w:lineRule="auto"/>
        <w:ind w:left="426" w:hanging="426"/>
        <w:rPr>
          <w:rFonts w:ascii="Arial" w:hAnsi="Arial" w:cs="Arial"/>
          <w:color w:val="000000"/>
          <w:lang w:val="eu-ES"/>
        </w:rPr>
      </w:pPr>
      <w:r w:rsidRPr="001E2F6E">
        <w:rPr>
          <w:rFonts w:ascii="Arial" w:hAnsi="Arial" w:cs="Arial"/>
          <w:color w:val="000000"/>
          <w:lang w:val="es-ES_tradnl"/>
        </w:rPr>
        <w:tab/>
      </w:r>
      <w:r w:rsidRPr="001E2F6E">
        <w:rPr>
          <w:rFonts w:ascii="Arial" w:hAnsi="Arial" w:cs="Arial"/>
          <w:lang w:val="eu-ES"/>
        </w:rPr>
        <w:t>Gizarte Ekonomiak kanpoan izandako gorakada argitu beharra dago. Horretarako, barne-fakturazioko datuei erreparatu behar zaie, Gizarte Ekonomiak beste merkatu batzuetan zeukan irudi positiboa areagotzea eragiten baitute.</w:t>
      </w:r>
      <w:r w:rsidRPr="001E2F6E">
        <w:rPr>
          <w:rFonts w:ascii="Arial" w:hAnsi="Arial" w:cs="Arial"/>
          <w:color w:val="000000"/>
          <w:lang w:val="eu-ES"/>
        </w:rPr>
        <w:t xml:space="preserve"> </w:t>
      </w:r>
      <w:r w:rsidRPr="001E2F6E">
        <w:rPr>
          <w:rFonts w:ascii="Arial" w:hAnsi="Arial" w:cs="Arial"/>
          <w:lang w:val="eu-ES"/>
        </w:rPr>
        <w:t>Europan, salmenten susperraldia gertatu zen, baina, barne-merkatuan, fakturazioak joera negatiboa zeukan artean ere.</w:t>
      </w:r>
    </w:p>
    <w:p w:rsidR="004A72E7" w:rsidRPr="001E2F6E" w:rsidRDefault="004A72E7" w:rsidP="00E968C7">
      <w:pPr>
        <w:pStyle w:val="Prrafodelista"/>
        <w:spacing w:after="0" w:line="360" w:lineRule="auto"/>
        <w:ind w:left="426" w:hanging="426"/>
        <w:rPr>
          <w:rFonts w:ascii="Arial" w:hAnsi="Arial" w:cs="Arial"/>
          <w:color w:val="000000"/>
          <w:lang w:val="eu-ES"/>
        </w:rPr>
      </w:pPr>
    </w:p>
    <w:p w:rsidR="004A72E7" w:rsidRPr="001E2F6E" w:rsidRDefault="004A72E7" w:rsidP="00E968C7">
      <w:pPr>
        <w:pStyle w:val="Prrafodelista"/>
        <w:spacing w:after="0" w:line="360" w:lineRule="auto"/>
        <w:ind w:left="426" w:hanging="426"/>
        <w:rPr>
          <w:rFonts w:ascii="Arial" w:hAnsi="Arial" w:cs="Arial"/>
          <w:color w:val="000000"/>
          <w:lang w:val="eu-ES"/>
        </w:rPr>
      </w:pPr>
      <w:r w:rsidRPr="001E2F6E">
        <w:rPr>
          <w:rFonts w:ascii="Arial" w:hAnsi="Arial" w:cs="Arial"/>
          <w:color w:val="000000"/>
          <w:lang w:val="eu-ES"/>
        </w:rPr>
        <w:tab/>
      </w:r>
      <w:r w:rsidRPr="001E2F6E">
        <w:rPr>
          <w:rFonts w:ascii="Arial" w:hAnsi="Arial" w:cs="Arial"/>
          <w:lang w:val="eu-ES"/>
        </w:rPr>
        <w:t xml:space="preserve">Enpresa ez-esportatzaileen kasuan, beherakada oso handia zen orduan ere: barne-fakturazioa </w:t>
      </w:r>
      <w:r w:rsidRPr="001E2F6E">
        <w:rPr>
          <w:rFonts w:ascii="Arial" w:hAnsi="Arial" w:cs="Arial"/>
          <w:spacing w:val="60"/>
          <w:lang w:val="eu-ES"/>
        </w:rPr>
        <w:t>%</w:t>
      </w:r>
      <w:r w:rsidRPr="001E2F6E">
        <w:rPr>
          <w:rFonts w:ascii="Arial" w:hAnsi="Arial" w:cs="Arial"/>
          <w:lang w:val="eu-ES"/>
        </w:rPr>
        <w:t>13,6 txikitu zen, 2008-2010 biurtekoan izandakoa baino handiagoa (</w:t>
      </w:r>
      <w:r w:rsidRPr="001E2F6E">
        <w:rPr>
          <w:rFonts w:ascii="Arial" w:hAnsi="Arial" w:cs="Arial"/>
          <w:spacing w:val="60"/>
          <w:lang w:val="eu-ES"/>
        </w:rPr>
        <w:t>%</w:t>
      </w:r>
      <w:r w:rsidRPr="001E2F6E">
        <w:rPr>
          <w:rFonts w:ascii="Arial" w:hAnsi="Arial" w:cs="Arial"/>
          <w:lang w:val="eu-ES"/>
        </w:rPr>
        <w:t xml:space="preserve">8,0). Enpresa esportatzaileei dagokienez ere, barne-merkatuko salmentak </w:t>
      </w:r>
      <w:r w:rsidRPr="001E2F6E">
        <w:rPr>
          <w:rFonts w:ascii="Arial" w:hAnsi="Arial" w:cs="Arial"/>
          <w:spacing w:val="60"/>
          <w:lang w:val="eu-ES"/>
        </w:rPr>
        <w:t>%</w:t>
      </w:r>
      <w:r w:rsidRPr="001E2F6E">
        <w:rPr>
          <w:rFonts w:ascii="Arial" w:hAnsi="Arial" w:cs="Arial"/>
          <w:lang w:val="eu-ES"/>
        </w:rPr>
        <w:t xml:space="preserve">5,5 gutxitu ziren, baina, 2008-2010 denboraldian </w:t>
      </w:r>
      <w:r w:rsidRPr="001E2F6E">
        <w:rPr>
          <w:rFonts w:ascii="Arial" w:hAnsi="Arial" w:cs="Arial"/>
          <w:spacing w:val="60"/>
          <w:lang w:val="eu-ES"/>
        </w:rPr>
        <w:t>%</w:t>
      </w:r>
      <w:r w:rsidRPr="001E2F6E">
        <w:rPr>
          <w:rFonts w:ascii="Arial" w:hAnsi="Arial" w:cs="Arial"/>
          <w:lang w:val="eu-ES"/>
        </w:rPr>
        <w:t xml:space="preserve">25eko beherakada gertatu zela kontuan hartuta, ez zuen eragin handirik izan. Azken batean, barne-merkatuetako fakturazioaren garrantzi erlatiboak behera egin zuen. Beraz, nahiz eta 2008an barne-merkatuko salmentak Europar Batasunean egindakoak baino </w:t>
      </w:r>
      <w:r w:rsidRPr="001E2F6E">
        <w:rPr>
          <w:rFonts w:ascii="Arial" w:hAnsi="Arial" w:cs="Arial"/>
          <w:spacing w:val="60"/>
          <w:lang w:val="eu-ES"/>
        </w:rPr>
        <w:t>%</w:t>
      </w:r>
      <w:r w:rsidRPr="001E2F6E">
        <w:rPr>
          <w:rFonts w:ascii="Arial" w:hAnsi="Arial" w:cs="Arial"/>
          <w:lang w:val="eu-ES"/>
        </w:rPr>
        <w:t xml:space="preserve">23,8 handiagoak izan, portzentaje hori </w:t>
      </w:r>
      <w:r w:rsidRPr="001E2F6E">
        <w:rPr>
          <w:rFonts w:ascii="Arial" w:hAnsi="Arial" w:cs="Arial"/>
          <w:spacing w:val="60"/>
          <w:lang w:val="eu-ES"/>
        </w:rPr>
        <w:t>%</w:t>
      </w:r>
      <w:r w:rsidRPr="001E2F6E">
        <w:rPr>
          <w:rFonts w:ascii="Arial" w:hAnsi="Arial" w:cs="Arial"/>
          <w:lang w:val="eu-ES"/>
        </w:rPr>
        <w:t>13,5era txikitu zen 2012an. Gainera, bi merkatu horietako fakturazio-datuak txikiagoak izan ziren 2008koak baino.</w:t>
      </w:r>
    </w:p>
    <w:p w:rsidR="004A72E7" w:rsidRPr="001E2F6E" w:rsidRDefault="004A72E7" w:rsidP="00E968C7">
      <w:pPr>
        <w:pStyle w:val="Prrafodelista"/>
        <w:spacing w:after="0" w:line="360" w:lineRule="auto"/>
        <w:ind w:left="426" w:hanging="426"/>
        <w:rPr>
          <w:rFonts w:ascii="Arial" w:hAnsi="Arial" w:cs="Arial"/>
          <w:color w:val="000000"/>
          <w:lang w:val="eu-ES"/>
        </w:rPr>
      </w:pPr>
    </w:p>
    <w:p w:rsidR="00396118" w:rsidRPr="001E2F6E" w:rsidRDefault="00396118">
      <w:pPr>
        <w:spacing w:line="240" w:lineRule="auto"/>
        <w:jc w:val="left"/>
        <w:rPr>
          <w:rFonts w:eastAsia="Times New Roman"/>
          <w:b/>
          <w:bCs/>
          <w:sz w:val="24"/>
          <w:szCs w:val="24"/>
          <w:lang w:val="eu-ES" w:eastAsia="es-ES"/>
        </w:rPr>
      </w:pPr>
    </w:p>
    <w:p w:rsidR="004A72E7" w:rsidRPr="001E2F6E" w:rsidRDefault="004A72E7" w:rsidP="00354E9D">
      <w:pPr>
        <w:pStyle w:val="Ttulo2"/>
        <w:spacing w:line="360" w:lineRule="auto"/>
        <w:ind w:left="227" w:hanging="227"/>
        <w:rPr>
          <w:lang w:val="eu-ES"/>
        </w:rPr>
      </w:pPr>
      <w:bookmarkStart w:id="11" w:name="_Toc392585660"/>
      <w:r w:rsidRPr="001E2F6E">
        <w:rPr>
          <w:lang w:val="eu-ES"/>
        </w:rPr>
        <w:t>Gipuzkoako Gizarte Ekonomiak nagusi izaten jarraitu zuen</w:t>
      </w:r>
      <w:bookmarkEnd w:id="11"/>
    </w:p>
    <w:p w:rsidR="004A72E7" w:rsidRPr="001E2F6E" w:rsidRDefault="004A72E7" w:rsidP="00354E9D">
      <w:pPr>
        <w:pStyle w:val="Prrafodelista"/>
        <w:spacing w:after="0" w:line="360" w:lineRule="auto"/>
        <w:ind w:left="227" w:hanging="227"/>
        <w:rPr>
          <w:rFonts w:ascii="Arial" w:hAnsi="Arial" w:cs="Arial"/>
          <w:color w:val="000000"/>
          <w:lang w:val="eu-ES"/>
        </w:rPr>
      </w:pPr>
    </w:p>
    <w:p w:rsidR="004A72E7" w:rsidRPr="001E2F6E" w:rsidRDefault="004A72E7" w:rsidP="001451B1">
      <w:pPr>
        <w:pStyle w:val="Prrafodelista"/>
        <w:numPr>
          <w:ilvl w:val="0"/>
          <w:numId w:val="2"/>
        </w:numPr>
        <w:spacing w:after="0" w:line="360" w:lineRule="auto"/>
        <w:ind w:left="426" w:hanging="426"/>
        <w:rPr>
          <w:rFonts w:ascii="Arial" w:hAnsi="Arial" w:cs="Arial"/>
          <w:b/>
          <w:bCs/>
          <w:lang w:val="eu-ES" w:eastAsia="es-ES"/>
        </w:rPr>
      </w:pPr>
      <w:r w:rsidRPr="001E2F6E">
        <w:rPr>
          <w:rFonts w:ascii="Arial" w:hAnsi="Arial" w:cs="Arial"/>
          <w:b/>
          <w:bCs/>
          <w:lang w:val="eu-ES" w:eastAsia="es-ES"/>
        </w:rPr>
        <w:tab/>
        <w:t>Gipuzkoak hobeto eutsi zion enplegu-beherakadari</w:t>
      </w:r>
    </w:p>
    <w:p w:rsidR="004A72E7" w:rsidRPr="001E2F6E" w:rsidRDefault="004A72E7" w:rsidP="00E968C7">
      <w:pPr>
        <w:pStyle w:val="Prrafodelista"/>
        <w:spacing w:after="0" w:line="360" w:lineRule="auto"/>
        <w:ind w:left="426" w:hanging="426"/>
        <w:rPr>
          <w:rFonts w:ascii="Arial" w:hAnsi="Arial" w:cs="Arial"/>
          <w:lang w:val="eu-ES" w:eastAsia="es-ES"/>
        </w:rPr>
      </w:pPr>
    </w:p>
    <w:p w:rsidR="004A72E7" w:rsidRPr="001E2F6E" w:rsidRDefault="004A72E7" w:rsidP="00E968C7">
      <w:pPr>
        <w:pStyle w:val="Prrafodelista"/>
        <w:spacing w:after="0" w:line="360" w:lineRule="auto"/>
        <w:ind w:left="426" w:hanging="426"/>
        <w:rPr>
          <w:rFonts w:ascii="Arial" w:hAnsi="Arial" w:cs="Arial"/>
          <w:color w:val="000000"/>
          <w:lang w:val="eu-ES" w:eastAsia="es-ES"/>
        </w:rPr>
      </w:pPr>
      <w:r w:rsidRPr="001E2F6E">
        <w:rPr>
          <w:rFonts w:ascii="Arial" w:hAnsi="Arial" w:cs="Arial"/>
          <w:lang w:val="eu-ES" w:eastAsia="es-ES"/>
        </w:rPr>
        <w:tab/>
        <w:t xml:space="preserve">Esportazioen hazkundea eragin zuen hobekuntza lehiakorra industria-kooperatiben portaerarekin zetorren bat, neurri batean; hain zuzen, enpresa horiek egin zuten Gizarte Ekonomiaren kanpo-salmenten </w:t>
      </w:r>
      <w:r w:rsidRPr="001E2F6E">
        <w:rPr>
          <w:rFonts w:ascii="Arial" w:hAnsi="Arial" w:cs="Arial"/>
          <w:spacing w:val="60"/>
          <w:lang w:val="eu-ES" w:eastAsia="es-ES"/>
        </w:rPr>
        <w:t>%</w:t>
      </w:r>
      <w:r w:rsidRPr="001E2F6E">
        <w:rPr>
          <w:rFonts w:ascii="Arial" w:hAnsi="Arial" w:cs="Arial"/>
          <w:lang w:val="eu-ES" w:eastAsia="es-ES"/>
        </w:rPr>
        <w:t>94,7. Enpresa horien batez besteko tamaina handiagoa da, eta kanpora irteteko ahalmen handiagoa dute. Horiek dira, oraindik ere, Gizarte Ekonomia Euskadiko ekoizpen-ehunetik bereizten duten ezaugarri nagusietako batzuk.</w:t>
      </w:r>
      <w:r w:rsidRPr="001E2F6E">
        <w:rPr>
          <w:rFonts w:ascii="Arial" w:hAnsi="Arial" w:cs="Arial"/>
          <w:color w:val="000000"/>
          <w:lang w:val="eu-ES" w:eastAsia="es-ES"/>
        </w:rPr>
        <w:t xml:space="preserve"> </w:t>
      </w:r>
    </w:p>
    <w:p w:rsidR="004A72E7" w:rsidRPr="001E2F6E" w:rsidRDefault="004A72E7" w:rsidP="00E968C7">
      <w:pPr>
        <w:ind w:left="426" w:hanging="426"/>
        <w:rPr>
          <w:lang w:val="eu-ES"/>
        </w:rPr>
      </w:pPr>
    </w:p>
    <w:p w:rsidR="00D64E67" w:rsidRPr="001E2F6E" w:rsidRDefault="00D64E67">
      <w:pPr>
        <w:spacing w:line="240" w:lineRule="auto"/>
        <w:jc w:val="left"/>
        <w:rPr>
          <w:lang w:val="eu-ES" w:eastAsia="es-ES"/>
        </w:rPr>
      </w:pPr>
      <w:r w:rsidRPr="001E2F6E">
        <w:rPr>
          <w:lang w:val="eu-ES" w:eastAsia="es-ES"/>
        </w:rPr>
        <w:br w:type="page"/>
      </w:r>
    </w:p>
    <w:p w:rsidR="004A72E7" w:rsidRPr="001E2F6E" w:rsidRDefault="004A72E7" w:rsidP="00E968C7">
      <w:pPr>
        <w:pStyle w:val="Prrafodelista"/>
        <w:spacing w:after="0" w:line="360" w:lineRule="auto"/>
        <w:ind w:left="426" w:hanging="426"/>
        <w:rPr>
          <w:rFonts w:ascii="Arial" w:hAnsi="Arial" w:cs="Arial"/>
          <w:lang w:val="eu-ES" w:eastAsia="es-ES"/>
        </w:rPr>
      </w:pPr>
      <w:r w:rsidRPr="001E2F6E">
        <w:rPr>
          <w:rFonts w:ascii="Arial" w:hAnsi="Arial" w:cs="Arial"/>
          <w:lang w:val="eu-ES" w:eastAsia="es-ES"/>
        </w:rPr>
        <w:lastRenderedPageBreak/>
        <w:tab/>
        <w:t>Gizarte Ekonomia industrian dago espezializatuta, eta hori bereziki nabarmena da Gipuzkoa; hain zuzen, lurralde horretan, industriako bost lanpostutatik bat kooperatibetan eta lan-sozietateetan zegoen (</w:t>
      </w:r>
      <w:r w:rsidRPr="001E2F6E">
        <w:rPr>
          <w:rFonts w:ascii="Arial" w:hAnsi="Arial" w:cs="Arial"/>
          <w:spacing w:val="60"/>
          <w:lang w:val="eu-ES" w:eastAsia="es-ES"/>
        </w:rPr>
        <w:t>%</w:t>
      </w:r>
      <w:r w:rsidRPr="001E2F6E">
        <w:rPr>
          <w:rFonts w:ascii="Arial" w:hAnsi="Arial" w:cs="Arial"/>
          <w:lang w:val="eu-ES" w:eastAsia="es-ES"/>
        </w:rPr>
        <w:t xml:space="preserve">21,2, eta Bizkaian eta Araban, berriz, </w:t>
      </w:r>
      <w:r w:rsidRPr="001E2F6E">
        <w:rPr>
          <w:rFonts w:ascii="Arial" w:hAnsi="Arial" w:cs="Arial"/>
          <w:spacing w:val="60"/>
          <w:lang w:val="eu-ES" w:eastAsia="es-ES"/>
        </w:rPr>
        <w:t>%</w:t>
      </w:r>
      <w:r w:rsidRPr="001E2F6E">
        <w:rPr>
          <w:rFonts w:ascii="Arial" w:hAnsi="Arial" w:cs="Arial"/>
          <w:lang w:val="eu-ES" w:eastAsia="es-ES"/>
        </w:rPr>
        <w:t xml:space="preserve">7,2 eta </w:t>
      </w:r>
      <w:r w:rsidRPr="001E2F6E">
        <w:rPr>
          <w:rFonts w:ascii="Arial" w:hAnsi="Arial" w:cs="Arial"/>
          <w:spacing w:val="60"/>
          <w:lang w:val="eu-ES" w:eastAsia="es-ES"/>
        </w:rPr>
        <w:t>%</w:t>
      </w:r>
      <w:r w:rsidRPr="001E2F6E">
        <w:rPr>
          <w:rFonts w:ascii="Arial" w:hAnsi="Arial" w:cs="Arial"/>
          <w:lang w:val="eu-ES" w:eastAsia="es-ES"/>
        </w:rPr>
        <w:t>5,7, hurrenez hurren).</w:t>
      </w:r>
    </w:p>
    <w:p w:rsidR="004A72E7" w:rsidRPr="001E2F6E" w:rsidRDefault="004A72E7" w:rsidP="00B425F4">
      <w:pPr>
        <w:rPr>
          <w:lang w:val="eu-ES"/>
        </w:rPr>
      </w:pPr>
    </w:p>
    <w:p w:rsidR="004A72E7" w:rsidRPr="001E2F6E" w:rsidRDefault="004A72E7" w:rsidP="00E968C7">
      <w:pPr>
        <w:spacing w:line="240" w:lineRule="auto"/>
        <w:ind w:left="227" w:hanging="227"/>
        <w:jc w:val="center"/>
        <w:rPr>
          <w:color w:val="1F497D" w:themeColor="text2"/>
          <w:lang w:val="eu-ES"/>
        </w:rPr>
      </w:pPr>
      <w:r w:rsidRPr="001E2F6E">
        <w:rPr>
          <w:b/>
          <w:bCs/>
          <w:color w:val="1F497D" w:themeColor="text2"/>
          <w:sz w:val="18"/>
          <w:szCs w:val="18"/>
          <w:lang w:val="eu-ES"/>
        </w:rPr>
        <w:t>GIZARTE EKONOMIAREN GARRANTZI ERLATIBOA</w:t>
      </w:r>
      <w:r w:rsidRPr="001E2F6E">
        <w:rPr>
          <w:color w:val="1F497D" w:themeColor="text2"/>
          <w:lang w:val="eu-ES"/>
        </w:rPr>
        <w:t xml:space="preserve"> </w:t>
      </w:r>
      <w:r w:rsidRPr="001E2F6E">
        <w:rPr>
          <w:b/>
          <w:bCs/>
          <w:color w:val="1F497D" w:themeColor="text2"/>
          <w:sz w:val="18"/>
          <w:szCs w:val="18"/>
          <w:lang w:val="eu-ES"/>
        </w:rPr>
        <w:t xml:space="preserve">EAE-KO EKONOMIAN, SEKTOREAREN ARABERA (enpleguaren pisu erlatiboa lurralde historikoaren arabera) </w:t>
      </w:r>
    </w:p>
    <w:p w:rsidR="004A72E7" w:rsidRPr="001E2F6E" w:rsidRDefault="001451B1" w:rsidP="00354E9D">
      <w:pPr>
        <w:ind w:left="227" w:hanging="227"/>
        <w:jc w:val="center"/>
        <w:rPr>
          <w:b/>
          <w:bCs/>
          <w:color w:val="1F497D"/>
          <w:sz w:val="18"/>
          <w:szCs w:val="18"/>
          <w:lang w:val="eu-ES"/>
        </w:rPr>
      </w:pPr>
      <w:r w:rsidRPr="001E2F6E">
        <w:rPr>
          <w:noProof/>
          <w:lang w:eastAsia="es-ES"/>
        </w:rPr>
        <w:drawing>
          <wp:anchor distT="54864" distB="113538" distL="132588" distR="174498" simplePos="0" relativeHeight="251653120" behindDoc="0" locked="0" layoutInCell="1" allowOverlap="1">
            <wp:simplePos x="0" y="0"/>
            <wp:positionH relativeFrom="column">
              <wp:posOffset>2805430</wp:posOffset>
            </wp:positionH>
            <wp:positionV relativeFrom="paragraph">
              <wp:posOffset>84455</wp:posOffset>
            </wp:positionV>
            <wp:extent cx="2986405" cy="1640205"/>
            <wp:effectExtent l="0" t="0" r="4445" b="0"/>
            <wp:wrapNone/>
            <wp:docPr id="28" name="Objeto 2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anchor>
        </w:drawing>
      </w:r>
      <w:r w:rsidRPr="001E2F6E">
        <w:rPr>
          <w:noProof/>
          <w:lang w:eastAsia="es-ES"/>
        </w:rPr>
        <w:drawing>
          <wp:anchor distT="79248" distB="84733" distL="132588" distR="171852" simplePos="0" relativeHeight="251654144" behindDoc="0" locked="0" layoutInCell="1" allowOverlap="1">
            <wp:simplePos x="0" y="0"/>
            <wp:positionH relativeFrom="column">
              <wp:posOffset>-366395</wp:posOffset>
            </wp:positionH>
            <wp:positionV relativeFrom="paragraph">
              <wp:posOffset>213995</wp:posOffset>
            </wp:positionV>
            <wp:extent cx="2992755" cy="1487805"/>
            <wp:effectExtent l="19050" t="0" r="0" b="0"/>
            <wp:wrapNone/>
            <wp:docPr id="29" name="Objeto 2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anchor>
        </w:drawing>
      </w:r>
    </w:p>
    <w:p w:rsidR="004A72E7" w:rsidRPr="001E2F6E" w:rsidRDefault="004A72E7" w:rsidP="00354E9D">
      <w:pPr>
        <w:ind w:left="227" w:hanging="227"/>
        <w:jc w:val="center"/>
        <w:rPr>
          <w:b/>
          <w:bCs/>
          <w:sz w:val="18"/>
          <w:szCs w:val="18"/>
          <w:lang w:val="eu-ES"/>
        </w:rPr>
      </w:pPr>
    </w:p>
    <w:p w:rsidR="004A72E7" w:rsidRPr="001E2F6E" w:rsidRDefault="004A72E7" w:rsidP="00354E9D">
      <w:pPr>
        <w:ind w:left="227" w:hanging="227"/>
        <w:jc w:val="center"/>
        <w:rPr>
          <w:b/>
          <w:bCs/>
          <w:sz w:val="18"/>
          <w:szCs w:val="18"/>
          <w:lang w:val="eu-ES"/>
        </w:rPr>
      </w:pPr>
    </w:p>
    <w:p w:rsidR="004A72E7" w:rsidRPr="001E2F6E" w:rsidRDefault="004A72E7" w:rsidP="00354E9D">
      <w:pPr>
        <w:ind w:left="227" w:hanging="227"/>
        <w:jc w:val="center"/>
        <w:rPr>
          <w:sz w:val="24"/>
          <w:szCs w:val="24"/>
          <w:lang w:val="eu-ES"/>
        </w:rPr>
      </w:pPr>
    </w:p>
    <w:p w:rsidR="004A72E7" w:rsidRPr="001E2F6E" w:rsidRDefault="004A72E7" w:rsidP="00354E9D">
      <w:pPr>
        <w:ind w:left="227" w:hanging="227"/>
        <w:jc w:val="center"/>
        <w:rPr>
          <w:sz w:val="24"/>
          <w:szCs w:val="24"/>
          <w:lang w:val="eu-ES"/>
        </w:rPr>
      </w:pPr>
    </w:p>
    <w:p w:rsidR="004A72E7" w:rsidRPr="001E2F6E" w:rsidRDefault="004A72E7" w:rsidP="00354E9D">
      <w:pPr>
        <w:ind w:left="227" w:hanging="227"/>
        <w:jc w:val="center"/>
        <w:rPr>
          <w:sz w:val="24"/>
          <w:szCs w:val="24"/>
          <w:lang w:val="eu-ES"/>
        </w:rPr>
      </w:pPr>
    </w:p>
    <w:p w:rsidR="004A72E7" w:rsidRPr="001E2F6E" w:rsidRDefault="004A72E7" w:rsidP="00354E9D">
      <w:pPr>
        <w:ind w:left="227" w:hanging="227"/>
        <w:jc w:val="center"/>
        <w:rPr>
          <w:sz w:val="24"/>
          <w:szCs w:val="24"/>
          <w:lang w:val="eu-ES"/>
        </w:rPr>
      </w:pPr>
    </w:p>
    <w:p w:rsidR="004A72E7" w:rsidRPr="001E2F6E" w:rsidRDefault="004A72E7" w:rsidP="00354E9D">
      <w:pPr>
        <w:ind w:left="227" w:hanging="227"/>
        <w:jc w:val="center"/>
        <w:rPr>
          <w:sz w:val="24"/>
          <w:szCs w:val="24"/>
          <w:lang w:val="eu-ES"/>
        </w:rPr>
      </w:pPr>
    </w:p>
    <w:p w:rsidR="004A72E7" w:rsidRPr="001E2F6E" w:rsidRDefault="001451B1" w:rsidP="00354E9D">
      <w:pPr>
        <w:ind w:left="227" w:hanging="227"/>
        <w:jc w:val="center"/>
        <w:rPr>
          <w:sz w:val="24"/>
          <w:szCs w:val="24"/>
          <w:lang w:val="eu-ES"/>
        </w:rPr>
      </w:pPr>
      <w:r w:rsidRPr="001E2F6E">
        <w:rPr>
          <w:noProof/>
          <w:lang w:eastAsia="es-ES"/>
        </w:rPr>
        <w:drawing>
          <wp:anchor distT="79248" distB="81915" distL="126492" distR="174498" simplePos="0" relativeHeight="251656192" behindDoc="0" locked="0" layoutInCell="1" allowOverlap="1">
            <wp:simplePos x="0" y="0"/>
            <wp:positionH relativeFrom="column">
              <wp:posOffset>2799080</wp:posOffset>
            </wp:positionH>
            <wp:positionV relativeFrom="paragraph">
              <wp:posOffset>232410</wp:posOffset>
            </wp:positionV>
            <wp:extent cx="2990215" cy="1487805"/>
            <wp:effectExtent l="19050" t="0" r="635" b="0"/>
            <wp:wrapNone/>
            <wp:docPr id="30" name="Objeto 3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anchor>
        </w:drawing>
      </w:r>
      <w:r w:rsidRPr="001E2F6E">
        <w:rPr>
          <w:noProof/>
          <w:lang w:eastAsia="es-ES"/>
        </w:rPr>
        <w:drawing>
          <wp:anchor distT="79248" distB="81915" distL="132588" distR="174498" simplePos="0" relativeHeight="251655168" behindDoc="0" locked="0" layoutInCell="1" allowOverlap="1">
            <wp:simplePos x="0" y="0"/>
            <wp:positionH relativeFrom="column">
              <wp:posOffset>-290195</wp:posOffset>
            </wp:positionH>
            <wp:positionV relativeFrom="paragraph">
              <wp:posOffset>232410</wp:posOffset>
            </wp:positionV>
            <wp:extent cx="2973705" cy="1499870"/>
            <wp:effectExtent l="0" t="0" r="0" b="0"/>
            <wp:wrapNone/>
            <wp:docPr id="31" name="Objeto 3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anchor>
        </w:drawing>
      </w:r>
    </w:p>
    <w:p w:rsidR="004A72E7" w:rsidRPr="001E2F6E" w:rsidRDefault="004A72E7" w:rsidP="00354E9D">
      <w:pPr>
        <w:ind w:left="227" w:hanging="227"/>
        <w:jc w:val="center"/>
        <w:rPr>
          <w:sz w:val="24"/>
          <w:szCs w:val="24"/>
          <w:lang w:val="eu-ES"/>
        </w:rPr>
      </w:pPr>
    </w:p>
    <w:p w:rsidR="004A72E7" w:rsidRPr="001E2F6E" w:rsidRDefault="004A72E7" w:rsidP="00354E9D">
      <w:pPr>
        <w:ind w:left="227" w:hanging="227"/>
        <w:jc w:val="center"/>
        <w:rPr>
          <w:sz w:val="24"/>
          <w:szCs w:val="24"/>
          <w:lang w:val="eu-ES"/>
        </w:rPr>
      </w:pPr>
    </w:p>
    <w:p w:rsidR="004A72E7" w:rsidRPr="001E2F6E" w:rsidRDefault="004A72E7" w:rsidP="00354E9D">
      <w:pPr>
        <w:ind w:left="227" w:hanging="227"/>
        <w:jc w:val="center"/>
        <w:rPr>
          <w:sz w:val="24"/>
          <w:szCs w:val="24"/>
          <w:lang w:val="eu-ES"/>
        </w:rPr>
      </w:pPr>
    </w:p>
    <w:p w:rsidR="004A72E7" w:rsidRPr="001E2F6E" w:rsidRDefault="004A72E7" w:rsidP="00354E9D">
      <w:pPr>
        <w:ind w:left="227" w:hanging="227"/>
        <w:jc w:val="center"/>
        <w:rPr>
          <w:sz w:val="24"/>
          <w:szCs w:val="24"/>
          <w:lang w:val="eu-ES"/>
        </w:rPr>
      </w:pPr>
    </w:p>
    <w:p w:rsidR="004A72E7" w:rsidRPr="001E2F6E" w:rsidRDefault="004A72E7" w:rsidP="00354E9D">
      <w:pPr>
        <w:pStyle w:val="Textoindependiente2"/>
        <w:spacing w:after="0" w:line="360" w:lineRule="auto"/>
        <w:ind w:left="227" w:hanging="227"/>
        <w:rPr>
          <w:b/>
          <w:bCs/>
          <w:i/>
          <w:iCs/>
          <w:sz w:val="16"/>
          <w:szCs w:val="16"/>
          <w:lang w:val="eu-ES"/>
        </w:rPr>
      </w:pPr>
    </w:p>
    <w:p w:rsidR="004A72E7" w:rsidRPr="001E2F6E" w:rsidRDefault="004A72E7" w:rsidP="00354E9D">
      <w:pPr>
        <w:pStyle w:val="Textoindependiente2"/>
        <w:spacing w:after="0" w:line="360" w:lineRule="auto"/>
        <w:ind w:left="227" w:hanging="227"/>
        <w:rPr>
          <w:b/>
          <w:bCs/>
          <w:i/>
          <w:iCs/>
          <w:sz w:val="16"/>
          <w:szCs w:val="16"/>
          <w:lang w:val="eu-ES"/>
        </w:rPr>
      </w:pPr>
    </w:p>
    <w:p w:rsidR="004A72E7" w:rsidRPr="001E2F6E" w:rsidRDefault="004A72E7" w:rsidP="00354E9D">
      <w:pPr>
        <w:ind w:left="227" w:hanging="227"/>
        <w:rPr>
          <w:snapToGrid w:val="0"/>
          <w:lang w:val="eu-ES" w:eastAsia="es-ES"/>
        </w:rPr>
      </w:pPr>
    </w:p>
    <w:p w:rsidR="004A72E7" w:rsidRPr="001E2F6E" w:rsidRDefault="004A72E7" w:rsidP="00115016">
      <w:pPr>
        <w:rPr>
          <w:lang w:val="eu-ES"/>
        </w:rPr>
      </w:pPr>
    </w:p>
    <w:p w:rsidR="004A72E7" w:rsidRPr="001E2F6E" w:rsidRDefault="004A72E7" w:rsidP="00354E9D">
      <w:pPr>
        <w:ind w:left="227" w:hanging="227"/>
        <w:rPr>
          <w:color w:val="000000"/>
          <w:lang w:val="eu-ES" w:eastAsia="es-ES"/>
        </w:rPr>
      </w:pPr>
    </w:p>
    <w:p w:rsidR="004A72E7" w:rsidRPr="001E2F6E" w:rsidRDefault="004A72E7" w:rsidP="00E968C7">
      <w:pPr>
        <w:ind w:left="426" w:hanging="426"/>
        <w:rPr>
          <w:lang w:val="eu-ES"/>
        </w:rPr>
      </w:pPr>
      <w:r w:rsidRPr="001E2F6E">
        <w:rPr>
          <w:color w:val="000000"/>
          <w:lang w:val="eu-ES" w:eastAsia="es-ES"/>
        </w:rPr>
        <w:tab/>
      </w:r>
      <w:r w:rsidRPr="001E2F6E">
        <w:rPr>
          <w:lang w:val="eu-ES" w:eastAsia="es-ES"/>
        </w:rPr>
        <w:t>Faktore lehiakor horiei eta beste batzuei esker, Gipuzkoa izan zen 2010-2012 biurtekoan enplegu-datuei nolabait eutsi zien EAEko lurralde bakarra.</w:t>
      </w:r>
      <w:r w:rsidRPr="001E2F6E">
        <w:rPr>
          <w:color w:val="000000"/>
          <w:lang w:val="eu-ES" w:eastAsia="es-ES"/>
        </w:rPr>
        <w:t xml:space="preserve"> </w:t>
      </w:r>
      <w:r w:rsidRPr="001E2F6E">
        <w:rPr>
          <w:lang w:val="eu-ES" w:eastAsia="es-ES"/>
        </w:rPr>
        <w:t xml:space="preserve">Horrenbestez, Gipuzkoako Gizarte Ekonomian, enplegua </w:t>
      </w:r>
      <w:r w:rsidRPr="001E2F6E">
        <w:rPr>
          <w:spacing w:val="60"/>
          <w:lang w:val="eu-ES" w:eastAsia="es-ES"/>
        </w:rPr>
        <w:t>%</w:t>
      </w:r>
      <w:r w:rsidRPr="001E2F6E">
        <w:rPr>
          <w:lang w:val="eu-ES" w:eastAsia="es-ES"/>
        </w:rPr>
        <w:t xml:space="preserve">0,9 jaitsi zen, eta Araban eta Bizkaian, ordea, </w:t>
      </w:r>
      <w:r w:rsidRPr="001E2F6E">
        <w:rPr>
          <w:spacing w:val="60"/>
          <w:lang w:val="eu-ES" w:eastAsia="es-ES"/>
        </w:rPr>
        <w:t>%</w:t>
      </w:r>
      <w:r w:rsidRPr="001E2F6E">
        <w:rPr>
          <w:lang w:val="eu-ES" w:eastAsia="es-ES"/>
        </w:rPr>
        <w:t xml:space="preserve">11,4 eta </w:t>
      </w:r>
      <w:r w:rsidRPr="001E2F6E">
        <w:rPr>
          <w:spacing w:val="60"/>
          <w:lang w:val="eu-ES" w:eastAsia="es-ES"/>
        </w:rPr>
        <w:t>%</w:t>
      </w:r>
      <w:r w:rsidRPr="001E2F6E">
        <w:rPr>
          <w:lang w:val="eu-ES" w:eastAsia="es-ES"/>
        </w:rPr>
        <w:t>12,8, hurrenez hurren</w:t>
      </w:r>
      <w:r w:rsidRPr="001E2F6E">
        <w:rPr>
          <w:rStyle w:val="Refdenotaalpie"/>
          <w:rFonts w:cs="Arial"/>
          <w:lang w:val="eu-ES" w:eastAsia="es-ES"/>
        </w:rPr>
        <w:footnoteReference w:id="14"/>
      </w:r>
      <w:r w:rsidRPr="001E2F6E">
        <w:rPr>
          <w:lang w:val="eu-ES" w:eastAsia="es-ES"/>
        </w:rPr>
        <w:t>.</w:t>
      </w:r>
    </w:p>
    <w:p w:rsidR="004A72E7" w:rsidRPr="001E2F6E" w:rsidRDefault="004A72E7" w:rsidP="00E968C7">
      <w:pPr>
        <w:ind w:left="426" w:hanging="426"/>
        <w:rPr>
          <w:snapToGrid w:val="0"/>
          <w:lang w:val="eu-ES" w:eastAsia="es-ES"/>
        </w:rPr>
      </w:pPr>
    </w:p>
    <w:p w:rsidR="004A72E7" w:rsidRPr="001E2F6E" w:rsidRDefault="004A72E7" w:rsidP="00E968C7">
      <w:pPr>
        <w:ind w:left="426" w:hanging="426"/>
        <w:rPr>
          <w:lang w:val="eu-ES"/>
        </w:rPr>
      </w:pPr>
      <w:r w:rsidRPr="001E2F6E">
        <w:rPr>
          <w:snapToGrid w:val="0"/>
          <w:lang w:val="eu-ES" w:eastAsia="es-ES"/>
        </w:rPr>
        <w:tab/>
        <w:t xml:space="preserve">Joera horren ondorioz, Gizarte Ekonomiak Gipuzkoako enpresek sortutako enpleguan zeukan garrantzi erlatiboa handitu egin zen: 2010ean, </w:t>
      </w:r>
      <w:r w:rsidRPr="001E2F6E">
        <w:rPr>
          <w:snapToGrid w:val="0"/>
          <w:spacing w:val="60"/>
          <w:lang w:val="eu-ES" w:eastAsia="es-ES"/>
        </w:rPr>
        <w:t>%</w:t>
      </w:r>
      <w:r w:rsidRPr="001E2F6E">
        <w:rPr>
          <w:snapToGrid w:val="0"/>
          <w:lang w:val="eu-ES" w:eastAsia="es-ES"/>
        </w:rPr>
        <w:t xml:space="preserve">9,4koa zen, eta 2012an, </w:t>
      </w:r>
      <w:r w:rsidRPr="001E2F6E">
        <w:rPr>
          <w:snapToGrid w:val="0"/>
          <w:spacing w:val="60"/>
          <w:lang w:val="eu-ES" w:eastAsia="es-ES"/>
        </w:rPr>
        <w:t>%</w:t>
      </w:r>
      <w:r w:rsidRPr="001E2F6E">
        <w:rPr>
          <w:snapToGrid w:val="0"/>
          <w:lang w:val="eu-ES" w:eastAsia="es-ES"/>
        </w:rPr>
        <w:t>9,7koa. Araban eta Bizkaian, ordea, Gizarte Ekonomiak lurralde bakoitzeko enpleguan zeukan pisu erlatiboa txikitu ezin zen (</w:t>
      </w:r>
      <w:r w:rsidRPr="001E2F6E">
        <w:rPr>
          <w:snapToGrid w:val="0"/>
          <w:spacing w:val="60"/>
          <w:lang w:val="eu-ES" w:eastAsia="es-ES"/>
        </w:rPr>
        <w:t>%</w:t>
      </w:r>
      <w:r w:rsidRPr="001E2F6E">
        <w:rPr>
          <w:snapToGrid w:val="0"/>
          <w:lang w:val="eu-ES" w:eastAsia="es-ES"/>
        </w:rPr>
        <w:t xml:space="preserve">4,6tik </w:t>
      </w:r>
      <w:r w:rsidRPr="001E2F6E">
        <w:rPr>
          <w:snapToGrid w:val="0"/>
          <w:spacing w:val="60"/>
          <w:lang w:val="eu-ES" w:eastAsia="es-ES"/>
        </w:rPr>
        <w:t>%</w:t>
      </w:r>
      <w:r w:rsidRPr="001E2F6E">
        <w:rPr>
          <w:snapToGrid w:val="0"/>
          <w:lang w:val="eu-ES" w:eastAsia="es-ES"/>
        </w:rPr>
        <w:t xml:space="preserve">4,2ra eta </w:t>
      </w:r>
      <w:r w:rsidRPr="001E2F6E">
        <w:rPr>
          <w:snapToGrid w:val="0"/>
          <w:spacing w:val="60"/>
          <w:lang w:val="eu-ES" w:eastAsia="es-ES"/>
        </w:rPr>
        <w:t>%</w:t>
      </w:r>
      <w:r w:rsidRPr="001E2F6E">
        <w:rPr>
          <w:snapToGrid w:val="0"/>
          <w:lang w:val="eu-ES" w:eastAsia="es-ES"/>
        </w:rPr>
        <w:t xml:space="preserve">4,9tik </w:t>
      </w:r>
      <w:r w:rsidRPr="001E2F6E">
        <w:rPr>
          <w:snapToGrid w:val="0"/>
          <w:spacing w:val="60"/>
          <w:lang w:val="eu-ES" w:eastAsia="es-ES"/>
        </w:rPr>
        <w:t>%</w:t>
      </w:r>
      <w:r w:rsidRPr="001E2F6E">
        <w:rPr>
          <w:snapToGrid w:val="0"/>
          <w:lang w:val="eu-ES" w:eastAsia="es-ES"/>
        </w:rPr>
        <w:t>4,5era, hurrenez hurren).</w:t>
      </w:r>
      <w:r w:rsidRPr="001E2F6E">
        <w:rPr>
          <w:lang w:val="eu-ES"/>
        </w:rPr>
        <w:t xml:space="preserve"> </w:t>
      </w:r>
    </w:p>
    <w:p w:rsidR="004A72E7" w:rsidRPr="001E2F6E" w:rsidRDefault="004A72E7" w:rsidP="00E968C7">
      <w:pPr>
        <w:ind w:left="426" w:hanging="426"/>
        <w:rPr>
          <w:snapToGrid w:val="0"/>
          <w:lang w:val="eu-ES" w:eastAsia="es-ES"/>
        </w:rPr>
      </w:pPr>
    </w:p>
    <w:p w:rsidR="00D64E67" w:rsidRPr="001E2F6E" w:rsidRDefault="00D64E67">
      <w:pPr>
        <w:spacing w:line="240" w:lineRule="auto"/>
        <w:jc w:val="left"/>
        <w:rPr>
          <w:b/>
          <w:bCs/>
          <w:color w:val="1F497D" w:themeColor="text2"/>
          <w:sz w:val="18"/>
          <w:szCs w:val="18"/>
          <w:lang w:val="eu-ES"/>
        </w:rPr>
      </w:pPr>
      <w:r w:rsidRPr="001E2F6E">
        <w:rPr>
          <w:b/>
          <w:bCs/>
          <w:color w:val="1F497D" w:themeColor="text2"/>
          <w:sz w:val="18"/>
          <w:szCs w:val="18"/>
          <w:lang w:val="eu-ES"/>
        </w:rPr>
        <w:br w:type="page"/>
      </w:r>
    </w:p>
    <w:p w:rsidR="004A72E7" w:rsidRPr="001E2F6E" w:rsidRDefault="004A72E7" w:rsidP="00E968C7">
      <w:pPr>
        <w:spacing w:line="240" w:lineRule="auto"/>
        <w:ind w:left="227" w:hanging="227"/>
        <w:jc w:val="center"/>
        <w:rPr>
          <w:b/>
          <w:bCs/>
          <w:color w:val="1F497D" w:themeColor="text2"/>
          <w:sz w:val="18"/>
          <w:szCs w:val="18"/>
          <w:lang w:val="eu-ES"/>
        </w:rPr>
      </w:pPr>
      <w:r w:rsidRPr="001E2F6E">
        <w:rPr>
          <w:b/>
          <w:bCs/>
          <w:color w:val="1F497D" w:themeColor="text2"/>
          <w:sz w:val="18"/>
          <w:szCs w:val="18"/>
          <w:lang w:val="eu-ES"/>
        </w:rPr>
        <w:lastRenderedPageBreak/>
        <w:t>GIZARTE EKONOMIAREN GARRANTZI ERLATIBOA EAE-KO EKONOMIAN</w:t>
      </w:r>
      <w:r w:rsidR="00396118" w:rsidRPr="001E2F6E">
        <w:rPr>
          <w:b/>
          <w:bCs/>
          <w:color w:val="1F497D" w:themeColor="text2"/>
          <w:sz w:val="18"/>
          <w:szCs w:val="18"/>
          <w:lang w:val="eu-ES"/>
        </w:rPr>
        <w:t xml:space="preserve">. </w:t>
      </w:r>
      <w:r w:rsidRPr="001E2F6E">
        <w:rPr>
          <w:b/>
          <w:bCs/>
          <w:color w:val="1F497D" w:themeColor="text2"/>
          <w:sz w:val="18"/>
          <w:szCs w:val="18"/>
          <w:lang w:val="eu-ES"/>
        </w:rPr>
        <w:t>2010-2012</w:t>
      </w:r>
    </w:p>
    <w:p w:rsidR="004A72E7" w:rsidRPr="001E2F6E" w:rsidRDefault="001451B1" w:rsidP="00354E9D">
      <w:pPr>
        <w:ind w:left="227" w:hanging="227"/>
        <w:rPr>
          <w:rFonts w:ascii="Tahoma" w:hAnsi="Tahoma" w:cs="Tahoma"/>
          <w:b/>
          <w:bCs/>
          <w:i/>
          <w:iCs/>
          <w:sz w:val="16"/>
          <w:szCs w:val="16"/>
          <w:lang w:val="eu-ES"/>
        </w:rPr>
      </w:pPr>
      <w:r w:rsidRPr="001E2F6E">
        <w:rPr>
          <w:noProof/>
          <w:lang w:eastAsia="es-ES"/>
        </w:rPr>
        <w:drawing>
          <wp:anchor distT="109728" distB="187756" distL="181356" distR="345948" simplePos="0" relativeHeight="251657216" behindDoc="0" locked="0" layoutInCell="1" allowOverlap="1">
            <wp:simplePos x="0" y="0"/>
            <wp:positionH relativeFrom="column">
              <wp:posOffset>664210</wp:posOffset>
            </wp:positionH>
            <wp:positionV relativeFrom="paragraph">
              <wp:posOffset>175895</wp:posOffset>
            </wp:positionV>
            <wp:extent cx="4276725" cy="1466850"/>
            <wp:effectExtent l="0" t="0" r="0" b="0"/>
            <wp:wrapNone/>
            <wp:docPr id="32" name="Objeto 3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anchor>
        </w:drawing>
      </w:r>
    </w:p>
    <w:p w:rsidR="004A72E7" w:rsidRPr="001E2F6E" w:rsidRDefault="004A72E7" w:rsidP="00354E9D">
      <w:pPr>
        <w:ind w:left="227" w:hanging="227"/>
        <w:rPr>
          <w:rFonts w:ascii="Tahoma" w:hAnsi="Tahoma" w:cs="Tahoma"/>
          <w:b/>
          <w:bCs/>
          <w:i/>
          <w:iCs/>
          <w:sz w:val="16"/>
          <w:szCs w:val="16"/>
          <w:lang w:val="eu-ES"/>
        </w:rPr>
      </w:pPr>
    </w:p>
    <w:p w:rsidR="004A72E7" w:rsidRPr="001E2F6E" w:rsidRDefault="004A72E7" w:rsidP="00354E9D">
      <w:pPr>
        <w:ind w:left="227" w:hanging="227"/>
        <w:rPr>
          <w:rFonts w:ascii="Tahoma" w:hAnsi="Tahoma" w:cs="Tahoma"/>
          <w:b/>
          <w:bCs/>
          <w:i/>
          <w:iCs/>
          <w:sz w:val="16"/>
          <w:szCs w:val="16"/>
          <w:lang w:val="eu-ES"/>
        </w:rPr>
      </w:pPr>
    </w:p>
    <w:p w:rsidR="004A72E7" w:rsidRPr="001E2F6E" w:rsidRDefault="004A72E7" w:rsidP="00354E9D">
      <w:pPr>
        <w:ind w:left="227" w:hanging="227"/>
        <w:rPr>
          <w:rFonts w:ascii="Tahoma" w:hAnsi="Tahoma" w:cs="Tahoma"/>
          <w:b/>
          <w:bCs/>
          <w:i/>
          <w:iCs/>
          <w:sz w:val="16"/>
          <w:szCs w:val="16"/>
          <w:lang w:val="eu-ES"/>
        </w:rPr>
      </w:pPr>
    </w:p>
    <w:p w:rsidR="004A72E7" w:rsidRPr="001E2F6E" w:rsidRDefault="004A72E7" w:rsidP="00354E9D">
      <w:pPr>
        <w:ind w:left="227" w:hanging="227"/>
        <w:rPr>
          <w:rFonts w:ascii="Tahoma" w:hAnsi="Tahoma" w:cs="Tahoma"/>
          <w:b/>
          <w:bCs/>
          <w:i/>
          <w:iCs/>
          <w:sz w:val="16"/>
          <w:szCs w:val="16"/>
          <w:lang w:val="eu-ES"/>
        </w:rPr>
      </w:pPr>
    </w:p>
    <w:p w:rsidR="004A72E7" w:rsidRPr="001E2F6E" w:rsidRDefault="004A72E7" w:rsidP="00354E9D">
      <w:pPr>
        <w:ind w:left="227" w:hanging="227"/>
        <w:rPr>
          <w:rFonts w:ascii="Tahoma" w:hAnsi="Tahoma" w:cs="Tahoma"/>
          <w:b/>
          <w:bCs/>
          <w:i/>
          <w:iCs/>
          <w:sz w:val="16"/>
          <w:szCs w:val="16"/>
          <w:lang w:val="eu-ES"/>
        </w:rPr>
      </w:pPr>
    </w:p>
    <w:p w:rsidR="004A72E7" w:rsidRPr="001E2F6E" w:rsidRDefault="004A72E7" w:rsidP="00354E9D">
      <w:pPr>
        <w:ind w:left="227" w:hanging="227"/>
        <w:rPr>
          <w:rFonts w:ascii="Tahoma" w:hAnsi="Tahoma" w:cs="Tahoma"/>
          <w:b/>
          <w:bCs/>
          <w:i/>
          <w:iCs/>
          <w:sz w:val="16"/>
          <w:szCs w:val="16"/>
          <w:lang w:val="eu-ES"/>
        </w:rPr>
      </w:pPr>
    </w:p>
    <w:p w:rsidR="004A72E7" w:rsidRPr="001E2F6E" w:rsidRDefault="004A72E7" w:rsidP="00354E9D">
      <w:pPr>
        <w:ind w:left="227" w:hanging="227"/>
        <w:rPr>
          <w:rFonts w:ascii="Tahoma" w:hAnsi="Tahoma" w:cs="Tahoma"/>
          <w:b/>
          <w:bCs/>
          <w:i/>
          <w:iCs/>
          <w:sz w:val="16"/>
          <w:szCs w:val="16"/>
          <w:lang w:val="eu-ES"/>
        </w:rPr>
      </w:pPr>
    </w:p>
    <w:p w:rsidR="004A72E7" w:rsidRPr="001E2F6E" w:rsidRDefault="004A72E7" w:rsidP="00354E9D">
      <w:pPr>
        <w:ind w:left="227" w:hanging="227"/>
        <w:rPr>
          <w:rFonts w:ascii="Tahoma" w:hAnsi="Tahoma" w:cs="Tahoma"/>
          <w:b/>
          <w:bCs/>
          <w:i/>
          <w:iCs/>
          <w:sz w:val="16"/>
          <w:szCs w:val="16"/>
          <w:lang w:val="eu-ES"/>
        </w:rPr>
      </w:pPr>
    </w:p>
    <w:p w:rsidR="004A72E7" w:rsidRPr="001E2F6E" w:rsidRDefault="004A72E7" w:rsidP="00354E9D">
      <w:pPr>
        <w:ind w:left="227" w:hanging="227"/>
        <w:rPr>
          <w:color w:val="000000"/>
          <w:sz w:val="16"/>
          <w:szCs w:val="16"/>
          <w:lang w:val="eu-ES" w:eastAsia="es-ES"/>
        </w:rPr>
      </w:pPr>
    </w:p>
    <w:p w:rsidR="004A72E7" w:rsidRPr="001E2F6E" w:rsidRDefault="004A72E7" w:rsidP="00354E9D">
      <w:pPr>
        <w:ind w:left="227" w:hanging="227"/>
        <w:rPr>
          <w:color w:val="000000"/>
          <w:sz w:val="16"/>
          <w:szCs w:val="16"/>
          <w:lang w:val="eu-ES" w:eastAsia="es-ES"/>
        </w:rPr>
      </w:pPr>
    </w:p>
    <w:p w:rsidR="004A72E7" w:rsidRPr="001E2F6E" w:rsidRDefault="004A72E7" w:rsidP="00E968C7">
      <w:pPr>
        <w:ind w:left="426" w:hanging="426"/>
        <w:rPr>
          <w:color w:val="000000"/>
          <w:lang w:val="eu-ES" w:eastAsia="es-ES"/>
        </w:rPr>
      </w:pPr>
      <w:r w:rsidRPr="001E2F6E">
        <w:rPr>
          <w:color w:val="000000"/>
          <w:lang w:val="eu-ES" w:eastAsia="es-ES"/>
        </w:rPr>
        <w:tab/>
      </w:r>
      <w:r w:rsidRPr="001E2F6E">
        <w:rPr>
          <w:lang w:val="eu-ES" w:eastAsia="es-ES"/>
        </w:rPr>
        <w:t xml:space="preserve">Bestalde, Gipuzkoako enpleguaren erresistentzia handiaren ondorioz, lurralde horretako Gizarte Ekonomiako enplegu-proportzioa nabarmen handitu zen: </w:t>
      </w:r>
      <w:r w:rsidRPr="001E2F6E">
        <w:rPr>
          <w:spacing w:val="60"/>
          <w:lang w:val="eu-ES" w:eastAsia="es-ES"/>
        </w:rPr>
        <w:t>%</w:t>
      </w:r>
      <w:r w:rsidRPr="001E2F6E">
        <w:rPr>
          <w:lang w:val="eu-ES" w:eastAsia="es-ES"/>
        </w:rPr>
        <w:t xml:space="preserve">48,7koa zen 2010ean, eta </w:t>
      </w:r>
      <w:r w:rsidRPr="001E2F6E">
        <w:rPr>
          <w:spacing w:val="60"/>
          <w:lang w:val="eu-ES" w:eastAsia="es-ES"/>
        </w:rPr>
        <w:t>%</w:t>
      </w:r>
      <w:r w:rsidRPr="001E2F6E">
        <w:rPr>
          <w:lang w:val="eu-ES" w:eastAsia="es-ES"/>
        </w:rPr>
        <w:t>51,7koa 2012an.</w:t>
      </w:r>
    </w:p>
    <w:p w:rsidR="004A72E7" w:rsidRPr="001E2F6E" w:rsidRDefault="004A72E7" w:rsidP="00354E9D">
      <w:pPr>
        <w:ind w:left="227" w:hanging="227"/>
        <w:rPr>
          <w:noProof/>
          <w:color w:val="1F497D"/>
          <w:sz w:val="18"/>
          <w:szCs w:val="18"/>
          <w:lang w:val="eu-ES"/>
        </w:rPr>
      </w:pPr>
    </w:p>
    <w:p w:rsidR="004A72E7" w:rsidRPr="001E2F6E" w:rsidRDefault="004A72E7" w:rsidP="00E968C7">
      <w:pPr>
        <w:spacing w:line="240" w:lineRule="auto"/>
        <w:ind w:left="227" w:hanging="227"/>
        <w:jc w:val="center"/>
        <w:rPr>
          <w:b/>
          <w:bCs/>
          <w:color w:val="1F497D" w:themeColor="text2"/>
          <w:sz w:val="18"/>
          <w:szCs w:val="18"/>
          <w:lang w:val="eu-ES"/>
        </w:rPr>
      </w:pPr>
      <w:r w:rsidRPr="001E2F6E">
        <w:rPr>
          <w:b/>
          <w:bCs/>
          <w:color w:val="1F497D" w:themeColor="text2"/>
          <w:sz w:val="18"/>
          <w:szCs w:val="18"/>
          <w:lang w:val="eu-ES"/>
        </w:rPr>
        <w:t>GIZARTE EKONOMIAKO ENPLEGUAREN LURRALDE-BANAKETA, 2010-2012</w:t>
      </w:r>
    </w:p>
    <w:p w:rsidR="004A72E7" w:rsidRPr="001E2F6E" w:rsidRDefault="00396118" w:rsidP="00354E9D">
      <w:pPr>
        <w:ind w:left="227" w:hanging="227"/>
        <w:jc w:val="center"/>
        <w:rPr>
          <w:lang w:val="eu-ES"/>
        </w:rPr>
      </w:pPr>
      <w:r w:rsidRPr="001E2F6E">
        <w:rPr>
          <w:noProof/>
          <w:lang w:eastAsia="es-ES"/>
        </w:rPr>
        <w:drawing>
          <wp:anchor distT="85344" distB="231648" distL="443484" distR="727329" simplePos="0" relativeHeight="251652096" behindDoc="0" locked="0" layoutInCell="1" allowOverlap="1">
            <wp:simplePos x="0" y="0"/>
            <wp:positionH relativeFrom="column">
              <wp:posOffset>3064510</wp:posOffset>
            </wp:positionH>
            <wp:positionV relativeFrom="paragraph">
              <wp:posOffset>127635</wp:posOffset>
            </wp:positionV>
            <wp:extent cx="2657475" cy="1809750"/>
            <wp:effectExtent l="0" t="0" r="0" b="0"/>
            <wp:wrapNone/>
            <wp:docPr id="33" name="Objeto 3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anchor>
        </w:drawing>
      </w:r>
      <w:r w:rsidRPr="001E2F6E">
        <w:rPr>
          <w:noProof/>
          <w:lang w:eastAsia="es-ES"/>
        </w:rPr>
        <w:drawing>
          <wp:anchor distT="85344" distB="304800" distL="504444" distR="730217" simplePos="0" relativeHeight="251651072" behindDoc="0" locked="0" layoutInCell="1" allowOverlap="1">
            <wp:simplePos x="0" y="0"/>
            <wp:positionH relativeFrom="column">
              <wp:posOffset>-59690</wp:posOffset>
            </wp:positionH>
            <wp:positionV relativeFrom="paragraph">
              <wp:posOffset>127635</wp:posOffset>
            </wp:positionV>
            <wp:extent cx="2581275" cy="1809750"/>
            <wp:effectExtent l="0" t="0" r="0" b="0"/>
            <wp:wrapNone/>
            <wp:docPr id="34" name="Objeto 3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anchor>
        </w:drawing>
      </w:r>
    </w:p>
    <w:p w:rsidR="004A72E7" w:rsidRPr="001E2F6E" w:rsidRDefault="004A72E7" w:rsidP="00354E9D">
      <w:pPr>
        <w:ind w:left="227" w:hanging="227"/>
        <w:jc w:val="center"/>
        <w:rPr>
          <w:lang w:val="eu-ES"/>
        </w:rPr>
      </w:pPr>
    </w:p>
    <w:p w:rsidR="004A72E7" w:rsidRPr="001E2F6E" w:rsidRDefault="004A72E7" w:rsidP="00354E9D">
      <w:pPr>
        <w:ind w:left="227" w:hanging="227"/>
        <w:jc w:val="center"/>
        <w:rPr>
          <w:lang w:val="eu-ES"/>
        </w:rPr>
      </w:pPr>
    </w:p>
    <w:p w:rsidR="004A72E7" w:rsidRPr="001E2F6E" w:rsidRDefault="004A72E7" w:rsidP="00354E9D">
      <w:pPr>
        <w:ind w:left="227" w:hanging="227"/>
        <w:jc w:val="center"/>
        <w:rPr>
          <w:lang w:val="eu-ES"/>
        </w:rPr>
      </w:pPr>
    </w:p>
    <w:p w:rsidR="004A72E7" w:rsidRPr="001E2F6E" w:rsidRDefault="004A72E7" w:rsidP="00354E9D">
      <w:pPr>
        <w:ind w:left="227" w:hanging="227"/>
        <w:jc w:val="center"/>
        <w:rPr>
          <w:lang w:val="eu-ES"/>
        </w:rPr>
      </w:pPr>
    </w:p>
    <w:p w:rsidR="004A72E7" w:rsidRPr="001E2F6E" w:rsidRDefault="004A72E7" w:rsidP="00354E9D">
      <w:pPr>
        <w:ind w:left="227" w:hanging="227"/>
        <w:jc w:val="center"/>
        <w:rPr>
          <w:lang w:val="eu-ES"/>
        </w:rPr>
      </w:pPr>
    </w:p>
    <w:p w:rsidR="004A72E7" w:rsidRPr="001E2F6E" w:rsidRDefault="004A72E7" w:rsidP="00354E9D">
      <w:pPr>
        <w:ind w:left="227" w:hanging="227"/>
        <w:jc w:val="center"/>
        <w:rPr>
          <w:lang w:val="eu-ES"/>
        </w:rPr>
      </w:pPr>
    </w:p>
    <w:p w:rsidR="004A72E7" w:rsidRPr="001E2F6E" w:rsidRDefault="004A72E7" w:rsidP="00354E9D">
      <w:pPr>
        <w:ind w:left="227" w:hanging="227"/>
        <w:jc w:val="center"/>
        <w:rPr>
          <w:lang w:val="eu-ES"/>
        </w:rPr>
      </w:pPr>
    </w:p>
    <w:p w:rsidR="004A72E7" w:rsidRPr="001E2F6E" w:rsidRDefault="004A72E7" w:rsidP="00354E9D">
      <w:pPr>
        <w:ind w:left="227" w:hanging="227"/>
        <w:rPr>
          <w:color w:val="000000"/>
          <w:lang w:val="eu-ES" w:eastAsia="es-ES"/>
        </w:rPr>
      </w:pPr>
    </w:p>
    <w:p w:rsidR="00D64E67" w:rsidRPr="001E2F6E" w:rsidRDefault="00D64E67">
      <w:pPr>
        <w:spacing w:line="240" w:lineRule="auto"/>
        <w:jc w:val="left"/>
        <w:rPr>
          <w:color w:val="000000"/>
          <w:lang w:val="eu-ES" w:eastAsia="es-ES"/>
        </w:rPr>
      </w:pPr>
    </w:p>
    <w:p w:rsidR="00396118" w:rsidRPr="001E2F6E" w:rsidRDefault="00396118">
      <w:pPr>
        <w:spacing w:line="240" w:lineRule="auto"/>
        <w:jc w:val="left"/>
        <w:rPr>
          <w:color w:val="000000"/>
          <w:lang w:val="eu-ES" w:eastAsia="es-ES"/>
        </w:rPr>
      </w:pPr>
    </w:p>
    <w:p w:rsidR="004A72E7" w:rsidRPr="001E2F6E" w:rsidRDefault="004A72E7">
      <w:pPr>
        <w:spacing w:after="200" w:line="276" w:lineRule="auto"/>
        <w:jc w:val="left"/>
        <w:rPr>
          <w:color w:val="000000"/>
          <w:lang w:val="eu-ES" w:eastAsia="es-ES"/>
        </w:rPr>
      </w:pPr>
    </w:p>
    <w:p w:rsidR="004A72E7" w:rsidRPr="001E2F6E" w:rsidRDefault="004A72E7" w:rsidP="001451B1">
      <w:pPr>
        <w:pStyle w:val="Prrafodelista"/>
        <w:numPr>
          <w:ilvl w:val="0"/>
          <w:numId w:val="2"/>
        </w:numPr>
        <w:spacing w:after="0" w:line="360" w:lineRule="auto"/>
        <w:ind w:left="426" w:hanging="426"/>
        <w:rPr>
          <w:rFonts w:ascii="Arial" w:hAnsi="Arial" w:cs="Arial"/>
          <w:b/>
          <w:bCs/>
          <w:lang w:val="eu-ES" w:eastAsia="es-ES"/>
        </w:rPr>
      </w:pPr>
      <w:r w:rsidRPr="001E2F6E">
        <w:rPr>
          <w:rFonts w:ascii="Arial" w:hAnsi="Arial" w:cs="Arial"/>
          <w:b/>
          <w:bCs/>
          <w:lang w:val="eu-ES" w:eastAsia="es-ES"/>
        </w:rPr>
        <w:tab/>
        <w:t>Sortutako BEGd-aren eta esportazioen proportzioa ere handiagoa zen Gipuzkoan</w:t>
      </w:r>
    </w:p>
    <w:p w:rsidR="004A72E7" w:rsidRPr="001E2F6E" w:rsidRDefault="004A72E7" w:rsidP="00E968C7">
      <w:pPr>
        <w:ind w:left="426" w:hanging="426"/>
        <w:rPr>
          <w:color w:val="000000"/>
          <w:lang w:val="eu-ES" w:eastAsia="es-ES"/>
        </w:rPr>
      </w:pPr>
    </w:p>
    <w:p w:rsidR="004A72E7" w:rsidRPr="001E2F6E" w:rsidRDefault="004A72E7" w:rsidP="00E968C7">
      <w:pPr>
        <w:ind w:left="426" w:hanging="426"/>
        <w:rPr>
          <w:lang w:val="eu-ES"/>
        </w:rPr>
      </w:pPr>
      <w:r w:rsidRPr="001E2F6E">
        <w:rPr>
          <w:lang w:val="eu-ES" w:eastAsia="es-ES"/>
        </w:rPr>
        <w:tab/>
        <w:t>Gipuzkoako Gizarte Ekonomiaren nagusitasuna BEGd-aren terminoetan ere hauteman daiteke.</w:t>
      </w:r>
      <w:r w:rsidRPr="001E2F6E">
        <w:rPr>
          <w:color w:val="000000"/>
          <w:lang w:val="eu-ES" w:eastAsia="es-ES"/>
        </w:rPr>
        <w:t xml:space="preserve"> </w:t>
      </w:r>
      <w:r w:rsidRPr="001E2F6E">
        <w:rPr>
          <w:lang w:val="eu-ES" w:eastAsia="es-ES"/>
        </w:rPr>
        <w:t xml:space="preserve">Izan ere, 2010ean, Gipuzkoako lurraldeak sektoreko BEGd-aren </w:t>
      </w:r>
      <w:r w:rsidRPr="001E2F6E">
        <w:rPr>
          <w:spacing w:val="60"/>
          <w:lang w:val="eu-ES" w:eastAsia="es-ES"/>
        </w:rPr>
        <w:t>%</w:t>
      </w:r>
      <w:r w:rsidRPr="001E2F6E">
        <w:rPr>
          <w:lang w:val="eu-ES" w:eastAsia="es-ES"/>
        </w:rPr>
        <w:t xml:space="preserve">52,4 pilatzen zuen, eta 2012an, berriz, </w:t>
      </w:r>
      <w:r w:rsidRPr="001E2F6E">
        <w:rPr>
          <w:spacing w:val="60"/>
          <w:lang w:val="eu-ES" w:eastAsia="es-ES"/>
        </w:rPr>
        <w:t>%</w:t>
      </w:r>
      <w:r w:rsidRPr="001E2F6E">
        <w:rPr>
          <w:lang w:val="eu-ES" w:eastAsia="es-ES"/>
        </w:rPr>
        <w:t>54,9.</w:t>
      </w:r>
      <w:r w:rsidRPr="001E2F6E">
        <w:rPr>
          <w:color w:val="000000"/>
          <w:lang w:val="eu-ES" w:eastAsia="es-ES"/>
        </w:rPr>
        <w:t xml:space="preserve"> </w:t>
      </w:r>
      <w:r w:rsidRPr="001E2F6E">
        <w:rPr>
          <w:lang w:val="eu-ES" w:eastAsia="es-ES"/>
        </w:rPr>
        <w:t xml:space="preserve">Kooperatiben arloen, proportzio hori </w:t>
      </w:r>
      <w:r w:rsidRPr="001E2F6E">
        <w:rPr>
          <w:spacing w:val="60"/>
          <w:lang w:val="eu-ES" w:eastAsia="es-ES"/>
        </w:rPr>
        <w:t>%</w:t>
      </w:r>
      <w:r w:rsidRPr="001E2F6E">
        <w:rPr>
          <w:lang w:val="eu-ES" w:eastAsia="es-ES"/>
        </w:rPr>
        <w:t>58,5ekoa zen.</w:t>
      </w:r>
    </w:p>
    <w:p w:rsidR="004A72E7" w:rsidRPr="001E2F6E" w:rsidRDefault="004A72E7" w:rsidP="00E968C7">
      <w:pPr>
        <w:ind w:left="426" w:hanging="426"/>
        <w:rPr>
          <w:color w:val="000000"/>
          <w:lang w:val="eu-ES" w:eastAsia="es-ES"/>
        </w:rPr>
      </w:pPr>
    </w:p>
    <w:p w:rsidR="004A72E7" w:rsidRPr="001E2F6E" w:rsidRDefault="004A72E7" w:rsidP="00E968C7">
      <w:pPr>
        <w:ind w:left="426" w:hanging="426"/>
        <w:rPr>
          <w:color w:val="000000"/>
          <w:lang w:val="eu-ES" w:eastAsia="es-ES"/>
        </w:rPr>
      </w:pPr>
      <w:r w:rsidRPr="001E2F6E">
        <w:rPr>
          <w:color w:val="000000"/>
          <w:lang w:val="eu-ES" w:eastAsia="es-ES"/>
        </w:rPr>
        <w:tab/>
      </w:r>
      <w:r w:rsidRPr="001E2F6E">
        <w:rPr>
          <w:lang w:val="eu-ES" w:eastAsia="es-ES"/>
        </w:rPr>
        <w:t xml:space="preserve">Hala ere, esportazioetan zuen Gipuzkoako Gizarte Ekonomiak lidergoa, argi eta garbi; gizarte-sektoreak kanpoan egindako salmenten </w:t>
      </w:r>
      <w:r w:rsidRPr="001E2F6E">
        <w:rPr>
          <w:spacing w:val="60"/>
          <w:lang w:val="eu-ES" w:eastAsia="es-ES"/>
        </w:rPr>
        <w:t>%</w:t>
      </w:r>
      <w:r w:rsidRPr="001E2F6E">
        <w:rPr>
          <w:lang w:val="eu-ES" w:eastAsia="es-ES"/>
        </w:rPr>
        <w:t>70,2 Gipuzkoako Gizarte Ekonomiak egin zuen.</w:t>
      </w:r>
    </w:p>
    <w:p w:rsidR="004A72E7" w:rsidRPr="001E2F6E" w:rsidRDefault="004A72E7">
      <w:pPr>
        <w:spacing w:after="200" w:line="276" w:lineRule="auto"/>
        <w:jc w:val="left"/>
        <w:rPr>
          <w:b/>
          <w:bCs/>
          <w:snapToGrid w:val="0"/>
          <w:sz w:val="28"/>
          <w:szCs w:val="28"/>
          <w:lang w:val="eu-ES" w:eastAsia="es-ES"/>
        </w:rPr>
      </w:pPr>
      <w:r w:rsidRPr="001E2F6E">
        <w:rPr>
          <w:lang w:val="eu-ES"/>
        </w:rPr>
        <w:br w:type="page"/>
      </w:r>
    </w:p>
    <w:p w:rsidR="000B6AD4" w:rsidRPr="001E2F6E" w:rsidRDefault="000B6AD4">
      <w:pPr>
        <w:spacing w:line="240" w:lineRule="auto"/>
        <w:jc w:val="left"/>
        <w:rPr>
          <w:rFonts w:eastAsia="Times New Roman"/>
          <w:b/>
          <w:bCs/>
          <w:sz w:val="28"/>
          <w:szCs w:val="28"/>
          <w:lang w:val="eu-ES" w:eastAsia="es-ES"/>
        </w:rPr>
      </w:pPr>
    </w:p>
    <w:p w:rsidR="004A72E7" w:rsidRPr="001E2F6E" w:rsidRDefault="004A72E7" w:rsidP="00022DE2">
      <w:pPr>
        <w:pStyle w:val="Ttulo1"/>
        <w:rPr>
          <w:lang w:val="eu-ES"/>
        </w:rPr>
      </w:pPr>
      <w:bookmarkStart w:id="12" w:name="_Toc392585661"/>
      <w:r w:rsidRPr="001E2F6E">
        <w:rPr>
          <w:lang w:val="eu-ES"/>
        </w:rPr>
        <w:t>II. GIZARTE EKONOMIAREN FORMA KLASIKOEN (GEFK) KONTUEN AURRERAPENA, 2013</w:t>
      </w:r>
      <w:bookmarkEnd w:id="12"/>
    </w:p>
    <w:p w:rsidR="004A72E7" w:rsidRPr="001E2F6E" w:rsidRDefault="004A72E7" w:rsidP="00354E9D">
      <w:pPr>
        <w:ind w:left="227" w:hanging="227"/>
        <w:rPr>
          <w:color w:val="000000"/>
          <w:lang w:val="eu-ES" w:eastAsia="es-ES"/>
        </w:rPr>
      </w:pPr>
    </w:p>
    <w:p w:rsidR="004A72E7" w:rsidRPr="001E2F6E" w:rsidRDefault="004A72E7" w:rsidP="00354E9D">
      <w:pPr>
        <w:pStyle w:val="Ttulo2"/>
        <w:spacing w:line="360" w:lineRule="auto"/>
        <w:ind w:left="227" w:hanging="227"/>
        <w:rPr>
          <w:lang w:val="eu-ES"/>
        </w:rPr>
      </w:pPr>
      <w:bookmarkStart w:id="13" w:name="_Toc392585662"/>
      <w:r w:rsidRPr="001E2F6E">
        <w:rPr>
          <w:lang w:val="eu-ES"/>
        </w:rPr>
        <w:t>2013: Trantsizio-urtea susperraldia lortzeko bidean?</w:t>
      </w:r>
      <w:bookmarkEnd w:id="13"/>
    </w:p>
    <w:p w:rsidR="004A72E7" w:rsidRPr="001E2F6E" w:rsidRDefault="004A72E7" w:rsidP="00354E9D">
      <w:pPr>
        <w:ind w:left="227" w:hanging="227"/>
        <w:rPr>
          <w:lang w:val="eu-ES" w:eastAsia="es-ES"/>
        </w:rPr>
      </w:pPr>
    </w:p>
    <w:p w:rsidR="004A72E7" w:rsidRPr="001E2F6E" w:rsidRDefault="004A72E7" w:rsidP="001451B1">
      <w:pPr>
        <w:pStyle w:val="Prrafodelista"/>
        <w:numPr>
          <w:ilvl w:val="0"/>
          <w:numId w:val="2"/>
        </w:numPr>
        <w:spacing w:after="0" w:line="360" w:lineRule="auto"/>
        <w:ind w:left="426" w:hanging="426"/>
        <w:rPr>
          <w:rFonts w:ascii="Arial" w:hAnsi="Arial" w:cs="Arial"/>
          <w:b/>
          <w:bCs/>
          <w:lang w:val="eu-ES" w:eastAsia="es-ES"/>
        </w:rPr>
      </w:pPr>
      <w:r w:rsidRPr="001E2F6E">
        <w:rPr>
          <w:rFonts w:ascii="Arial" w:hAnsi="Arial" w:cs="Arial"/>
          <w:b/>
          <w:bCs/>
          <w:lang w:val="eu-ES" w:eastAsia="es-ES"/>
        </w:rPr>
        <w:tab/>
        <w:t>Artean, susperraldiak ez zuen enpleguaren eta jardueraren hazkunde adierazgarririk ekarri, baina zenbait seinale positibo zeuden</w:t>
      </w:r>
    </w:p>
    <w:p w:rsidR="004A72E7" w:rsidRPr="001E2F6E" w:rsidRDefault="004A72E7" w:rsidP="00E968C7">
      <w:pPr>
        <w:ind w:left="426" w:hanging="426"/>
        <w:rPr>
          <w:lang w:val="eu-ES" w:eastAsia="es-ES"/>
        </w:rPr>
      </w:pPr>
    </w:p>
    <w:p w:rsidR="004A72E7" w:rsidRPr="001E2F6E" w:rsidRDefault="004A72E7" w:rsidP="00E968C7">
      <w:pPr>
        <w:pStyle w:val="Prrafodelista"/>
        <w:spacing w:after="0" w:line="360" w:lineRule="auto"/>
        <w:ind w:left="426" w:hanging="426"/>
        <w:rPr>
          <w:lang w:val="eu-ES"/>
        </w:rPr>
      </w:pPr>
      <w:r w:rsidRPr="001E2F6E">
        <w:rPr>
          <w:rFonts w:ascii="Arial" w:hAnsi="Arial" w:cs="Arial"/>
          <w:lang w:val="eu-ES" w:eastAsia="es-ES"/>
        </w:rPr>
        <w:tab/>
        <w:t xml:space="preserve">Aurreko ataletan aurreratu denez, 2013rako aurreikuspenek erakusten dute joera-aldaketa gertatuko zela enplegua eta salmentak txikitzeko prozesuan. Susperraldiaren ordez, egonkortzeaz hitz egin beharra dago; izan ere, 2013. ekitaldian, enplegu-bolumena </w:t>
      </w:r>
      <w:r w:rsidRPr="001E2F6E">
        <w:rPr>
          <w:rFonts w:ascii="Arial" w:hAnsi="Arial" w:cs="Arial"/>
          <w:spacing w:val="60"/>
          <w:lang w:val="eu-ES" w:eastAsia="es-ES"/>
        </w:rPr>
        <w:t>%</w:t>
      </w:r>
      <w:r w:rsidRPr="001E2F6E">
        <w:rPr>
          <w:rFonts w:ascii="Arial" w:hAnsi="Arial" w:cs="Arial"/>
          <w:lang w:val="eu-ES" w:eastAsia="es-ES"/>
        </w:rPr>
        <w:t xml:space="preserve">0,1 eta fakturazioa </w:t>
      </w:r>
      <w:r w:rsidRPr="001E2F6E">
        <w:rPr>
          <w:rFonts w:ascii="Arial" w:hAnsi="Arial" w:cs="Arial"/>
          <w:spacing w:val="60"/>
          <w:lang w:val="eu-ES" w:eastAsia="es-ES"/>
        </w:rPr>
        <w:t>%</w:t>
      </w:r>
      <w:r w:rsidRPr="001E2F6E">
        <w:rPr>
          <w:rFonts w:ascii="Arial" w:hAnsi="Arial" w:cs="Arial"/>
          <w:lang w:val="eu-ES" w:eastAsia="es-ES"/>
        </w:rPr>
        <w:t>0,3 soilik handituko zirela aurreikusten zen. Gainera, alde negatiboan, industriako eta eraikuntzako enpleguak behera jarraitzen zuen (hurrenez hurren, -</w:t>
      </w:r>
      <w:r w:rsidRPr="001E2F6E">
        <w:rPr>
          <w:rFonts w:ascii="Arial" w:hAnsi="Arial" w:cs="Arial"/>
          <w:spacing w:val="60"/>
          <w:lang w:val="eu-ES" w:eastAsia="es-ES"/>
        </w:rPr>
        <w:t>%</w:t>
      </w:r>
      <w:r w:rsidRPr="001E2F6E">
        <w:rPr>
          <w:rFonts w:ascii="Arial" w:hAnsi="Arial" w:cs="Arial"/>
          <w:lang w:val="eu-ES" w:eastAsia="es-ES"/>
        </w:rPr>
        <w:t>0,6 eta -</w:t>
      </w:r>
      <w:r w:rsidRPr="001E2F6E">
        <w:rPr>
          <w:rFonts w:ascii="Arial" w:hAnsi="Arial" w:cs="Arial"/>
          <w:spacing w:val="60"/>
          <w:lang w:val="eu-ES" w:eastAsia="es-ES"/>
        </w:rPr>
        <w:t>%</w:t>
      </w:r>
      <w:r w:rsidRPr="001E2F6E">
        <w:rPr>
          <w:rFonts w:ascii="Arial" w:hAnsi="Arial" w:cs="Arial"/>
          <w:lang w:val="eu-ES" w:eastAsia="es-ES"/>
        </w:rPr>
        <w:t>2,2).</w:t>
      </w:r>
    </w:p>
    <w:p w:rsidR="004A72E7" w:rsidRPr="001E2F6E" w:rsidRDefault="004A72E7" w:rsidP="00354E9D">
      <w:pPr>
        <w:pStyle w:val="Prrafodelista"/>
        <w:spacing w:after="0" w:line="360" w:lineRule="auto"/>
        <w:ind w:left="227" w:hanging="227"/>
        <w:rPr>
          <w:rFonts w:ascii="Arial" w:hAnsi="Arial" w:cs="Arial"/>
          <w:lang w:val="eu-ES" w:eastAsia="es-ES"/>
        </w:rPr>
      </w:pPr>
    </w:p>
    <w:p w:rsidR="004A72E7" w:rsidRPr="001E2F6E" w:rsidRDefault="004A72E7" w:rsidP="00354E9D">
      <w:pPr>
        <w:pStyle w:val="Epgrafe"/>
        <w:spacing w:line="360" w:lineRule="auto"/>
        <w:ind w:left="227" w:hanging="227"/>
        <w:jc w:val="center"/>
        <w:rPr>
          <w:rFonts w:ascii="Arial" w:hAnsi="Arial" w:cs="Arial"/>
          <w:snapToGrid w:val="0"/>
          <w:color w:val="1F497D" w:themeColor="text2"/>
          <w:sz w:val="18"/>
          <w:szCs w:val="18"/>
          <w:lang w:val="eu-ES"/>
        </w:rPr>
      </w:pPr>
      <w:r w:rsidRPr="001E2F6E">
        <w:rPr>
          <w:rFonts w:ascii="Arial" w:hAnsi="Arial" w:cs="Arial"/>
          <w:snapToGrid w:val="0"/>
          <w:color w:val="1F497D" w:themeColor="text2"/>
          <w:sz w:val="18"/>
          <w:szCs w:val="18"/>
          <w:lang w:val="eu-ES"/>
        </w:rPr>
        <w:t>EAE-KO GIZARTE EKONOMIAKO ENPLEGUAREN BILAKAERA, 2006-2013</w:t>
      </w:r>
    </w:p>
    <w:p w:rsidR="004A72E7" w:rsidRPr="001E2F6E" w:rsidRDefault="001451B1" w:rsidP="00354E9D">
      <w:pPr>
        <w:ind w:left="227" w:hanging="227"/>
        <w:rPr>
          <w:rFonts w:ascii="Arial Black" w:hAnsi="Arial Black" w:cs="Arial Black"/>
          <w:b/>
          <w:bCs/>
          <w:color w:val="1F497D"/>
          <w:w w:val="90"/>
          <w:lang w:val="eu-ES"/>
        </w:rPr>
      </w:pPr>
      <w:r w:rsidRPr="001E2F6E">
        <w:rPr>
          <w:noProof/>
          <w:lang w:eastAsia="es-ES"/>
        </w:rPr>
        <w:drawing>
          <wp:anchor distT="85344" distB="188976" distL="187452" distR="495300" simplePos="0" relativeHeight="251659264" behindDoc="0" locked="0" layoutInCell="1" allowOverlap="1">
            <wp:simplePos x="0" y="0"/>
            <wp:positionH relativeFrom="column">
              <wp:posOffset>450215</wp:posOffset>
            </wp:positionH>
            <wp:positionV relativeFrom="paragraph">
              <wp:posOffset>207010</wp:posOffset>
            </wp:positionV>
            <wp:extent cx="4500245" cy="1555115"/>
            <wp:effectExtent l="0" t="0" r="0" b="0"/>
            <wp:wrapNone/>
            <wp:docPr id="35" name="Objeto 3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anchor>
        </w:drawing>
      </w:r>
    </w:p>
    <w:p w:rsidR="004A72E7" w:rsidRPr="001E2F6E" w:rsidRDefault="004A72E7" w:rsidP="00354E9D">
      <w:pPr>
        <w:ind w:left="227" w:hanging="227"/>
        <w:rPr>
          <w:rFonts w:ascii="Arial Black" w:hAnsi="Arial Black" w:cs="Arial Black"/>
          <w:b/>
          <w:bCs/>
          <w:color w:val="1F497D"/>
          <w:w w:val="90"/>
          <w:lang w:val="eu-ES"/>
        </w:rPr>
      </w:pPr>
    </w:p>
    <w:p w:rsidR="004A72E7" w:rsidRPr="001E2F6E" w:rsidRDefault="004A72E7" w:rsidP="00354E9D">
      <w:pPr>
        <w:ind w:left="227" w:hanging="227"/>
        <w:rPr>
          <w:rFonts w:ascii="Arial Black" w:hAnsi="Arial Black" w:cs="Arial Black"/>
          <w:b/>
          <w:bCs/>
          <w:color w:val="1F497D"/>
          <w:w w:val="90"/>
          <w:lang w:val="eu-ES"/>
        </w:rPr>
      </w:pPr>
    </w:p>
    <w:p w:rsidR="004A72E7" w:rsidRPr="001E2F6E" w:rsidRDefault="004A72E7" w:rsidP="00354E9D">
      <w:pPr>
        <w:ind w:left="227" w:hanging="227"/>
        <w:rPr>
          <w:rFonts w:ascii="Arial Black" w:hAnsi="Arial Black" w:cs="Arial Black"/>
          <w:b/>
          <w:bCs/>
          <w:color w:val="1F497D"/>
          <w:w w:val="90"/>
          <w:lang w:val="eu-ES"/>
        </w:rPr>
      </w:pPr>
    </w:p>
    <w:p w:rsidR="004A72E7" w:rsidRPr="001E2F6E" w:rsidRDefault="004A72E7" w:rsidP="00354E9D">
      <w:pPr>
        <w:ind w:left="227" w:hanging="227"/>
        <w:rPr>
          <w:rFonts w:ascii="Arial Black" w:hAnsi="Arial Black" w:cs="Arial Black"/>
          <w:b/>
          <w:bCs/>
          <w:color w:val="1F497D"/>
          <w:w w:val="90"/>
          <w:lang w:val="eu-ES"/>
        </w:rPr>
      </w:pPr>
    </w:p>
    <w:p w:rsidR="004A72E7" w:rsidRPr="001E2F6E" w:rsidRDefault="004A72E7" w:rsidP="00354E9D">
      <w:pPr>
        <w:ind w:left="227" w:hanging="227"/>
        <w:rPr>
          <w:rFonts w:ascii="Arial Black" w:hAnsi="Arial Black" w:cs="Arial Black"/>
          <w:b/>
          <w:bCs/>
          <w:color w:val="1F497D"/>
          <w:w w:val="90"/>
          <w:lang w:val="eu-ES"/>
        </w:rPr>
      </w:pPr>
    </w:p>
    <w:p w:rsidR="004A72E7" w:rsidRPr="001E2F6E" w:rsidRDefault="004A72E7" w:rsidP="00354E9D">
      <w:pPr>
        <w:ind w:left="227" w:hanging="227"/>
        <w:rPr>
          <w:rFonts w:ascii="Arial Black" w:hAnsi="Arial Black" w:cs="Arial Black"/>
          <w:b/>
          <w:bCs/>
          <w:color w:val="1F497D"/>
          <w:w w:val="90"/>
          <w:lang w:val="eu-ES"/>
        </w:rPr>
      </w:pPr>
    </w:p>
    <w:p w:rsidR="004A72E7" w:rsidRPr="001E2F6E" w:rsidRDefault="004A72E7" w:rsidP="00354E9D">
      <w:pPr>
        <w:ind w:left="227" w:hanging="227"/>
        <w:jc w:val="center"/>
        <w:rPr>
          <w:b/>
          <w:bCs/>
          <w:snapToGrid w:val="0"/>
          <w:color w:val="1F497D"/>
          <w:sz w:val="18"/>
          <w:szCs w:val="18"/>
          <w:lang w:val="eu-ES"/>
        </w:rPr>
      </w:pPr>
    </w:p>
    <w:p w:rsidR="004A72E7" w:rsidRPr="001E2F6E" w:rsidRDefault="004A72E7" w:rsidP="00354E9D">
      <w:pPr>
        <w:ind w:left="227" w:hanging="227"/>
        <w:jc w:val="center"/>
        <w:rPr>
          <w:b/>
          <w:bCs/>
          <w:snapToGrid w:val="0"/>
          <w:color w:val="1F497D" w:themeColor="text2"/>
          <w:sz w:val="18"/>
          <w:szCs w:val="18"/>
          <w:lang w:val="eu-ES"/>
        </w:rPr>
      </w:pPr>
      <w:r w:rsidRPr="001E2F6E">
        <w:rPr>
          <w:b/>
          <w:bCs/>
          <w:snapToGrid w:val="0"/>
          <w:color w:val="1F497D" w:themeColor="text2"/>
          <w:sz w:val="18"/>
          <w:szCs w:val="18"/>
          <w:lang w:val="eu-ES"/>
        </w:rPr>
        <w:t>FAKTURAZIOAREN BILAKAERA, 2006-2013 (MILAKA EUROTAN)</w:t>
      </w:r>
    </w:p>
    <w:p w:rsidR="004A72E7" w:rsidRPr="001E2F6E" w:rsidRDefault="001451B1" w:rsidP="00354E9D">
      <w:pPr>
        <w:ind w:left="227" w:hanging="227"/>
        <w:rPr>
          <w:lang w:val="eu-ES"/>
        </w:rPr>
      </w:pPr>
      <w:r w:rsidRPr="001E2F6E">
        <w:rPr>
          <w:noProof/>
          <w:lang w:eastAsia="es-ES"/>
        </w:rPr>
        <w:drawing>
          <wp:anchor distT="60960" distB="188976" distL="138684" distR="318516" simplePos="0" relativeHeight="251660288" behindDoc="0" locked="0" layoutInCell="1" allowOverlap="1">
            <wp:simplePos x="0" y="0"/>
            <wp:positionH relativeFrom="column">
              <wp:posOffset>277495</wp:posOffset>
            </wp:positionH>
            <wp:positionV relativeFrom="paragraph">
              <wp:posOffset>193675</wp:posOffset>
            </wp:positionV>
            <wp:extent cx="4728210" cy="1578610"/>
            <wp:effectExtent l="19050" t="0" r="0" b="0"/>
            <wp:wrapNone/>
            <wp:docPr id="36" name="Objeto 3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anchor>
        </w:drawing>
      </w:r>
    </w:p>
    <w:p w:rsidR="004A72E7" w:rsidRPr="001E2F6E" w:rsidRDefault="004A72E7" w:rsidP="00354E9D">
      <w:pPr>
        <w:ind w:left="227" w:hanging="227"/>
        <w:rPr>
          <w:b/>
          <w:bCs/>
          <w:color w:val="000080"/>
          <w:lang w:val="eu-ES"/>
        </w:rPr>
      </w:pPr>
    </w:p>
    <w:p w:rsidR="004A72E7" w:rsidRPr="001E2F6E" w:rsidRDefault="004A72E7" w:rsidP="00354E9D">
      <w:pPr>
        <w:ind w:left="227" w:hanging="227"/>
        <w:rPr>
          <w:b/>
          <w:bCs/>
          <w:color w:val="000080"/>
          <w:lang w:val="eu-ES"/>
        </w:rPr>
      </w:pPr>
    </w:p>
    <w:p w:rsidR="004A72E7" w:rsidRPr="001E2F6E" w:rsidRDefault="004A72E7" w:rsidP="00354E9D">
      <w:pPr>
        <w:ind w:left="227" w:hanging="227"/>
        <w:rPr>
          <w:b/>
          <w:bCs/>
          <w:color w:val="000080"/>
          <w:lang w:val="eu-ES"/>
        </w:rPr>
      </w:pPr>
    </w:p>
    <w:p w:rsidR="004A72E7" w:rsidRPr="001E2F6E" w:rsidRDefault="004A72E7" w:rsidP="00354E9D">
      <w:pPr>
        <w:ind w:left="227" w:hanging="227"/>
        <w:rPr>
          <w:b/>
          <w:bCs/>
          <w:color w:val="000080"/>
          <w:lang w:val="eu-ES"/>
        </w:rPr>
      </w:pPr>
    </w:p>
    <w:p w:rsidR="004A72E7" w:rsidRPr="001E2F6E" w:rsidRDefault="004A72E7" w:rsidP="00354E9D">
      <w:pPr>
        <w:ind w:left="227" w:hanging="227"/>
        <w:rPr>
          <w:b/>
          <w:bCs/>
          <w:color w:val="000080"/>
          <w:lang w:val="eu-ES"/>
        </w:rPr>
      </w:pPr>
    </w:p>
    <w:p w:rsidR="004A72E7" w:rsidRPr="001E2F6E" w:rsidRDefault="004A72E7" w:rsidP="00354E9D">
      <w:pPr>
        <w:ind w:left="227" w:hanging="227"/>
        <w:rPr>
          <w:b/>
          <w:bCs/>
          <w:color w:val="000080"/>
          <w:lang w:val="eu-ES"/>
        </w:rPr>
      </w:pPr>
    </w:p>
    <w:p w:rsidR="004A72E7" w:rsidRPr="001E2F6E" w:rsidRDefault="004A72E7" w:rsidP="00354E9D">
      <w:pPr>
        <w:ind w:left="227" w:hanging="227"/>
        <w:rPr>
          <w:b/>
          <w:bCs/>
          <w:color w:val="000080"/>
          <w:lang w:val="eu-ES"/>
        </w:rPr>
      </w:pPr>
    </w:p>
    <w:p w:rsidR="004A72E7" w:rsidRPr="001E2F6E" w:rsidRDefault="004A72E7" w:rsidP="00354E9D">
      <w:pPr>
        <w:ind w:left="227" w:hanging="227"/>
        <w:rPr>
          <w:b/>
          <w:bCs/>
          <w:color w:val="000080"/>
          <w:lang w:val="eu-ES"/>
        </w:rPr>
      </w:pPr>
    </w:p>
    <w:p w:rsidR="004A72E7" w:rsidRPr="001E2F6E" w:rsidRDefault="004A72E7">
      <w:pPr>
        <w:spacing w:after="200" w:line="276" w:lineRule="auto"/>
        <w:jc w:val="left"/>
        <w:rPr>
          <w:lang w:val="eu-ES" w:eastAsia="es-ES"/>
        </w:rPr>
      </w:pPr>
    </w:p>
    <w:p w:rsidR="004A72E7" w:rsidRPr="001E2F6E" w:rsidRDefault="004A72E7">
      <w:pPr>
        <w:spacing w:after="200" w:line="276" w:lineRule="auto"/>
        <w:jc w:val="left"/>
        <w:rPr>
          <w:lang w:val="eu-ES" w:eastAsia="es-ES"/>
        </w:rPr>
      </w:pPr>
      <w:r w:rsidRPr="001E2F6E">
        <w:rPr>
          <w:lang w:val="eu-ES" w:eastAsia="es-ES"/>
        </w:rPr>
        <w:br w:type="page"/>
      </w:r>
    </w:p>
    <w:p w:rsidR="004A72E7" w:rsidRPr="001E2F6E" w:rsidRDefault="004A72E7" w:rsidP="00E968C7">
      <w:pPr>
        <w:ind w:left="426" w:hanging="426"/>
        <w:rPr>
          <w:lang w:val="eu-ES"/>
        </w:rPr>
      </w:pPr>
      <w:r w:rsidRPr="001E2F6E">
        <w:rPr>
          <w:lang w:val="eu-ES" w:eastAsia="es-ES"/>
        </w:rPr>
        <w:lastRenderedPageBreak/>
        <w:tab/>
        <w:t xml:space="preserve">Dena den, 2013rako emaitzen Aurrerapenean, zenbait datu positibo ere ageri dira. Lurraldearen arabera, Gipuzkoako datuak dira aipatzekoak; izan ere, enplegu- eta fakturazio-datu positiboak eman ditzakeen lurralde bakarra da (enpleguaren </w:t>
      </w:r>
      <w:r w:rsidRPr="001E2F6E">
        <w:rPr>
          <w:spacing w:val="60"/>
          <w:lang w:val="eu-ES" w:eastAsia="es-ES"/>
        </w:rPr>
        <w:t>%</w:t>
      </w:r>
      <w:r w:rsidRPr="001E2F6E">
        <w:rPr>
          <w:lang w:val="eu-ES" w:eastAsia="es-ES"/>
        </w:rPr>
        <w:t xml:space="preserve">0,4ko gorakada eta fakturazioaren </w:t>
      </w:r>
      <w:r w:rsidRPr="001E2F6E">
        <w:rPr>
          <w:spacing w:val="60"/>
          <w:lang w:val="eu-ES" w:eastAsia="es-ES"/>
        </w:rPr>
        <w:t>%</w:t>
      </w:r>
      <w:r w:rsidRPr="001E2F6E">
        <w:rPr>
          <w:lang w:val="eu-ES" w:eastAsia="es-ES"/>
        </w:rPr>
        <w:t>1,3koa).</w:t>
      </w:r>
      <w:r w:rsidRPr="001E2F6E">
        <w:rPr>
          <w:lang w:val="eu-ES"/>
        </w:rPr>
        <w:t xml:space="preserve"> </w:t>
      </w:r>
    </w:p>
    <w:p w:rsidR="004A72E7" w:rsidRPr="001E2F6E" w:rsidRDefault="004A72E7" w:rsidP="00354E9D">
      <w:pPr>
        <w:ind w:left="227" w:hanging="227"/>
        <w:rPr>
          <w:lang w:val="eu-ES" w:eastAsia="es-ES"/>
        </w:rPr>
      </w:pPr>
    </w:p>
    <w:p w:rsidR="004A72E7" w:rsidRPr="001E2F6E" w:rsidRDefault="004A72E7" w:rsidP="000D60B7">
      <w:pPr>
        <w:spacing w:line="240" w:lineRule="auto"/>
        <w:jc w:val="center"/>
        <w:rPr>
          <w:b/>
          <w:bCs/>
          <w:snapToGrid w:val="0"/>
          <w:color w:val="1F497D" w:themeColor="text2"/>
          <w:sz w:val="18"/>
          <w:szCs w:val="18"/>
          <w:lang w:val="eu-ES"/>
        </w:rPr>
      </w:pPr>
      <w:r w:rsidRPr="001E2F6E">
        <w:rPr>
          <w:b/>
          <w:bCs/>
          <w:snapToGrid w:val="0"/>
          <w:color w:val="1F497D" w:themeColor="text2"/>
          <w:sz w:val="18"/>
          <w:szCs w:val="18"/>
          <w:lang w:val="eu-ES"/>
        </w:rPr>
        <w:t xml:space="preserve">AURREIKUSITAKO FAKTURAZIOAREN ETA ENPLEGUAREN BILAKAERA </w:t>
      </w:r>
    </w:p>
    <w:p w:rsidR="004A72E7" w:rsidRPr="001E2F6E" w:rsidRDefault="004A72E7" w:rsidP="000D60B7">
      <w:pPr>
        <w:spacing w:line="240" w:lineRule="auto"/>
        <w:jc w:val="center"/>
        <w:rPr>
          <w:b/>
          <w:bCs/>
          <w:snapToGrid w:val="0"/>
          <w:color w:val="1F497D" w:themeColor="text2"/>
          <w:sz w:val="18"/>
          <w:szCs w:val="18"/>
          <w:lang w:val="eu-ES"/>
        </w:rPr>
      </w:pPr>
      <w:r w:rsidRPr="001E2F6E">
        <w:rPr>
          <w:b/>
          <w:bCs/>
          <w:snapToGrid w:val="0"/>
          <w:color w:val="1F497D" w:themeColor="text2"/>
          <w:sz w:val="18"/>
          <w:szCs w:val="18"/>
          <w:lang w:val="eu-ES"/>
        </w:rPr>
        <w:t xml:space="preserve"> (lurralde historikoa, jarduera-sektorea eta forma juridikoa), 2012-2013</w:t>
      </w:r>
    </w:p>
    <w:p w:rsidR="004A72E7" w:rsidRPr="001E2F6E" w:rsidRDefault="001451B1" w:rsidP="000D60B7">
      <w:pPr>
        <w:rPr>
          <w:color w:val="1F497D" w:themeColor="text2"/>
          <w:lang w:val="eu-ES"/>
        </w:rPr>
      </w:pPr>
      <w:r w:rsidRPr="001E2F6E">
        <w:rPr>
          <w:noProof/>
          <w:color w:val="1F497D" w:themeColor="text2"/>
          <w:lang w:eastAsia="es-ES"/>
        </w:rPr>
        <w:drawing>
          <wp:anchor distT="91440" distB="43053" distL="309372" distR="339471" simplePos="0" relativeHeight="251639808" behindDoc="0" locked="0" layoutInCell="1" allowOverlap="1">
            <wp:simplePos x="0" y="0"/>
            <wp:positionH relativeFrom="column">
              <wp:posOffset>146685</wp:posOffset>
            </wp:positionH>
            <wp:positionV relativeFrom="paragraph">
              <wp:posOffset>158750</wp:posOffset>
            </wp:positionV>
            <wp:extent cx="5305425" cy="2152650"/>
            <wp:effectExtent l="0" t="0" r="0" b="0"/>
            <wp:wrapNone/>
            <wp:docPr id="37" name="Objeto 3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anchor>
        </w:drawing>
      </w:r>
      <w:r w:rsidR="00A327D4">
        <w:rPr>
          <w:noProof/>
          <w:color w:val="1F497D" w:themeColor="text2"/>
          <w:lang w:eastAsia="es-ES"/>
        </w:rPr>
        <w:pict>
          <v:shapetype id="_x0000_t32" coordsize="21600,21600" o:spt="32" o:oned="t" path="m,l21600,21600e" filled="f">
            <v:path arrowok="t" fillok="f" o:connecttype="none"/>
            <o:lock v:ext="edit" shapetype="t"/>
          </v:shapetype>
          <v:shape id="_x0000_s1062" type="#_x0000_t32" style="position:absolute;left:0;text-align:left;margin-left:163.95pt;margin-top:8.9pt;width:0;height:113.4pt;z-index:251670528;mso-position-horizontal-relative:text;mso-position-vertical-relative:text" o:connectortype="straight" strokecolor="#bfbfbf" strokeweight="1.5pt">
            <v:stroke dashstyle="1 1" endcap="round"/>
          </v:shape>
        </w:pict>
      </w:r>
      <w:r w:rsidR="00A327D4">
        <w:rPr>
          <w:noProof/>
          <w:color w:val="1F497D" w:themeColor="text2"/>
          <w:lang w:eastAsia="es-ES"/>
        </w:rPr>
        <w:pict>
          <v:shape id="_x0000_s1063" type="#_x0000_t32" style="position:absolute;left:0;text-align:left;margin-left:291.45pt;margin-top:8.15pt;width:0;height:113.4pt;z-index:251671552;mso-position-horizontal-relative:text;mso-position-vertical-relative:text" o:connectortype="straight" strokecolor="#bfbfbf" strokeweight="1.5pt">
            <v:stroke dashstyle="1 1" endcap="round"/>
          </v:shape>
        </w:pict>
      </w:r>
    </w:p>
    <w:p w:rsidR="004A72E7" w:rsidRPr="001E2F6E" w:rsidRDefault="004A72E7" w:rsidP="000D60B7">
      <w:pPr>
        <w:rPr>
          <w:lang w:val="eu-ES"/>
        </w:rPr>
      </w:pPr>
    </w:p>
    <w:p w:rsidR="004A72E7" w:rsidRPr="001E2F6E" w:rsidRDefault="004A72E7" w:rsidP="000D60B7">
      <w:pPr>
        <w:rPr>
          <w:lang w:val="eu-ES"/>
        </w:rPr>
      </w:pPr>
    </w:p>
    <w:p w:rsidR="004A72E7" w:rsidRPr="001E2F6E" w:rsidRDefault="004A72E7" w:rsidP="000D60B7">
      <w:pPr>
        <w:rPr>
          <w:lang w:val="eu-ES"/>
        </w:rPr>
      </w:pPr>
    </w:p>
    <w:p w:rsidR="004A72E7" w:rsidRPr="001E2F6E" w:rsidRDefault="004A72E7" w:rsidP="000D60B7">
      <w:pPr>
        <w:rPr>
          <w:lang w:val="eu-ES"/>
        </w:rPr>
      </w:pPr>
    </w:p>
    <w:p w:rsidR="004A72E7" w:rsidRPr="001E2F6E" w:rsidRDefault="004A72E7" w:rsidP="000D60B7">
      <w:pPr>
        <w:rPr>
          <w:lang w:val="eu-ES"/>
        </w:rPr>
      </w:pPr>
    </w:p>
    <w:p w:rsidR="004A72E7" w:rsidRPr="001E2F6E" w:rsidRDefault="004A72E7" w:rsidP="000D60B7">
      <w:pPr>
        <w:rPr>
          <w:lang w:val="eu-ES"/>
        </w:rPr>
      </w:pPr>
    </w:p>
    <w:p w:rsidR="004A72E7" w:rsidRPr="001E2F6E" w:rsidRDefault="004A72E7" w:rsidP="000D60B7">
      <w:pPr>
        <w:rPr>
          <w:lang w:val="eu-ES"/>
        </w:rPr>
      </w:pPr>
    </w:p>
    <w:p w:rsidR="004A72E7" w:rsidRPr="001E2F6E" w:rsidRDefault="00A327D4" w:rsidP="000D60B7">
      <w:pPr>
        <w:rPr>
          <w:lang w:val="eu-ES"/>
        </w:rPr>
      </w:pPr>
      <w:r>
        <w:rPr>
          <w:noProof/>
          <w:lang w:eastAsia="es-ES"/>
        </w:rPr>
        <w:pict>
          <v:shapetype id="_x0000_t202" coordsize="21600,21600" o:spt="202" path="m,l,21600r21600,l21600,xe">
            <v:stroke joinstyle="miter"/>
            <v:path gradientshapeok="t" o:connecttype="rect"/>
          </v:shapetype>
          <v:shape id="_x0000_s1064" type="#_x0000_t202" style="position:absolute;left:0;text-align:left;margin-left:46.95pt;margin-top:6.15pt;width:101.25pt;height:19.5pt;z-index:251667456" filled="f" stroked="f">
            <v:textbox>
              <w:txbxContent>
                <w:p w:rsidR="00A327D4" w:rsidRPr="005C25B7" w:rsidRDefault="00A327D4" w:rsidP="000D60B7">
                  <w:pPr>
                    <w:jc w:val="center"/>
                    <w:rPr>
                      <w:b/>
                      <w:bCs/>
                      <w:sz w:val="16"/>
                      <w:szCs w:val="16"/>
                    </w:rPr>
                  </w:pPr>
                  <w:r>
                    <w:rPr>
                      <w:b/>
                      <w:bCs/>
                      <w:sz w:val="16"/>
                      <w:szCs w:val="16"/>
                    </w:rPr>
                    <w:t>Lurralde historikoa</w:t>
                  </w:r>
                </w:p>
              </w:txbxContent>
            </v:textbox>
          </v:shape>
        </w:pict>
      </w:r>
      <w:r>
        <w:rPr>
          <w:noProof/>
          <w:lang w:eastAsia="es-ES"/>
        </w:rPr>
        <w:pict>
          <v:shape id="_x0000_s1065" type="#_x0000_t202" style="position:absolute;left:0;text-align:left;margin-left:167.2pt;margin-top:6.15pt;width:101.25pt;height:19.5pt;z-index:251668480" filled="f" stroked="f">
            <v:textbox>
              <w:txbxContent>
                <w:p w:rsidR="00A327D4" w:rsidRPr="005C25B7" w:rsidRDefault="00A327D4" w:rsidP="000D60B7">
                  <w:pPr>
                    <w:jc w:val="center"/>
                    <w:rPr>
                      <w:b/>
                      <w:bCs/>
                      <w:sz w:val="16"/>
                      <w:szCs w:val="16"/>
                    </w:rPr>
                  </w:pPr>
                  <w:r>
                    <w:rPr>
                      <w:b/>
                      <w:bCs/>
                      <w:sz w:val="16"/>
                      <w:szCs w:val="16"/>
                    </w:rPr>
                    <w:t>Jarduera-sektorea</w:t>
                  </w:r>
                </w:p>
              </w:txbxContent>
            </v:textbox>
          </v:shape>
        </w:pict>
      </w:r>
      <w:r>
        <w:rPr>
          <w:noProof/>
          <w:lang w:eastAsia="es-ES"/>
        </w:rPr>
        <w:pict>
          <v:shape id="_x0000_s1066" type="#_x0000_t202" style="position:absolute;left:0;text-align:left;margin-left:301.45pt;margin-top:4.65pt;width:101.25pt;height:19.5pt;z-index:251669504" filled="f" stroked="f">
            <v:textbox>
              <w:txbxContent>
                <w:p w:rsidR="00A327D4" w:rsidRPr="005C25B7" w:rsidRDefault="00A327D4" w:rsidP="000D60B7">
                  <w:pPr>
                    <w:jc w:val="center"/>
                    <w:rPr>
                      <w:b/>
                      <w:bCs/>
                      <w:sz w:val="16"/>
                      <w:szCs w:val="16"/>
                    </w:rPr>
                  </w:pPr>
                  <w:r>
                    <w:rPr>
                      <w:b/>
                      <w:bCs/>
                      <w:sz w:val="16"/>
                      <w:szCs w:val="16"/>
                    </w:rPr>
                    <w:t>Forma juridikoa</w:t>
                  </w:r>
                </w:p>
              </w:txbxContent>
            </v:textbox>
          </v:shape>
        </w:pict>
      </w:r>
    </w:p>
    <w:p w:rsidR="004A72E7" w:rsidRPr="001E2F6E" w:rsidRDefault="004A72E7" w:rsidP="000D60B7">
      <w:pPr>
        <w:rPr>
          <w:lang w:val="eu-ES"/>
        </w:rPr>
      </w:pPr>
    </w:p>
    <w:p w:rsidR="004A72E7" w:rsidRPr="001E2F6E" w:rsidRDefault="004A72E7" w:rsidP="000D60B7">
      <w:pPr>
        <w:rPr>
          <w:lang w:val="eu-ES"/>
        </w:rPr>
      </w:pPr>
    </w:p>
    <w:p w:rsidR="004A72E7" w:rsidRPr="001E2F6E" w:rsidRDefault="004A72E7" w:rsidP="000D60B7">
      <w:pPr>
        <w:ind w:left="426" w:hanging="426"/>
        <w:rPr>
          <w:lang w:val="eu-ES" w:eastAsia="es-ES"/>
        </w:rPr>
      </w:pPr>
    </w:p>
    <w:p w:rsidR="004A72E7" w:rsidRPr="001E2F6E" w:rsidRDefault="004A72E7" w:rsidP="000D60B7">
      <w:pPr>
        <w:ind w:left="426" w:hanging="426"/>
        <w:rPr>
          <w:lang w:val="eu-ES" w:eastAsia="es-ES"/>
        </w:rPr>
      </w:pPr>
    </w:p>
    <w:p w:rsidR="004A72E7" w:rsidRPr="001E2F6E" w:rsidRDefault="004A72E7" w:rsidP="000D60B7">
      <w:pPr>
        <w:ind w:left="426" w:hanging="426"/>
        <w:rPr>
          <w:lang w:val="eu-ES" w:eastAsia="es-ES"/>
        </w:rPr>
      </w:pPr>
      <w:r w:rsidRPr="001E2F6E">
        <w:rPr>
          <w:lang w:val="eu-ES" w:eastAsia="es-ES"/>
        </w:rPr>
        <w:tab/>
        <w:t>Neurri batean, bilakaera positibo hori Gizarte Ekonomiako hirugarren sektorean 2013an enplegua hobetu izanarekin dago lotuta (</w:t>
      </w:r>
      <w:r w:rsidRPr="001E2F6E">
        <w:rPr>
          <w:spacing w:val="60"/>
          <w:lang w:val="eu-ES" w:eastAsia="es-ES"/>
        </w:rPr>
        <w:t>%</w:t>
      </w:r>
      <w:r w:rsidRPr="001E2F6E">
        <w:rPr>
          <w:lang w:val="eu-ES" w:eastAsia="es-ES"/>
        </w:rPr>
        <w:t>0,8).</w:t>
      </w:r>
    </w:p>
    <w:p w:rsidR="004A72E7" w:rsidRPr="001E2F6E" w:rsidRDefault="004A72E7" w:rsidP="00872B0A">
      <w:pPr>
        <w:rPr>
          <w:snapToGrid w:val="0"/>
          <w:lang w:val="eu-ES"/>
        </w:rPr>
      </w:pPr>
    </w:p>
    <w:p w:rsidR="004A72E7" w:rsidRPr="001E2F6E" w:rsidRDefault="004A72E7" w:rsidP="000D60B7">
      <w:pPr>
        <w:ind w:left="426" w:hanging="426"/>
        <w:rPr>
          <w:lang w:val="eu-ES" w:eastAsia="es-ES"/>
        </w:rPr>
      </w:pPr>
      <w:r w:rsidRPr="001E2F6E">
        <w:rPr>
          <w:lang w:val="eu-ES" w:eastAsia="es-ES"/>
        </w:rPr>
        <w:tab/>
        <w:t>Beste elementu hau ere azpimarra daiteke: 2013ko aurreikuspenetan, enpleguaren dinamika negatiboa lan-sozietate mugatuetan gertatu zen bereziki, nahiz eta fakturazioa lan-sozietate guztietan txikitu.</w:t>
      </w:r>
    </w:p>
    <w:p w:rsidR="004A72E7" w:rsidRPr="001E2F6E" w:rsidRDefault="004A72E7" w:rsidP="00CC7DDB">
      <w:pPr>
        <w:rPr>
          <w:i/>
          <w:iCs/>
          <w:lang w:val="eu-ES"/>
        </w:rPr>
      </w:pPr>
    </w:p>
    <w:p w:rsidR="004A72E7" w:rsidRPr="001E2F6E" w:rsidRDefault="004A72E7" w:rsidP="000D60B7">
      <w:pPr>
        <w:ind w:left="426" w:hanging="426"/>
        <w:rPr>
          <w:i/>
          <w:iCs/>
          <w:lang w:val="eu-ES"/>
        </w:rPr>
      </w:pPr>
    </w:p>
    <w:p w:rsidR="004A72E7" w:rsidRPr="001E2F6E" w:rsidRDefault="004A72E7" w:rsidP="001451B1">
      <w:pPr>
        <w:pStyle w:val="Prrafodelista"/>
        <w:numPr>
          <w:ilvl w:val="0"/>
          <w:numId w:val="2"/>
        </w:numPr>
        <w:spacing w:after="0" w:line="360" w:lineRule="auto"/>
        <w:ind w:left="426" w:hanging="426"/>
        <w:rPr>
          <w:rFonts w:ascii="Arial" w:hAnsi="Arial" w:cs="Arial"/>
          <w:b/>
          <w:bCs/>
          <w:lang w:val="es-ES_tradnl" w:eastAsia="es-ES"/>
        </w:rPr>
      </w:pPr>
      <w:r w:rsidRPr="001E2F6E">
        <w:rPr>
          <w:rFonts w:ascii="Arial" w:hAnsi="Arial" w:cs="Arial"/>
          <w:b/>
          <w:bCs/>
          <w:lang w:val="eu-ES" w:eastAsia="es-ES"/>
        </w:rPr>
        <w:tab/>
        <w:t>Ezezagun nagusiak</w:t>
      </w:r>
    </w:p>
    <w:p w:rsidR="004A72E7" w:rsidRPr="001E2F6E" w:rsidRDefault="004A72E7" w:rsidP="000D60B7">
      <w:pPr>
        <w:pStyle w:val="Prrafodelista"/>
        <w:spacing w:after="0" w:line="360" w:lineRule="auto"/>
        <w:ind w:left="426" w:hanging="426"/>
        <w:rPr>
          <w:rFonts w:ascii="Arial" w:hAnsi="Arial" w:cs="Arial"/>
          <w:lang w:val="es-ES_tradnl" w:eastAsia="es-ES"/>
        </w:rPr>
      </w:pPr>
    </w:p>
    <w:p w:rsidR="004A72E7" w:rsidRPr="001E2F6E" w:rsidRDefault="004A72E7" w:rsidP="000D60B7">
      <w:pPr>
        <w:pStyle w:val="Prrafodelista"/>
        <w:spacing w:after="0" w:line="360" w:lineRule="auto"/>
        <w:ind w:left="426" w:hanging="426"/>
      </w:pPr>
      <w:r w:rsidRPr="001E2F6E">
        <w:rPr>
          <w:rFonts w:ascii="Arial" w:hAnsi="Arial" w:cs="Arial"/>
          <w:lang w:val="es-ES_tradnl" w:eastAsia="es-ES"/>
        </w:rPr>
        <w:tab/>
      </w:r>
      <w:r w:rsidRPr="001E2F6E">
        <w:rPr>
          <w:rFonts w:ascii="Arial" w:hAnsi="Arial" w:cs="Arial"/>
          <w:lang w:val="eu-ES" w:eastAsia="es-ES"/>
        </w:rPr>
        <w:t>Gizarte Ekonomiaren adierazle ekonomiko nagusiak 2014an susper daitezke, baina gainditu egin beharko da Euskadiko kooperatibismoaren industria-erreferentzia izan den Fagor Electrodomésticos 2013. ekitaldiaren amaieran itxi behar izana.</w:t>
      </w:r>
      <w:r w:rsidRPr="001E2F6E">
        <w:rPr>
          <w:rFonts w:ascii="Arial" w:hAnsi="Arial" w:cs="Arial"/>
          <w:lang w:val="es-ES_tradnl" w:eastAsia="es-ES"/>
        </w:rPr>
        <w:t xml:space="preserve"> </w:t>
      </w:r>
      <w:r w:rsidRPr="001E2F6E">
        <w:rPr>
          <w:rFonts w:ascii="Arial" w:hAnsi="Arial" w:cs="Arial"/>
          <w:lang w:val="eu-ES" w:eastAsia="es-ES"/>
        </w:rPr>
        <w:t>Gainera, Gizarte Ekonomiako industriaren arloan, produktibitate-adierazleak okerrera ari dira egiten.</w:t>
      </w:r>
      <w:r w:rsidRPr="001E2F6E">
        <w:t xml:space="preserve"> </w:t>
      </w:r>
      <w:r w:rsidRPr="001E2F6E">
        <w:rPr>
          <w:rFonts w:ascii="Arial" w:hAnsi="Arial" w:cs="Arial"/>
          <w:lang w:val="eu-ES" w:eastAsia="es-ES"/>
        </w:rPr>
        <w:t>Esate baterako, enplegatutako pertsona bakoitzeko BEGd-a 54.773 eurotik 53.001 eurora jaitsi zen 2010etik 2012ra bitartean.</w:t>
      </w:r>
      <w:r w:rsidRPr="001E2F6E">
        <w:rPr>
          <w:rFonts w:ascii="Arial" w:hAnsi="Arial" w:cs="Arial"/>
          <w:lang w:val="es-ES_tradnl" w:eastAsia="es-ES"/>
        </w:rPr>
        <w:t xml:space="preserve"> </w:t>
      </w:r>
      <w:r w:rsidRPr="001E2F6E">
        <w:rPr>
          <w:rFonts w:ascii="Arial" w:hAnsi="Arial" w:cs="Arial"/>
          <w:lang w:val="eu-ES" w:eastAsia="es-ES"/>
        </w:rPr>
        <w:t>Bestalde, aipatu beharreko beste alderdi batzuen arabera, zor-ratioak handi samarrak dira Gizarte Ekonomiaren zenbait adarretan edo forma juridikotan.</w:t>
      </w:r>
      <w:r w:rsidRPr="001E2F6E">
        <w:t xml:space="preserve"> </w:t>
      </w:r>
    </w:p>
    <w:p w:rsidR="004A72E7" w:rsidRPr="001E2F6E" w:rsidRDefault="004A72E7">
      <w:pPr>
        <w:spacing w:after="200" w:line="276" w:lineRule="auto"/>
        <w:jc w:val="left"/>
        <w:rPr>
          <w:snapToGrid w:val="0"/>
          <w:lang w:val="es-ES_tradnl" w:eastAsia="es-ES"/>
        </w:rPr>
      </w:pPr>
    </w:p>
    <w:p w:rsidR="004A72E7" w:rsidRPr="001E2F6E" w:rsidRDefault="004A72E7">
      <w:pPr>
        <w:spacing w:after="200" w:line="276" w:lineRule="auto"/>
        <w:jc w:val="left"/>
        <w:rPr>
          <w:snapToGrid w:val="0"/>
          <w:lang w:val="es-ES_tradnl" w:eastAsia="es-ES"/>
        </w:rPr>
      </w:pPr>
      <w:r w:rsidRPr="001E2F6E">
        <w:rPr>
          <w:snapToGrid w:val="0"/>
          <w:lang w:val="es-ES_tradnl" w:eastAsia="es-ES"/>
        </w:rPr>
        <w:br w:type="page"/>
      </w:r>
    </w:p>
    <w:p w:rsidR="004A72E7" w:rsidRPr="001E2F6E" w:rsidRDefault="004A72E7" w:rsidP="000D60B7">
      <w:pPr>
        <w:pStyle w:val="Prrafodelista"/>
        <w:spacing w:after="0" w:line="360" w:lineRule="auto"/>
        <w:ind w:left="426" w:hanging="426"/>
        <w:rPr>
          <w:rFonts w:ascii="Arial" w:hAnsi="Arial" w:cs="Arial"/>
          <w:snapToGrid w:val="0"/>
          <w:lang w:val="sv-SE" w:eastAsia="es-ES"/>
        </w:rPr>
      </w:pPr>
      <w:r w:rsidRPr="001E2F6E">
        <w:rPr>
          <w:rFonts w:ascii="Arial" w:hAnsi="Arial" w:cs="Arial"/>
          <w:snapToGrid w:val="0"/>
          <w:lang w:val="es-ES_tradnl" w:eastAsia="es-ES"/>
        </w:rPr>
        <w:lastRenderedPageBreak/>
        <w:tab/>
      </w:r>
      <w:r w:rsidRPr="001E2F6E">
        <w:rPr>
          <w:rFonts w:ascii="Arial" w:hAnsi="Arial" w:cs="Arial"/>
          <w:snapToGrid w:val="0"/>
          <w:lang w:val="eu-ES" w:eastAsia="es-ES"/>
        </w:rPr>
        <w:t>Alderdi positiboan, aipatzekoa da EAEko kooperatibek erakutsitako erreakzio-ahalmen handia; izan ere, 2010etik 2012ra bitartean, nabarmen handitu dira haien esportazioak.</w:t>
      </w:r>
      <w:r w:rsidRPr="001E2F6E">
        <w:rPr>
          <w:rFonts w:ascii="Arial" w:hAnsi="Arial" w:cs="Arial"/>
          <w:snapToGrid w:val="0"/>
          <w:lang w:val="es-ES_tradnl" w:eastAsia="es-ES"/>
        </w:rPr>
        <w:t xml:space="preserve"> </w:t>
      </w:r>
      <w:r w:rsidRPr="001E2F6E">
        <w:rPr>
          <w:rFonts w:ascii="Arial" w:hAnsi="Arial" w:cs="Arial"/>
          <w:snapToGrid w:val="0"/>
          <w:lang w:val="eu-ES" w:eastAsia="es-ES"/>
        </w:rPr>
        <w:t xml:space="preserve">Kooperatiba horien kanporako irekiera-maila </w:t>
      </w:r>
      <w:r w:rsidRPr="001E2F6E">
        <w:rPr>
          <w:rFonts w:ascii="Arial" w:hAnsi="Arial" w:cs="Arial"/>
          <w:snapToGrid w:val="0"/>
          <w:spacing w:val="60"/>
          <w:lang w:val="eu-ES" w:eastAsia="es-ES"/>
        </w:rPr>
        <w:t>%</w:t>
      </w:r>
      <w:r w:rsidRPr="001E2F6E">
        <w:rPr>
          <w:rFonts w:ascii="Arial" w:hAnsi="Arial" w:cs="Arial"/>
          <w:snapToGrid w:val="0"/>
          <w:lang w:val="eu-ES" w:eastAsia="es-ES"/>
        </w:rPr>
        <w:t xml:space="preserve">7,5 handitu da 2008az geroztik; hain zuzen ere, 2008an, esportazioek </w:t>
      </w:r>
      <w:r w:rsidRPr="001E2F6E">
        <w:rPr>
          <w:rFonts w:ascii="Arial" w:hAnsi="Arial" w:cs="Arial"/>
          <w:snapToGrid w:val="0"/>
          <w:spacing w:val="60"/>
          <w:lang w:val="eu-ES" w:eastAsia="es-ES"/>
        </w:rPr>
        <w:t>%</w:t>
      </w:r>
      <w:r w:rsidRPr="001E2F6E">
        <w:rPr>
          <w:rFonts w:ascii="Arial" w:hAnsi="Arial" w:cs="Arial"/>
          <w:snapToGrid w:val="0"/>
          <w:lang w:val="eu-ES" w:eastAsia="es-ES"/>
        </w:rPr>
        <w:t xml:space="preserve">26,0ko pisua zuten fakturazioan, eta 2012an, berriz, </w:t>
      </w:r>
      <w:r w:rsidRPr="001E2F6E">
        <w:rPr>
          <w:rFonts w:ascii="Arial" w:hAnsi="Arial" w:cs="Arial"/>
          <w:snapToGrid w:val="0"/>
          <w:spacing w:val="60"/>
          <w:lang w:val="eu-ES" w:eastAsia="es-ES"/>
        </w:rPr>
        <w:t>%</w:t>
      </w:r>
      <w:r w:rsidRPr="001E2F6E">
        <w:rPr>
          <w:rFonts w:ascii="Arial" w:hAnsi="Arial" w:cs="Arial"/>
          <w:snapToGrid w:val="0"/>
          <w:lang w:val="eu-ES" w:eastAsia="es-ES"/>
        </w:rPr>
        <w:t>33,5ekoa.</w:t>
      </w:r>
      <w:r w:rsidRPr="001E2F6E">
        <w:rPr>
          <w:rFonts w:ascii="Arial" w:hAnsi="Arial" w:cs="Arial"/>
          <w:snapToGrid w:val="0"/>
          <w:lang w:val="es-ES_tradnl" w:eastAsia="es-ES"/>
        </w:rPr>
        <w:t xml:space="preserve"> </w:t>
      </w:r>
      <w:r w:rsidRPr="001E2F6E">
        <w:rPr>
          <w:rFonts w:ascii="Arial" w:hAnsi="Arial" w:cs="Arial"/>
          <w:snapToGrid w:val="0"/>
          <w:lang w:val="eu-ES" w:eastAsia="es-ES"/>
        </w:rPr>
        <w:t>Hazkunde horrek neurri batean konpentsatu du barne-merkatuan eta Europako merkatuan izandako beherakada.</w:t>
      </w:r>
    </w:p>
    <w:p w:rsidR="004A72E7" w:rsidRPr="001E2F6E" w:rsidRDefault="004A72E7" w:rsidP="000D60B7">
      <w:pPr>
        <w:pStyle w:val="Prrafodelista"/>
        <w:spacing w:after="0" w:line="360" w:lineRule="auto"/>
        <w:ind w:left="426" w:hanging="426"/>
        <w:rPr>
          <w:rFonts w:ascii="Arial" w:hAnsi="Arial" w:cs="Arial"/>
          <w:snapToGrid w:val="0"/>
          <w:lang w:val="sv-SE" w:eastAsia="es-ES"/>
        </w:rPr>
      </w:pPr>
    </w:p>
    <w:p w:rsidR="004A72E7" w:rsidRPr="001E2F6E" w:rsidRDefault="004A72E7" w:rsidP="000D60B7">
      <w:pPr>
        <w:pStyle w:val="Prrafodelista"/>
        <w:spacing w:after="0" w:line="360" w:lineRule="auto"/>
        <w:ind w:left="426" w:hanging="426"/>
        <w:rPr>
          <w:rFonts w:ascii="Arial" w:hAnsi="Arial" w:cs="Arial"/>
          <w:snapToGrid w:val="0"/>
          <w:lang w:val="sv-SE" w:eastAsia="es-ES"/>
        </w:rPr>
      </w:pPr>
      <w:r w:rsidRPr="001E2F6E">
        <w:rPr>
          <w:rFonts w:ascii="Arial" w:hAnsi="Arial" w:cs="Arial"/>
          <w:snapToGrid w:val="0"/>
          <w:lang w:val="sv-SE" w:eastAsia="es-ES"/>
        </w:rPr>
        <w:tab/>
      </w:r>
      <w:r w:rsidRPr="001E2F6E">
        <w:rPr>
          <w:rFonts w:ascii="Arial" w:hAnsi="Arial" w:cs="Arial"/>
          <w:snapToGrid w:val="0"/>
          <w:lang w:val="eu-ES" w:eastAsia="es-ES"/>
        </w:rPr>
        <w:t>Halaber, azpimarratu behar da zer aurrerapen gertatu diren Gizarte Ekonomiako finantza-sistema berrantolatzean.</w:t>
      </w:r>
      <w:r w:rsidRPr="001E2F6E">
        <w:rPr>
          <w:rFonts w:ascii="Arial" w:hAnsi="Arial" w:cs="Arial"/>
          <w:snapToGrid w:val="0"/>
          <w:lang w:val="sv-SE" w:eastAsia="es-ES"/>
        </w:rPr>
        <w:t xml:space="preserve"> </w:t>
      </w:r>
      <w:r w:rsidRPr="001E2F6E">
        <w:rPr>
          <w:rFonts w:ascii="Arial" w:hAnsi="Arial" w:cs="Arial"/>
          <w:snapToGrid w:val="0"/>
          <w:lang w:val="eu-ES" w:eastAsia="es-ES"/>
        </w:rPr>
        <w:t>Euskadiko zein Estatuko ekonomietan bezala, Gizarte Ekonomian ere bat-egiteak gertatu dira finantza-arloan, eta horren ondorioz, finantza-erakunde gutxiago daude merkatuan.</w:t>
      </w:r>
      <w:r w:rsidRPr="001E2F6E">
        <w:rPr>
          <w:rFonts w:ascii="Arial" w:hAnsi="Arial" w:cs="Arial"/>
          <w:snapToGrid w:val="0"/>
          <w:lang w:val="sv-SE" w:eastAsia="es-ES"/>
        </w:rPr>
        <w:t xml:space="preserve"> </w:t>
      </w:r>
      <w:r w:rsidRPr="001E2F6E">
        <w:rPr>
          <w:rFonts w:ascii="Arial" w:hAnsi="Arial" w:cs="Arial"/>
          <w:snapToGrid w:val="0"/>
          <w:lang w:val="eu-ES" w:eastAsia="es-ES"/>
        </w:rPr>
        <w:t>Prozesu hori dela eta, kreditu-aktiboak onbideratu egin dira, eta horrek oinarriak finka ditzake jarduerak eta enpleguak epe ertainean hazkunde iraunkorra izan dezaten.</w:t>
      </w:r>
    </w:p>
    <w:p w:rsidR="004A72E7" w:rsidRPr="001E2F6E" w:rsidRDefault="004A72E7" w:rsidP="000D60B7">
      <w:pPr>
        <w:pStyle w:val="Prrafodelista"/>
        <w:spacing w:after="0" w:line="360" w:lineRule="auto"/>
        <w:ind w:left="426" w:hanging="426"/>
        <w:rPr>
          <w:rFonts w:ascii="Arial" w:hAnsi="Arial" w:cs="Arial"/>
          <w:snapToGrid w:val="0"/>
          <w:lang w:val="sv-SE" w:eastAsia="es-ES"/>
        </w:rPr>
      </w:pPr>
    </w:p>
    <w:p w:rsidR="004A72E7" w:rsidRPr="001E2F6E" w:rsidRDefault="004A72E7" w:rsidP="000D60B7">
      <w:pPr>
        <w:pStyle w:val="Prrafodelista"/>
        <w:spacing w:after="0" w:line="360" w:lineRule="auto"/>
        <w:ind w:left="426" w:hanging="426"/>
        <w:rPr>
          <w:rFonts w:ascii="Arial" w:hAnsi="Arial" w:cs="Arial"/>
          <w:snapToGrid w:val="0"/>
          <w:lang w:val="sv-SE" w:eastAsia="es-ES"/>
        </w:rPr>
      </w:pPr>
      <w:r w:rsidRPr="001E2F6E">
        <w:rPr>
          <w:rFonts w:ascii="Arial" w:hAnsi="Arial" w:cs="Arial"/>
          <w:snapToGrid w:val="0"/>
          <w:lang w:val="sv-SE" w:eastAsia="es-ES"/>
        </w:rPr>
        <w:tab/>
      </w:r>
      <w:r w:rsidRPr="001E2F6E">
        <w:rPr>
          <w:rFonts w:ascii="Arial" w:hAnsi="Arial" w:cs="Arial"/>
          <w:snapToGrid w:val="0"/>
          <w:lang w:val="eu-ES" w:eastAsia="es-ES"/>
        </w:rPr>
        <w:t>Eskuarki, prozesu horiek on egin diote zerbitzu-sektorearen produktibitateari, eta esate baterako, sektore horretan enplegatutako pertsona bakoitzeko BEGd-ak gora egin du: 2010ean, 41.648 eurokoa zen, eta 2012an, ostera, 43.620 eurokoa.</w:t>
      </w:r>
    </w:p>
    <w:p w:rsidR="004A72E7" w:rsidRPr="001E2F6E" w:rsidRDefault="004A72E7" w:rsidP="00022DE2">
      <w:pPr>
        <w:rPr>
          <w:lang w:val="sv-SE" w:eastAsia="es-ES"/>
        </w:rPr>
      </w:pPr>
    </w:p>
    <w:p w:rsidR="004A72E7" w:rsidRPr="001E2F6E" w:rsidRDefault="004A72E7">
      <w:pPr>
        <w:spacing w:after="200" w:line="276" w:lineRule="auto"/>
        <w:jc w:val="left"/>
        <w:rPr>
          <w:b/>
          <w:bCs/>
          <w:snapToGrid w:val="0"/>
          <w:sz w:val="28"/>
          <w:szCs w:val="28"/>
          <w:lang w:val="sv-SE" w:eastAsia="es-ES"/>
        </w:rPr>
      </w:pPr>
      <w:r w:rsidRPr="001E2F6E">
        <w:rPr>
          <w:lang w:val="sv-SE"/>
        </w:rPr>
        <w:br w:type="page"/>
      </w:r>
    </w:p>
    <w:p w:rsidR="000B6AD4" w:rsidRPr="001E2F6E" w:rsidRDefault="000B6AD4">
      <w:pPr>
        <w:spacing w:line="240" w:lineRule="auto"/>
        <w:jc w:val="left"/>
        <w:rPr>
          <w:rFonts w:eastAsia="Times New Roman"/>
          <w:b/>
          <w:bCs/>
          <w:sz w:val="28"/>
          <w:szCs w:val="28"/>
          <w:lang w:val="eu-ES" w:eastAsia="es-ES"/>
        </w:rPr>
      </w:pPr>
      <w:r w:rsidRPr="001E2F6E">
        <w:rPr>
          <w:lang w:val="eu-ES"/>
        </w:rPr>
        <w:lastRenderedPageBreak/>
        <w:br w:type="page"/>
      </w:r>
    </w:p>
    <w:p w:rsidR="004A72E7" w:rsidRPr="001E2F6E" w:rsidRDefault="004A72E7" w:rsidP="00C0018A">
      <w:pPr>
        <w:pStyle w:val="Ttulo1"/>
        <w:ind w:left="426" w:hanging="426"/>
        <w:rPr>
          <w:lang w:val="sv-SE"/>
        </w:rPr>
      </w:pPr>
      <w:bookmarkStart w:id="14" w:name="_Toc392585663"/>
      <w:r w:rsidRPr="001E2F6E">
        <w:rPr>
          <w:lang w:val="eu-ES"/>
        </w:rPr>
        <w:lastRenderedPageBreak/>
        <w:t>III.</w:t>
      </w:r>
      <w:r w:rsidRPr="001E2F6E">
        <w:rPr>
          <w:lang w:val="sv-SE"/>
        </w:rPr>
        <w:tab/>
      </w:r>
      <w:r w:rsidRPr="001E2F6E">
        <w:rPr>
          <w:lang w:val="eu-ES"/>
        </w:rPr>
        <w:t>GIZARTE EKONOMIAK KRISIARI AURRE EGITEKO ESTRATEGIAK ETA GIZARTE EKONOMIA KLASIKOAREN KUDEAKETA-TRESNAK</w:t>
      </w:r>
      <w:bookmarkEnd w:id="14"/>
    </w:p>
    <w:p w:rsidR="004A72E7" w:rsidRPr="001E2F6E" w:rsidRDefault="004A72E7" w:rsidP="00C0018A">
      <w:pPr>
        <w:ind w:left="426" w:hanging="426"/>
        <w:rPr>
          <w:lang w:val="sv-SE"/>
        </w:rPr>
      </w:pPr>
    </w:p>
    <w:p w:rsidR="004A72E7" w:rsidRPr="001E2F6E" w:rsidRDefault="004A72E7" w:rsidP="00C0018A">
      <w:pPr>
        <w:ind w:left="426" w:hanging="426"/>
        <w:rPr>
          <w:lang w:val="sv-SE"/>
        </w:rPr>
      </w:pPr>
    </w:p>
    <w:p w:rsidR="004A72E7" w:rsidRPr="001E2F6E" w:rsidRDefault="004A72E7" w:rsidP="001451B1">
      <w:pPr>
        <w:pStyle w:val="Prrafodelista"/>
        <w:numPr>
          <w:ilvl w:val="0"/>
          <w:numId w:val="2"/>
        </w:numPr>
        <w:spacing w:after="0" w:line="360" w:lineRule="auto"/>
        <w:ind w:left="426" w:hanging="426"/>
        <w:rPr>
          <w:rFonts w:ascii="Arial" w:hAnsi="Arial" w:cs="Arial"/>
          <w:b/>
          <w:bCs/>
          <w:lang w:val="sv-SE" w:eastAsia="es-ES"/>
        </w:rPr>
      </w:pPr>
      <w:r w:rsidRPr="001E2F6E">
        <w:rPr>
          <w:rFonts w:ascii="Arial" w:hAnsi="Arial" w:cs="Arial"/>
          <w:b/>
          <w:bCs/>
          <w:lang w:val="sv-SE" w:eastAsia="es-ES"/>
        </w:rPr>
        <w:tab/>
      </w:r>
      <w:r w:rsidRPr="001E2F6E">
        <w:rPr>
          <w:rFonts w:ascii="Arial" w:hAnsi="Arial" w:cs="Arial"/>
          <w:b/>
          <w:bCs/>
          <w:lang w:val="eu-ES" w:eastAsia="es-ES"/>
        </w:rPr>
        <w:t>Gizarte Ekonomiako enpresen erdiek soldatak edota pertsonala doitzeko prozesuak egin dituzte azken bi urteetan</w:t>
      </w:r>
    </w:p>
    <w:p w:rsidR="004A72E7" w:rsidRPr="001E2F6E" w:rsidRDefault="004A72E7" w:rsidP="00C0018A">
      <w:pPr>
        <w:ind w:left="426" w:hanging="426"/>
        <w:rPr>
          <w:lang w:val="sv-SE"/>
        </w:rPr>
      </w:pPr>
    </w:p>
    <w:p w:rsidR="004A72E7" w:rsidRPr="001E2F6E" w:rsidRDefault="004A72E7" w:rsidP="002E1C80">
      <w:pPr>
        <w:ind w:left="426" w:hanging="426"/>
        <w:rPr>
          <w:lang w:val="sv-SE"/>
        </w:rPr>
      </w:pPr>
      <w:r w:rsidRPr="001E2F6E">
        <w:rPr>
          <w:lang w:val="sv-SE"/>
        </w:rPr>
        <w:tab/>
      </w:r>
      <w:r w:rsidRPr="001E2F6E">
        <w:rPr>
          <w:lang w:val="eu-ES"/>
        </w:rPr>
        <w:t>2012an, enpresek krisiari aurre egiteko erabilitako estrategiak aztertzen ahalegindu da Gizarte Ekonomiaren Estatistika.</w:t>
      </w:r>
      <w:r w:rsidRPr="001E2F6E">
        <w:rPr>
          <w:lang w:val="sv-SE"/>
        </w:rPr>
        <w:t xml:space="preserve"> </w:t>
      </w:r>
      <w:r w:rsidRPr="001E2F6E">
        <w:rPr>
          <w:lang w:val="eu-ES"/>
        </w:rPr>
        <w:t xml:space="preserve">Egiazta daiteke testuinguru horretan, 2010etik 2012ra bitartean, Gizarte Ekonomiako enpresen </w:t>
      </w:r>
      <w:r w:rsidRPr="001E2F6E">
        <w:rPr>
          <w:spacing w:val="60"/>
          <w:lang w:val="eu-ES"/>
        </w:rPr>
        <w:t>%</w:t>
      </w:r>
      <w:r w:rsidRPr="001E2F6E">
        <w:rPr>
          <w:lang w:val="eu-ES"/>
        </w:rPr>
        <w:t xml:space="preserve">50ek pertsonala eta ordutegia edo soldatak doitzeko neurriren bat hartu duela (hurrenez hurren, </w:t>
      </w:r>
      <w:r w:rsidRPr="001E2F6E">
        <w:rPr>
          <w:spacing w:val="60"/>
          <w:lang w:val="eu-ES"/>
        </w:rPr>
        <w:t>%</w:t>
      </w:r>
      <w:r w:rsidRPr="001E2F6E">
        <w:rPr>
          <w:lang w:val="eu-ES"/>
        </w:rPr>
        <w:t xml:space="preserve">36,9 eta </w:t>
      </w:r>
      <w:r w:rsidRPr="001E2F6E">
        <w:rPr>
          <w:spacing w:val="60"/>
          <w:lang w:val="eu-ES"/>
        </w:rPr>
        <w:t>%</w:t>
      </w:r>
      <w:r w:rsidRPr="001E2F6E">
        <w:rPr>
          <w:lang w:val="eu-ES"/>
        </w:rPr>
        <w:t>35,3, enpresek bi doikuntza-estrategia horietako bakoitza erabiltzeari dagokionez).</w:t>
      </w:r>
    </w:p>
    <w:p w:rsidR="004A72E7" w:rsidRPr="001E2F6E" w:rsidRDefault="004A72E7" w:rsidP="00C0018A">
      <w:pPr>
        <w:ind w:left="426" w:hanging="426"/>
        <w:rPr>
          <w:lang w:val="sv-SE"/>
        </w:rPr>
      </w:pPr>
    </w:p>
    <w:p w:rsidR="004A72E7" w:rsidRPr="001E2F6E" w:rsidRDefault="004A72E7" w:rsidP="00354E9D">
      <w:pPr>
        <w:ind w:left="227" w:hanging="227"/>
        <w:jc w:val="center"/>
        <w:rPr>
          <w:b/>
          <w:bCs/>
          <w:snapToGrid w:val="0"/>
          <w:color w:val="1F497D" w:themeColor="text2"/>
          <w:sz w:val="18"/>
          <w:szCs w:val="18"/>
          <w:lang w:val="sv-SE"/>
        </w:rPr>
      </w:pPr>
      <w:r w:rsidRPr="001E2F6E">
        <w:rPr>
          <w:b/>
          <w:bCs/>
          <w:snapToGrid w:val="0"/>
          <w:color w:val="1F497D" w:themeColor="text2"/>
          <w:sz w:val="18"/>
          <w:szCs w:val="18"/>
          <w:lang w:val="eu-ES"/>
        </w:rPr>
        <w:t>KRISIAREN AURREAN NEURRIAK HARTU DITUZTEN ENPRESEN EHUNEKOA, 2012 (%)</w:t>
      </w:r>
    </w:p>
    <w:p w:rsidR="004A72E7" w:rsidRPr="001E2F6E" w:rsidRDefault="001451B1" w:rsidP="00354E9D">
      <w:pPr>
        <w:ind w:left="227" w:hanging="227"/>
        <w:rPr>
          <w:lang w:val="es-ES_tradnl"/>
        </w:rPr>
      </w:pPr>
      <w:r w:rsidRPr="001E2F6E">
        <w:rPr>
          <w:noProof/>
          <w:lang w:eastAsia="es-ES"/>
        </w:rPr>
        <w:drawing>
          <wp:inline distT="0" distB="0" distL="0" distR="0">
            <wp:extent cx="5692140" cy="2247900"/>
            <wp:effectExtent l="0" t="0" r="0" b="0"/>
            <wp:docPr id="21" name="Objeto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4A72E7" w:rsidRPr="001E2F6E" w:rsidRDefault="004A72E7" w:rsidP="00C0018A">
      <w:pPr>
        <w:ind w:left="426" w:hanging="426"/>
      </w:pPr>
    </w:p>
    <w:p w:rsidR="004A72E7" w:rsidRPr="001E2F6E" w:rsidRDefault="004A72E7" w:rsidP="00C0018A">
      <w:pPr>
        <w:ind w:left="426" w:hanging="426"/>
        <w:rPr>
          <w:lang w:val="es-ES_tradnl"/>
        </w:rPr>
      </w:pPr>
      <w:r w:rsidRPr="001E2F6E">
        <w:tab/>
      </w:r>
      <w:r w:rsidRPr="001E2F6E">
        <w:rPr>
          <w:lang w:val="eu-ES"/>
        </w:rPr>
        <w:t>Soldata-doikuntzak egin dituzten enpresetan, aipatzekoak dira hileko ordainsaria txikitu dutenak (</w:t>
      </w:r>
      <w:r w:rsidRPr="001E2F6E">
        <w:rPr>
          <w:spacing w:val="60"/>
          <w:lang w:val="eu-ES"/>
        </w:rPr>
        <w:t>%</w:t>
      </w:r>
      <w:r w:rsidRPr="001E2F6E">
        <w:rPr>
          <w:lang w:val="eu-ES"/>
        </w:rPr>
        <w:t>28,8) eta langileen aparteko ordainsariak txikitu edo kendu dituztenak (</w:t>
      </w:r>
      <w:r w:rsidRPr="001E2F6E">
        <w:rPr>
          <w:spacing w:val="60"/>
          <w:lang w:val="eu-ES"/>
        </w:rPr>
        <w:t>%</w:t>
      </w:r>
      <w:r w:rsidRPr="001E2F6E">
        <w:rPr>
          <w:lang w:val="eu-ES"/>
        </w:rPr>
        <w:t>19,5).</w:t>
      </w:r>
    </w:p>
    <w:p w:rsidR="004A72E7" w:rsidRPr="001E2F6E" w:rsidRDefault="004A72E7" w:rsidP="00C0018A">
      <w:pPr>
        <w:ind w:left="426" w:hanging="426"/>
        <w:rPr>
          <w:lang w:val="es-ES_tradnl"/>
        </w:rPr>
      </w:pPr>
    </w:p>
    <w:p w:rsidR="004A72E7" w:rsidRPr="001E2F6E" w:rsidRDefault="004A72E7" w:rsidP="00C0018A">
      <w:pPr>
        <w:ind w:left="426" w:hanging="426"/>
      </w:pPr>
      <w:r w:rsidRPr="001E2F6E">
        <w:rPr>
          <w:lang w:val="es-ES_tradnl"/>
        </w:rPr>
        <w:tab/>
      </w:r>
      <w:r w:rsidRPr="001E2F6E">
        <w:rPr>
          <w:lang w:val="eu-ES"/>
        </w:rPr>
        <w:t xml:space="preserve">Orobat, deigarriak dira enplegu-doikuntza paraleloak: enpresen </w:t>
      </w:r>
      <w:r w:rsidRPr="001E2F6E">
        <w:rPr>
          <w:spacing w:val="60"/>
          <w:lang w:val="eu-ES"/>
        </w:rPr>
        <w:t>%</w:t>
      </w:r>
      <w:r w:rsidRPr="001E2F6E">
        <w:rPr>
          <w:lang w:val="eu-ES"/>
        </w:rPr>
        <w:t>23k enplegu-murrizketa egin du (lanpostuen amortizazioa).</w:t>
      </w:r>
      <w:r w:rsidRPr="001E2F6E">
        <w:rPr>
          <w:lang w:val="es-ES_tradnl"/>
        </w:rPr>
        <w:t xml:space="preserve"> </w:t>
      </w:r>
      <w:r w:rsidRPr="001E2F6E">
        <w:rPr>
          <w:lang w:val="eu-ES"/>
        </w:rPr>
        <w:t xml:space="preserve">Enpresen </w:t>
      </w:r>
      <w:r w:rsidRPr="001E2F6E">
        <w:rPr>
          <w:spacing w:val="60"/>
          <w:lang w:val="eu-ES"/>
        </w:rPr>
        <w:t>%</w:t>
      </w:r>
      <w:r w:rsidRPr="001E2F6E">
        <w:rPr>
          <w:lang w:val="eu-ES"/>
        </w:rPr>
        <w:t xml:space="preserve">9,6k lanaldia txikitzea erabaki du, eta </w:t>
      </w:r>
      <w:r w:rsidRPr="001E2F6E">
        <w:rPr>
          <w:spacing w:val="60"/>
          <w:lang w:val="eu-ES"/>
        </w:rPr>
        <w:t>%</w:t>
      </w:r>
      <w:r w:rsidRPr="001E2F6E">
        <w:rPr>
          <w:lang w:val="eu-ES"/>
        </w:rPr>
        <w:t>8,6k langileek aurretiko erretiroa hartzeko neurriak hartu ditu.</w:t>
      </w:r>
      <w:r w:rsidRPr="001E2F6E">
        <w:rPr>
          <w:lang w:val="es-ES_tradnl"/>
        </w:rPr>
        <w:t xml:space="preserve"> </w:t>
      </w:r>
      <w:r w:rsidRPr="001E2F6E">
        <w:rPr>
          <w:lang w:val="eu-ES"/>
        </w:rPr>
        <w:t xml:space="preserve">Beste ildo batean, enpresen </w:t>
      </w:r>
      <w:r w:rsidRPr="001E2F6E">
        <w:rPr>
          <w:spacing w:val="60"/>
          <w:lang w:val="eu-ES"/>
        </w:rPr>
        <w:t>%</w:t>
      </w:r>
      <w:r w:rsidRPr="001E2F6E">
        <w:rPr>
          <w:lang w:val="eu-ES"/>
        </w:rPr>
        <w:t xml:space="preserve">7,2k lanaldia luzatzea erabaki du, eta </w:t>
      </w:r>
      <w:r w:rsidRPr="001E2F6E">
        <w:rPr>
          <w:spacing w:val="60"/>
          <w:lang w:val="eu-ES"/>
        </w:rPr>
        <w:t>%</w:t>
      </w:r>
      <w:r w:rsidRPr="001E2F6E">
        <w:rPr>
          <w:lang w:val="eu-ES"/>
        </w:rPr>
        <w:t>6,5ek egutegi mugikorra erabiltzea.</w:t>
      </w:r>
    </w:p>
    <w:p w:rsidR="004A72E7" w:rsidRPr="001E2F6E" w:rsidRDefault="004A72E7" w:rsidP="00C0018A">
      <w:pPr>
        <w:ind w:left="426" w:hanging="426"/>
      </w:pPr>
    </w:p>
    <w:p w:rsidR="004A72E7" w:rsidRPr="001E2F6E" w:rsidRDefault="004A72E7">
      <w:pPr>
        <w:spacing w:after="200" w:line="276" w:lineRule="auto"/>
        <w:jc w:val="left"/>
        <w:rPr>
          <w:b/>
          <w:bCs/>
          <w:snapToGrid w:val="0"/>
          <w:color w:val="1F497D"/>
          <w:sz w:val="18"/>
          <w:szCs w:val="18"/>
          <w:lang w:val="es-ES_tradnl"/>
        </w:rPr>
      </w:pPr>
      <w:r w:rsidRPr="001E2F6E">
        <w:rPr>
          <w:b/>
          <w:bCs/>
          <w:snapToGrid w:val="0"/>
          <w:color w:val="1F497D"/>
          <w:sz w:val="18"/>
          <w:szCs w:val="18"/>
          <w:lang w:val="es-ES_tradnl"/>
        </w:rPr>
        <w:br w:type="page"/>
      </w:r>
    </w:p>
    <w:p w:rsidR="004A72E7" w:rsidRPr="001E2F6E" w:rsidRDefault="004A72E7" w:rsidP="00C0018A">
      <w:pPr>
        <w:spacing w:line="240" w:lineRule="auto"/>
        <w:ind w:left="227" w:hanging="227"/>
        <w:jc w:val="center"/>
        <w:rPr>
          <w:b/>
          <w:bCs/>
          <w:snapToGrid w:val="0"/>
          <w:color w:val="1F497D" w:themeColor="text2"/>
          <w:sz w:val="18"/>
          <w:szCs w:val="18"/>
          <w:lang w:val="es-ES_tradnl"/>
        </w:rPr>
      </w:pPr>
      <w:r w:rsidRPr="001E2F6E">
        <w:rPr>
          <w:b/>
          <w:bCs/>
          <w:snapToGrid w:val="0"/>
          <w:color w:val="1F497D" w:themeColor="text2"/>
          <w:sz w:val="18"/>
          <w:szCs w:val="18"/>
          <w:lang w:val="eu-ES"/>
        </w:rPr>
        <w:lastRenderedPageBreak/>
        <w:t>SOLDATA- EDOTA PERTSONAL-DOIKUNTZAK EGIN DITUZTEN ENPRESEN EHUNEKOA, 2012 (%)</w:t>
      </w:r>
    </w:p>
    <w:p w:rsidR="004A72E7" w:rsidRPr="001E2F6E" w:rsidRDefault="004A72E7" w:rsidP="00115016">
      <w:pPr>
        <w:rPr>
          <w:snapToGrid w:val="0"/>
          <w:lang w:val="es-ES_tradnl"/>
        </w:rPr>
      </w:pPr>
    </w:p>
    <w:p w:rsidR="004A72E7" w:rsidRPr="001E2F6E" w:rsidRDefault="004A72E7" w:rsidP="00354E9D">
      <w:pPr>
        <w:ind w:left="227" w:hanging="227"/>
        <w:jc w:val="left"/>
        <w:rPr>
          <w:b/>
          <w:bCs/>
          <w:snapToGrid w:val="0"/>
          <w:color w:val="1F497D"/>
          <w:sz w:val="18"/>
          <w:szCs w:val="18"/>
          <w:lang w:val="es-ES_tradnl"/>
        </w:rPr>
      </w:pPr>
      <w:r w:rsidRPr="001E2F6E">
        <w:rPr>
          <w:b/>
          <w:bCs/>
          <w:snapToGrid w:val="0"/>
          <w:color w:val="1F497D"/>
          <w:sz w:val="18"/>
          <w:szCs w:val="18"/>
          <w:lang w:val="es-ES_tradnl"/>
        </w:rPr>
        <w:tab/>
      </w:r>
      <w:r w:rsidRPr="001E2F6E">
        <w:rPr>
          <w:b/>
          <w:bCs/>
          <w:snapToGrid w:val="0"/>
          <w:color w:val="1F497D"/>
          <w:sz w:val="18"/>
          <w:szCs w:val="18"/>
          <w:lang w:val="es-ES_tradnl"/>
        </w:rPr>
        <w:tab/>
      </w:r>
      <w:r w:rsidRPr="001E2F6E">
        <w:rPr>
          <w:b/>
          <w:bCs/>
          <w:snapToGrid w:val="0"/>
          <w:sz w:val="18"/>
          <w:szCs w:val="18"/>
          <w:lang w:val="eu-ES"/>
        </w:rPr>
        <w:t>SOLDATA-DOIKUNTZA</w:t>
      </w:r>
      <w:r w:rsidRPr="001E2F6E">
        <w:rPr>
          <w:b/>
          <w:bCs/>
          <w:snapToGrid w:val="0"/>
          <w:color w:val="1F497D"/>
          <w:sz w:val="18"/>
          <w:szCs w:val="18"/>
          <w:lang w:val="es-ES_tradnl"/>
        </w:rPr>
        <w:t xml:space="preserve"> </w:t>
      </w:r>
      <w:r w:rsidRPr="001E2F6E">
        <w:rPr>
          <w:b/>
          <w:bCs/>
          <w:snapToGrid w:val="0"/>
          <w:color w:val="1F497D"/>
          <w:sz w:val="18"/>
          <w:szCs w:val="18"/>
          <w:lang w:val="es-ES_tradnl"/>
        </w:rPr>
        <w:tab/>
      </w:r>
      <w:r w:rsidRPr="001E2F6E">
        <w:rPr>
          <w:b/>
          <w:bCs/>
          <w:snapToGrid w:val="0"/>
          <w:color w:val="1F497D"/>
          <w:sz w:val="18"/>
          <w:szCs w:val="18"/>
          <w:lang w:val="es-ES_tradnl"/>
        </w:rPr>
        <w:tab/>
      </w:r>
      <w:r w:rsidRPr="001E2F6E">
        <w:rPr>
          <w:b/>
          <w:bCs/>
          <w:snapToGrid w:val="0"/>
          <w:color w:val="1F497D"/>
          <w:sz w:val="18"/>
          <w:szCs w:val="18"/>
          <w:lang w:val="es-ES_tradnl"/>
        </w:rPr>
        <w:tab/>
      </w:r>
      <w:r w:rsidRPr="001E2F6E">
        <w:rPr>
          <w:b/>
          <w:bCs/>
          <w:snapToGrid w:val="0"/>
          <w:color w:val="1F497D"/>
          <w:sz w:val="18"/>
          <w:szCs w:val="18"/>
          <w:lang w:val="es-ES_tradnl"/>
        </w:rPr>
        <w:tab/>
      </w:r>
      <w:r w:rsidRPr="001E2F6E">
        <w:rPr>
          <w:b/>
          <w:bCs/>
          <w:snapToGrid w:val="0"/>
          <w:color w:val="1F497D"/>
          <w:sz w:val="18"/>
          <w:szCs w:val="18"/>
          <w:lang w:val="es-ES_tradnl"/>
        </w:rPr>
        <w:tab/>
      </w:r>
      <w:r w:rsidRPr="001E2F6E">
        <w:rPr>
          <w:b/>
          <w:bCs/>
          <w:snapToGrid w:val="0"/>
          <w:sz w:val="18"/>
          <w:szCs w:val="18"/>
          <w:lang w:val="eu-ES"/>
        </w:rPr>
        <w:t>PERTSONAL-DOIKUNTZA</w:t>
      </w:r>
    </w:p>
    <w:p w:rsidR="004A72E7" w:rsidRPr="001E2F6E" w:rsidRDefault="00C11E29" w:rsidP="00354E9D">
      <w:pPr>
        <w:ind w:left="227" w:hanging="227"/>
        <w:jc w:val="left"/>
        <w:rPr>
          <w:b/>
          <w:bCs/>
          <w:color w:val="000080"/>
        </w:rPr>
      </w:pPr>
      <w:r w:rsidRPr="001E2F6E">
        <w:rPr>
          <w:b/>
          <w:bCs/>
          <w:noProof/>
          <w:color w:val="000080"/>
          <w:lang w:eastAsia="es-ES"/>
        </w:rPr>
        <w:drawing>
          <wp:anchor distT="341376" distB="93726" distL="352044" distR="142494" simplePos="0" relativeHeight="251650048" behindDoc="1" locked="0" layoutInCell="1" allowOverlap="1">
            <wp:simplePos x="0" y="0"/>
            <wp:positionH relativeFrom="column">
              <wp:posOffset>-726440</wp:posOffset>
            </wp:positionH>
            <wp:positionV relativeFrom="paragraph">
              <wp:posOffset>140970</wp:posOffset>
            </wp:positionV>
            <wp:extent cx="3686175" cy="1819275"/>
            <wp:effectExtent l="0" t="0" r="0" b="0"/>
            <wp:wrapNone/>
            <wp:docPr id="43" name="Objeto 4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anchor>
        </w:drawing>
      </w:r>
      <w:r w:rsidRPr="001E2F6E">
        <w:rPr>
          <w:b/>
          <w:bCs/>
          <w:noProof/>
          <w:color w:val="000080"/>
          <w:lang w:eastAsia="es-ES"/>
        </w:rPr>
        <w:drawing>
          <wp:anchor distT="237744" distB="105918" distL="321564" distR="257175" simplePos="0" relativeHeight="251661312" behindDoc="0" locked="0" layoutInCell="1" allowOverlap="1">
            <wp:simplePos x="0" y="0"/>
            <wp:positionH relativeFrom="column">
              <wp:posOffset>2845435</wp:posOffset>
            </wp:positionH>
            <wp:positionV relativeFrom="paragraph">
              <wp:posOffset>93345</wp:posOffset>
            </wp:positionV>
            <wp:extent cx="3533775" cy="1933575"/>
            <wp:effectExtent l="0" t="0" r="0" b="0"/>
            <wp:wrapNone/>
            <wp:docPr id="44" name="Objeto 4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anchor>
        </w:drawing>
      </w:r>
    </w:p>
    <w:p w:rsidR="004A72E7" w:rsidRPr="001E2F6E" w:rsidRDefault="004A72E7" w:rsidP="00354E9D">
      <w:pPr>
        <w:ind w:left="227" w:hanging="227"/>
      </w:pPr>
    </w:p>
    <w:p w:rsidR="004A72E7" w:rsidRPr="001E2F6E" w:rsidRDefault="004A72E7" w:rsidP="00354E9D">
      <w:pPr>
        <w:ind w:left="227" w:hanging="227"/>
      </w:pPr>
    </w:p>
    <w:p w:rsidR="004A72E7" w:rsidRPr="001E2F6E" w:rsidRDefault="004A72E7" w:rsidP="00354E9D">
      <w:pPr>
        <w:ind w:left="227" w:hanging="227"/>
        <w:jc w:val="center"/>
        <w:rPr>
          <w:b/>
          <w:bCs/>
          <w:color w:val="1F497D"/>
          <w:sz w:val="18"/>
          <w:szCs w:val="18"/>
        </w:rPr>
      </w:pPr>
    </w:p>
    <w:p w:rsidR="004A72E7" w:rsidRPr="001E2F6E" w:rsidRDefault="004A72E7" w:rsidP="00354E9D">
      <w:pPr>
        <w:ind w:left="227" w:hanging="227"/>
        <w:jc w:val="center"/>
        <w:rPr>
          <w:b/>
          <w:bCs/>
          <w:color w:val="1F497D"/>
          <w:sz w:val="18"/>
          <w:szCs w:val="18"/>
        </w:rPr>
      </w:pPr>
    </w:p>
    <w:p w:rsidR="004A72E7" w:rsidRPr="001E2F6E" w:rsidRDefault="004A72E7" w:rsidP="00354E9D">
      <w:pPr>
        <w:ind w:left="227" w:hanging="227"/>
        <w:jc w:val="center"/>
        <w:rPr>
          <w:b/>
          <w:bCs/>
          <w:color w:val="1F497D"/>
          <w:sz w:val="18"/>
          <w:szCs w:val="18"/>
        </w:rPr>
      </w:pPr>
    </w:p>
    <w:p w:rsidR="004A72E7" w:rsidRPr="001E2F6E" w:rsidRDefault="004A72E7" w:rsidP="00354E9D">
      <w:pPr>
        <w:ind w:left="227" w:hanging="227"/>
        <w:jc w:val="center"/>
        <w:rPr>
          <w:b/>
          <w:bCs/>
          <w:color w:val="1F497D"/>
          <w:sz w:val="18"/>
          <w:szCs w:val="18"/>
        </w:rPr>
      </w:pPr>
    </w:p>
    <w:p w:rsidR="004A72E7" w:rsidRPr="001E2F6E" w:rsidRDefault="004A72E7" w:rsidP="00EC1B8F">
      <w:pPr>
        <w:tabs>
          <w:tab w:val="left" w:pos="495"/>
        </w:tabs>
        <w:ind w:left="227" w:hanging="227"/>
        <w:rPr>
          <w:b/>
          <w:bCs/>
          <w:color w:val="1F497D"/>
          <w:sz w:val="18"/>
          <w:szCs w:val="18"/>
        </w:rPr>
      </w:pPr>
      <w:r w:rsidRPr="001E2F6E">
        <w:rPr>
          <w:b/>
          <w:bCs/>
          <w:color w:val="1F497D"/>
          <w:sz w:val="18"/>
          <w:szCs w:val="18"/>
        </w:rPr>
        <w:tab/>
      </w:r>
    </w:p>
    <w:p w:rsidR="004A72E7" w:rsidRPr="001E2F6E" w:rsidRDefault="004A72E7" w:rsidP="00354E9D">
      <w:pPr>
        <w:ind w:left="227" w:hanging="227"/>
        <w:jc w:val="center"/>
        <w:rPr>
          <w:b/>
          <w:bCs/>
          <w:color w:val="1F497D"/>
          <w:sz w:val="18"/>
          <w:szCs w:val="18"/>
        </w:rPr>
      </w:pPr>
    </w:p>
    <w:p w:rsidR="004A72E7" w:rsidRPr="001E2F6E" w:rsidRDefault="004A72E7" w:rsidP="00354E9D">
      <w:pPr>
        <w:ind w:left="227" w:hanging="227"/>
        <w:jc w:val="center"/>
        <w:rPr>
          <w:b/>
          <w:bCs/>
          <w:color w:val="1F497D"/>
          <w:sz w:val="18"/>
          <w:szCs w:val="18"/>
        </w:rPr>
      </w:pPr>
    </w:p>
    <w:p w:rsidR="004A72E7" w:rsidRPr="001E2F6E" w:rsidRDefault="004A72E7" w:rsidP="00354E9D">
      <w:pPr>
        <w:ind w:left="227" w:hanging="227"/>
        <w:jc w:val="center"/>
        <w:rPr>
          <w:b/>
          <w:bCs/>
          <w:color w:val="1F497D"/>
          <w:sz w:val="18"/>
          <w:szCs w:val="18"/>
        </w:rPr>
      </w:pPr>
    </w:p>
    <w:p w:rsidR="004A72E7" w:rsidRPr="001E2F6E" w:rsidRDefault="004A72E7" w:rsidP="00C0018A">
      <w:pPr>
        <w:ind w:left="426" w:hanging="426"/>
      </w:pPr>
    </w:p>
    <w:p w:rsidR="004A72E7" w:rsidRPr="001E2F6E" w:rsidRDefault="004A72E7" w:rsidP="00C0018A">
      <w:pPr>
        <w:ind w:left="426" w:hanging="426"/>
      </w:pPr>
    </w:p>
    <w:p w:rsidR="004A72E7" w:rsidRPr="001E2F6E" w:rsidRDefault="004A72E7" w:rsidP="00C0018A">
      <w:pPr>
        <w:ind w:left="426" w:hanging="426"/>
      </w:pPr>
      <w:r w:rsidRPr="001E2F6E">
        <w:tab/>
      </w:r>
      <w:r w:rsidRPr="001E2F6E">
        <w:rPr>
          <w:lang w:val="eu-ES"/>
        </w:rPr>
        <w:t xml:space="preserve">Soldatak eta pertsonala doitzeko politiken aurrean, kooperatiben arteko lankidetza-akordioak egin dituzten enpresen proportzioa askoz txikiagoa da; hain zuzen, enpresa guztien </w:t>
      </w:r>
      <w:r w:rsidRPr="001E2F6E">
        <w:rPr>
          <w:spacing w:val="60"/>
          <w:lang w:val="eu-ES"/>
        </w:rPr>
        <w:t>%</w:t>
      </w:r>
      <w:r w:rsidRPr="001E2F6E">
        <w:rPr>
          <w:lang w:val="eu-ES"/>
        </w:rPr>
        <w:t>6,7.</w:t>
      </w:r>
      <w:r w:rsidRPr="001E2F6E">
        <w:rPr>
          <w:lang w:val="es-ES_tradnl"/>
        </w:rPr>
        <w:t xml:space="preserve"> </w:t>
      </w:r>
      <w:r w:rsidRPr="001E2F6E">
        <w:rPr>
          <w:lang w:val="eu-ES"/>
        </w:rPr>
        <w:t xml:space="preserve">Enpresen </w:t>
      </w:r>
      <w:r w:rsidRPr="001E2F6E">
        <w:rPr>
          <w:spacing w:val="60"/>
          <w:lang w:val="eu-ES"/>
        </w:rPr>
        <w:t>%</w:t>
      </w:r>
      <w:r w:rsidRPr="001E2F6E">
        <w:rPr>
          <w:lang w:val="eu-ES"/>
        </w:rPr>
        <w:t>4 inguruk hartu ditu langileak hartzeko edo birkokatzeko kooperatiben arteko akordioak.</w:t>
      </w:r>
      <w:r w:rsidRPr="001E2F6E">
        <w:rPr>
          <w:lang w:val="es-ES_tradnl"/>
        </w:rPr>
        <w:t xml:space="preserve"> </w:t>
      </w:r>
      <w:r w:rsidRPr="001E2F6E">
        <w:rPr>
          <w:lang w:val="eu-ES"/>
        </w:rPr>
        <w:t xml:space="preserve">Bestalde, Gizarte Ekonomiako enpresen </w:t>
      </w:r>
      <w:r w:rsidRPr="001E2F6E">
        <w:rPr>
          <w:spacing w:val="60"/>
          <w:lang w:val="eu-ES"/>
        </w:rPr>
        <w:t>%</w:t>
      </w:r>
      <w:r w:rsidRPr="001E2F6E">
        <w:rPr>
          <w:lang w:val="eu-ES"/>
        </w:rPr>
        <w:t>3,4k soilik kapitalizatu ditu bazkide kolektiboen ekarpenen interesak.</w:t>
      </w:r>
    </w:p>
    <w:p w:rsidR="004A72E7" w:rsidRPr="001E2F6E" w:rsidRDefault="004A72E7" w:rsidP="00C0018A">
      <w:pPr>
        <w:spacing w:line="240" w:lineRule="auto"/>
        <w:ind w:left="227"/>
      </w:pPr>
    </w:p>
    <w:p w:rsidR="004A72E7" w:rsidRPr="001E2F6E" w:rsidRDefault="004A72E7" w:rsidP="00C0018A">
      <w:pPr>
        <w:spacing w:line="240" w:lineRule="auto"/>
        <w:ind w:left="227"/>
      </w:pPr>
    </w:p>
    <w:p w:rsidR="004A72E7" w:rsidRPr="00A253D5" w:rsidRDefault="004A72E7" w:rsidP="00C0018A">
      <w:pPr>
        <w:spacing w:line="240" w:lineRule="auto"/>
        <w:ind w:left="227" w:hanging="227"/>
        <w:jc w:val="center"/>
        <w:rPr>
          <w:b/>
          <w:bCs/>
          <w:snapToGrid w:val="0"/>
          <w:color w:val="1F497D" w:themeColor="text2"/>
          <w:sz w:val="18"/>
          <w:szCs w:val="18"/>
          <w:lang w:val="de-DE"/>
        </w:rPr>
      </w:pPr>
      <w:r w:rsidRPr="001E2F6E">
        <w:rPr>
          <w:b/>
          <w:bCs/>
          <w:snapToGrid w:val="0"/>
          <w:color w:val="1F497D" w:themeColor="text2"/>
          <w:sz w:val="18"/>
          <w:szCs w:val="18"/>
          <w:lang w:val="eu-ES"/>
        </w:rPr>
        <w:t>KOOPERATIBEN ARTEKO LANKIDETZA-AKORDIO SOLIDARIOAK EGIN DITUZTEN ENPRESEN EHUNEKOA, 2012 (%)</w:t>
      </w:r>
    </w:p>
    <w:p w:rsidR="004A72E7" w:rsidRPr="00A253D5" w:rsidRDefault="001451B1" w:rsidP="00354E9D">
      <w:pPr>
        <w:ind w:left="227" w:hanging="227"/>
        <w:jc w:val="left"/>
        <w:rPr>
          <w:b/>
          <w:bCs/>
          <w:color w:val="000080"/>
          <w:lang w:val="de-DE"/>
        </w:rPr>
      </w:pPr>
      <w:r w:rsidRPr="001E2F6E">
        <w:rPr>
          <w:noProof/>
          <w:lang w:eastAsia="es-ES"/>
        </w:rPr>
        <w:drawing>
          <wp:anchor distT="335280" distB="96317" distL="187452" distR="215494" simplePos="0" relativeHeight="251649024" behindDoc="1" locked="0" layoutInCell="1" allowOverlap="1">
            <wp:simplePos x="0" y="0"/>
            <wp:positionH relativeFrom="column">
              <wp:posOffset>-453390</wp:posOffset>
            </wp:positionH>
            <wp:positionV relativeFrom="paragraph">
              <wp:posOffset>408305</wp:posOffset>
            </wp:positionV>
            <wp:extent cx="6339205" cy="2376805"/>
            <wp:effectExtent l="0" t="0" r="0" b="0"/>
            <wp:wrapNone/>
            <wp:docPr id="45" name="Objeto 4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anchor>
        </w:drawing>
      </w:r>
    </w:p>
    <w:p w:rsidR="004A72E7" w:rsidRPr="00A253D5" w:rsidRDefault="004A72E7" w:rsidP="00354E9D">
      <w:pPr>
        <w:ind w:left="227" w:hanging="227"/>
        <w:rPr>
          <w:b/>
          <w:bCs/>
          <w:color w:val="1F497D"/>
          <w:lang w:val="de-DE"/>
        </w:rPr>
      </w:pPr>
    </w:p>
    <w:p w:rsidR="004A72E7" w:rsidRPr="00A253D5" w:rsidRDefault="004A72E7" w:rsidP="00354E9D">
      <w:pPr>
        <w:ind w:left="227" w:hanging="227"/>
        <w:rPr>
          <w:b/>
          <w:bCs/>
          <w:color w:val="1F497D"/>
          <w:lang w:val="de-DE"/>
        </w:rPr>
      </w:pPr>
    </w:p>
    <w:p w:rsidR="004A72E7" w:rsidRPr="00A253D5" w:rsidRDefault="004A72E7" w:rsidP="00354E9D">
      <w:pPr>
        <w:ind w:left="227" w:hanging="227"/>
        <w:rPr>
          <w:b/>
          <w:bCs/>
          <w:color w:val="1F497D"/>
          <w:lang w:val="de-DE"/>
        </w:rPr>
      </w:pPr>
    </w:p>
    <w:p w:rsidR="004A72E7" w:rsidRPr="00A253D5" w:rsidRDefault="004A72E7" w:rsidP="00354E9D">
      <w:pPr>
        <w:ind w:left="227" w:hanging="227"/>
        <w:rPr>
          <w:b/>
          <w:bCs/>
          <w:color w:val="1F497D"/>
          <w:lang w:val="de-DE"/>
        </w:rPr>
      </w:pPr>
    </w:p>
    <w:p w:rsidR="004A72E7" w:rsidRPr="00A253D5" w:rsidRDefault="004A72E7" w:rsidP="00354E9D">
      <w:pPr>
        <w:ind w:left="227" w:hanging="227"/>
        <w:rPr>
          <w:b/>
          <w:bCs/>
          <w:color w:val="1F497D"/>
          <w:lang w:val="de-DE"/>
        </w:rPr>
      </w:pPr>
    </w:p>
    <w:p w:rsidR="004A72E7" w:rsidRPr="00A253D5" w:rsidRDefault="004A72E7" w:rsidP="00354E9D">
      <w:pPr>
        <w:ind w:left="227" w:hanging="227"/>
        <w:rPr>
          <w:b/>
          <w:bCs/>
          <w:color w:val="1F497D"/>
          <w:lang w:val="de-DE"/>
        </w:rPr>
      </w:pPr>
    </w:p>
    <w:p w:rsidR="004A72E7" w:rsidRPr="00A253D5" w:rsidRDefault="004A72E7" w:rsidP="00354E9D">
      <w:pPr>
        <w:ind w:left="227" w:hanging="227"/>
        <w:rPr>
          <w:b/>
          <w:bCs/>
          <w:color w:val="1F497D"/>
          <w:lang w:val="de-DE"/>
        </w:rPr>
      </w:pPr>
    </w:p>
    <w:p w:rsidR="004A72E7" w:rsidRPr="00A253D5" w:rsidRDefault="004A72E7" w:rsidP="00354E9D">
      <w:pPr>
        <w:ind w:left="227" w:hanging="227"/>
        <w:rPr>
          <w:b/>
          <w:bCs/>
          <w:color w:val="1F497D"/>
          <w:lang w:val="de-DE"/>
        </w:rPr>
      </w:pPr>
    </w:p>
    <w:p w:rsidR="004A72E7" w:rsidRPr="00A253D5" w:rsidRDefault="004A72E7" w:rsidP="00354E9D">
      <w:pPr>
        <w:ind w:left="227" w:hanging="227"/>
        <w:rPr>
          <w:b/>
          <w:bCs/>
          <w:color w:val="1F497D"/>
          <w:lang w:val="de-DE"/>
        </w:rPr>
      </w:pPr>
    </w:p>
    <w:p w:rsidR="004A72E7" w:rsidRPr="00A253D5" w:rsidRDefault="004A72E7" w:rsidP="00354E9D">
      <w:pPr>
        <w:ind w:left="227" w:hanging="227"/>
        <w:rPr>
          <w:b/>
          <w:bCs/>
          <w:color w:val="1F497D"/>
          <w:lang w:val="de-DE"/>
        </w:rPr>
      </w:pPr>
    </w:p>
    <w:p w:rsidR="004A72E7" w:rsidRPr="00A253D5" w:rsidRDefault="004A72E7" w:rsidP="00354E9D">
      <w:pPr>
        <w:ind w:left="227" w:hanging="227"/>
        <w:rPr>
          <w:b/>
          <w:bCs/>
          <w:color w:val="1F497D"/>
          <w:lang w:val="de-DE"/>
        </w:rPr>
      </w:pPr>
    </w:p>
    <w:p w:rsidR="004A72E7" w:rsidRPr="00A253D5" w:rsidRDefault="004A72E7" w:rsidP="003911B1">
      <w:pPr>
        <w:rPr>
          <w:lang w:val="de-DE"/>
        </w:rPr>
      </w:pPr>
    </w:p>
    <w:p w:rsidR="004A72E7" w:rsidRPr="00A253D5" w:rsidRDefault="004A72E7" w:rsidP="003911B1">
      <w:pPr>
        <w:rPr>
          <w:lang w:val="de-DE"/>
        </w:rPr>
      </w:pPr>
    </w:p>
    <w:p w:rsidR="004A72E7" w:rsidRPr="00A253D5" w:rsidRDefault="004A72E7">
      <w:pPr>
        <w:spacing w:after="200" w:line="276" w:lineRule="auto"/>
        <w:jc w:val="left"/>
        <w:rPr>
          <w:lang w:val="de-DE"/>
        </w:rPr>
      </w:pPr>
      <w:r w:rsidRPr="00A253D5">
        <w:rPr>
          <w:lang w:val="de-DE"/>
        </w:rPr>
        <w:br w:type="page"/>
      </w:r>
    </w:p>
    <w:p w:rsidR="004A72E7" w:rsidRPr="00A253D5" w:rsidRDefault="004A72E7" w:rsidP="001451B1">
      <w:pPr>
        <w:pStyle w:val="Prrafodelista"/>
        <w:numPr>
          <w:ilvl w:val="0"/>
          <w:numId w:val="2"/>
        </w:numPr>
        <w:spacing w:after="0" w:line="360" w:lineRule="auto"/>
        <w:ind w:left="426" w:hanging="426"/>
        <w:rPr>
          <w:rFonts w:ascii="Arial" w:hAnsi="Arial" w:cs="Arial"/>
          <w:b/>
          <w:bCs/>
          <w:lang w:val="de-DE"/>
        </w:rPr>
      </w:pPr>
      <w:r w:rsidRPr="00A253D5">
        <w:rPr>
          <w:rFonts w:ascii="Arial" w:hAnsi="Arial" w:cs="Arial"/>
          <w:b/>
          <w:bCs/>
          <w:lang w:val="de-DE"/>
        </w:rPr>
        <w:lastRenderedPageBreak/>
        <w:tab/>
      </w:r>
      <w:r w:rsidRPr="001E2F6E">
        <w:rPr>
          <w:rFonts w:ascii="Arial" w:hAnsi="Arial" w:cs="Arial"/>
          <w:b/>
          <w:bCs/>
          <w:lang w:val="eu-ES"/>
        </w:rPr>
        <w:t>Oro har, Gizarte Ekonomiako enpresek aurrera egiten dute, enpresen kudeaketa eta antolaketa profesionalizatzeari buruzko adierazleei dagokienez</w:t>
      </w:r>
    </w:p>
    <w:p w:rsidR="004A72E7" w:rsidRPr="00A253D5" w:rsidRDefault="004A72E7" w:rsidP="00C0018A">
      <w:pPr>
        <w:ind w:left="426" w:hanging="426"/>
        <w:rPr>
          <w:lang w:val="de-DE"/>
        </w:rPr>
      </w:pPr>
    </w:p>
    <w:p w:rsidR="004A72E7" w:rsidRPr="001E2F6E" w:rsidRDefault="004A72E7" w:rsidP="00C0018A">
      <w:pPr>
        <w:ind w:left="426" w:hanging="426"/>
        <w:rPr>
          <w:lang w:val="eu-ES"/>
        </w:rPr>
      </w:pPr>
      <w:r w:rsidRPr="00A253D5">
        <w:rPr>
          <w:lang w:val="de-DE"/>
        </w:rPr>
        <w:tab/>
      </w:r>
      <w:r w:rsidRPr="001E2F6E">
        <w:rPr>
          <w:lang w:val="eu-ES"/>
        </w:rPr>
        <w:t>Gizarte Ekonomiako enpresek kudeaketa-tresnak (kudeaketa-plana, prestakuntza-plana eta plan estrategikoa) erabiltzeari buruzko adierazle orokorrek nolabaiteko egonkortasuna adierazi zuten 2010etik 2012ra bitartean. Dena den, adierazleak tamainaren arabera aztertuz gero, ikus daiteke tresna horien erabilera-maila hobetzeko joera zegoela.</w:t>
      </w:r>
    </w:p>
    <w:p w:rsidR="004A72E7" w:rsidRPr="001E2F6E" w:rsidRDefault="004A72E7" w:rsidP="00C0018A">
      <w:pPr>
        <w:ind w:left="426" w:hanging="426"/>
        <w:rPr>
          <w:lang w:val="eu-ES"/>
        </w:rPr>
      </w:pPr>
    </w:p>
    <w:p w:rsidR="004A72E7" w:rsidRPr="001E2F6E" w:rsidRDefault="004A72E7" w:rsidP="00C0018A">
      <w:pPr>
        <w:ind w:left="426" w:hanging="426"/>
        <w:rPr>
          <w:lang w:val="eu-ES"/>
        </w:rPr>
      </w:pPr>
      <w:r w:rsidRPr="001E2F6E">
        <w:rPr>
          <w:lang w:val="eu-ES"/>
        </w:rPr>
        <w:tab/>
        <w:t>Gainera, enpresa-kudeaketaren formalizazioa gero eta handiagoa da; izan ere, kudeaketa-tresna horiek etorkizunean erabiltzeko joera handiagoa zegoen 2010ean baino. Hortaz, aurrerapen geldoa da, baina oso nabarmena, nahiz eta datu orokorretan apur bat ezkutatuta geratu, enpresa txikiek 2012an garrantzi erlatibo handiagoa izan baitzuten.</w:t>
      </w:r>
    </w:p>
    <w:p w:rsidR="004A72E7" w:rsidRPr="001E2F6E" w:rsidRDefault="004A72E7" w:rsidP="00354E9D">
      <w:pPr>
        <w:ind w:left="227" w:hanging="227"/>
        <w:rPr>
          <w:color w:val="1F497D" w:themeColor="text2"/>
          <w:lang w:val="eu-ES"/>
        </w:rPr>
      </w:pPr>
    </w:p>
    <w:p w:rsidR="004A72E7" w:rsidRPr="001E2F6E" w:rsidRDefault="004A72E7" w:rsidP="00C0018A">
      <w:pPr>
        <w:spacing w:line="240" w:lineRule="auto"/>
        <w:ind w:left="227" w:hanging="227"/>
        <w:jc w:val="center"/>
        <w:rPr>
          <w:b/>
          <w:bCs/>
          <w:snapToGrid w:val="0"/>
          <w:color w:val="1F497D" w:themeColor="text2"/>
          <w:sz w:val="18"/>
          <w:szCs w:val="18"/>
          <w:lang w:val="eu-ES"/>
        </w:rPr>
      </w:pPr>
      <w:r w:rsidRPr="001E2F6E">
        <w:rPr>
          <w:b/>
          <w:bCs/>
          <w:snapToGrid w:val="0"/>
          <w:color w:val="1F497D" w:themeColor="text2"/>
          <w:sz w:val="18"/>
          <w:szCs w:val="18"/>
          <w:lang w:val="eu-ES"/>
        </w:rPr>
        <w:t>KUDEAKETA-TRESNEN ERABILERA ENPRESAREN TAMAINAREN ARABERA, 2012</w:t>
      </w:r>
    </w:p>
    <w:p w:rsidR="004A72E7" w:rsidRPr="001E2F6E" w:rsidRDefault="004A72E7" w:rsidP="00C0018A">
      <w:pPr>
        <w:spacing w:line="240" w:lineRule="auto"/>
        <w:ind w:left="227" w:hanging="227"/>
        <w:jc w:val="center"/>
        <w:rPr>
          <w:b/>
          <w:bCs/>
          <w:snapToGrid w:val="0"/>
          <w:color w:val="1F497D" w:themeColor="text2"/>
          <w:sz w:val="18"/>
          <w:szCs w:val="18"/>
          <w:lang w:val="eu-ES"/>
        </w:rPr>
      </w:pPr>
      <w:r w:rsidRPr="001E2F6E">
        <w:rPr>
          <w:b/>
          <w:bCs/>
          <w:snapToGrid w:val="0"/>
          <w:color w:val="1F497D" w:themeColor="text2"/>
          <w:sz w:val="18"/>
          <w:szCs w:val="18"/>
          <w:lang w:val="eu-ES"/>
        </w:rPr>
        <w:t xml:space="preserve"> (tresna horiek dituzten enpresak, %-tan)</w:t>
      </w:r>
    </w:p>
    <w:tbl>
      <w:tblPr>
        <w:tblW w:w="5761" w:type="pct"/>
        <w:jc w:val="center"/>
        <w:tblBorders>
          <w:bottom w:val="single" w:sz="4" w:space="0" w:color="BFBFBF"/>
        </w:tblBorders>
        <w:tblLayout w:type="fixed"/>
        <w:tblLook w:val="00A0" w:firstRow="1" w:lastRow="0" w:firstColumn="1" w:lastColumn="0" w:noHBand="0" w:noVBand="0"/>
      </w:tblPr>
      <w:tblGrid>
        <w:gridCol w:w="2636"/>
        <w:gridCol w:w="851"/>
        <w:gridCol w:w="1276"/>
        <w:gridCol w:w="867"/>
        <w:gridCol w:w="871"/>
        <w:gridCol w:w="867"/>
        <w:gridCol w:w="867"/>
        <w:gridCol w:w="867"/>
        <w:gridCol w:w="1272"/>
      </w:tblGrid>
      <w:tr w:rsidR="004A72E7" w:rsidRPr="001E2F6E">
        <w:trPr>
          <w:jc w:val="center"/>
        </w:trPr>
        <w:tc>
          <w:tcPr>
            <w:tcW w:w="1270" w:type="pct"/>
            <w:tcBorders>
              <w:top w:val="single" w:sz="4" w:space="0" w:color="BFBFBF"/>
              <w:bottom w:val="single" w:sz="4" w:space="0" w:color="BFBFBF"/>
              <w:right w:val="single" w:sz="4" w:space="0" w:color="BFBFBF"/>
            </w:tcBorders>
            <w:shd w:val="clear" w:color="auto" w:fill="DBE5F1"/>
          </w:tcPr>
          <w:p w:rsidR="004A72E7" w:rsidRPr="001E2F6E" w:rsidRDefault="004A72E7" w:rsidP="00C0018A">
            <w:pPr>
              <w:spacing w:line="240" w:lineRule="exact"/>
              <w:ind w:left="227" w:hanging="227"/>
              <w:jc w:val="center"/>
              <w:rPr>
                <w:b/>
                <w:bCs/>
                <w:sz w:val="16"/>
                <w:szCs w:val="16"/>
                <w:lang w:val="eu-ES"/>
              </w:rPr>
            </w:pPr>
            <w:r w:rsidRPr="001E2F6E">
              <w:rPr>
                <w:b/>
                <w:bCs/>
                <w:sz w:val="16"/>
                <w:szCs w:val="16"/>
                <w:lang w:val="eu-ES"/>
              </w:rPr>
              <w:t> </w:t>
            </w:r>
          </w:p>
        </w:tc>
        <w:tc>
          <w:tcPr>
            <w:tcW w:w="410" w:type="pct"/>
            <w:tcBorders>
              <w:top w:val="single" w:sz="4" w:space="0" w:color="BFBFBF"/>
              <w:left w:val="single" w:sz="4" w:space="0" w:color="BFBFBF"/>
              <w:right w:val="single" w:sz="4" w:space="0" w:color="BFBFBF"/>
            </w:tcBorders>
            <w:shd w:val="clear" w:color="auto" w:fill="DBE5F1"/>
            <w:vAlign w:val="bottom"/>
          </w:tcPr>
          <w:p w:rsidR="004A72E7" w:rsidRPr="001E2F6E" w:rsidRDefault="004A72E7" w:rsidP="00184EDB">
            <w:pPr>
              <w:spacing w:line="240" w:lineRule="exact"/>
              <w:jc w:val="center"/>
              <w:rPr>
                <w:b/>
                <w:bCs/>
                <w:sz w:val="16"/>
                <w:szCs w:val="16"/>
              </w:rPr>
            </w:pPr>
            <w:r w:rsidRPr="001E2F6E">
              <w:rPr>
                <w:b/>
                <w:bCs/>
                <w:sz w:val="16"/>
                <w:szCs w:val="16"/>
                <w:lang w:val="eu-ES"/>
              </w:rPr>
              <w:t>GUZTIRA</w:t>
            </w:r>
          </w:p>
          <w:p w:rsidR="004A72E7" w:rsidRPr="001E2F6E" w:rsidRDefault="004A72E7" w:rsidP="00184EDB">
            <w:pPr>
              <w:spacing w:line="240" w:lineRule="exact"/>
              <w:jc w:val="center"/>
              <w:rPr>
                <w:b/>
                <w:bCs/>
                <w:sz w:val="16"/>
                <w:szCs w:val="16"/>
              </w:rPr>
            </w:pPr>
            <w:r w:rsidRPr="001E2F6E">
              <w:rPr>
                <w:b/>
                <w:bCs/>
                <w:sz w:val="16"/>
                <w:szCs w:val="16"/>
                <w:lang w:val="es-ES_tradnl"/>
              </w:rPr>
              <w:t>%</w:t>
            </w:r>
          </w:p>
        </w:tc>
        <w:tc>
          <w:tcPr>
            <w:tcW w:w="615" w:type="pct"/>
            <w:tcBorders>
              <w:top w:val="single" w:sz="4" w:space="0" w:color="BFBFBF"/>
              <w:left w:val="single" w:sz="4" w:space="0" w:color="BFBFBF"/>
              <w:right w:val="single" w:sz="4" w:space="0" w:color="BFBFBF"/>
            </w:tcBorders>
            <w:shd w:val="clear" w:color="auto" w:fill="DBE5F1"/>
            <w:vAlign w:val="bottom"/>
          </w:tcPr>
          <w:p w:rsidR="004A72E7" w:rsidRPr="001E2F6E" w:rsidRDefault="004A72E7" w:rsidP="00184EDB">
            <w:pPr>
              <w:spacing w:line="240" w:lineRule="exact"/>
              <w:jc w:val="center"/>
              <w:rPr>
                <w:b/>
                <w:bCs/>
                <w:sz w:val="16"/>
                <w:szCs w:val="16"/>
              </w:rPr>
            </w:pPr>
            <w:r w:rsidRPr="001E2F6E">
              <w:rPr>
                <w:b/>
                <w:bCs/>
                <w:sz w:val="16"/>
                <w:szCs w:val="16"/>
                <w:lang w:val="eu-ES"/>
              </w:rPr>
              <w:t>6 langile baino gutxiago</w:t>
            </w:r>
          </w:p>
          <w:p w:rsidR="004A72E7" w:rsidRPr="001E2F6E" w:rsidRDefault="004A72E7" w:rsidP="00C0018A">
            <w:pPr>
              <w:spacing w:line="240" w:lineRule="exact"/>
              <w:ind w:left="227" w:hanging="227"/>
              <w:jc w:val="center"/>
              <w:rPr>
                <w:b/>
                <w:bCs/>
                <w:sz w:val="16"/>
                <w:szCs w:val="16"/>
              </w:rPr>
            </w:pPr>
            <w:r w:rsidRPr="001E2F6E">
              <w:rPr>
                <w:b/>
                <w:bCs/>
                <w:sz w:val="16"/>
                <w:szCs w:val="16"/>
                <w:lang w:val="es-ES_tradnl"/>
              </w:rPr>
              <w:t>%</w:t>
            </w:r>
          </w:p>
        </w:tc>
        <w:tc>
          <w:tcPr>
            <w:tcW w:w="418" w:type="pct"/>
            <w:tcBorders>
              <w:top w:val="single" w:sz="4" w:space="0" w:color="BFBFBF"/>
              <w:left w:val="single" w:sz="4" w:space="0" w:color="BFBFBF"/>
              <w:right w:val="single" w:sz="4" w:space="0" w:color="BFBFBF"/>
            </w:tcBorders>
            <w:shd w:val="clear" w:color="auto" w:fill="DBE5F1"/>
            <w:vAlign w:val="bottom"/>
          </w:tcPr>
          <w:p w:rsidR="004A72E7" w:rsidRPr="001E2F6E" w:rsidRDefault="004A72E7" w:rsidP="00184EDB">
            <w:pPr>
              <w:spacing w:line="240" w:lineRule="exact"/>
              <w:jc w:val="center"/>
            </w:pPr>
            <w:r w:rsidRPr="001E2F6E">
              <w:rPr>
                <w:b/>
                <w:bCs/>
                <w:sz w:val="16"/>
                <w:szCs w:val="16"/>
                <w:lang w:val="eu-ES"/>
              </w:rPr>
              <w:t>6-15 langile</w:t>
            </w:r>
          </w:p>
          <w:p w:rsidR="004A72E7" w:rsidRPr="001E2F6E" w:rsidRDefault="004A72E7" w:rsidP="00184EDB">
            <w:pPr>
              <w:spacing w:line="240" w:lineRule="exact"/>
              <w:jc w:val="center"/>
              <w:rPr>
                <w:b/>
                <w:bCs/>
                <w:sz w:val="16"/>
                <w:szCs w:val="16"/>
              </w:rPr>
            </w:pPr>
            <w:r w:rsidRPr="001E2F6E">
              <w:rPr>
                <w:b/>
                <w:bCs/>
                <w:sz w:val="16"/>
                <w:szCs w:val="16"/>
                <w:lang w:val="es-ES_tradnl"/>
              </w:rPr>
              <w:t>%</w:t>
            </w:r>
          </w:p>
        </w:tc>
        <w:tc>
          <w:tcPr>
            <w:tcW w:w="420" w:type="pct"/>
            <w:tcBorders>
              <w:top w:val="single" w:sz="4" w:space="0" w:color="BFBFBF"/>
              <w:left w:val="single" w:sz="4" w:space="0" w:color="BFBFBF"/>
              <w:right w:val="single" w:sz="4" w:space="0" w:color="BFBFBF"/>
            </w:tcBorders>
            <w:shd w:val="clear" w:color="auto" w:fill="DBE5F1"/>
            <w:vAlign w:val="bottom"/>
          </w:tcPr>
          <w:p w:rsidR="004A72E7" w:rsidRPr="001E2F6E" w:rsidRDefault="004A72E7" w:rsidP="00184EDB">
            <w:pPr>
              <w:spacing w:line="240" w:lineRule="exact"/>
              <w:jc w:val="center"/>
              <w:rPr>
                <w:b/>
                <w:bCs/>
                <w:sz w:val="16"/>
                <w:szCs w:val="16"/>
              </w:rPr>
            </w:pPr>
            <w:r w:rsidRPr="001E2F6E">
              <w:rPr>
                <w:b/>
                <w:bCs/>
                <w:sz w:val="16"/>
                <w:szCs w:val="16"/>
                <w:lang w:val="eu-ES"/>
              </w:rPr>
              <w:t>16-50 langile</w:t>
            </w:r>
          </w:p>
          <w:p w:rsidR="004A72E7" w:rsidRPr="001E2F6E" w:rsidRDefault="004A72E7" w:rsidP="00184EDB">
            <w:pPr>
              <w:spacing w:line="240" w:lineRule="exact"/>
              <w:jc w:val="center"/>
              <w:rPr>
                <w:b/>
                <w:bCs/>
                <w:sz w:val="16"/>
                <w:szCs w:val="16"/>
              </w:rPr>
            </w:pPr>
            <w:r w:rsidRPr="001E2F6E">
              <w:rPr>
                <w:b/>
                <w:bCs/>
                <w:sz w:val="16"/>
                <w:szCs w:val="16"/>
                <w:lang w:val="es-ES_tradnl"/>
              </w:rPr>
              <w:t>%</w:t>
            </w:r>
          </w:p>
        </w:tc>
        <w:tc>
          <w:tcPr>
            <w:tcW w:w="418" w:type="pct"/>
            <w:tcBorders>
              <w:top w:val="single" w:sz="4" w:space="0" w:color="BFBFBF"/>
              <w:left w:val="single" w:sz="4" w:space="0" w:color="BFBFBF"/>
              <w:right w:val="single" w:sz="4" w:space="0" w:color="BFBFBF"/>
            </w:tcBorders>
            <w:shd w:val="clear" w:color="auto" w:fill="DBE5F1"/>
            <w:vAlign w:val="bottom"/>
          </w:tcPr>
          <w:p w:rsidR="004A72E7" w:rsidRPr="001E2F6E" w:rsidRDefault="004A72E7" w:rsidP="00184EDB">
            <w:pPr>
              <w:spacing w:line="240" w:lineRule="exact"/>
              <w:jc w:val="center"/>
              <w:rPr>
                <w:b/>
                <w:bCs/>
                <w:sz w:val="16"/>
                <w:szCs w:val="16"/>
              </w:rPr>
            </w:pPr>
            <w:r w:rsidRPr="001E2F6E">
              <w:rPr>
                <w:b/>
                <w:bCs/>
                <w:sz w:val="16"/>
                <w:szCs w:val="16"/>
                <w:lang w:val="eu-ES"/>
              </w:rPr>
              <w:t>51-100 langile</w:t>
            </w:r>
          </w:p>
          <w:p w:rsidR="004A72E7" w:rsidRPr="001E2F6E" w:rsidRDefault="004A72E7" w:rsidP="00184EDB">
            <w:pPr>
              <w:spacing w:line="240" w:lineRule="exact"/>
              <w:jc w:val="center"/>
              <w:rPr>
                <w:b/>
                <w:bCs/>
                <w:sz w:val="16"/>
                <w:szCs w:val="16"/>
              </w:rPr>
            </w:pPr>
            <w:r w:rsidRPr="001E2F6E">
              <w:rPr>
                <w:b/>
                <w:bCs/>
                <w:sz w:val="16"/>
                <w:szCs w:val="16"/>
                <w:lang w:val="es-ES_tradnl"/>
              </w:rPr>
              <w:t>%</w:t>
            </w:r>
          </w:p>
        </w:tc>
        <w:tc>
          <w:tcPr>
            <w:tcW w:w="418" w:type="pct"/>
            <w:tcBorders>
              <w:top w:val="single" w:sz="4" w:space="0" w:color="BFBFBF"/>
              <w:left w:val="single" w:sz="4" w:space="0" w:color="BFBFBF"/>
              <w:right w:val="single" w:sz="4" w:space="0" w:color="BFBFBF"/>
            </w:tcBorders>
            <w:shd w:val="clear" w:color="auto" w:fill="DBE5F1"/>
            <w:vAlign w:val="bottom"/>
          </w:tcPr>
          <w:p w:rsidR="004A72E7" w:rsidRPr="001E2F6E" w:rsidRDefault="004A72E7" w:rsidP="00184EDB">
            <w:pPr>
              <w:spacing w:line="240" w:lineRule="exact"/>
              <w:jc w:val="center"/>
              <w:rPr>
                <w:b/>
                <w:bCs/>
                <w:sz w:val="16"/>
                <w:szCs w:val="16"/>
              </w:rPr>
            </w:pPr>
            <w:r w:rsidRPr="001E2F6E">
              <w:rPr>
                <w:b/>
                <w:bCs/>
                <w:sz w:val="16"/>
                <w:szCs w:val="16"/>
                <w:lang w:val="eu-ES"/>
              </w:rPr>
              <w:t>101-200 langile</w:t>
            </w:r>
          </w:p>
          <w:p w:rsidR="004A72E7" w:rsidRPr="001E2F6E" w:rsidRDefault="004A72E7" w:rsidP="00184EDB">
            <w:pPr>
              <w:spacing w:line="240" w:lineRule="exact"/>
              <w:jc w:val="center"/>
              <w:rPr>
                <w:b/>
                <w:bCs/>
                <w:sz w:val="16"/>
                <w:szCs w:val="16"/>
              </w:rPr>
            </w:pPr>
            <w:r w:rsidRPr="001E2F6E">
              <w:rPr>
                <w:b/>
                <w:bCs/>
                <w:sz w:val="16"/>
                <w:szCs w:val="16"/>
                <w:lang w:val="es-ES_tradnl"/>
              </w:rPr>
              <w:t>%</w:t>
            </w:r>
          </w:p>
        </w:tc>
        <w:tc>
          <w:tcPr>
            <w:tcW w:w="418" w:type="pct"/>
            <w:tcBorders>
              <w:top w:val="single" w:sz="4" w:space="0" w:color="BFBFBF"/>
              <w:left w:val="single" w:sz="4" w:space="0" w:color="BFBFBF"/>
              <w:right w:val="single" w:sz="4" w:space="0" w:color="BFBFBF"/>
            </w:tcBorders>
            <w:shd w:val="clear" w:color="auto" w:fill="DBE5F1"/>
            <w:vAlign w:val="bottom"/>
          </w:tcPr>
          <w:p w:rsidR="004A72E7" w:rsidRPr="001E2F6E" w:rsidRDefault="004A72E7" w:rsidP="00184EDB">
            <w:pPr>
              <w:spacing w:line="240" w:lineRule="exact"/>
              <w:jc w:val="center"/>
              <w:rPr>
                <w:b/>
                <w:bCs/>
                <w:sz w:val="16"/>
                <w:szCs w:val="16"/>
              </w:rPr>
            </w:pPr>
            <w:r w:rsidRPr="001E2F6E">
              <w:rPr>
                <w:b/>
                <w:bCs/>
                <w:sz w:val="16"/>
                <w:szCs w:val="16"/>
                <w:lang w:val="eu-ES"/>
              </w:rPr>
              <w:t>201-500 langile</w:t>
            </w:r>
          </w:p>
          <w:p w:rsidR="004A72E7" w:rsidRPr="001E2F6E" w:rsidRDefault="004A72E7" w:rsidP="00184EDB">
            <w:pPr>
              <w:spacing w:line="240" w:lineRule="exact"/>
              <w:jc w:val="center"/>
              <w:rPr>
                <w:b/>
                <w:bCs/>
                <w:sz w:val="16"/>
                <w:szCs w:val="16"/>
              </w:rPr>
            </w:pPr>
            <w:r w:rsidRPr="001E2F6E">
              <w:rPr>
                <w:b/>
                <w:bCs/>
                <w:sz w:val="16"/>
                <w:szCs w:val="16"/>
                <w:lang w:val="es-ES_tradnl"/>
              </w:rPr>
              <w:t>%</w:t>
            </w:r>
          </w:p>
        </w:tc>
        <w:tc>
          <w:tcPr>
            <w:tcW w:w="613" w:type="pct"/>
            <w:tcBorders>
              <w:top w:val="single" w:sz="4" w:space="0" w:color="BFBFBF"/>
              <w:left w:val="single" w:sz="4" w:space="0" w:color="BFBFBF"/>
            </w:tcBorders>
            <w:shd w:val="clear" w:color="auto" w:fill="DBE5F1"/>
            <w:vAlign w:val="bottom"/>
          </w:tcPr>
          <w:p w:rsidR="004A72E7" w:rsidRPr="001E2F6E" w:rsidRDefault="004A72E7" w:rsidP="00184EDB">
            <w:pPr>
              <w:spacing w:line="240" w:lineRule="exact"/>
              <w:jc w:val="center"/>
              <w:rPr>
                <w:b/>
                <w:bCs/>
                <w:sz w:val="16"/>
                <w:szCs w:val="16"/>
              </w:rPr>
            </w:pPr>
            <w:r w:rsidRPr="001E2F6E">
              <w:rPr>
                <w:b/>
                <w:bCs/>
                <w:sz w:val="16"/>
                <w:szCs w:val="16"/>
                <w:lang w:val="eu-ES"/>
              </w:rPr>
              <w:t>500 langile baino gehiago</w:t>
            </w:r>
          </w:p>
          <w:p w:rsidR="004A72E7" w:rsidRPr="001E2F6E" w:rsidRDefault="004A72E7" w:rsidP="00184EDB">
            <w:pPr>
              <w:spacing w:line="240" w:lineRule="exact"/>
              <w:jc w:val="center"/>
              <w:rPr>
                <w:b/>
                <w:bCs/>
                <w:sz w:val="16"/>
                <w:szCs w:val="16"/>
              </w:rPr>
            </w:pPr>
            <w:r w:rsidRPr="001E2F6E">
              <w:rPr>
                <w:b/>
                <w:bCs/>
                <w:sz w:val="16"/>
                <w:szCs w:val="16"/>
                <w:lang w:val="es-ES_tradnl"/>
              </w:rPr>
              <w:t>%</w:t>
            </w:r>
          </w:p>
        </w:tc>
      </w:tr>
      <w:tr w:rsidR="004A72E7" w:rsidRPr="001E2F6E">
        <w:trPr>
          <w:jc w:val="center"/>
        </w:trPr>
        <w:tc>
          <w:tcPr>
            <w:tcW w:w="1270" w:type="pct"/>
            <w:tcBorders>
              <w:top w:val="single" w:sz="4" w:space="0" w:color="BFBFBF"/>
              <w:right w:val="single" w:sz="4" w:space="0" w:color="BFBFBF"/>
            </w:tcBorders>
          </w:tcPr>
          <w:p w:rsidR="004A72E7" w:rsidRPr="001E2F6E" w:rsidRDefault="004A72E7" w:rsidP="00C0018A">
            <w:pPr>
              <w:spacing w:line="240" w:lineRule="exact"/>
              <w:ind w:left="227" w:hanging="227"/>
              <w:jc w:val="left"/>
              <w:rPr>
                <w:sz w:val="16"/>
                <w:szCs w:val="16"/>
                <w:lang w:val="pt-BR"/>
              </w:rPr>
            </w:pPr>
            <w:r w:rsidRPr="001E2F6E">
              <w:rPr>
                <w:sz w:val="16"/>
                <w:szCs w:val="16"/>
                <w:lang w:val="eu-ES"/>
              </w:rPr>
              <w:t>Barne Erregimeneko Arautegia</w:t>
            </w:r>
          </w:p>
        </w:tc>
        <w:tc>
          <w:tcPr>
            <w:tcW w:w="410" w:type="pct"/>
            <w:tcBorders>
              <w:top w:val="single" w:sz="4" w:space="0" w:color="BFBFBF"/>
              <w:left w:val="single" w:sz="4" w:space="0" w:color="BFBFBF"/>
              <w:right w:val="single" w:sz="4" w:space="0" w:color="BFBFBF"/>
            </w:tcBorders>
          </w:tcPr>
          <w:p w:rsidR="004A72E7" w:rsidRPr="001E2F6E" w:rsidRDefault="004A72E7" w:rsidP="00C0018A">
            <w:pPr>
              <w:spacing w:line="240" w:lineRule="exact"/>
              <w:ind w:left="227" w:right="170" w:hanging="227"/>
              <w:jc w:val="right"/>
              <w:rPr>
                <w:sz w:val="16"/>
                <w:szCs w:val="16"/>
              </w:rPr>
            </w:pPr>
            <w:r w:rsidRPr="001E2F6E">
              <w:rPr>
                <w:sz w:val="16"/>
                <w:szCs w:val="16"/>
              </w:rPr>
              <w:t>38,2</w:t>
            </w:r>
          </w:p>
        </w:tc>
        <w:tc>
          <w:tcPr>
            <w:tcW w:w="615" w:type="pct"/>
            <w:tcBorders>
              <w:top w:val="single" w:sz="4" w:space="0" w:color="BFBFBF"/>
              <w:left w:val="single" w:sz="4" w:space="0" w:color="BFBFBF"/>
              <w:right w:val="single" w:sz="4" w:space="0" w:color="BFBFBF"/>
            </w:tcBorders>
          </w:tcPr>
          <w:p w:rsidR="004A72E7" w:rsidRPr="001E2F6E" w:rsidRDefault="004A72E7" w:rsidP="00C0018A">
            <w:pPr>
              <w:spacing w:line="240" w:lineRule="exact"/>
              <w:ind w:left="227" w:right="170" w:hanging="227"/>
              <w:jc w:val="right"/>
              <w:rPr>
                <w:sz w:val="16"/>
                <w:szCs w:val="16"/>
              </w:rPr>
            </w:pPr>
            <w:r w:rsidRPr="001E2F6E">
              <w:rPr>
                <w:sz w:val="16"/>
                <w:szCs w:val="16"/>
              </w:rPr>
              <w:t>24,2</w:t>
            </w:r>
          </w:p>
        </w:tc>
        <w:tc>
          <w:tcPr>
            <w:tcW w:w="418" w:type="pct"/>
            <w:tcBorders>
              <w:top w:val="single" w:sz="4" w:space="0" w:color="BFBFBF"/>
              <w:left w:val="single" w:sz="4" w:space="0" w:color="BFBFBF"/>
              <w:right w:val="single" w:sz="4" w:space="0" w:color="BFBFBF"/>
            </w:tcBorders>
          </w:tcPr>
          <w:p w:rsidR="004A72E7" w:rsidRPr="001E2F6E" w:rsidRDefault="004A72E7" w:rsidP="00C0018A">
            <w:pPr>
              <w:spacing w:line="240" w:lineRule="exact"/>
              <w:ind w:left="227" w:right="170" w:hanging="227"/>
              <w:jc w:val="right"/>
              <w:rPr>
                <w:sz w:val="16"/>
                <w:szCs w:val="16"/>
              </w:rPr>
            </w:pPr>
            <w:r w:rsidRPr="001E2F6E">
              <w:rPr>
                <w:sz w:val="16"/>
                <w:szCs w:val="16"/>
              </w:rPr>
              <w:t>37,3</w:t>
            </w:r>
          </w:p>
        </w:tc>
        <w:tc>
          <w:tcPr>
            <w:tcW w:w="420" w:type="pct"/>
            <w:tcBorders>
              <w:top w:val="single" w:sz="4" w:space="0" w:color="BFBFBF"/>
              <w:left w:val="single" w:sz="4" w:space="0" w:color="BFBFBF"/>
              <w:right w:val="single" w:sz="4" w:space="0" w:color="BFBFBF"/>
            </w:tcBorders>
          </w:tcPr>
          <w:p w:rsidR="004A72E7" w:rsidRPr="001E2F6E" w:rsidRDefault="004A72E7" w:rsidP="00C0018A">
            <w:pPr>
              <w:spacing w:line="240" w:lineRule="exact"/>
              <w:ind w:left="227" w:right="170" w:hanging="227"/>
              <w:jc w:val="right"/>
              <w:rPr>
                <w:sz w:val="16"/>
                <w:szCs w:val="16"/>
              </w:rPr>
            </w:pPr>
            <w:r w:rsidRPr="001E2F6E">
              <w:rPr>
                <w:sz w:val="16"/>
                <w:szCs w:val="16"/>
              </w:rPr>
              <w:t>73,4</w:t>
            </w:r>
          </w:p>
        </w:tc>
        <w:tc>
          <w:tcPr>
            <w:tcW w:w="418" w:type="pct"/>
            <w:tcBorders>
              <w:top w:val="single" w:sz="4" w:space="0" w:color="BFBFBF"/>
              <w:left w:val="single" w:sz="4" w:space="0" w:color="BFBFBF"/>
              <w:right w:val="single" w:sz="4" w:space="0" w:color="BFBFBF"/>
            </w:tcBorders>
          </w:tcPr>
          <w:p w:rsidR="004A72E7" w:rsidRPr="001E2F6E" w:rsidRDefault="004A72E7" w:rsidP="00C0018A">
            <w:pPr>
              <w:spacing w:line="240" w:lineRule="exact"/>
              <w:ind w:left="227" w:right="170" w:hanging="227"/>
              <w:jc w:val="right"/>
              <w:rPr>
                <w:sz w:val="16"/>
                <w:szCs w:val="16"/>
              </w:rPr>
            </w:pPr>
            <w:r w:rsidRPr="001E2F6E">
              <w:rPr>
                <w:sz w:val="16"/>
                <w:szCs w:val="16"/>
              </w:rPr>
              <w:t>77,8</w:t>
            </w:r>
          </w:p>
        </w:tc>
        <w:tc>
          <w:tcPr>
            <w:tcW w:w="418" w:type="pct"/>
            <w:tcBorders>
              <w:top w:val="single" w:sz="4" w:space="0" w:color="BFBFBF"/>
              <w:left w:val="single" w:sz="4" w:space="0" w:color="BFBFBF"/>
              <w:right w:val="single" w:sz="4" w:space="0" w:color="BFBFBF"/>
            </w:tcBorders>
          </w:tcPr>
          <w:p w:rsidR="004A72E7" w:rsidRPr="001E2F6E" w:rsidRDefault="004A72E7" w:rsidP="00C0018A">
            <w:pPr>
              <w:spacing w:line="240" w:lineRule="exact"/>
              <w:ind w:left="227" w:right="170" w:hanging="227"/>
              <w:jc w:val="right"/>
              <w:rPr>
                <w:sz w:val="16"/>
                <w:szCs w:val="16"/>
              </w:rPr>
            </w:pPr>
            <w:r w:rsidRPr="001E2F6E">
              <w:rPr>
                <w:sz w:val="16"/>
                <w:szCs w:val="16"/>
              </w:rPr>
              <w:t>100,0</w:t>
            </w:r>
          </w:p>
        </w:tc>
        <w:tc>
          <w:tcPr>
            <w:tcW w:w="418" w:type="pct"/>
            <w:tcBorders>
              <w:top w:val="single" w:sz="4" w:space="0" w:color="BFBFBF"/>
              <w:left w:val="single" w:sz="4" w:space="0" w:color="BFBFBF"/>
              <w:right w:val="single" w:sz="4" w:space="0" w:color="BFBFBF"/>
            </w:tcBorders>
          </w:tcPr>
          <w:p w:rsidR="004A72E7" w:rsidRPr="001E2F6E" w:rsidRDefault="004A72E7" w:rsidP="00C0018A">
            <w:pPr>
              <w:spacing w:line="240" w:lineRule="exact"/>
              <w:ind w:left="227" w:right="170" w:hanging="227"/>
              <w:jc w:val="right"/>
              <w:rPr>
                <w:sz w:val="16"/>
                <w:szCs w:val="16"/>
              </w:rPr>
            </w:pPr>
            <w:r w:rsidRPr="001E2F6E">
              <w:rPr>
                <w:sz w:val="16"/>
                <w:szCs w:val="16"/>
              </w:rPr>
              <w:t>92,3</w:t>
            </w:r>
          </w:p>
        </w:tc>
        <w:tc>
          <w:tcPr>
            <w:tcW w:w="613" w:type="pct"/>
            <w:tcBorders>
              <w:top w:val="single" w:sz="4" w:space="0" w:color="BFBFBF"/>
              <w:left w:val="single" w:sz="4" w:space="0" w:color="BFBFBF"/>
            </w:tcBorders>
          </w:tcPr>
          <w:p w:rsidR="004A72E7" w:rsidRPr="001E2F6E" w:rsidRDefault="004A72E7" w:rsidP="00C0018A">
            <w:pPr>
              <w:spacing w:line="240" w:lineRule="exact"/>
              <w:ind w:left="227" w:right="170" w:hanging="227"/>
              <w:jc w:val="right"/>
              <w:rPr>
                <w:sz w:val="16"/>
                <w:szCs w:val="16"/>
              </w:rPr>
            </w:pPr>
            <w:r w:rsidRPr="001E2F6E">
              <w:rPr>
                <w:sz w:val="16"/>
                <w:szCs w:val="16"/>
              </w:rPr>
              <w:t>100,0</w:t>
            </w:r>
          </w:p>
        </w:tc>
      </w:tr>
      <w:tr w:rsidR="004A72E7" w:rsidRPr="001E2F6E">
        <w:trPr>
          <w:jc w:val="center"/>
        </w:trPr>
        <w:tc>
          <w:tcPr>
            <w:tcW w:w="1270" w:type="pct"/>
            <w:tcBorders>
              <w:right w:val="single" w:sz="4" w:space="0" w:color="BFBFBF"/>
            </w:tcBorders>
          </w:tcPr>
          <w:p w:rsidR="004A72E7" w:rsidRPr="001E2F6E" w:rsidRDefault="004A72E7" w:rsidP="00C0018A">
            <w:pPr>
              <w:spacing w:line="240" w:lineRule="exact"/>
              <w:ind w:left="227" w:hanging="227"/>
              <w:jc w:val="left"/>
              <w:rPr>
                <w:sz w:val="16"/>
                <w:szCs w:val="16"/>
              </w:rPr>
            </w:pPr>
            <w:r w:rsidRPr="001E2F6E">
              <w:rPr>
                <w:sz w:val="16"/>
                <w:szCs w:val="16"/>
                <w:lang w:val="eu-ES"/>
              </w:rPr>
              <w:t>Kudeaketa Plana</w:t>
            </w:r>
          </w:p>
        </w:tc>
        <w:tc>
          <w:tcPr>
            <w:tcW w:w="410" w:type="pct"/>
            <w:tcBorders>
              <w:left w:val="single" w:sz="4" w:space="0" w:color="BFBFBF"/>
              <w:right w:val="single" w:sz="4" w:space="0" w:color="BFBFBF"/>
            </w:tcBorders>
          </w:tcPr>
          <w:p w:rsidR="004A72E7" w:rsidRPr="001E2F6E" w:rsidRDefault="004A72E7" w:rsidP="00C0018A">
            <w:pPr>
              <w:spacing w:line="240" w:lineRule="exact"/>
              <w:ind w:left="227" w:right="170" w:hanging="227"/>
              <w:jc w:val="right"/>
              <w:rPr>
                <w:sz w:val="16"/>
                <w:szCs w:val="16"/>
              </w:rPr>
            </w:pPr>
            <w:r w:rsidRPr="001E2F6E">
              <w:rPr>
                <w:sz w:val="16"/>
                <w:szCs w:val="16"/>
              </w:rPr>
              <w:t>33,2</w:t>
            </w:r>
          </w:p>
        </w:tc>
        <w:tc>
          <w:tcPr>
            <w:tcW w:w="615" w:type="pct"/>
            <w:tcBorders>
              <w:left w:val="single" w:sz="4" w:space="0" w:color="BFBFBF"/>
              <w:right w:val="single" w:sz="4" w:space="0" w:color="BFBFBF"/>
            </w:tcBorders>
          </w:tcPr>
          <w:p w:rsidR="004A72E7" w:rsidRPr="001E2F6E" w:rsidRDefault="004A72E7" w:rsidP="00C0018A">
            <w:pPr>
              <w:spacing w:line="240" w:lineRule="exact"/>
              <w:ind w:left="227" w:right="170" w:hanging="227"/>
              <w:jc w:val="right"/>
              <w:rPr>
                <w:sz w:val="16"/>
                <w:szCs w:val="16"/>
              </w:rPr>
            </w:pPr>
            <w:r w:rsidRPr="001E2F6E">
              <w:rPr>
                <w:sz w:val="16"/>
                <w:szCs w:val="16"/>
              </w:rPr>
              <w:t>18,0</w:t>
            </w:r>
          </w:p>
        </w:tc>
        <w:tc>
          <w:tcPr>
            <w:tcW w:w="418" w:type="pct"/>
            <w:tcBorders>
              <w:left w:val="single" w:sz="4" w:space="0" w:color="BFBFBF"/>
              <w:right w:val="single" w:sz="4" w:space="0" w:color="BFBFBF"/>
            </w:tcBorders>
          </w:tcPr>
          <w:p w:rsidR="004A72E7" w:rsidRPr="001E2F6E" w:rsidRDefault="004A72E7" w:rsidP="00C0018A">
            <w:pPr>
              <w:spacing w:line="240" w:lineRule="exact"/>
              <w:ind w:left="227" w:right="170" w:hanging="227"/>
              <w:jc w:val="right"/>
              <w:rPr>
                <w:sz w:val="16"/>
                <w:szCs w:val="16"/>
              </w:rPr>
            </w:pPr>
            <w:r w:rsidRPr="001E2F6E">
              <w:rPr>
                <w:sz w:val="16"/>
                <w:szCs w:val="16"/>
              </w:rPr>
              <w:t>30,6</w:t>
            </w:r>
          </w:p>
        </w:tc>
        <w:tc>
          <w:tcPr>
            <w:tcW w:w="420" w:type="pct"/>
            <w:tcBorders>
              <w:left w:val="single" w:sz="4" w:space="0" w:color="BFBFBF"/>
              <w:right w:val="single" w:sz="4" w:space="0" w:color="BFBFBF"/>
            </w:tcBorders>
          </w:tcPr>
          <w:p w:rsidR="004A72E7" w:rsidRPr="001E2F6E" w:rsidRDefault="004A72E7" w:rsidP="00C0018A">
            <w:pPr>
              <w:spacing w:line="240" w:lineRule="exact"/>
              <w:ind w:left="227" w:right="170" w:hanging="227"/>
              <w:jc w:val="right"/>
              <w:rPr>
                <w:sz w:val="16"/>
                <w:szCs w:val="16"/>
              </w:rPr>
            </w:pPr>
            <w:r w:rsidRPr="001E2F6E">
              <w:rPr>
                <w:sz w:val="16"/>
                <w:szCs w:val="16"/>
              </w:rPr>
              <w:t>72,4</w:t>
            </w:r>
          </w:p>
        </w:tc>
        <w:tc>
          <w:tcPr>
            <w:tcW w:w="418" w:type="pct"/>
            <w:tcBorders>
              <w:left w:val="single" w:sz="4" w:space="0" w:color="BFBFBF"/>
              <w:right w:val="single" w:sz="4" w:space="0" w:color="BFBFBF"/>
            </w:tcBorders>
          </w:tcPr>
          <w:p w:rsidR="004A72E7" w:rsidRPr="001E2F6E" w:rsidRDefault="004A72E7" w:rsidP="00C0018A">
            <w:pPr>
              <w:spacing w:line="240" w:lineRule="exact"/>
              <w:ind w:left="227" w:right="170" w:hanging="227"/>
              <w:jc w:val="right"/>
              <w:rPr>
                <w:sz w:val="16"/>
                <w:szCs w:val="16"/>
              </w:rPr>
            </w:pPr>
            <w:r w:rsidRPr="001E2F6E">
              <w:rPr>
                <w:sz w:val="16"/>
                <w:szCs w:val="16"/>
              </w:rPr>
              <w:t>86,2</w:t>
            </w:r>
          </w:p>
        </w:tc>
        <w:tc>
          <w:tcPr>
            <w:tcW w:w="418" w:type="pct"/>
            <w:tcBorders>
              <w:left w:val="single" w:sz="4" w:space="0" w:color="BFBFBF"/>
              <w:right w:val="single" w:sz="4" w:space="0" w:color="BFBFBF"/>
            </w:tcBorders>
          </w:tcPr>
          <w:p w:rsidR="004A72E7" w:rsidRPr="001E2F6E" w:rsidRDefault="004A72E7" w:rsidP="00C0018A">
            <w:pPr>
              <w:spacing w:line="240" w:lineRule="exact"/>
              <w:ind w:left="227" w:right="170" w:hanging="227"/>
              <w:jc w:val="right"/>
              <w:rPr>
                <w:sz w:val="16"/>
                <w:szCs w:val="16"/>
              </w:rPr>
            </w:pPr>
            <w:r w:rsidRPr="001E2F6E">
              <w:rPr>
                <w:sz w:val="16"/>
                <w:szCs w:val="16"/>
              </w:rPr>
              <w:t>92,5</w:t>
            </w:r>
          </w:p>
        </w:tc>
        <w:tc>
          <w:tcPr>
            <w:tcW w:w="418" w:type="pct"/>
            <w:tcBorders>
              <w:left w:val="single" w:sz="4" w:space="0" w:color="BFBFBF"/>
              <w:right w:val="single" w:sz="4" w:space="0" w:color="BFBFBF"/>
            </w:tcBorders>
          </w:tcPr>
          <w:p w:rsidR="004A72E7" w:rsidRPr="001E2F6E" w:rsidRDefault="004A72E7" w:rsidP="00C0018A">
            <w:pPr>
              <w:spacing w:line="240" w:lineRule="exact"/>
              <w:ind w:left="227" w:right="170" w:hanging="227"/>
              <w:jc w:val="right"/>
              <w:rPr>
                <w:sz w:val="16"/>
                <w:szCs w:val="16"/>
              </w:rPr>
            </w:pPr>
            <w:r w:rsidRPr="001E2F6E">
              <w:rPr>
                <w:sz w:val="16"/>
                <w:szCs w:val="16"/>
              </w:rPr>
              <w:t>93,8</w:t>
            </w:r>
          </w:p>
        </w:tc>
        <w:tc>
          <w:tcPr>
            <w:tcW w:w="613" w:type="pct"/>
            <w:tcBorders>
              <w:left w:val="single" w:sz="4" w:space="0" w:color="BFBFBF"/>
            </w:tcBorders>
          </w:tcPr>
          <w:p w:rsidR="004A72E7" w:rsidRPr="001E2F6E" w:rsidRDefault="004A72E7" w:rsidP="00C0018A">
            <w:pPr>
              <w:spacing w:line="240" w:lineRule="exact"/>
              <w:ind w:left="227" w:right="170" w:hanging="227"/>
              <w:jc w:val="right"/>
              <w:rPr>
                <w:sz w:val="16"/>
                <w:szCs w:val="16"/>
              </w:rPr>
            </w:pPr>
            <w:r w:rsidRPr="001E2F6E">
              <w:rPr>
                <w:sz w:val="16"/>
                <w:szCs w:val="16"/>
              </w:rPr>
              <w:t>83,7</w:t>
            </w:r>
          </w:p>
        </w:tc>
      </w:tr>
      <w:tr w:rsidR="004A72E7" w:rsidRPr="001E2F6E">
        <w:trPr>
          <w:jc w:val="center"/>
        </w:trPr>
        <w:tc>
          <w:tcPr>
            <w:tcW w:w="1270" w:type="pct"/>
            <w:tcBorders>
              <w:right w:val="single" w:sz="4" w:space="0" w:color="BFBFBF"/>
            </w:tcBorders>
          </w:tcPr>
          <w:p w:rsidR="004A72E7" w:rsidRPr="001E2F6E" w:rsidRDefault="004A72E7" w:rsidP="00C0018A">
            <w:pPr>
              <w:spacing w:line="240" w:lineRule="exact"/>
              <w:ind w:left="227" w:hanging="227"/>
              <w:jc w:val="left"/>
              <w:rPr>
                <w:sz w:val="16"/>
                <w:szCs w:val="16"/>
              </w:rPr>
            </w:pPr>
            <w:r w:rsidRPr="001E2F6E">
              <w:rPr>
                <w:sz w:val="16"/>
                <w:szCs w:val="16"/>
                <w:lang w:val="eu-ES"/>
              </w:rPr>
              <w:t>Prestakuntza Plana</w:t>
            </w:r>
          </w:p>
        </w:tc>
        <w:tc>
          <w:tcPr>
            <w:tcW w:w="410" w:type="pct"/>
            <w:tcBorders>
              <w:left w:val="single" w:sz="4" w:space="0" w:color="BFBFBF"/>
              <w:right w:val="single" w:sz="4" w:space="0" w:color="BFBFBF"/>
            </w:tcBorders>
          </w:tcPr>
          <w:p w:rsidR="004A72E7" w:rsidRPr="001E2F6E" w:rsidRDefault="004A72E7" w:rsidP="00C0018A">
            <w:pPr>
              <w:spacing w:line="240" w:lineRule="exact"/>
              <w:ind w:left="227" w:right="170" w:hanging="227"/>
              <w:jc w:val="right"/>
              <w:rPr>
                <w:sz w:val="16"/>
                <w:szCs w:val="16"/>
              </w:rPr>
            </w:pPr>
            <w:r w:rsidRPr="001E2F6E">
              <w:rPr>
                <w:sz w:val="16"/>
                <w:szCs w:val="16"/>
              </w:rPr>
              <w:t>47,4</w:t>
            </w:r>
          </w:p>
        </w:tc>
        <w:tc>
          <w:tcPr>
            <w:tcW w:w="615" w:type="pct"/>
            <w:tcBorders>
              <w:left w:val="single" w:sz="4" w:space="0" w:color="BFBFBF"/>
              <w:right w:val="single" w:sz="4" w:space="0" w:color="BFBFBF"/>
            </w:tcBorders>
          </w:tcPr>
          <w:p w:rsidR="004A72E7" w:rsidRPr="001E2F6E" w:rsidRDefault="004A72E7" w:rsidP="00C0018A">
            <w:pPr>
              <w:spacing w:line="240" w:lineRule="exact"/>
              <w:ind w:left="227" w:right="170" w:hanging="227"/>
              <w:jc w:val="right"/>
              <w:rPr>
                <w:sz w:val="16"/>
                <w:szCs w:val="16"/>
              </w:rPr>
            </w:pPr>
            <w:r w:rsidRPr="001E2F6E">
              <w:rPr>
                <w:sz w:val="16"/>
                <w:szCs w:val="16"/>
              </w:rPr>
              <w:t>33,3</w:t>
            </w:r>
          </w:p>
        </w:tc>
        <w:tc>
          <w:tcPr>
            <w:tcW w:w="418" w:type="pct"/>
            <w:tcBorders>
              <w:left w:val="single" w:sz="4" w:space="0" w:color="BFBFBF"/>
              <w:right w:val="single" w:sz="4" w:space="0" w:color="BFBFBF"/>
            </w:tcBorders>
          </w:tcPr>
          <w:p w:rsidR="004A72E7" w:rsidRPr="001E2F6E" w:rsidRDefault="004A72E7" w:rsidP="00C0018A">
            <w:pPr>
              <w:spacing w:line="240" w:lineRule="exact"/>
              <w:ind w:left="227" w:right="170" w:hanging="227"/>
              <w:jc w:val="right"/>
              <w:rPr>
                <w:sz w:val="16"/>
                <w:szCs w:val="16"/>
              </w:rPr>
            </w:pPr>
            <w:r w:rsidRPr="001E2F6E">
              <w:rPr>
                <w:sz w:val="16"/>
                <w:szCs w:val="16"/>
              </w:rPr>
              <w:t>51,2</w:t>
            </w:r>
          </w:p>
        </w:tc>
        <w:tc>
          <w:tcPr>
            <w:tcW w:w="420" w:type="pct"/>
            <w:tcBorders>
              <w:left w:val="single" w:sz="4" w:space="0" w:color="BFBFBF"/>
              <w:right w:val="single" w:sz="4" w:space="0" w:color="BFBFBF"/>
            </w:tcBorders>
          </w:tcPr>
          <w:p w:rsidR="004A72E7" w:rsidRPr="001E2F6E" w:rsidRDefault="004A72E7" w:rsidP="00C0018A">
            <w:pPr>
              <w:spacing w:line="240" w:lineRule="exact"/>
              <w:ind w:left="227" w:right="170" w:hanging="227"/>
              <w:jc w:val="right"/>
              <w:rPr>
                <w:sz w:val="16"/>
                <w:szCs w:val="16"/>
              </w:rPr>
            </w:pPr>
            <w:r w:rsidRPr="001E2F6E">
              <w:rPr>
                <w:sz w:val="16"/>
                <w:szCs w:val="16"/>
              </w:rPr>
              <w:t>78,5</w:t>
            </w:r>
          </w:p>
        </w:tc>
        <w:tc>
          <w:tcPr>
            <w:tcW w:w="418" w:type="pct"/>
            <w:tcBorders>
              <w:left w:val="single" w:sz="4" w:space="0" w:color="BFBFBF"/>
              <w:right w:val="single" w:sz="4" w:space="0" w:color="BFBFBF"/>
            </w:tcBorders>
          </w:tcPr>
          <w:p w:rsidR="004A72E7" w:rsidRPr="001E2F6E" w:rsidRDefault="004A72E7" w:rsidP="00C0018A">
            <w:pPr>
              <w:spacing w:line="240" w:lineRule="exact"/>
              <w:ind w:left="227" w:right="170" w:hanging="227"/>
              <w:jc w:val="right"/>
              <w:rPr>
                <w:sz w:val="16"/>
                <w:szCs w:val="16"/>
              </w:rPr>
            </w:pPr>
            <w:r w:rsidRPr="001E2F6E">
              <w:rPr>
                <w:sz w:val="16"/>
                <w:szCs w:val="16"/>
              </w:rPr>
              <w:t>85,9</w:t>
            </w:r>
          </w:p>
        </w:tc>
        <w:tc>
          <w:tcPr>
            <w:tcW w:w="418" w:type="pct"/>
            <w:tcBorders>
              <w:left w:val="single" w:sz="4" w:space="0" w:color="BFBFBF"/>
              <w:right w:val="single" w:sz="4" w:space="0" w:color="BFBFBF"/>
            </w:tcBorders>
          </w:tcPr>
          <w:p w:rsidR="004A72E7" w:rsidRPr="001E2F6E" w:rsidRDefault="004A72E7" w:rsidP="00C0018A">
            <w:pPr>
              <w:spacing w:line="240" w:lineRule="exact"/>
              <w:ind w:left="227" w:right="170" w:hanging="227"/>
              <w:jc w:val="right"/>
              <w:rPr>
                <w:sz w:val="16"/>
                <w:szCs w:val="16"/>
              </w:rPr>
            </w:pPr>
            <w:r w:rsidRPr="001E2F6E">
              <w:rPr>
                <w:sz w:val="16"/>
                <w:szCs w:val="16"/>
              </w:rPr>
              <w:t>100,0</w:t>
            </w:r>
          </w:p>
        </w:tc>
        <w:tc>
          <w:tcPr>
            <w:tcW w:w="418" w:type="pct"/>
            <w:tcBorders>
              <w:left w:val="single" w:sz="4" w:space="0" w:color="BFBFBF"/>
              <w:right w:val="single" w:sz="4" w:space="0" w:color="BFBFBF"/>
            </w:tcBorders>
          </w:tcPr>
          <w:p w:rsidR="004A72E7" w:rsidRPr="001E2F6E" w:rsidRDefault="004A72E7" w:rsidP="00C0018A">
            <w:pPr>
              <w:spacing w:line="240" w:lineRule="exact"/>
              <w:ind w:left="227" w:right="170" w:hanging="227"/>
              <w:jc w:val="right"/>
              <w:rPr>
                <w:sz w:val="16"/>
                <w:szCs w:val="16"/>
              </w:rPr>
            </w:pPr>
            <w:r w:rsidRPr="001E2F6E">
              <w:rPr>
                <w:sz w:val="16"/>
                <w:szCs w:val="16"/>
              </w:rPr>
              <w:t>100,0</w:t>
            </w:r>
          </w:p>
        </w:tc>
        <w:tc>
          <w:tcPr>
            <w:tcW w:w="613" w:type="pct"/>
            <w:tcBorders>
              <w:left w:val="single" w:sz="4" w:space="0" w:color="BFBFBF"/>
            </w:tcBorders>
          </w:tcPr>
          <w:p w:rsidR="004A72E7" w:rsidRPr="001E2F6E" w:rsidRDefault="004A72E7" w:rsidP="00C0018A">
            <w:pPr>
              <w:spacing w:line="240" w:lineRule="exact"/>
              <w:ind w:left="227" w:right="170" w:hanging="227"/>
              <w:jc w:val="right"/>
              <w:rPr>
                <w:sz w:val="16"/>
                <w:szCs w:val="16"/>
              </w:rPr>
            </w:pPr>
            <w:r w:rsidRPr="001E2F6E">
              <w:rPr>
                <w:sz w:val="16"/>
                <w:szCs w:val="16"/>
              </w:rPr>
              <w:t>83,7</w:t>
            </w:r>
          </w:p>
        </w:tc>
      </w:tr>
      <w:tr w:rsidR="004A72E7" w:rsidRPr="001E2F6E">
        <w:trPr>
          <w:jc w:val="center"/>
        </w:trPr>
        <w:tc>
          <w:tcPr>
            <w:tcW w:w="1270" w:type="pct"/>
            <w:tcBorders>
              <w:right w:val="single" w:sz="4" w:space="0" w:color="BFBFBF"/>
            </w:tcBorders>
          </w:tcPr>
          <w:p w:rsidR="004A72E7" w:rsidRPr="001E2F6E" w:rsidRDefault="004A72E7" w:rsidP="00C0018A">
            <w:pPr>
              <w:spacing w:line="240" w:lineRule="exact"/>
              <w:ind w:left="227" w:hanging="227"/>
              <w:jc w:val="left"/>
              <w:rPr>
                <w:sz w:val="16"/>
                <w:szCs w:val="16"/>
              </w:rPr>
            </w:pPr>
            <w:r w:rsidRPr="001E2F6E">
              <w:rPr>
                <w:sz w:val="16"/>
                <w:szCs w:val="16"/>
                <w:lang w:val="eu-ES"/>
              </w:rPr>
              <w:t>Plan Estrategikoa</w:t>
            </w:r>
          </w:p>
        </w:tc>
        <w:tc>
          <w:tcPr>
            <w:tcW w:w="410" w:type="pct"/>
            <w:tcBorders>
              <w:left w:val="single" w:sz="4" w:space="0" w:color="BFBFBF"/>
              <w:right w:val="single" w:sz="4" w:space="0" w:color="BFBFBF"/>
            </w:tcBorders>
          </w:tcPr>
          <w:p w:rsidR="004A72E7" w:rsidRPr="001E2F6E" w:rsidRDefault="004A72E7" w:rsidP="00C0018A">
            <w:pPr>
              <w:spacing w:line="240" w:lineRule="exact"/>
              <w:ind w:left="227" w:right="170" w:hanging="227"/>
              <w:jc w:val="right"/>
              <w:rPr>
                <w:sz w:val="16"/>
                <w:szCs w:val="16"/>
              </w:rPr>
            </w:pPr>
            <w:r w:rsidRPr="001E2F6E">
              <w:rPr>
                <w:sz w:val="16"/>
                <w:szCs w:val="16"/>
              </w:rPr>
              <w:t>25,8</w:t>
            </w:r>
          </w:p>
        </w:tc>
        <w:tc>
          <w:tcPr>
            <w:tcW w:w="615" w:type="pct"/>
            <w:tcBorders>
              <w:left w:val="single" w:sz="4" w:space="0" w:color="BFBFBF"/>
              <w:right w:val="single" w:sz="4" w:space="0" w:color="BFBFBF"/>
            </w:tcBorders>
          </w:tcPr>
          <w:p w:rsidR="004A72E7" w:rsidRPr="001E2F6E" w:rsidRDefault="004A72E7" w:rsidP="00C0018A">
            <w:pPr>
              <w:spacing w:line="240" w:lineRule="exact"/>
              <w:ind w:left="227" w:right="170" w:hanging="227"/>
              <w:jc w:val="right"/>
              <w:rPr>
                <w:sz w:val="16"/>
                <w:szCs w:val="16"/>
              </w:rPr>
            </w:pPr>
            <w:r w:rsidRPr="001E2F6E">
              <w:rPr>
                <w:sz w:val="16"/>
                <w:szCs w:val="16"/>
              </w:rPr>
              <w:t>11,8</w:t>
            </w:r>
          </w:p>
        </w:tc>
        <w:tc>
          <w:tcPr>
            <w:tcW w:w="418" w:type="pct"/>
            <w:tcBorders>
              <w:left w:val="single" w:sz="4" w:space="0" w:color="BFBFBF"/>
              <w:right w:val="single" w:sz="4" w:space="0" w:color="BFBFBF"/>
            </w:tcBorders>
          </w:tcPr>
          <w:p w:rsidR="004A72E7" w:rsidRPr="001E2F6E" w:rsidRDefault="004A72E7" w:rsidP="00C0018A">
            <w:pPr>
              <w:spacing w:line="240" w:lineRule="exact"/>
              <w:ind w:left="227" w:right="170" w:hanging="227"/>
              <w:jc w:val="right"/>
              <w:rPr>
                <w:sz w:val="16"/>
                <w:szCs w:val="16"/>
              </w:rPr>
            </w:pPr>
            <w:r w:rsidRPr="001E2F6E">
              <w:rPr>
                <w:sz w:val="16"/>
                <w:szCs w:val="16"/>
              </w:rPr>
              <w:t>23,0</w:t>
            </w:r>
          </w:p>
        </w:tc>
        <w:tc>
          <w:tcPr>
            <w:tcW w:w="420" w:type="pct"/>
            <w:tcBorders>
              <w:left w:val="single" w:sz="4" w:space="0" w:color="BFBFBF"/>
              <w:right w:val="single" w:sz="4" w:space="0" w:color="BFBFBF"/>
            </w:tcBorders>
          </w:tcPr>
          <w:p w:rsidR="004A72E7" w:rsidRPr="001E2F6E" w:rsidRDefault="004A72E7" w:rsidP="00C0018A">
            <w:pPr>
              <w:spacing w:line="240" w:lineRule="exact"/>
              <w:ind w:left="227" w:right="170" w:hanging="227"/>
              <w:jc w:val="right"/>
              <w:rPr>
                <w:sz w:val="16"/>
                <w:szCs w:val="16"/>
              </w:rPr>
            </w:pPr>
            <w:r w:rsidRPr="001E2F6E">
              <w:rPr>
                <w:sz w:val="16"/>
                <w:szCs w:val="16"/>
              </w:rPr>
              <w:t>57,2</w:t>
            </w:r>
          </w:p>
        </w:tc>
        <w:tc>
          <w:tcPr>
            <w:tcW w:w="418" w:type="pct"/>
            <w:tcBorders>
              <w:left w:val="single" w:sz="4" w:space="0" w:color="BFBFBF"/>
              <w:right w:val="single" w:sz="4" w:space="0" w:color="BFBFBF"/>
            </w:tcBorders>
          </w:tcPr>
          <w:p w:rsidR="004A72E7" w:rsidRPr="001E2F6E" w:rsidRDefault="004A72E7" w:rsidP="00C0018A">
            <w:pPr>
              <w:spacing w:line="240" w:lineRule="exact"/>
              <w:ind w:left="227" w:right="170" w:hanging="227"/>
              <w:jc w:val="right"/>
              <w:rPr>
                <w:sz w:val="16"/>
                <w:szCs w:val="16"/>
              </w:rPr>
            </w:pPr>
            <w:r w:rsidRPr="001E2F6E">
              <w:rPr>
                <w:sz w:val="16"/>
                <w:szCs w:val="16"/>
              </w:rPr>
              <w:t>81,8</w:t>
            </w:r>
          </w:p>
        </w:tc>
        <w:tc>
          <w:tcPr>
            <w:tcW w:w="418" w:type="pct"/>
            <w:tcBorders>
              <w:left w:val="single" w:sz="4" w:space="0" w:color="BFBFBF"/>
              <w:right w:val="single" w:sz="4" w:space="0" w:color="BFBFBF"/>
            </w:tcBorders>
          </w:tcPr>
          <w:p w:rsidR="004A72E7" w:rsidRPr="001E2F6E" w:rsidRDefault="004A72E7" w:rsidP="00C0018A">
            <w:pPr>
              <w:spacing w:line="240" w:lineRule="exact"/>
              <w:ind w:left="227" w:right="170" w:hanging="227"/>
              <w:jc w:val="right"/>
              <w:rPr>
                <w:sz w:val="16"/>
                <w:szCs w:val="16"/>
              </w:rPr>
            </w:pPr>
            <w:r w:rsidRPr="001E2F6E">
              <w:rPr>
                <w:sz w:val="16"/>
                <w:szCs w:val="16"/>
              </w:rPr>
              <w:t>92,5</w:t>
            </w:r>
          </w:p>
        </w:tc>
        <w:tc>
          <w:tcPr>
            <w:tcW w:w="418" w:type="pct"/>
            <w:tcBorders>
              <w:left w:val="single" w:sz="4" w:space="0" w:color="BFBFBF"/>
              <w:right w:val="single" w:sz="4" w:space="0" w:color="BFBFBF"/>
            </w:tcBorders>
          </w:tcPr>
          <w:p w:rsidR="004A72E7" w:rsidRPr="001E2F6E" w:rsidRDefault="004A72E7" w:rsidP="00C0018A">
            <w:pPr>
              <w:spacing w:line="240" w:lineRule="exact"/>
              <w:ind w:left="227" w:right="170" w:hanging="227"/>
              <w:jc w:val="right"/>
              <w:rPr>
                <w:sz w:val="16"/>
                <w:szCs w:val="16"/>
              </w:rPr>
            </w:pPr>
            <w:r w:rsidRPr="001E2F6E">
              <w:rPr>
                <w:sz w:val="16"/>
                <w:szCs w:val="16"/>
              </w:rPr>
              <w:t>88,0</w:t>
            </w:r>
          </w:p>
        </w:tc>
        <w:tc>
          <w:tcPr>
            <w:tcW w:w="613" w:type="pct"/>
            <w:tcBorders>
              <w:left w:val="single" w:sz="4" w:space="0" w:color="BFBFBF"/>
            </w:tcBorders>
          </w:tcPr>
          <w:p w:rsidR="004A72E7" w:rsidRPr="001E2F6E" w:rsidRDefault="004A72E7" w:rsidP="00C0018A">
            <w:pPr>
              <w:spacing w:line="240" w:lineRule="exact"/>
              <w:ind w:left="227" w:right="170" w:hanging="227"/>
              <w:jc w:val="right"/>
              <w:rPr>
                <w:sz w:val="16"/>
                <w:szCs w:val="16"/>
              </w:rPr>
            </w:pPr>
            <w:r w:rsidRPr="001E2F6E">
              <w:rPr>
                <w:sz w:val="16"/>
                <w:szCs w:val="16"/>
              </w:rPr>
              <w:t>83,7</w:t>
            </w:r>
          </w:p>
        </w:tc>
      </w:tr>
      <w:tr w:rsidR="004A72E7" w:rsidRPr="001E2F6E">
        <w:trPr>
          <w:jc w:val="center"/>
        </w:trPr>
        <w:tc>
          <w:tcPr>
            <w:tcW w:w="1270" w:type="pct"/>
            <w:tcBorders>
              <w:bottom w:val="single" w:sz="4" w:space="0" w:color="BFBFBF"/>
              <w:right w:val="single" w:sz="4" w:space="0" w:color="BFBFBF"/>
            </w:tcBorders>
          </w:tcPr>
          <w:p w:rsidR="004A72E7" w:rsidRPr="001E2F6E" w:rsidRDefault="004A72E7" w:rsidP="00C11E29">
            <w:pPr>
              <w:spacing w:line="240" w:lineRule="exact"/>
              <w:jc w:val="left"/>
              <w:rPr>
                <w:sz w:val="16"/>
                <w:szCs w:val="16"/>
              </w:rPr>
            </w:pPr>
            <w:r w:rsidRPr="001E2F6E">
              <w:rPr>
                <w:sz w:val="16"/>
                <w:szCs w:val="16"/>
                <w:lang w:val="eu-ES"/>
              </w:rPr>
              <w:t>Lanpostuak baloratzeko eskuliburua</w:t>
            </w:r>
          </w:p>
        </w:tc>
        <w:tc>
          <w:tcPr>
            <w:tcW w:w="410" w:type="pct"/>
            <w:tcBorders>
              <w:left w:val="single" w:sz="4" w:space="0" w:color="BFBFBF"/>
              <w:bottom w:val="single" w:sz="4" w:space="0" w:color="BFBFBF"/>
              <w:right w:val="single" w:sz="4" w:space="0" w:color="BFBFBF"/>
            </w:tcBorders>
          </w:tcPr>
          <w:p w:rsidR="004A72E7" w:rsidRPr="001E2F6E" w:rsidRDefault="004A72E7" w:rsidP="00C0018A">
            <w:pPr>
              <w:spacing w:line="240" w:lineRule="exact"/>
              <w:ind w:left="227" w:right="170" w:hanging="227"/>
              <w:jc w:val="right"/>
              <w:rPr>
                <w:sz w:val="16"/>
                <w:szCs w:val="16"/>
              </w:rPr>
            </w:pPr>
            <w:r w:rsidRPr="001E2F6E">
              <w:rPr>
                <w:sz w:val="16"/>
                <w:szCs w:val="16"/>
              </w:rPr>
              <w:t>29,2</w:t>
            </w:r>
          </w:p>
        </w:tc>
        <w:tc>
          <w:tcPr>
            <w:tcW w:w="615" w:type="pct"/>
            <w:tcBorders>
              <w:left w:val="single" w:sz="4" w:space="0" w:color="BFBFBF"/>
              <w:bottom w:val="single" w:sz="4" w:space="0" w:color="BFBFBF"/>
              <w:right w:val="single" w:sz="4" w:space="0" w:color="BFBFBF"/>
            </w:tcBorders>
          </w:tcPr>
          <w:p w:rsidR="004A72E7" w:rsidRPr="001E2F6E" w:rsidRDefault="004A72E7" w:rsidP="00C0018A">
            <w:pPr>
              <w:spacing w:line="240" w:lineRule="exact"/>
              <w:ind w:left="227" w:right="170" w:hanging="227"/>
              <w:jc w:val="right"/>
              <w:rPr>
                <w:sz w:val="16"/>
                <w:szCs w:val="16"/>
              </w:rPr>
            </w:pPr>
            <w:r w:rsidRPr="001E2F6E">
              <w:rPr>
                <w:sz w:val="16"/>
                <w:szCs w:val="16"/>
              </w:rPr>
              <w:t>15,9</w:t>
            </w:r>
          </w:p>
        </w:tc>
        <w:tc>
          <w:tcPr>
            <w:tcW w:w="418" w:type="pct"/>
            <w:tcBorders>
              <w:left w:val="single" w:sz="4" w:space="0" w:color="BFBFBF"/>
              <w:bottom w:val="single" w:sz="4" w:space="0" w:color="BFBFBF"/>
              <w:right w:val="single" w:sz="4" w:space="0" w:color="BFBFBF"/>
            </w:tcBorders>
          </w:tcPr>
          <w:p w:rsidR="004A72E7" w:rsidRPr="001E2F6E" w:rsidRDefault="004A72E7" w:rsidP="00C0018A">
            <w:pPr>
              <w:spacing w:line="240" w:lineRule="exact"/>
              <w:ind w:left="227" w:right="170" w:hanging="227"/>
              <w:jc w:val="right"/>
              <w:rPr>
                <w:sz w:val="16"/>
                <w:szCs w:val="16"/>
              </w:rPr>
            </w:pPr>
            <w:r w:rsidRPr="001E2F6E">
              <w:rPr>
                <w:sz w:val="16"/>
                <w:szCs w:val="16"/>
              </w:rPr>
              <w:t>30,3</w:t>
            </w:r>
          </w:p>
        </w:tc>
        <w:tc>
          <w:tcPr>
            <w:tcW w:w="420" w:type="pct"/>
            <w:tcBorders>
              <w:left w:val="single" w:sz="4" w:space="0" w:color="BFBFBF"/>
              <w:bottom w:val="single" w:sz="4" w:space="0" w:color="BFBFBF"/>
              <w:right w:val="single" w:sz="4" w:space="0" w:color="BFBFBF"/>
            </w:tcBorders>
          </w:tcPr>
          <w:p w:rsidR="004A72E7" w:rsidRPr="001E2F6E" w:rsidRDefault="004A72E7" w:rsidP="00C0018A">
            <w:pPr>
              <w:spacing w:line="240" w:lineRule="exact"/>
              <w:ind w:left="227" w:right="170" w:hanging="227"/>
              <w:jc w:val="right"/>
              <w:rPr>
                <w:sz w:val="16"/>
                <w:szCs w:val="16"/>
              </w:rPr>
            </w:pPr>
            <w:r w:rsidRPr="001E2F6E">
              <w:rPr>
                <w:sz w:val="16"/>
                <w:szCs w:val="16"/>
              </w:rPr>
              <w:t>58,9</w:t>
            </w:r>
          </w:p>
        </w:tc>
        <w:tc>
          <w:tcPr>
            <w:tcW w:w="418" w:type="pct"/>
            <w:tcBorders>
              <w:left w:val="single" w:sz="4" w:space="0" w:color="BFBFBF"/>
              <w:bottom w:val="single" w:sz="4" w:space="0" w:color="BFBFBF"/>
              <w:right w:val="single" w:sz="4" w:space="0" w:color="BFBFBF"/>
            </w:tcBorders>
          </w:tcPr>
          <w:p w:rsidR="004A72E7" w:rsidRPr="001E2F6E" w:rsidRDefault="004A72E7" w:rsidP="00C0018A">
            <w:pPr>
              <w:spacing w:line="240" w:lineRule="exact"/>
              <w:ind w:left="227" w:right="170" w:hanging="227"/>
              <w:jc w:val="right"/>
              <w:rPr>
                <w:sz w:val="16"/>
                <w:szCs w:val="16"/>
              </w:rPr>
            </w:pPr>
            <w:r w:rsidRPr="001E2F6E">
              <w:rPr>
                <w:sz w:val="16"/>
                <w:szCs w:val="16"/>
              </w:rPr>
              <w:t>62,2</w:t>
            </w:r>
          </w:p>
        </w:tc>
        <w:tc>
          <w:tcPr>
            <w:tcW w:w="418" w:type="pct"/>
            <w:tcBorders>
              <w:left w:val="single" w:sz="4" w:space="0" w:color="BFBFBF"/>
              <w:bottom w:val="single" w:sz="4" w:space="0" w:color="BFBFBF"/>
              <w:right w:val="single" w:sz="4" w:space="0" w:color="BFBFBF"/>
            </w:tcBorders>
          </w:tcPr>
          <w:p w:rsidR="004A72E7" w:rsidRPr="001E2F6E" w:rsidRDefault="004A72E7" w:rsidP="00C0018A">
            <w:pPr>
              <w:spacing w:line="240" w:lineRule="exact"/>
              <w:ind w:left="227" w:right="170" w:hanging="227"/>
              <w:jc w:val="right"/>
              <w:rPr>
                <w:sz w:val="16"/>
                <w:szCs w:val="16"/>
              </w:rPr>
            </w:pPr>
            <w:r w:rsidRPr="001E2F6E">
              <w:rPr>
                <w:sz w:val="16"/>
                <w:szCs w:val="16"/>
              </w:rPr>
              <w:t>96,2</w:t>
            </w:r>
          </w:p>
        </w:tc>
        <w:tc>
          <w:tcPr>
            <w:tcW w:w="418" w:type="pct"/>
            <w:tcBorders>
              <w:left w:val="single" w:sz="4" w:space="0" w:color="BFBFBF"/>
              <w:bottom w:val="single" w:sz="4" w:space="0" w:color="BFBFBF"/>
              <w:right w:val="single" w:sz="4" w:space="0" w:color="BFBFBF"/>
            </w:tcBorders>
          </w:tcPr>
          <w:p w:rsidR="004A72E7" w:rsidRPr="001E2F6E" w:rsidRDefault="004A72E7" w:rsidP="00C0018A">
            <w:pPr>
              <w:spacing w:line="240" w:lineRule="exact"/>
              <w:ind w:left="227" w:right="170" w:hanging="227"/>
              <w:jc w:val="right"/>
              <w:rPr>
                <w:sz w:val="16"/>
                <w:szCs w:val="16"/>
              </w:rPr>
            </w:pPr>
            <w:r w:rsidRPr="001E2F6E">
              <w:rPr>
                <w:sz w:val="16"/>
                <w:szCs w:val="16"/>
              </w:rPr>
              <w:t>93,3</w:t>
            </w:r>
          </w:p>
        </w:tc>
        <w:tc>
          <w:tcPr>
            <w:tcW w:w="613" w:type="pct"/>
            <w:tcBorders>
              <w:left w:val="single" w:sz="4" w:space="0" w:color="BFBFBF"/>
              <w:bottom w:val="single" w:sz="4" w:space="0" w:color="BFBFBF"/>
            </w:tcBorders>
          </w:tcPr>
          <w:p w:rsidR="004A72E7" w:rsidRPr="001E2F6E" w:rsidRDefault="004A72E7" w:rsidP="00C0018A">
            <w:pPr>
              <w:spacing w:line="240" w:lineRule="exact"/>
              <w:ind w:left="227" w:right="170" w:hanging="227"/>
              <w:jc w:val="right"/>
              <w:rPr>
                <w:sz w:val="16"/>
                <w:szCs w:val="16"/>
              </w:rPr>
            </w:pPr>
            <w:r w:rsidRPr="001E2F6E">
              <w:rPr>
                <w:sz w:val="16"/>
                <w:szCs w:val="16"/>
              </w:rPr>
              <w:t>100,0</w:t>
            </w:r>
          </w:p>
        </w:tc>
      </w:tr>
    </w:tbl>
    <w:p w:rsidR="004A72E7" w:rsidRPr="001E2F6E" w:rsidRDefault="004A72E7" w:rsidP="00354E9D">
      <w:pPr>
        <w:ind w:left="227" w:hanging="227"/>
        <w:rPr>
          <w:lang w:val="es-ES_tradnl"/>
        </w:rPr>
      </w:pPr>
    </w:p>
    <w:p w:rsidR="004A72E7" w:rsidRPr="001E2F6E" w:rsidRDefault="004A72E7" w:rsidP="00C0018A">
      <w:pPr>
        <w:spacing w:line="240" w:lineRule="auto"/>
        <w:ind w:left="227" w:hanging="227"/>
        <w:jc w:val="center"/>
        <w:rPr>
          <w:b/>
          <w:bCs/>
          <w:snapToGrid w:val="0"/>
          <w:color w:val="1F497D" w:themeColor="text2"/>
          <w:sz w:val="18"/>
          <w:szCs w:val="18"/>
          <w:lang w:val="es-ES_tradnl"/>
        </w:rPr>
      </w:pPr>
      <w:r w:rsidRPr="001E2F6E">
        <w:rPr>
          <w:b/>
          <w:bCs/>
          <w:snapToGrid w:val="0"/>
          <w:color w:val="1F497D" w:themeColor="text2"/>
          <w:sz w:val="18"/>
          <w:szCs w:val="18"/>
          <w:lang w:val="eu-ES"/>
        </w:rPr>
        <w:t>KUDEAKETA-TRESNAK ERABILTZEKO JOERA ENPRESAREN TAMAINAREN ARABERA,</w:t>
      </w:r>
      <w:r w:rsidRPr="001E2F6E">
        <w:rPr>
          <w:b/>
          <w:bCs/>
          <w:snapToGrid w:val="0"/>
          <w:color w:val="1F497D" w:themeColor="text2"/>
          <w:sz w:val="18"/>
          <w:szCs w:val="18"/>
          <w:lang w:val="es-ES_tradnl"/>
        </w:rPr>
        <w:t xml:space="preserve"> 2012</w:t>
      </w:r>
    </w:p>
    <w:tbl>
      <w:tblPr>
        <w:tblW w:w="5761" w:type="pct"/>
        <w:jc w:val="center"/>
        <w:tblBorders>
          <w:bottom w:val="single" w:sz="4" w:space="0" w:color="BFBFBF"/>
        </w:tblBorders>
        <w:tblLayout w:type="fixed"/>
        <w:tblLook w:val="00A0" w:firstRow="1" w:lastRow="0" w:firstColumn="1" w:lastColumn="0" w:noHBand="0" w:noVBand="0"/>
      </w:tblPr>
      <w:tblGrid>
        <w:gridCol w:w="2636"/>
        <w:gridCol w:w="851"/>
        <w:gridCol w:w="1276"/>
        <w:gridCol w:w="867"/>
        <w:gridCol w:w="871"/>
        <w:gridCol w:w="867"/>
        <w:gridCol w:w="867"/>
        <w:gridCol w:w="867"/>
        <w:gridCol w:w="1272"/>
      </w:tblGrid>
      <w:tr w:rsidR="004A72E7" w:rsidRPr="001E2F6E">
        <w:trPr>
          <w:jc w:val="center"/>
        </w:trPr>
        <w:tc>
          <w:tcPr>
            <w:tcW w:w="1270" w:type="pct"/>
            <w:tcBorders>
              <w:top w:val="single" w:sz="4" w:space="0" w:color="BFBFBF"/>
              <w:bottom w:val="single" w:sz="4" w:space="0" w:color="BFBFBF"/>
              <w:right w:val="single" w:sz="4" w:space="0" w:color="BFBFBF"/>
            </w:tcBorders>
            <w:shd w:val="clear" w:color="auto" w:fill="DBE5F1"/>
          </w:tcPr>
          <w:p w:rsidR="004A72E7" w:rsidRPr="001E2F6E" w:rsidRDefault="004A72E7" w:rsidP="00E7466B">
            <w:pPr>
              <w:spacing w:line="240" w:lineRule="exact"/>
              <w:ind w:left="227" w:hanging="227"/>
              <w:jc w:val="center"/>
              <w:rPr>
                <w:b/>
                <w:bCs/>
                <w:sz w:val="16"/>
                <w:szCs w:val="16"/>
              </w:rPr>
            </w:pPr>
            <w:r w:rsidRPr="001E2F6E">
              <w:rPr>
                <w:b/>
                <w:bCs/>
                <w:sz w:val="16"/>
                <w:szCs w:val="16"/>
              </w:rPr>
              <w:t> </w:t>
            </w:r>
          </w:p>
        </w:tc>
        <w:tc>
          <w:tcPr>
            <w:tcW w:w="410" w:type="pct"/>
            <w:tcBorders>
              <w:top w:val="single" w:sz="4" w:space="0" w:color="BFBFBF"/>
              <w:left w:val="single" w:sz="4" w:space="0" w:color="BFBFBF"/>
              <w:right w:val="single" w:sz="4" w:space="0" w:color="BFBFBF"/>
            </w:tcBorders>
            <w:shd w:val="clear" w:color="auto" w:fill="DBE5F1"/>
            <w:vAlign w:val="bottom"/>
          </w:tcPr>
          <w:p w:rsidR="004A72E7" w:rsidRPr="001E2F6E" w:rsidRDefault="004A72E7" w:rsidP="008039C1">
            <w:pPr>
              <w:spacing w:line="240" w:lineRule="exact"/>
              <w:jc w:val="center"/>
              <w:rPr>
                <w:b/>
                <w:bCs/>
                <w:sz w:val="16"/>
                <w:szCs w:val="16"/>
              </w:rPr>
            </w:pPr>
            <w:r w:rsidRPr="001E2F6E">
              <w:rPr>
                <w:b/>
                <w:bCs/>
                <w:sz w:val="16"/>
                <w:szCs w:val="16"/>
                <w:lang w:val="eu-ES"/>
              </w:rPr>
              <w:t>GUZTIRA</w:t>
            </w:r>
          </w:p>
          <w:p w:rsidR="004A72E7" w:rsidRPr="001E2F6E" w:rsidRDefault="004A72E7" w:rsidP="008039C1">
            <w:pPr>
              <w:spacing w:line="240" w:lineRule="exact"/>
              <w:jc w:val="center"/>
              <w:rPr>
                <w:b/>
                <w:bCs/>
                <w:sz w:val="16"/>
                <w:szCs w:val="16"/>
              </w:rPr>
            </w:pPr>
            <w:r w:rsidRPr="001E2F6E">
              <w:rPr>
                <w:b/>
                <w:bCs/>
                <w:sz w:val="16"/>
                <w:szCs w:val="16"/>
                <w:lang w:val="es-ES_tradnl"/>
              </w:rPr>
              <w:t>%</w:t>
            </w:r>
          </w:p>
        </w:tc>
        <w:tc>
          <w:tcPr>
            <w:tcW w:w="615" w:type="pct"/>
            <w:tcBorders>
              <w:top w:val="single" w:sz="4" w:space="0" w:color="BFBFBF"/>
              <w:left w:val="single" w:sz="4" w:space="0" w:color="BFBFBF"/>
              <w:right w:val="single" w:sz="4" w:space="0" w:color="BFBFBF"/>
            </w:tcBorders>
            <w:shd w:val="clear" w:color="auto" w:fill="DBE5F1"/>
            <w:vAlign w:val="bottom"/>
          </w:tcPr>
          <w:p w:rsidR="004A72E7" w:rsidRPr="001E2F6E" w:rsidRDefault="004A72E7" w:rsidP="008039C1">
            <w:pPr>
              <w:spacing w:line="240" w:lineRule="exact"/>
              <w:jc w:val="center"/>
              <w:rPr>
                <w:b/>
                <w:bCs/>
                <w:sz w:val="16"/>
                <w:szCs w:val="16"/>
              </w:rPr>
            </w:pPr>
            <w:r w:rsidRPr="001E2F6E">
              <w:rPr>
                <w:b/>
                <w:bCs/>
                <w:sz w:val="16"/>
                <w:szCs w:val="16"/>
                <w:lang w:val="eu-ES"/>
              </w:rPr>
              <w:t>6 langile baino gutxiago</w:t>
            </w:r>
          </w:p>
          <w:p w:rsidR="004A72E7" w:rsidRPr="001E2F6E" w:rsidRDefault="004A72E7" w:rsidP="008039C1">
            <w:pPr>
              <w:spacing w:line="240" w:lineRule="exact"/>
              <w:jc w:val="center"/>
              <w:rPr>
                <w:b/>
                <w:bCs/>
                <w:sz w:val="16"/>
                <w:szCs w:val="16"/>
              </w:rPr>
            </w:pPr>
            <w:r w:rsidRPr="001E2F6E">
              <w:rPr>
                <w:b/>
                <w:bCs/>
                <w:sz w:val="16"/>
                <w:szCs w:val="16"/>
                <w:lang w:val="es-ES_tradnl"/>
              </w:rPr>
              <w:t>%</w:t>
            </w:r>
          </w:p>
        </w:tc>
        <w:tc>
          <w:tcPr>
            <w:tcW w:w="418" w:type="pct"/>
            <w:tcBorders>
              <w:top w:val="single" w:sz="4" w:space="0" w:color="BFBFBF"/>
              <w:left w:val="single" w:sz="4" w:space="0" w:color="BFBFBF"/>
              <w:right w:val="single" w:sz="4" w:space="0" w:color="BFBFBF"/>
            </w:tcBorders>
            <w:shd w:val="clear" w:color="auto" w:fill="DBE5F1"/>
            <w:vAlign w:val="bottom"/>
          </w:tcPr>
          <w:p w:rsidR="004A72E7" w:rsidRPr="001E2F6E" w:rsidRDefault="004A72E7" w:rsidP="008039C1">
            <w:pPr>
              <w:spacing w:line="240" w:lineRule="exact"/>
              <w:jc w:val="center"/>
              <w:rPr>
                <w:b/>
                <w:bCs/>
                <w:sz w:val="16"/>
                <w:szCs w:val="16"/>
              </w:rPr>
            </w:pPr>
            <w:r w:rsidRPr="001E2F6E">
              <w:rPr>
                <w:b/>
                <w:bCs/>
                <w:sz w:val="16"/>
                <w:szCs w:val="16"/>
                <w:lang w:val="eu-ES"/>
              </w:rPr>
              <w:t>6-15 langile</w:t>
            </w:r>
          </w:p>
          <w:p w:rsidR="004A72E7" w:rsidRPr="001E2F6E" w:rsidRDefault="004A72E7" w:rsidP="008039C1">
            <w:pPr>
              <w:spacing w:line="240" w:lineRule="exact"/>
              <w:jc w:val="center"/>
              <w:rPr>
                <w:b/>
                <w:bCs/>
                <w:sz w:val="16"/>
                <w:szCs w:val="16"/>
              </w:rPr>
            </w:pPr>
            <w:r w:rsidRPr="001E2F6E">
              <w:rPr>
                <w:b/>
                <w:bCs/>
                <w:sz w:val="16"/>
                <w:szCs w:val="16"/>
                <w:lang w:val="es-ES_tradnl"/>
              </w:rPr>
              <w:t>%</w:t>
            </w:r>
          </w:p>
        </w:tc>
        <w:tc>
          <w:tcPr>
            <w:tcW w:w="420" w:type="pct"/>
            <w:tcBorders>
              <w:top w:val="single" w:sz="4" w:space="0" w:color="BFBFBF"/>
              <w:left w:val="single" w:sz="4" w:space="0" w:color="BFBFBF"/>
              <w:right w:val="single" w:sz="4" w:space="0" w:color="BFBFBF"/>
            </w:tcBorders>
            <w:shd w:val="clear" w:color="auto" w:fill="DBE5F1"/>
            <w:vAlign w:val="bottom"/>
          </w:tcPr>
          <w:p w:rsidR="004A72E7" w:rsidRPr="001E2F6E" w:rsidRDefault="004A72E7" w:rsidP="008039C1">
            <w:pPr>
              <w:spacing w:line="240" w:lineRule="exact"/>
              <w:jc w:val="center"/>
              <w:rPr>
                <w:b/>
                <w:bCs/>
                <w:sz w:val="16"/>
                <w:szCs w:val="16"/>
              </w:rPr>
            </w:pPr>
            <w:r w:rsidRPr="001E2F6E">
              <w:rPr>
                <w:b/>
                <w:bCs/>
                <w:sz w:val="16"/>
                <w:szCs w:val="16"/>
                <w:lang w:val="eu-ES"/>
              </w:rPr>
              <w:t>16-50 langile</w:t>
            </w:r>
          </w:p>
          <w:p w:rsidR="004A72E7" w:rsidRPr="001E2F6E" w:rsidRDefault="004A72E7" w:rsidP="008039C1">
            <w:pPr>
              <w:spacing w:line="240" w:lineRule="exact"/>
              <w:jc w:val="center"/>
              <w:rPr>
                <w:b/>
                <w:bCs/>
                <w:sz w:val="16"/>
                <w:szCs w:val="16"/>
              </w:rPr>
            </w:pPr>
            <w:r w:rsidRPr="001E2F6E">
              <w:rPr>
                <w:b/>
                <w:bCs/>
                <w:sz w:val="16"/>
                <w:szCs w:val="16"/>
                <w:lang w:val="es-ES_tradnl"/>
              </w:rPr>
              <w:t>%</w:t>
            </w:r>
          </w:p>
        </w:tc>
        <w:tc>
          <w:tcPr>
            <w:tcW w:w="418" w:type="pct"/>
            <w:tcBorders>
              <w:top w:val="single" w:sz="4" w:space="0" w:color="BFBFBF"/>
              <w:left w:val="single" w:sz="4" w:space="0" w:color="BFBFBF"/>
              <w:right w:val="single" w:sz="4" w:space="0" w:color="BFBFBF"/>
            </w:tcBorders>
            <w:shd w:val="clear" w:color="auto" w:fill="DBE5F1"/>
            <w:vAlign w:val="bottom"/>
          </w:tcPr>
          <w:p w:rsidR="004A72E7" w:rsidRPr="001E2F6E" w:rsidRDefault="004A72E7" w:rsidP="008039C1">
            <w:pPr>
              <w:spacing w:line="240" w:lineRule="exact"/>
              <w:jc w:val="center"/>
              <w:rPr>
                <w:b/>
                <w:bCs/>
                <w:sz w:val="16"/>
                <w:szCs w:val="16"/>
              </w:rPr>
            </w:pPr>
            <w:r w:rsidRPr="001E2F6E">
              <w:rPr>
                <w:b/>
                <w:bCs/>
                <w:sz w:val="16"/>
                <w:szCs w:val="16"/>
                <w:lang w:val="eu-ES"/>
              </w:rPr>
              <w:t>51-100 langile</w:t>
            </w:r>
          </w:p>
          <w:p w:rsidR="004A72E7" w:rsidRPr="001E2F6E" w:rsidRDefault="004A72E7" w:rsidP="008039C1">
            <w:pPr>
              <w:spacing w:line="240" w:lineRule="exact"/>
              <w:jc w:val="center"/>
              <w:rPr>
                <w:b/>
                <w:bCs/>
                <w:sz w:val="16"/>
                <w:szCs w:val="16"/>
              </w:rPr>
            </w:pPr>
            <w:r w:rsidRPr="001E2F6E">
              <w:rPr>
                <w:b/>
                <w:bCs/>
                <w:sz w:val="16"/>
                <w:szCs w:val="16"/>
                <w:lang w:val="es-ES_tradnl"/>
              </w:rPr>
              <w:t>%</w:t>
            </w:r>
          </w:p>
        </w:tc>
        <w:tc>
          <w:tcPr>
            <w:tcW w:w="418" w:type="pct"/>
            <w:tcBorders>
              <w:top w:val="single" w:sz="4" w:space="0" w:color="BFBFBF"/>
              <w:left w:val="single" w:sz="4" w:space="0" w:color="BFBFBF"/>
              <w:right w:val="single" w:sz="4" w:space="0" w:color="BFBFBF"/>
            </w:tcBorders>
            <w:shd w:val="clear" w:color="auto" w:fill="DBE5F1"/>
            <w:vAlign w:val="bottom"/>
          </w:tcPr>
          <w:p w:rsidR="004A72E7" w:rsidRPr="001E2F6E" w:rsidRDefault="004A72E7" w:rsidP="008039C1">
            <w:pPr>
              <w:spacing w:line="240" w:lineRule="exact"/>
              <w:jc w:val="center"/>
              <w:rPr>
                <w:b/>
                <w:bCs/>
                <w:sz w:val="16"/>
                <w:szCs w:val="16"/>
              </w:rPr>
            </w:pPr>
            <w:r w:rsidRPr="001E2F6E">
              <w:rPr>
                <w:b/>
                <w:bCs/>
                <w:sz w:val="16"/>
                <w:szCs w:val="16"/>
                <w:lang w:val="eu-ES"/>
              </w:rPr>
              <w:t>101-200 langile</w:t>
            </w:r>
          </w:p>
          <w:p w:rsidR="004A72E7" w:rsidRPr="001E2F6E" w:rsidRDefault="004A72E7" w:rsidP="008039C1">
            <w:pPr>
              <w:spacing w:line="240" w:lineRule="exact"/>
              <w:jc w:val="center"/>
              <w:rPr>
                <w:b/>
                <w:bCs/>
                <w:sz w:val="16"/>
                <w:szCs w:val="16"/>
              </w:rPr>
            </w:pPr>
            <w:r w:rsidRPr="001E2F6E">
              <w:rPr>
                <w:b/>
                <w:bCs/>
                <w:sz w:val="16"/>
                <w:szCs w:val="16"/>
                <w:lang w:val="es-ES_tradnl"/>
              </w:rPr>
              <w:t>%</w:t>
            </w:r>
          </w:p>
        </w:tc>
        <w:tc>
          <w:tcPr>
            <w:tcW w:w="418" w:type="pct"/>
            <w:tcBorders>
              <w:top w:val="single" w:sz="4" w:space="0" w:color="BFBFBF"/>
              <w:left w:val="single" w:sz="4" w:space="0" w:color="BFBFBF"/>
              <w:right w:val="single" w:sz="4" w:space="0" w:color="BFBFBF"/>
            </w:tcBorders>
            <w:shd w:val="clear" w:color="auto" w:fill="DBE5F1"/>
            <w:vAlign w:val="bottom"/>
          </w:tcPr>
          <w:p w:rsidR="004A72E7" w:rsidRPr="001E2F6E" w:rsidRDefault="004A72E7" w:rsidP="008039C1">
            <w:pPr>
              <w:spacing w:line="240" w:lineRule="exact"/>
              <w:jc w:val="center"/>
              <w:rPr>
                <w:b/>
                <w:bCs/>
                <w:sz w:val="16"/>
                <w:szCs w:val="16"/>
              </w:rPr>
            </w:pPr>
            <w:r w:rsidRPr="001E2F6E">
              <w:rPr>
                <w:b/>
                <w:bCs/>
                <w:sz w:val="16"/>
                <w:szCs w:val="16"/>
                <w:lang w:val="eu-ES"/>
              </w:rPr>
              <w:t>201-500 langile</w:t>
            </w:r>
          </w:p>
          <w:p w:rsidR="004A72E7" w:rsidRPr="001E2F6E" w:rsidRDefault="004A72E7" w:rsidP="008039C1">
            <w:pPr>
              <w:spacing w:line="240" w:lineRule="exact"/>
              <w:jc w:val="center"/>
              <w:rPr>
                <w:b/>
                <w:bCs/>
                <w:sz w:val="16"/>
                <w:szCs w:val="16"/>
              </w:rPr>
            </w:pPr>
            <w:r w:rsidRPr="001E2F6E">
              <w:rPr>
                <w:b/>
                <w:bCs/>
                <w:sz w:val="16"/>
                <w:szCs w:val="16"/>
                <w:lang w:val="es-ES_tradnl"/>
              </w:rPr>
              <w:t>%</w:t>
            </w:r>
          </w:p>
        </w:tc>
        <w:tc>
          <w:tcPr>
            <w:tcW w:w="613" w:type="pct"/>
            <w:tcBorders>
              <w:top w:val="single" w:sz="4" w:space="0" w:color="BFBFBF"/>
              <w:left w:val="single" w:sz="4" w:space="0" w:color="BFBFBF"/>
            </w:tcBorders>
            <w:shd w:val="clear" w:color="auto" w:fill="DBE5F1"/>
            <w:vAlign w:val="bottom"/>
          </w:tcPr>
          <w:p w:rsidR="004A72E7" w:rsidRPr="001E2F6E" w:rsidRDefault="004A72E7" w:rsidP="008039C1">
            <w:pPr>
              <w:spacing w:line="240" w:lineRule="exact"/>
              <w:jc w:val="center"/>
              <w:rPr>
                <w:b/>
                <w:bCs/>
                <w:sz w:val="16"/>
                <w:szCs w:val="16"/>
              </w:rPr>
            </w:pPr>
            <w:r w:rsidRPr="001E2F6E">
              <w:rPr>
                <w:b/>
                <w:bCs/>
                <w:sz w:val="16"/>
                <w:szCs w:val="16"/>
                <w:lang w:val="eu-ES"/>
              </w:rPr>
              <w:t>500 langile baino gehiago</w:t>
            </w:r>
          </w:p>
          <w:p w:rsidR="004A72E7" w:rsidRPr="001E2F6E" w:rsidRDefault="004A72E7" w:rsidP="008039C1">
            <w:pPr>
              <w:spacing w:line="240" w:lineRule="exact"/>
              <w:jc w:val="center"/>
              <w:rPr>
                <w:b/>
                <w:bCs/>
                <w:sz w:val="16"/>
                <w:szCs w:val="16"/>
              </w:rPr>
            </w:pPr>
            <w:r w:rsidRPr="001E2F6E">
              <w:rPr>
                <w:b/>
                <w:bCs/>
                <w:sz w:val="16"/>
                <w:szCs w:val="16"/>
                <w:lang w:val="es-ES_tradnl"/>
              </w:rPr>
              <w:t>%</w:t>
            </w:r>
          </w:p>
        </w:tc>
      </w:tr>
      <w:tr w:rsidR="004A72E7" w:rsidRPr="001E2F6E">
        <w:trPr>
          <w:jc w:val="center"/>
        </w:trPr>
        <w:tc>
          <w:tcPr>
            <w:tcW w:w="1270" w:type="pct"/>
            <w:tcBorders>
              <w:top w:val="single" w:sz="4" w:space="0" w:color="BFBFBF"/>
              <w:right w:val="single" w:sz="4" w:space="0" w:color="BFBFBF"/>
            </w:tcBorders>
          </w:tcPr>
          <w:p w:rsidR="004A72E7" w:rsidRPr="001E2F6E" w:rsidRDefault="004A72E7" w:rsidP="00E7466B">
            <w:pPr>
              <w:spacing w:line="240" w:lineRule="exact"/>
              <w:ind w:left="227" w:hanging="227"/>
              <w:jc w:val="left"/>
              <w:rPr>
                <w:sz w:val="16"/>
                <w:szCs w:val="16"/>
                <w:lang w:val="pt-BR"/>
              </w:rPr>
            </w:pPr>
            <w:r w:rsidRPr="001E2F6E">
              <w:rPr>
                <w:sz w:val="16"/>
                <w:szCs w:val="16"/>
                <w:lang w:val="eu-ES"/>
              </w:rPr>
              <w:t>Barne Erregimeneko Arautegia</w:t>
            </w:r>
          </w:p>
        </w:tc>
        <w:tc>
          <w:tcPr>
            <w:tcW w:w="410" w:type="pct"/>
            <w:tcBorders>
              <w:top w:val="single" w:sz="4" w:space="0" w:color="BFBFBF"/>
              <w:left w:val="single" w:sz="4" w:space="0" w:color="BFBFBF"/>
              <w:right w:val="single" w:sz="4" w:space="0" w:color="BFBFBF"/>
            </w:tcBorders>
            <w:vAlign w:val="center"/>
          </w:tcPr>
          <w:p w:rsidR="004A72E7" w:rsidRPr="001E2F6E" w:rsidRDefault="004A72E7" w:rsidP="00E7466B">
            <w:pPr>
              <w:spacing w:line="240" w:lineRule="exact"/>
              <w:ind w:left="227" w:right="170" w:hanging="227"/>
              <w:jc w:val="right"/>
              <w:rPr>
                <w:sz w:val="16"/>
                <w:szCs w:val="16"/>
              </w:rPr>
            </w:pPr>
            <w:r w:rsidRPr="001E2F6E">
              <w:rPr>
                <w:sz w:val="16"/>
                <w:szCs w:val="16"/>
              </w:rPr>
              <w:t>15,6</w:t>
            </w:r>
          </w:p>
        </w:tc>
        <w:tc>
          <w:tcPr>
            <w:tcW w:w="615" w:type="pct"/>
            <w:tcBorders>
              <w:top w:val="single" w:sz="4" w:space="0" w:color="BFBFBF"/>
              <w:left w:val="single" w:sz="4" w:space="0" w:color="BFBFBF"/>
              <w:right w:val="single" w:sz="4" w:space="0" w:color="BFBFBF"/>
            </w:tcBorders>
            <w:vAlign w:val="center"/>
          </w:tcPr>
          <w:p w:rsidR="004A72E7" w:rsidRPr="001E2F6E" w:rsidRDefault="004A72E7" w:rsidP="00E7466B">
            <w:pPr>
              <w:spacing w:line="240" w:lineRule="exact"/>
              <w:ind w:left="227" w:right="170" w:hanging="227"/>
              <w:jc w:val="right"/>
              <w:rPr>
                <w:sz w:val="16"/>
                <w:szCs w:val="16"/>
              </w:rPr>
            </w:pPr>
            <w:r w:rsidRPr="001E2F6E">
              <w:rPr>
                <w:sz w:val="16"/>
                <w:szCs w:val="16"/>
              </w:rPr>
              <w:t>4,9</w:t>
            </w:r>
          </w:p>
        </w:tc>
        <w:tc>
          <w:tcPr>
            <w:tcW w:w="418" w:type="pct"/>
            <w:tcBorders>
              <w:top w:val="single" w:sz="4" w:space="0" w:color="BFBFBF"/>
              <w:left w:val="single" w:sz="4" w:space="0" w:color="BFBFBF"/>
              <w:right w:val="single" w:sz="4" w:space="0" w:color="BFBFBF"/>
            </w:tcBorders>
            <w:vAlign w:val="center"/>
          </w:tcPr>
          <w:p w:rsidR="004A72E7" w:rsidRPr="001E2F6E" w:rsidRDefault="004A72E7" w:rsidP="00E7466B">
            <w:pPr>
              <w:spacing w:line="240" w:lineRule="exact"/>
              <w:ind w:left="227" w:right="170" w:hanging="227"/>
              <w:jc w:val="right"/>
              <w:rPr>
                <w:sz w:val="16"/>
                <w:szCs w:val="16"/>
              </w:rPr>
            </w:pPr>
            <w:r w:rsidRPr="001E2F6E">
              <w:rPr>
                <w:sz w:val="16"/>
                <w:szCs w:val="16"/>
              </w:rPr>
              <w:t>27,4</w:t>
            </w:r>
          </w:p>
        </w:tc>
        <w:tc>
          <w:tcPr>
            <w:tcW w:w="420" w:type="pct"/>
            <w:tcBorders>
              <w:top w:val="single" w:sz="4" w:space="0" w:color="BFBFBF"/>
              <w:left w:val="single" w:sz="4" w:space="0" w:color="BFBFBF"/>
              <w:right w:val="single" w:sz="4" w:space="0" w:color="BFBFBF"/>
            </w:tcBorders>
            <w:vAlign w:val="center"/>
          </w:tcPr>
          <w:p w:rsidR="004A72E7" w:rsidRPr="001E2F6E" w:rsidRDefault="004A72E7" w:rsidP="00E7466B">
            <w:pPr>
              <w:spacing w:line="240" w:lineRule="exact"/>
              <w:ind w:left="227" w:right="170" w:hanging="227"/>
              <w:jc w:val="right"/>
              <w:rPr>
                <w:sz w:val="16"/>
                <w:szCs w:val="16"/>
              </w:rPr>
            </w:pPr>
            <w:r w:rsidRPr="001E2F6E">
              <w:rPr>
                <w:sz w:val="16"/>
                <w:szCs w:val="16"/>
              </w:rPr>
              <w:t>17,0</w:t>
            </w:r>
          </w:p>
        </w:tc>
        <w:tc>
          <w:tcPr>
            <w:tcW w:w="418" w:type="pct"/>
            <w:tcBorders>
              <w:top w:val="single" w:sz="4" w:space="0" w:color="BFBFBF"/>
              <w:left w:val="single" w:sz="4" w:space="0" w:color="BFBFBF"/>
              <w:right w:val="single" w:sz="4" w:space="0" w:color="BFBFBF"/>
            </w:tcBorders>
            <w:vAlign w:val="center"/>
          </w:tcPr>
          <w:p w:rsidR="004A72E7" w:rsidRPr="001E2F6E" w:rsidRDefault="004A72E7" w:rsidP="00E7466B">
            <w:pPr>
              <w:spacing w:line="240" w:lineRule="exact"/>
              <w:ind w:left="227" w:right="170" w:hanging="227"/>
              <w:jc w:val="right"/>
              <w:rPr>
                <w:sz w:val="16"/>
                <w:szCs w:val="16"/>
              </w:rPr>
            </w:pPr>
            <w:r w:rsidRPr="001E2F6E">
              <w:rPr>
                <w:sz w:val="16"/>
                <w:szCs w:val="16"/>
              </w:rPr>
              <w:t>47,3</w:t>
            </w:r>
          </w:p>
        </w:tc>
        <w:tc>
          <w:tcPr>
            <w:tcW w:w="418" w:type="pct"/>
            <w:tcBorders>
              <w:top w:val="single" w:sz="4" w:space="0" w:color="BFBFBF"/>
              <w:left w:val="single" w:sz="4" w:space="0" w:color="BFBFBF"/>
              <w:right w:val="single" w:sz="4" w:space="0" w:color="BFBFBF"/>
            </w:tcBorders>
            <w:vAlign w:val="center"/>
          </w:tcPr>
          <w:p w:rsidR="004A72E7" w:rsidRPr="001E2F6E" w:rsidRDefault="004A72E7" w:rsidP="00E7466B">
            <w:pPr>
              <w:spacing w:line="240" w:lineRule="exact"/>
              <w:ind w:left="227" w:right="170" w:hanging="227"/>
              <w:jc w:val="right"/>
              <w:rPr>
                <w:sz w:val="16"/>
                <w:szCs w:val="16"/>
              </w:rPr>
            </w:pPr>
            <w:r w:rsidRPr="001E2F6E">
              <w:rPr>
                <w:sz w:val="16"/>
                <w:szCs w:val="16"/>
              </w:rPr>
              <w:t>0,0</w:t>
            </w:r>
          </w:p>
        </w:tc>
        <w:tc>
          <w:tcPr>
            <w:tcW w:w="418" w:type="pct"/>
            <w:tcBorders>
              <w:top w:val="single" w:sz="4" w:space="0" w:color="BFBFBF"/>
              <w:left w:val="single" w:sz="4" w:space="0" w:color="BFBFBF"/>
              <w:right w:val="single" w:sz="4" w:space="0" w:color="BFBFBF"/>
            </w:tcBorders>
            <w:vAlign w:val="center"/>
          </w:tcPr>
          <w:p w:rsidR="004A72E7" w:rsidRPr="001E2F6E" w:rsidRDefault="004A72E7" w:rsidP="00E7466B">
            <w:pPr>
              <w:spacing w:line="240" w:lineRule="exact"/>
              <w:ind w:left="227" w:right="170" w:hanging="227"/>
              <w:jc w:val="right"/>
              <w:rPr>
                <w:sz w:val="16"/>
                <w:szCs w:val="16"/>
              </w:rPr>
            </w:pPr>
            <w:r w:rsidRPr="001E2F6E">
              <w:rPr>
                <w:sz w:val="16"/>
                <w:szCs w:val="16"/>
              </w:rPr>
              <w:t>0,0</w:t>
            </w:r>
          </w:p>
        </w:tc>
        <w:tc>
          <w:tcPr>
            <w:tcW w:w="613" w:type="pct"/>
            <w:tcBorders>
              <w:top w:val="single" w:sz="4" w:space="0" w:color="BFBFBF"/>
              <w:left w:val="single" w:sz="4" w:space="0" w:color="BFBFBF"/>
            </w:tcBorders>
            <w:vAlign w:val="center"/>
          </w:tcPr>
          <w:p w:rsidR="004A72E7" w:rsidRPr="001E2F6E" w:rsidRDefault="004A72E7" w:rsidP="00E7466B">
            <w:pPr>
              <w:spacing w:line="240" w:lineRule="exact"/>
              <w:ind w:left="227" w:right="170" w:hanging="227"/>
              <w:jc w:val="right"/>
              <w:rPr>
                <w:sz w:val="16"/>
                <w:szCs w:val="16"/>
              </w:rPr>
            </w:pPr>
            <w:r w:rsidRPr="001E2F6E">
              <w:rPr>
                <w:sz w:val="16"/>
                <w:szCs w:val="16"/>
              </w:rPr>
              <w:t>100,0</w:t>
            </w:r>
          </w:p>
        </w:tc>
      </w:tr>
      <w:tr w:rsidR="004A72E7" w:rsidRPr="001E2F6E">
        <w:trPr>
          <w:jc w:val="center"/>
        </w:trPr>
        <w:tc>
          <w:tcPr>
            <w:tcW w:w="1270" w:type="pct"/>
            <w:tcBorders>
              <w:right w:val="single" w:sz="4" w:space="0" w:color="BFBFBF"/>
            </w:tcBorders>
          </w:tcPr>
          <w:p w:rsidR="004A72E7" w:rsidRPr="001E2F6E" w:rsidRDefault="004A72E7" w:rsidP="00E7466B">
            <w:pPr>
              <w:spacing w:line="240" w:lineRule="exact"/>
              <w:ind w:left="227" w:hanging="227"/>
              <w:jc w:val="left"/>
              <w:rPr>
                <w:sz w:val="16"/>
                <w:szCs w:val="16"/>
              </w:rPr>
            </w:pPr>
            <w:r w:rsidRPr="001E2F6E">
              <w:rPr>
                <w:sz w:val="16"/>
                <w:szCs w:val="16"/>
                <w:lang w:val="eu-ES"/>
              </w:rPr>
              <w:t>Kudeaketa Plana</w:t>
            </w:r>
          </w:p>
        </w:tc>
        <w:tc>
          <w:tcPr>
            <w:tcW w:w="410" w:type="pct"/>
            <w:tcBorders>
              <w:left w:val="single" w:sz="4" w:space="0" w:color="BFBFBF"/>
              <w:right w:val="single" w:sz="4" w:space="0" w:color="BFBFBF"/>
            </w:tcBorders>
            <w:vAlign w:val="center"/>
          </w:tcPr>
          <w:p w:rsidR="004A72E7" w:rsidRPr="001E2F6E" w:rsidRDefault="004A72E7" w:rsidP="00E7466B">
            <w:pPr>
              <w:spacing w:line="240" w:lineRule="exact"/>
              <w:ind w:left="227" w:right="170" w:hanging="227"/>
              <w:jc w:val="right"/>
              <w:rPr>
                <w:sz w:val="16"/>
                <w:szCs w:val="16"/>
              </w:rPr>
            </w:pPr>
            <w:r w:rsidRPr="001E2F6E">
              <w:rPr>
                <w:sz w:val="16"/>
                <w:szCs w:val="16"/>
              </w:rPr>
              <w:t>50,1</w:t>
            </w:r>
          </w:p>
        </w:tc>
        <w:tc>
          <w:tcPr>
            <w:tcW w:w="615" w:type="pct"/>
            <w:tcBorders>
              <w:left w:val="single" w:sz="4" w:space="0" w:color="BFBFBF"/>
              <w:right w:val="single" w:sz="4" w:space="0" w:color="BFBFBF"/>
            </w:tcBorders>
            <w:vAlign w:val="center"/>
          </w:tcPr>
          <w:p w:rsidR="004A72E7" w:rsidRPr="001E2F6E" w:rsidRDefault="004A72E7" w:rsidP="00E7466B">
            <w:pPr>
              <w:spacing w:line="240" w:lineRule="exact"/>
              <w:ind w:left="227" w:right="170" w:hanging="227"/>
              <w:jc w:val="right"/>
              <w:rPr>
                <w:sz w:val="16"/>
                <w:szCs w:val="16"/>
              </w:rPr>
            </w:pPr>
            <w:r w:rsidRPr="001E2F6E">
              <w:rPr>
                <w:sz w:val="16"/>
                <w:szCs w:val="16"/>
              </w:rPr>
              <w:t>62,2</w:t>
            </w:r>
          </w:p>
        </w:tc>
        <w:tc>
          <w:tcPr>
            <w:tcW w:w="418" w:type="pct"/>
            <w:tcBorders>
              <w:left w:val="single" w:sz="4" w:space="0" w:color="BFBFBF"/>
              <w:right w:val="single" w:sz="4" w:space="0" w:color="BFBFBF"/>
            </w:tcBorders>
            <w:vAlign w:val="center"/>
          </w:tcPr>
          <w:p w:rsidR="004A72E7" w:rsidRPr="001E2F6E" w:rsidRDefault="004A72E7" w:rsidP="00E7466B">
            <w:pPr>
              <w:spacing w:line="240" w:lineRule="exact"/>
              <w:ind w:left="227" w:right="170" w:hanging="227"/>
              <w:jc w:val="right"/>
              <w:rPr>
                <w:sz w:val="16"/>
                <w:szCs w:val="16"/>
              </w:rPr>
            </w:pPr>
            <w:r w:rsidRPr="001E2F6E">
              <w:rPr>
                <w:sz w:val="16"/>
                <w:szCs w:val="16"/>
              </w:rPr>
              <w:t>34,7</w:t>
            </w:r>
          </w:p>
        </w:tc>
        <w:tc>
          <w:tcPr>
            <w:tcW w:w="420" w:type="pct"/>
            <w:tcBorders>
              <w:left w:val="single" w:sz="4" w:space="0" w:color="BFBFBF"/>
              <w:right w:val="single" w:sz="4" w:space="0" w:color="BFBFBF"/>
            </w:tcBorders>
            <w:vAlign w:val="center"/>
          </w:tcPr>
          <w:p w:rsidR="004A72E7" w:rsidRPr="001E2F6E" w:rsidRDefault="004A72E7" w:rsidP="00E7466B">
            <w:pPr>
              <w:spacing w:line="240" w:lineRule="exact"/>
              <w:ind w:left="227" w:right="170" w:hanging="227"/>
              <w:jc w:val="right"/>
              <w:rPr>
                <w:sz w:val="16"/>
                <w:szCs w:val="16"/>
              </w:rPr>
            </w:pPr>
            <w:r w:rsidRPr="001E2F6E">
              <w:rPr>
                <w:sz w:val="16"/>
                <w:szCs w:val="16"/>
              </w:rPr>
              <w:t>45,3</w:t>
            </w:r>
          </w:p>
        </w:tc>
        <w:tc>
          <w:tcPr>
            <w:tcW w:w="418" w:type="pct"/>
            <w:tcBorders>
              <w:left w:val="single" w:sz="4" w:space="0" w:color="BFBFBF"/>
              <w:right w:val="single" w:sz="4" w:space="0" w:color="BFBFBF"/>
            </w:tcBorders>
            <w:vAlign w:val="center"/>
          </w:tcPr>
          <w:p w:rsidR="004A72E7" w:rsidRPr="001E2F6E" w:rsidRDefault="004A72E7" w:rsidP="00E7466B">
            <w:pPr>
              <w:spacing w:line="240" w:lineRule="exact"/>
              <w:ind w:left="227" w:right="170" w:hanging="227"/>
              <w:jc w:val="right"/>
              <w:rPr>
                <w:sz w:val="16"/>
                <w:szCs w:val="16"/>
              </w:rPr>
            </w:pPr>
            <w:r w:rsidRPr="001E2F6E">
              <w:rPr>
                <w:sz w:val="16"/>
                <w:szCs w:val="16"/>
              </w:rPr>
              <w:t>26,4</w:t>
            </w:r>
          </w:p>
        </w:tc>
        <w:tc>
          <w:tcPr>
            <w:tcW w:w="418" w:type="pct"/>
            <w:tcBorders>
              <w:left w:val="single" w:sz="4" w:space="0" w:color="BFBFBF"/>
              <w:right w:val="single" w:sz="4" w:space="0" w:color="BFBFBF"/>
            </w:tcBorders>
            <w:vAlign w:val="center"/>
          </w:tcPr>
          <w:p w:rsidR="004A72E7" w:rsidRPr="001E2F6E" w:rsidRDefault="004A72E7" w:rsidP="00E7466B">
            <w:pPr>
              <w:spacing w:line="240" w:lineRule="exact"/>
              <w:ind w:left="227" w:right="170" w:hanging="227"/>
              <w:jc w:val="right"/>
              <w:rPr>
                <w:sz w:val="16"/>
                <w:szCs w:val="16"/>
              </w:rPr>
            </w:pPr>
            <w:r w:rsidRPr="001E2F6E">
              <w:rPr>
                <w:sz w:val="16"/>
                <w:szCs w:val="16"/>
              </w:rPr>
              <w:t>50,0</w:t>
            </w:r>
          </w:p>
        </w:tc>
        <w:tc>
          <w:tcPr>
            <w:tcW w:w="418" w:type="pct"/>
            <w:tcBorders>
              <w:left w:val="single" w:sz="4" w:space="0" w:color="BFBFBF"/>
              <w:right w:val="single" w:sz="4" w:space="0" w:color="BFBFBF"/>
            </w:tcBorders>
            <w:vAlign w:val="center"/>
          </w:tcPr>
          <w:p w:rsidR="004A72E7" w:rsidRPr="001E2F6E" w:rsidRDefault="004A72E7" w:rsidP="00E7466B">
            <w:pPr>
              <w:spacing w:line="240" w:lineRule="exact"/>
              <w:ind w:left="227" w:right="170" w:hanging="227"/>
              <w:jc w:val="right"/>
              <w:rPr>
                <w:sz w:val="16"/>
                <w:szCs w:val="16"/>
              </w:rPr>
            </w:pPr>
            <w:r w:rsidRPr="001E2F6E">
              <w:rPr>
                <w:sz w:val="16"/>
                <w:szCs w:val="16"/>
              </w:rPr>
              <w:t>46,8</w:t>
            </w:r>
          </w:p>
        </w:tc>
        <w:tc>
          <w:tcPr>
            <w:tcW w:w="613" w:type="pct"/>
            <w:tcBorders>
              <w:left w:val="single" w:sz="4" w:space="0" w:color="BFBFBF"/>
            </w:tcBorders>
            <w:vAlign w:val="center"/>
          </w:tcPr>
          <w:p w:rsidR="004A72E7" w:rsidRPr="001E2F6E" w:rsidRDefault="004A72E7" w:rsidP="00E7466B">
            <w:pPr>
              <w:spacing w:line="240" w:lineRule="exact"/>
              <w:ind w:left="227" w:right="170" w:hanging="227"/>
              <w:jc w:val="right"/>
              <w:rPr>
                <w:sz w:val="16"/>
                <w:szCs w:val="16"/>
              </w:rPr>
            </w:pPr>
            <w:r w:rsidRPr="001E2F6E">
              <w:rPr>
                <w:sz w:val="16"/>
                <w:szCs w:val="16"/>
              </w:rPr>
              <w:t>100,0</w:t>
            </w:r>
          </w:p>
        </w:tc>
      </w:tr>
      <w:tr w:rsidR="004A72E7" w:rsidRPr="001E2F6E">
        <w:trPr>
          <w:jc w:val="center"/>
        </w:trPr>
        <w:tc>
          <w:tcPr>
            <w:tcW w:w="1270" w:type="pct"/>
            <w:tcBorders>
              <w:right w:val="single" w:sz="4" w:space="0" w:color="BFBFBF"/>
            </w:tcBorders>
          </w:tcPr>
          <w:p w:rsidR="004A72E7" w:rsidRPr="001E2F6E" w:rsidRDefault="004A72E7" w:rsidP="00E7466B">
            <w:pPr>
              <w:spacing w:line="240" w:lineRule="exact"/>
              <w:ind w:left="227" w:hanging="227"/>
              <w:jc w:val="left"/>
              <w:rPr>
                <w:sz w:val="16"/>
                <w:szCs w:val="16"/>
              </w:rPr>
            </w:pPr>
            <w:r w:rsidRPr="001E2F6E">
              <w:rPr>
                <w:sz w:val="16"/>
                <w:szCs w:val="16"/>
                <w:lang w:val="eu-ES"/>
              </w:rPr>
              <w:t>Prestakuntza Plana</w:t>
            </w:r>
          </w:p>
        </w:tc>
        <w:tc>
          <w:tcPr>
            <w:tcW w:w="410" w:type="pct"/>
            <w:tcBorders>
              <w:left w:val="single" w:sz="4" w:space="0" w:color="BFBFBF"/>
              <w:right w:val="single" w:sz="4" w:space="0" w:color="BFBFBF"/>
            </w:tcBorders>
            <w:vAlign w:val="center"/>
          </w:tcPr>
          <w:p w:rsidR="004A72E7" w:rsidRPr="001E2F6E" w:rsidRDefault="004A72E7" w:rsidP="00E7466B">
            <w:pPr>
              <w:spacing w:line="240" w:lineRule="exact"/>
              <w:ind w:left="227" w:right="170" w:hanging="227"/>
              <w:jc w:val="right"/>
              <w:rPr>
                <w:sz w:val="16"/>
                <w:szCs w:val="16"/>
              </w:rPr>
            </w:pPr>
            <w:r w:rsidRPr="001E2F6E">
              <w:rPr>
                <w:sz w:val="16"/>
                <w:szCs w:val="16"/>
              </w:rPr>
              <w:t>30,0</w:t>
            </w:r>
          </w:p>
        </w:tc>
        <w:tc>
          <w:tcPr>
            <w:tcW w:w="615" w:type="pct"/>
            <w:tcBorders>
              <w:left w:val="single" w:sz="4" w:space="0" w:color="BFBFBF"/>
              <w:right w:val="single" w:sz="4" w:space="0" w:color="BFBFBF"/>
            </w:tcBorders>
            <w:vAlign w:val="center"/>
          </w:tcPr>
          <w:p w:rsidR="004A72E7" w:rsidRPr="001E2F6E" w:rsidRDefault="004A72E7" w:rsidP="00E7466B">
            <w:pPr>
              <w:spacing w:line="240" w:lineRule="exact"/>
              <w:ind w:left="227" w:right="170" w:hanging="227"/>
              <w:jc w:val="right"/>
              <w:rPr>
                <w:sz w:val="16"/>
                <w:szCs w:val="16"/>
              </w:rPr>
            </w:pPr>
            <w:r w:rsidRPr="001E2F6E">
              <w:rPr>
                <w:sz w:val="16"/>
                <w:szCs w:val="16"/>
              </w:rPr>
              <w:t>26,5</w:t>
            </w:r>
          </w:p>
        </w:tc>
        <w:tc>
          <w:tcPr>
            <w:tcW w:w="418" w:type="pct"/>
            <w:tcBorders>
              <w:left w:val="single" w:sz="4" w:space="0" w:color="BFBFBF"/>
              <w:right w:val="single" w:sz="4" w:space="0" w:color="BFBFBF"/>
            </w:tcBorders>
            <w:vAlign w:val="center"/>
          </w:tcPr>
          <w:p w:rsidR="004A72E7" w:rsidRPr="001E2F6E" w:rsidRDefault="004A72E7" w:rsidP="00E7466B">
            <w:pPr>
              <w:spacing w:line="240" w:lineRule="exact"/>
              <w:ind w:left="227" w:right="170" w:hanging="227"/>
              <w:jc w:val="right"/>
              <w:rPr>
                <w:sz w:val="16"/>
                <w:szCs w:val="16"/>
              </w:rPr>
            </w:pPr>
            <w:r w:rsidRPr="001E2F6E">
              <w:rPr>
                <w:sz w:val="16"/>
                <w:szCs w:val="16"/>
              </w:rPr>
              <w:t>27,8</w:t>
            </w:r>
          </w:p>
        </w:tc>
        <w:tc>
          <w:tcPr>
            <w:tcW w:w="420" w:type="pct"/>
            <w:tcBorders>
              <w:left w:val="single" w:sz="4" w:space="0" w:color="BFBFBF"/>
              <w:right w:val="single" w:sz="4" w:space="0" w:color="BFBFBF"/>
            </w:tcBorders>
            <w:vAlign w:val="center"/>
          </w:tcPr>
          <w:p w:rsidR="004A72E7" w:rsidRPr="001E2F6E" w:rsidRDefault="004A72E7" w:rsidP="00E7466B">
            <w:pPr>
              <w:spacing w:line="240" w:lineRule="exact"/>
              <w:ind w:left="227" w:right="170" w:hanging="227"/>
              <w:jc w:val="right"/>
              <w:rPr>
                <w:sz w:val="16"/>
                <w:szCs w:val="16"/>
              </w:rPr>
            </w:pPr>
            <w:r w:rsidRPr="001E2F6E">
              <w:rPr>
                <w:sz w:val="16"/>
                <w:szCs w:val="16"/>
              </w:rPr>
              <w:t>41,4</w:t>
            </w:r>
          </w:p>
        </w:tc>
        <w:tc>
          <w:tcPr>
            <w:tcW w:w="418" w:type="pct"/>
            <w:tcBorders>
              <w:left w:val="single" w:sz="4" w:space="0" w:color="BFBFBF"/>
              <w:right w:val="single" w:sz="4" w:space="0" w:color="BFBFBF"/>
            </w:tcBorders>
            <w:vAlign w:val="center"/>
          </w:tcPr>
          <w:p w:rsidR="004A72E7" w:rsidRPr="001E2F6E" w:rsidRDefault="004A72E7" w:rsidP="00E7466B">
            <w:pPr>
              <w:spacing w:line="240" w:lineRule="exact"/>
              <w:ind w:left="227" w:right="170" w:hanging="227"/>
              <w:jc w:val="right"/>
              <w:rPr>
                <w:sz w:val="16"/>
                <w:szCs w:val="16"/>
              </w:rPr>
            </w:pPr>
            <w:r w:rsidRPr="001E2F6E">
              <w:rPr>
                <w:sz w:val="16"/>
                <w:szCs w:val="16"/>
              </w:rPr>
              <w:t>26,3</w:t>
            </w:r>
          </w:p>
        </w:tc>
        <w:tc>
          <w:tcPr>
            <w:tcW w:w="418" w:type="pct"/>
            <w:tcBorders>
              <w:left w:val="single" w:sz="4" w:space="0" w:color="BFBFBF"/>
              <w:right w:val="single" w:sz="4" w:space="0" w:color="BFBFBF"/>
            </w:tcBorders>
            <w:vAlign w:val="center"/>
          </w:tcPr>
          <w:p w:rsidR="004A72E7" w:rsidRPr="001E2F6E" w:rsidRDefault="004A72E7" w:rsidP="00E7466B">
            <w:pPr>
              <w:spacing w:line="240" w:lineRule="exact"/>
              <w:ind w:left="227" w:right="170" w:hanging="227"/>
              <w:jc w:val="right"/>
              <w:rPr>
                <w:sz w:val="16"/>
                <w:szCs w:val="16"/>
              </w:rPr>
            </w:pPr>
            <w:r w:rsidRPr="001E2F6E">
              <w:rPr>
                <w:sz w:val="16"/>
                <w:szCs w:val="16"/>
              </w:rPr>
              <w:t>0,0</w:t>
            </w:r>
          </w:p>
        </w:tc>
        <w:tc>
          <w:tcPr>
            <w:tcW w:w="418" w:type="pct"/>
            <w:tcBorders>
              <w:left w:val="single" w:sz="4" w:space="0" w:color="BFBFBF"/>
              <w:right w:val="single" w:sz="4" w:space="0" w:color="BFBFBF"/>
            </w:tcBorders>
            <w:vAlign w:val="center"/>
          </w:tcPr>
          <w:p w:rsidR="004A72E7" w:rsidRPr="001E2F6E" w:rsidRDefault="004A72E7" w:rsidP="00E7466B">
            <w:pPr>
              <w:spacing w:line="240" w:lineRule="exact"/>
              <w:ind w:left="227" w:right="170" w:hanging="227"/>
              <w:jc w:val="right"/>
              <w:rPr>
                <w:sz w:val="16"/>
                <w:szCs w:val="16"/>
              </w:rPr>
            </w:pPr>
            <w:r w:rsidRPr="001E2F6E">
              <w:rPr>
                <w:sz w:val="16"/>
                <w:szCs w:val="16"/>
              </w:rPr>
              <w:t>46,8</w:t>
            </w:r>
          </w:p>
        </w:tc>
        <w:tc>
          <w:tcPr>
            <w:tcW w:w="613" w:type="pct"/>
            <w:tcBorders>
              <w:left w:val="single" w:sz="4" w:space="0" w:color="BFBFBF"/>
            </w:tcBorders>
            <w:vAlign w:val="center"/>
          </w:tcPr>
          <w:p w:rsidR="004A72E7" w:rsidRPr="001E2F6E" w:rsidRDefault="004A72E7" w:rsidP="00E7466B">
            <w:pPr>
              <w:spacing w:line="240" w:lineRule="exact"/>
              <w:ind w:left="227" w:right="170" w:hanging="227"/>
              <w:jc w:val="right"/>
              <w:rPr>
                <w:sz w:val="16"/>
                <w:szCs w:val="16"/>
              </w:rPr>
            </w:pPr>
            <w:r w:rsidRPr="001E2F6E">
              <w:rPr>
                <w:sz w:val="16"/>
                <w:szCs w:val="16"/>
              </w:rPr>
              <w:t>100,0</w:t>
            </w:r>
          </w:p>
        </w:tc>
      </w:tr>
      <w:tr w:rsidR="004A72E7" w:rsidRPr="001E2F6E">
        <w:trPr>
          <w:jc w:val="center"/>
        </w:trPr>
        <w:tc>
          <w:tcPr>
            <w:tcW w:w="1270" w:type="pct"/>
            <w:tcBorders>
              <w:right w:val="single" w:sz="4" w:space="0" w:color="BFBFBF"/>
            </w:tcBorders>
          </w:tcPr>
          <w:p w:rsidR="004A72E7" w:rsidRPr="001E2F6E" w:rsidRDefault="004A72E7" w:rsidP="00E7466B">
            <w:pPr>
              <w:spacing w:line="240" w:lineRule="exact"/>
              <w:ind w:left="227" w:hanging="227"/>
              <w:jc w:val="left"/>
              <w:rPr>
                <w:sz w:val="16"/>
                <w:szCs w:val="16"/>
              </w:rPr>
            </w:pPr>
            <w:r w:rsidRPr="001E2F6E">
              <w:rPr>
                <w:sz w:val="16"/>
                <w:szCs w:val="16"/>
                <w:lang w:val="eu-ES"/>
              </w:rPr>
              <w:t>Plan Estrategikoa</w:t>
            </w:r>
          </w:p>
        </w:tc>
        <w:tc>
          <w:tcPr>
            <w:tcW w:w="410" w:type="pct"/>
            <w:tcBorders>
              <w:left w:val="single" w:sz="4" w:space="0" w:color="BFBFBF"/>
              <w:right w:val="single" w:sz="4" w:space="0" w:color="BFBFBF"/>
            </w:tcBorders>
            <w:vAlign w:val="center"/>
          </w:tcPr>
          <w:p w:rsidR="004A72E7" w:rsidRPr="001E2F6E" w:rsidRDefault="004A72E7" w:rsidP="00E7466B">
            <w:pPr>
              <w:spacing w:line="240" w:lineRule="exact"/>
              <w:ind w:left="227" w:right="170" w:hanging="227"/>
              <w:jc w:val="right"/>
              <w:rPr>
                <w:sz w:val="16"/>
                <w:szCs w:val="16"/>
              </w:rPr>
            </w:pPr>
            <w:r w:rsidRPr="001E2F6E">
              <w:rPr>
                <w:sz w:val="16"/>
                <w:szCs w:val="16"/>
              </w:rPr>
              <w:t>44,8</w:t>
            </w:r>
          </w:p>
        </w:tc>
        <w:tc>
          <w:tcPr>
            <w:tcW w:w="615" w:type="pct"/>
            <w:tcBorders>
              <w:left w:val="single" w:sz="4" w:space="0" w:color="BFBFBF"/>
              <w:right w:val="single" w:sz="4" w:space="0" w:color="BFBFBF"/>
            </w:tcBorders>
            <w:vAlign w:val="center"/>
          </w:tcPr>
          <w:p w:rsidR="004A72E7" w:rsidRPr="001E2F6E" w:rsidRDefault="004A72E7" w:rsidP="00E7466B">
            <w:pPr>
              <w:spacing w:line="240" w:lineRule="exact"/>
              <w:ind w:left="227" w:right="170" w:hanging="227"/>
              <w:jc w:val="right"/>
              <w:rPr>
                <w:sz w:val="16"/>
                <w:szCs w:val="16"/>
              </w:rPr>
            </w:pPr>
            <w:r w:rsidRPr="001E2F6E">
              <w:rPr>
                <w:sz w:val="16"/>
                <w:szCs w:val="16"/>
              </w:rPr>
              <w:t>43,8</w:t>
            </w:r>
          </w:p>
        </w:tc>
        <w:tc>
          <w:tcPr>
            <w:tcW w:w="418" w:type="pct"/>
            <w:tcBorders>
              <w:left w:val="single" w:sz="4" w:space="0" w:color="BFBFBF"/>
              <w:right w:val="single" w:sz="4" w:space="0" w:color="BFBFBF"/>
            </w:tcBorders>
            <w:vAlign w:val="center"/>
          </w:tcPr>
          <w:p w:rsidR="004A72E7" w:rsidRPr="001E2F6E" w:rsidRDefault="004A72E7" w:rsidP="00E7466B">
            <w:pPr>
              <w:spacing w:line="240" w:lineRule="exact"/>
              <w:ind w:left="227" w:right="170" w:hanging="227"/>
              <w:jc w:val="right"/>
              <w:rPr>
                <w:sz w:val="16"/>
                <w:szCs w:val="16"/>
              </w:rPr>
            </w:pPr>
            <w:r w:rsidRPr="001E2F6E">
              <w:rPr>
                <w:sz w:val="16"/>
                <w:szCs w:val="16"/>
              </w:rPr>
              <w:t>49,1</w:t>
            </w:r>
          </w:p>
        </w:tc>
        <w:tc>
          <w:tcPr>
            <w:tcW w:w="420" w:type="pct"/>
            <w:tcBorders>
              <w:left w:val="single" w:sz="4" w:space="0" w:color="BFBFBF"/>
              <w:right w:val="single" w:sz="4" w:space="0" w:color="BFBFBF"/>
            </w:tcBorders>
            <w:vAlign w:val="center"/>
          </w:tcPr>
          <w:p w:rsidR="004A72E7" w:rsidRPr="001E2F6E" w:rsidRDefault="004A72E7" w:rsidP="00E7466B">
            <w:pPr>
              <w:spacing w:line="240" w:lineRule="exact"/>
              <w:ind w:left="227" w:right="170" w:hanging="227"/>
              <w:jc w:val="right"/>
              <w:rPr>
                <w:sz w:val="16"/>
                <w:szCs w:val="16"/>
              </w:rPr>
            </w:pPr>
            <w:r w:rsidRPr="001E2F6E">
              <w:rPr>
                <w:sz w:val="16"/>
                <w:szCs w:val="16"/>
              </w:rPr>
              <w:t>44,1</w:t>
            </w:r>
          </w:p>
        </w:tc>
        <w:tc>
          <w:tcPr>
            <w:tcW w:w="418" w:type="pct"/>
            <w:tcBorders>
              <w:left w:val="single" w:sz="4" w:space="0" w:color="BFBFBF"/>
              <w:right w:val="single" w:sz="4" w:space="0" w:color="BFBFBF"/>
            </w:tcBorders>
            <w:vAlign w:val="center"/>
          </w:tcPr>
          <w:p w:rsidR="004A72E7" w:rsidRPr="001E2F6E" w:rsidRDefault="004A72E7" w:rsidP="00E7466B">
            <w:pPr>
              <w:spacing w:line="240" w:lineRule="exact"/>
              <w:ind w:left="227" w:right="170" w:hanging="227"/>
              <w:jc w:val="right"/>
              <w:rPr>
                <w:sz w:val="16"/>
                <w:szCs w:val="16"/>
              </w:rPr>
            </w:pPr>
            <w:r w:rsidRPr="001E2F6E">
              <w:rPr>
                <w:sz w:val="16"/>
                <w:szCs w:val="16"/>
              </w:rPr>
              <w:t>26,4</w:t>
            </w:r>
          </w:p>
        </w:tc>
        <w:tc>
          <w:tcPr>
            <w:tcW w:w="418" w:type="pct"/>
            <w:tcBorders>
              <w:left w:val="single" w:sz="4" w:space="0" w:color="BFBFBF"/>
              <w:right w:val="single" w:sz="4" w:space="0" w:color="BFBFBF"/>
            </w:tcBorders>
            <w:vAlign w:val="center"/>
          </w:tcPr>
          <w:p w:rsidR="004A72E7" w:rsidRPr="001E2F6E" w:rsidRDefault="004A72E7" w:rsidP="00E7466B">
            <w:pPr>
              <w:spacing w:line="240" w:lineRule="exact"/>
              <w:ind w:left="227" w:right="170" w:hanging="227"/>
              <w:jc w:val="right"/>
              <w:rPr>
                <w:sz w:val="16"/>
                <w:szCs w:val="16"/>
              </w:rPr>
            </w:pPr>
            <w:r w:rsidRPr="001E2F6E">
              <w:rPr>
                <w:sz w:val="16"/>
                <w:szCs w:val="16"/>
              </w:rPr>
              <w:t>50,0</w:t>
            </w:r>
          </w:p>
        </w:tc>
        <w:tc>
          <w:tcPr>
            <w:tcW w:w="418" w:type="pct"/>
            <w:tcBorders>
              <w:left w:val="single" w:sz="4" w:space="0" w:color="BFBFBF"/>
              <w:right w:val="single" w:sz="4" w:space="0" w:color="BFBFBF"/>
            </w:tcBorders>
            <w:vAlign w:val="center"/>
          </w:tcPr>
          <w:p w:rsidR="004A72E7" w:rsidRPr="001E2F6E" w:rsidRDefault="004A72E7" w:rsidP="00E7466B">
            <w:pPr>
              <w:spacing w:line="240" w:lineRule="exact"/>
              <w:ind w:left="227" w:right="170" w:hanging="227"/>
              <w:jc w:val="right"/>
              <w:rPr>
                <w:sz w:val="16"/>
                <w:szCs w:val="16"/>
              </w:rPr>
            </w:pPr>
            <w:r w:rsidRPr="001E2F6E">
              <w:rPr>
                <w:sz w:val="16"/>
                <w:szCs w:val="16"/>
              </w:rPr>
              <w:t>0,0</w:t>
            </w:r>
          </w:p>
        </w:tc>
        <w:tc>
          <w:tcPr>
            <w:tcW w:w="613" w:type="pct"/>
            <w:tcBorders>
              <w:left w:val="single" w:sz="4" w:space="0" w:color="BFBFBF"/>
            </w:tcBorders>
            <w:vAlign w:val="center"/>
          </w:tcPr>
          <w:p w:rsidR="004A72E7" w:rsidRPr="001E2F6E" w:rsidRDefault="004A72E7" w:rsidP="00E7466B">
            <w:pPr>
              <w:spacing w:line="240" w:lineRule="exact"/>
              <w:ind w:left="227" w:right="170" w:hanging="227"/>
              <w:jc w:val="right"/>
              <w:rPr>
                <w:sz w:val="16"/>
                <w:szCs w:val="16"/>
              </w:rPr>
            </w:pPr>
            <w:r w:rsidRPr="001E2F6E">
              <w:rPr>
                <w:sz w:val="16"/>
                <w:szCs w:val="16"/>
              </w:rPr>
              <w:t>100,0</w:t>
            </w:r>
          </w:p>
        </w:tc>
      </w:tr>
      <w:tr w:rsidR="004A72E7" w:rsidRPr="001E2F6E">
        <w:trPr>
          <w:jc w:val="center"/>
        </w:trPr>
        <w:tc>
          <w:tcPr>
            <w:tcW w:w="1270" w:type="pct"/>
            <w:tcBorders>
              <w:bottom w:val="single" w:sz="4" w:space="0" w:color="BFBFBF"/>
              <w:right w:val="single" w:sz="4" w:space="0" w:color="BFBFBF"/>
            </w:tcBorders>
          </w:tcPr>
          <w:p w:rsidR="004A72E7" w:rsidRPr="001E2F6E" w:rsidRDefault="004A72E7" w:rsidP="00C11E29">
            <w:pPr>
              <w:spacing w:line="240" w:lineRule="exact"/>
              <w:jc w:val="left"/>
              <w:rPr>
                <w:sz w:val="16"/>
                <w:szCs w:val="16"/>
              </w:rPr>
            </w:pPr>
            <w:r w:rsidRPr="001E2F6E">
              <w:rPr>
                <w:sz w:val="16"/>
                <w:szCs w:val="16"/>
                <w:lang w:val="eu-ES"/>
              </w:rPr>
              <w:t>Lanpostuak baloratzeko eskuliburua</w:t>
            </w:r>
          </w:p>
        </w:tc>
        <w:tc>
          <w:tcPr>
            <w:tcW w:w="410" w:type="pct"/>
            <w:tcBorders>
              <w:left w:val="single" w:sz="4" w:space="0" w:color="BFBFBF"/>
              <w:bottom w:val="single" w:sz="4" w:space="0" w:color="BFBFBF"/>
              <w:right w:val="single" w:sz="4" w:space="0" w:color="BFBFBF"/>
            </w:tcBorders>
            <w:vAlign w:val="center"/>
          </w:tcPr>
          <w:p w:rsidR="004A72E7" w:rsidRPr="001E2F6E" w:rsidRDefault="004A72E7" w:rsidP="00E7466B">
            <w:pPr>
              <w:spacing w:line="240" w:lineRule="exact"/>
              <w:ind w:left="227" w:right="170" w:hanging="227"/>
              <w:jc w:val="right"/>
              <w:rPr>
                <w:sz w:val="16"/>
                <w:szCs w:val="16"/>
              </w:rPr>
            </w:pPr>
            <w:r w:rsidRPr="001E2F6E">
              <w:rPr>
                <w:sz w:val="16"/>
                <w:szCs w:val="16"/>
              </w:rPr>
              <w:t>22,1</w:t>
            </w:r>
          </w:p>
        </w:tc>
        <w:tc>
          <w:tcPr>
            <w:tcW w:w="615" w:type="pct"/>
            <w:tcBorders>
              <w:left w:val="single" w:sz="4" w:space="0" w:color="BFBFBF"/>
              <w:bottom w:val="single" w:sz="4" w:space="0" w:color="BFBFBF"/>
              <w:right w:val="single" w:sz="4" w:space="0" w:color="BFBFBF"/>
            </w:tcBorders>
            <w:vAlign w:val="center"/>
          </w:tcPr>
          <w:p w:rsidR="004A72E7" w:rsidRPr="001E2F6E" w:rsidRDefault="004A72E7" w:rsidP="00E7466B">
            <w:pPr>
              <w:spacing w:line="240" w:lineRule="exact"/>
              <w:ind w:left="227" w:right="170" w:hanging="227"/>
              <w:jc w:val="right"/>
              <w:rPr>
                <w:sz w:val="16"/>
                <w:szCs w:val="16"/>
              </w:rPr>
            </w:pPr>
            <w:r w:rsidRPr="001E2F6E">
              <w:rPr>
                <w:sz w:val="16"/>
                <w:szCs w:val="16"/>
              </w:rPr>
              <w:t>11,0</w:t>
            </w:r>
          </w:p>
        </w:tc>
        <w:tc>
          <w:tcPr>
            <w:tcW w:w="418" w:type="pct"/>
            <w:tcBorders>
              <w:left w:val="single" w:sz="4" w:space="0" w:color="BFBFBF"/>
              <w:bottom w:val="single" w:sz="4" w:space="0" w:color="BFBFBF"/>
              <w:right w:val="single" w:sz="4" w:space="0" w:color="BFBFBF"/>
            </w:tcBorders>
            <w:vAlign w:val="center"/>
          </w:tcPr>
          <w:p w:rsidR="004A72E7" w:rsidRPr="001E2F6E" w:rsidRDefault="004A72E7" w:rsidP="00E7466B">
            <w:pPr>
              <w:spacing w:line="240" w:lineRule="exact"/>
              <w:ind w:left="227" w:right="170" w:hanging="227"/>
              <w:jc w:val="right"/>
              <w:rPr>
                <w:sz w:val="16"/>
                <w:szCs w:val="16"/>
              </w:rPr>
            </w:pPr>
            <w:r w:rsidRPr="001E2F6E">
              <w:rPr>
                <w:sz w:val="16"/>
                <w:szCs w:val="16"/>
              </w:rPr>
              <w:t>21,2</w:t>
            </w:r>
          </w:p>
        </w:tc>
        <w:tc>
          <w:tcPr>
            <w:tcW w:w="420" w:type="pct"/>
            <w:tcBorders>
              <w:left w:val="single" w:sz="4" w:space="0" w:color="BFBFBF"/>
              <w:bottom w:val="single" w:sz="4" w:space="0" w:color="BFBFBF"/>
              <w:right w:val="single" w:sz="4" w:space="0" w:color="BFBFBF"/>
            </w:tcBorders>
            <w:vAlign w:val="center"/>
          </w:tcPr>
          <w:p w:rsidR="004A72E7" w:rsidRPr="001E2F6E" w:rsidRDefault="004A72E7" w:rsidP="00E7466B">
            <w:pPr>
              <w:spacing w:line="240" w:lineRule="exact"/>
              <w:ind w:left="227" w:right="170" w:hanging="227"/>
              <w:jc w:val="right"/>
              <w:rPr>
                <w:sz w:val="16"/>
                <w:szCs w:val="16"/>
              </w:rPr>
            </w:pPr>
            <w:r w:rsidRPr="001E2F6E">
              <w:rPr>
                <w:sz w:val="16"/>
                <w:szCs w:val="16"/>
              </w:rPr>
              <w:t>48,7</w:t>
            </w:r>
          </w:p>
        </w:tc>
        <w:tc>
          <w:tcPr>
            <w:tcW w:w="418" w:type="pct"/>
            <w:tcBorders>
              <w:left w:val="single" w:sz="4" w:space="0" w:color="BFBFBF"/>
              <w:bottom w:val="single" w:sz="4" w:space="0" w:color="BFBFBF"/>
              <w:right w:val="single" w:sz="4" w:space="0" w:color="BFBFBF"/>
            </w:tcBorders>
            <w:vAlign w:val="center"/>
          </w:tcPr>
          <w:p w:rsidR="004A72E7" w:rsidRPr="001E2F6E" w:rsidRDefault="004A72E7" w:rsidP="00E7466B">
            <w:pPr>
              <w:spacing w:line="240" w:lineRule="exact"/>
              <w:ind w:left="227" w:right="170" w:hanging="227"/>
              <w:jc w:val="right"/>
              <w:rPr>
                <w:sz w:val="16"/>
                <w:szCs w:val="16"/>
              </w:rPr>
            </w:pPr>
            <w:r w:rsidRPr="001E2F6E">
              <w:rPr>
                <w:sz w:val="16"/>
                <w:szCs w:val="16"/>
              </w:rPr>
              <w:t>26,3</w:t>
            </w:r>
          </w:p>
        </w:tc>
        <w:tc>
          <w:tcPr>
            <w:tcW w:w="418" w:type="pct"/>
            <w:tcBorders>
              <w:left w:val="single" w:sz="4" w:space="0" w:color="BFBFBF"/>
              <w:bottom w:val="single" w:sz="4" w:space="0" w:color="BFBFBF"/>
              <w:right w:val="single" w:sz="4" w:space="0" w:color="BFBFBF"/>
            </w:tcBorders>
            <w:vAlign w:val="center"/>
          </w:tcPr>
          <w:p w:rsidR="004A72E7" w:rsidRPr="001E2F6E" w:rsidRDefault="004A72E7" w:rsidP="00E7466B">
            <w:pPr>
              <w:spacing w:line="240" w:lineRule="exact"/>
              <w:ind w:left="227" w:right="170" w:hanging="227"/>
              <w:jc w:val="right"/>
              <w:rPr>
                <w:sz w:val="16"/>
                <w:szCs w:val="16"/>
              </w:rPr>
            </w:pPr>
            <w:r w:rsidRPr="001E2F6E">
              <w:rPr>
                <w:sz w:val="16"/>
                <w:szCs w:val="16"/>
              </w:rPr>
              <w:t>0,0</w:t>
            </w:r>
          </w:p>
        </w:tc>
        <w:tc>
          <w:tcPr>
            <w:tcW w:w="418" w:type="pct"/>
            <w:tcBorders>
              <w:left w:val="single" w:sz="4" w:space="0" w:color="BFBFBF"/>
              <w:bottom w:val="single" w:sz="4" w:space="0" w:color="BFBFBF"/>
              <w:right w:val="single" w:sz="4" w:space="0" w:color="BFBFBF"/>
            </w:tcBorders>
            <w:vAlign w:val="center"/>
          </w:tcPr>
          <w:p w:rsidR="004A72E7" w:rsidRPr="001E2F6E" w:rsidRDefault="004A72E7" w:rsidP="00E7466B">
            <w:pPr>
              <w:spacing w:line="240" w:lineRule="exact"/>
              <w:ind w:left="227" w:right="170" w:hanging="227"/>
              <w:jc w:val="right"/>
              <w:rPr>
                <w:sz w:val="16"/>
                <w:szCs w:val="16"/>
              </w:rPr>
            </w:pPr>
            <w:r w:rsidRPr="001E2F6E">
              <w:rPr>
                <w:sz w:val="16"/>
                <w:szCs w:val="16"/>
              </w:rPr>
              <w:t>53,2</w:t>
            </w:r>
          </w:p>
        </w:tc>
        <w:tc>
          <w:tcPr>
            <w:tcW w:w="613" w:type="pct"/>
            <w:tcBorders>
              <w:left w:val="single" w:sz="4" w:space="0" w:color="BFBFBF"/>
              <w:bottom w:val="single" w:sz="4" w:space="0" w:color="BFBFBF"/>
            </w:tcBorders>
            <w:vAlign w:val="center"/>
          </w:tcPr>
          <w:p w:rsidR="004A72E7" w:rsidRPr="001E2F6E" w:rsidRDefault="004A72E7" w:rsidP="00E7466B">
            <w:pPr>
              <w:spacing w:line="240" w:lineRule="exact"/>
              <w:ind w:left="227" w:right="170" w:hanging="227"/>
              <w:jc w:val="right"/>
              <w:rPr>
                <w:sz w:val="16"/>
                <w:szCs w:val="16"/>
              </w:rPr>
            </w:pPr>
            <w:r w:rsidRPr="001E2F6E">
              <w:rPr>
                <w:sz w:val="16"/>
                <w:szCs w:val="16"/>
              </w:rPr>
              <w:t>100,0</w:t>
            </w:r>
          </w:p>
        </w:tc>
      </w:tr>
    </w:tbl>
    <w:p w:rsidR="004A72E7" w:rsidRPr="001E2F6E" w:rsidRDefault="004A72E7" w:rsidP="00E7466B">
      <w:pPr>
        <w:spacing w:line="240" w:lineRule="auto"/>
        <w:ind w:left="227" w:right="-284" w:hanging="652"/>
        <w:jc w:val="left"/>
        <w:rPr>
          <w:sz w:val="16"/>
          <w:szCs w:val="16"/>
        </w:rPr>
      </w:pPr>
      <w:r w:rsidRPr="001E2F6E">
        <w:rPr>
          <w:sz w:val="16"/>
          <w:szCs w:val="16"/>
          <w:lang w:val="eu-ES"/>
        </w:rPr>
        <w:t>Oinarria:</w:t>
      </w:r>
      <w:r w:rsidRPr="001E2F6E">
        <w:rPr>
          <w:sz w:val="16"/>
          <w:szCs w:val="16"/>
        </w:rPr>
        <w:tab/>
      </w:r>
      <w:r w:rsidRPr="001E2F6E">
        <w:rPr>
          <w:sz w:val="16"/>
          <w:szCs w:val="16"/>
          <w:lang w:val="eu-ES"/>
        </w:rPr>
        <w:t>Tresna horietakoren bat ez duten enpresak baina hurrengo 2 urteetan dokumentuak/tresnak erabiltzen hastea aurreikusten dutenak.</w:t>
      </w:r>
    </w:p>
    <w:p w:rsidR="004A72E7" w:rsidRPr="001E2F6E" w:rsidRDefault="004A72E7" w:rsidP="00354E9D">
      <w:pPr>
        <w:ind w:left="227" w:hanging="227"/>
      </w:pPr>
    </w:p>
    <w:p w:rsidR="00D64E67" w:rsidRPr="001E2F6E" w:rsidRDefault="00D64E67">
      <w:pPr>
        <w:spacing w:line="240" w:lineRule="auto"/>
        <w:jc w:val="left"/>
        <w:rPr>
          <w:lang w:val="es-ES_tradnl"/>
        </w:rPr>
      </w:pPr>
      <w:r w:rsidRPr="001E2F6E">
        <w:rPr>
          <w:lang w:val="es-ES_tradnl"/>
        </w:rPr>
        <w:br w:type="page"/>
      </w:r>
    </w:p>
    <w:p w:rsidR="004A72E7" w:rsidRPr="001E2F6E" w:rsidRDefault="004A72E7" w:rsidP="00E7466B">
      <w:pPr>
        <w:ind w:left="426" w:hanging="426"/>
        <w:rPr>
          <w:lang w:val="es-ES_tradnl"/>
        </w:rPr>
      </w:pPr>
      <w:r w:rsidRPr="001E2F6E">
        <w:rPr>
          <w:lang w:val="es-ES_tradnl"/>
        </w:rPr>
        <w:lastRenderedPageBreak/>
        <w:tab/>
      </w:r>
      <w:r w:rsidRPr="001E2F6E">
        <w:rPr>
          <w:lang w:val="eu-ES"/>
        </w:rPr>
        <w:t>Gizarte Ekonomian, kudeaketa-tresnak gero eta hedatuago dauden heinean, hauek ere egiten dute aurrera:</w:t>
      </w:r>
    </w:p>
    <w:p w:rsidR="004A72E7" w:rsidRPr="001E2F6E" w:rsidRDefault="004A72E7" w:rsidP="00354E9D">
      <w:pPr>
        <w:ind w:left="227" w:hanging="227"/>
        <w:rPr>
          <w:lang w:val="es-ES_tradnl"/>
        </w:rPr>
      </w:pPr>
    </w:p>
    <w:p w:rsidR="004A72E7" w:rsidRPr="001E2F6E" w:rsidRDefault="004A72E7" w:rsidP="001451B1">
      <w:pPr>
        <w:pStyle w:val="Prrafodelista"/>
        <w:numPr>
          <w:ilvl w:val="0"/>
          <w:numId w:val="4"/>
        </w:numPr>
        <w:spacing w:after="0" w:line="360" w:lineRule="auto"/>
        <w:rPr>
          <w:rFonts w:ascii="Arial" w:hAnsi="Arial" w:cs="Arial"/>
          <w:lang w:val="eu-ES"/>
        </w:rPr>
      </w:pPr>
      <w:r w:rsidRPr="001E2F6E">
        <w:rPr>
          <w:rFonts w:ascii="Arial" w:hAnsi="Arial" w:cs="Arial"/>
          <w:lang w:val="eu-ES"/>
        </w:rPr>
        <w:t>Laneko arriskuak prebenitzeko sistemak (</w:t>
      </w:r>
      <w:r w:rsidRPr="001E2F6E">
        <w:rPr>
          <w:rFonts w:ascii="Arial" w:hAnsi="Arial" w:cs="Arial"/>
          <w:spacing w:val="60"/>
          <w:lang w:val="eu-ES"/>
        </w:rPr>
        <w:t>%</w:t>
      </w:r>
      <w:r w:rsidRPr="001E2F6E">
        <w:rPr>
          <w:rFonts w:ascii="Arial" w:hAnsi="Arial" w:cs="Arial"/>
          <w:lang w:val="eu-ES"/>
        </w:rPr>
        <w:t xml:space="preserve">83,8tik </w:t>
      </w:r>
      <w:r w:rsidRPr="001E2F6E">
        <w:rPr>
          <w:rFonts w:ascii="Arial" w:hAnsi="Arial" w:cs="Arial"/>
          <w:spacing w:val="60"/>
          <w:lang w:val="eu-ES"/>
        </w:rPr>
        <w:t>%</w:t>
      </w:r>
      <w:r w:rsidRPr="001E2F6E">
        <w:rPr>
          <w:rFonts w:ascii="Arial" w:hAnsi="Arial" w:cs="Arial"/>
          <w:lang w:val="eu-ES"/>
        </w:rPr>
        <w:t>85,8ra). Hain zuzen, oso aurrerapen handia gertatu da 15 langiletik beherako enpresetan (</w:t>
      </w:r>
      <w:r w:rsidRPr="001E2F6E">
        <w:rPr>
          <w:rFonts w:ascii="Arial" w:hAnsi="Arial" w:cs="Arial"/>
          <w:spacing w:val="60"/>
          <w:lang w:val="eu-ES"/>
        </w:rPr>
        <w:t>%</w:t>
      </w:r>
      <w:r w:rsidRPr="001E2F6E">
        <w:rPr>
          <w:rFonts w:ascii="Arial" w:hAnsi="Arial" w:cs="Arial"/>
          <w:lang w:val="eu-ES"/>
        </w:rPr>
        <w:t xml:space="preserve">72,4tik </w:t>
      </w:r>
      <w:r w:rsidRPr="001E2F6E">
        <w:rPr>
          <w:rFonts w:ascii="Arial" w:hAnsi="Arial" w:cs="Arial"/>
          <w:spacing w:val="60"/>
          <w:lang w:val="eu-ES"/>
        </w:rPr>
        <w:t>%</w:t>
      </w:r>
      <w:r w:rsidRPr="001E2F6E">
        <w:rPr>
          <w:rFonts w:ascii="Arial" w:hAnsi="Arial" w:cs="Arial"/>
          <w:lang w:val="eu-ES"/>
        </w:rPr>
        <w:t>77,9ra).</w:t>
      </w:r>
    </w:p>
    <w:p w:rsidR="004A72E7" w:rsidRPr="001E2F6E" w:rsidRDefault="004A72E7" w:rsidP="001451B1">
      <w:pPr>
        <w:pStyle w:val="Prrafodelista"/>
        <w:numPr>
          <w:ilvl w:val="0"/>
          <w:numId w:val="4"/>
        </w:numPr>
        <w:spacing w:after="0" w:line="360" w:lineRule="auto"/>
        <w:rPr>
          <w:rFonts w:ascii="Arial" w:hAnsi="Arial" w:cs="Arial"/>
          <w:lang w:val="eu-ES"/>
        </w:rPr>
      </w:pPr>
      <w:r w:rsidRPr="001E2F6E">
        <w:rPr>
          <w:rFonts w:ascii="Arial" w:hAnsi="Arial" w:cs="Arial"/>
          <w:lang w:val="eu-ES"/>
        </w:rPr>
        <w:t>Ingurumenarekin lotutako jarduerak (</w:t>
      </w:r>
      <w:r w:rsidRPr="001E2F6E">
        <w:rPr>
          <w:rFonts w:ascii="Arial" w:hAnsi="Arial" w:cs="Arial"/>
          <w:spacing w:val="60"/>
          <w:lang w:val="eu-ES"/>
        </w:rPr>
        <w:t>%</w:t>
      </w:r>
      <w:r w:rsidRPr="001E2F6E">
        <w:rPr>
          <w:rFonts w:ascii="Arial" w:hAnsi="Arial" w:cs="Arial"/>
          <w:lang w:val="eu-ES"/>
        </w:rPr>
        <w:t xml:space="preserve">47tik </w:t>
      </w:r>
      <w:r w:rsidRPr="001E2F6E">
        <w:rPr>
          <w:rFonts w:ascii="Arial" w:hAnsi="Arial" w:cs="Arial"/>
          <w:spacing w:val="60"/>
          <w:lang w:val="eu-ES"/>
        </w:rPr>
        <w:t>%</w:t>
      </w:r>
      <w:r w:rsidRPr="001E2F6E">
        <w:rPr>
          <w:rFonts w:ascii="Arial" w:hAnsi="Arial" w:cs="Arial"/>
          <w:lang w:val="eu-ES"/>
        </w:rPr>
        <w:t>54ra). 50 langile baino gutxiago dituzten enpresetan, aurrerapena oso handia izan da 2010. ekitaldiarekin alderatuta.</w:t>
      </w:r>
    </w:p>
    <w:p w:rsidR="004A72E7" w:rsidRPr="001E2F6E" w:rsidRDefault="004A72E7" w:rsidP="00EC479F">
      <w:pPr>
        <w:pStyle w:val="Prrafodelista"/>
        <w:spacing w:after="0" w:line="360" w:lineRule="auto"/>
        <w:ind w:left="227"/>
        <w:rPr>
          <w:rFonts w:ascii="Arial" w:hAnsi="Arial" w:cs="Arial"/>
          <w:lang w:val="eu-ES"/>
        </w:rPr>
      </w:pPr>
    </w:p>
    <w:p w:rsidR="004A72E7" w:rsidRPr="001E2F6E" w:rsidRDefault="004A72E7" w:rsidP="00E7466B">
      <w:pPr>
        <w:pStyle w:val="Prrafodelista"/>
        <w:spacing w:after="0" w:line="360" w:lineRule="auto"/>
        <w:ind w:left="426" w:hanging="426"/>
        <w:rPr>
          <w:rFonts w:ascii="Arial" w:hAnsi="Arial" w:cs="Arial"/>
          <w:lang w:val="eu-ES"/>
        </w:rPr>
      </w:pPr>
      <w:r w:rsidRPr="001E2F6E">
        <w:rPr>
          <w:rFonts w:ascii="Arial" w:hAnsi="Arial" w:cs="Arial"/>
          <w:lang w:val="eu-ES"/>
        </w:rPr>
        <w:tab/>
        <w:t xml:space="preserve">Prestakuntza kooperatiboa ematen duten enpresen ehunekoa </w:t>
      </w:r>
      <w:r w:rsidRPr="001E2F6E">
        <w:rPr>
          <w:rFonts w:ascii="Arial" w:hAnsi="Arial" w:cs="Arial"/>
          <w:spacing w:val="60"/>
          <w:lang w:val="eu-ES"/>
        </w:rPr>
        <w:t>%</w:t>
      </w:r>
      <w:r w:rsidRPr="001E2F6E">
        <w:rPr>
          <w:rFonts w:ascii="Arial" w:hAnsi="Arial" w:cs="Arial"/>
          <w:lang w:val="eu-ES"/>
        </w:rPr>
        <w:t>30aren inguruan egonkortu bada ere, datuek aditzera ematen dute enpresa txikietan hobekuntza orokorrak gertatuko direla.</w:t>
      </w:r>
    </w:p>
    <w:p w:rsidR="004A72E7" w:rsidRPr="001E2F6E" w:rsidRDefault="004A72E7" w:rsidP="00E7466B">
      <w:pPr>
        <w:pStyle w:val="Prrafodelista"/>
        <w:spacing w:after="0" w:line="360" w:lineRule="auto"/>
        <w:ind w:left="426" w:hanging="426"/>
        <w:rPr>
          <w:rFonts w:ascii="Arial" w:hAnsi="Arial" w:cs="Arial"/>
          <w:lang w:val="eu-ES"/>
        </w:rPr>
      </w:pPr>
    </w:p>
    <w:p w:rsidR="004A72E7" w:rsidRPr="001E2F6E" w:rsidRDefault="004A72E7" w:rsidP="001451B1">
      <w:pPr>
        <w:pStyle w:val="Prrafodelista"/>
        <w:numPr>
          <w:ilvl w:val="0"/>
          <w:numId w:val="2"/>
        </w:numPr>
        <w:spacing w:after="0" w:line="360" w:lineRule="auto"/>
        <w:ind w:left="426" w:hanging="426"/>
        <w:rPr>
          <w:rFonts w:ascii="Arial" w:hAnsi="Arial" w:cs="Arial"/>
          <w:lang w:val="eu-ES"/>
        </w:rPr>
      </w:pPr>
      <w:r w:rsidRPr="001E2F6E">
        <w:rPr>
          <w:rFonts w:ascii="Arial" w:hAnsi="Arial" w:cs="Arial"/>
          <w:b/>
          <w:bCs/>
          <w:lang w:val="eu-ES"/>
        </w:rPr>
        <w:tab/>
        <w:t>Lankidetza-harremanak egonkortu dira, eta lankidetza estuagoak (Joint Venture formulak eta bigarren mailako kooperatibak) gutxiagotu egin dira</w:t>
      </w:r>
    </w:p>
    <w:p w:rsidR="004A72E7" w:rsidRPr="001E2F6E" w:rsidRDefault="004A72E7" w:rsidP="00E7466B">
      <w:pPr>
        <w:ind w:left="426" w:hanging="426"/>
        <w:rPr>
          <w:lang w:val="eu-ES"/>
        </w:rPr>
      </w:pPr>
    </w:p>
    <w:p w:rsidR="004A72E7" w:rsidRPr="001E2F6E" w:rsidRDefault="004A72E7" w:rsidP="00E7466B">
      <w:pPr>
        <w:ind w:left="426" w:hanging="426"/>
        <w:rPr>
          <w:lang w:val="eu-ES"/>
        </w:rPr>
      </w:pPr>
      <w:r w:rsidRPr="001E2F6E">
        <w:rPr>
          <w:lang w:val="eu-ES"/>
        </w:rPr>
        <w:tab/>
        <w:t xml:space="preserve">Lankidetza-harremanak ezartzen dituzten enpresen ehunekoak bere horretan jarraitzen du, aurrerapen txiki batekin (2010ean, </w:t>
      </w:r>
      <w:r w:rsidRPr="001E2F6E">
        <w:rPr>
          <w:spacing w:val="60"/>
          <w:lang w:val="eu-ES"/>
        </w:rPr>
        <w:t>%</w:t>
      </w:r>
      <w:r w:rsidRPr="001E2F6E">
        <w:rPr>
          <w:lang w:val="eu-ES"/>
        </w:rPr>
        <w:t xml:space="preserve">29,4 eta 2012an, </w:t>
      </w:r>
      <w:r w:rsidRPr="001E2F6E">
        <w:rPr>
          <w:spacing w:val="60"/>
          <w:lang w:val="eu-ES"/>
        </w:rPr>
        <w:t>%</w:t>
      </w:r>
      <w:r w:rsidRPr="001E2F6E">
        <w:rPr>
          <w:lang w:val="eu-ES"/>
        </w:rPr>
        <w:t>30,5). Aurrerapen hori lotuta dago kooperatibek Gizarte Ekonomian duten pisu erlatibo handiagoarekin. Izan ere, lankidetzarako joera erlatibo handiagoa duten erakunde kooperatiboetan, lankidetza-harremanen adierazlea ez da apenas aldatzen (</w:t>
      </w:r>
      <w:r w:rsidRPr="001E2F6E">
        <w:rPr>
          <w:spacing w:val="60"/>
          <w:lang w:val="eu-ES"/>
        </w:rPr>
        <w:t>%</w:t>
      </w:r>
      <w:r w:rsidRPr="001E2F6E">
        <w:rPr>
          <w:lang w:val="eu-ES"/>
        </w:rPr>
        <w:t xml:space="preserve">39koa 2012an, eta </w:t>
      </w:r>
      <w:r w:rsidRPr="001E2F6E">
        <w:rPr>
          <w:spacing w:val="60"/>
          <w:lang w:val="eu-ES"/>
        </w:rPr>
        <w:t>%</w:t>
      </w:r>
      <w:r w:rsidRPr="001E2F6E">
        <w:rPr>
          <w:lang w:val="eu-ES"/>
        </w:rPr>
        <w:t>38,9koa 2010ean).</w:t>
      </w:r>
    </w:p>
    <w:p w:rsidR="004A72E7" w:rsidRPr="001E2F6E" w:rsidRDefault="004A72E7" w:rsidP="00E7466B">
      <w:pPr>
        <w:ind w:left="426" w:hanging="426"/>
        <w:rPr>
          <w:lang w:val="eu-ES"/>
        </w:rPr>
      </w:pPr>
    </w:p>
    <w:p w:rsidR="004A72E7" w:rsidRPr="001E2F6E" w:rsidRDefault="004A72E7" w:rsidP="00E7466B">
      <w:pPr>
        <w:spacing w:line="240" w:lineRule="auto"/>
        <w:ind w:left="227" w:hanging="227"/>
        <w:jc w:val="center"/>
        <w:rPr>
          <w:b/>
          <w:bCs/>
          <w:snapToGrid w:val="0"/>
          <w:color w:val="1F497D" w:themeColor="text2"/>
          <w:sz w:val="18"/>
          <w:szCs w:val="18"/>
          <w:lang w:val="es-ES_tradnl"/>
        </w:rPr>
      </w:pPr>
      <w:r w:rsidRPr="001E2F6E">
        <w:rPr>
          <w:b/>
          <w:bCs/>
          <w:snapToGrid w:val="0"/>
          <w:color w:val="1F497D" w:themeColor="text2"/>
          <w:sz w:val="18"/>
          <w:szCs w:val="18"/>
          <w:lang w:val="eu-ES"/>
        </w:rPr>
        <w:t>GIZARTE EKONOMIAKO ENPRESEN LANKIDETZA-HARREMANAK FORMA JURIDIKOAREN ARABERA,</w:t>
      </w:r>
      <w:r w:rsidRPr="001E2F6E">
        <w:rPr>
          <w:b/>
          <w:bCs/>
          <w:snapToGrid w:val="0"/>
          <w:color w:val="1F497D" w:themeColor="text2"/>
          <w:sz w:val="18"/>
          <w:szCs w:val="18"/>
          <w:lang w:val="es-ES_tradnl"/>
        </w:rPr>
        <w:t xml:space="preserve"> 2012</w:t>
      </w:r>
    </w:p>
    <w:tbl>
      <w:tblPr>
        <w:tblW w:w="5000" w:type="pct"/>
        <w:jc w:val="center"/>
        <w:tblBorders>
          <w:top w:val="single" w:sz="4" w:space="0" w:color="BFBFBF"/>
          <w:bottom w:val="single" w:sz="4" w:space="0" w:color="BFBFBF"/>
        </w:tblBorders>
        <w:tblLook w:val="00A0" w:firstRow="1" w:lastRow="0" w:firstColumn="1" w:lastColumn="0" w:noHBand="0" w:noVBand="0"/>
      </w:tblPr>
      <w:tblGrid>
        <w:gridCol w:w="3528"/>
        <w:gridCol w:w="1369"/>
        <w:gridCol w:w="1369"/>
        <w:gridCol w:w="1369"/>
        <w:gridCol w:w="1369"/>
      </w:tblGrid>
      <w:tr w:rsidR="004A72E7" w:rsidRPr="001E2F6E" w:rsidTr="00C11E29">
        <w:trPr>
          <w:jc w:val="center"/>
        </w:trPr>
        <w:tc>
          <w:tcPr>
            <w:tcW w:w="1958" w:type="pct"/>
            <w:tcBorders>
              <w:top w:val="single" w:sz="4" w:space="0" w:color="BFBFBF"/>
              <w:bottom w:val="single" w:sz="4" w:space="0" w:color="BFBFBF"/>
              <w:right w:val="single" w:sz="4" w:space="0" w:color="BFBFBF"/>
            </w:tcBorders>
            <w:shd w:val="clear" w:color="auto" w:fill="DBE5F1"/>
            <w:noWrap/>
          </w:tcPr>
          <w:p w:rsidR="004A72E7" w:rsidRPr="001E2F6E" w:rsidRDefault="004A72E7" w:rsidP="00E7466B">
            <w:pPr>
              <w:spacing w:line="240" w:lineRule="exact"/>
              <w:ind w:left="227" w:hanging="227"/>
              <w:rPr>
                <w:b/>
                <w:bCs/>
                <w:sz w:val="16"/>
                <w:szCs w:val="16"/>
              </w:rPr>
            </w:pPr>
          </w:p>
        </w:tc>
        <w:tc>
          <w:tcPr>
            <w:tcW w:w="760" w:type="pct"/>
            <w:tcBorders>
              <w:top w:val="single" w:sz="4" w:space="0" w:color="BFBFBF"/>
              <w:bottom w:val="single" w:sz="4" w:space="0" w:color="BFBFBF"/>
              <w:right w:val="single" w:sz="4" w:space="0" w:color="BFBFBF"/>
            </w:tcBorders>
            <w:shd w:val="clear" w:color="auto" w:fill="DBE5F1"/>
            <w:vAlign w:val="center"/>
          </w:tcPr>
          <w:p w:rsidR="004A72E7" w:rsidRPr="001E2F6E" w:rsidRDefault="004A72E7" w:rsidP="00C11E29">
            <w:pPr>
              <w:spacing w:line="240" w:lineRule="exact"/>
              <w:jc w:val="center"/>
              <w:rPr>
                <w:b/>
                <w:bCs/>
                <w:sz w:val="16"/>
                <w:szCs w:val="16"/>
                <w:lang w:val="en-GB"/>
              </w:rPr>
            </w:pPr>
            <w:r w:rsidRPr="001E2F6E">
              <w:rPr>
                <w:b/>
                <w:bCs/>
                <w:sz w:val="16"/>
                <w:szCs w:val="16"/>
                <w:lang w:val="eu-ES"/>
              </w:rPr>
              <w:t>Guztira</w:t>
            </w:r>
          </w:p>
          <w:p w:rsidR="004A72E7" w:rsidRPr="001E2F6E" w:rsidRDefault="004A72E7" w:rsidP="00C11E29">
            <w:pPr>
              <w:spacing w:line="240" w:lineRule="exact"/>
              <w:jc w:val="center"/>
              <w:rPr>
                <w:b/>
                <w:bCs/>
                <w:sz w:val="16"/>
                <w:szCs w:val="16"/>
                <w:lang w:val="en-GB"/>
              </w:rPr>
            </w:pPr>
            <w:r w:rsidRPr="001E2F6E">
              <w:rPr>
                <w:b/>
                <w:bCs/>
                <w:sz w:val="16"/>
                <w:szCs w:val="16"/>
                <w:lang w:val="en-GB"/>
              </w:rPr>
              <w:t>%</w:t>
            </w:r>
          </w:p>
        </w:tc>
        <w:tc>
          <w:tcPr>
            <w:tcW w:w="760" w:type="pct"/>
            <w:tcBorders>
              <w:top w:val="single" w:sz="4" w:space="0" w:color="BFBFBF"/>
              <w:left w:val="single" w:sz="4" w:space="0" w:color="BFBFBF"/>
              <w:bottom w:val="single" w:sz="4" w:space="0" w:color="BFBFBF"/>
              <w:right w:val="single" w:sz="4" w:space="0" w:color="BFBFBF"/>
            </w:tcBorders>
            <w:shd w:val="clear" w:color="auto" w:fill="DBE5F1"/>
            <w:noWrap/>
            <w:vAlign w:val="center"/>
          </w:tcPr>
          <w:p w:rsidR="004A72E7" w:rsidRPr="001E2F6E" w:rsidRDefault="004A72E7" w:rsidP="00C11E29">
            <w:pPr>
              <w:spacing w:line="240" w:lineRule="exact"/>
              <w:jc w:val="center"/>
            </w:pPr>
            <w:r w:rsidRPr="001E2F6E">
              <w:rPr>
                <w:b/>
                <w:bCs/>
                <w:sz w:val="16"/>
                <w:szCs w:val="16"/>
                <w:lang w:val="eu-ES"/>
              </w:rPr>
              <w:t>Koop.Elk.</w:t>
            </w:r>
          </w:p>
          <w:p w:rsidR="004A72E7" w:rsidRPr="001E2F6E" w:rsidRDefault="004A72E7" w:rsidP="00C11E29">
            <w:pPr>
              <w:spacing w:line="240" w:lineRule="exact"/>
              <w:jc w:val="center"/>
              <w:rPr>
                <w:b/>
                <w:bCs/>
                <w:sz w:val="16"/>
                <w:szCs w:val="16"/>
              </w:rPr>
            </w:pPr>
            <w:r w:rsidRPr="001E2F6E">
              <w:rPr>
                <w:b/>
                <w:bCs/>
                <w:sz w:val="16"/>
                <w:szCs w:val="16"/>
                <w:lang w:val="en-GB"/>
              </w:rPr>
              <w:t>%</w:t>
            </w:r>
          </w:p>
        </w:tc>
        <w:tc>
          <w:tcPr>
            <w:tcW w:w="760" w:type="pct"/>
            <w:tcBorders>
              <w:top w:val="single" w:sz="4" w:space="0" w:color="BFBFBF"/>
              <w:left w:val="single" w:sz="4" w:space="0" w:color="BFBFBF"/>
              <w:bottom w:val="single" w:sz="4" w:space="0" w:color="BFBFBF"/>
              <w:right w:val="single" w:sz="4" w:space="0" w:color="BFBFBF"/>
            </w:tcBorders>
            <w:shd w:val="clear" w:color="auto" w:fill="DBE5F1"/>
            <w:vAlign w:val="center"/>
          </w:tcPr>
          <w:p w:rsidR="004A72E7" w:rsidRPr="001E2F6E" w:rsidRDefault="004A72E7" w:rsidP="00C11E29">
            <w:pPr>
              <w:spacing w:line="240" w:lineRule="exact"/>
              <w:jc w:val="center"/>
              <w:rPr>
                <w:b/>
                <w:bCs/>
                <w:sz w:val="16"/>
                <w:szCs w:val="16"/>
              </w:rPr>
            </w:pPr>
            <w:r w:rsidRPr="001E2F6E">
              <w:rPr>
                <w:b/>
                <w:bCs/>
                <w:sz w:val="16"/>
                <w:szCs w:val="16"/>
                <w:lang w:val="eu-ES"/>
              </w:rPr>
              <w:t>Lan-sozietate anonimoak</w:t>
            </w:r>
          </w:p>
          <w:p w:rsidR="004A72E7" w:rsidRPr="001E2F6E" w:rsidRDefault="004A72E7" w:rsidP="00C11E29">
            <w:pPr>
              <w:spacing w:line="240" w:lineRule="exact"/>
              <w:jc w:val="center"/>
              <w:rPr>
                <w:b/>
                <w:bCs/>
                <w:sz w:val="16"/>
                <w:szCs w:val="16"/>
              </w:rPr>
            </w:pPr>
            <w:r w:rsidRPr="001E2F6E">
              <w:rPr>
                <w:b/>
                <w:bCs/>
                <w:sz w:val="16"/>
                <w:szCs w:val="16"/>
              </w:rPr>
              <w:t>%</w:t>
            </w:r>
          </w:p>
        </w:tc>
        <w:tc>
          <w:tcPr>
            <w:tcW w:w="760" w:type="pct"/>
            <w:tcBorders>
              <w:top w:val="single" w:sz="4" w:space="0" w:color="BFBFBF"/>
              <w:left w:val="single" w:sz="4" w:space="0" w:color="BFBFBF"/>
              <w:bottom w:val="single" w:sz="4" w:space="0" w:color="BFBFBF"/>
            </w:tcBorders>
            <w:shd w:val="clear" w:color="auto" w:fill="DBE5F1"/>
            <w:vAlign w:val="center"/>
          </w:tcPr>
          <w:p w:rsidR="004A72E7" w:rsidRPr="001E2F6E" w:rsidRDefault="004A72E7" w:rsidP="00C11E29">
            <w:pPr>
              <w:spacing w:line="240" w:lineRule="exact"/>
              <w:jc w:val="center"/>
              <w:rPr>
                <w:b/>
                <w:bCs/>
                <w:sz w:val="16"/>
                <w:szCs w:val="16"/>
              </w:rPr>
            </w:pPr>
            <w:r w:rsidRPr="001E2F6E">
              <w:rPr>
                <w:b/>
                <w:bCs/>
                <w:sz w:val="16"/>
                <w:szCs w:val="16"/>
                <w:lang w:val="eu-ES"/>
              </w:rPr>
              <w:t>Lan-sozietate mugatuak</w:t>
            </w:r>
          </w:p>
          <w:p w:rsidR="004A72E7" w:rsidRPr="001E2F6E" w:rsidRDefault="004A72E7" w:rsidP="00C11E29">
            <w:pPr>
              <w:spacing w:line="240" w:lineRule="exact"/>
              <w:jc w:val="center"/>
              <w:rPr>
                <w:b/>
                <w:bCs/>
                <w:sz w:val="16"/>
                <w:szCs w:val="16"/>
              </w:rPr>
            </w:pPr>
            <w:r w:rsidRPr="001E2F6E">
              <w:rPr>
                <w:b/>
                <w:bCs/>
                <w:sz w:val="16"/>
                <w:szCs w:val="16"/>
              </w:rPr>
              <w:t>%</w:t>
            </w:r>
          </w:p>
        </w:tc>
      </w:tr>
      <w:tr w:rsidR="004A72E7" w:rsidRPr="001E2F6E">
        <w:trPr>
          <w:jc w:val="center"/>
        </w:trPr>
        <w:tc>
          <w:tcPr>
            <w:tcW w:w="1958" w:type="pct"/>
            <w:tcBorders>
              <w:bottom w:val="single" w:sz="4" w:space="0" w:color="BFBFBF"/>
              <w:right w:val="single" w:sz="4" w:space="0" w:color="BFBFBF"/>
            </w:tcBorders>
            <w:noWrap/>
            <w:vAlign w:val="bottom"/>
          </w:tcPr>
          <w:p w:rsidR="004A72E7" w:rsidRPr="001E2F6E" w:rsidRDefault="004A72E7" w:rsidP="00E7466B">
            <w:pPr>
              <w:spacing w:line="240" w:lineRule="exact"/>
              <w:ind w:left="227" w:hanging="227"/>
              <w:jc w:val="center"/>
              <w:rPr>
                <w:sz w:val="16"/>
                <w:szCs w:val="16"/>
              </w:rPr>
            </w:pPr>
            <w:r w:rsidRPr="001E2F6E">
              <w:rPr>
                <w:sz w:val="16"/>
                <w:szCs w:val="16"/>
                <w:lang w:val="eu-ES"/>
              </w:rPr>
              <w:t>Lankidetza-harremanak ezartzen dituzte</w:t>
            </w:r>
          </w:p>
        </w:tc>
        <w:tc>
          <w:tcPr>
            <w:tcW w:w="760" w:type="pct"/>
            <w:tcBorders>
              <w:bottom w:val="single" w:sz="4" w:space="0" w:color="BFBFBF"/>
              <w:right w:val="single" w:sz="4" w:space="0" w:color="BFBFBF"/>
            </w:tcBorders>
            <w:vAlign w:val="bottom"/>
          </w:tcPr>
          <w:p w:rsidR="004A72E7" w:rsidRPr="001E2F6E" w:rsidRDefault="004A72E7" w:rsidP="00E7466B">
            <w:pPr>
              <w:spacing w:line="240" w:lineRule="exact"/>
              <w:ind w:left="227" w:hanging="227"/>
              <w:jc w:val="center"/>
              <w:rPr>
                <w:sz w:val="16"/>
                <w:szCs w:val="16"/>
              </w:rPr>
            </w:pPr>
            <w:r w:rsidRPr="001E2F6E">
              <w:rPr>
                <w:sz w:val="16"/>
                <w:szCs w:val="16"/>
              </w:rPr>
              <w:t>30,5</w:t>
            </w:r>
          </w:p>
        </w:tc>
        <w:tc>
          <w:tcPr>
            <w:tcW w:w="760" w:type="pct"/>
            <w:tcBorders>
              <w:left w:val="single" w:sz="4" w:space="0" w:color="BFBFBF"/>
              <w:bottom w:val="single" w:sz="4" w:space="0" w:color="BFBFBF"/>
              <w:right w:val="single" w:sz="4" w:space="0" w:color="BFBFBF"/>
            </w:tcBorders>
            <w:vAlign w:val="bottom"/>
          </w:tcPr>
          <w:p w:rsidR="004A72E7" w:rsidRPr="001E2F6E" w:rsidRDefault="004A72E7" w:rsidP="00E7466B">
            <w:pPr>
              <w:spacing w:line="240" w:lineRule="exact"/>
              <w:ind w:left="227" w:hanging="227"/>
              <w:jc w:val="center"/>
              <w:rPr>
                <w:sz w:val="16"/>
                <w:szCs w:val="16"/>
              </w:rPr>
            </w:pPr>
            <w:r w:rsidRPr="001E2F6E">
              <w:rPr>
                <w:sz w:val="16"/>
                <w:szCs w:val="16"/>
              </w:rPr>
              <w:t>38,9</w:t>
            </w:r>
          </w:p>
        </w:tc>
        <w:tc>
          <w:tcPr>
            <w:tcW w:w="760" w:type="pct"/>
            <w:tcBorders>
              <w:left w:val="single" w:sz="4" w:space="0" w:color="BFBFBF"/>
              <w:bottom w:val="single" w:sz="4" w:space="0" w:color="BFBFBF"/>
              <w:right w:val="single" w:sz="4" w:space="0" w:color="BFBFBF"/>
            </w:tcBorders>
            <w:vAlign w:val="bottom"/>
          </w:tcPr>
          <w:p w:rsidR="004A72E7" w:rsidRPr="001E2F6E" w:rsidRDefault="004A72E7" w:rsidP="00E7466B">
            <w:pPr>
              <w:spacing w:line="240" w:lineRule="exact"/>
              <w:ind w:left="227" w:hanging="227"/>
              <w:jc w:val="center"/>
              <w:rPr>
                <w:sz w:val="16"/>
                <w:szCs w:val="16"/>
              </w:rPr>
            </w:pPr>
            <w:r w:rsidRPr="001E2F6E">
              <w:rPr>
                <w:sz w:val="16"/>
                <w:szCs w:val="16"/>
              </w:rPr>
              <w:t>9,8</w:t>
            </w:r>
          </w:p>
        </w:tc>
        <w:tc>
          <w:tcPr>
            <w:tcW w:w="760" w:type="pct"/>
            <w:tcBorders>
              <w:left w:val="single" w:sz="4" w:space="0" w:color="BFBFBF"/>
              <w:bottom w:val="single" w:sz="4" w:space="0" w:color="BFBFBF"/>
            </w:tcBorders>
            <w:vAlign w:val="bottom"/>
          </w:tcPr>
          <w:p w:rsidR="004A72E7" w:rsidRPr="001E2F6E" w:rsidRDefault="004A72E7" w:rsidP="00E7466B">
            <w:pPr>
              <w:spacing w:line="240" w:lineRule="exact"/>
              <w:ind w:left="227" w:hanging="227"/>
              <w:jc w:val="center"/>
              <w:rPr>
                <w:sz w:val="16"/>
                <w:szCs w:val="16"/>
              </w:rPr>
            </w:pPr>
            <w:r w:rsidRPr="001E2F6E">
              <w:rPr>
                <w:sz w:val="16"/>
                <w:szCs w:val="16"/>
              </w:rPr>
              <w:t>18,4</w:t>
            </w:r>
          </w:p>
        </w:tc>
      </w:tr>
    </w:tbl>
    <w:p w:rsidR="004A72E7" w:rsidRPr="001E2F6E" w:rsidRDefault="004A72E7" w:rsidP="00115016">
      <w:pPr>
        <w:rPr>
          <w:snapToGrid w:val="0"/>
          <w:lang w:val="es-ES_tradnl"/>
        </w:rPr>
      </w:pPr>
    </w:p>
    <w:p w:rsidR="004A72E7" w:rsidRPr="001E2F6E" w:rsidRDefault="004A72E7" w:rsidP="00E7466B">
      <w:pPr>
        <w:ind w:left="426" w:hanging="426"/>
        <w:rPr>
          <w:lang w:val="es-ES_tradnl"/>
        </w:rPr>
      </w:pPr>
    </w:p>
    <w:p w:rsidR="004A72E7" w:rsidRPr="001E2F6E" w:rsidRDefault="004A72E7" w:rsidP="00E7466B">
      <w:pPr>
        <w:ind w:left="426" w:hanging="426"/>
        <w:rPr>
          <w:lang w:val="es-ES_tradnl"/>
        </w:rPr>
      </w:pPr>
      <w:r w:rsidRPr="001E2F6E">
        <w:rPr>
          <w:lang w:val="es-ES_tradnl"/>
        </w:rPr>
        <w:tab/>
      </w:r>
      <w:r w:rsidRPr="001E2F6E">
        <w:rPr>
          <w:lang w:val="eu-ES"/>
        </w:rPr>
        <w:t>Bestalde, 2010-2012 denboraldian, Gizarte Ekonomiako enpresen arteko lankidetza-motarik garatuenen kopuruak behera egin zuen.</w:t>
      </w:r>
      <w:r w:rsidRPr="001E2F6E">
        <w:rPr>
          <w:lang w:val="es-ES_tradnl"/>
        </w:rPr>
        <w:t xml:space="preserve"> </w:t>
      </w:r>
      <w:r w:rsidRPr="001E2F6E">
        <w:rPr>
          <w:lang w:val="eu-ES"/>
        </w:rPr>
        <w:t xml:space="preserve">Horrenbestez, Joint Venture  formulen eta bigarren mailako kooperatiben kopurua txikitu egin zen (hurrenez hurren, </w:t>
      </w:r>
      <w:r w:rsidRPr="001E2F6E">
        <w:rPr>
          <w:spacing w:val="60"/>
          <w:lang w:val="eu-ES"/>
        </w:rPr>
        <w:t>%</w:t>
      </w:r>
      <w:r w:rsidRPr="001E2F6E">
        <w:rPr>
          <w:lang w:val="eu-ES"/>
        </w:rPr>
        <w:t xml:space="preserve">5,2tik </w:t>
      </w:r>
      <w:r w:rsidRPr="001E2F6E">
        <w:rPr>
          <w:spacing w:val="60"/>
          <w:lang w:val="eu-ES"/>
        </w:rPr>
        <w:t>%</w:t>
      </w:r>
      <w:r w:rsidRPr="001E2F6E">
        <w:rPr>
          <w:lang w:val="eu-ES"/>
        </w:rPr>
        <w:t xml:space="preserve">1,8ra eta </w:t>
      </w:r>
      <w:r w:rsidRPr="001E2F6E">
        <w:rPr>
          <w:spacing w:val="60"/>
          <w:lang w:val="eu-ES"/>
        </w:rPr>
        <w:t>%</w:t>
      </w:r>
      <w:r w:rsidRPr="001E2F6E">
        <w:rPr>
          <w:lang w:val="eu-ES"/>
        </w:rPr>
        <w:t xml:space="preserve">19,3tik </w:t>
      </w:r>
      <w:r w:rsidRPr="001E2F6E">
        <w:rPr>
          <w:spacing w:val="60"/>
          <w:lang w:val="eu-ES"/>
        </w:rPr>
        <w:t>%</w:t>
      </w:r>
      <w:r w:rsidRPr="001E2F6E">
        <w:rPr>
          <w:lang w:val="eu-ES"/>
        </w:rPr>
        <w:t>15,9ra); aldi berean, EAEtik kanpoko enpresekin lankidetzan aritzeko akordioak ere gutxitu ziren.</w:t>
      </w:r>
    </w:p>
    <w:p w:rsidR="004A72E7" w:rsidRPr="001E2F6E" w:rsidRDefault="004A72E7" w:rsidP="00E7466B">
      <w:pPr>
        <w:ind w:left="426" w:hanging="426"/>
        <w:rPr>
          <w:lang w:val="es-ES_tradnl"/>
        </w:rPr>
      </w:pPr>
    </w:p>
    <w:p w:rsidR="00C11E29" w:rsidRPr="001E2F6E" w:rsidRDefault="00C11E29" w:rsidP="00C11E29">
      <w:pPr>
        <w:spacing w:line="240" w:lineRule="auto"/>
        <w:jc w:val="center"/>
        <w:rPr>
          <w:b/>
          <w:snapToGrid w:val="0"/>
          <w:color w:val="1F497D" w:themeColor="text2"/>
          <w:sz w:val="18"/>
          <w:szCs w:val="18"/>
          <w:lang w:val="es-ES_tradnl"/>
        </w:rPr>
      </w:pPr>
    </w:p>
    <w:p w:rsidR="00D64E67" w:rsidRPr="001E2F6E" w:rsidRDefault="00D64E67">
      <w:pPr>
        <w:spacing w:line="240" w:lineRule="auto"/>
        <w:jc w:val="left"/>
        <w:rPr>
          <w:b/>
          <w:bCs/>
          <w:snapToGrid w:val="0"/>
          <w:color w:val="1F497D" w:themeColor="text2"/>
          <w:sz w:val="18"/>
          <w:szCs w:val="18"/>
          <w:lang w:val="eu-ES"/>
        </w:rPr>
      </w:pPr>
      <w:r w:rsidRPr="001E2F6E">
        <w:rPr>
          <w:b/>
          <w:bCs/>
          <w:snapToGrid w:val="0"/>
          <w:color w:val="1F497D" w:themeColor="text2"/>
          <w:sz w:val="18"/>
          <w:szCs w:val="18"/>
          <w:lang w:val="eu-ES"/>
        </w:rPr>
        <w:br w:type="page"/>
      </w:r>
    </w:p>
    <w:p w:rsidR="00C11E29" w:rsidRPr="001E2F6E" w:rsidRDefault="00C11E29" w:rsidP="00C11E29">
      <w:pPr>
        <w:spacing w:line="240" w:lineRule="auto"/>
        <w:ind w:left="227" w:hanging="227"/>
        <w:jc w:val="center"/>
        <w:rPr>
          <w:b/>
          <w:bCs/>
          <w:snapToGrid w:val="0"/>
          <w:color w:val="1F497D" w:themeColor="text2"/>
          <w:sz w:val="18"/>
          <w:szCs w:val="18"/>
          <w:lang w:val="eu-ES"/>
        </w:rPr>
      </w:pPr>
      <w:r w:rsidRPr="001E2F6E">
        <w:rPr>
          <w:b/>
          <w:bCs/>
          <w:snapToGrid w:val="0"/>
          <w:color w:val="1F497D" w:themeColor="text2"/>
          <w:sz w:val="18"/>
          <w:szCs w:val="18"/>
          <w:lang w:val="eu-ES"/>
        </w:rPr>
        <w:lastRenderedPageBreak/>
        <w:t xml:space="preserve">GIZARTE EKONOMIAKO ENPRESEN LANKIDETZA-HARREMANEN IZAERA, 2012 (guztizkoaren gaineko ehunekoa) </w:t>
      </w:r>
    </w:p>
    <w:p w:rsidR="00C11E29" w:rsidRPr="001E2F6E" w:rsidRDefault="00C11E29" w:rsidP="00C11E29">
      <w:pPr>
        <w:spacing w:line="240" w:lineRule="auto"/>
        <w:jc w:val="center"/>
        <w:rPr>
          <w:b/>
          <w:snapToGrid w:val="0"/>
          <w:color w:val="1F497D" w:themeColor="text2"/>
          <w:sz w:val="18"/>
          <w:szCs w:val="18"/>
          <w:lang w:val="eu-ES"/>
        </w:rPr>
      </w:pPr>
      <w:r w:rsidRPr="001E2F6E">
        <w:rPr>
          <w:b/>
          <w:snapToGrid w:val="0"/>
          <w:color w:val="1F497D" w:themeColor="text2"/>
          <w:sz w:val="18"/>
          <w:szCs w:val="18"/>
          <w:lang w:val="eu-ES"/>
        </w:rPr>
        <w:t xml:space="preserve"> </w:t>
      </w:r>
    </w:p>
    <w:p w:rsidR="00C11E29" w:rsidRPr="001E2F6E" w:rsidRDefault="00C11E29" w:rsidP="00C11E29">
      <w:pPr>
        <w:ind w:left="227" w:hanging="227"/>
        <w:jc w:val="center"/>
        <w:rPr>
          <w:b/>
          <w:snapToGrid w:val="0"/>
          <w:color w:val="1F497D" w:themeColor="text2"/>
          <w:sz w:val="18"/>
          <w:szCs w:val="18"/>
          <w:lang w:val="eu-ES"/>
        </w:rPr>
      </w:pPr>
      <w:r w:rsidRPr="001E2F6E">
        <w:rPr>
          <w:b/>
          <w:noProof/>
          <w:color w:val="1F497D" w:themeColor="text2"/>
          <w:sz w:val="18"/>
          <w:szCs w:val="18"/>
          <w:lang w:eastAsia="es-ES"/>
        </w:rPr>
        <w:drawing>
          <wp:anchor distT="0" distB="0" distL="114300" distR="114300" simplePos="0" relativeHeight="251679744" behindDoc="0" locked="0" layoutInCell="1" allowOverlap="1">
            <wp:simplePos x="0" y="0"/>
            <wp:positionH relativeFrom="column">
              <wp:posOffset>454660</wp:posOffset>
            </wp:positionH>
            <wp:positionV relativeFrom="paragraph">
              <wp:posOffset>100965</wp:posOffset>
            </wp:positionV>
            <wp:extent cx="4352925" cy="1790700"/>
            <wp:effectExtent l="0" t="0" r="0" b="0"/>
            <wp:wrapNone/>
            <wp:docPr id="5"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anchor>
        </w:drawing>
      </w:r>
    </w:p>
    <w:p w:rsidR="00C11E29" w:rsidRPr="001E2F6E" w:rsidRDefault="00C11E29" w:rsidP="00C11E29">
      <w:pPr>
        <w:ind w:left="227" w:hanging="227"/>
        <w:jc w:val="center"/>
        <w:rPr>
          <w:b/>
          <w:snapToGrid w:val="0"/>
          <w:color w:val="1F497D" w:themeColor="text2"/>
          <w:sz w:val="18"/>
          <w:szCs w:val="18"/>
          <w:lang w:val="eu-ES"/>
        </w:rPr>
      </w:pPr>
    </w:p>
    <w:p w:rsidR="00C11E29" w:rsidRPr="001E2F6E" w:rsidRDefault="00C11E29" w:rsidP="00C11E29">
      <w:pPr>
        <w:ind w:left="227" w:hanging="227"/>
        <w:jc w:val="center"/>
        <w:rPr>
          <w:b/>
          <w:snapToGrid w:val="0"/>
          <w:color w:val="1F497D" w:themeColor="text2"/>
          <w:sz w:val="18"/>
          <w:szCs w:val="18"/>
          <w:lang w:val="eu-ES"/>
        </w:rPr>
      </w:pPr>
    </w:p>
    <w:p w:rsidR="00C11E29" w:rsidRPr="001E2F6E" w:rsidRDefault="00C11E29" w:rsidP="00C11E29">
      <w:pPr>
        <w:ind w:left="227" w:hanging="227"/>
        <w:jc w:val="center"/>
        <w:rPr>
          <w:b/>
          <w:snapToGrid w:val="0"/>
          <w:color w:val="1F497D" w:themeColor="text2"/>
          <w:sz w:val="18"/>
          <w:szCs w:val="18"/>
          <w:lang w:val="eu-ES"/>
        </w:rPr>
      </w:pPr>
    </w:p>
    <w:p w:rsidR="00C11E29" w:rsidRPr="001E2F6E" w:rsidRDefault="00C11E29" w:rsidP="00C11E29">
      <w:pPr>
        <w:ind w:left="227" w:hanging="227"/>
        <w:jc w:val="center"/>
        <w:rPr>
          <w:b/>
          <w:snapToGrid w:val="0"/>
          <w:color w:val="1F497D" w:themeColor="text2"/>
          <w:sz w:val="18"/>
          <w:szCs w:val="18"/>
          <w:lang w:val="eu-ES"/>
        </w:rPr>
      </w:pPr>
    </w:p>
    <w:p w:rsidR="00C11E29" w:rsidRPr="001E2F6E" w:rsidRDefault="00C11E29" w:rsidP="00C11E29">
      <w:pPr>
        <w:ind w:left="227" w:hanging="227"/>
        <w:jc w:val="center"/>
        <w:rPr>
          <w:b/>
          <w:snapToGrid w:val="0"/>
          <w:color w:val="1F497D" w:themeColor="text2"/>
          <w:sz w:val="18"/>
          <w:szCs w:val="18"/>
          <w:lang w:val="eu-ES"/>
        </w:rPr>
      </w:pPr>
    </w:p>
    <w:p w:rsidR="00C11E29" w:rsidRPr="001E2F6E" w:rsidRDefault="00C11E29" w:rsidP="00C11E29">
      <w:pPr>
        <w:ind w:left="227" w:hanging="227"/>
        <w:jc w:val="center"/>
        <w:rPr>
          <w:b/>
          <w:snapToGrid w:val="0"/>
          <w:color w:val="1F497D" w:themeColor="text2"/>
          <w:sz w:val="18"/>
          <w:szCs w:val="18"/>
          <w:lang w:val="eu-ES"/>
        </w:rPr>
      </w:pPr>
    </w:p>
    <w:p w:rsidR="00C11E29" w:rsidRPr="001E2F6E" w:rsidRDefault="00C11E29" w:rsidP="00C11E29">
      <w:pPr>
        <w:ind w:left="227" w:hanging="227"/>
        <w:jc w:val="center"/>
        <w:rPr>
          <w:b/>
          <w:snapToGrid w:val="0"/>
          <w:color w:val="1F497D" w:themeColor="text2"/>
          <w:sz w:val="18"/>
          <w:szCs w:val="18"/>
          <w:lang w:val="eu-ES"/>
        </w:rPr>
      </w:pPr>
    </w:p>
    <w:p w:rsidR="00C11E29" w:rsidRPr="001E2F6E" w:rsidRDefault="00C11E29" w:rsidP="00C11E29">
      <w:pPr>
        <w:ind w:left="227" w:hanging="227"/>
        <w:jc w:val="center"/>
        <w:rPr>
          <w:b/>
          <w:snapToGrid w:val="0"/>
          <w:color w:val="1F497D" w:themeColor="text2"/>
          <w:sz w:val="18"/>
          <w:szCs w:val="18"/>
          <w:lang w:val="eu-ES"/>
        </w:rPr>
      </w:pPr>
    </w:p>
    <w:p w:rsidR="00C11E29" w:rsidRPr="001E2F6E" w:rsidRDefault="00C11E29" w:rsidP="00C11E29">
      <w:pPr>
        <w:ind w:left="227" w:hanging="227"/>
        <w:jc w:val="center"/>
        <w:rPr>
          <w:b/>
          <w:snapToGrid w:val="0"/>
          <w:color w:val="1F497D" w:themeColor="text2"/>
          <w:sz w:val="18"/>
          <w:szCs w:val="18"/>
          <w:lang w:val="eu-ES"/>
        </w:rPr>
      </w:pPr>
    </w:p>
    <w:p w:rsidR="00C11E29" w:rsidRPr="001E2F6E" w:rsidRDefault="00C11E29" w:rsidP="00E7466B">
      <w:pPr>
        <w:ind w:left="426" w:hanging="426"/>
        <w:rPr>
          <w:lang w:val="eu-ES"/>
        </w:rPr>
      </w:pPr>
    </w:p>
    <w:p w:rsidR="004A72E7" w:rsidRPr="00A253D5" w:rsidRDefault="004A72E7" w:rsidP="00E7466B">
      <w:pPr>
        <w:ind w:left="426" w:hanging="426"/>
        <w:rPr>
          <w:lang w:val="eu-ES"/>
        </w:rPr>
      </w:pPr>
      <w:r w:rsidRPr="001E2F6E">
        <w:rPr>
          <w:lang w:val="eu-ES"/>
        </w:rPr>
        <w:tab/>
        <w:t>Hala ere, datu horien xehetasunak eman daitezke tamainari erreparatuz gero; oro har, 2010etik 2012ra bitartean, lankidetza-harremanen kopurua nabarmen handitu zen (salbuespenak salbuespen, hala nola 16-50 langile eta 201-500 langile dituzten enpresetan).</w:t>
      </w:r>
      <w:r w:rsidRPr="00A253D5">
        <w:rPr>
          <w:lang w:val="eu-ES"/>
        </w:rPr>
        <w:t xml:space="preserve"> </w:t>
      </w:r>
      <w:r w:rsidRPr="001E2F6E">
        <w:rPr>
          <w:lang w:val="eu-ES"/>
        </w:rPr>
        <w:t>Gainera, lankidetzan aritzen diren enpresetan, lankidetzaren esparrua Gizarte Ekonomiako sektore-arlo guztietara zabaltzen da.</w:t>
      </w:r>
    </w:p>
    <w:p w:rsidR="004A72E7" w:rsidRPr="00A253D5" w:rsidRDefault="004A72E7" w:rsidP="00354E9D">
      <w:pPr>
        <w:ind w:left="227" w:hanging="227"/>
        <w:rPr>
          <w:lang w:val="eu-ES"/>
        </w:rPr>
      </w:pPr>
    </w:p>
    <w:p w:rsidR="004A72E7" w:rsidRPr="001E2F6E" w:rsidRDefault="004A72E7" w:rsidP="007B3C3B">
      <w:pPr>
        <w:spacing w:line="240" w:lineRule="auto"/>
        <w:jc w:val="center"/>
        <w:rPr>
          <w:b/>
          <w:bCs/>
          <w:color w:val="1F497D" w:themeColor="text2"/>
          <w:sz w:val="18"/>
          <w:szCs w:val="18"/>
        </w:rPr>
      </w:pPr>
      <w:r w:rsidRPr="001E2F6E">
        <w:rPr>
          <w:b/>
          <w:bCs/>
          <w:color w:val="1F497D" w:themeColor="text2"/>
          <w:sz w:val="18"/>
          <w:szCs w:val="18"/>
          <w:lang w:val="eu-ES"/>
        </w:rPr>
        <w:t>ENPRESEN ARTEKO LANKIDETZA ESTABLEZIMENDUAREN TAMAINAREN ARABERA,</w:t>
      </w:r>
      <w:r w:rsidRPr="001E2F6E">
        <w:rPr>
          <w:b/>
          <w:bCs/>
          <w:color w:val="1F497D" w:themeColor="text2"/>
          <w:sz w:val="18"/>
          <w:szCs w:val="18"/>
        </w:rPr>
        <w:t xml:space="preserve"> 2010-2012</w:t>
      </w:r>
    </w:p>
    <w:p w:rsidR="004A72E7" w:rsidRPr="001E2F6E" w:rsidRDefault="004A72E7" w:rsidP="007B3C3B">
      <w:pPr>
        <w:spacing w:line="240" w:lineRule="auto"/>
        <w:jc w:val="center"/>
        <w:rPr>
          <w:b/>
          <w:bCs/>
          <w:color w:val="1F497D" w:themeColor="text2"/>
          <w:sz w:val="18"/>
          <w:szCs w:val="18"/>
        </w:rPr>
      </w:pPr>
      <w:r w:rsidRPr="001E2F6E">
        <w:rPr>
          <w:b/>
          <w:bCs/>
          <w:color w:val="1F497D" w:themeColor="text2"/>
          <w:sz w:val="18"/>
          <w:szCs w:val="18"/>
          <w:lang w:val="eu-ES"/>
        </w:rPr>
        <w:t xml:space="preserve"> (enpresen %-a, haien tamainaren arabera)</w:t>
      </w:r>
    </w:p>
    <w:tbl>
      <w:tblPr>
        <w:tblW w:w="5000" w:type="pct"/>
        <w:jc w:val="center"/>
        <w:tblCellMar>
          <w:left w:w="70" w:type="dxa"/>
          <w:right w:w="70" w:type="dxa"/>
        </w:tblCellMar>
        <w:tblLook w:val="00A0" w:firstRow="1" w:lastRow="0" w:firstColumn="1" w:lastColumn="0" w:noHBand="0" w:noVBand="0"/>
      </w:tblPr>
      <w:tblGrid>
        <w:gridCol w:w="3544"/>
        <w:gridCol w:w="2886"/>
        <w:gridCol w:w="2498"/>
      </w:tblGrid>
      <w:tr w:rsidR="004A72E7" w:rsidRPr="001E2F6E">
        <w:trPr>
          <w:jc w:val="center"/>
        </w:trPr>
        <w:tc>
          <w:tcPr>
            <w:tcW w:w="1985" w:type="pct"/>
            <w:tcBorders>
              <w:top w:val="single" w:sz="8" w:space="0" w:color="BFBFBF"/>
              <w:left w:val="nil"/>
              <w:bottom w:val="single" w:sz="8" w:space="0" w:color="BFBFBF"/>
              <w:right w:val="single" w:sz="8" w:space="0" w:color="BFBFBF"/>
            </w:tcBorders>
            <w:shd w:val="clear" w:color="000000" w:fill="DBE5F1"/>
          </w:tcPr>
          <w:p w:rsidR="004A72E7" w:rsidRPr="001E2F6E" w:rsidRDefault="004A72E7" w:rsidP="00E7466B">
            <w:pPr>
              <w:spacing w:line="240" w:lineRule="exact"/>
              <w:jc w:val="left"/>
              <w:rPr>
                <w:rFonts w:ascii="Calibri" w:hAnsi="Calibri" w:cs="Calibri"/>
                <w:sz w:val="22"/>
                <w:szCs w:val="22"/>
                <w:lang w:eastAsia="es-ES"/>
              </w:rPr>
            </w:pPr>
            <w:r w:rsidRPr="001E2F6E">
              <w:rPr>
                <w:rFonts w:ascii="Calibri" w:hAnsi="Calibri" w:cs="Calibri"/>
                <w:sz w:val="22"/>
                <w:szCs w:val="22"/>
                <w:lang w:eastAsia="es-ES"/>
              </w:rPr>
              <w:t> </w:t>
            </w:r>
          </w:p>
        </w:tc>
        <w:tc>
          <w:tcPr>
            <w:tcW w:w="1616" w:type="pct"/>
            <w:tcBorders>
              <w:top w:val="single" w:sz="8" w:space="0" w:color="BFBFBF"/>
              <w:left w:val="nil"/>
              <w:bottom w:val="single" w:sz="8" w:space="0" w:color="BFBFBF"/>
              <w:right w:val="single" w:sz="8" w:space="0" w:color="BFBFBF"/>
            </w:tcBorders>
            <w:shd w:val="clear" w:color="000000" w:fill="DBE5F1"/>
          </w:tcPr>
          <w:p w:rsidR="004A72E7" w:rsidRPr="001E2F6E" w:rsidRDefault="004A72E7" w:rsidP="00E7466B">
            <w:pPr>
              <w:spacing w:line="240" w:lineRule="exact"/>
              <w:jc w:val="center"/>
              <w:rPr>
                <w:b/>
                <w:bCs/>
                <w:sz w:val="16"/>
                <w:szCs w:val="16"/>
                <w:lang w:eastAsia="es-ES"/>
              </w:rPr>
            </w:pPr>
            <w:r w:rsidRPr="001E2F6E">
              <w:rPr>
                <w:b/>
                <w:bCs/>
                <w:sz w:val="16"/>
                <w:szCs w:val="16"/>
                <w:lang w:eastAsia="es-ES"/>
              </w:rPr>
              <w:t>2010</w:t>
            </w:r>
          </w:p>
        </w:tc>
        <w:tc>
          <w:tcPr>
            <w:tcW w:w="1399" w:type="pct"/>
            <w:tcBorders>
              <w:top w:val="single" w:sz="8" w:space="0" w:color="BFBFBF"/>
              <w:left w:val="nil"/>
              <w:bottom w:val="single" w:sz="8" w:space="0" w:color="BFBFBF"/>
            </w:tcBorders>
            <w:shd w:val="clear" w:color="000000" w:fill="DBE5F1"/>
          </w:tcPr>
          <w:p w:rsidR="004A72E7" w:rsidRPr="001E2F6E" w:rsidRDefault="004A72E7" w:rsidP="00E7466B">
            <w:pPr>
              <w:spacing w:line="240" w:lineRule="exact"/>
              <w:jc w:val="center"/>
              <w:rPr>
                <w:b/>
                <w:bCs/>
                <w:sz w:val="16"/>
                <w:szCs w:val="16"/>
                <w:lang w:eastAsia="es-ES"/>
              </w:rPr>
            </w:pPr>
            <w:r w:rsidRPr="001E2F6E">
              <w:rPr>
                <w:b/>
                <w:bCs/>
                <w:sz w:val="16"/>
                <w:szCs w:val="16"/>
                <w:lang w:eastAsia="es-ES"/>
              </w:rPr>
              <w:t>2012</w:t>
            </w:r>
          </w:p>
        </w:tc>
      </w:tr>
      <w:tr w:rsidR="004A72E7" w:rsidRPr="001E2F6E">
        <w:trPr>
          <w:jc w:val="center"/>
        </w:trPr>
        <w:tc>
          <w:tcPr>
            <w:tcW w:w="1985" w:type="pct"/>
            <w:tcBorders>
              <w:top w:val="nil"/>
              <w:left w:val="nil"/>
              <w:bottom w:val="nil"/>
              <w:right w:val="single" w:sz="8" w:space="0" w:color="BFBFBF"/>
            </w:tcBorders>
          </w:tcPr>
          <w:p w:rsidR="004A72E7" w:rsidRPr="001E2F6E" w:rsidRDefault="004A72E7" w:rsidP="00E7466B">
            <w:pPr>
              <w:spacing w:line="240" w:lineRule="exact"/>
              <w:rPr>
                <w:sz w:val="16"/>
                <w:szCs w:val="16"/>
                <w:lang w:eastAsia="es-ES"/>
              </w:rPr>
            </w:pPr>
            <w:r w:rsidRPr="001E2F6E">
              <w:rPr>
                <w:sz w:val="16"/>
                <w:szCs w:val="16"/>
                <w:lang w:val="eu-ES" w:eastAsia="es-ES"/>
              </w:rPr>
              <w:t>500 langile baino gehiago</w:t>
            </w:r>
          </w:p>
        </w:tc>
        <w:tc>
          <w:tcPr>
            <w:tcW w:w="1616" w:type="pct"/>
            <w:tcBorders>
              <w:top w:val="nil"/>
              <w:left w:val="nil"/>
              <w:bottom w:val="nil"/>
              <w:right w:val="single" w:sz="8" w:space="0" w:color="BFBFBF"/>
            </w:tcBorders>
          </w:tcPr>
          <w:p w:rsidR="004A72E7" w:rsidRPr="001E2F6E" w:rsidRDefault="004A72E7" w:rsidP="00493CDC">
            <w:pPr>
              <w:spacing w:line="240" w:lineRule="exact"/>
              <w:ind w:right="170"/>
              <w:jc w:val="center"/>
              <w:rPr>
                <w:sz w:val="16"/>
                <w:szCs w:val="16"/>
                <w:lang w:eastAsia="es-ES"/>
              </w:rPr>
            </w:pPr>
            <w:r w:rsidRPr="001E2F6E">
              <w:rPr>
                <w:sz w:val="16"/>
                <w:szCs w:val="16"/>
                <w:lang w:eastAsia="es-ES"/>
              </w:rPr>
              <w:t>58,3</w:t>
            </w:r>
          </w:p>
        </w:tc>
        <w:tc>
          <w:tcPr>
            <w:tcW w:w="1399" w:type="pct"/>
            <w:tcBorders>
              <w:top w:val="nil"/>
              <w:left w:val="nil"/>
              <w:bottom w:val="nil"/>
            </w:tcBorders>
          </w:tcPr>
          <w:p w:rsidR="004A72E7" w:rsidRPr="001E2F6E" w:rsidRDefault="004A72E7" w:rsidP="00493CDC">
            <w:pPr>
              <w:spacing w:line="240" w:lineRule="exact"/>
              <w:ind w:right="170"/>
              <w:jc w:val="center"/>
              <w:rPr>
                <w:sz w:val="16"/>
                <w:szCs w:val="16"/>
                <w:lang w:eastAsia="es-ES"/>
              </w:rPr>
            </w:pPr>
            <w:r w:rsidRPr="001E2F6E">
              <w:rPr>
                <w:sz w:val="16"/>
                <w:szCs w:val="16"/>
                <w:lang w:eastAsia="es-ES"/>
              </w:rPr>
              <w:t>88,9</w:t>
            </w:r>
          </w:p>
        </w:tc>
      </w:tr>
      <w:tr w:rsidR="004A72E7" w:rsidRPr="001E2F6E">
        <w:trPr>
          <w:jc w:val="center"/>
        </w:trPr>
        <w:tc>
          <w:tcPr>
            <w:tcW w:w="1985" w:type="pct"/>
            <w:tcBorders>
              <w:top w:val="nil"/>
              <w:left w:val="nil"/>
              <w:bottom w:val="nil"/>
              <w:right w:val="single" w:sz="8" w:space="0" w:color="BFBFBF"/>
            </w:tcBorders>
          </w:tcPr>
          <w:p w:rsidR="004A72E7" w:rsidRPr="001E2F6E" w:rsidRDefault="004A72E7" w:rsidP="00E7466B">
            <w:pPr>
              <w:spacing w:line="240" w:lineRule="exact"/>
              <w:rPr>
                <w:sz w:val="16"/>
                <w:szCs w:val="16"/>
                <w:lang w:eastAsia="es-ES"/>
              </w:rPr>
            </w:pPr>
            <w:r w:rsidRPr="001E2F6E">
              <w:rPr>
                <w:sz w:val="16"/>
                <w:szCs w:val="16"/>
                <w:lang w:val="eu-ES" w:eastAsia="es-ES"/>
              </w:rPr>
              <w:t>201-500 langile</w:t>
            </w:r>
          </w:p>
        </w:tc>
        <w:tc>
          <w:tcPr>
            <w:tcW w:w="1616" w:type="pct"/>
            <w:tcBorders>
              <w:top w:val="nil"/>
              <w:left w:val="nil"/>
              <w:bottom w:val="nil"/>
              <w:right w:val="single" w:sz="8" w:space="0" w:color="BFBFBF"/>
            </w:tcBorders>
          </w:tcPr>
          <w:p w:rsidR="004A72E7" w:rsidRPr="001E2F6E" w:rsidRDefault="004A72E7" w:rsidP="00493CDC">
            <w:pPr>
              <w:spacing w:line="240" w:lineRule="exact"/>
              <w:ind w:right="170"/>
              <w:jc w:val="center"/>
              <w:rPr>
                <w:sz w:val="16"/>
                <w:szCs w:val="16"/>
                <w:lang w:eastAsia="es-ES"/>
              </w:rPr>
            </w:pPr>
            <w:r w:rsidRPr="001E2F6E">
              <w:rPr>
                <w:sz w:val="16"/>
                <w:szCs w:val="16"/>
                <w:lang w:eastAsia="es-ES"/>
              </w:rPr>
              <w:t>89,5</w:t>
            </w:r>
          </w:p>
        </w:tc>
        <w:tc>
          <w:tcPr>
            <w:tcW w:w="1399" w:type="pct"/>
            <w:tcBorders>
              <w:top w:val="nil"/>
              <w:left w:val="nil"/>
              <w:bottom w:val="nil"/>
            </w:tcBorders>
          </w:tcPr>
          <w:p w:rsidR="004A72E7" w:rsidRPr="001E2F6E" w:rsidRDefault="004A72E7" w:rsidP="00493CDC">
            <w:pPr>
              <w:spacing w:line="240" w:lineRule="exact"/>
              <w:ind w:right="170"/>
              <w:jc w:val="center"/>
              <w:rPr>
                <w:sz w:val="16"/>
                <w:szCs w:val="16"/>
                <w:lang w:eastAsia="es-ES"/>
              </w:rPr>
            </w:pPr>
            <w:r w:rsidRPr="001E2F6E">
              <w:rPr>
                <w:sz w:val="16"/>
                <w:szCs w:val="16"/>
                <w:lang w:eastAsia="es-ES"/>
              </w:rPr>
              <w:t>85,1</w:t>
            </w:r>
          </w:p>
        </w:tc>
      </w:tr>
      <w:tr w:rsidR="004A72E7" w:rsidRPr="001E2F6E">
        <w:trPr>
          <w:jc w:val="center"/>
        </w:trPr>
        <w:tc>
          <w:tcPr>
            <w:tcW w:w="1985" w:type="pct"/>
            <w:tcBorders>
              <w:top w:val="nil"/>
              <w:left w:val="nil"/>
              <w:bottom w:val="nil"/>
              <w:right w:val="single" w:sz="8" w:space="0" w:color="BFBFBF"/>
            </w:tcBorders>
          </w:tcPr>
          <w:p w:rsidR="004A72E7" w:rsidRPr="001E2F6E" w:rsidRDefault="004A72E7" w:rsidP="00E7466B">
            <w:pPr>
              <w:spacing w:line="240" w:lineRule="exact"/>
              <w:rPr>
                <w:sz w:val="16"/>
                <w:szCs w:val="16"/>
                <w:lang w:eastAsia="es-ES"/>
              </w:rPr>
            </w:pPr>
            <w:r w:rsidRPr="001E2F6E">
              <w:rPr>
                <w:sz w:val="16"/>
                <w:szCs w:val="16"/>
                <w:lang w:val="eu-ES" w:eastAsia="es-ES"/>
              </w:rPr>
              <w:t>101-200 langile</w:t>
            </w:r>
          </w:p>
        </w:tc>
        <w:tc>
          <w:tcPr>
            <w:tcW w:w="1616" w:type="pct"/>
            <w:tcBorders>
              <w:top w:val="nil"/>
              <w:left w:val="nil"/>
              <w:bottom w:val="nil"/>
              <w:right w:val="single" w:sz="8" w:space="0" w:color="BFBFBF"/>
            </w:tcBorders>
          </w:tcPr>
          <w:p w:rsidR="004A72E7" w:rsidRPr="001E2F6E" w:rsidRDefault="004A72E7" w:rsidP="00493CDC">
            <w:pPr>
              <w:spacing w:line="240" w:lineRule="exact"/>
              <w:ind w:right="170"/>
              <w:jc w:val="center"/>
              <w:rPr>
                <w:sz w:val="16"/>
                <w:szCs w:val="16"/>
                <w:lang w:eastAsia="es-ES"/>
              </w:rPr>
            </w:pPr>
            <w:r w:rsidRPr="001E2F6E">
              <w:rPr>
                <w:sz w:val="16"/>
                <w:szCs w:val="16"/>
                <w:lang w:eastAsia="es-ES"/>
              </w:rPr>
              <w:t>68,2</w:t>
            </w:r>
          </w:p>
        </w:tc>
        <w:tc>
          <w:tcPr>
            <w:tcW w:w="1399" w:type="pct"/>
            <w:tcBorders>
              <w:top w:val="nil"/>
              <w:left w:val="nil"/>
              <w:bottom w:val="nil"/>
            </w:tcBorders>
          </w:tcPr>
          <w:p w:rsidR="004A72E7" w:rsidRPr="001E2F6E" w:rsidRDefault="004A72E7" w:rsidP="00493CDC">
            <w:pPr>
              <w:spacing w:line="240" w:lineRule="exact"/>
              <w:ind w:right="170"/>
              <w:jc w:val="center"/>
              <w:rPr>
                <w:sz w:val="16"/>
                <w:szCs w:val="16"/>
                <w:lang w:eastAsia="es-ES"/>
              </w:rPr>
            </w:pPr>
            <w:r w:rsidRPr="001E2F6E">
              <w:rPr>
                <w:sz w:val="16"/>
                <w:szCs w:val="16"/>
                <w:lang w:eastAsia="es-ES"/>
              </w:rPr>
              <w:t>79,1</w:t>
            </w:r>
          </w:p>
        </w:tc>
      </w:tr>
      <w:tr w:rsidR="004A72E7" w:rsidRPr="001E2F6E">
        <w:trPr>
          <w:jc w:val="center"/>
        </w:trPr>
        <w:tc>
          <w:tcPr>
            <w:tcW w:w="1985" w:type="pct"/>
            <w:tcBorders>
              <w:top w:val="nil"/>
              <w:left w:val="nil"/>
              <w:bottom w:val="nil"/>
              <w:right w:val="single" w:sz="8" w:space="0" w:color="BFBFBF"/>
            </w:tcBorders>
          </w:tcPr>
          <w:p w:rsidR="004A72E7" w:rsidRPr="001E2F6E" w:rsidRDefault="004A72E7" w:rsidP="00E7466B">
            <w:pPr>
              <w:spacing w:line="240" w:lineRule="exact"/>
              <w:rPr>
                <w:sz w:val="16"/>
                <w:szCs w:val="16"/>
                <w:lang w:eastAsia="es-ES"/>
              </w:rPr>
            </w:pPr>
            <w:r w:rsidRPr="001E2F6E">
              <w:rPr>
                <w:sz w:val="16"/>
                <w:szCs w:val="16"/>
                <w:lang w:val="eu-ES" w:eastAsia="es-ES"/>
              </w:rPr>
              <w:t>51-100 langile</w:t>
            </w:r>
          </w:p>
        </w:tc>
        <w:tc>
          <w:tcPr>
            <w:tcW w:w="1616" w:type="pct"/>
            <w:tcBorders>
              <w:top w:val="nil"/>
              <w:left w:val="nil"/>
              <w:bottom w:val="nil"/>
              <w:right w:val="single" w:sz="8" w:space="0" w:color="BFBFBF"/>
            </w:tcBorders>
          </w:tcPr>
          <w:p w:rsidR="004A72E7" w:rsidRPr="001E2F6E" w:rsidRDefault="004A72E7" w:rsidP="00493CDC">
            <w:pPr>
              <w:spacing w:line="240" w:lineRule="exact"/>
              <w:ind w:right="170"/>
              <w:jc w:val="center"/>
              <w:rPr>
                <w:sz w:val="16"/>
                <w:szCs w:val="16"/>
                <w:lang w:eastAsia="es-ES"/>
              </w:rPr>
            </w:pPr>
            <w:r w:rsidRPr="001E2F6E">
              <w:rPr>
                <w:sz w:val="16"/>
                <w:szCs w:val="16"/>
                <w:lang w:eastAsia="es-ES"/>
              </w:rPr>
              <w:t>70,2</w:t>
            </w:r>
          </w:p>
        </w:tc>
        <w:tc>
          <w:tcPr>
            <w:tcW w:w="1399" w:type="pct"/>
            <w:tcBorders>
              <w:top w:val="nil"/>
              <w:left w:val="nil"/>
              <w:bottom w:val="nil"/>
            </w:tcBorders>
          </w:tcPr>
          <w:p w:rsidR="004A72E7" w:rsidRPr="001E2F6E" w:rsidRDefault="004A72E7" w:rsidP="00493CDC">
            <w:pPr>
              <w:spacing w:line="240" w:lineRule="exact"/>
              <w:ind w:right="170"/>
              <w:jc w:val="center"/>
              <w:rPr>
                <w:sz w:val="16"/>
                <w:szCs w:val="16"/>
                <w:lang w:eastAsia="es-ES"/>
              </w:rPr>
            </w:pPr>
            <w:r w:rsidRPr="001E2F6E">
              <w:rPr>
                <w:sz w:val="16"/>
                <w:szCs w:val="16"/>
                <w:lang w:eastAsia="es-ES"/>
              </w:rPr>
              <w:t>78,1</w:t>
            </w:r>
          </w:p>
        </w:tc>
      </w:tr>
      <w:tr w:rsidR="004A72E7" w:rsidRPr="001E2F6E">
        <w:trPr>
          <w:jc w:val="center"/>
        </w:trPr>
        <w:tc>
          <w:tcPr>
            <w:tcW w:w="1985" w:type="pct"/>
            <w:tcBorders>
              <w:top w:val="nil"/>
              <w:left w:val="nil"/>
              <w:bottom w:val="nil"/>
              <w:right w:val="single" w:sz="8" w:space="0" w:color="BFBFBF"/>
            </w:tcBorders>
          </w:tcPr>
          <w:p w:rsidR="004A72E7" w:rsidRPr="001E2F6E" w:rsidRDefault="004A72E7" w:rsidP="00E7466B">
            <w:pPr>
              <w:spacing w:line="240" w:lineRule="exact"/>
              <w:rPr>
                <w:sz w:val="16"/>
                <w:szCs w:val="16"/>
                <w:lang w:eastAsia="es-ES"/>
              </w:rPr>
            </w:pPr>
            <w:r w:rsidRPr="001E2F6E">
              <w:rPr>
                <w:sz w:val="16"/>
                <w:szCs w:val="16"/>
                <w:lang w:val="eu-ES" w:eastAsia="es-ES"/>
              </w:rPr>
              <w:t>16-50 langile</w:t>
            </w:r>
          </w:p>
        </w:tc>
        <w:tc>
          <w:tcPr>
            <w:tcW w:w="1616" w:type="pct"/>
            <w:tcBorders>
              <w:top w:val="nil"/>
              <w:left w:val="nil"/>
              <w:bottom w:val="nil"/>
              <w:right w:val="single" w:sz="8" w:space="0" w:color="BFBFBF"/>
            </w:tcBorders>
          </w:tcPr>
          <w:p w:rsidR="004A72E7" w:rsidRPr="001E2F6E" w:rsidRDefault="004A72E7" w:rsidP="00493CDC">
            <w:pPr>
              <w:spacing w:line="240" w:lineRule="exact"/>
              <w:ind w:right="170"/>
              <w:jc w:val="center"/>
              <w:rPr>
                <w:sz w:val="16"/>
                <w:szCs w:val="16"/>
                <w:lang w:eastAsia="es-ES"/>
              </w:rPr>
            </w:pPr>
            <w:r w:rsidRPr="001E2F6E">
              <w:rPr>
                <w:sz w:val="16"/>
                <w:szCs w:val="16"/>
                <w:lang w:eastAsia="es-ES"/>
              </w:rPr>
              <w:t>44,2</w:t>
            </w:r>
          </w:p>
        </w:tc>
        <w:tc>
          <w:tcPr>
            <w:tcW w:w="1399" w:type="pct"/>
            <w:tcBorders>
              <w:top w:val="nil"/>
              <w:left w:val="nil"/>
              <w:bottom w:val="nil"/>
            </w:tcBorders>
          </w:tcPr>
          <w:p w:rsidR="004A72E7" w:rsidRPr="001E2F6E" w:rsidRDefault="004A72E7" w:rsidP="00493CDC">
            <w:pPr>
              <w:spacing w:line="240" w:lineRule="exact"/>
              <w:ind w:right="170"/>
              <w:jc w:val="center"/>
              <w:rPr>
                <w:sz w:val="16"/>
                <w:szCs w:val="16"/>
                <w:lang w:eastAsia="es-ES"/>
              </w:rPr>
            </w:pPr>
            <w:r w:rsidRPr="001E2F6E">
              <w:rPr>
                <w:sz w:val="16"/>
                <w:szCs w:val="16"/>
                <w:lang w:eastAsia="es-ES"/>
              </w:rPr>
              <w:t>45,2</w:t>
            </w:r>
          </w:p>
        </w:tc>
      </w:tr>
      <w:tr w:rsidR="004A72E7" w:rsidRPr="001E2F6E">
        <w:trPr>
          <w:jc w:val="center"/>
        </w:trPr>
        <w:tc>
          <w:tcPr>
            <w:tcW w:w="1985" w:type="pct"/>
            <w:tcBorders>
              <w:top w:val="nil"/>
              <w:left w:val="nil"/>
              <w:bottom w:val="nil"/>
              <w:right w:val="single" w:sz="8" w:space="0" w:color="BFBFBF"/>
            </w:tcBorders>
          </w:tcPr>
          <w:p w:rsidR="004A72E7" w:rsidRPr="001E2F6E" w:rsidRDefault="004A72E7" w:rsidP="00E7466B">
            <w:pPr>
              <w:spacing w:line="240" w:lineRule="exact"/>
              <w:rPr>
                <w:sz w:val="16"/>
                <w:szCs w:val="16"/>
                <w:lang w:eastAsia="es-ES"/>
              </w:rPr>
            </w:pPr>
            <w:r w:rsidRPr="001E2F6E">
              <w:rPr>
                <w:sz w:val="16"/>
                <w:szCs w:val="16"/>
                <w:lang w:val="eu-ES" w:eastAsia="es-ES"/>
              </w:rPr>
              <w:t>6-15 langile</w:t>
            </w:r>
          </w:p>
        </w:tc>
        <w:tc>
          <w:tcPr>
            <w:tcW w:w="1616" w:type="pct"/>
            <w:tcBorders>
              <w:top w:val="nil"/>
              <w:left w:val="nil"/>
              <w:bottom w:val="nil"/>
              <w:right w:val="single" w:sz="8" w:space="0" w:color="BFBFBF"/>
            </w:tcBorders>
          </w:tcPr>
          <w:p w:rsidR="004A72E7" w:rsidRPr="001E2F6E" w:rsidRDefault="004A72E7" w:rsidP="00493CDC">
            <w:pPr>
              <w:spacing w:line="240" w:lineRule="exact"/>
              <w:ind w:right="170"/>
              <w:jc w:val="center"/>
              <w:rPr>
                <w:sz w:val="16"/>
                <w:szCs w:val="16"/>
                <w:lang w:eastAsia="es-ES"/>
              </w:rPr>
            </w:pPr>
            <w:r w:rsidRPr="001E2F6E">
              <w:rPr>
                <w:sz w:val="16"/>
                <w:szCs w:val="16"/>
                <w:lang w:eastAsia="es-ES"/>
              </w:rPr>
              <w:t>25,2</w:t>
            </w:r>
          </w:p>
        </w:tc>
        <w:tc>
          <w:tcPr>
            <w:tcW w:w="1399" w:type="pct"/>
            <w:tcBorders>
              <w:top w:val="nil"/>
              <w:left w:val="nil"/>
              <w:bottom w:val="nil"/>
            </w:tcBorders>
          </w:tcPr>
          <w:p w:rsidR="004A72E7" w:rsidRPr="001E2F6E" w:rsidRDefault="004A72E7" w:rsidP="00493CDC">
            <w:pPr>
              <w:spacing w:line="240" w:lineRule="exact"/>
              <w:ind w:right="170"/>
              <w:jc w:val="center"/>
              <w:rPr>
                <w:sz w:val="16"/>
                <w:szCs w:val="16"/>
                <w:lang w:eastAsia="es-ES"/>
              </w:rPr>
            </w:pPr>
            <w:r w:rsidRPr="001E2F6E">
              <w:rPr>
                <w:sz w:val="16"/>
                <w:szCs w:val="16"/>
                <w:lang w:eastAsia="es-ES"/>
              </w:rPr>
              <w:t>28,9</w:t>
            </w:r>
          </w:p>
        </w:tc>
      </w:tr>
      <w:tr w:rsidR="004A72E7" w:rsidRPr="001E2F6E">
        <w:trPr>
          <w:jc w:val="center"/>
        </w:trPr>
        <w:tc>
          <w:tcPr>
            <w:tcW w:w="1985" w:type="pct"/>
            <w:tcBorders>
              <w:top w:val="nil"/>
              <w:left w:val="nil"/>
              <w:bottom w:val="single" w:sz="8" w:space="0" w:color="BFBFBF"/>
              <w:right w:val="single" w:sz="8" w:space="0" w:color="BFBFBF"/>
            </w:tcBorders>
          </w:tcPr>
          <w:p w:rsidR="004A72E7" w:rsidRPr="001E2F6E" w:rsidRDefault="004A72E7" w:rsidP="00E7466B">
            <w:pPr>
              <w:spacing w:line="240" w:lineRule="exact"/>
              <w:rPr>
                <w:sz w:val="16"/>
                <w:szCs w:val="16"/>
                <w:lang w:eastAsia="es-ES"/>
              </w:rPr>
            </w:pPr>
            <w:r w:rsidRPr="001E2F6E">
              <w:rPr>
                <w:sz w:val="16"/>
                <w:szCs w:val="16"/>
                <w:lang w:val="eu-ES" w:eastAsia="es-ES"/>
              </w:rPr>
              <w:t>6 langile baino gutxiago</w:t>
            </w:r>
          </w:p>
        </w:tc>
        <w:tc>
          <w:tcPr>
            <w:tcW w:w="1616" w:type="pct"/>
            <w:tcBorders>
              <w:top w:val="nil"/>
              <w:left w:val="nil"/>
              <w:bottom w:val="single" w:sz="8" w:space="0" w:color="BFBFBF"/>
              <w:right w:val="single" w:sz="8" w:space="0" w:color="BFBFBF"/>
            </w:tcBorders>
          </w:tcPr>
          <w:p w:rsidR="004A72E7" w:rsidRPr="001E2F6E" w:rsidRDefault="004A72E7" w:rsidP="00493CDC">
            <w:pPr>
              <w:spacing w:line="240" w:lineRule="exact"/>
              <w:ind w:right="170"/>
              <w:jc w:val="center"/>
              <w:rPr>
                <w:sz w:val="16"/>
                <w:szCs w:val="16"/>
                <w:lang w:eastAsia="es-ES"/>
              </w:rPr>
            </w:pPr>
            <w:r w:rsidRPr="001E2F6E">
              <w:rPr>
                <w:sz w:val="16"/>
                <w:szCs w:val="16"/>
                <w:lang w:eastAsia="es-ES"/>
              </w:rPr>
              <w:t>17,1</w:t>
            </w:r>
          </w:p>
        </w:tc>
        <w:tc>
          <w:tcPr>
            <w:tcW w:w="1399" w:type="pct"/>
            <w:tcBorders>
              <w:top w:val="nil"/>
              <w:left w:val="nil"/>
              <w:bottom w:val="single" w:sz="8" w:space="0" w:color="BFBFBF"/>
            </w:tcBorders>
          </w:tcPr>
          <w:p w:rsidR="004A72E7" w:rsidRPr="001E2F6E" w:rsidRDefault="004A72E7" w:rsidP="00493CDC">
            <w:pPr>
              <w:spacing w:line="240" w:lineRule="exact"/>
              <w:ind w:right="170"/>
              <w:jc w:val="center"/>
              <w:rPr>
                <w:sz w:val="16"/>
                <w:szCs w:val="16"/>
                <w:lang w:eastAsia="es-ES"/>
              </w:rPr>
            </w:pPr>
            <w:r w:rsidRPr="001E2F6E">
              <w:rPr>
                <w:sz w:val="16"/>
                <w:szCs w:val="16"/>
                <w:lang w:eastAsia="es-ES"/>
              </w:rPr>
              <w:t>22,4</w:t>
            </w:r>
          </w:p>
        </w:tc>
      </w:tr>
    </w:tbl>
    <w:p w:rsidR="004A72E7" w:rsidRPr="001E2F6E" w:rsidRDefault="004A72E7" w:rsidP="00354E9D">
      <w:pPr>
        <w:ind w:left="227" w:hanging="227"/>
        <w:rPr>
          <w:lang w:val="es-ES_tradnl"/>
        </w:rPr>
      </w:pPr>
    </w:p>
    <w:p w:rsidR="004A72E7" w:rsidRPr="001E2F6E" w:rsidRDefault="004A72E7" w:rsidP="00354E9D">
      <w:pPr>
        <w:ind w:left="227" w:hanging="227"/>
        <w:rPr>
          <w:lang w:val="es-ES_tradnl"/>
        </w:rPr>
      </w:pPr>
    </w:p>
    <w:p w:rsidR="004A72E7" w:rsidRPr="001E2F6E" w:rsidRDefault="004A72E7" w:rsidP="00E7466B">
      <w:pPr>
        <w:ind w:left="426" w:hanging="426"/>
        <w:rPr>
          <w:lang w:val="es-ES_tradnl"/>
        </w:rPr>
      </w:pPr>
      <w:r w:rsidRPr="001E2F6E">
        <w:rPr>
          <w:lang w:val="es-ES_tradnl"/>
        </w:rPr>
        <w:tab/>
      </w:r>
      <w:r w:rsidRPr="001E2F6E">
        <w:rPr>
          <w:lang w:val="eu-ES"/>
        </w:rPr>
        <w:t>Ildo horretan, enpresen arteko elkarteak argi eta garbi areagotzen dira; batik bat, 50 langile baino gutxiago dituzten enpresen artekoak.</w:t>
      </w:r>
    </w:p>
    <w:p w:rsidR="004A72E7" w:rsidRPr="001E2F6E" w:rsidRDefault="004A72E7" w:rsidP="00115016">
      <w:pPr>
        <w:rPr>
          <w:snapToGrid w:val="0"/>
          <w:lang w:eastAsia="es-ES"/>
        </w:rPr>
      </w:pPr>
    </w:p>
    <w:p w:rsidR="004A72E7" w:rsidRPr="001E2F6E" w:rsidRDefault="004A72E7" w:rsidP="00115016">
      <w:pPr>
        <w:rPr>
          <w:snapToGrid w:val="0"/>
          <w:lang w:eastAsia="es-ES"/>
        </w:rPr>
      </w:pPr>
    </w:p>
    <w:p w:rsidR="004A72E7" w:rsidRPr="001E2F6E" w:rsidRDefault="004A72E7" w:rsidP="00115016">
      <w:pPr>
        <w:rPr>
          <w:snapToGrid w:val="0"/>
          <w:lang w:eastAsia="es-ES"/>
        </w:rPr>
      </w:pPr>
    </w:p>
    <w:p w:rsidR="004A72E7" w:rsidRPr="001E2F6E" w:rsidRDefault="004A72E7">
      <w:pPr>
        <w:spacing w:after="200" w:line="276" w:lineRule="auto"/>
        <w:jc w:val="left"/>
        <w:rPr>
          <w:b/>
          <w:bCs/>
          <w:snapToGrid w:val="0"/>
          <w:sz w:val="28"/>
          <w:szCs w:val="28"/>
          <w:lang w:eastAsia="es-ES"/>
        </w:rPr>
      </w:pPr>
      <w:r w:rsidRPr="001E2F6E">
        <w:br w:type="page"/>
      </w:r>
    </w:p>
    <w:p w:rsidR="00C11E29" w:rsidRPr="001E2F6E" w:rsidRDefault="00C11E29">
      <w:pPr>
        <w:spacing w:line="240" w:lineRule="auto"/>
        <w:jc w:val="left"/>
        <w:rPr>
          <w:rFonts w:eastAsia="Times New Roman"/>
          <w:b/>
          <w:bCs/>
          <w:sz w:val="28"/>
          <w:szCs w:val="28"/>
          <w:lang w:val="eu-ES" w:eastAsia="es-ES"/>
        </w:rPr>
      </w:pPr>
      <w:r w:rsidRPr="001E2F6E">
        <w:rPr>
          <w:lang w:val="eu-ES"/>
        </w:rPr>
        <w:lastRenderedPageBreak/>
        <w:br w:type="page"/>
      </w:r>
    </w:p>
    <w:p w:rsidR="004A72E7" w:rsidRPr="001E2F6E" w:rsidRDefault="004A72E7" w:rsidP="00E7466B">
      <w:pPr>
        <w:pStyle w:val="Ttulo1"/>
        <w:ind w:left="426" w:hanging="426"/>
      </w:pPr>
      <w:bookmarkStart w:id="15" w:name="_Toc392585664"/>
      <w:r w:rsidRPr="001E2F6E">
        <w:rPr>
          <w:lang w:val="eu-ES"/>
        </w:rPr>
        <w:lastRenderedPageBreak/>
        <w:t>IV.</w:t>
      </w:r>
      <w:r w:rsidRPr="001E2F6E">
        <w:t xml:space="preserve"> </w:t>
      </w:r>
      <w:r w:rsidRPr="001E2F6E">
        <w:tab/>
      </w:r>
      <w:r w:rsidRPr="001E2F6E">
        <w:rPr>
          <w:lang w:val="eu-ES"/>
        </w:rPr>
        <w:t>GIZARTE EKONOMIAREN FORMA BERRIAK (GEFB), 2012</w:t>
      </w:r>
      <w:bookmarkEnd w:id="15"/>
    </w:p>
    <w:p w:rsidR="004A72E7" w:rsidRPr="001E2F6E" w:rsidRDefault="004A72E7" w:rsidP="00E7466B">
      <w:pPr>
        <w:ind w:left="426" w:hanging="426"/>
      </w:pPr>
    </w:p>
    <w:p w:rsidR="004A72E7" w:rsidRPr="001E2F6E" w:rsidRDefault="004A72E7" w:rsidP="001451B1">
      <w:pPr>
        <w:pStyle w:val="Prrafodelista"/>
        <w:numPr>
          <w:ilvl w:val="0"/>
          <w:numId w:val="2"/>
        </w:numPr>
        <w:spacing w:after="0" w:line="360" w:lineRule="auto"/>
        <w:ind w:left="426" w:hanging="426"/>
        <w:rPr>
          <w:rFonts w:ascii="Arial" w:hAnsi="Arial" w:cs="Arial"/>
          <w:b/>
          <w:bCs/>
          <w:lang w:val="es-ES_tradnl"/>
        </w:rPr>
      </w:pPr>
      <w:r w:rsidRPr="001E2F6E">
        <w:rPr>
          <w:rFonts w:ascii="Arial" w:hAnsi="Arial" w:cs="Arial"/>
          <w:b/>
          <w:bCs/>
          <w:lang w:val="es-ES_tradnl"/>
        </w:rPr>
        <w:tab/>
      </w:r>
      <w:r w:rsidRPr="001E2F6E">
        <w:rPr>
          <w:rFonts w:ascii="Arial" w:hAnsi="Arial" w:cs="Arial"/>
          <w:b/>
          <w:bCs/>
          <w:lang w:val="eu-ES"/>
        </w:rPr>
        <w:t>Gizarte Ekonomiaren Forma Berrietan, 1.226 enpresa zeuden 2012an</w:t>
      </w:r>
    </w:p>
    <w:p w:rsidR="004A72E7" w:rsidRPr="001E2F6E" w:rsidRDefault="004A72E7" w:rsidP="00E7466B">
      <w:pPr>
        <w:ind w:left="426" w:hanging="426"/>
        <w:rPr>
          <w:lang w:val="es-ES_tradnl"/>
        </w:rPr>
      </w:pPr>
    </w:p>
    <w:p w:rsidR="004A72E7" w:rsidRPr="001E2F6E" w:rsidRDefault="004A72E7" w:rsidP="00E7466B">
      <w:pPr>
        <w:ind w:left="426" w:hanging="426"/>
        <w:rPr>
          <w:lang w:val="eu-ES"/>
        </w:rPr>
      </w:pPr>
      <w:r w:rsidRPr="001E2F6E">
        <w:tab/>
      </w:r>
      <w:r w:rsidRPr="001E2F6E">
        <w:rPr>
          <w:lang w:val="eu-ES"/>
        </w:rPr>
        <w:t>Gizarte Ekonomiaren Forma Berrietan (GEFB), Gizarte Ekonomiaren Forma Klasikoak (GEFK) osatzen dituzten enpresak sartzen dira.</w:t>
      </w:r>
      <w:r w:rsidRPr="001E2F6E">
        <w:t xml:space="preserve"> </w:t>
      </w:r>
      <w:r w:rsidRPr="001E2F6E">
        <w:rPr>
          <w:lang w:val="eu-ES"/>
        </w:rPr>
        <w:t>2012an, Gizarte Ekonomiaren Forma Berrien artean, EAEko 1.226 enpresa zeuden. Hona hemen enpresa horien tipologia: 615 fundazio; onura publikoko 189 elkarte; 42 enplegu-zentro berezi; 78 gizarteratze-enpresa; borondatezko gizarte-aurreikuspeneko 189 erakunde (BGAE); 16 arrantzale-kofradia; eta eraldaketarako 97 nekazaritza-sozietate.</w:t>
      </w:r>
    </w:p>
    <w:p w:rsidR="004A72E7" w:rsidRPr="001E2F6E" w:rsidRDefault="004A72E7" w:rsidP="00115016">
      <w:pPr>
        <w:rPr>
          <w:lang w:val="eu-ES"/>
        </w:rPr>
      </w:pPr>
    </w:p>
    <w:p w:rsidR="004A72E7" w:rsidRPr="001E2F6E" w:rsidRDefault="004A72E7" w:rsidP="00E7466B">
      <w:pPr>
        <w:spacing w:line="240" w:lineRule="auto"/>
        <w:ind w:left="227" w:hanging="227"/>
        <w:jc w:val="center"/>
        <w:rPr>
          <w:b/>
          <w:bCs/>
          <w:color w:val="1F497D" w:themeColor="text2"/>
          <w:sz w:val="18"/>
          <w:szCs w:val="18"/>
          <w:lang w:val="eu-ES"/>
        </w:rPr>
      </w:pPr>
      <w:r w:rsidRPr="001E2F6E">
        <w:rPr>
          <w:b/>
          <w:bCs/>
          <w:color w:val="1F497D" w:themeColor="text2"/>
          <w:sz w:val="18"/>
          <w:szCs w:val="18"/>
          <w:lang w:val="eu-ES"/>
        </w:rPr>
        <w:t>GEFB-ETAKO ENPRESA-KOPURUAREN BANAKETA SEGMENTUKA –UNIBERTSOA ETA LAGINA–, 2012 (kopuru absolutuak)</w:t>
      </w:r>
    </w:p>
    <w:tbl>
      <w:tblPr>
        <w:tblW w:w="9409" w:type="dxa"/>
        <w:jc w:val="center"/>
        <w:tblLayout w:type="fixed"/>
        <w:tblLook w:val="00A0" w:firstRow="1" w:lastRow="0" w:firstColumn="1" w:lastColumn="0" w:noHBand="0" w:noVBand="0"/>
      </w:tblPr>
      <w:tblGrid>
        <w:gridCol w:w="2038"/>
        <w:gridCol w:w="992"/>
        <w:gridCol w:w="771"/>
        <w:gridCol w:w="1077"/>
        <w:gridCol w:w="962"/>
        <w:gridCol w:w="932"/>
        <w:gridCol w:w="1077"/>
        <w:gridCol w:w="709"/>
        <w:gridCol w:w="851"/>
      </w:tblGrid>
      <w:tr w:rsidR="004A72E7" w:rsidRPr="001E2F6E">
        <w:trPr>
          <w:cantSplit/>
          <w:trHeight w:val="1134"/>
          <w:jc w:val="center"/>
        </w:trPr>
        <w:tc>
          <w:tcPr>
            <w:tcW w:w="2038" w:type="dxa"/>
            <w:tcBorders>
              <w:top w:val="single" w:sz="4" w:space="0" w:color="BFBFBF"/>
              <w:bottom w:val="single" w:sz="4" w:space="0" w:color="BFBFBF"/>
              <w:right w:val="single" w:sz="4" w:space="0" w:color="BFBFBF"/>
            </w:tcBorders>
            <w:shd w:val="clear" w:color="auto" w:fill="DBE5F1"/>
            <w:vAlign w:val="center"/>
          </w:tcPr>
          <w:p w:rsidR="004A72E7" w:rsidRPr="001E2F6E" w:rsidRDefault="004A72E7" w:rsidP="00E7466B">
            <w:pPr>
              <w:spacing w:line="240" w:lineRule="exact"/>
              <w:ind w:left="227" w:hanging="227"/>
              <w:jc w:val="left"/>
              <w:rPr>
                <w:b/>
                <w:bCs/>
                <w:sz w:val="16"/>
                <w:szCs w:val="16"/>
                <w:lang w:val="eu-ES"/>
              </w:rPr>
            </w:pPr>
          </w:p>
        </w:tc>
        <w:tc>
          <w:tcPr>
            <w:tcW w:w="992" w:type="dxa"/>
            <w:tcBorders>
              <w:top w:val="single" w:sz="4" w:space="0" w:color="BFBFBF"/>
              <w:left w:val="single" w:sz="4" w:space="0" w:color="BFBFBF"/>
              <w:bottom w:val="single" w:sz="4" w:space="0" w:color="BFBFBF"/>
              <w:right w:val="single" w:sz="4" w:space="0" w:color="BFBFBF"/>
            </w:tcBorders>
            <w:shd w:val="clear" w:color="auto" w:fill="DBE5F1"/>
            <w:textDirection w:val="btLr"/>
            <w:vAlign w:val="center"/>
          </w:tcPr>
          <w:p w:rsidR="004A72E7" w:rsidRPr="001E2F6E" w:rsidRDefault="004A72E7" w:rsidP="001A5377">
            <w:pPr>
              <w:spacing w:line="240" w:lineRule="exact"/>
              <w:ind w:left="121" w:right="113" w:hanging="8"/>
              <w:jc w:val="center"/>
              <w:rPr>
                <w:b/>
                <w:bCs/>
                <w:sz w:val="16"/>
                <w:szCs w:val="16"/>
              </w:rPr>
            </w:pPr>
            <w:r w:rsidRPr="001E2F6E">
              <w:rPr>
                <w:b/>
                <w:bCs/>
                <w:sz w:val="16"/>
                <w:szCs w:val="16"/>
                <w:lang w:val="eu-ES"/>
              </w:rPr>
              <w:t>Fundazioak</w:t>
            </w:r>
          </w:p>
        </w:tc>
        <w:tc>
          <w:tcPr>
            <w:tcW w:w="771" w:type="dxa"/>
            <w:tcBorders>
              <w:top w:val="single" w:sz="4" w:space="0" w:color="BFBFBF"/>
              <w:left w:val="single" w:sz="4" w:space="0" w:color="BFBFBF"/>
              <w:bottom w:val="single" w:sz="4" w:space="0" w:color="BFBFBF"/>
              <w:right w:val="single" w:sz="4" w:space="0" w:color="BFBFBF"/>
            </w:tcBorders>
            <w:shd w:val="clear" w:color="auto" w:fill="DBE5F1"/>
            <w:textDirection w:val="btLr"/>
            <w:vAlign w:val="center"/>
          </w:tcPr>
          <w:p w:rsidR="004A72E7" w:rsidRPr="001E2F6E" w:rsidRDefault="004A72E7" w:rsidP="001A5377">
            <w:pPr>
              <w:spacing w:line="240" w:lineRule="exact"/>
              <w:ind w:left="121" w:right="113" w:hanging="8"/>
              <w:jc w:val="center"/>
              <w:rPr>
                <w:b/>
                <w:bCs/>
                <w:sz w:val="16"/>
                <w:szCs w:val="16"/>
              </w:rPr>
            </w:pPr>
            <w:r w:rsidRPr="001E2F6E">
              <w:rPr>
                <w:b/>
                <w:bCs/>
                <w:sz w:val="16"/>
                <w:szCs w:val="16"/>
                <w:lang w:val="eu-ES"/>
              </w:rPr>
              <w:t>Onura Publikoko Elkarteak</w:t>
            </w:r>
          </w:p>
        </w:tc>
        <w:tc>
          <w:tcPr>
            <w:tcW w:w="1077" w:type="dxa"/>
            <w:tcBorders>
              <w:top w:val="single" w:sz="4" w:space="0" w:color="BFBFBF"/>
              <w:left w:val="single" w:sz="4" w:space="0" w:color="BFBFBF"/>
              <w:bottom w:val="single" w:sz="4" w:space="0" w:color="BFBFBF"/>
              <w:right w:val="single" w:sz="4" w:space="0" w:color="BFBFBF"/>
            </w:tcBorders>
            <w:shd w:val="clear" w:color="auto" w:fill="DBE5F1"/>
            <w:textDirection w:val="btLr"/>
            <w:vAlign w:val="center"/>
          </w:tcPr>
          <w:p w:rsidR="004A72E7" w:rsidRPr="001E2F6E" w:rsidRDefault="004A72E7" w:rsidP="001A5377">
            <w:pPr>
              <w:spacing w:line="240" w:lineRule="exact"/>
              <w:ind w:left="121" w:right="113" w:hanging="8"/>
              <w:jc w:val="center"/>
              <w:rPr>
                <w:b/>
                <w:bCs/>
                <w:sz w:val="16"/>
                <w:szCs w:val="16"/>
              </w:rPr>
            </w:pPr>
            <w:r w:rsidRPr="001E2F6E">
              <w:rPr>
                <w:b/>
                <w:bCs/>
                <w:sz w:val="16"/>
                <w:szCs w:val="16"/>
                <w:lang w:val="eu-ES"/>
              </w:rPr>
              <w:t>Enplegu Zentro Bereziak</w:t>
            </w:r>
          </w:p>
        </w:tc>
        <w:tc>
          <w:tcPr>
            <w:tcW w:w="962" w:type="dxa"/>
            <w:tcBorders>
              <w:top w:val="single" w:sz="4" w:space="0" w:color="BFBFBF"/>
              <w:left w:val="single" w:sz="4" w:space="0" w:color="BFBFBF"/>
              <w:bottom w:val="single" w:sz="4" w:space="0" w:color="BFBFBF"/>
              <w:right w:val="single" w:sz="4" w:space="0" w:color="BFBFBF"/>
            </w:tcBorders>
            <w:shd w:val="clear" w:color="auto" w:fill="DBE5F1"/>
            <w:textDirection w:val="btLr"/>
            <w:vAlign w:val="center"/>
          </w:tcPr>
          <w:p w:rsidR="004A72E7" w:rsidRPr="001E2F6E" w:rsidRDefault="004A72E7" w:rsidP="001A5377">
            <w:pPr>
              <w:spacing w:line="240" w:lineRule="exact"/>
              <w:ind w:left="121" w:right="113" w:hanging="8"/>
              <w:jc w:val="center"/>
              <w:rPr>
                <w:b/>
                <w:bCs/>
                <w:sz w:val="16"/>
                <w:szCs w:val="16"/>
              </w:rPr>
            </w:pPr>
            <w:r w:rsidRPr="001E2F6E">
              <w:rPr>
                <w:b/>
                <w:bCs/>
                <w:sz w:val="16"/>
                <w:szCs w:val="16"/>
                <w:lang w:val="eu-ES"/>
              </w:rPr>
              <w:t>Gizarteratze Enpresak</w:t>
            </w:r>
          </w:p>
        </w:tc>
        <w:tc>
          <w:tcPr>
            <w:tcW w:w="932" w:type="dxa"/>
            <w:tcBorders>
              <w:top w:val="single" w:sz="4" w:space="0" w:color="BFBFBF"/>
              <w:left w:val="single" w:sz="4" w:space="0" w:color="BFBFBF"/>
              <w:bottom w:val="single" w:sz="4" w:space="0" w:color="BFBFBF"/>
              <w:right w:val="single" w:sz="4" w:space="0" w:color="BFBFBF"/>
            </w:tcBorders>
            <w:shd w:val="clear" w:color="auto" w:fill="DBE5F1"/>
            <w:textDirection w:val="btLr"/>
            <w:vAlign w:val="center"/>
          </w:tcPr>
          <w:p w:rsidR="004A72E7" w:rsidRPr="001E2F6E" w:rsidRDefault="004A72E7" w:rsidP="001A5377">
            <w:pPr>
              <w:spacing w:line="240" w:lineRule="exact"/>
              <w:ind w:left="121" w:right="113" w:hanging="8"/>
              <w:jc w:val="center"/>
              <w:rPr>
                <w:b/>
                <w:bCs/>
                <w:sz w:val="16"/>
                <w:szCs w:val="16"/>
              </w:rPr>
            </w:pPr>
            <w:r w:rsidRPr="001E2F6E">
              <w:rPr>
                <w:b/>
                <w:bCs/>
                <w:sz w:val="16"/>
                <w:szCs w:val="16"/>
                <w:lang w:val="eu-ES"/>
              </w:rPr>
              <w:t>BGAE</w:t>
            </w:r>
          </w:p>
        </w:tc>
        <w:tc>
          <w:tcPr>
            <w:tcW w:w="1077" w:type="dxa"/>
            <w:tcBorders>
              <w:top w:val="single" w:sz="4" w:space="0" w:color="BFBFBF"/>
              <w:left w:val="single" w:sz="4" w:space="0" w:color="BFBFBF"/>
              <w:bottom w:val="single" w:sz="4" w:space="0" w:color="BFBFBF"/>
              <w:right w:val="single" w:sz="4" w:space="0" w:color="BFBFBF"/>
            </w:tcBorders>
            <w:shd w:val="clear" w:color="auto" w:fill="DBE5F1"/>
            <w:textDirection w:val="btLr"/>
            <w:vAlign w:val="center"/>
          </w:tcPr>
          <w:p w:rsidR="004A72E7" w:rsidRPr="001E2F6E" w:rsidRDefault="004A72E7" w:rsidP="001A5377">
            <w:pPr>
              <w:spacing w:line="240" w:lineRule="exact"/>
              <w:ind w:left="121" w:right="113" w:hanging="8"/>
              <w:jc w:val="center"/>
              <w:rPr>
                <w:b/>
                <w:bCs/>
                <w:sz w:val="16"/>
                <w:szCs w:val="16"/>
              </w:rPr>
            </w:pPr>
            <w:r w:rsidRPr="001E2F6E">
              <w:rPr>
                <w:b/>
                <w:bCs/>
                <w:sz w:val="16"/>
                <w:szCs w:val="16"/>
                <w:lang w:val="eu-ES"/>
              </w:rPr>
              <w:t>Arrantzale Kofradiak</w:t>
            </w:r>
          </w:p>
        </w:tc>
        <w:tc>
          <w:tcPr>
            <w:tcW w:w="709" w:type="dxa"/>
            <w:tcBorders>
              <w:top w:val="single" w:sz="4" w:space="0" w:color="BFBFBF"/>
              <w:left w:val="single" w:sz="4" w:space="0" w:color="BFBFBF"/>
              <w:bottom w:val="single" w:sz="4" w:space="0" w:color="BFBFBF"/>
              <w:right w:val="single" w:sz="4" w:space="0" w:color="BFBFBF"/>
            </w:tcBorders>
            <w:shd w:val="clear" w:color="auto" w:fill="DBE5F1"/>
            <w:textDirection w:val="btLr"/>
            <w:vAlign w:val="center"/>
          </w:tcPr>
          <w:p w:rsidR="004A72E7" w:rsidRPr="001E2F6E" w:rsidRDefault="004A72E7" w:rsidP="001A5377">
            <w:pPr>
              <w:spacing w:line="240" w:lineRule="exact"/>
              <w:ind w:left="121" w:right="113" w:hanging="8"/>
              <w:jc w:val="center"/>
              <w:rPr>
                <w:b/>
                <w:bCs/>
                <w:sz w:val="16"/>
                <w:szCs w:val="16"/>
              </w:rPr>
            </w:pPr>
            <w:r w:rsidRPr="001E2F6E">
              <w:rPr>
                <w:b/>
                <w:bCs/>
                <w:sz w:val="16"/>
                <w:szCs w:val="16"/>
                <w:lang w:val="eu-ES"/>
              </w:rPr>
              <w:t>ENS</w:t>
            </w:r>
          </w:p>
        </w:tc>
        <w:tc>
          <w:tcPr>
            <w:tcW w:w="851" w:type="dxa"/>
            <w:tcBorders>
              <w:top w:val="single" w:sz="4" w:space="0" w:color="BFBFBF"/>
              <w:left w:val="single" w:sz="4" w:space="0" w:color="BFBFBF"/>
              <w:bottom w:val="single" w:sz="4" w:space="0" w:color="BFBFBF"/>
            </w:tcBorders>
            <w:shd w:val="clear" w:color="auto" w:fill="DBE5F1"/>
            <w:textDirection w:val="btLr"/>
            <w:vAlign w:val="center"/>
          </w:tcPr>
          <w:p w:rsidR="004A72E7" w:rsidRPr="001E2F6E" w:rsidRDefault="004A72E7" w:rsidP="001A5377">
            <w:pPr>
              <w:spacing w:line="240" w:lineRule="exact"/>
              <w:ind w:left="121" w:right="113" w:hanging="8"/>
              <w:jc w:val="center"/>
              <w:rPr>
                <w:b/>
                <w:bCs/>
                <w:sz w:val="16"/>
                <w:szCs w:val="16"/>
              </w:rPr>
            </w:pPr>
            <w:r w:rsidRPr="001E2F6E">
              <w:rPr>
                <w:b/>
                <w:bCs/>
                <w:sz w:val="16"/>
                <w:szCs w:val="16"/>
                <w:lang w:val="eu-ES"/>
              </w:rPr>
              <w:t>Guztira</w:t>
            </w:r>
          </w:p>
        </w:tc>
      </w:tr>
      <w:tr w:rsidR="004A72E7" w:rsidRPr="001E2F6E">
        <w:trPr>
          <w:jc w:val="center"/>
        </w:trPr>
        <w:tc>
          <w:tcPr>
            <w:tcW w:w="2038" w:type="dxa"/>
            <w:tcBorders>
              <w:top w:val="single" w:sz="4" w:space="0" w:color="BFBFBF"/>
              <w:right w:val="single" w:sz="4" w:space="0" w:color="BFBFBF"/>
            </w:tcBorders>
            <w:vAlign w:val="center"/>
          </w:tcPr>
          <w:p w:rsidR="004A72E7" w:rsidRPr="001E2F6E" w:rsidRDefault="004A72E7" w:rsidP="00E7466B">
            <w:pPr>
              <w:spacing w:line="240" w:lineRule="exact"/>
              <w:jc w:val="left"/>
              <w:rPr>
                <w:color w:val="000000"/>
                <w:sz w:val="16"/>
                <w:szCs w:val="16"/>
                <w:lang w:val="pt-BR"/>
              </w:rPr>
            </w:pPr>
            <w:r w:rsidRPr="001E2F6E">
              <w:rPr>
                <w:sz w:val="16"/>
                <w:szCs w:val="16"/>
                <w:lang w:val="eu-ES"/>
              </w:rPr>
              <w:t>Erakunde-kopurua (unibertsoa)</w:t>
            </w:r>
          </w:p>
        </w:tc>
        <w:tc>
          <w:tcPr>
            <w:tcW w:w="992" w:type="dxa"/>
            <w:tcBorders>
              <w:top w:val="single" w:sz="4" w:space="0" w:color="BFBFBF"/>
              <w:left w:val="single" w:sz="4" w:space="0" w:color="BFBFBF"/>
              <w:right w:val="single" w:sz="4" w:space="0" w:color="BFBFBF"/>
            </w:tcBorders>
            <w:noWrap/>
            <w:vAlign w:val="center"/>
          </w:tcPr>
          <w:p w:rsidR="004A72E7" w:rsidRPr="001E2F6E" w:rsidRDefault="004A72E7" w:rsidP="00E7466B">
            <w:pPr>
              <w:spacing w:line="240" w:lineRule="exact"/>
              <w:ind w:left="227" w:right="170" w:hanging="227"/>
              <w:jc w:val="right"/>
              <w:rPr>
                <w:color w:val="000000"/>
                <w:sz w:val="16"/>
                <w:szCs w:val="16"/>
              </w:rPr>
            </w:pPr>
            <w:r w:rsidRPr="001E2F6E">
              <w:rPr>
                <w:color w:val="000000"/>
                <w:sz w:val="16"/>
                <w:szCs w:val="16"/>
              </w:rPr>
              <w:t>615</w:t>
            </w:r>
          </w:p>
        </w:tc>
        <w:tc>
          <w:tcPr>
            <w:tcW w:w="771" w:type="dxa"/>
            <w:tcBorders>
              <w:top w:val="single" w:sz="4" w:space="0" w:color="BFBFBF"/>
              <w:left w:val="single" w:sz="4" w:space="0" w:color="BFBFBF"/>
              <w:right w:val="single" w:sz="4" w:space="0" w:color="BFBFBF"/>
            </w:tcBorders>
            <w:vAlign w:val="center"/>
          </w:tcPr>
          <w:p w:rsidR="004A72E7" w:rsidRPr="001E2F6E" w:rsidRDefault="004A72E7" w:rsidP="00E7466B">
            <w:pPr>
              <w:spacing w:line="240" w:lineRule="exact"/>
              <w:ind w:left="227" w:right="170" w:hanging="227"/>
              <w:jc w:val="right"/>
              <w:rPr>
                <w:color w:val="000000"/>
                <w:sz w:val="16"/>
                <w:szCs w:val="16"/>
              </w:rPr>
            </w:pPr>
            <w:r w:rsidRPr="001E2F6E">
              <w:rPr>
                <w:color w:val="000000"/>
                <w:sz w:val="16"/>
                <w:szCs w:val="16"/>
              </w:rPr>
              <w:t>189</w:t>
            </w:r>
          </w:p>
        </w:tc>
        <w:tc>
          <w:tcPr>
            <w:tcW w:w="1077" w:type="dxa"/>
            <w:tcBorders>
              <w:top w:val="single" w:sz="4" w:space="0" w:color="BFBFBF"/>
              <w:left w:val="single" w:sz="4" w:space="0" w:color="BFBFBF"/>
              <w:right w:val="single" w:sz="4" w:space="0" w:color="BFBFBF"/>
            </w:tcBorders>
            <w:vAlign w:val="center"/>
          </w:tcPr>
          <w:p w:rsidR="004A72E7" w:rsidRPr="001E2F6E" w:rsidRDefault="004A72E7" w:rsidP="00E7466B">
            <w:pPr>
              <w:spacing w:line="240" w:lineRule="exact"/>
              <w:ind w:left="227" w:right="170" w:hanging="227"/>
              <w:jc w:val="right"/>
              <w:rPr>
                <w:color w:val="000000"/>
                <w:sz w:val="16"/>
                <w:szCs w:val="16"/>
              </w:rPr>
            </w:pPr>
            <w:r w:rsidRPr="001E2F6E">
              <w:rPr>
                <w:color w:val="000000"/>
                <w:sz w:val="16"/>
                <w:szCs w:val="16"/>
              </w:rPr>
              <w:t>42</w:t>
            </w:r>
          </w:p>
        </w:tc>
        <w:tc>
          <w:tcPr>
            <w:tcW w:w="962" w:type="dxa"/>
            <w:tcBorders>
              <w:top w:val="single" w:sz="4" w:space="0" w:color="BFBFBF"/>
              <w:left w:val="single" w:sz="4" w:space="0" w:color="BFBFBF"/>
              <w:right w:val="single" w:sz="4" w:space="0" w:color="BFBFBF"/>
            </w:tcBorders>
            <w:vAlign w:val="center"/>
          </w:tcPr>
          <w:p w:rsidR="004A72E7" w:rsidRPr="001E2F6E" w:rsidRDefault="004A72E7" w:rsidP="00E7466B">
            <w:pPr>
              <w:spacing w:line="240" w:lineRule="exact"/>
              <w:ind w:left="227" w:right="170" w:hanging="227"/>
              <w:jc w:val="right"/>
              <w:rPr>
                <w:color w:val="000000"/>
                <w:sz w:val="16"/>
                <w:szCs w:val="16"/>
              </w:rPr>
            </w:pPr>
            <w:r w:rsidRPr="001E2F6E">
              <w:rPr>
                <w:color w:val="000000"/>
                <w:sz w:val="16"/>
                <w:szCs w:val="16"/>
              </w:rPr>
              <w:t>78</w:t>
            </w:r>
          </w:p>
        </w:tc>
        <w:tc>
          <w:tcPr>
            <w:tcW w:w="932" w:type="dxa"/>
            <w:tcBorders>
              <w:top w:val="single" w:sz="4" w:space="0" w:color="BFBFBF"/>
              <w:left w:val="single" w:sz="4" w:space="0" w:color="BFBFBF"/>
              <w:right w:val="single" w:sz="4" w:space="0" w:color="BFBFBF"/>
            </w:tcBorders>
            <w:vAlign w:val="center"/>
          </w:tcPr>
          <w:p w:rsidR="004A72E7" w:rsidRPr="001E2F6E" w:rsidRDefault="004A72E7" w:rsidP="00E7466B">
            <w:pPr>
              <w:spacing w:line="240" w:lineRule="exact"/>
              <w:ind w:left="227" w:right="170" w:hanging="227"/>
              <w:jc w:val="right"/>
              <w:rPr>
                <w:color w:val="000000"/>
                <w:sz w:val="16"/>
                <w:szCs w:val="16"/>
              </w:rPr>
            </w:pPr>
            <w:r w:rsidRPr="001E2F6E">
              <w:rPr>
                <w:color w:val="000000"/>
                <w:sz w:val="16"/>
                <w:szCs w:val="16"/>
              </w:rPr>
              <w:t>189</w:t>
            </w:r>
          </w:p>
        </w:tc>
        <w:tc>
          <w:tcPr>
            <w:tcW w:w="1077" w:type="dxa"/>
            <w:tcBorders>
              <w:top w:val="single" w:sz="4" w:space="0" w:color="BFBFBF"/>
              <w:left w:val="single" w:sz="4" w:space="0" w:color="BFBFBF"/>
              <w:right w:val="single" w:sz="4" w:space="0" w:color="BFBFBF"/>
            </w:tcBorders>
            <w:vAlign w:val="center"/>
          </w:tcPr>
          <w:p w:rsidR="004A72E7" w:rsidRPr="001E2F6E" w:rsidRDefault="004A72E7" w:rsidP="00E7466B">
            <w:pPr>
              <w:spacing w:line="240" w:lineRule="exact"/>
              <w:ind w:left="227" w:right="170" w:hanging="227"/>
              <w:jc w:val="right"/>
              <w:rPr>
                <w:color w:val="000000"/>
                <w:sz w:val="16"/>
                <w:szCs w:val="16"/>
              </w:rPr>
            </w:pPr>
            <w:r w:rsidRPr="001E2F6E">
              <w:rPr>
                <w:color w:val="000000"/>
                <w:sz w:val="16"/>
                <w:szCs w:val="16"/>
              </w:rPr>
              <w:t>16</w:t>
            </w:r>
          </w:p>
        </w:tc>
        <w:tc>
          <w:tcPr>
            <w:tcW w:w="709" w:type="dxa"/>
            <w:tcBorders>
              <w:top w:val="single" w:sz="4" w:space="0" w:color="BFBFBF"/>
              <w:left w:val="single" w:sz="4" w:space="0" w:color="BFBFBF"/>
              <w:right w:val="single" w:sz="4" w:space="0" w:color="BFBFBF"/>
            </w:tcBorders>
            <w:vAlign w:val="center"/>
          </w:tcPr>
          <w:p w:rsidR="004A72E7" w:rsidRPr="001E2F6E" w:rsidRDefault="004A72E7" w:rsidP="00E7466B">
            <w:pPr>
              <w:spacing w:line="240" w:lineRule="exact"/>
              <w:ind w:left="227" w:right="170" w:hanging="227"/>
              <w:jc w:val="right"/>
              <w:rPr>
                <w:color w:val="000000"/>
                <w:sz w:val="16"/>
                <w:szCs w:val="16"/>
              </w:rPr>
            </w:pPr>
            <w:r w:rsidRPr="001E2F6E">
              <w:rPr>
                <w:color w:val="000000"/>
                <w:sz w:val="16"/>
                <w:szCs w:val="16"/>
              </w:rPr>
              <w:t>97</w:t>
            </w:r>
          </w:p>
        </w:tc>
        <w:tc>
          <w:tcPr>
            <w:tcW w:w="851" w:type="dxa"/>
            <w:tcBorders>
              <w:top w:val="single" w:sz="4" w:space="0" w:color="BFBFBF"/>
              <w:left w:val="single" w:sz="4" w:space="0" w:color="BFBFBF"/>
            </w:tcBorders>
            <w:vAlign w:val="center"/>
          </w:tcPr>
          <w:p w:rsidR="004A72E7" w:rsidRPr="001E2F6E" w:rsidRDefault="004A72E7" w:rsidP="00E7466B">
            <w:pPr>
              <w:spacing w:line="240" w:lineRule="exact"/>
              <w:ind w:left="227" w:right="170" w:hanging="227"/>
              <w:jc w:val="right"/>
              <w:rPr>
                <w:b/>
                <w:bCs/>
                <w:color w:val="000000"/>
                <w:sz w:val="16"/>
                <w:szCs w:val="16"/>
              </w:rPr>
            </w:pPr>
            <w:r w:rsidRPr="001E2F6E">
              <w:rPr>
                <w:b/>
                <w:bCs/>
                <w:color w:val="000000"/>
                <w:sz w:val="16"/>
                <w:szCs w:val="16"/>
              </w:rPr>
              <w:t>1.226</w:t>
            </w:r>
          </w:p>
        </w:tc>
      </w:tr>
      <w:tr w:rsidR="004A72E7" w:rsidRPr="001E2F6E">
        <w:trPr>
          <w:jc w:val="center"/>
        </w:trPr>
        <w:tc>
          <w:tcPr>
            <w:tcW w:w="2038" w:type="dxa"/>
            <w:tcBorders>
              <w:bottom w:val="single" w:sz="4" w:space="0" w:color="BFBFBF"/>
              <w:right w:val="single" w:sz="4" w:space="0" w:color="BFBFBF"/>
            </w:tcBorders>
            <w:vAlign w:val="center"/>
          </w:tcPr>
          <w:p w:rsidR="004A72E7" w:rsidRPr="001E2F6E" w:rsidRDefault="004A72E7" w:rsidP="00E7466B">
            <w:pPr>
              <w:spacing w:line="240" w:lineRule="exact"/>
              <w:jc w:val="left"/>
              <w:rPr>
                <w:color w:val="000000"/>
                <w:sz w:val="16"/>
                <w:szCs w:val="16"/>
              </w:rPr>
            </w:pPr>
            <w:r w:rsidRPr="001E2F6E">
              <w:rPr>
                <w:sz w:val="16"/>
                <w:szCs w:val="16"/>
                <w:lang w:val="eu-ES"/>
              </w:rPr>
              <w:t>Erakunde-kopurua (lagina)</w:t>
            </w:r>
          </w:p>
        </w:tc>
        <w:tc>
          <w:tcPr>
            <w:tcW w:w="992" w:type="dxa"/>
            <w:tcBorders>
              <w:left w:val="single" w:sz="4" w:space="0" w:color="BFBFBF"/>
              <w:bottom w:val="single" w:sz="4" w:space="0" w:color="BFBFBF"/>
              <w:right w:val="single" w:sz="4" w:space="0" w:color="BFBFBF"/>
            </w:tcBorders>
            <w:noWrap/>
            <w:vAlign w:val="center"/>
          </w:tcPr>
          <w:p w:rsidR="004A72E7" w:rsidRPr="001E2F6E" w:rsidRDefault="004A72E7" w:rsidP="00E7466B">
            <w:pPr>
              <w:spacing w:line="240" w:lineRule="exact"/>
              <w:ind w:left="227" w:right="170" w:hanging="227"/>
              <w:jc w:val="right"/>
              <w:rPr>
                <w:color w:val="000000"/>
                <w:sz w:val="16"/>
                <w:szCs w:val="16"/>
              </w:rPr>
            </w:pPr>
            <w:r w:rsidRPr="001E2F6E">
              <w:rPr>
                <w:color w:val="000000"/>
                <w:sz w:val="16"/>
                <w:szCs w:val="16"/>
              </w:rPr>
              <w:t>316</w:t>
            </w:r>
          </w:p>
        </w:tc>
        <w:tc>
          <w:tcPr>
            <w:tcW w:w="771" w:type="dxa"/>
            <w:tcBorders>
              <w:left w:val="single" w:sz="4" w:space="0" w:color="BFBFBF"/>
              <w:bottom w:val="single" w:sz="4" w:space="0" w:color="BFBFBF"/>
              <w:right w:val="single" w:sz="4" w:space="0" w:color="BFBFBF"/>
            </w:tcBorders>
            <w:vAlign w:val="center"/>
          </w:tcPr>
          <w:p w:rsidR="004A72E7" w:rsidRPr="001E2F6E" w:rsidRDefault="004A72E7" w:rsidP="00E7466B">
            <w:pPr>
              <w:spacing w:line="240" w:lineRule="exact"/>
              <w:ind w:left="227" w:right="170" w:hanging="227"/>
              <w:jc w:val="right"/>
              <w:rPr>
                <w:color w:val="000000"/>
                <w:sz w:val="16"/>
                <w:szCs w:val="16"/>
              </w:rPr>
            </w:pPr>
            <w:r w:rsidRPr="001E2F6E">
              <w:rPr>
                <w:color w:val="000000"/>
                <w:sz w:val="16"/>
                <w:szCs w:val="16"/>
              </w:rPr>
              <w:t>177</w:t>
            </w:r>
          </w:p>
        </w:tc>
        <w:tc>
          <w:tcPr>
            <w:tcW w:w="1077" w:type="dxa"/>
            <w:tcBorders>
              <w:left w:val="single" w:sz="4" w:space="0" w:color="BFBFBF"/>
              <w:bottom w:val="single" w:sz="4" w:space="0" w:color="BFBFBF"/>
              <w:right w:val="single" w:sz="4" w:space="0" w:color="BFBFBF"/>
            </w:tcBorders>
            <w:vAlign w:val="center"/>
          </w:tcPr>
          <w:p w:rsidR="004A72E7" w:rsidRPr="001E2F6E" w:rsidRDefault="004A72E7" w:rsidP="00E7466B">
            <w:pPr>
              <w:spacing w:line="240" w:lineRule="exact"/>
              <w:ind w:left="227" w:right="170" w:hanging="227"/>
              <w:jc w:val="right"/>
              <w:rPr>
                <w:color w:val="000000"/>
                <w:sz w:val="16"/>
                <w:szCs w:val="16"/>
              </w:rPr>
            </w:pPr>
            <w:r w:rsidRPr="001E2F6E">
              <w:rPr>
                <w:color w:val="000000"/>
                <w:sz w:val="16"/>
                <w:szCs w:val="16"/>
              </w:rPr>
              <w:t>37</w:t>
            </w:r>
          </w:p>
        </w:tc>
        <w:tc>
          <w:tcPr>
            <w:tcW w:w="962" w:type="dxa"/>
            <w:tcBorders>
              <w:left w:val="single" w:sz="4" w:space="0" w:color="BFBFBF"/>
              <w:bottom w:val="single" w:sz="4" w:space="0" w:color="BFBFBF"/>
              <w:right w:val="single" w:sz="4" w:space="0" w:color="BFBFBF"/>
            </w:tcBorders>
            <w:vAlign w:val="center"/>
          </w:tcPr>
          <w:p w:rsidR="004A72E7" w:rsidRPr="001E2F6E" w:rsidRDefault="004A72E7" w:rsidP="00E7466B">
            <w:pPr>
              <w:spacing w:line="240" w:lineRule="exact"/>
              <w:ind w:left="227" w:right="170" w:hanging="227"/>
              <w:jc w:val="right"/>
              <w:rPr>
                <w:color w:val="000000"/>
                <w:sz w:val="16"/>
                <w:szCs w:val="16"/>
              </w:rPr>
            </w:pPr>
            <w:r w:rsidRPr="001E2F6E">
              <w:rPr>
                <w:color w:val="000000"/>
                <w:sz w:val="16"/>
                <w:szCs w:val="16"/>
              </w:rPr>
              <w:t>60</w:t>
            </w:r>
          </w:p>
        </w:tc>
        <w:tc>
          <w:tcPr>
            <w:tcW w:w="932" w:type="dxa"/>
            <w:tcBorders>
              <w:left w:val="single" w:sz="4" w:space="0" w:color="BFBFBF"/>
              <w:bottom w:val="single" w:sz="4" w:space="0" w:color="BFBFBF"/>
              <w:right w:val="single" w:sz="4" w:space="0" w:color="BFBFBF"/>
            </w:tcBorders>
            <w:vAlign w:val="center"/>
          </w:tcPr>
          <w:p w:rsidR="004A72E7" w:rsidRPr="001E2F6E" w:rsidRDefault="004A72E7" w:rsidP="00E7466B">
            <w:pPr>
              <w:spacing w:line="240" w:lineRule="exact"/>
              <w:ind w:left="227" w:right="170" w:hanging="227"/>
              <w:jc w:val="right"/>
              <w:rPr>
                <w:color w:val="000000"/>
                <w:sz w:val="16"/>
                <w:szCs w:val="16"/>
              </w:rPr>
            </w:pPr>
            <w:r w:rsidRPr="001E2F6E">
              <w:rPr>
                <w:color w:val="000000"/>
                <w:sz w:val="16"/>
                <w:szCs w:val="16"/>
              </w:rPr>
              <w:t>n.p.</w:t>
            </w:r>
          </w:p>
        </w:tc>
        <w:tc>
          <w:tcPr>
            <w:tcW w:w="1077" w:type="dxa"/>
            <w:tcBorders>
              <w:left w:val="single" w:sz="4" w:space="0" w:color="BFBFBF"/>
              <w:bottom w:val="single" w:sz="4" w:space="0" w:color="BFBFBF"/>
              <w:right w:val="single" w:sz="4" w:space="0" w:color="BFBFBF"/>
            </w:tcBorders>
            <w:vAlign w:val="center"/>
          </w:tcPr>
          <w:p w:rsidR="004A72E7" w:rsidRPr="001E2F6E" w:rsidRDefault="004A72E7" w:rsidP="00E7466B">
            <w:pPr>
              <w:spacing w:line="240" w:lineRule="exact"/>
              <w:ind w:left="227" w:right="170" w:hanging="227"/>
              <w:jc w:val="right"/>
              <w:rPr>
                <w:color w:val="000000"/>
                <w:sz w:val="16"/>
                <w:szCs w:val="16"/>
              </w:rPr>
            </w:pPr>
            <w:r w:rsidRPr="001E2F6E">
              <w:rPr>
                <w:color w:val="000000"/>
                <w:sz w:val="16"/>
                <w:szCs w:val="16"/>
              </w:rPr>
              <w:t>13</w:t>
            </w:r>
          </w:p>
        </w:tc>
        <w:tc>
          <w:tcPr>
            <w:tcW w:w="709" w:type="dxa"/>
            <w:tcBorders>
              <w:left w:val="single" w:sz="4" w:space="0" w:color="BFBFBF"/>
              <w:bottom w:val="single" w:sz="4" w:space="0" w:color="BFBFBF"/>
              <w:right w:val="single" w:sz="4" w:space="0" w:color="BFBFBF"/>
            </w:tcBorders>
            <w:vAlign w:val="center"/>
          </w:tcPr>
          <w:p w:rsidR="004A72E7" w:rsidRPr="001E2F6E" w:rsidRDefault="004A72E7" w:rsidP="00E7466B">
            <w:pPr>
              <w:spacing w:line="240" w:lineRule="exact"/>
              <w:ind w:left="227" w:right="170" w:hanging="227"/>
              <w:jc w:val="right"/>
              <w:rPr>
                <w:color w:val="000000"/>
                <w:sz w:val="16"/>
                <w:szCs w:val="16"/>
              </w:rPr>
            </w:pPr>
            <w:r w:rsidRPr="001E2F6E">
              <w:rPr>
                <w:color w:val="000000"/>
                <w:sz w:val="16"/>
                <w:szCs w:val="16"/>
              </w:rPr>
              <w:t>15</w:t>
            </w:r>
          </w:p>
        </w:tc>
        <w:tc>
          <w:tcPr>
            <w:tcW w:w="851" w:type="dxa"/>
            <w:tcBorders>
              <w:left w:val="single" w:sz="4" w:space="0" w:color="BFBFBF"/>
              <w:bottom w:val="single" w:sz="4" w:space="0" w:color="BFBFBF"/>
            </w:tcBorders>
            <w:vAlign w:val="center"/>
          </w:tcPr>
          <w:p w:rsidR="004A72E7" w:rsidRPr="001E2F6E" w:rsidRDefault="004A72E7" w:rsidP="00E7466B">
            <w:pPr>
              <w:spacing w:line="240" w:lineRule="exact"/>
              <w:ind w:left="227" w:right="170" w:hanging="227"/>
              <w:jc w:val="right"/>
              <w:rPr>
                <w:b/>
                <w:bCs/>
                <w:color w:val="000000"/>
                <w:sz w:val="16"/>
                <w:szCs w:val="16"/>
              </w:rPr>
            </w:pPr>
            <w:r w:rsidRPr="001E2F6E">
              <w:rPr>
                <w:b/>
                <w:bCs/>
                <w:color w:val="000000"/>
                <w:sz w:val="16"/>
                <w:szCs w:val="16"/>
              </w:rPr>
              <w:t>617</w:t>
            </w:r>
          </w:p>
        </w:tc>
      </w:tr>
    </w:tbl>
    <w:p w:rsidR="004A72E7" w:rsidRPr="001E2F6E" w:rsidRDefault="004A72E7" w:rsidP="00354E9D">
      <w:pPr>
        <w:pStyle w:val="ARIALNARROW"/>
        <w:spacing w:line="360" w:lineRule="auto"/>
        <w:ind w:left="227" w:hanging="227"/>
        <w:rPr>
          <w:i/>
          <w:iCs/>
        </w:rPr>
      </w:pPr>
    </w:p>
    <w:p w:rsidR="004A72E7" w:rsidRPr="001E2F6E" w:rsidRDefault="004A72E7" w:rsidP="00E7466B">
      <w:pPr>
        <w:pStyle w:val="ARIALNARROW"/>
        <w:spacing w:line="360" w:lineRule="auto"/>
        <w:ind w:left="426" w:hanging="426"/>
        <w:rPr>
          <w:i/>
          <w:iCs/>
        </w:rPr>
      </w:pPr>
    </w:p>
    <w:p w:rsidR="004A72E7" w:rsidRPr="001E2F6E" w:rsidRDefault="004A72E7" w:rsidP="001451B1">
      <w:pPr>
        <w:pStyle w:val="ARIALNARROW"/>
        <w:numPr>
          <w:ilvl w:val="0"/>
          <w:numId w:val="2"/>
        </w:numPr>
        <w:spacing w:line="360" w:lineRule="auto"/>
        <w:ind w:left="426" w:hanging="426"/>
      </w:pPr>
      <w:r w:rsidRPr="001E2F6E">
        <w:rPr>
          <w:b/>
          <w:bCs/>
        </w:rPr>
        <w:tab/>
      </w:r>
      <w:r w:rsidRPr="001E2F6E">
        <w:rPr>
          <w:b/>
          <w:bCs/>
          <w:lang w:val="eu-ES"/>
        </w:rPr>
        <w:t xml:space="preserve">GEFBen dimentsio ekonomikoa, multzo orokorrarekiko (GEFK + GEFB), </w:t>
      </w:r>
      <w:r w:rsidRPr="001E2F6E">
        <w:rPr>
          <w:b/>
          <w:bCs/>
          <w:spacing w:val="60"/>
          <w:lang w:val="eu-ES"/>
        </w:rPr>
        <w:t>%</w:t>
      </w:r>
      <w:r w:rsidRPr="001E2F6E">
        <w:rPr>
          <w:b/>
          <w:bCs/>
          <w:lang w:val="eu-ES"/>
        </w:rPr>
        <w:t xml:space="preserve">18,8koa da fakturazioari dagokionez, eta </w:t>
      </w:r>
      <w:r w:rsidRPr="001E2F6E">
        <w:rPr>
          <w:b/>
          <w:bCs/>
          <w:spacing w:val="60"/>
          <w:lang w:val="eu-ES"/>
        </w:rPr>
        <w:t>%</w:t>
      </w:r>
      <w:r w:rsidRPr="001E2F6E">
        <w:rPr>
          <w:b/>
          <w:bCs/>
          <w:lang w:val="eu-ES"/>
        </w:rPr>
        <w:t>31,3koa, enplegu-terminoetan</w:t>
      </w:r>
      <w:r w:rsidRPr="001E2F6E">
        <w:t xml:space="preserve"> </w:t>
      </w:r>
    </w:p>
    <w:p w:rsidR="004A72E7" w:rsidRPr="001E2F6E" w:rsidRDefault="004A72E7" w:rsidP="008D3DF1">
      <w:pPr>
        <w:ind w:left="426" w:hanging="426"/>
        <w:rPr>
          <w:lang w:val="es-ES_tradnl"/>
        </w:rPr>
      </w:pPr>
    </w:p>
    <w:p w:rsidR="004A72E7" w:rsidRPr="001E2F6E" w:rsidRDefault="004A72E7" w:rsidP="008D3DF1">
      <w:pPr>
        <w:ind w:left="426" w:hanging="426"/>
      </w:pPr>
      <w:r w:rsidRPr="001E2F6E">
        <w:tab/>
      </w:r>
      <w:r w:rsidRPr="001E2F6E">
        <w:rPr>
          <w:lang w:val="eu-ES"/>
        </w:rPr>
        <w:t xml:space="preserve">Gizarte Ekonomian (GEFK + GEFB), GEFBak sektorearen </w:t>
      </w:r>
      <w:r w:rsidRPr="001E2F6E">
        <w:rPr>
          <w:spacing w:val="60"/>
          <w:lang w:val="eu-ES"/>
        </w:rPr>
        <w:t>%</w:t>
      </w:r>
      <w:r w:rsidRPr="001E2F6E">
        <w:rPr>
          <w:lang w:val="eu-ES"/>
        </w:rPr>
        <w:t xml:space="preserve">18,8tik </w:t>
      </w:r>
      <w:r w:rsidRPr="001E2F6E">
        <w:rPr>
          <w:spacing w:val="60"/>
          <w:lang w:val="eu-ES"/>
        </w:rPr>
        <w:t>%</w:t>
      </w:r>
      <w:r w:rsidRPr="001E2F6E">
        <w:rPr>
          <w:lang w:val="eu-ES"/>
        </w:rPr>
        <w:t>31,3ra bitartean daude, erabiltzen den adierazle ekonomikoaren arabera.</w:t>
      </w:r>
      <w:r w:rsidRPr="001E2F6E">
        <w:t xml:space="preserve"> </w:t>
      </w:r>
      <w:r w:rsidRPr="001E2F6E">
        <w:rPr>
          <w:lang w:val="eu-ES"/>
        </w:rPr>
        <w:t xml:space="preserve">Ekarpenik handiena enpleguari dagokio; hain zuzen ere, GEFBetako 26.441 lanpostuak enplegu osoaren </w:t>
      </w:r>
      <w:r w:rsidRPr="001E2F6E">
        <w:rPr>
          <w:spacing w:val="60"/>
          <w:lang w:val="eu-ES"/>
        </w:rPr>
        <w:t>%</w:t>
      </w:r>
      <w:r w:rsidRPr="001E2F6E">
        <w:rPr>
          <w:lang w:val="eu-ES"/>
        </w:rPr>
        <w:t>31,3 dira.</w:t>
      </w:r>
      <w:r w:rsidRPr="001E2F6E">
        <w:t xml:space="preserve"> </w:t>
      </w:r>
      <w:r w:rsidRPr="001E2F6E">
        <w:rPr>
          <w:lang w:val="eu-ES"/>
        </w:rPr>
        <w:t xml:space="preserve">Soldata-masa eta BEGd-a </w:t>
      </w:r>
      <w:r w:rsidRPr="001E2F6E">
        <w:rPr>
          <w:spacing w:val="60"/>
          <w:lang w:val="eu-ES"/>
        </w:rPr>
        <w:t>%</w:t>
      </w:r>
      <w:r w:rsidRPr="001E2F6E">
        <w:rPr>
          <w:lang w:val="eu-ES"/>
        </w:rPr>
        <w:t xml:space="preserve">24 inguru dira, eta fakturazioari dagokionez, datuak apalagoak dira (guztizkoaren </w:t>
      </w:r>
      <w:r w:rsidRPr="001E2F6E">
        <w:rPr>
          <w:spacing w:val="60"/>
          <w:lang w:val="eu-ES"/>
        </w:rPr>
        <w:t>%</w:t>
      </w:r>
      <w:r w:rsidRPr="001E2F6E">
        <w:rPr>
          <w:lang w:val="eu-ES"/>
        </w:rPr>
        <w:t>18,8).</w:t>
      </w:r>
    </w:p>
    <w:p w:rsidR="004A72E7" w:rsidRPr="001E2F6E" w:rsidRDefault="004A72E7" w:rsidP="008D3DF1"/>
    <w:p w:rsidR="004A72E7" w:rsidRPr="001E2F6E" w:rsidRDefault="004A72E7" w:rsidP="008D3DF1">
      <w:pPr>
        <w:spacing w:after="200" w:line="276" w:lineRule="auto"/>
        <w:jc w:val="left"/>
        <w:rPr>
          <w:b/>
          <w:bCs/>
          <w:color w:val="1F497D"/>
          <w:sz w:val="18"/>
          <w:szCs w:val="18"/>
        </w:rPr>
      </w:pPr>
      <w:r w:rsidRPr="001E2F6E">
        <w:rPr>
          <w:b/>
          <w:bCs/>
          <w:color w:val="1F497D"/>
          <w:sz w:val="18"/>
          <w:szCs w:val="18"/>
        </w:rPr>
        <w:br w:type="page"/>
      </w:r>
    </w:p>
    <w:p w:rsidR="004A72E7" w:rsidRPr="001E2F6E" w:rsidRDefault="004A72E7" w:rsidP="008D3DF1">
      <w:pPr>
        <w:spacing w:line="240" w:lineRule="auto"/>
        <w:ind w:left="227" w:hanging="227"/>
        <w:jc w:val="center"/>
        <w:rPr>
          <w:b/>
          <w:bCs/>
          <w:color w:val="1F497D" w:themeColor="text2"/>
          <w:sz w:val="18"/>
          <w:szCs w:val="18"/>
        </w:rPr>
      </w:pPr>
      <w:r w:rsidRPr="001E2F6E">
        <w:rPr>
          <w:b/>
          <w:bCs/>
          <w:color w:val="1F497D" w:themeColor="text2"/>
          <w:sz w:val="18"/>
          <w:szCs w:val="18"/>
          <w:lang w:val="eu-ES"/>
        </w:rPr>
        <w:lastRenderedPageBreak/>
        <w:t>GIZARTE EKONOMIAREN FORMA BERRIEN MAGNITUDE NAGUSIAK + GIZARTE EKONOMIAREN 2012KO KONTUAK (kopuru absolutuak eta %-a)</w:t>
      </w:r>
    </w:p>
    <w:tbl>
      <w:tblPr>
        <w:tblW w:w="0" w:type="auto"/>
        <w:jc w:val="center"/>
        <w:tblInd w:w="-415" w:type="dxa"/>
        <w:tblLook w:val="00A0" w:firstRow="1" w:lastRow="0" w:firstColumn="1" w:lastColumn="0" w:noHBand="0" w:noVBand="0"/>
      </w:tblPr>
      <w:tblGrid>
        <w:gridCol w:w="2990"/>
        <w:gridCol w:w="2663"/>
        <w:gridCol w:w="1881"/>
      </w:tblGrid>
      <w:tr w:rsidR="004A72E7" w:rsidRPr="001E2F6E">
        <w:trPr>
          <w:jc w:val="center"/>
        </w:trPr>
        <w:tc>
          <w:tcPr>
            <w:tcW w:w="2990" w:type="dxa"/>
            <w:tcBorders>
              <w:top w:val="single" w:sz="4" w:space="0" w:color="BFBFBF"/>
              <w:bottom w:val="single" w:sz="4" w:space="0" w:color="BFBFBF"/>
              <w:right w:val="single" w:sz="4" w:space="0" w:color="BFBFBF"/>
            </w:tcBorders>
            <w:shd w:val="clear" w:color="auto" w:fill="DBE5F1"/>
          </w:tcPr>
          <w:p w:rsidR="004A72E7" w:rsidRPr="001E2F6E" w:rsidRDefault="004A72E7" w:rsidP="002434B6">
            <w:pPr>
              <w:spacing w:line="240" w:lineRule="exact"/>
              <w:ind w:left="227" w:hanging="227"/>
            </w:pPr>
          </w:p>
        </w:tc>
        <w:tc>
          <w:tcPr>
            <w:tcW w:w="2663" w:type="dxa"/>
            <w:tcBorders>
              <w:top w:val="single" w:sz="4" w:space="0" w:color="BFBFBF"/>
              <w:left w:val="single" w:sz="4" w:space="0" w:color="BFBFBF"/>
              <w:bottom w:val="single" w:sz="4" w:space="0" w:color="BFBFBF"/>
              <w:right w:val="single" w:sz="4" w:space="0" w:color="BFBFBF"/>
            </w:tcBorders>
            <w:shd w:val="clear" w:color="auto" w:fill="DBE5F1"/>
          </w:tcPr>
          <w:p w:rsidR="004A72E7" w:rsidRPr="001E2F6E" w:rsidRDefault="004A72E7" w:rsidP="002434B6">
            <w:pPr>
              <w:spacing w:line="240" w:lineRule="exact"/>
              <w:ind w:left="227" w:hanging="227"/>
              <w:jc w:val="center"/>
              <w:rPr>
                <w:b/>
                <w:bCs/>
                <w:sz w:val="16"/>
                <w:szCs w:val="16"/>
                <w:lang w:val="pt-BR"/>
              </w:rPr>
            </w:pPr>
            <w:r w:rsidRPr="001E2F6E">
              <w:rPr>
                <w:b/>
                <w:bCs/>
                <w:sz w:val="16"/>
                <w:szCs w:val="16"/>
                <w:lang w:val="eu-ES"/>
              </w:rPr>
              <w:t>GIZARTE EKONOMIA OROKORRA, 2012</w:t>
            </w:r>
          </w:p>
          <w:p w:rsidR="004A72E7" w:rsidRPr="001E2F6E" w:rsidRDefault="004A72E7" w:rsidP="002434B6">
            <w:pPr>
              <w:spacing w:line="240" w:lineRule="exact"/>
              <w:ind w:left="227" w:hanging="227"/>
              <w:jc w:val="center"/>
              <w:rPr>
                <w:b/>
                <w:bCs/>
                <w:sz w:val="16"/>
                <w:szCs w:val="16"/>
                <w:lang w:val="pt-BR"/>
              </w:rPr>
            </w:pPr>
            <w:r w:rsidRPr="001E2F6E">
              <w:rPr>
                <w:b/>
                <w:bCs/>
                <w:sz w:val="16"/>
                <w:szCs w:val="16"/>
                <w:lang w:val="eu-ES"/>
              </w:rPr>
              <w:t>Forma Berriak</w:t>
            </w:r>
          </w:p>
          <w:p w:rsidR="004A72E7" w:rsidRPr="001E2F6E" w:rsidRDefault="004A72E7" w:rsidP="002434B6">
            <w:pPr>
              <w:spacing w:line="240" w:lineRule="exact"/>
              <w:ind w:left="227" w:hanging="227"/>
              <w:jc w:val="center"/>
              <w:rPr>
                <w:b/>
                <w:bCs/>
                <w:sz w:val="16"/>
                <w:szCs w:val="16"/>
                <w:lang w:val="pt-BR"/>
              </w:rPr>
            </w:pPr>
            <w:r w:rsidRPr="001E2F6E">
              <w:rPr>
                <w:b/>
                <w:bCs/>
                <w:sz w:val="16"/>
                <w:szCs w:val="16"/>
                <w:lang w:val="pt-BR"/>
              </w:rPr>
              <w:t>+</w:t>
            </w:r>
          </w:p>
          <w:p w:rsidR="004A72E7" w:rsidRPr="001E2F6E" w:rsidRDefault="004A72E7" w:rsidP="002434B6">
            <w:pPr>
              <w:spacing w:line="240" w:lineRule="exact"/>
              <w:ind w:left="227" w:hanging="227"/>
              <w:jc w:val="center"/>
              <w:rPr>
                <w:b/>
                <w:bCs/>
                <w:sz w:val="16"/>
                <w:szCs w:val="16"/>
                <w:lang w:val="nb-NO"/>
              </w:rPr>
            </w:pPr>
            <w:r w:rsidRPr="001E2F6E">
              <w:rPr>
                <w:b/>
                <w:bCs/>
                <w:sz w:val="16"/>
                <w:szCs w:val="16"/>
                <w:lang w:val="eu-ES"/>
              </w:rPr>
              <w:t>Kooperatibak, LSA-ak eta LSMak</w:t>
            </w:r>
          </w:p>
        </w:tc>
        <w:tc>
          <w:tcPr>
            <w:tcW w:w="1881" w:type="dxa"/>
            <w:tcBorders>
              <w:top w:val="single" w:sz="4" w:space="0" w:color="BFBFBF"/>
              <w:left w:val="single" w:sz="4" w:space="0" w:color="BFBFBF"/>
              <w:bottom w:val="single" w:sz="4" w:space="0" w:color="BFBFBF"/>
            </w:tcBorders>
            <w:shd w:val="clear" w:color="auto" w:fill="DBE5F1"/>
            <w:vAlign w:val="center"/>
          </w:tcPr>
          <w:p w:rsidR="004A72E7" w:rsidRPr="001E2F6E" w:rsidRDefault="004A72E7" w:rsidP="002434B6">
            <w:pPr>
              <w:spacing w:line="240" w:lineRule="exact"/>
              <w:ind w:left="227" w:hanging="227"/>
              <w:jc w:val="center"/>
              <w:rPr>
                <w:b/>
                <w:bCs/>
                <w:sz w:val="16"/>
                <w:szCs w:val="16"/>
              </w:rPr>
            </w:pPr>
            <w:r w:rsidRPr="001E2F6E">
              <w:rPr>
                <w:b/>
                <w:bCs/>
                <w:sz w:val="16"/>
                <w:szCs w:val="16"/>
                <w:lang w:val="eu-ES"/>
              </w:rPr>
              <w:t>Forma Berriek OROKORREAN duten pisua, 2012</w:t>
            </w:r>
          </w:p>
        </w:tc>
      </w:tr>
      <w:tr w:rsidR="004A72E7" w:rsidRPr="001E2F6E">
        <w:trPr>
          <w:jc w:val="center"/>
        </w:trPr>
        <w:tc>
          <w:tcPr>
            <w:tcW w:w="2990" w:type="dxa"/>
            <w:tcBorders>
              <w:top w:val="single" w:sz="4" w:space="0" w:color="BFBFBF"/>
              <w:right w:val="single" w:sz="4" w:space="0" w:color="BFBFBF"/>
            </w:tcBorders>
            <w:vAlign w:val="bottom"/>
          </w:tcPr>
          <w:p w:rsidR="004A72E7" w:rsidRPr="001E2F6E" w:rsidRDefault="004A72E7" w:rsidP="002434B6">
            <w:pPr>
              <w:spacing w:line="240" w:lineRule="exact"/>
              <w:ind w:left="227" w:hanging="227"/>
              <w:rPr>
                <w:b/>
                <w:bCs/>
                <w:color w:val="000000"/>
                <w:sz w:val="16"/>
                <w:szCs w:val="16"/>
              </w:rPr>
            </w:pPr>
            <w:r w:rsidRPr="001E2F6E">
              <w:rPr>
                <w:b/>
                <w:bCs/>
                <w:sz w:val="16"/>
                <w:szCs w:val="16"/>
                <w:lang w:val="eu-ES"/>
              </w:rPr>
              <w:t>Enplegua</w:t>
            </w:r>
          </w:p>
        </w:tc>
        <w:tc>
          <w:tcPr>
            <w:tcW w:w="2663" w:type="dxa"/>
            <w:tcBorders>
              <w:top w:val="single" w:sz="4" w:space="0" w:color="BFBFBF"/>
              <w:left w:val="single" w:sz="4" w:space="0" w:color="BFBFBF"/>
              <w:right w:val="single" w:sz="4" w:space="0" w:color="BFBFBF"/>
            </w:tcBorders>
            <w:noWrap/>
            <w:vAlign w:val="bottom"/>
          </w:tcPr>
          <w:p w:rsidR="004A72E7" w:rsidRPr="001E2F6E" w:rsidRDefault="004A72E7" w:rsidP="002434B6">
            <w:pPr>
              <w:spacing w:line="240" w:lineRule="exact"/>
              <w:ind w:left="227" w:hanging="227"/>
              <w:jc w:val="right"/>
              <w:rPr>
                <w:b/>
                <w:bCs/>
                <w:color w:val="000000"/>
                <w:sz w:val="16"/>
                <w:szCs w:val="16"/>
              </w:rPr>
            </w:pPr>
            <w:r w:rsidRPr="001E2F6E">
              <w:rPr>
                <w:b/>
                <w:bCs/>
                <w:sz w:val="16"/>
                <w:szCs w:val="16"/>
                <w:lang w:val="eu-ES"/>
              </w:rPr>
              <w:t xml:space="preserve">81.224 </w:t>
            </w:r>
            <w:r w:rsidRPr="001E2F6E">
              <w:rPr>
                <w:rStyle w:val="Refdenotaalpie"/>
                <w:rFonts w:cs="Arial"/>
                <w:b/>
                <w:bCs/>
                <w:lang w:val="eu-ES"/>
              </w:rPr>
              <w:footnoteReference w:id="15"/>
            </w:r>
            <w:r w:rsidRPr="001E2F6E">
              <w:rPr>
                <w:b/>
                <w:bCs/>
                <w:sz w:val="16"/>
                <w:szCs w:val="16"/>
                <w:lang w:val="eu-ES"/>
              </w:rPr>
              <w:t>lanpostu urtekotu</w:t>
            </w:r>
          </w:p>
        </w:tc>
        <w:tc>
          <w:tcPr>
            <w:tcW w:w="1881" w:type="dxa"/>
            <w:tcBorders>
              <w:top w:val="single" w:sz="4" w:space="0" w:color="BFBFBF"/>
              <w:left w:val="single" w:sz="4" w:space="0" w:color="BFBFBF"/>
            </w:tcBorders>
          </w:tcPr>
          <w:p w:rsidR="004A72E7" w:rsidRPr="001E2F6E" w:rsidRDefault="004A72E7" w:rsidP="002434B6">
            <w:pPr>
              <w:spacing w:line="240" w:lineRule="exact"/>
              <w:ind w:left="227" w:hanging="227"/>
              <w:jc w:val="center"/>
              <w:rPr>
                <w:color w:val="000000"/>
                <w:sz w:val="16"/>
                <w:szCs w:val="16"/>
              </w:rPr>
            </w:pPr>
            <w:r w:rsidRPr="001E2F6E">
              <w:rPr>
                <w:color w:val="000000"/>
                <w:sz w:val="16"/>
                <w:szCs w:val="16"/>
              </w:rPr>
              <w:t>31,3</w:t>
            </w:r>
          </w:p>
        </w:tc>
      </w:tr>
      <w:tr w:rsidR="004A72E7" w:rsidRPr="001E2F6E">
        <w:trPr>
          <w:jc w:val="center"/>
        </w:trPr>
        <w:tc>
          <w:tcPr>
            <w:tcW w:w="2990" w:type="dxa"/>
            <w:tcBorders>
              <w:right w:val="single" w:sz="4" w:space="0" w:color="BFBFBF"/>
            </w:tcBorders>
            <w:vAlign w:val="bottom"/>
          </w:tcPr>
          <w:p w:rsidR="004A72E7" w:rsidRPr="001E2F6E" w:rsidRDefault="004A72E7" w:rsidP="002434B6">
            <w:pPr>
              <w:spacing w:line="240" w:lineRule="exact"/>
              <w:ind w:left="227" w:hanging="227"/>
              <w:rPr>
                <w:b/>
                <w:bCs/>
                <w:color w:val="000000"/>
                <w:sz w:val="16"/>
                <w:szCs w:val="16"/>
              </w:rPr>
            </w:pPr>
            <w:r w:rsidRPr="001E2F6E">
              <w:rPr>
                <w:b/>
                <w:bCs/>
                <w:sz w:val="16"/>
                <w:szCs w:val="16"/>
                <w:lang w:val="eu-ES"/>
              </w:rPr>
              <w:t>Fakturazioa</w:t>
            </w:r>
          </w:p>
        </w:tc>
        <w:tc>
          <w:tcPr>
            <w:tcW w:w="2663" w:type="dxa"/>
            <w:tcBorders>
              <w:left w:val="single" w:sz="4" w:space="0" w:color="BFBFBF"/>
              <w:right w:val="single" w:sz="4" w:space="0" w:color="BFBFBF"/>
            </w:tcBorders>
            <w:noWrap/>
            <w:vAlign w:val="bottom"/>
          </w:tcPr>
          <w:p w:rsidR="004A72E7" w:rsidRPr="001E2F6E" w:rsidRDefault="004A72E7" w:rsidP="002434B6">
            <w:pPr>
              <w:spacing w:line="240" w:lineRule="exact"/>
              <w:ind w:left="227" w:hanging="227"/>
              <w:jc w:val="right"/>
              <w:rPr>
                <w:b/>
                <w:bCs/>
                <w:color w:val="000000"/>
                <w:sz w:val="16"/>
                <w:szCs w:val="16"/>
              </w:rPr>
            </w:pPr>
            <w:r w:rsidRPr="001E2F6E">
              <w:rPr>
                <w:b/>
                <w:bCs/>
                <w:sz w:val="16"/>
                <w:szCs w:val="16"/>
                <w:lang w:val="eu-ES"/>
              </w:rPr>
              <w:t>10.196 milioi euro</w:t>
            </w:r>
          </w:p>
        </w:tc>
        <w:tc>
          <w:tcPr>
            <w:tcW w:w="1881" w:type="dxa"/>
            <w:tcBorders>
              <w:left w:val="single" w:sz="4" w:space="0" w:color="BFBFBF"/>
            </w:tcBorders>
          </w:tcPr>
          <w:p w:rsidR="004A72E7" w:rsidRPr="001E2F6E" w:rsidRDefault="004A72E7" w:rsidP="002434B6">
            <w:pPr>
              <w:spacing w:line="240" w:lineRule="exact"/>
              <w:ind w:left="227" w:hanging="227"/>
              <w:jc w:val="center"/>
              <w:rPr>
                <w:color w:val="000000"/>
                <w:sz w:val="16"/>
                <w:szCs w:val="16"/>
              </w:rPr>
            </w:pPr>
            <w:r w:rsidRPr="001E2F6E">
              <w:rPr>
                <w:color w:val="000000"/>
                <w:sz w:val="16"/>
                <w:szCs w:val="16"/>
              </w:rPr>
              <w:t>18,8</w:t>
            </w:r>
          </w:p>
        </w:tc>
      </w:tr>
      <w:tr w:rsidR="004A72E7" w:rsidRPr="001E2F6E">
        <w:trPr>
          <w:jc w:val="center"/>
        </w:trPr>
        <w:tc>
          <w:tcPr>
            <w:tcW w:w="2990" w:type="dxa"/>
            <w:tcBorders>
              <w:right w:val="single" w:sz="4" w:space="0" w:color="BFBFBF"/>
            </w:tcBorders>
            <w:noWrap/>
            <w:vAlign w:val="bottom"/>
          </w:tcPr>
          <w:p w:rsidR="004A72E7" w:rsidRPr="001E2F6E" w:rsidRDefault="004A72E7" w:rsidP="002434B6">
            <w:pPr>
              <w:spacing w:line="240" w:lineRule="exact"/>
              <w:ind w:left="227" w:hanging="227"/>
              <w:rPr>
                <w:b/>
                <w:bCs/>
                <w:color w:val="000000"/>
                <w:sz w:val="16"/>
                <w:szCs w:val="16"/>
              </w:rPr>
            </w:pPr>
            <w:r w:rsidRPr="001E2F6E">
              <w:rPr>
                <w:b/>
                <w:bCs/>
                <w:sz w:val="16"/>
                <w:szCs w:val="16"/>
                <w:lang w:val="eu-ES"/>
              </w:rPr>
              <w:t>Soldata-masa</w:t>
            </w:r>
          </w:p>
        </w:tc>
        <w:tc>
          <w:tcPr>
            <w:tcW w:w="2663" w:type="dxa"/>
            <w:tcBorders>
              <w:left w:val="single" w:sz="4" w:space="0" w:color="BFBFBF"/>
              <w:right w:val="single" w:sz="4" w:space="0" w:color="BFBFBF"/>
            </w:tcBorders>
            <w:noWrap/>
            <w:vAlign w:val="bottom"/>
          </w:tcPr>
          <w:p w:rsidR="004A72E7" w:rsidRPr="001E2F6E" w:rsidRDefault="004A72E7" w:rsidP="002434B6">
            <w:pPr>
              <w:spacing w:line="240" w:lineRule="exact"/>
              <w:ind w:left="227" w:hanging="227"/>
              <w:jc w:val="right"/>
              <w:rPr>
                <w:b/>
                <w:bCs/>
                <w:color w:val="000000"/>
                <w:sz w:val="16"/>
                <w:szCs w:val="16"/>
              </w:rPr>
            </w:pPr>
            <w:r w:rsidRPr="001E2F6E">
              <w:rPr>
                <w:b/>
                <w:bCs/>
                <w:sz w:val="16"/>
                <w:szCs w:val="16"/>
                <w:lang w:val="eu-ES"/>
              </w:rPr>
              <w:t>2.691 milioi euro</w:t>
            </w:r>
          </w:p>
        </w:tc>
        <w:tc>
          <w:tcPr>
            <w:tcW w:w="1881" w:type="dxa"/>
            <w:tcBorders>
              <w:left w:val="single" w:sz="4" w:space="0" w:color="BFBFBF"/>
            </w:tcBorders>
          </w:tcPr>
          <w:p w:rsidR="004A72E7" w:rsidRPr="001E2F6E" w:rsidRDefault="004A72E7" w:rsidP="002434B6">
            <w:pPr>
              <w:spacing w:line="240" w:lineRule="exact"/>
              <w:ind w:left="227" w:hanging="227"/>
              <w:jc w:val="center"/>
              <w:rPr>
                <w:color w:val="000000"/>
                <w:sz w:val="16"/>
                <w:szCs w:val="16"/>
              </w:rPr>
            </w:pPr>
            <w:r w:rsidRPr="001E2F6E">
              <w:rPr>
                <w:color w:val="000000"/>
                <w:sz w:val="16"/>
                <w:szCs w:val="16"/>
              </w:rPr>
              <w:t>24,0</w:t>
            </w:r>
          </w:p>
        </w:tc>
      </w:tr>
      <w:tr w:rsidR="004A72E7" w:rsidRPr="001E2F6E">
        <w:trPr>
          <w:jc w:val="center"/>
        </w:trPr>
        <w:tc>
          <w:tcPr>
            <w:tcW w:w="2990" w:type="dxa"/>
            <w:tcBorders>
              <w:bottom w:val="single" w:sz="4" w:space="0" w:color="BFBFBF"/>
              <w:right w:val="single" w:sz="4" w:space="0" w:color="BFBFBF"/>
            </w:tcBorders>
            <w:noWrap/>
            <w:vAlign w:val="bottom"/>
          </w:tcPr>
          <w:p w:rsidR="004A72E7" w:rsidRPr="001E2F6E" w:rsidRDefault="004A72E7" w:rsidP="002434B6">
            <w:pPr>
              <w:spacing w:line="240" w:lineRule="exact"/>
              <w:ind w:left="227" w:hanging="227"/>
              <w:rPr>
                <w:b/>
                <w:bCs/>
                <w:color w:val="000000"/>
                <w:sz w:val="16"/>
                <w:szCs w:val="16"/>
              </w:rPr>
            </w:pPr>
            <w:r w:rsidRPr="001E2F6E">
              <w:rPr>
                <w:b/>
                <w:bCs/>
                <w:sz w:val="16"/>
                <w:szCs w:val="16"/>
                <w:lang w:val="eu-ES"/>
              </w:rPr>
              <w:t>BEGd-a</w:t>
            </w:r>
          </w:p>
        </w:tc>
        <w:tc>
          <w:tcPr>
            <w:tcW w:w="2663" w:type="dxa"/>
            <w:tcBorders>
              <w:left w:val="single" w:sz="4" w:space="0" w:color="BFBFBF"/>
              <w:bottom w:val="single" w:sz="4" w:space="0" w:color="BFBFBF"/>
              <w:right w:val="single" w:sz="4" w:space="0" w:color="BFBFBF"/>
            </w:tcBorders>
            <w:noWrap/>
            <w:vAlign w:val="bottom"/>
          </w:tcPr>
          <w:p w:rsidR="004A72E7" w:rsidRPr="001E2F6E" w:rsidRDefault="004A72E7" w:rsidP="002434B6">
            <w:pPr>
              <w:spacing w:line="240" w:lineRule="exact"/>
              <w:ind w:left="227" w:hanging="227"/>
              <w:jc w:val="right"/>
              <w:rPr>
                <w:b/>
                <w:bCs/>
                <w:color w:val="000000"/>
                <w:sz w:val="16"/>
                <w:szCs w:val="16"/>
              </w:rPr>
            </w:pPr>
            <w:r w:rsidRPr="001E2F6E">
              <w:rPr>
                <w:b/>
                <w:bCs/>
                <w:sz w:val="16"/>
                <w:szCs w:val="16"/>
                <w:lang w:val="eu-ES"/>
              </w:rPr>
              <w:t>3.495 milioi euro</w:t>
            </w:r>
          </w:p>
        </w:tc>
        <w:tc>
          <w:tcPr>
            <w:tcW w:w="1881" w:type="dxa"/>
            <w:tcBorders>
              <w:left w:val="single" w:sz="4" w:space="0" w:color="BFBFBF"/>
              <w:bottom w:val="single" w:sz="4" w:space="0" w:color="BFBFBF"/>
            </w:tcBorders>
          </w:tcPr>
          <w:p w:rsidR="004A72E7" w:rsidRPr="001E2F6E" w:rsidRDefault="004A72E7" w:rsidP="002434B6">
            <w:pPr>
              <w:spacing w:line="240" w:lineRule="exact"/>
              <w:ind w:left="227" w:hanging="227"/>
              <w:jc w:val="center"/>
              <w:rPr>
                <w:color w:val="000000"/>
                <w:sz w:val="16"/>
                <w:szCs w:val="16"/>
              </w:rPr>
            </w:pPr>
            <w:r w:rsidRPr="001E2F6E">
              <w:rPr>
                <w:color w:val="000000"/>
                <w:sz w:val="16"/>
                <w:szCs w:val="16"/>
              </w:rPr>
              <w:t>24,4</w:t>
            </w:r>
          </w:p>
        </w:tc>
      </w:tr>
    </w:tbl>
    <w:p w:rsidR="004A72E7" w:rsidRPr="001E2F6E" w:rsidRDefault="004A72E7" w:rsidP="008D3DF1"/>
    <w:p w:rsidR="004A72E7" w:rsidRPr="001E2F6E" w:rsidRDefault="004A72E7" w:rsidP="008D3DF1">
      <w:pPr>
        <w:ind w:left="426" w:hanging="426"/>
      </w:pPr>
    </w:p>
    <w:p w:rsidR="004A72E7" w:rsidRPr="001E2F6E" w:rsidRDefault="004A72E7" w:rsidP="001451B1">
      <w:pPr>
        <w:pStyle w:val="ARIALNARROW"/>
        <w:numPr>
          <w:ilvl w:val="0"/>
          <w:numId w:val="2"/>
        </w:numPr>
        <w:spacing w:line="360" w:lineRule="auto"/>
        <w:ind w:left="426" w:hanging="426"/>
        <w:rPr>
          <w:b/>
          <w:bCs/>
          <w:lang w:val="es-ES"/>
        </w:rPr>
      </w:pPr>
      <w:r w:rsidRPr="001E2F6E">
        <w:rPr>
          <w:b/>
          <w:bCs/>
        </w:rPr>
        <w:tab/>
      </w:r>
      <w:r w:rsidRPr="001E2F6E">
        <w:rPr>
          <w:b/>
          <w:bCs/>
          <w:lang w:val="eu-ES"/>
        </w:rPr>
        <w:t>Fundazioek eta enplegu-zentro bereziek enplegu-bolumen esanguratsua sortzen dute, lan-sozietateek baino handiagoa</w:t>
      </w:r>
    </w:p>
    <w:p w:rsidR="004A72E7" w:rsidRPr="001E2F6E" w:rsidRDefault="004A72E7" w:rsidP="00E7466B">
      <w:pPr>
        <w:ind w:left="426" w:hanging="426"/>
        <w:rPr>
          <w:lang w:val="es-ES_tradnl"/>
        </w:rPr>
      </w:pPr>
    </w:p>
    <w:p w:rsidR="004A72E7" w:rsidRPr="00A253D5" w:rsidRDefault="004A72E7" w:rsidP="00E7466B">
      <w:pPr>
        <w:ind w:left="426" w:hanging="426"/>
        <w:rPr>
          <w:lang w:val="de-DE"/>
        </w:rPr>
      </w:pPr>
      <w:r w:rsidRPr="001E2F6E">
        <w:tab/>
      </w:r>
      <w:r w:rsidRPr="001E2F6E">
        <w:rPr>
          <w:lang w:val="eu-ES"/>
        </w:rPr>
        <w:t>GEFBetan, enplegua bi kolektibotan pilatzen da: fundazioetan (</w:t>
      </w:r>
      <w:r w:rsidRPr="001E2F6E">
        <w:rPr>
          <w:spacing w:val="60"/>
          <w:lang w:val="eu-ES"/>
        </w:rPr>
        <w:t>%</w:t>
      </w:r>
      <w:r w:rsidRPr="001E2F6E">
        <w:rPr>
          <w:lang w:val="eu-ES"/>
        </w:rPr>
        <w:t>46,6) eta enplegu-zentro berezietan (</w:t>
      </w:r>
      <w:r w:rsidRPr="001E2F6E">
        <w:rPr>
          <w:spacing w:val="60"/>
          <w:lang w:val="eu-ES"/>
        </w:rPr>
        <w:t>%</w:t>
      </w:r>
      <w:r w:rsidRPr="001E2F6E">
        <w:rPr>
          <w:lang w:val="eu-ES"/>
        </w:rPr>
        <w:t>35,4).</w:t>
      </w:r>
      <w:r w:rsidRPr="00A253D5">
        <w:rPr>
          <w:lang w:val="de-DE"/>
        </w:rPr>
        <w:t xml:space="preserve"> </w:t>
      </w:r>
      <w:r w:rsidRPr="001E2F6E">
        <w:rPr>
          <w:lang w:val="eu-ES"/>
        </w:rPr>
        <w:t>Fundazioetan, 12.315 lanpostu daude, eta enplegu-zentro berezietan, 9.368 lanpostu; alegia, bi erakunde-mota horiek lan-sozietateen enplegu-maila gainditzen dute (lan-sozietateetan, 7.828 lanpostu daude).</w:t>
      </w:r>
      <w:r w:rsidRPr="00A253D5">
        <w:rPr>
          <w:lang w:val="de-DE"/>
        </w:rPr>
        <w:t xml:space="preserve"> </w:t>
      </w:r>
      <w:r w:rsidRPr="001E2F6E">
        <w:rPr>
          <w:lang w:val="eu-ES"/>
        </w:rPr>
        <w:t xml:space="preserve">Kooperatibek sortutako enpleguaren </w:t>
      </w:r>
      <w:r w:rsidRPr="001E2F6E">
        <w:rPr>
          <w:spacing w:val="60"/>
          <w:lang w:val="eu-ES"/>
        </w:rPr>
        <w:t>%</w:t>
      </w:r>
      <w:r w:rsidRPr="001E2F6E">
        <w:rPr>
          <w:lang w:val="eu-ES"/>
        </w:rPr>
        <w:t>45 inguru osatzen dute.</w:t>
      </w:r>
    </w:p>
    <w:p w:rsidR="004A72E7" w:rsidRPr="00A253D5" w:rsidRDefault="004A72E7" w:rsidP="00E7466B">
      <w:pPr>
        <w:ind w:left="426" w:hanging="426"/>
        <w:rPr>
          <w:lang w:val="de-DE"/>
        </w:rPr>
      </w:pPr>
    </w:p>
    <w:p w:rsidR="004A72E7" w:rsidRPr="00A253D5" w:rsidRDefault="004A72E7" w:rsidP="00E7466B">
      <w:pPr>
        <w:spacing w:line="240" w:lineRule="auto"/>
        <w:ind w:left="227" w:hanging="227"/>
        <w:jc w:val="center"/>
        <w:rPr>
          <w:b/>
          <w:bCs/>
          <w:color w:val="1F497D" w:themeColor="text2"/>
          <w:sz w:val="18"/>
          <w:szCs w:val="18"/>
          <w:lang w:val="de-DE"/>
        </w:rPr>
      </w:pPr>
      <w:r w:rsidRPr="001E2F6E">
        <w:rPr>
          <w:b/>
          <w:bCs/>
          <w:color w:val="1F497D" w:themeColor="text2"/>
          <w:sz w:val="18"/>
          <w:szCs w:val="18"/>
          <w:lang w:val="eu-ES"/>
        </w:rPr>
        <w:t>GEFB-EN URTEKOTUTAKO ENPLEGU ORDAINDUAREN BANAKETA SEGMENTUAREN ARABERA, 2012 (kopuru absolutuak eta % bertikalak)</w:t>
      </w:r>
    </w:p>
    <w:tbl>
      <w:tblPr>
        <w:tblW w:w="5000" w:type="pct"/>
        <w:jc w:val="center"/>
        <w:tblLook w:val="00A0" w:firstRow="1" w:lastRow="0" w:firstColumn="1" w:lastColumn="0" w:noHBand="0" w:noVBand="0"/>
      </w:tblPr>
      <w:tblGrid>
        <w:gridCol w:w="4523"/>
        <w:gridCol w:w="2417"/>
        <w:gridCol w:w="2064"/>
      </w:tblGrid>
      <w:tr w:rsidR="004A72E7" w:rsidRPr="001E2F6E">
        <w:trPr>
          <w:jc w:val="center"/>
        </w:trPr>
        <w:tc>
          <w:tcPr>
            <w:tcW w:w="2512" w:type="pct"/>
            <w:tcBorders>
              <w:top w:val="single" w:sz="4" w:space="0" w:color="BFBFBF"/>
              <w:bottom w:val="single" w:sz="4" w:space="0" w:color="BFBFBF"/>
              <w:right w:val="single" w:sz="4" w:space="0" w:color="BFBFBF"/>
            </w:tcBorders>
            <w:shd w:val="clear" w:color="auto" w:fill="DBE5F1"/>
          </w:tcPr>
          <w:p w:rsidR="004A72E7" w:rsidRPr="00A253D5" w:rsidRDefault="004A72E7" w:rsidP="00E7466B">
            <w:pPr>
              <w:spacing w:line="240" w:lineRule="exact"/>
              <w:ind w:left="227" w:hanging="227"/>
              <w:rPr>
                <w:lang w:val="de-DE"/>
              </w:rPr>
            </w:pPr>
          </w:p>
        </w:tc>
        <w:tc>
          <w:tcPr>
            <w:tcW w:w="1342" w:type="pct"/>
            <w:tcBorders>
              <w:top w:val="single" w:sz="4" w:space="0" w:color="BFBFBF"/>
              <w:left w:val="single" w:sz="4" w:space="0" w:color="BFBFBF"/>
              <w:bottom w:val="single" w:sz="4" w:space="0" w:color="BFBFBF"/>
              <w:right w:val="single" w:sz="4" w:space="0" w:color="BFBFBF"/>
            </w:tcBorders>
            <w:shd w:val="clear" w:color="auto" w:fill="DBE5F1"/>
          </w:tcPr>
          <w:p w:rsidR="004A72E7" w:rsidRPr="001E2F6E" w:rsidRDefault="004A72E7" w:rsidP="00E7466B">
            <w:pPr>
              <w:spacing w:line="240" w:lineRule="exact"/>
              <w:ind w:left="227" w:hanging="227"/>
              <w:jc w:val="center"/>
              <w:rPr>
                <w:b/>
                <w:bCs/>
                <w:sz w:val="16"/>
                <w:szCs w:val="16"/>
              </w:rPr>
            </w:pPr>
            <w:r w:rsidRPr="001E2F6E">
              <w:rPr>
                <w:b/>
                <w:bCs/>
                <w:sz w:val="16"/>
                <w:szCs w:val="16"/>
                <w:lang w:val="eu-ES"/>
              </w:rPr>
              <w:t>Enplegu urtekotua</w:t>
            </w:r>
          </w:p>
        </w:tc>
        <w:tc>
          <w:tcPr>
            <w:tcW w:w="1146" w:type="pct"/>
            <w:tcBorders>
              <w:top w:val="single" w:sz="4" w:space="0" w:color="BFBFBF"/>
              <w:left w:val="single" w:sz="4" w:space="0" w:color="BFBFBF"/>
              <w:bottom w:val="single" w:sz="4" w:space="0" w:color="BFBFBF"/>
            </w:tcBorders>
            <w:shd w:val="clear" w:color="auto" w:fill="DBE5F1"/>
            <w:vAlign w:val="center"/>
          </w:tcPr>
          <w:p w:rsidR="004A72E7" w:rsidRPr="001E2F6E" w:rsidRDefault="004A72E7" w:rsidP="00E7466B">
            <w:pPr>
              <w:spacing w:line="240" w:lineRule="exact"/>
              <w:ind w:left="227" w:hanging="227"/>
              <w:jc w:val="center"/>
              <w:rPr>
                <w:b/>
                <w:bCs/>
                <w:sz w:val="16"/>
                <w:szCs w:val="16"/>
              </w:rPr>
            </w:pPr>
            <w:r w:rsidRPr="001E2F6E">
              <w:rPr>
                <w:b/>
                <w:bCs/>
                <w:sz w:val="16"/>
                <w:szCs w:val="16"/>
                <w:lang w:val="eu-ES"/>
              </w:rPr>
              <w:t>% ber.</w:t>
            </w:r>
          </w:p>
        </w:tc>
      </w:tr>
      <w:tr w:rsidR="004A72E7" w:rsidRPr="001E2F6E">
        <w:trPr>
          <w:jc w:val="center"/>
        </w:trPr>
        <w:tc>
          <w:tcPr>
            <w:tcW w:w="2512" w:type="pct"/>
            <w:tcBorders>
              <w:top w:val="single" w:sz="4" w:space="0" w:color="BFBFBF"/>
              <w:right w:val="single" w:sz="4" w:space="0" w:color="BFBFBF"/>
            </w:tcBorders>
          </w:tcPr>
          <w:p w:rsidR="004A72E7" w:rsidRPr="001E2F6E" w:rsidRDefault="004A72E7" w:rsidP="00E7466B">
            <w:pPr>
              <w:spacing w:line="240" w:lineRule="exact"/>
              <w:ind w:left="227" w:hanging="227"/>
              <w:rPr>
                <w:color w:val="000000"/>
                <w:sz w:val="16"/>
                <w:szCs w:val="16"/>
              </w:rPr>
            </w:pPr>
            <w:r w:rsidRPr="001E2F6E">
              <w:rPr>
                <w:color w:val="000000"/>
                <w:sz w:val="16"/>
                <w:szCs w:val="16"/>
              </w:rPr>
              <w:t>1.</w:t>
            </w:r>
            <w:r w:rsidRPr="001E2F6E">
              <w:rPr>
                <w:color w:val="000000"/>
                <w:sz w:val="14"/>
                <w:szCs w:val="14"/>
              </w:rPr>
              <w:t xml:space="preserve"> </w:t>
            </w:r>
            <w:r w:rsidRPr="001E2F6E">
              <w:rPr>
                <w:sz w:val="16"/>
                <w:szCs w:val="16"/>
                <w:lang w:val="eu-ES"/>
              </w:rPr>
              <w:t>Fundazioak</w:t>
            </w:r>
          </w:p>
        </w:tc>
        <w:tc>
          <w:tcPr>
            <w:tcW w:w="1342" w:type="pct"/>
            <w:tcBorders>
              <w:top w:val="single" w:sz="4" w:space="0" w:color="BFBFBF"/>
              <w:left w:val="single" w:sz="4" w:space="0" w:color="BFBFBF"/>
              <w:right w:val="single" w:sz="4" w:space="0" w:color="BFBFBF"/>
            </w:tcBorders>
            <w:noWrap/>
          </w:tcPr>
          <w:p w:rsidR="004A72E7" w:rsidRPr="001E2F6E" w:rsidRDefault="004A72E7" w:rsidP="00E7466B">
            <w:pPr>
              <w:spacing w:line="240" w:lineRule="exact"/>
              <w:ind w:left="227" w:right="170" w:hanging="227"/>
              <w:jc w:val="right"/>
              <w:rPr>
                <w:color w:val="000000"/>
                <w:sz w:val="16"/>
                <w:szCs w:val="16"/>
              </w:rPr>
            </w:pPr>
            <w:r w:rsidRPr="001E2F6E">
              <w:rPr>
                <w:color w:val="000000"/>
                <w:sz w:val="16"/>
                <w:szCs w:val="16"/>
              </w:rPr>
              <w:t>12.315</w:t>
            </w:r>
          </w:p>
        </w:tc>
        <w:tc>
          <w:tcPr>
            <w:tcW w:w="1146" w:type="pct"/>
            <w:tcBorders>
              <w:top w:val="single" w:sz="4" w:space="0" w:color="BFBFBF"/>
              <w:left w:val="single" w:sz="4" w:space="0" w:color="BFBFBF"/>
            </w:tcBorders>
          </w:tcPr>
          <w:p w:rsidR="004A72E7" w:rsidRPr="001E2F6E" w:rsidRDefault="004A72E7" w:rsidP="00E7466B">
            <w:pPr>
              <w:spacing w:line="240" w:lineRule="exact"/>
              <w:ind w:left="227" w:right="170" w:hanging="227"/>
              <w:jc w:val="right"/>
              <w:rPr>
                <w:color w:val="000000"/>
                <w:sz w:val="16"/>
                <w:szCs w:val="16"/>
              </w:rPr>
            </w:pPr>
            <w:r w:rsidRPr="001E2F6E">
              <w:rPr>
                <w:color w:val="000000"/>
                <w:sz w:val="16"/>
                <w:szCs w:val="16"/>
              </w:rPr>
              <w:t>46,6</w:t>
            </w:r>
          </w:p>
        </w:tc>
      </w:tr>
      <w:tr w:rsidR="004A72E7" w:rsidRPr="001E2F6E">
        <w:trPr>
          <w:jc w:val="center"/>
        </w:trPr>
        <w:tc>
          <w:tcPr>
            <w:tcW w:w="2512" w:type="pct"/>
            <w:tcBorders>
              <w:right w:val="single" w:sz="4" w:space="0" w:color="BFBFBF"/>
            </w:tcBorders>
          </w:tcPr>
          <w:p w:rsidR="004A72E7" w:rsidRPr="001E2F6E" w:rsidRDefault="004A72E7" w:rsidP="00E7466B">
            <w:pPr>
              <w:spacing w:line="240" w:lineRule="exact"/>
              <w:ind w:left="227" w:hanging="227"/>
              <w:rPr>
                <w:color w:val="000000"/>
                <w:sz w:val="16"/>
                <w:szCs w:val="16"/>
              </w:rPr>
            </w:pPr>
            <w:r w:rsidRPr="001E2F6E">
              <w:rPr>
                <w:color w:val="000000"/>
                <w:sz w:val="16"/>
                <w:szCs w:val="16"/>
              </w:rPr>
              <w:t xml:space="preserve">2. </w:t>
            </w:r>
            <w:r w:rsidRPr="001E2F6E">
              <w:rPr>
                <w:sz w:val="16"/>
                <w:szCs w:val="16"/>
                <w:lang w:val="eu-ES"/>
              </w:rPr>
              <w:t>Enplegu Zentro Bereziak</w:t>
            </w:r>
          </w:p>
        </w:tc>
        <w:tc>
          <w:tcPr>
            <w:tcW w:w="1342" w:type="pct"/>
            <w:tcBorders>
              <w:left w:val="single" w:sz="4" w:space="0" w:color="BFBFBF"/>
              <w:right w:val="single" w:sz="4" w:space="0" w:color="BFBFBF"/>
            </w:tcBorders>
            <w:noWrap/>
          </w:tcPr>
          <w:p w:rsidR="004A72E7" w:rsidRPr="001E2F6E" w:rsidRDefault="004A72E7" w:rsidP="00E7466B">
            <w:pPr>
              <w:spacing w:line="240" w:lineRule="exact"/>
              <w:ind w:left="227" w:right="170" w:hanging="227"/>
              <w:jc w:val="right"/>
              <w:rPr>
                <w:color w:val="000000"/>
                <w:sz w:val="16"/>
                <w:szCs w:val="16"/>
              </w:rPr>
            </w:pPr>
            <w:r w:rsidRPr="001E2F6E">
              <w:rPr>
                <w:color w:val="000000"/>
                <w:sz w:val="16"/>
                <w:szCs w:val="16"/>
              </w:rPr>
              <w:t>9.368</w:t>
            </w:r>
          </w:p>
        </w:tc>
        <w:tc>
          <w:tcPr>
            <w:tcW w:w="1146" w:type="pct"/>
            <w:tcBorders>
              <w:left w:val="single" w:sz="4" w:space="0" w:color="BFBFBF"/>
            </w:tcBorders>
          </w:tcPr>
          <w:p w:rsidR="004A72E7" w:rsidRPr="001E2F6E" w:rsidRDefault="004A72E7" w:rsidP="00E7466B">
            <w:pPr>
              <w:spacing w:line="240" w:lineRule="exact"/>
              <w:ind w:left="227" w:right="170" w:hanging="227"/>
              <w:jc w:val="right"/>
              <w:rPr>
                <w:color w:val="000000"/>
                <w:sz w:val="16"/>
                <w:szCs w:val="16"/>
              </w:rPr>
            </w:pPr>
            <w:r w:rsidRPr="001E2F6E">
              <w:rPr>
                <w:color w:val="000000"/>
                <w:sz w:val="16"/>
                <w:szCs w:val="16"/>
              </w:rPr>
              <w:t>35,4</w:t>
            </w:r>
          </w:p>
        </w:tc>
      </w:tr>
      <w:tr w:rsidR="004A72E7" w:rsidRPr="001E2F6E">
        <w:trPr>
          <w:jc w:val="center"/>
        </w:trPr>
        <w:tc>
          <w:tcPr>
            <w:tcW w:w="2512" w:type="pct"/>
            <w:tcBorders>
              <w:right w:val="single" w:sz="4" w:space="0" w:color="BFBFBF"/>
            </w:tcBorders>
          </w:tcPr>
          <w:p w:rsidR="004A72E7" w:rsidRPr="001E2F6E" w:rsidRDefault="004A72E7" w:rsidP="00E7466B">
            <w:pPr>
              <w:spacing w:line="240" w:lineRule="exact"/>
              <w:ind w:left="227" w:hanging="227"/>
              <w:rPr>
                <w:color w:val="000000"/>
                <w:sz w:val="16"/>
                <w:szCs w:val="16"/>
              </w:rPr>
            </w:pPr>
            <w:r w:rsidRPr="001E2F6E">
              <w:rPr>
                <w:color w:val="000000"/>
                <w:sz w:val="16"/>
                <w:szCs w:val="16"/>
              </w:rPr>
              <w:t xml:space="preserve">3. </w:t>
            </w:r>
            <w:r w:rsidRPr="001E2F6E">
              <w:rPr>
                <w:sz w:val="16"/>
                <w:szCs w:val="16"/>
                <w:lang w:val="eu-ES"/>
              </w:rPr>
              <w:t>Onura Publikoko Elkarteak</w:t>
            </w:r>
          </w:p>
        </w:tc>
        <w:tc>
          <w:tcPr>
            <w:tcW w:w="1342" w:type="pct"/>
            <w:tcBorders>
              <w:left w:val="single" w:sz="4" w:space="0" w:color="BFBFBF"/>
              <w:right w:val="single" w:sz="4" w:space="0" w:color="BFBFBF"/>
            </w:tcBorders>
            <w:noWrap/>
          </w:tcPr>
          <w:p w:rsidR="004A72E7" w:rsidRPr="001E2F6E" w:rsidRDefault="004A72E7" w:rsidP="00E7466B">
            <w:pPr>
              <w:spacing w:line="240" w:lineRule="exact"/>
              <w:ind w:left="227" w:right="170" w:hanging="227"/>
              <w:jc w:val="right"/>
              <w:rPr>
                <w:color w:val="000000"/>
                <w:sz w:val="16"/>
                <w:szCs w:val="16"/>
              </w:rPr>
            </w:pPr>
            <w:r w:rsidRPr="001E2F6E">
              <w:rPr>
                <w:color w:val="000000"/>
                <w:sz w:val="16"/>
                <w:szCs w:val="16"/>
              </w:rPr>
              <w:t>3.078</w:t>
            </w:r>
          </w:p>
        </w:tc>
        <w:tc>
          <w:tcPr>
            <w:tcW w:w="1146" w:type="pct"/>
            <w:tcBorders>
              <w:left w:val="single" w:sz="4" w:space="0" w:color="BFBFBF"/>
            </w:tcBorders>
          </w:tcPr>
          <w:p w:rsidR="004A72E7" w:rsidRPr="001E2F6E" w:rsidRDefault="004A72E7" w:rsidP="00E7466B">
            <w:pPr>
              <w:spacing w:line="240" w:lineRule="exact"/>
              <w:ind w:left="227" w:right="170" w:hanging="227"/>
              <w:jc w:val="right"/>
              <w:rPr>
                <w:color w:val="000000"/>
                <w:sz w:val="16"/>
                <w:szCs w:val="16"/>
              </w:rPr>
            </w:pPr>
            <w:r w:rsidRPr="001E2F6E">
              <w:rPr>
                <w:color w:val="000000"/>
                <w:sz w:val="16"/>
                <w:szCs w:val="16"/>
              </w:rPr>
              <w:t>11,6</w:t>
            </w:r>
          </w:p>
        </w:tc>
      </w:tr>
      <w:tr w:rsidR="004A72E7" w:rsidRPr="001E2F6E">
        <w:trPr>
          <w:jc w:val="center"/>
        </w:trPr>
        <w:tc>
          <w:tcPr>
            <w:tcW w:w="2512" w:type="pct"/>
            <w:tcBorders>
              <w:right w:val="single" w:sz="4" w:space="0" w:color="BFBFBF"/>
            </w:tcBorders>
            <w:noWrap/>
          </w:tcPr>
          <w:p w:rsidR="004A72E7" w:rsidRPr="001E2F6E" w:rsidRDefault="004A72E7" w:rsidP="00E7466B">
            <w:pPr>
              <w:spacing w:line="240" w:lineRule="exact"/>
              <w:ind w:left="227" w:hanging="227"/>
              <w:rPr>
                <w:color w:val="000000"/>
                <w:sz w:val="16"/>
                <w:szCs w:val="16"/>
              </w:rPr>
            </w:pPr>
            <w:r w:rsidRPr="001E2F6E">
              <w:rPr>
                <w:color w:val="000000"/>
                <w:sz w:val="16"/>
                <w:szCs w:val="16"/>
              </w:rPr>
              <w:t xml:space="preserve">4. </w:t>
            </w:r>
            <w:r w:rsidRPr="001E2F6E">
              <w:rPr>
                <w:sz w:val="16"/>
                <w:szCs w:val="16"/>
                <w:lang w:val="eu-ES"/>
              </w:rPr>
              <w:t>Gizarteratze Enpresak</w:t>
            </w:r>
          </w:p>
        </w:tc>
        <w:tc>
          <w:tcPr>
            <w:tcW w:w="1342" w:type="pct"/>
            <w:tcBorders>
              <w:left w:val="single" w:sz="4" w:space="0" w:color="BFBFBF"/>
              <w:right w:val="single" w:sz="4" w:space="0" w:color="BFBFBF"/>
            </w:tcBorders>
            <w:noWrap/>
          </w:tcPr>
          <w:p w:rsidR="004A72E7" w:rsidRPr="001E2F6E" w:rsidRDefault="004A72E7" w:rsidP="00E7466B">
            <w:pPr>
              <w:spacing w:line="240" w:lineRule="exact"/>
              <w:ind w:left="227" w:right="170" w:hanging="227"/>
              <w:jc w:val="right"/>
              <w:rPr>
                <w:color w:val="000000"/>
                <w:sz w:val="16"/>
                <w:szCs w:val="16"/>
              </w:rPr>
            </w:pPr>
            <w:r w:rsidRPr="001E2F6E">
              <w:rPr>
                <w:color w:val="000000"/>
                <w:sz w:val="16"/>
                <w:szCs w:val="16"/>
              </w:rPr>
              <w:t>1.252</w:t>
            </w:r>
          </w:p>
        </w:tc>
        <w:tc>
          <w:tcPr>
            <w:tcW w:w="1146" w:type="pct"/>
            <w:tcBorders>
              <w:left w:val="single" w:sz="4" w:space="0" w:color="BFBFBF"/>
            </w:tcBorders>
          </w:tcPr>
          <w:p w:rsidR="004A72E7" w:rsidRPr="001E2F6E" w:rsidRDefault="004A72E7" w:rsidP="00E7466B">
            <w:pPr>
              <w:spacing w:line="240" w:lineRule="exact"/>
              <w:ind w:left="227" w:right="170" w:hanging="227"/>
              <w:jc w:val="right"/>
              <w:rPr>
                <w:color w:val="000000"/>
                <w:sz w:val="16"/>
                <w:szCs w:val="16"/>
              </w:rPr>
            </w:pPr>
            <w:r w:rsidRPr="001E2F6E">
              <w:rPr>
                <w:color w:val="000000"/>
                <w:sz w:val="16"/>
                <w:szCs w:val="16"/>
              </w:rPr>
              <w:t>4,7</w:t>
            </w:r>
          </w:p>
        </w:tc>
      </w:tr>
      <w:tr w:rsidR="004A72E7" w:rsidRPr="001E2F6E">
        <w:trPr>
          <w:jc w:val="center"/>
        </w:trPr>
        <w:tc>
          <w:tcPr>
            <w:tcW w:w="2512" w:type="pct"/>
            <w:tcBorders>
              <w:right w:val="single" w:sz="4" w:space="0" w:color="BFBFBF"/>
            </w:tcBorders>
            <w:noWrap/>
          </w:tcPr>
          <w:p w:rsidR="004A72E7" w:rsidRPr="001E2F6E" w:rsidRDefault="004A72E7" w:rsidP="00E7466B">
            <w:pPr>
              <w:spacing w:line="240" w:lineRule="exact"/>
              <w:ind w:left="227" w:hanging="227"/>
              <w:rPr>
                <w:color w:val="000000"/>
                <w:sz w:val="16"/>
                <w:szCs w:val="16"/>
              </w:rPr>
            </w:pPr>
            <w:r w:rsidRPr="001E2F6E">
              <w:rPr>
                <w:color w:val="000000"/>
                <w:sz w:val="16"/>
                <w:szCs w:val="16"/>
              </w:rPr>
              <w:t xml:space="preserve">5. </w:t>
            </w:r>
            <w:r w:rsidRPr="001E2F6E">
              <w:rPr>
                <w:sz w:val="16"/>
                <w:szCs w:val="16"/>
                <w:lang w:val="eu-ES"/>
              </w:rPr>
              <w:t>ENS</w:t>
            </w:r>
          </w:p>
        </w:tc>
        <w:tc>
          <w:tcPr>
            <w:tcW w:w="1342" w:type="pct"/>
            <w:tcBorders>
              <w:left w:val="single" w:sz="4" w:space="0" w:color="BFBFBF"/>
              <w:right w:val="single" w:sz="4" w:space="0" w:color="BFBFBF"/>
            </w:tcBorders>
            <w:noWrap/>
          </w:tcPr>
          <w:p w:rsidR="004A72E7" w:rsidRPr="001E2F6E" w:rsidRDefault="004A72E7" w:rsidP="00E7466B">
            <w:pPr>
              <w:spacing w:line="240" w:lineRule="exact"/>
              <w:ind w:left="227" w:right="170" w:hanging="227"/>
              <w:jc w:val="right"/>
              <w:rPr>
                <w:color w:val="000000"/>
                <w:sz w:val="16"/>
                <w:szCs w:val="16"/>
              </w:rPr>
            </w:pPr>
            <w:r w:rsidRPr="001E2F6E">
              <w:rPr>
                <w:color w:val="000000"/>
                <w:sz w:val="16"/>
                <w:szCs w:val="16"/>
              </w:rPr>
              <w:t>248</w:t>
            </w:r>
          </w:p>
        </w:tc>
        <w:tc>
          <w:tcPr>
            <w:tcW w:w="1146" w:type="pct"/>
            <w:tcBorders>
              <w:left w:val="single" w:sz="4" w:space="0" w:color="BFBFBF"/>
            </w:tcBorders>
          </w:tcPr>
          <w:p w:rsidR="004A72E7" w:rsidRPr="001E2F6E" w:rsidRDefault="004A72E7" w:rsidP="00E7466B">
            <w:pPr>
              <w:spacing w:line="240" w:lineRule="exact"/>
              <w:ind w:left="227" w:right="170" w:hanging="227"/>
              <w:jc w:val="right"/>
              <w:rPr>
                <w:color w:val="000000"/>
                <w:sz w:val="16"/>
                <w:szCs w:val="16"/>
              </w:rPr>
            </w:pPr>
            <w:r w:rsidRPr="001E2F6E">
              <w:rPr>
                <w:color w:val="000000"/>
                <w:sz w:val="16"/>
                <w:szCs w:val="16"/>
              </w:rPr>
              <w:t>0,9</w:t>
            </w:r>
          </w:p>
        </w:tc>
      </w:tr>
      <w:tr w:rsidR="004A72E7" w:rsidRPr="001E2F6E">
        <w:trPr>
          <w:jc w:val="center"/>
        </w:trPr>
        <w:tc>
          <w:tcPr>
            <w:tcW w:w="2512" w:type="pct"/>
            <w:tcBorders>
              <w:right w:val="single" w:sz="4" w:space="0" w:color="BFBFBF"/>
            </w:tcBorders>
            <w:noWrap/>
          </w:tcPr>
          <w:p w:rsidR="004A72E7" w:rsidRPr="001E2F6E" w:rsidRDefault="004A72E7" w:rsidP="00E7466B">
            <w:pPr>
              <w:spacing w:line="240" w:lineRule="exact"/>
              <w:ind w:left="227" w:hanging="227"/>
              <w:rPr>
                <w:color w:val="000000"/>
                <w:sz w:val="16"/>
                <w:szCs w:val="16"/>
              </w:rPr>
            </w:pPr>
            <w:r w:rsidRPr="001E2F6E">
              <w:rPr>
                <w:color w:val="000000"/>
                <w:sz w:val="16"/>
                <w:szCs w:val="16"/>
              </w:rPr>
              <w:t xml:space="preserve">6. </w:t>
            </w:r>
            <w:r w:rsidRPr="001E2F6E">
              <w:rPr>
                <w:sz w:val="16"/>
                <w:szCs w:val="16"/>
                <w:lang w:val="eu-ES"/>
              </w:rPr>
              <w:t>Arrantzale Kofradiak</w:t>
            </w:r>
          </w:p>
        </w:tc>
        <w:tc>
          <w:tcPr>
            <w:tcW w:w="1342" w:type="pct"/>
            <w:tcBorders>
              <w:left w:val="single" w:sz="4" w:space="0" w:color="BFBFBF"/>
              <w:right w:val="single" w:sz="4" w:space="0" w:color="BFBFBF"/>
            </w:tcBorders>
            <w:noWrap/>
          </w:tcPr>
          <w:p w:rsidR="004A72E7" w:rsidRPr="001E2F6E" w:rsidRDefault="004A72E7" w:rsidP="00E7466B">
            <w:pPr>
              <w:spacing w:line="240" w:lineRule="exact"/>
              <w:ind w:left="227" w:right="170" w:hanging="227"/>
              <w:jc w:val="right"/>
              <w:rPr>
                <w:color w:val="000000"/>
                <w:sz w:val="16"/>
                <w:szCs w:val="16"/>
              </w:rPr>
            </w:pPr>
            <w:r w:rsidRPr="001E2F6E">
              <w:rPr>
                <w:color w:val="000000"/>
                <w:sz w:val="16"/>
                <w:szCs w:val="16"/>
              </w:rPr>
              <w:t>90</w:t>
            </w:r>
          </w:p>
        </w:tc>
        <w:tc>
          <w:tcPr>
            <w:tcW w:w="1146" w:type="pct"/>
            <w:tcBorders>
              <w:left w:val="single" w:sz="4" w:space="0" w:color="BFBFBF"/>
            </w:tcBorders>
          </w:tcPr>
          <w:p w:rsidR="004A72E7" w:rsidRPr="001E2F6E" w:rsidRDefault="004A72E7" w:rsidP="00E7466B">
            <w:pPr>
              <w:spacing w:line="240" w:lineRule="exact"/>
              <w:ind w:left="227" w:right="170" w:hanging="227"/>
              <w:jc w:val="right"/>
              <w:rPr>
                <w:color w:val="000000"/>
                <w:sz w:val="16"/>
                <w:szCs w:val="16"/>
              </w:rPr>
            </w:pPr>
            <w:r w:rsidRPr="001E2F6E">
              <w:rPr>
                <w:color w:val="000000"/>
                <w:sz w:val="16"/>
                <w:szCs w:val="16"/>
              </w:rPr>
              <w:t>0,3</w:t>
            </w:r>
          </w:p>
        </w:tc>
      </w:tr>
      <w:tr w:rsidR="004A72E7" w:rsidRPr="001E2F6E">
        <w:trPr>
          <w:jc w:val="center"/>
        </w:trPr>
        <w:tc>
          <w:tcPr>
            <w:tcW w:w="2512" w:type="pct"/>
            <w:tcBorders>
              <w:bottom w:val="single" w:sz="4" w:space="0" w:color="BFBFBF"/>
              <w:right w:val="single" w:sz="4" w:space="0" w:color="BFBFBF"/>
            </w:tcBorders>
            <w:noWrap/>
          </w:tcPr>
          <w:p w:rsidR="004A72E7" w:rsidRPr="001E2F6E" w:rsidRDefault="004A72E7" w:rsidP="00E7466B">
            <w:pPr>
              <w:spacing w:line="240" w:lineRule="exact"/>
              <w:ind w:left="227" w:hanging="227"/>
              <w:rPr>
                <w:color w:val="000000"/>
                <w:sz w:val="16"/>
                <w:szCs w:val="16"/>
              </w:rPr>
            </w:pPr>
            <w:r w:rsidRPr="001E2F6E">
              <w:rPr>
                <w:color w:val="000000"/>
                <w:sz w:val="16"/>
                <w:szCs w:val="16"/>
              </w:rPr>
              <w:t xml:space="preserve">7. </w:t>
            </w:r>
            <w:r w:rsidRPr="001E2F6E">
              <w:rPr>
                <w:sz w:val="16"/>
                <w:szCs w:val="16"/>
                <w:lang w:val="eu-ES"/>
              </w:rPr>
              <w:t>BGAE</w:t>
            </w:r>
          </w:p>
        </w:tc>
        <w:tc>
          <w:tcPr>
            <w:tcW w:w="1342" w:type="pct"/>
            <w:tcBorders>
              <w:left w:val="single" w:sz="4" w:space="0" w:color="BFBFBF"/>
              <w:bottom w:val="single" w:sz="4" w:space="0" w:color="BFBFBF"/>
              <w:right w:val="single" w:sz="4" w:space="0" w:color="BFBFBF"/>
            </w:tcBorders>
            <w:noWrap/>
          </w:tcPr>
          <w:p w:rsidR="004A72E7" w:rsidRPr="001E2F6E" w:rsidRDefault="004A72E7" w:rsidP="00E7466B">
            <w:pPr>
              <w:spacing w:line="240" w:lineRule="exact"/>
              <w:ind w:left="227" w:right="170" w:hanging="227"/>
              <w:jc w:val="right"/>
              <w:rPr>
                <w:color w:val="000000"/>
                <w:sz w:val="16"/>
                <w:szCs w:val="16"/>
              </w:rPr>
            </w:pPr>
            <w:r w:rsidRPr="001E2F6E">
              <w:rPr>
                <w:color w:val="000000"/>
                <w:sz w:val="16"/>
                <w:szCs w:val="16"/>
              </w:rPr>
              <w:t>90</w:t>
            </w:r>
          </w:p>
        </w:tc>
        <w:tc>
          <w:tcPr>
            <w:tcW w:w="1146" w:type="pct"/>
            <w:tcBorders>
              <w:left w:val="single" w:sz="4" w:space="0" w:color="BFBFBF"/>
              <w:bottom w:val="single" w:sz="4" w:space="0" w:color="BFBFBF"/>
            </w:tcBorders>
          </w:tcPr>
          <w:p w:rsidR="004A72E7" w:rsidRPr="001E2F6E" w:rsidRDefault="004A72E7" w:rsidP="00E7466B">
            <w:pPr>
              <w:spacing w:line="240" w:lineRule="exact"/>
              <w:ind w:left="227" w:right="170" w:hanging="227"/>
              <w:jc w:val="right"/>
              <w:rPr>
                <w:color w:val="000000"/>
                <w:sz w:val="16"/>
                <w:szCs w:val="16"/>
              </w:rPr>
            </w:pPr>
            <w:r w:rsidRPr="001E2F6E">
              <w:rPr>
                <w:color w:val="000000"/>
                <w:sz w:val="16"/>
                <w:szCs w:val="16"/>
              </w:rPr>
              <w:t>0,3</w:t>
            </w:r>
          </w:p>
        </w:tc>
      </w:tr>
      <w:tr w:rsidR="004A72E7" w:rsidRPr="001E2F6E">
        <w:trPr>
          <w:jc w:val="center"/>
        </w:trPr>
        <w:tc>
          <w:tcPr>
            <w:tcW w:w="2512" w:type="pct"/>
            <w:tcBorders>
              <w:top w:val="single" w:sz="4" w:space="0" w:color="BFBFBF"/>
              <w:bottom w:val="single" w:sz="4" w:space="0" w:color="BFBFBF"/>
              <w:right w:val="single" w:sz="4" w:space="0" w:color="BFBFBF"/>
            </w:tcBorders>
            <w:noWrap/>
          </w:tcPr>
          <w:p w:rsidR="004A72E7" w:rsidRPr="001E2F6E" w:rsidRDefault="004A72E7" w:rsidP="00E7466B">
            <w:pPr>
              <w:spacing w:line="240" w:lineRule="exact"/>
              <w:ind w:left="227" w:hanging="227"/>
              <w:rPr>
                <w:b/>
                <w:bCs/>
                <w:color w:val="000000"/>
                <w:sz w:val="16"/>
                <w:szCs w:val="16"/>
              </w:rPr>
            </w:pPr>
            <w:r w:rsidRPr="001E2F6E">
              <w:rPr>
                <w:b/>
                <w:bCs/>
                <w:sz w:val="16"/>
                <w:szCs w:val="16"/>
                <w:lang w:val="eu-ES"/>
              </w:rPr>
              <w:t>GUZTIRA</w:t>
            </w:r>
          </w:p>
        </w:tc>
        <w:tc>
          <w:tcPr>
            <w:tcW w:w="1342" w:type="pct"/>
            <w:tcBorders>
              <w:top w:val="single" w:sz="4" w:space="0" w:color="BFBFBF"/>
              <w:left w:val="single" w:sz="4" w:space="0" w:color="BFBFBF"/>
              <w:bottom w:val="single" w:sz="4" w:space="0" w:color="BFBFBF"/>
              <w:right w:val="single" w:sz="4" w:space="0" w:color="BFBFBF"/>
            </w:tcBorders>
            <w:noWrap/>
          </w:tcPr>
          <w:p w:rsidR="004A72E7" w:rsidRPr="001E2F6E" w:rsidRDefault="004A72E7" w:rsidP="00E7466B">
            <w:pPr>
              <w:spacing w:line="240" w:lineRule="exact"/>
              <w:ind w:left="227" w:right="170" w:hanging="227"/>
              <w:jc w:val="right"/>
              <w:rPr>
                <w:b/>
                <w:bCs/>
                <w:color w:val="000000"/>
                <w:sz w:val="16"/>
                <w:szCs w:val="16"/>
              </w:rPr>
            </w:pPr>
            <w:r w:rsidRPr="001E2F6E">
              <w:rPr>
                <w:b/>
                <w:bCs/>
                <w:color w:val="000000"/>
                <w:sz w:val="16"/>
                <w:szCs w:val="16"/>
              </w:rPr>
              <w:t>26.441</w:t>
            </w:r>
          </w:p>
        </w:tc>
        <w:tc>
          <w:tcPr>
            <w:tcW w:w="1146" w:type="pct"/>
            <w:tcBorders>
              <w:top w:val="single" w:sz="4" w:space="0" w:color="BFBFBF"/>
              <w:left w:val="single" w:sz="4" w:space="0" w:color="BFBFBF"/>
              <w:bottom w:val="single" w:sz="4" w:space="0" w:color="BFBFBF"/>
            </w:tcBorders>
          </w:tcPr>
          <w:p w:rsidR="004A72E7" w:rsidRPr="001E2F6E" w:rsidRDefault="004A72E7" w:rsidP="00E7466B">
            <w:pPr>
              <w:spacing w:line="240" w:lineRule="exact"/>
              <w:ind w:left="227" w:right="170" w:hanging="227"/>
              <w:jc w:val="right"/>
              <w:rPr>
                <w:b/>
                <w:bCs/>
                <w:color w:val="000000"/>
                <w:sz w:val="16"/>
                <w:szCs w:val="16"/>
              </w:rPr>
            </w:pPr>
            <w:r w:rsidRPr="001E2F6E">
              <w:rPr>
                <w:b/>
                <w:bCs/>
                <w:color w:val="000000"/>
                <w:sz w:val="16"/>
                <w:szCs w:val="16"/>
              </w:rPr>
              <w:t>100,0</w:t>
            </w:r>
          </w:p>
        </w:tc>
      </w:tr>
    </w:tbl>
    <w:p w:rsidR="004A72E7" w:rsidRPr="001E2F6E" w:rsidRDefault="004A72E7" w:rsidP="00115016"/>
    <w:p w:rsidR="004A72E7" w:rsidRPr="001E2F6E" w:rsidRDefault="004A72E7" w:rsidP="00354E9D">
      <w:pPr>
        <w:ind w:left="227" w:hanging="227"/>
        <w:jc w:val="left"/>
        <w:rPr>
          <w:b/>
          <w:bCs/>
          <w:lang w:eastAsia="es-ES"/>
        </w:rPr>
      </w:pPr>
      <w:r w:rsidRPr="001E2F6E">
        <w:rPr>
          <w:b/>
          <w:bCs/>
        </w:rPr>
        <w:br w:type="page"/>
      </w:r>
    </w:p>
    <w:p w:rsidR="004A72E7" w:rsidRPr="001E2F6E" w:rsidRDefault="004A72E7" w:rsidP="001451B1">
      <w:pPr>
        <w:pStyle w:val="ARIALNARROW"/>
        <w:numPr>
          <w:ilvl w:val="0"/>
          <w:numId w:val="2"/>
        </w:numPr>
        <w:spacing w:line="360" w:lineRule="auto"/>
        <w:ind w:left="426" w:hanging="426"/>
        <w:rPr>
          <w:b/>
          <w:bCs/>
          <w:lang w:val="es-ES"/>
        </w:rPr>
      </w:pPr>
      <w:r w:rsidRPr="001E2F6E">
        <w:rPr>
          <w:b/>
          <w:bCs/>
          <w:lang w:val="es-ES"/>
        </w:rPr>
        <w:lastRenderedPageBreak/>
        <w:tab/>
      </w:r>
      <w:r w:rsidRPr="001E2F6E">
        <w:rPr>
          <w:b/>
          <w:bCs/>
          <w:lang w:val="eu-ES"/>
        </w:rPr>
        <w:t>GEFKen kasuan bezala, enplegu-zentro berezietako lanpostu gehienak Gipuzkoan daude</w:t>
      </w:r>
    </w:p>
    <w:p w:rsidR="004A72E7" w:rsidRPr="001E2F6E" w:rsidRDefault="004A72E7" w:rsidP="00E7466B">
      <w:pPr>
        <w:pStyle w:val="ARIALNARROW"/>
        <w:spacing w:line="360" w:lineRule="auto"/>
        <w:ind w:left="426" w:hanging="426"/>
        <w:rPr>
          <w:i/>
          <w:iCs/>
          <w:lang w:val="es-ES"/>
        </w:rPr>
      </w:pPr>
    </w:p>
    <w:p w:rsidR="004A72E7" w:rsidRPr="00A253D5" w:rsidRDefault="004A72E7" w:rsidP="00E7466B">
      <w:pPr>
        <w:pStyle w:val="ARIALNARROW"/>
        <w:spacing w:line="360" w:lineRule="auto"/>
        <w:ind w:left="426" w:hanging="426"/>
        <w:rPr>
          <w:lang w:val="de-DE"/>
        </w:rPr>
      </w:pPr>
      <w:r w:rsidRPr="001E2F6E">
        <w:tab/>
      </w:r>
      <w:r w:rsidRPr="001E2F6E">
        <w:rPr>
          <w:lang w:val="eu-ES"/>
        </w:rPr>
        <w:t>GEFKetako lanpostu gehienak Gipuzkoan biltzen dira (</w:t>
      </w:r>
      <w:r w:rsidRPr="001E2F6E">
        <w:rPr>
          <w:spacing w:val="60"/>
          <w:lang w:val="eu-ES"/>
        </w:rPr>
        <w:t>%</w:t>
      </w:r>
      <w:r w:rsidRPr="001E2F6E">
        <w:rPr>
          <w:lang w:val="eu-ES"/>
        </w:rPr>
        <w:t>51,7), eta oso antzeko egoeran daude enplegu-zentro bereziak, Gipuzkoan baitituzte lanpostu gehiago besteetan baino.</w:t>
      </w:r>
      <w:r w:rsidRPr="001E2F6E">
        <w:t xml:space="preserve"> </w:t>
      </w:r>
      <w:r w:rsidRPr="001E2F6E">
        <w:rPr>
          <w:lang w:val="eu-ES"/>
        </w:rPr>
        <w:t xml:space="preserve">Hain zuzen, 4.930 lanpostu dituzte Gipuzkoan; hau da, zentro horiek EAE osoan dituzten lanpostuen ia </w:t>
      </w:r>
      <w:r w:rsidRPr="001E2F6E">
        <w:rPr>
          <w:spacing w:val="60"/>
          <w:lang w:val="eu-ES"/>
        </w:rPr>
        <w:t>%</w:t>
      </w:r>
      <w:r w:rsidRPr="001E2F6E">
        <w:rPr>
          <w:lang w:val="eu-ES"/>
        </w:rPr>
        <w:t>53.</w:t>
      </w:r>
    </w:p>
    <w:p w:rsidR="004A72E7" w:rsidRPr="00A253D5" w:rsidRDefault="004A72E7" w:rsidP="00E7466B">
      <w:pPr>
        <w:pStyle w:val="ARIALNARROW"/>
        <w:spacing w:line="360" w:lineRule="auto"/>
        <w:ind w:left="426" w:hanging="426"/>
        <w:rPr>
          <w:i/>
          <w:iCs/>
          <w:color w:val="1F497D" w:themeColor="text2"/>
          <w:lang w:val="de-DE"/>
        </w:rPr>
      </w:pPr>
    </w:p>
    <w:p w:rsidR="00C11E29" w:rsidRPr="00A253D5" w:rsidRDefault="00C11E29" w:rsidP="00C11E29">
      <w:pPr>
        <w:spacing w:line="240" w:lineRule="auto"/>
        <w:ind w:left="227" w:hanging="227"/>
        <w:jc w:val="center"/>
        <w:rPr>
          <w:b/>
          <w:bCs/>
          <w:color w:val="1F497D" w:themeColor="text2"/>
          <w:sz w:val="18"/>
          <w:szCs w:val="18"/>
          <w:lang w:val="de-DE"/>
        </w:rPr>
      </w:pPr>
      <w:r w:rsidRPr="001E2F6E">
        <w:rPr>
          <w:b/>
          <w:bCs/>
          <w:color w:val="1F497D" w:themeColor="text2"/>
          <w:sz w:val="18"/>
          <w:szCs w:val="18"/>
          <w:lang w:val="eu-ES"/>
        </w:rPr>
        <w:t>ENPLEGU ZENTRO BEREZIETAKO ENPLEGUAREN LURRALDE-BANAKETA,</w:t>
      </w:r>
      <w:r w:rsidRPr="00A253D5">
        <w:rPr>
          <w:b/>
          <w:bCs/>
          <w:color w:val="1F497D" w:themeColor="text2"/>
          <w:sz w:val="18"/>
          <w:szCs w:val="18"/>
          <w:lang w:val="de-DE"/>
        </w:rPr>
        <w:t xml:space="preserve"> </w:t>
      </w:r>
    </w:p>
    <w:p w:rsidR="00C11E29" w:rsidRPr="00A253D5" w:rsidRDefault="00C11E29" w:rsidP="00C11E29">
      <w:pPr>
        <w:spacing w:line="240" w:lineRule="auto"/>
        <w:jc w:val="center"/>
        <w:rPr>
          <w:b/>
          <w:color w:val="1F497D" w:themeColor="text2"/>
          <w:sz w:val="18"/>
          <w:szCs w:val="18"/>
          <w:lang w:val="de-DE"/>
        </w:rPr>
      </w:pPr>
      <w:r w:rsidRPr="001E2F6E">
        <w:rPr>
          <w:b/>
          <w:bCs/>
          <w:color w:val="1F497D" w:themeColor="text2"/>
          <w:sz w:val="18"/>
          <w:szCs w:val="18"/>
          <w:lang w:val="eu-ES"/>
        </w:rPr>
        <w:t>2012 (kopuru absolutuak eta %-ak)</w:t>
      </w:r>
    </w:p>
    <w:p w:rsidR="00C11E29" w:rsidRPr="00A253D5" w:rsidRDefault="00C11E29" w:rsidP="00C11E29">
      <w:pPr>
        <w:spacing w:line="240" w:lineRule="auto"/>
        <w:jc w:val="center"/>
        <w:rPr>
          <w:b/>
          <w:color w:val="1F497D" w:themeColor="text2"/>
          <w:sz w:val="18"/>
          <w:szCs w:val="18"/>
          <w:lang w:val="de-DE"/>
        </w:rPr>
      </w:pPr>
    </w:p>
    <w:p w:rsidR="00C11E29" w:rsidRPr="001E2F6E" w:rsidRDefault="00C11E29" w:rsidP="00C11E29">
      <w:pPr>
        <w:jc w:val="center"/>
        <w:rPr>
          <w:b/>
          <w:color w:val="000080"/>
          <w:sz w:val="16"/>
          <w:szCs w:val="16"/>
        </w:rPr>
      </w:pPr>
      <w:r w:rsidRPr="001E2F6E">
        <w:rPr>
          <w:b/>
          <w:noProof/>
          <w:color w:val="000080"/>
          <w:sz w:val="16"/>
          <w:szCs w:val="16"/>
          <w:lang w:eastAsia="es-ES"/>
        </w:rPr>
        <w:drawing>
          <wp:inline distT="0" distB="0" distL="0" distR="0">
            <wp:extent cx="3943350" cy="2066925"/>
            <wp:effectExtent l="0" t="0" r="0" b="0"/>
            <wp:docPr id="53"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4A72E7" w:rsidRPr="001E2F6E" w:rsidRDefault="004A72E7" w:rsidP="00DA0C50">
      <w:pPr>
        <w:ind w:left="227" w:hanging="227"/>
        <w:jc w:val="center"/>
      </w:pPr>
    </w:p>
    <w:p w:rsidR="004A72E7" w:rsidRPr="001E2F6E" w:rsidRDefault="004A72E7" w:rsidP="00E7466B">
      <w:pPr>
        <w:ind w:left="426" w:hanging="426"/>
      </w:pPr>
    </w:p>
    <w:p w:rsidR="004A72E7" w:rsidRPr="001E2F6E" w:rsidRDefault="004A72E7" w:rsidP="001451B1">
      <w:pPr>
        <w:pStyle w:val="ARIALNARROW"/>
        <w:numPr>
          <w:ilvl w:val="0"/>
          <w:numId w:val="2"/>
        </w:numPr>
        <w:spacing w:line="360" w:lineRule="auto"/>
        <w:ind w:left="426" w:hanging="426"/>
        <w:rPr>
          <w:i/>
          <w:iCs/>
        </w:rPr>
      </w:pPr>
      <w:r w:rsidRPr="001E2F6E">
        <w:rPr>
          <w:b/>
          <w:bCs/>
        </w:rPr>
        <w:tab/>
      </w:r>
      <w:r w:rsidRPr="001E2F6E">
        <w:rPr>
          <w:b/>
          <w:bCs/>
          <w:lang w:val="eu-ES"/>
        </w:rPr>
        <w:t>Fundazioek sortutako balio erantsi gordina garrantzitsua da, lan-sozietateen BEGd-a gainditu eta haien fakturazio-datuetara hurbiltzen baitira</w:t>
      </w:r>
    </w:p>
    <w:p w:rsidR="004A72E7" w:rsidRPr="001E2F6E" w:rsidRDefault="004A72E7" w:rsidP="00E7466B">
      <w:pPr>
        <w:ind w:left="426" w:hanging="426"/>
        <w:rPr>
          <w:lang w:val="es-ES_tradnl"/>
        </w:rPr>
      </w:pPr>
    </w:p>
    <w:p w:rsidR="004A72E7" w:rsidRPr="001E2F6E" w:rsidRDefault="004A72E7" w:rsidP="00E7466B">
      <w:pPr>
        <w:ind w:left="426" w:hanging="426"/>
      </w:pPr>
      <w:r w:rsidRPr="001E2F6E">
        <w:rPr>
          <w:lang w:val="es-ES_tradnl"/>
        </w:rPr>
        <w:tab/>
      </w:r>
      <w:r w:rsidRPr="001E2F6E">
        <w:rPr>
          <w:lang w:val="eu-ES"/>
        </w:rPr>
        <w:t>Fundazioek sortutako BEGd-a eta fakturazioa oso adierazgarriak dira (hurrenez hurren, 361,2 milioi euro eta 610 milioi euro); izan ere, BEGd handiagoa sortu dute lan-sozietateek (249,1 milioi euro) baino.</w:t>
      </w:r>
    </w:p>
    <w:p w:rsidR="004A72E7" w:rsidRPr="001E2F6E" w:rsidRDefault="004A72E7" w:rsidP="00E7466B">
      <w:pPr>
        <w:ind w:left="426" w:hanging="426"/>
      </w:pPr>
    </w:p>
    <w:p w:rsidR="004A72E7" w:rsidRPr="001E2F6E" w:rsidRDefault="004A72E7" w:rsidP="00E7466B">
      <w:pPr>
        <w:spacing w:line="240" w:lineRule="auto"/>
        <w:ind w:left="227" w:hanging="227"/>
        <w:jc w:val="center"/>
        <w:rPr>
          <w:b/>
          <w:bCs/>
          <w:color w:val="1F497D" w:themeColor="text2"/>
          <w:sz w:val="18"/>
          <w:szCs w:val="18"/>
        </w:rPr>
      </w:pPr>
      <w:r w:rsidRPr="001E2F6E">
        <w:rPr>
          <w:b/>
          <w:bCs/>
          <w:color w:val="1F497D" w:themeColor="text2"/>
          <w:sz w:val="18"/>
          <w:szCs w:val="18"/>
          <w:lang w:val="eu-ES"/>
        </w:rPr>
        <w:t>GEFB-EN BEGd-AREN BANAKETA SEGMENTUAREN ARABERA, 2012 (kopuru absolutuak eta % bertikalak)</w:t>
      </w:r>
    </w:p>
    <w:tbl>
      <w:tblPr>
        <w:tblW w:w="5000" w:type="pct"/>
        <w:jc w:val="center"/>
        <w:tblLook w:val="00A0" w:firstRow="1" w:lastRow="0" w:firstColumn="1" w:lastColumn="0" w:noHBand="0" w:noVBand="0"/>
      </w:tblPr>
      <w:tblGrid>
        <w:gridCol w:w="4523"/>
        <w:gridCol w:w="2417"/>
        <w:gridCol w:w="2064"/>
      </w:tblGrid>
      <w:tr w:rsidR="004A72E7" w:rsidRPr="001E2F6E">
        <w:trPr>
          <w:jc w:val="center"/>
        </w:trPr>
        <w:tc>
          <w:tcPr>
            <w:tcW w:w="2512" w:type="pct"/>
            <w:tcBorders>
              <w:top w:val="single" w:sz="4" w:space="0" w:color="BFBFBF"/>
              <w:bottom w:val="single" w:sz="4" w:space="0" w:color="BFBFBF"/>
              <w:right w:val="single" w:sz="4" w:space="0" w:color="BFBFBF"/>
            </w:tcBorders>
            <w:shd w:val="clear" w:color="auto" w:fill="DBE5F1"/>
          </w:tcPr>
          <w:p w:rsidR="004A72E7" w:rsidRPr="001E2F6E" w:rsidRDefault="004A72E7" w:rsidP="00E7466B">
            <w:pPr>
              <w:spacing w:line="240" w:lineRule="exact"/>
              <w:ind w:left="227" w:hanging="227"/>
            </w:pPr>
          </w:p>
        </w:tc>
        <w:tc>
          <w:tcPr>
            <w:tcW w:w="1342" w:type="pct"/>
            <w:tcBorders>
              <w:top w:val="single" w:sz="4" w:space="0" w:color="BFBFBF"/>
              <w:left w:val="single" w:sz="4" w:space="0" w:color="BFBFBF"/>
              <w:bottom w:val="single" w:sz="4" w:space="0" w:color="BFBFBF"/>
              <w:right w:val="single" w:sz="4" w:space="0" w:color="BFBFBF"/>
            </w:tcBorders>
            <w:shd w:val="clear" w:color="auto" w:fill="DBE5F1"/>
          </w:tcPr>
          <w:p w:rsidR="004A72E7" w:rsidRPr="001E2F6E" w:rsidRDefault="004A72E7" w:rsidP="00E7466B">
            <w:pPr>
              <w:spacing w:line="240" w:lineRule="exact"/>
              <w:ind w:left="227" w:hanging="227"/>
              <w:jc w:val="center"/>
              <w:rPr>
                <w:b/>
                <w:bCs/>
                <w:sz w:val="16"/>
                <w:szCs w:val="16"/>
              </w:rPr>
            </w:pPr>
            <w:r w:rsidRPr="001E2F6E">
              <w:rPr>
                <w:b/>
                <w:bCs/>
                <w:sz w:val="16"/>
                <w:szCs w:val="16"/>
                <w:lang w:val="eu-ES"/>
              </w:rPr>
              <w:t>BEGd-a</w:t>
            </w:r>
          </w:p>
        </w:tc>
        <w:tc>
          <w:tcPr>
            <w:tcW w:w="1146" w:type="pct"/>
            <w:tcBorders>
              <w:top w:val="single" w:sz="4" w:space="0" w:color="BFBFBF"/>
              <w:left w:val="single" w:sz="4" w:space="0" w:color="BFBFBF"/>
              <w:bottom w:val="single" w:sz="4" w:space="0" w:color="BFBFBF"/>
            </w:tcBorders>
            <w:shd w:val="clear" w:color="auto" w:fill="DBE5F1"/>
            <w:vAlign w:val="center"/>
          </w:tcPr>
          <w:p w:rsidR="004A72E7" w:rsidRPr="001E2F6E" w:rsidRDefault="004A72E7" w:rsidP="00E7466B">
            <w:pPr>
              <w:spacing w:line="240" w:lineRule="exact"/>
              <w:ind w:left="227" w:hanging="227"/>
              <w:jc w:val="center"/>
              <w:rPr>
                <w:b/>
                <w:bCs/>
                <w:sz w:val="16"/>
                <w:szCs w:val="16"/>
              </w:rPr>
            </w:pPr>
            <w:r w:rsidRPr="001E2F6E">
              <w:rPr>
                <w:b/>
                <w:bCs/>
                <w:sz w:val="16"/>
                <w:szCs w:val="16"/>
                <w:lang w:val="eu-ES"/>
              </w:rPr>
              <w:t>% ber.</w:t>
            </w:r>
          </w:p>
        </w:tc>
      </w:tr>
      <w:tr w:rsidR="004A72E7" w:rsidRPr="001E2F6E">
        <w:trPr>
          <w:jc w:val="center"/>
        </w:trPr>
        <w:tc>
          <w:tcPr>
            <w:tcW w:w="2512" w:type="pct"/>
            <w:tcBorders>
              <w:top w:val="single" w:sz="4" w:space="0" w:color="BFBFBF"/>
              <w:right w:val="single" w:sz="4" w:space="0" w:color="BFBFBF"/>
            </w:tcBorders>
            <w:vAlign w:val="bottom"/>
          </w:tcPr>
          <w:p w:rsidR="004A72E7" w:rsidRPr="001E2F6E" w:rsidRDefault="004A72E7" w:rsidP="00E7466B">
            <w:pPr>
              <w:spacing w:line="240" w:lineRule="exact"/>
              <w:ind w:left="227" w:hanging="227"/>
              <w:rPr>
                <w:color w:val="000000"/>
                <w:sz w:val="16"/>
                <w:szCs w:val="16"/>
              </w:rPr>
            </w:pPr>
            <w:r w:rsidRPr="001E2F6E">
              <w:rPr>
                <w:color w:val="000000"/>
                <w:sz w:val="16"/>
                <w:szCs w:val="16"/>
              </w:rPr>
              <w:t xml:space="preserve">1. </w:t>
            </w:r>
            <w:r w:rsidRPr="001E2F6E">
              <w:rPr>
                <w:sz w:val="16"/>
                <w:szCs w:val="16"/>
                <w:lang w:val="eu-ES"/>
              </w:rPr>
              <w:t>Fundazioak</w:t>
            </w:r>
          </w:p>
        </w:tc>
        <w:tc>
          <w:tcPr>
            <w:tcW w:w="1342" w:type="pct"/>
            <w:tcBorders>
              <w:top w:val="single" w:sz="4" w:space="0" w:color="BFBFBF"/>
              <w:left w:val="single" w:sz="4" w:space="0" w:color="BFBFBF"/>
              <w:right w:val="single" w:sz="4" w:space="0" w:color="BFBFBF"/>
            </w:tcBorders>
            <w:noWrap/>
            <w:vAlign w:val="bottom"/>
          </w:tcPr>
          <w:p w:rsidR="004A72E7" w:rsidRPr="001E2F6E" w:rsidRDefault="004A72E7" w:rsidP="00E7466B">
            <w:pPr>
              <w:spacing w:line="240" w:lineRule="exact"/>
              <w:ind w:left="227" w:right="170" w:hanging="227"/>
              <w:jc w:val="right"/>
              <w:rPr>
                <w:color w:val="000000"/>
                <w:sz w:val="16"/>
                <w:szCs w:val="16"/>
              </w:rPr>
            </w:pPr>
            <w:r w:rsidRPr="001E2F6E">
              <w:rPr>
                <w:color w:val="000000"/>
                <w:sz w:val="16"/>
                <w:szCs w:val="16"/>
              </w:rPr>
              <w:t>361.170.506</w:t>
            </w:r>
          </w:p>
        </w:tc>
        <w:tc>
          <w:tcPr>
            <w:tcW w:w="1146" w:type="pct"/>
            <w:tcBorders>
              <w:top w:val="single" w:sz="4" w:space="0" w:color="BFBFBF"/>
              <w:left w:val="single" w:sz="4" w:space="0" w:color="BFBFBF"/>
            </w:tcBorders>
            <w:vAlign w:val="bottom"/>
          </w:tcPr>
          <w:p w:rsidR="004A72E7" w:rsidRPr="001E2F6E" w:rsidRDefault="004A72E7" w:rsidP="00E7466B">
            <w:pPr>
              <w:spacing w:line="240" w:lineRule="exact"/>
              <w:ind w:left="227" w:right="170" w:hanging="227"/>
              <w:jc w:val="right"/>
              <w:rPr>
                <w:color w:val="000000"/>
                <w:sz w:val="16"/>
                <w:szCs w:val="16"/>
              </w:rPr>
            </w:pPr>
            <w:r w:rsidRPr="001E2F6E">
              <w:rPr>
                <w:color w:val="000000"/>
                <w:sz w:val="16"/>
                <w:szCs w:val="16"/>
              </w:rPr>
              <w:t>41,4</w:t>
            </w:r>
          </w:p>
        </w:tc>
      </w:tr>
      <w:tr w:rsidR="004A72E7" w:rsidRPr="001E2F6E">
        <w:trPr>
          <w:jc w:val="center"/>
        </w:trPr>
        <w:tc>
          <w:tcPr>
            <w:tcW w:w="2512" w:type="pct"/>
            <w:tcBorders>
              <w:right w:val="single" w:sz="4" w:space="0" w:color="BFBFBF"/>
            </w:tcBorders>
            <w:vAlign w:val="bottom"/>
          </w:tcPr>
          <w:p w:rsidR="004A72E7" w:rsidRPr="001E2F6E" w:rsidRDefault="004A72E7" w:rsidP="00E7466B">
            <w:pPr>
              <w:spacing w:line="240" w:lineRule="exact"/>
              <w:ind w:left="227" w:hanging="227"/>
              <w:rPr>
                <w:color w:val="000000"/>
                <w:sz w:val="16"/>
                <w:szCs w:val="16"/>
              </w:rPr>
            </w:pPr>
            <w:r w:rsidRPr="001E2F6E">
              <w:rPr>
                <w:color w:val="000000"/>
                <w:sz w:val="16"/>
                <w:szCs w:val="16"/>
              </w:rPr>
              <w:t>2.</w:t>
            </w:r>
            <w:r w:rsidRPr="001E2F6E">
              <w:rPr>
                <w:color w:val="000000"/>
                <w:sz w:val="14"/>
                <w:szCs w:val="14"/>
              </w:rPr>
              <w:t xml:space="preserve">  </w:t>
            </w:r>
            <w:r w:rsidRPr="001E2F6E">
              <w:rPr>
                <w:sz w:val="16"/>
                <w:szCs w:val="16"/>
                <w:lang w:val="eu-ES"/>
              </w:rPr>
              <w:t>BGAE</w:t>
            </w:r>
          </w:p>
        </w:tc>
        <w:tc>
          <w:tcPr>
            <w:tcW w:w="1342" w:type="pct"/>
            <w:tcBorders>
              <w:left w:val="single" w:sz="4" w:space="0" w:color="BFBFBF"/>
              <w:right w:val="single" w:sz="4" w:space="0" w:color="BFBFBF"/>
            </w:tcBorders>
            <w:noWrap/>
          </w:tcPr>
          <w:p w:rsidR="004A72E7" w:rsidRPr="001E2F6E" w:rsidRDefault="004A72E7" w:rsidP="00E7466B">
            <w:pPr>
              <w:spacing w:line="240" w:lineRule="exact"/>
              <w:ind w:left="227" w:right="170" w:hanging="227"/>
              <w:jc w:val="right"/>
              <w:rPr>
                <w:color w:val="000000"/>
                <w:sz w:val="16"/>
                <w:szCs w:val="16"/>
              </w:rPr>
            </w:pPr>
            <w:r w:rsidRPr="001E2F6E">
              <w:rPr>
                <w:color w:val="000000"/>
                <w:sz w:val="16"/>
                <w:szCs w:val="16"/>
              </w:rPr>
              <w:t>227.739.331</w:t>
            </w:r>
          </w:p>
        </w:tc>
        <w:tc>
          <w:tcPr>
            <w:tcW w:w="1146" w:type="pct"/>
            <w:tcBorders>
              <w:left w:val="single" w:sz="4" w:space="0" w:color="BFBFBF"/>
            </w:tcBorders>
            <w:vAlign w:val="bottom"/>
          </w:tcPr>
          <w:p w:rsidR="004A72E7" w:rsidRPr="001E2F6E" w:rsidRDefault="004A72E7" w:rsidP="00E7466B">
            <w:pPr>
              <w:spacing w:line="240" w:lineRule="exact"/>
              <w:ind w:left="227" w:right="170" w:hanging="227"/>
              <w:jc w:val="right"/>
              <w:rPr>
                <w:color w:val="000000"/>
                <w:sz w:val="16"/>
                <w:szCs w:val="16"/>
              </w:rPr>
            </w:pPr>
            <w:r w:rsidRPr="001E2F6E">
              <w:rPr>
                <w:color w:val="000000"/>
                <w:sz w:val="16"/>
                <w:szCs w:val="16"/>
              </w:rPr>
              <w:t>26,1</w:t>
            </w:r>
          </w:p>
        </w:tc>
      </w:tr>
      <w:tr w:rsidR="004A72E7" w:rsidRPr="001E2F6E">
        <w:trPr>
          <w:jc w:val="center"/>
        </w:trPr>
        <w:tc>
          <w:tcPr>
            <w:tcW w:w="2512" w:type="pct"/>
            <w:tcBorders>
              <w:right w:val="single" w:sz="4" w:space="0" w:color="BFBFBF"/>
            </w:tcBorders>
            <w:vAlign w:val="bottom"/>
          </w:tcPr>
          <w:p w:rsidR="004A72E7" w:rsidRPr="001E2F6E" w:rsidRDefault="004A72E7" w:rsidP="00E7466B">
            <w:pPr>
              <w:spacing w:line="240" w:lineRule="exact"/>
              <w:ind w:left="227" w:hanging="227"/>
              <w:rPr>
                <w:color w:val="000000"/>
                <w:sz w:val="16"/>
                <w:szCs w:val="16"/>
              </w:rPr>
            </w:pPr>
            <w:r w:rsidRPr="001E2F6E">
              <w:rPr>
                <w:sz w:val="16"/>
                <w:szCs w:val="16"/>
                <w:lang w:val="eu-ES"/>
              </w:rPr>
              <w:t>3. Enplegu Zentro Bereziak</w:t>
            </w:r>
          </w:p>
        </w:tc>
        <w:tc>
          <w:tcPr>
            <w:tcW w:w="1342" w:type="pct"/>
            <w:tcBorders>
              <w:left w:val="single" w:sz="4" w:space="0" w:color="BFBFBF"/>
              <w:right w:val="single" w:sz="4" w:space="0" w:color="BFBFBF"/>
            </w:tcBorders>
            <w:noWrap/>
            <w:vAlign w:val="bottom"/>
          </w:tcPr>
          <w:p w:rsidR="004A72E7" w:rsidRPr="001E2F6E" w:rsidRDefault="004A72E7" w:rsidP="00E7466B">
            <w:pPr>
              <w:spacing w:line="240" w:lineRule="exact"/>
              <w:ind w:left="227" w:right="170" w:hanging="227"/>
              <w:jc w:val="right"/>
              <w:rPr>
                <w:color w:val="000000"/>
                <w:sz w:val="16"/>
                <w:szCs w:val="16"/>
              </w:rPr>
            </w:pPr>
            <w:r w:rsidRPr="001E2F6E">
              <w:rPr>
                <w:color w:val="000000"/>
                <w:sz w:val="16"/>
                <w:szCs w:val="16"/>
              </w:rPr>
              <w:t>135.727.460</w:t>
            </w:r>
          </w:p>
        </w:tc>
        <w:tc>
          <w:tcPr>
            <w:tcW w:w="1146" w:type="pct"/>
            <w:tcBorders>
              <w:left w:val="single" w:sz="4" w:space="0" w:color="BFBFBF"/>
            </w:tcBorders>
            <w:vAlign w:val="bottom"/>
          </w:tcPr>
          <w:p w:rsidR="004A72E7" w:rsidRPr="001E2F6E" w:rsidRDefault="004A72E7" w:rsidP="00E7466B">
            <w:pPr>
              <w:spacing w:line="240" w:lineRule="exact"/>
              <w:ind w:left="227" w:right="170" w:hanging="227"/>
              <w:jc w:val="right"/>
              <w:rPr>
                <w:color w:val="000000"/>
                <w:sz w:val="16"/>
                <w:szCs w:val="16"/>
              </w:rPr>
            </w:pPr>
            <w:r w:rsidRPr="001E2F6E">
              <w:rPr>
                <w:color w:val="000000"/>
                <w:sz w:val="16"/>
                <w:szCs w:val="16"/>
              </w:rPr>
              <w:t>15,6</w:t>
            </w:r>
          </w:p>
        </w:tc>
      </w:tr>
      <w:tr w:rsidR="004A72E7" w:rsidRPr="001E2F6E">
        <w:trPr>
          <w:jc w:val="center"/>
        </w:trPr>
        <w:tc>
          <w:tcPr>
            <w:tcW w:w="2512" w:type="pct"/>
            <w:tcBorders>
              <w:right w:val="single" w:sz="4" w:space="0" w:color="BFBFBF"/>
            </w:tcBorders>
            <w:noWrap/>
            <w:vAlign w:val="bottom"/>
          </w:tcPr>
          <w:p w:rsidR="004A72E7" w:rsidRPr="001E2F6E" w:rsidRDefault="004A72E7" w:rsidP="00E7466B">
            <w:pPr>
              <w:spacing w:line="240" w:lineRule="exact"/>
              <w:ind w:left="227" w:hanging="227"/>
              <w:rPr>
                <w:color w:val="000000"/>
                <w:sz w:val="16"/>
                <w:szCs w:val="16"/>
              </w:rPr>
            </w:pPr>
            <w:r w:rsidRPr="001E2F6E">
              <w:rPr>
                <w:color w:val="000000"/>
                <w:sz w:val="16"/>
                <w:szCs w:val="16"/>
              </w:rPr>
              <w:t xml:space="preserve">4. </w:t>
            </w:r>
            <w:r w:rsidRPr="001E2F6E">
              <w:rPr>
                <w:sz w:val="16"/>
                <w:szCs w:val="16"/>
                <w:lang w:val="eu-ES"/>
              </w:rPr>
              <w:t>Onura Publikoko Elkarteak</w:t>
            </w:r>
          </w:p>
        </w:tc>
        <w:tc>
          <w:tcPr>
            <w:tcW w:w="1342" w:type="pct"/>
            <w:tcBorders>
              <w:left w:val="single" w:sz="4" w:space="0" w:color="BFBFBF"/>
              <w:right w:val="single" w:sz="4" w:space="0" w:color="BFBFBF"/>
            </w:tcBorders>
            <w:noWrap/>
            <w:vAlign w:val="bottom"/>
          </w:tcPr>
          <w:p w:rsidR="004A72E7" w:rsidRPr="001E2F6E" w:rsidRDefault="004A72E7" w:rsidP="00E7466B">
            <w:pPr>
              <w:spacing w:line="240" w:lineRule="exact"/>
              <w:ind w:left="227" w:right="170" w:hanging="227"/>
              <w:jc w:val="right"/>
              <w:rPr>
                <w:color w:val="000000"/>
                <w:sz w:val="16"/>
                <w:szCs w:val="16"/>
              </w:rPr>
            </w:pPr>
            <w:r w:rsidRPr="001E2F6E">
              <w:rPr>
                <w:color w:val="000000"/>
                <w:sz w:val="16"/>
                <w:szCs w:val="16"/>
              </w:rPr>
              <w:t>114.248.935</w:t>
            </w:r>
          </w:p>
        </w:tc>
        <w:tc>
          <w:tcPr>
            <w:tcW w:w="1146" w:type="pct"/>
            <w:tcBorders>
              <w:left w:val="single" w:sz="4" w:space="0" w:color="BFBFBF"/>
            </w:tcBorders>
            <w:vAlign w:val="bottom"/>
          </w:tcPr>
          <w:p w:rsidR="004A72E7" w:rsidRPr="001E2F6E" w:rsidRDefault="004A72E7" w:rsidP="00E7466B">
            <w:pPr>
              <w:spacing w:line="240" w:lineRule="exact"/>
              <w:ind w:left="227" w:right="170" w:hanging="227"/>
              <w:jc w:val="right"/>
              <w:rPr>
                <w:color w:val="000000"/>
                <w:sz w:val="16"/>
                <w:szCs w:val="16"/>
              </w:rPr>
            </w:pPr>
            <w:r w:rsidRPr="001E2F6E">
              <w:rPr>
                <w:color w:val="000000"/>
                <w:sz w:val="16"/>
                <w:szCs w:val="16"/>
              </w:rPr>
              <w:t>13,1</w:t>
            </w:r>
          </w:p>
        </w:tc>
      </w:tr>
      <w:tr w:rsidR="004A72E7" w:rsidRPr="001E2F6E">
        <w:trPr>
          <w:jc w:val="center"/>
        </w:trPr>
        <w:tc>
          <w:tcPr>
            <w:tcW w:w="2512" w:type="pct"/>
            <w:tcBorders>
              <w:right w:val="single" w:sz="4" w:space="0" w:color="BFBFBF"/>
            </w:tcBorders>
            <w:noWrap/>
            <w:vAlign w:val="bottom"/>
          </w:tcPr>
          <w:p w:rsidR="004A72E7" w:rsidRPr="001E2F6E" w:rsidRDefault="004A72E7" w:rsidP="00E7466B">
            <w:pPr>
              <w:spacing w:line="240" w:lineRule="exact"/>
              <w:ind w:left="227" w:hanging="227"/>
              <w:rPr>
                <w:color w:val="000000"/>
                <w:sz w:val="16"/>
                <w:szCs w:val="16"/>
              </w:rPr>
            </w:pPr>
            <w:r w:rsidRPr="001E2F6E">
              <w:rPr>
                <w:color w:val="000000"/>
                <w:sz w:val="16"/>
                <w:szCs w:val="16"/>
              </w:rPr>
              <w:t xml:space="preserve">5. </w:t>
            </w:r>
            <w:r w:rsidRPr="001E2F6E">
              <w:rPr>
                <w:sz w:val="16"/>
                <w:szCs w:val="16"/>
                <w:lang w:val="eu-ES"/>
              </w:rPr>
              <w:t>Gizarteratze Enpresak</w:t>
            </w:r>
          </w:p>
        </w:tc>
        <w:tc>
          <w:tcPr>
            <w:tcW w:w="1342" w:type="pct"/>
            <w:tcBorders>
              <w:left w:val="single" w:sz="4" w:space="0" w:color="BFBFBF"/>
              <w:right w:val="single" w:sz="4" w:space="0" w:color="BFBFBF"/>
            </w:tcBorders>
            <w:noWrap/>
            <w:vAlign w:val="bottom"/>
          </w:tcPr>
          <w:p w:rsidR="004A72E7" w:rsidRPr="001E2F6E" w:rsidRDefault="004A72E7" w:rsidP="00E7466B">
            <w:pPr>
              <w:spacing w:line="240" w:lineRule="exact"/>
              <w:ind w:left="227" w:right="170" w:hanging="227"/>
              <w:jc w:val="right"/>
              <w:rPr>
                <w:color w:val="000000"/>
                <w:sz w:val="16"/>
                <w:szCs w:val="16"/>
              </w:rPr>
            </w:pPr>
            <w:r w:rsidRPr="001E2F6E">
              <w:rPr>
                <w:color w:val="000000"/>
                <w:sz w:val="16"/>
                <w:szCs w:val="16"/>
              </w:rPr>
              <w:t>24.197.042</w:t>
            </w:r>
          </w:p>
        </w:tc>
        <w:tc>
          <w:tcPr>
            <w:tcW w:w="1146" w:type="pct"/>
            <w:tcBorders>
              <w:left w:val="single" w:sz="4" w:space="0" w:color="BFBFBF"/>
            </w:tcBorders>
            <w:vAlign w:val="bottom"/>
          </w:tcPr>
          <w:p w:rsidR="004A72E7" w:rsidRPr="001E2F6E" w:rsidRDefault="004A72E7" w:rsidP="00E7466B">
            <w:pPr>
              <w:spacing w:line="240" w:lineRule="exact"/>
              <w:ind w:left="227" w:right="170" w:hanging="227"/>
              <w:jc w:val="right"/>
              <w:rPr>
                <w:color w:val="000000"/>
                <w:sz w:val="16"/>
                <w:szCs w:val="16"/>
              </w:rPr>
            </w:pPr>
            <w:r w:rsidRPr="001E2F6E">
              <w:rPr>
                <w:color w:val="000000"/>
                <w:sz w:val="16"/>
                <w:szCs w:val="16"/>
              </w:rPr>
              <w:t>2,8</w:t>
            </w:r>
          </w:p>
        </w:tc>
      </w:tr>
      <w:tr w:rsidR="004A72E7" w:rsidRPr="001E2F6E">
        <w:trPr>
          <w:jc w:val="center"/>
        </w:trPr>
        <w:tc>
          <w:tcPr>
            <w:tcW w:w="2512" w:type="pct"/>
            <w:tcBorders>
              <w:right w:val="single" w:sz="4" w:space="0" w:color="BFBFBF"/>
            </w:tcBorders>
            <w:noWrap/>
            <w:vAlign w:val="bottom"/>
          </w:tcPr>
          <w:p w:rsidR="004A72E7" w:rsidRPr="001E2F6E" w:rsidRDefault="004A72E7" w:rsidP="00E7466B">
            <w:pPr>
              <w:spacing w:line="240" w:lineRule="exact"/>
              <w:ind w:left="227" w:hanging="227"/>
              <w:rPr>
                <w:color w:val="000000"/>
                <w:sz w:val="16"/>
                <w:szCs w:val="16"/>
              </w:rPr>
            </w:pPr>
            <w:r w:rsidRPr="001E2F6E">
              <w:rPr>
                <w:color w:val="000000"/>
                <w:sz w:val="16"/>
                <w:szCs w:val="16"/>
              </w:rPr>
              <w:t xml:space="preserve">6. </w:t>
            </w:r>
            <w:r w:rsidRPr="001E2F6E">
              <w:rPr>
                <w:sz w:val="16"/>
                <w:szCs w:val="16"/>
                <w:lang w:val="eu-ES"/>
              </w:rPr>
              <w:t>ENS</w:t>
            </w:r>
          </w:p>
        </w:tc>
        <w:tc>
          <w:tcPr>
            <w:tcW w:w="1342" w:type="pct"/>
            <w:tcBorders>
              <w:left w:val="single" w:sz="4" w:space="0" w:color="BFBFBF"/>
              <w:right w:val="single" w:sz="4" w:space="0" w:color="BFBFBF"/>
            </w:tcBorders>
            <w:noWrap/>
            <w:vAlign w:val="bottom"/>
          </w:tcPr>
          <w:p w:rsidR="004A72E7" w:rsidRPr="001E2F6E" w:rsidRDefault="004A72E7" w:rsidP="00E7466B">
            <w:pPr>
              <w:spacing w:line="240" w:lineRule="exact"/>
              <w:ind w:left="227" w:right="170" w:hanging="227"/>
              <w:jc w:val="right"/>
              <w:rPr>
                <w:color w:val="000000"/>
                <w:sz w:val="16"/>
                <w:szCs w:val="16"/>
              </w:rPr>
            </w:pPr>
            <w:r w:rsidRPr="001E2F6E">
              <w:rPr>
                <w:color w:val="000000"/>
                <w:sz w:val="16"/>
                <w:szCs w:val="16"/>
              </w:rPr>
              <w:t>5.312.731</w:t>
            </w:r>
          </w:p>
        </w:tc>
        <w:tc>
          <w:tcPr>
            <w:tcW w:w="1146" w:type="pct"/>
            <w:tcBorders>
              <w:left w:val="single" w:sz="4" w:space="0" w:color="BFBFBF"/>
            </w:tcBorders>
            <w:vAlign w:val="bottom"/>
          </w:tcPr>
          <w:p w:rsidR="004A72E7" w:rsidRPr="001E2F6E" w:rsidRDefault="004A72E7" w:rsidP="00E7466B">
            <w:pPr>
              <w:spacing w:line="240" w:lineRule="exact"/>
              <w:ind w:left="227" w:right="170" w:hanging="227"/>
              <w:jc w:val="right"/>
              <w:rPr>
                <w:color w:val="000000"/>
                <w:sz w:val="16"/>
                <w:szCs w:val="16"/>
              </w:rPr>
            </w:pPr>
            <w:r w:rsidRPr="001E2F6E">
              <w:rPr>
                <w:color w:val="000000"/>
                <w:sz w:val="16"/>
                <w:szCs w:val="16"/>
              </w:rPr>
              <w:t>0,6</w:t>
            </w:r>
          </w:p>
        </w:tc>
      </w:tr>
      <w:tr w:rsidR="004A72E7" w:rsidRPr="001E2F6E">
        <w:trPr>
          <w:jc w:val="center"/>
        </w:trPr>
        <w:tc>
          <w:tcPr>
            <w:tcW w:w="2512" w:type="pct"/>
            <w:tcBorders>
              <w:bottom w:val="single" w:sz="4" w:space="0" w:color="BFBFBF"/>
              <w:right w:val="single" w:sz="4" w:space="0" w:color="BFBFBF"/>
            </w:tcBorders>
            <w:noWrap/>
            <w:vAlign w:val="bottom"/>
          </w:tcPr>
          <w:p w:rsidR="004A72E7" w:rsidRPr="001E2F6E" w:rsidRDefault="004A72E7" w:rsidP="00E7466B">
            <w:pPr>
              <w:spacing w:line="240" w:lineRule="exact"/>
              <w:ind w:left="227" w:hanging="227"/>
              <w:rPr>
                <w:color w:val="000000"/>
                <w:sz w:val="16"/>
                <w:szCs w:val="16"/>
              </w:rPr>
            </w:pPr>
            <w:r w:rsidRPr="001E2F6E">
              <w:rPr>
                <w:color w:val="000000"/>
                <w:sz w:val="16"/>
                <w:szCs w:val="16"/>
              </w:rPr>
              <w:t xml:space="preserve">7. </w:t>
            </w:r>
            <w:r w:rsidRPr="001E2F6E">
              <w:rPr>
                <w:sz w:val="16"/>
                <w:szCs w:val="16"/>
                <w:lang w:val="eu-ES"/>
              </w:rPr>
              <w:t>Arrantzale Kofradiak</w:t>
            </w:r>
          </w:p>
        </w:tc>
        <w:tc>
          <w:tcPr>
            <w:tcW w:w="1342" w:type="pct"/>
            <w:tcBorders>
              <w:left w:val="single" w:sz="4" w:space="0" w:color="BFBFBF"/>
              <w:bottom w:val="single" w:sz="4" w:space="0" w:color="BFBFBF"/>
              <w:right w:val="single" w:sz="4" w:space="0" w:color="BFBFBF"/>
            </w:tcBorders>
            <w:noWrap/>
            <w:vAlign w:val="bottom"/>
          </w:tcPr>
          <w:p w:rsidR="004A72E7" w:rsidRPr="001E2F6E" w:rsidRDefault="004A72E7" w:rsidP="00E7466B">
            <w:pPr>
              <w:spacing w:line="240" w:lineRule="exact"/>
              <w:ind w:left="227" w:right="170" w:hanging="227"/>
              <w:jc w:val="right"/>
              <w:rPr>
                <w:color w:val="000000"/>
                <w:sz w:val="16"/>
                <w:szCs w:val="16"/>
              </w:rPr>
            </w:pPr>
            <w:r w:rsidRPr="001E2F6E">
              <w:rPr>
                <w:color w:val="000000"/>
                <w:sz w:val="16"/>
                <w:szCs w:val="16"/>
              </w:rPr>
              <w:t>4.009.580</w:t>
            </w:r>
          </w:p>
        </w:tc>
        <w:tc>
          <w:tcPr>
            <w:tcW w:w="1146" w:type="pct"/>
            <w:tcBorders>
              <w:left w:val="single" w:sz="4" w:space="0" w:color="BFBFBF"/>
              <w:bottom w:val="single" w:sz="4" w:space="0" w:color="BFBFBF"/>
            </w:tcBorders>
            <w:vAlign w:val="bottom"/>
          </w:tcPr>
          <w:p w:rsidR="004A72E7" w:rsidRPr="001E2F6E" w:rsidRDefault="004A72E7" w:rsidP="00E7466B">
            <w:pPr>
              <w:spacing w:line="240" w:lineRule="exact"/>
              <w:ind w:left="227" w:right="170" w:hanging="227"/>
              <w:jc w:val="right"/>
              <w:rPr>
                <w:color w:val="000000"/>
                <w:sz w:val="16"/>
                <w:szCs w:val="16"/>
              </w:rPr>
            </w:pPr>
            <w:r w:rsidRPr="001E2F6E">
              <w:rPr>
                <w:color w:val="000000"/>
                <w:sz w:val="16"/>
                <w:szCs w:val="16"/>
              </w:rPr>
              <w:t>0,5</w:t>
            </w:r>
          </w:p>
        </w:tc>
      </w:tr>
      <w:tr w:rsidR="004A72E7" w:rsidRPr="001E2F6E">
        <w:trPr>
          <w:jc w:val="center"/>
        </w:trPr>
        <w:tc>
          <w:tcPr>
            <w:tcW w:w="2512" w:type="pct"/>
            <w:tcBorders>
              <w:top w:val="single" w:sz="4" w:space="0" w:color="BFBFBF"/>
              <w:bottom w:val="single" w:sz="4" w:space="0" w:color="BFBFBF"/>
              <w:right w:val="single" w:sz="4" w:space="0" w:color="BFBFBF"/>
            </w:tcBorders>
            <w:noWrap/>
            <w:vAlign w:val="bottom"/>
          </w:tcPr>
          <w:p w:rsidR="004A72E7" w:rsidRPr="001E2F6E" w:rsidRDefault="004A72E7" w:rsidP="00E7466B">
            <w:pPr>
              <w:spacing w:line="240" w:lineRule="exact"/>
              <w:ind w:left="227"/>
              <w:rPr>
                <w:b/>
                <w:bCs/>
                <w:color w:val="000000"/>
                <w:sz w:val="16"/>
                <w:szCs w:val="16"/>
              </w:rPr>
            </w:pPr>
            <w:r w:rsidRPr="001E2F6E">
              <w:rPr>
                <w:b/>
                <w:bCs/>
                <w:sz w:val="16"/>
                <w:szCs w:val="16"/>
                <w:lang w:val="eu-ES"/>
              </w:rPr>
              <w:t>GUZTIRA</w:t>
            </w:r>
          </w:p>
        </w:tc>
        <w:tc>
          <w:tcPr>
            <w:tcW w:w="1342" w:type="pct"/>
            <w:tcBorders>
              <w:top w:val="single" w:sz="4" w:space="0" w:color="BFBFBF"/>
              <w:left w:val="single" w:sz="4" w:space="0" w:color="BFBFBF"/>
              <w:bottom w:val="single" w:sz="4" w:space="0" w:color="BFBFBF"/>
              <w:right w:val="single" w:sz="4" w:space="0" w:color="BFBFBF"/>
            </w:tcBorders>
            <w:noWrap/>
            <w:vAlign w:val="bottom"/>
          </w:tcPr>
          <w:p w:rsidR="004A72E7" w:rsidRPr="001E2F6E" w:rsidRDefault="004A72E7" w:rsidP="00E7466B">
            <w:pPr>
              <w:spacing w:line="240" w:lineRule="exact"/>
              <w:ind w:left="227" w:right="170" w:hanging="227"/>
              <w:jc w:val="right"/>
              <w:rPr>
                <w:b/>
                <w:bCs/>
                <w:color w:val="000000"/>
                <w:sz w:val="16"/>
                <w:szCs w:val="16"/>
              </w:rPr>
            </w:pPr>
            <w:r w:rsidRPr="001E2F6E">
              <w:rPr>
                <w:b/>
                <w:bCs/>
                <w:color w:val="000000"/>
                <w:sz w:val="16"/>
                <w:szCs w:val="16"/>
              </w:rPr>
              <w:t>872.405.584</w:t>
            </w:r>
          </w:p>
        </w:tc>
        <w:tc>
          <w:tcPr>
            <w:tcW w:w="1146" w:type="pct"/>
            <w:tcBorders>
              <w:top w:val="single" w:sz="4" w:space="0" w:color="BFBFBF"/>
              <w:left w:val="single" w:sz="4" w:space="0" w:color="BFBFBF"/>
              <w:bottom w:val="single" w:sz="4" w:space="0" w:color="BFBFBF"/>
            </w:tcBorders>
          </w:tcPr>
          <w:p w:rsidR="004A72E7" w:rsidRPr="001E2F6E" w:rsidRDefault="004A72E7" w:rsidP="00E7466B">
            <w:pPr>
              <w:spacing w:line="240" w:lineRule="exact"/>
              <w:ind w:left="227" w:right="170" w:hanging="227"/>
              <w:jc w:val="right"/>
              <w:rPr>
                <w:b/>
                <w:bCs/>
                <w:color w:val="000000"/>
                <w:sz w:val="16"/>
                <w:szCs w:val="16"/>
              </w:rPr>
            </w:pPr>
            <w:r w:rsidRPr="001E2F6E">
              <w:rPr>
                <w:b/>
                <w:bCs/>
                <w:color w:val="000000"/>
                <w:sz w:val="16"/>
                <w:szCs w:val="16"/>
              </w:rPr>
              <w:t>100,0</w:t>
            </w:r>
          </w:p>
        </w:tc>
      </w:tr>
    </w:tbl>
    <w:p w:rsidR="004A72E7" w:rsidRPr="001E2F6E" w:rsidRDefault="004A72E7" w:rsidP="00DA0C50"/>
    <w:p w:rsidR="004A72E7" w:rsidRDefault="004A72E7">
      <w:pPr>
        <w:spacing w:after="200" w:line="276" w:lineRule="auto"/>
        <w:jc w:val="left"/>
      </w:pPr>
      <w:r w:rsidRPr="001E2F6E">
        <w:br w:type="page"/>
      </w:r>
    </w:p>
    <w:p w:rsidR="003C4A9E" w:rsidRPr="001E2F6E" w:rsidRDefault="003C4A9E">
      <w:pPr>
        <w:spacing w:after="200" w:line="276" w:lineRule="auto"/>
        <w:jc w:val="left"/>
      </w:pPr>
    </w:p>
    <w:p w:rsidR="004A72E7" w:rsidRPr="001E2F6E" w:rsidRDefault="004A72E7" w:rsidP="001451B1">
      <w:pPr>
        <w:pStyle w:val="ARIALNARROW"/>
        <w:numPr>
          <w:ilvl w:val="0"/>
          <w:numId w:val="2"/>
        </w:numPr>
        <w:spacing w:line="360" w:lineRule="auto"/>
        <w:ind w:left="426" w:hanging="426"/>
        <w:rPr>
          <w:b/>
          <w:bCs/>
        </w:rPr>
      </w:pPr>
      <w:r w:rsidRPr="001E2F6E">
        <w:rPr>
          <w:b/>
          <w:bCs/>
        </w:rPr>
        <w:tab/>
      </w:r>
      <w:r w:rsidRPr="001E2F6E">
        <w:rPr>
          <w:b/>
          <w:bCs/>
          <w:lang w:val="eu-ES"/>
        </w:rPr>
        <w:t>Borondatezko Gizarte Aurreikuspeneko Erakundeen finantza- eta ondare-magnitudeak oso zenbateko adierazgarriak ditu.</w:t>
      </w:r>
      <w:r w:rsidRPr="001E2F6E">
        <w:rPr>
          <w:b/>
          <w:bCs/>
        </w:rPr>
        <w:t xml:space="preserve"> </w:t>
      </w:r>
      <w:r w:rsidRPr="001E2F6E">
        <w:rPr>
          <w:b/>
          <w:bCs/>
          <w:lang w:val="eu-ES"/>
        </w:rPr>
        <w:t>BPGari dagokionez, pisu handiagoa du Espainiako batez bestekoa baino, eta EB-15en antzeko kopuruak ditu</w:t>
      </w:r>
    </w:p>
    <w:p w:rsidR="004A72E7" w:rsidRPr="001E2F6E" w:rsidRDefault="004A72E7" w:rsidP="00E7466B">
      <w:pPr>
        <w:ind w:left="426" w:hanging="426"/>
        <w:rPr>
          <w:lang w:val="es-ES_tradnl"/>
        </w:rPr>
      </w:pPr>
    </w:p>
    <w:p w:rsidR="004A72E7" w:rsidRPr="001E2F6E" w:rsidRDefault="004A72E7" w:rsidP="00E7466B">
      <w:pPr>
        <w:ind w:left="426" w:hanging="426"/>
      </w:pPr>
      <w:r w:rsidRPr="001E2F6E">
        <w:tab/>
      </w:r>
      <w:r w:rsidRPr="001E2F6E">
        <w:rPr>
          <w:lang w:val="eu-ES"/>
        </w:rPr>
        <w:t>Borondatezko Gizarte Aurreikuspeneko Erakundeek, Estatuko beste autonomia-erkidego batzuetako gizarte-aurreikuspeneko mutualitateen antzekoak direnek, ekonomia- eta finantza-pisu esanguratsua dute EAEn.</w:t>
      </w:r>
      <w:r w:rsidRPr="001E2F6E">
        <w:t xml:space="preserve"> </w:t>
      </w:r>
      <w:r w:rsidRPr="001E2F6E">
        <w:rPr>
          <w:lang w:val="eu-ES"/>
        </w:rPr>
        <w:t>Gauza nabaria da, bai jasotako kuotei edo fakturazioari dagokienez (923,75 milioi euro), bai sortutako BEGd-ari dagokionez (227,7 milioi euro).</w:t>
      </w:r>
    </w:p>
    <w:p w:rsidR="004A72E7" w:rsidRPr="001E2F6E" w:rsidRDefault="004A72E7" w:rsidP="00E7466B">
      <w:pPr>
        <w:ind w:left="426" w:hanging="426"/>
      </w:pPr>
    </w:p>
    <w:p w:rsidR="004A72E7" w:rsidRPr="00067A2F" w:rsidRDefault="004A72E7" w:rsidP="00E7466B">
      <w:pPr>
        <w:ind w:left="426" w:hanging="426"/>
      </w:pPr>
      <w:r w:rsidRPr="001E2F6E">
        <w:tab/>
      </w:r>
      <w:r w:rsidRPr="001E2F6E">
        <w:rPr>
          <w:lang w:val="eu-ES"/>
        </w:rPr>
        <w:t>Ondareari erreparatuta, gainera, BGAE-ek 20.000 milioi euroko muga gainditu zuten 2012an.</w:t>
      </w:r>
      <w:r w:rsidRPr="001E2F6E">
        <w:rPr>
          <w:lang w:val="en-US"/>
        </w:rPr>
        <w:t xml:space="preserve"> </w:t>
      </w:r>
      <w:r w:rsidRPr="001E2F6E">
        <w:rPr>
          <w:lang w:val="eu-ES"/>
        </w:rPr>
        <w:t xml:space="preserve">Ondare horren eta BPGaren arteko ratioa </w:t>
      </w:r>
      <w:r w:rsidRPr="001E2F6E">
        <w:rPr>
          <w:spacing w:val="60"/>
          <w:lang w:val="eu-ES"/>
        </w:rPr>
        <w:t>%</w:t>
      </w:r>
      <w:r w:rsidRPr="001E2F6E">
        <w:rPr>
          <w:lang w:val="eu-ES"/>
        </w:rPr>
        <w:t>30,7koa da Euskadi; hots, ratio hori nabarmen handiagoa da Estatukoa baino (</w:t>
      </w:r>
      <w:r w:rsidRPr="001E2F6E">
        <w:rPr>
          <w:spacing w:val="60"/>
          <w:lang w:val="eu-ES"/>
        </w:rPr>
        <w:t>%</w:t>
      </w:r>
      <w:r w:rsidRPr="001E2F6E">
        <w:rPr>
          <w:lang w:val="eu-ES"/>
        </w:rPr>
        <w:t>8,2), eta EB-15en batez bestekoaren berdina da (</w:t>
      </w:r>
      <w:r w:rsidRPr="001E2F6E">
        <w:rPr>
          <w:spacing w:val="60"/>
          <w:lang w:val="eu-ES"/>
        </w:rPr>
        <w:t>%</w:t>
      </w:r>
      <w:r w:rsidRPr="001E2F6E">
        <w:rPr>
          <w:lang w:val="eu-ES"/>
        </w:rPr>
        <w:t>30,7)</w:t>
      </w:r>
      <w:r w:rsidRPr="001E2F6E">
        <w:rPr>
          <w:rStyle w:val="Refdenotaalpie"/>
          <w:rFonts w:cs="Arial"/>
          <w:lang w:val="eu-ES"/>
        </w:rPr>
        <w:footnoteReference w:id="16"/>
      </w:r>
      <w:r w:rsidRPr="001E2F6E">
        <w:rPr>
          <w:lang w:val="eu-ES"/>
        </w:rPr>
        <w:t>.</w:t>
      </w:r>
    </w:p>
    <w:p w:rsidR="004A72E7" w:rsidRDefault="004A72E7" w:rsidP="00E7466B">
      <w:pPr>
        <w:ind w:left="426" w:hanging="426"/>
      </w:pPr>
    </w:p>
    <w:p w:rsidR="003C4A9E" w:rsidRPr="00067A2F" w:rsidRDefault="003C4A9E" w:rsidP="00E7466B">
      <w:pPr>
        <w:ind w:left="426" w:hanging="426"/>
      </w:pPr>
    </w:p>
    <w:p w:rsidR="004A72E7" w:rsidRPr="001E2F6E" w:rsidRDefault="004A72E7" w:rsidP="00C11E29">
      <w:pPr>
        <w:spacing w:line="240" w:lineRule="auto"/>
        <w:ind w:left="227" w:hanging="227"/>
        <w:jc w:val="center"/>
        <w:rPr>
          <w:b/>
          <w:bCs/>
          <w:color w:val="1F497D" w:themeColor="text2"/>
          <w:sz w:val="18"/>
          <w:szCs w:val="18"/>
        </w:rPr>
      </w:pPr>
      <w:r w:rsidRPr="001E2F6E">
        <w:rPr>
          <w:b/>
          <w:bCs/>
          <w:color w:val="1F497D" w:themeColor="text2"/>
          <w:sz w:val="18"/>
          <w:szCs w:val="18"/>
          <w:lang w:val="eu-ES"/>
        </w:rPr>
        <w:t>GEFB-EN FAKTURAZIOAREN BANAKETA SEGMENTUAREN ARABERA, 2012 (kopuru absolutuak eta % bertikalak)</w:t>
      </w:r>
    </w:p>
    <w:tbl>
      <w:tblPr>
        <w:tblW w:w="5000" w:type="pct"/>
        <w:jc w:val="center"/>
        <w:tblLook w:val="00A0" w:firstRow="1" w:lastRow="0" w:firstColumn="1" w:lastColumn="0" w:noHBand="0" w:noVBand="0"/>
      </w:tblPr>
      <w:tblGrid>
        <w:gridCol w:w="4523"/>
        <w:gridCol w:w="2417"/>
        <w:gridCol w:w="2064"/>
      </w:tblGrid>
      <w:tr w:rsidR="004A72E7" w:rsidRPr="001E2F6E">
        <w:trPr>
          <w:jc w:val="center"/>
        </w:trPr>
        <w:tc>
          <w:tcPr>
            <w:tcW w:w="2512" w:type="pct"/>
            <w:tcBorders>
              <w:top w:val="single" w:sz="4" w:space="0" w:color="BFBFBF"/>
              <w:bottom w:val="single" w:sz="4" w:space="0" w:color="BFBFBF"/>
              <w:right w:val="single" w:sz="4" w:space="0" w:color="BFBFBF"/>
            </w:tcBorders>
            <w:shd w:val="clear" w:color="auto" w:fill="DBE5F1"/>
          </w:tcPr>
          <w:p w:rsidR="004A72E7" w:rsidRPr="001E2F6E" w:rsidRDefault="004A72E7" w:rsidP="00E7466B">
            <w:pPr>
              <w:spacing w:line="240" w:lineRule="exact"/>
              <w:ind w:left="227" w:hanging="227"/>
              <w:rPr>
                <w:sz w:val="16"/>
                <w:szCs w:val="16"/>
              </w:rPr>
            </w:pPr>
          </w:p>
        </w:tc>
        <w:tc>
          <w:tcPr>
            <w:tcW w:w="1342" w:type="pct"/>
            <w:tcBorders>
              <w:top w:val="single" w:sz="4" w:space="0" w:color="BFBFBF"/>
              <w:left w:val="single" w:sz="4" w:space="0" w:color="BFBFBF"/>
              <w:bottom w:val="single" w:sz="4" w:space="0" w:color="BFBFBF"/>
              <w:right w:val="single" w:sz="4" w:space="0" w:color="BFBFBF"/>
            </w:tcBorders>
            <w:shd w:val="clear" w:color="auto" w:fill="DBE5F1"/>
          </w:tcPr>
          <w:p w:rsidR="004A72E7" w:rsidRPr="001E2F6E" w:rsidRDefault="004A72E7" w:rsidP="00E7466B">
            <w:pPr>
              <w:spacing w:line="240" w:lineRule="exact"/>
              <w:ind w:left="227" w:hanging="227"/>
              <w:jc w:val="center"/>
              <w:rPr>
                <w:b/>
                <w:bCs/>
                <w:sz w:val="16"/>
                <w:szCs w:val="16"/>
              </w:rPr>
            </w:pPr>
            <w:r w:rsidRPr="001E2F6E">
              <w:rPr>
                <w:b/>
                <w:bCs/>
                <w:sz w:val="16"/>
                <w:szCs w:val="16"/>
                <w:lang w:val="eu-ES"/>
              </w:rPr>
              <w:t>Fakturazioa</w:t>
            </w:r>
          </w:p>
        </w:tc>
        <w:tc>
          <w:tcPr>
            <w:tcW w:w="1146" w:type="pct"/>
            <w:tcBorders>
              <w:top w:val="single" w:sz="4" w:space="0" w:color="BFBFBF"/>
              <w:left w:val="single" w:sz="4" w:space="0" w:color="BFBFBF"/>
              <w:bottom w:val="single" w:sz="4" w:space="0" w:color="BFBFBF"/>
            </w:tcBorders>
            <w:shd w:val="clear" w:color="auto" w:fill="DBE5F1"/>
            <w:vAlign w:val="center"/>
          </w:tcPr>
          <w:p w:rsidR="004A72E7" w:rsidRPr="001E2F6E" w:rsidRDefault="004A72E7" w:rsidP="00E7466B">
            <w:pPr>
              <w:spacing w:line="240" w:lineRule="exact"/>
              <w:ind w:left="227" w:hanging="227"/>
              <w:jc w:val="center"/>
              <w:rPr>
                <w:b/>
                <w:bCs/>
                <w:sz w:val="16"/>
                <w:szCs w:val="16"/>
              </w:rPr>
            </w:pPr>
            <w:r w:rsidRPr="001E2F6E">
              <w:rPr>
                <w:b/>
                <w:bCs/>
                <w:sz w:val="16"/>
                <w:szCs w:val="16"/>
                <w:lang w:val="eu-ES"/>
              </w:rPr>
              <w:t>% ber.</w:t>
            </w:r>
          </w:p>
        </w:tc>
      </w:tr>
      <w:tr w:rsidR="004A72E7" w:rsidRPr="001E2F6E">
        <w:trPr>
          <w:jc w:val="center"/>
        </w:trPr>
        <w:tc>
          <w:tcPr>
            <w:tcW w:w="2512" w:type="pct"/>
            <w:tcBorders>
              <w:top w:val="single" w:sz="4" w:space="0" w:color="BFBFBF"/>
              <w:right w:val="single" w:sz="4" w:space="0" w:color="BFBFBF"/>
            </w:tcBorders>
            <w:vAlign w:val="bottom"/>
          </w:tcPr>
          <w:p w:rsidR="004A72E7" w:rsidRPr="001E2F6E" w:rsidRDefault="004A72E7" w:rsidP="00E7466B">
            <w:pPr>
              <w:spacing w:line="240" w:lineRule="exact"/>
              <w:ind w:left="227" w:hanging="227"/>
              <w:rPr>
                <w:color w:val="000000"/>
                <w:sz w:val="16"/>
                <w:szCs w:val="16"/>
              </w:rPr>
            </w:pPr>
            <w:r w:rsidRPr="001E2F6E">
              <w:rPr>
                <w:color w:val="000000"/>
                <w:sz w:val="16"/>
                <w:szCs w:val="16"/>
              </w:rPr>
              <w:t xml:space="preserve">1. </w:t>
            </w:r>
            <w:r w:rsidRPr="001E2F6E">
              <w:rPr>
                <w:sz w:val="16"/>
                <w:szCs w:val="16"/>
                <w:lang w:val="eu-ES"/>
              </w:rPr>
              <w:t>BGAE</w:t>
            </w:r>
          </w:p>
        </w:tc>
        <w:tc>
          <w:tcPr>
            <w:tcW w:w="1342" w:type="pct"/>
            <w:tcBorders>
              <w:top w:val="single" w:sz="4" w:space="0" w:color="BFBFBF"/>
              <w:left w:val="single" w:sz="4" w:space="0" w:color="BFBFBF"/>
              <w:right w:val="single" w:sz="4" w:space="0" w:color="BFBFBF"/>
            </w:tcBorders>
            <w:noWrap/>
            <w:vAlign w:val="bottom"/>
          </w:tcPr>
          <w:p w:rsidR="004A72E7" w:rsidRPr="001E2F6E" w:rsidRDefault="004A72E7" w:rsidP="00E7466B">
            <w:pPr>
              <w:spacing w:line="240" w:lineRule="exact"/>
              <w:ind w:left="227" w:right="170" w:hanging="227"/>
              <w:jc w:val="right"/>
              <w:rPr>
                <w:color w:val="000000"/>
                <w:sz w:val="16"/>
                <w:szCs w:val="16"/>
              </w:rPr>
            </w:pPr>
            <w:r w:rsidRPr="001E2F6E">
              <w:rPr>
                <w:color w:val="000000"/>
                <w:sz w:val="16"/>
                <w:szCs w:val="16"/>
              </w:rPr>
              <w:t>923.750.186</w:t>
            </w:r>
          </w:p>
        </w:tc>
        <w:tc>
          <w:tcPr>
            <w:tcW w:w="1146" w:type="pct"/>
            <w:tcBorders>
              <w:top w:val="single" w:sz="4" w:space="0" w:color="BFBFBF"/>
              <w:left w:val="single" w:sz="4" w:space="0" w:color="BFBFBF"/>
            </w:tcBorders>
          </w:tcPr>
          <w:p w:rsidR="004A72E7" w:rsidRPr="001E2F6E" w:rsidRDefault="004A72E7" w:rsidP="00E7466B">
            <w:pPr>
              <w:spacing w:line="240" w:lineRule="exact"/>
              <w:ind w:left="227" w:right="170" w:hanging="227"/>
              <w:jc w:val="right"/>
              <w:rPr>
                <w:color w:val="000000"/>
                <w:sz w:val="16"/>
                <w:szCs w:val="16"/>
              </w:rPr>
            </w:pPr>
            <w:r w:rsidRPr="001E2F6E">
              <w:rPr>
                <w:color w:val="000000"/>
                <w:sz w:val="16"/>
                <w:szCs w:val="16"/>
              </w:rPr>
              <w:t>47,3</w:t>
            </w:r>
          </w:p>
        </w:tc>
      </w:tr>
      <w:tr w:rsidR="004A72E7" w:rsidRPr="001E2F6E">
        <w:trPr>
          <w:jc w:val="center"/>
        </w:trPr>
        <w:tc>
          <w:tcPr>
            <w:tcW w:w="2512" w:type="pct"/>
            <w:tcBorders>
              <w:right w:val="single" w:sz="4" w:space="0" w:color="BFBFBF"/>
            </w:tcBorders>
            <w:vAlign w:val="bottom"/>
          </w:tcPr>
          <w:p w:rsidR="004A72E7" w:rsidRPr="001E2F6E" w:rsidRDefault="004A72E7" w:rsidP="00E7466B">
            <w:pPr>
              <w:spacing w:line="240" w:lineRule="exact"/>
              <w:ind w:left="227" w:hanging="227"/>
              <w:rPr>
                <w:color w:val="000000"/>
                <w:sz w:val="16"/>
                <w:szCs w:val="16"/>
              </w:rPr>
            </w:pPr>
            <w:r w:rsidRPr="001E2F6E">
              <w:rPr>
                <w:color w:val="000000"/>
                <w:sz w:val="16"/>
                <w:szCs w:val="16"/>
              </w:rPr>
              <w:t xml:space="preserve">2. </w:t>
            </w:r>
            <w:r w:rsidRPr="001E2F6E">
              <w:rPr>
                <w:sz w:val="16"/>
                <w:szCs w:val="16"/>
                <w:lang w:val="eu-ES"/>
              </w:rPr>
              <w:t>Fundazioak</w:t>
            </w:r>
          </w:p>
        </w:tc>
        <w:tc>
          <w:tcPr>
            <w:tcW w:w="1342" w:type="pct"/>
            <w:tcBorders>
              <w:left w:val="single" w:sz="4" w:space="0" w:color="BFBFBF"/>
              <w:right w:val="single" w:sz="4" w:space="0" w:color="BFBFBF"/>
            </w:tcBorders>
            <w:noWrap/>
            <w:vAlign w:val="bottom"/>
          </w:tcPr>
          <w:p w:rsidR="004A72E7" w:rsidRPr="001E2F6E" w:rsidRDefault="004A72E7" w:rsidP="00E7466B">
            <w:pPr>
              <w:spacing w:line="240" w:lineRule="exact"/>
              <w:ind w:left="227" w:right="170" w:hanging="227"/>
              <w:jc w:val="right"/>
              <w:rPr>
                <w:color w:val="000000"/>
                <w:sz w:val="16"/>
                <w:szCs w:val="16"/>
              </w:rPr>
            </w:pPr>
            <w:r w:rsidRPr="001E2F6E">
              <w:rPr>
                <w:color w:val="000000"/>
                <w:sz w:val="16"/>
                <w:szCs w:val="16"/>
              </w:rPr>
              <w:t>609.981.974</w:t>
            </w:r>
          </w:p>
        </w:tc>
        <w:tc>
          <w:tcPr>
            <w:tcW w:w="1146" w:type="pct"/>
            <w:tcBorders>
              <w:left w:val="single" w:sz="4" w:space="0" w:color="BFBFBF"/>
            </w:tcBorders>
          </w:tcPr>
          <w:p w:rsidR="004A72E7" w:rsidRPr="001E2F6E" w:rsidRDefault="004A72E7" w:rsidP="00E7466B">
            <w:pPr>
              <w:spacing w:line="240" w:lineRule="exact"/>
              <w:ind w:left="227" w:right="170" w:hanging="227"/>
              <w:jc w:val="right"/>
              <w:rPr>
                <w:color w:val="000000"/>
                <w:sz w:val="16"/>
                <w:szCs w:val="16"/>
              </w:rPr>
            </w:pPr>
            <w:r w:rsidRPr="001E2F6E">
              <w:rPr>
                <w:color w:val="000000"/>
                <w:sz w:val="16"/>
                <w:szCs w:val="16"/>
              </w:rPr>
              <w:t>31,2</w:t>
            </w:r>
          </w:p>
        </w:tc>
      </w:tr>
      <w:tr w:rsidR="004A72E7" w:rsidRPr="001E2F6E">
        <w:trPr>
          <w:jc w:val="center"/>
        </w:trPr>
        <w:tc>
          <w:tcPr>
            <w:tcW w:w="2512" w:type="pct"/>
            <w:tcBorders>
              <w:right w:val="single" w:sz="4" w:space="0" w:color="BFBFBF"/>
            </w:tcBorders>
            <w:vAlign w:val="bottom"/>
          </w:tcPr>
          <w:p w:rsidR="004A72E7" w:rsidRPr="001E2F6E" w:rsidRDefault="004A72E7" w:rsidP="00E7466B">
            <w:pPr>
              <w:spacing w:line="240" w:lineRule="exact"/>
              <w:ind w:left="227" w:hanging="227"/>
              <w:rPr>
                <w:color w:val="000000"/>
                <w:sz w:val="16"/>
                <w:szCs w:val="16"/>
              </w:rPr>
            </w:pPr>
            <w:r w:rsidRPr="001E2F6E">
              <w:rPr>
                <w:color w:val="000000"/>
                <w:sz w:val="16"/>
                <w:szCs w:val="16"/>
              </w:rPr>
              <w:t xml:space="preserve">3. </w:t>
            </w:r>
            <w:r w:rsidRPr="001E2F6E">
              <w:rPr>
                <w:sz w:val="16"/>
                <w:szCs w:val="16"/>
                <w:lang w:val="eu-ES"/>
              </w:rPr>
              <w:t>Enplegu Zentro Bereziak</w:t>
            </w:r>
          </w:p>
        </w:tc>
        <w:tc>
          <w:tcPr>
            <w:tcW w:w="1342" w:type="pct"/>
            <w:tcBorders>
              <w:left w:val="single" w:sz="4" w:space="0" w:color="BFBFBF"/>
              <w:right w:val="single" w:sz="4" w:space="0" w:color="BFBFBF"/>
            </w:tcBorders>
            <w:noWrap/>
            <w:vAlign w:val="bottom"/>
          </w:tcPr>
          <w:p w:rsidR="004A72E7" w:rsidRPr="001E2F6E" w:rsidRDefault="004A72E7" w:rsidP="00E7466B">
            <w:pPr>
              <w:spacing w:line="240" w:lineRule="exact"/>
              <w:ind w:left="227" w:right="170" w:hanging="227"/>
              <w:jc w:val="right"/>
              <w:rPr>
                <w:color w:val="000000"/>
                <w:sz w:val="16"/>
                <w:szCs w:val="16"/>
              </w:rPr>
            </w:pPr>
            <w:r w:rsidRPr="001E2F6E">
              <w:rPr>
                <w:color w:val="000000"/>
                <w:sz w:val="16"/>
                <w:szCs w:val="16"/>
              </w:rPr>
              <w:t>175.567.575</w:t>
            </w:r>
          </w:p>
        </w:tc>
        <w:tc>
          <w:tcPr>
            <w:tcW w:w="1146" w:type="pct"/>
            <w:tcBorders>
              <w:left w:val="single" w:sz="4" w:space="0" w:color="BFBFBF"/>
            </w:tcBorders>
          </w:tcPr>
          <w:p w:rsidR="004A72E7" w:rsidRPr="001E2F6E" w:rsidRDefault="004A72E7" w:rsidP="00E7466B">
            <w:pPr>
              <w:spacing w:line="240" w:lineRule="exact"/>
              <w:ind w:left="227" w:right="170" w:hanging="227"/>
              <w:jc w:val="right"/>
              <w:rPr>
                <w:color w:val="000000"/>
                <w:sz w:val="16"/>
                <w:szCs w:val="16"/>
              </w:rPr>
            </w:pPr>
            <w:r w:rsidRPr="001E2F6E">
              <w:rPr>
                <w:color w:val="000000"/>
                <w:sz w:val="16"/>
                <w:szCs w:val="16"/>
              </w:rPr>
              <w:t>9,0</w:t>
            </w:r>
          </w:p>
        </w:tc>
      </w:tr>
      <w:tr w:rsidR="004A72E7" w:rsidRPr="001E2F6E">
        <w:trPr>
          <w:jc w:val="center"/>
        </w:trPr>
        <w:tc>
          <w:tcPr>
            <w:tcW w:w="2512" w:type="pct"/>
            <w:tcBorders>
              <w:right w:val="single" w:sz="4" w:space="0" w:color="BFBFBF"/>
            </w:tcBorders>
            <w:noWrap/>
            <w:vAlign w:val="bottom"/>
          </w:tcPr>
          <w:p w:rsidR="004A72E7" w:rsidRPr="001E2F6E" w:rsidRDefault="004A72E7" w:rsidP="00E7466B">
            <w:pPr>
              <w:spacing w:line="240" w:lineRule="exact"/>
              <w:ind w:left="227" w:hanging="227"/>
              <w:rPr>
                <w:color w:val="000000"/>
                <w:sz w:val="16"/>
                <w:szCs w:val="16"/>
              </w:rPr>
            </w:pPr>
            <w:r w:rsidRPr="001E2F6E">
              <w:rPr>
                <w:color w:val="000000"/>
                <w:sz w:val="16"/>
                <w:szCs w:val="16"/>
              </w:rPr>
              <w:t xml:space="preserve">4. </w:t>
            </w:r>
            <w:r w:rsidRPr="001E2F6E">
              <w:rPr>
                <w:sz w:val="16"/>
                <w:szCs w:val="16"/>
                <w:lang w:val="eu-ES"/>
              </w:rPr>
              <w:t>Onura Publikoko Elkarteak</w:t>
            </w:r>
          </w:p>
        </w:tc>
        <w:tc>
          <w:tcPr>
            <w:tcW w:w="1342" w:type="pct"/>
            <w:tcBorders>
              <w:left w:val="single" w:sz="4" w:space="0" w:color="BFBFBF"/>
              <w:right w:val="single" w:sz="4" w:space="0" w:color="BFBFBF"/>
            </w:tcBorders>
            <w:noWrap/>
            <w:vAlign w:val="bottom"/>
          </w:tcPr>
          <w:p w:rsidR="004A72E7" w:rsidRPr="001E2F6E" w:rsidRDefault="004A72E7" w:rsidP="00E7466B">
            <w:pPr>
              <w:spacing w:line="240" w:lineRule="exact"/>
              <w:ind w:left="227" w:right="170" w:hanging="227"/>
              <w:jc w:val="right"/>
              <w:rPr>
                <w:color w:val="000000"/>
                <w:sz w:val="16"/>
                <w:szCs w:val="16"/>
              </w:rPr>
            </w:pPr>
            <w:r w:rsidRPr="001E2F6E">
              <w:rPr>
                <w:color w:val="000000"/>
                <w:sz w:val="16"/>
                <w:szCs w:val="16"/>
              </w:rPr>
              <w:t>171.161.456</w:t>
            </w:r>
          </w:p>
        </w:tc>
        <w:tc>
          <w:tcPr>
            <w:tcW w:w="1146" w:type="pct"/>
            <w:tcBorders>
              <w:left w:val="single" w:sz="4" w:space="0" w:color="BFBFBF"/>
            </w:tcBorders>
          </w:tcPr>
          <w:p w:rsidR="004A72E7" w:rsidRPr="001E2F6E" w:rsidRDefault="004A72E7" w:rsidP="00E7466B">
            <w:pPr>
              <w:spacing w:line="240" w:lineRule="exact"/>
              <w:ind w:left="227" w:right="170" w:hanging="227"/>
              <w:jc w:val="right"/>
              <w:rPr>
                <w:color w:val="000000"/>
                <w:sz w:val="16"/>
                <w:szCs w:val="16"/>
              </w:rPr>
            </w:pPr>
            <w:r w:rsidRPr="001E2F6E">
              <w:rPr>
                <w:color w:val="000000"/>
                <w:sz w:val="16"/>
                <w:szCs w:val="16"/>
              </w:rPr>
              <w:t>8,8</w:t>
            </w:r>
          </w:p>
        </w:tc>
      </w:tr>
      <w:tr w:rsidR="004A72E7" w:rsidRPr="001E2F6E">
        <w:trPr>
          <w:jc w:val="center"/>
        </w:trPr>
        <w:tc>
          <w:tcPr>
            <w:tcW w:w="2512" w:type="pct"/>
            <w:tcBorders>
              <w:right w:val="single" w:sz="4" w:space="0" w:color="BFBFBF"/>
            </w:tcBorders>
            <w:noWrap/>
            <w:vAlign w:val="bottom"/>
          </w:tcPr>
          <w:p w:rsidR="004A72E7" w:rsidRPr="001E2F6E" w:rsidRDefault="004A72E7" w:rsidP="00E7466B">
            <w:pPr>
              <w:spacing w:line="240" w:lineRule="exact"/>
              <w:ind w:left="227" w:hanging="227"/>
              <w:rPr>
                <w:color w:val="000000"/>
                <w:sz w:val="16"/>
                <w:szCs w:val="16"/>
              </w:rPr>
            </w:pPr>
            <w:r w:rsidRPr="001E2F6E">
              <w:rPr>
                <w:color w:val="000000"/>
                <w:sz w:val="16"/>
                <w:szCs w:val="16"/>
              </w:rPr>
              <w:t xml:space="preserve">5. </w:t>
            </w:r>
            <w:r w:rsidRPr="001E2F6E">
              <w:rPr>
                <w:sz w:val="16"/>
                <w:szCs w:val="16"/>
                <w:lang w:val="eu-ES"/>
              </w:rPr>
              <w:t>Gizarteratze Enpresak</w:t>
            </w:r>
          </w:p>
        </w:tc>
        <w:tc>
          <w:tcPr>
            <w:tcW w:w="1342" w:type="pct"/>
            <w:tcBorders>
              <w:left w:val="single" w:sz="4" w:space="0" w:color="BFBFBF"/>
              <w:right w:val="single" w:sz="4" w:space="0" w:color="BFBFBF"/>
            </w:tcBorders>
            <w:noWrap/>
            <w:vAlign w:val="bottom"/>
          </w:tcPr>
          <w:p w:rsidR="004A72E7" w:rsidRPr="001E2F6E" w:rsidRDefault="004A72E7" w:rsidP="00E7466B">
            <w:pPr>
              <w:spacing w:line="240" w:lineRule="exact"/>
              <w:ind w:left="227" w:right="170" w:hanging="227"/>
              <w:jc w:val="right"/>
              <w:rPr>
                <w:color w:val="000000"/>
                <w:sz w:val="16"/>
                <w:szCs w:val="16"/>
              </w:rPr>
            </w:pPr>
            <w:r w:rsidRPr="001E2F6E">
              <w:rPr>
                <w:color w:val="000000"/>
                <w:sz w:val="16"/>
                <w:szCs w:val="16"/>
              </w:rPr>
              <w:t>25.534.006</w:t>
            </w:r>
          </w:p>
        </w:tc>
        <w:tc>
          <w:tcPr>
            <w:tcW w:w="1146" w:type="pct"/>
            <w:tcBorders>
              <w:left w:val="single" w:sz="4" w:space="0" w:color="BFBFBF"/>
            </w:tcBorders>
          </w:tcPr>
          <w:p w:rsidR="004A72E7" w:rsidRPr="001E2F6E" w:rsidRDefault="004A72E7" w:rsidP="00E7466B">
            <w:pPr>
              <w:spacing w:line="240" w:lineRule="exact"/>
              <w:ind w:left="227" w:right="170" w:hanging="227"/>
              <w:jc w:val="right"/>
              <w:rPr>
                <w:color w:val="000000"/>
                <w:sz w:val="16"/>
                <w:szCs w:val="16"/>
              </w:rPr>
            </w:pPr>
            <w:r w:rsidRPr="001E2F6E">
              <w:rPr>
                <w:color w:val="000000"/>
                <w:sz w:val="16"/>
                <w:szCs w:val="16"/>
              </w:rPr>
              <w:t>1,3</w:t>
            </w:r>
          </w:p>
        </w:tc>
      </w:tr>
      <w:tr w:rsidR="004A72E7" w:rsidRPr="001E2F6E">
        <w:trPr>
          <w:jc w:val="center"/>
        </w:trPr>
        <w:tc>
          <w:tcPr>
            <w:tcW w:w="2512" w:type="pct"/>
            <w:tcBorders>
              <w:right w:val="single" w:sz="4" w:space="0" w:color="BFBFBF"/>
            </w:tcBorders>
            <w:noWrap/>
            <w:vAlign w:val="bottom"/>
          </w:tcPr>
          <w:p w:rsidR="004A72E7" w:rsidRPr="001E2F6E" w:rsidRDefault="004A72E7" w:rsidP="00E7466B">
            <w:pPr>
              <w:spacing w:line="240" w:lineRule="exact"/>
              <w:ind w:left="227" w:hanging="227"/>
              <w:rPr>
                <w:color w:val="000000"/>
                <w:sz w:val="16"/>
                <w:szCs w:val="16"/>
              </w:rPr>
            </w:pPr>
            <w:r w:rsidRPr="001E2F6E">
              <w:rPr>
                <w:color w:val="000000"/>
                <w:sz w:val="16"/>
                <w:szCs w:val="16"/>
              </w:rPr>
              <w:t xml:space="preserve">6. </w:t>
            </w:r>
            <w:r w:rsidRPr="001E2F6E">
              <w:rPr>
                <w:sz w:val="16"/>
                <w:szCs w:val="16"/>
                <w:lang w:val="eu-ES"/>
              </w:rPr>
              <w:t>ENS</w:t>
            </w:r>
          </w:p>
        </w:tc>
        <w:tc>
          <w:tcPr>
            <w:tcW w:w="1342" w:type="pct"/>
            <w:tcBorders>
              <w:left w:val="single" w:sz="4" w:space="0" w:color="BFBFBF"/>
              <w:right w:val="single" w:sz="4" w:space="0" w:color="BFBFBF"/>
            </w:tcBorders>
            <w:noWrap/>
            <w:vAlign w:val="bottom"/>
          </w:tcPr>
          <w:p w:rsidR="004A72E7" w:rsidRPr="001E2F6E" w:rsidRDefault="004A72E7" w:rsidP="00E7466B">
            <w:pPr>
              <w:spacing w:line="240" w:lineRule="exact"/>
              <w:ind w:left="227" w:right="170" w:hanging="227"/>
              <w:jc w:val="right"/>
              <w:rPr>
                <w:color w:val="000000"/>
                <w:sz w:val="16"/>
                <w:szCs w:val="16"/>
              </w:rPr>
            </w:pPr>
            <w:r w:rsidRPr="001E2F6E">
              <w:rPr>
                <w:color w:val="000000"/>
                <w:sz w:val="16"/>
                <w:szCs w:val="16"/>
              </w:rPr>
              <w:t>24.665.216</w:t>
            </w:r>
          </w:p>
        </w:tc>
        <w:tc>
          <w:tcPr>
            <w:tcW w:w="1146" w:type="pct"/>
            <w:tcBorders>
              <w:left w:val="single" w:sz="4" w:space="0" w:color="BFBFBF"/>
            </w:tcBorders>
          </w:tcPr>
          <w:p w:rsidR="004A72E7" w:rsidRPr="001E2F6E" w:rsidRDefault="004A72E7" w:rsidP="00E7466B">
            <w:pPr>
              <w:spacing w:line="240" w:lineRule="exact"/>
              <w:ind w:left="227" w:right="170" w:hanging="227"/>
              <w:jc w:val="right"/>
              <w:rPr>
                <w:color w:val="000000"/>
                <w:sz w:val="16"/>
                <w:szCs w:val="16"/>
              </w:rPr>
            </w:pPr>
            <w:r w:rsidRPr="001E2F6E">
              <w:rPr>
                <w:color w:val="000000"/>
                <w:sz w:val="16"/>
                <w:szCs w:val="16"/>
              </w:rPr>
              <w:t>1,3</w:t>
            </w:r>
          </w:p>
        </w:tc>
      </w:tr>
      <w:tr w:rsidR="004A72E7" w:rsidRPr="001E2F6E">
        <w:trPr>
          <w:jc w:val="center"/>
        </w:trPr>
        <w:tc>
          <w:tcPr>
            <w:tcW w:w="2512" w:type="pct"/>
            <w:tcBorders>
              <w:bottom w:val="single" w:sz="4" w:space="0" w:color="BFBFBF"/>
              <w:right w:val="single" w:sz="4" w:space="0" w:color="BFBFBF"/>
            </w:tcBorders>
            <w:noWrap/>
            <w:vAlign w:val="bottom"/>
          </w:tcPr>
          <w:p w:rsidR="004A72E7" w:rsidRPr="001E2F6E" w:rsidRDefault="004A72E7" w:rsidP="00E7466B">
            <w:pPr>
              <w:spacing w:line="240" w:lineRule="exact"/>
              <w:ind w:left="227" w:hanging="227"/>
              <w:rPr>
                <w:color w:val="000000"/>
                <w:sz w:val="16"/>
                <w:szCs w:val="16"/>
              </w:rPr>
            </w:pPr>
            <w:r w:rsidRPr="001E2F6E">
              <w:rPr>
                <w:color w:val="000000"/>
                <w:sz w:val="16"/>
                <w:szCs w:val="16"/>
              </w:rPr>
              <w:t xml:space="preserve">7. </w:t>
            </w:r>
            <w:r w:rsidRPr="001E2F6E">
              <w:rPr>
                <w:sz w:val="16"/>
                <w:szCs w:val="16"/>
                <w:lang w:val="eu-ES"/>
              </w:rPr>
              <w:t>Arrantzale Kofradiak</w:t>
            </w:r>
          </w:p>
        </w:tc>
        <w:tc>
          <w:tcPr>
            <w:tcW w:w="1342" w:type="pct"/>
            <w:tcBorders>
              <w:left w:val="single" w:sz="4" w:space="0" w:color="BFBFBF"/>
              <w:bottom w:val="single" w:sz="4" w:space="0" w:color="BFBFBF"/>
              <w:right w:val="single" w:sz="4" w:space="0" w:color="BFBFBF"/>
            </w:tcBorders>
            <w:noWrap/>
            <w:vAlign w:val="bottom"/>
          </w:tcPr>
          <w:p w:rsidR="004A72E7" w:rsidRPr="001E2F6E" w:rsidRDefault="004A72E7" w:rsidP="00E7466B">
            <w:pPr>
              <w:spacing w:line="240" w:lineRule="exact"/>
              <w:ind w:left="227" w:right="170" w:hanging="227"/>
              <w:jc w:val="right"/>
              <w:rPr>
                <w:color w:val="000000"/>
                <w:sz w:val="16"/>
                <w:szCs w:val="16"/>
              </w:rPr>
            </w:pPr>
            <w:r w:rsidRPr="001E2F6E">
              <w:rPr>
                <w:color w:val="000000"/>
                <w:sz w:val="16"/>
                <w:szCs w:val="16"/>
              </w:rPr>
              <w:t>21.751.742</w:t>
            </w:r>
          </w:p>
        </w:tc>
        <w:tc>
          <w:tcPr>
            <w:tcW w:w="1146" w:type="pct"/>
            <w:tcBorders>
              <w:left w:val="single" w:sz="4" w:space="0" w:color="BFBFBF"/>
              <w:bottom w:val="single" w:sz="4" w:space="0" w:color="BFBFBF"/>
            </w:tcBorders>
          </w:tcPr>
          <w:p w:rsidR="004A72E7" w:rsidRPr="001E2F6E" w:rsidRDefault="004A72E7" w:rsidP="00E7466B">
            <w:pPr>
              <w:spacing w:line="240" w:lineRule="exact"/>
              <w:ind w:left="227" w:right="170" w:hanging="227"/>
              <w:jc w:val="right"/>
              <w:rPr>
                <w:color w:val="000000"/>
                <w:sz w:val="16"/>
                <w:szCs w:val="16"/>
              </w:rPr>
            </w:pPr>
            <w:r w:rsidRPr="001E2F6E">
              <w:rPr>
                <w:color w:val="000000"/>
                <w:sz w:val="16"/>
                <w:szCs w:val="16"/>
              </w:rPr>
              <w:t>1,1</w:t>
            </w:r>
          </w:p>
        </w:tc>
      </w:tr>
      <w:tr w:rsidR="004A72E7" w:rsidRPr="001E2F6E">
        <w:trPr>
          <w:jc w:val="center"/>
        </w:trPr>
        <w:tc>
          <w:tcPr>
            <w:tcW w:w="2512" w:type="pct"/>
            <w:tcBorders>
              <w:top w:val="single" w:sz="4" w:space="0" w:color="BFBFBF"/>
              <w:bottom w:val="single" w:sz="4" w:space="0" w:color="BFBFBF"/>
              <w:right w:val="single" w:sz="4" w:space="0" w:color="BFBFBF"/>
            </w:tcBorders>
            <w:noWrap/>
            <w:vAlign w:val="bottom"/>
          </w:tcPr>
          <w:p w:rsidR="004A72E7" w:rsidRPr="001E2F6E" w:rsidRDefault="004A72E7" w:rsidP="00E7466B">
            <w:pPr>
              <w:spacing w:line="240" w:lineRule="exact"/>
              <w:ind w:left="227" w:hanging="227"/>
              <w:rPr>
                <w:b/>
                <w:bCs/>
                <w:color w:val="000000"/>
                <w:sz w:val="16"/>
                <w:szCs w:val="16"/>
              </w:rPr>
            </w:pPr>
            <w:r w:rsidRPr="001E2F6E">
              <w:rPr>
                <w:b/>
                <w:bCs/>
                <w:sz w:val="16"/>
                <w:szCs w:val="16"/>
                <w:lang w:val="eu-ES"/>
              </w:rPr>
              <w:t>GUZTIRA</w:t>
            </w:r>
          </w:p>
        </w:tc>
        <w:tc>
          <w:tcPr>
            <w:tcW w:w="1342" w:type="pct"/>
            <w:tcBorders>
              <w:top w:val="single" w:sz="4" w:space="0" w:color="BFBFBF"/>
              <w:left w:val="single" w:sz="4" w:space="0" w:color="BFBFBF"/>
              <w:bottom w:val="single" w:sz="4" w:space="0" w:color="BFBFBF"/>
              <w:right w:val="single" w:sz="4" w:space="0" w:color="BFBFBF"/>
            </w:tcBorders>
            <w:noWrap/>
            <w:vAlign w:val="bottom"/>
          </w:tcPr>
          <w:p w:rsidR="004A72E7" w:rsidRPr="001E2F6E" w:rsidRDefault="004A72E7" w:rsidP="00E7466B">
            <w:pPr>
              <w:spacing w:line="240" w:lineRule="exact"/>
              <w:ind w:left="227" w:right="170" w:hanging="227"/>
              <w:jc w:val="right"/>
              <w:rPr>
                <w:b/>
                <w:bCs/>
                <w:color w:val="000000"/>
                <w:sz w:val="16"/>
                <w:szCs w:val="16"/>
              </w:rPr>
            </w:pPr>
            <w:r w:rsidRPr="001E2F6E">
              <w:rPr>
                <w:b/>
                <w:bCs/>
                <w:color w:val="000000"/>
                <w:sz w:val="16"/>
                <w:szCs w:val="16"/>
              </w:rPr>
              <w:t>1.952.412.155</w:t>
            </w:r>
          </w:p>
        </w:tc>
        <w:tc>
          <w:tcPr>
            <w:tcW w:w="1146" w:type="pct"/>
            <w:tcBorders>
              <w:top w:val="single" w:sz="4" w:space="0" w:color="BFBFBF"/>
              <w:left w:val="single" w:sz="4" w:space="0" w:color="BFBFBF"/>
              <w:bottom w:val="single" w:sz="4" w:space="0" w:color="BFBFBF"/>
            </w:tcBorders>
            <w:vAlign w:val="bottom"/>
          </w:tcPr>
          <w:p w:rsidR="004A72E7" w:rsidRPr="001E2F6E" w:rsidRDefault="004A72E7" w:rsidP="00E7466B">
            <w:pPr>
              <w:spacing w:line="240" w:lineRule="exact"/>
              <w:ind w:left="227" w:right="170" w:hanging="227"/>
              <w:jc w:val="right"/>
              <w:rPr>
                <w:b/>
                <w:bCs/>
                <w:color w:val="000000"/>
                <w:sz w:val="16"/>
                <w:szCs w:val="16"/>
              </w:rPr>
            </w:pPr>
            <w:r w:rsidRPr="001E2F6E">
              <w:rPr>
                <w:b/>
                <w:bCs/>
                <w:color w:val="000000"/>
                <w:sz w:val="16"/>
                <w:szCs w:val="16"/>
              </w:rPr>
              <w:t>100,0</w:t>
            </w:r>
          </w:p>
        </w:tc>
      </w:tr>
    </w:tbl>
    <w:p w:rsidR="004A72E7" w:rsidRDefault="004A72E7" w:rsidP="00115016"/>
    <w:p w:rsidR="003C4A9E" w:rsidRPr="001E2F6E" w:rsidRDefault="003C4A9E" w:rsidP="00115016"/>
    <w:p w:rsidR="004A72E7" w:rsidRPr="001E2F6E" w:rsidRDefault="004A72E7" w:rsidP="00115016"/>
    <w:p w:rsidR="004A72E7" w:rsidRPr="001E2F6E" w:rsidRDefault="004A72E7" w:rsidP="001451B1">
      <w:pPr>
        <w:pStyle w:val="ARIALNARROW"/>
        <w:numPr>
          <w:ilvl w:val="0"/>
          <w:numId w:val="2"/>
        </w:numPr>
        <w:spacing w:line="360" w:lineRule="auto"/>
        <w:ind w:left="426" w:hanging="426"/>
        <w:rPr>
          <w:b/>
          <w:bCs/>
        </w:rPr>
      </w:pPr>
      <w:r w:rsidRPr="001E2F6E">
        <w:rPr>
          <w:b/>
          <w:bCs/>
        </w:rPr>
        <w:tab/>
      </w:r>
      <w:r w:rsidRPr="001E2F6E">
        <w:rPr>
          <w:b/>
          <w:bCs/>
          <w:lang w:val="eu-ES"/>
        </w:rPr>
        <w:t>GEFBen tipologiei lotutako emaitzak edo irabaziak askotarikoak dira bolumenari zein zeinuari begira.</w:t>
      </w:r>
      <w:r w:rsidRPr="001E2F6E">
        <w:rPr>
          <w:b/>
          <w:bCs/>
        </w:rPr>
        <w:t xml:space="preserve"> </w:t>
      </w:r>
      <w:r w:rsidRPr="001E2F6E">
        <w:rPr>
          <w:b/>
          <w:bCs/>
          <w:lang w:val="eu-ES"/>
        </w:rPr>
        <w:t>BGAE-ek GEFBen saldo orokorra positiboa izaten laguntzen dute, eta fundazioak, berriz, defizitarioak dira</w:t>
      </w:r>
    </w:p>
    <w:p w:rsidR="004A72E7" w:rsidRPr="001E2F6E" w:rsidRDefault="004A72E7" w:rsidP="00E7466B">
      <w:pPr>
        <w:ind w:left="426" w:hanging="426"/>
        <w:rPr>
          <w:lang w:val="es-ES_tradnl"/>
        </w:rPr>
      </w:pPr>
    </w:p>
    <w:p w:rsidR="004A72E7" w:rsidRPr="001E2F6E" w:rsidRDefault="004A72E7" w:rsidP="00E7466B">
      <w:pPr>
        <w:ind w:left="426" w:hanging="426"/>
        <w:rPr>
          <w:lang w:val="eu-ES"/>
        </w:rPr>
      </w:pPr>
      <w:r w:rsidRPr="001E2F6E">
        <w:tab/>
      </w:r>
      <w:r w:rsidRPr="001E2F6E">
        <w:rPr>
          <w:lang w:val="eu-ES"/>
        </w:rPr>
        <w:t>BGAE-en zerga aurreko irabaziak 225 milioi euro ingurukoak dira; alegia, kooperatiben emaitzak halako bi. Gainera, irabazi horiei esker, GEFBen emaitza orokorra positiboa da (207,7 milioi euro). Onura publikoko elkarteek, enplegu-zentro bereziek, arrantzale-kofradiek eta gizarteratze-enpresek ere irabaziak lortzen dituzte. Hain zuzen ere, enplegu-zentro berezien eta gizarteratze-enpresen emaitza positiboa 4,5 milioi eurokoa izan da. Oso datu adierazgarria da Gizarte Ekonomiaren barruan enplegua sortzeko ahalmen handia duten establezimendu horientzat.</w:t>
      </w:r>
    </w:p>
    <w:p w:rsidR="004A72E7" w:rsidRPr="001E2F6E" w:rsidRDefault="004A72E7" w:rsidP="00E7466B">
      <w:pPr>
        <w:ind w:left="426" w:hanging="426"/>
        <w:rPr>
          <w:lang w:val="eu-ES"/>
        </w:rPr>
      </w:pPr>
    </w:p>
    <w:p w:rsidR="004A72E7" w:rsidRPr="001E2F6E" w:rsidRDefault="004A72E7" w:rsidP="00E7466B">
      <w:pPr>
        <w:suppressAutoHyphens/>
        <w:ind w:left="426" w:hanging="426"/>
        <w:rPr>
          <w:lang w:val="eu-ES"/>
        </w:rPr>
      </w:pPr>
      <w:r w:rsidRPr="001E2F6E">
        <w:rPr>
          <w:lang w:val="eu-ES"/>
        </w:rPr>
        <w:lastRenderedPageBreak/>
        <w:tab/>
        <w:t>Fundazioek, ordea, 22,8 milioi euroko saldo defizitarioa izan dute. Enplegua sortzen bereziki bideratutako enpresen produktibitate txikiaren ondorio da defizit hori. Izan ere, erakunde horien produktibitate-adierazleek askoz datu txikiagoak ematen dituzte GEFKetako erakundeenek baino: Fundazioek 29.328 euroko produktibitatea dute langile bakoitzeko, eta lan-sozietateek eta kooperatibek, berriz, 31.817 eurokoa eta 49.901 eurokoa, hurrenez hurren.</w:t>
      </w:r>
    </w:p>
    <w:p w:rsidR="004A72E7" w:rsidRPr="001E2F6E" w:rsidRDefault="004A72E7" w:rsidP="00E7466B">
      <w:pPr>
        <w:suppressAutoHyphens/>
        <w:ind w:left="426" w:hanging="426"/>
        <w:rPr>
          <w:lang w:val="eu-ES"/>
        </w:rPr>
      </w:pPr>
    </w:p>
    <w:p w:rsidR="004A72E7" w:rsidRPr="001E2F6E" w:rsidRDefault="004A72E7" w:rsidP="00E7466B">
      <w:pPr>
        <w:suppressAutoHyphens/>
        <w:ind w:left="426" w:hanging="426"/>
        <w:rPr>
          <w:lang w:val="eu-ES"/>
        </w:rPr>
      </w:pPr>
      <w:r w:rsidRPr="001E2F6E">
        <w:rPr>
          <w:lang w:val="eu-ES"/>
        </w:rPr>
        <w:tab/>
        <w:t>Eraldaketarako nekazaritza-sozietateak ere defizitarioak dira, baina fundazioak baino askoz gutxiago (0,3 milioi euroko defizita izan dute).</w:t>
      </w:r>
    </w:p>
    <w:p w:rsidR="004A72E7" w:rsidRPr="001E2F6E" w:rsidRDefault="004A72E7" w:rsidP="008D1207">
      <w:pPr>
        <w:rPr>
          <w:lang w:val="eu-ES"/>
        </w:rPr>
      </w:pPr>
    </w:p>
    <w:p w:rsidR="004A72E7" w:rsidRPr="001E2F6E" w:rsidRDefault="004A72E7" w:rsidP="00E7466B">
      <w:pPr>
        <w:spacing w:line="240" w:lineRule="auto"/>
        <w:ind w:left="227" w:hanging="227"/>
        <w:jc w:val="center"/>
        <w:rPr>
          <w:b/>
          <w:bCs/>
          <w:color w:val="1F497D" w:themeColor="text2"/>
          <w:sz w:val="18"/>
          <w:szCs w:val="18"/>
          <w:lang w:val="eu-ES"/>
        </w:rPr>
      </w:pPr>
      <w:r w:rsidRPr="001E2F6E">
        <w:rPr>
          <w:b/>
          <w:bCs/>
          <w:color w:val="1F497D" w:themeColor="text2"/>
          <w:sz w:val="18"/>
          <w:szCs w:val="18"/>
          <w:lang w:val="eu-ES"/>
        </w:rPr>
        <w:t>GEFB-EN ZERGA AURREKO IRABAZIEN BANAKETA SEGMENTUAREN ARABERA,</w:t>
      </w:r>
      <w:r w:rsidR="00C11E29" w:rsidRPr="001E2F6E">
        <w:rPr>
          <w:b/>
          <w:bCs/>
          <w:color w:val="1F497D" w:themeColor="text2"/>
          <w:sz w:val="18"/>
          <w:szCs w:val="18"/>
          <w:lang w:val="eu-ES"/>
        </w:rPr>
        <w:t xml:space="preserve"> </w:t>
      </w:r>
      <w:r w:rsidRPr="001E2F6E">
        <w:rPr>
          <w:b/>
          <w:bCs/>
          <w:color w:val="1F497D" w:themeColor="text2"/>
          <w:sz w:val="18"/>
          <w:szCs w:val="18"/>
          <w:lang w:val="eu-ES"/>
        </w:rPr>
        <w:t>2012 (kopuru absolutuak eta % bertikalak)</w:t>
      </w:r>
    </w:p>
    <w:tbl>
      <w:tblPr>
        <w:tblW w:w="5000" w:type="pct"/>
        <w:jc w:val="center"/>
        <w:tblCellMar>
          <w:left w:w="70" w:type="dxa"/>
          <w:right w:w="70" w:type="dxa"/>
        </w:tblCellMar>
        <w:tblLook w:val="00A0" w:firstRow="1" w:lastRow="0" w:firstColumn="1" w:lastColumn="0" w:noHBand="0" w:noVBand="0"/>
      </w:tblPr>
      <w:tblGrid>
        <w:gridCol w:w="4694"/>
        <w:gridCol w:w="2727"/>
        <w:gridCol w:w="1507"/>
      </w:tblGrid>
      <w:tr w:rsidR="004A72E7" w:rsidRPr="001E2F6E">
        <w:trPr>
          <w:jc w:val="center"/>
        </w:trPr>
        <w:tc>
          <w:tcPr>
            <w:tcW w:w="2629" w:type="pct"/>
            <w:tcBorders>
              <w:top w:val="single" w:sz="8" w:space="0" w:color="BFBFBF"/>
              <w:left w:val="nil"/>
              <w:bottom w:val="single" w:sz="8" w:space="0" w:color="BFBFBF"/>
              <w:right w:val="single" w:sz="8" w:space="0" w:color="BFBFBF"/>
            </w:tcBorders>
            <w:shd w:val="clear" w:color="000000" w:fill="DBE5F1"/>
          </w:tcPr>
          <w:p w:rsidR="004A72E7" w:rsidRPr="001E2F6E" w:rsidRDefault="004A72E7" w:rsidP="00E7466B">
            <w:pPr>
              <w:spacing w:line="240" w:lineRule="exact"/>
              <w:ind w:left="227" w:hanging="227"/>
              <w:jc w:val="left"/>
              <w:rPr>
                <w:color w:val="000000"/>
                <w:sz w:val="22"/>
                <w:szCs w:val="22"/>
                <w:lang w:val="eu-ES"/>
              </w:rPr>
            </w:pPr>
            <w:r w:rsidRPr="001E2F6E">
              <w:rPr>
                <w:color w:val="000000"/>
                <w:sz w:val="22"/>
                <w:szCs w:val="22"/>
                <w:lang w:val="eu-ES"/>
              </w:rPr>
              <w:t> </w:t>
            </w:r>
          </w:p>
        </w:tc>
        <w:tc>
          <w:tcPr>
            <w:tcW w:w="1527" w:type="pct"/>
            <w:tcBorders>
              <w:top w:val="single" w:sz="8" w:space="0" w:color="BFBFBF"/>
              <w:left w:val="nil"/>
              <w:bottom w:val="single" w:sz="8" w:space="0" w:color="BFBFBF"/>
              <w:right w:val="single" w:sz="8" w:space="0" w:color="BFBFBF"/>
            </w:tcBorders>
            <w:shd w:val="clear" w:color="000000" w:fill="DBE5F1"/>
            <w:vAlign w:val="center"/>
          </w:tcPr>
          <w:p w:rsidR="004A72E7" w:rsidRPr="001E2F6E" w:rsidRDefault="004A72E7" w:rsidP="00E7466B">
            <w:pPr>
              <w:spacing w:line="240" w:lineRule="exact"/>
              <w:ind w:left="227" w:hanging="227"/>
              <w:jc w:val="center"/>
              <w:rPr>
                <w:b/>
                <w:bCs/>
                <w:color w:val="000000"/>
                <w:sz w:val="16"/>
                <w:szCs w:val="16"/>
              </w:rPr>
            </w:pPr>
            <w:r w:rsidRPr="001E2F6E">
              <w:rPr>
                <w:b/>
                <w:bCs/>
                <w:sz w:val="16"/>
                <w:szCs w:val="16"/>
                <w:lang w:val="eu-ES"/>
              </w:rPr>
              <w:t>Zerga aurreko irabaziak</w:t>
            </w:r>
          </w:p>
        </w:tc>
        <w:tc>
          <w:tcPr>
            <w:tcW w:w="845" w:type="pct"/>
            <w:tcBorders>
              <w:top w:val="single" w:sz="8" w:space="0" w:color="BFBFBF"/>
              <w:left w:val="nil"/>
              <w:bottom w:val="single" w:sz="8" w:space="0" w:color="BFBFBF"/>
              <w:right w:val="nil"/>
            </w:tcBorders>
            <w:shd w:val="clear" w:color="000000" w:fill="DBE5F1"/>
            <w:vAlign w:val="center"/>
          </w:tcPr>
          <w:p w:rsidR="004A72E7" w:rsidRPr="001E2F6E" w:rsidRDefault="004A72E7" w:rsidP="00E7466B">
            <w:pPr>
              <w:spacing w:line="240" w:lineRule="exact"/>
              <w:ind w:left="227" w:hanging="227"/>
              <w:jc w:val="center"/>
              <w:rPr>
                <w:b/>
                <w:bCs/>
                <w:color w:val="000000"/>
                <w:sz w:val="16"/>
                <w:szCs w:val="16"/>
              </w:rPr>
            </w:pPr>
            <w:r w:rsidRPr="001E2F6E">
              <w:rPr>
                <w:b/>
                <w:bCs/>
                <w:sz w:val="16"/>
                <w:szCs w:val="16"/>
                <w:lang w:val="eu-ES"/>
              </w:rPr>
              <w:t>% ber.</w:t>
            </w:r>
          </w:p>
        </w:tc>
      </w:tr>
      <w:tr w:rsidR="004A72E7" w:rsidRPr="001E2F6E">
        <w:trPr>
          <w:jc w:val="center"/>
        </w:trPr>
        <w:tc>
          <w:tcPr>
            <w:tcW w:w="2629" w:type="pct"/>
            <w:tcBorders>
              <w:top w:val="nil"/>
              <w:left w:val="nil"/>
              <w:bottom w:val="nil"/>
              <w:right w:val="single" w:sz="8" w:space="0" w:color="BFBFBF"/>
            </w:tcBorders>
            <w:vAlign w:val="bottom"/>
          </w:tcPr>
          <w:p w:rsidR="004A72E7" w:rsidRPr="001E2F6E" w:rsidRDefault="004A72E7" w:rsidP="00E7466B">
            <w:pPr>
              <w:spacing w:line="240" w:lineRule="exact"/>
              <w:ind w:left="227" w:hanging="227"/>
              <w:rPr>
                <w:color w:val="000000"/>
                <w:sz w:val="16"/>
                <w:szCs w:val="16"/>
              </w:rPr>
            </w:pPr>
            <w:r w:rsidRPr="001E2F6E">
              <w:rPr>
                <w:color w:val="000000"/>
                <w:sz w:val="16"/>
                <w:szCs w:val="16"/>
              </w:rPr>
              <w:t xml:space="preserve">1. </w:t>
            </w:r>
            <w:r w:rsidRPr="001E2F6E">
              <w:rPr>
                <w:sz w:val="16"/>
                <w:szCs w:val="16"/>
                <w:lang w:val="eu-ES"/>
              </w:rPr>
              <w:t>BGAE</w:t>
            </w:r>
          </w:p>
        </w:tc>
        <w:tc>
          <w:tcPr>
            <w:tcW w:w="1527" w:type="pct"/>
            <w:tcBorders>
              <w:top w:val="nil"/>
              <w:left w:val="nil"/>
              <w:bottom w:val="nil"/>
              <w:right w:val="single" w:sz="8" w:space="0" w:color="BFBFBF"/>
            </w:tcBorders>
            <w:noWrap/>
            <w:vAlign w:val="bottom"/>
          </w:tcPr>
          <w:p w:rsidR="004A72E7" w:rsidRPr="001E2F6E" w:rsidRDefault="004A72E7" w:rsidP="00E7466B">
            <w:pPr>
              <w:spacing w:line="240" w:lineRule="exact"/>
              <w:ind w:left="227" w:right="170" w:hanging="227"/>
              <w:jc w:val="right"/>
              <w:rPr>
                <w:color w:val="000000"/>
                <w:sz w:val="16"/>
                <w:szCs w:val="16"/>
              </w:rPr>
            </w:pPr>
            <w:r w:rsidRPr="001E2F6E">
              <w:rPr>
                <w:color w:val="000000"/>
                <w:sz w:val="16"/>
                <w:szCs w:val="16"/>
              </w:rPr>
              <w:t>224.953.396</w:t>
            </w:r>
          </w:p>
        </w:tc>
        <w:tc>
          <w:tcPr>
            <w:tcW w:w="845" w:type="pct"/>
            <w:tcBorders>
              <w:top w:val="nil"/>
              <w:left w:val="nil"/>
              <w:bottom w:val="nil"/>
              <w:right w:val="single" w:sz="8" w:space="0" w:color="BFBFBF"/>
            </w:tcBorders>
            <w:noWrap/>
            <w:vAlign w:val="bottom"/>
          </w:tcPr>
          <w:p w:rsidR="004A72E7" w:rsidRPr="001E2F6E" w:rsidRDefault="004A72E7" w:rsidP="00E7466B">
            <w:pPr>
              <w:spacing w:line="240" w:lineRule="exact"/>
              <w:ind w:left="227" w:right="170" w:hanging="227"/>
              <w:jc w:val="right"/>
              <w:rPr>
                <w:color w:val="000000"/>
                <w:sz w:val="16"/>
                <w:szCs w:val="16"/>
              </w:rPr>
            </w:pPr>
            <w:r w:rsidRPr="001E2F6E">
              <w:rPr>
                <w:color w:val="000000"/>
                <w:sz w:val="16"/>
                <w:szCs w:val="16"/>
              </w:rPr>
              <w:t>108,3</w:t>
            </w:r>
          </w:p>
        </w:tc>
      </w:tr>
      <w:tr w:rsidR="004A72E7" w:rsidRPr="001E2F6E">
        <w:trPr>
          <w:jc w:val="center"/>
        </w:trPr>
        <w:tc>
          <w:tcPr>
            <w:tcW w:w="2629" w:type="pct"/>
            <w:tcBorders>
              <w:top w:val="nil"/>
              <w:left w:val="nil"/>
              <w:bottom w:val="nil"/>
              <w:right w:val="single" w:sz="8" w:space="0" w:color="BFBFBF"/>
            </w:tcBorders>
            <w:vAlign w:val="bottom"/>
          </w:tcPr>
          <w:p w:rsidR="004A72E7" w:rsidRPr="001E2F6E" w:rsidRDefault="004A72E7" w:rsidP="00E7466B">
            <w:pPr>
              <w:spacing w:line="240" w:lineRule="exact"/>
              <w:ind w:left="227" w:hanging="227"/>
              <w:rPr>
                <w:color w:val="000000"/>
                <w:sz w:val="16"/>
                <w:szCs w:val="16"/>
              </w:rPr>
            </w:pPr>
            <w:r w:rsidRPr="001E2F6E">
              <w:rPr>
                <w:color w:val="000000"/>
                <w:sz w:val="16"/>
                <w:szCs w:val="16"/>
              </w:rPr>
              <w:t xml:space="preserve">2. </w:t>
            </w:r>
            <w:r w:rsidRPr="001E2F6E">
              <w:rPr>
                <w:sz w:val="16"/>
                <w:szCs w:val="16"/>
                <w:lang w:val="eu-ES"/>
              </w:rPr>
              <w:t>Gizarteratze Enpresak</w:t>
            </w:r>
          </w:p>
        </w:tc>
        <w:tc>
          <w:tcPr>
            <w:tcW w:w="1527" w:type="pct"/>
            <w:tcBorders>
              <w:top w:val="nil"/>
              <w:left w:val="nil"/>
              <w:bottom w:val="nil"/>
              <w:right w:val="single" w:sz="8" w:space="0" w:color="BFBFBF"/>
            </w:tcBorders>
            <w:noWrap/>
            <w:vAlign w:val="bottom"/>
          </w:tcPr>
          <w:p w:rsidR="004A72E7" w:rsidRPr="001E2F6E" w:rsidRDefault="004A72E7" w:rsidP="00E7466B">
            <w:pPr>
              <w:spacing w:line="240" w:lineRule="exact"/>
              <w:ind w:left="227" w:right="170" w:hanging="227"/>
              <w:jc w:val="right"/>
              <w:rPr>
                <w:color w:val="000000"/>
                <w:sz w:val="16"/>
                <w:szCs w:val="16"/>
              </w:rPr>
            </w:pPr>
            <w:r w:rsidRPr="001E2F6E">
              <w:rPr>
                <w:color w:val="000000"/>
                <w:sz w:val="16"/>
                <w:szCs w:val="16"/>
              </w:rPr>
              <w:t>3.852.197</w:t>
            </w:r>
          </w:p>
        </w:tc>
        <w:tc>
          <w:tcPr>
            <w:tcW w:w="845" w:type="pct"/>
            <w:tcBorders>
              <w:top w:val="nil"/>
              <w:left w:val="nil"/>
              <w:bottom w:val="nil"/>
              <w:right w:val="single" w:sz="8" w:space="0" w:color="BFBFBF"/>
            </w:tcBorders>
            <w:noWrap/>
            <w:vAlign w:val="bottom"/>
          </w:tcPr>
          <w:p w:rsidR="004A72E7" w:rsidRPr="001E2F6E" w:rsidRDefault="004A72E7" w:rsidP="00E7466B">
            <w:pPr>
              <w:spacing w:line="240" w:lineRule="exact"/>
              <w:ind w:left="227" w:right="170" w:hanging="227"/>
              <w:jc w:val="right"/>
              <w:rPr>
                <w:color w:val="000000"/>
                <w:sz w:val="16"/>
                <w:szCs w:val="16"/>
              </w:rPr>
            </w:pPr>
            <w:r w:rsidRPr="001E2F6E">
              <w:rPr>
                <w:color w:val="000000"/>
                <w:sz w:val="16"/>
                <w:szCs w:val="16"/>
              </w:rPr>
              <w:t>1,9</w:t>
            </w:r>
          </w:p>
        </w:tc>
      </w:tr>
      <w:tr w:rsidR="004A72E7" w:rsidRPr="001E2F6E">
        <w:trPr>
          <w:jc w:val="center"/>
        </w:trPr>
        <w:tc>
          <w:tcPr>
            <w:tcW w:w="2629" w:type="pct"/>
            <w:tcBorders>
              <w:top w:val="nil"/>
              <w:left w:val="nil"/>
              <w:bottom w:val="nil"/>
              <w:right w:val="single" w:sz="8" w:space="0" w:color="BFBFBF"/>
            </w:tcBorders>
            <w:vAlign w:val="bottom"/>
          </w:tcPr>
          <w:p w:rsidR="004A72E7" w:rsidRPr="001E2F6E" w:rsidRDefault="004A72E7" w:rsidP="00E7466B">
            <w:pPr>
              <w:spacing w:line="240" w:lineRule="exact"/>
              <w:ind w:left="227" w:hanging="227"/>
              <w:rPr>
                <w:color w:val="000000"/>
                <w:sz w:val="16"/>
                <w:szCs w:val="16"/>
              </w:rPr>
            </w:pPr>
            <w:r w:rsidRPr="001E2F6E">
              <w:rPr>
                <w:color w:val="000000"/>
                <w:sz w:val="16"/>
                <w:szCs w:val="16"/>
              </w:rPr>
              <w:t xml:space="preserve">3. </w:t>
            </w:r>
            <w:r w:rsidRPr="001E2F6E">
              <w:rPr>
                <w:sz w:val="16"/>
                <w:szCs w:val="16"/>
                <w:lang w:val="eu-ES"/>
              </w:rPr>
              <w:t>Arrantzale Kofradiak</w:t>
            </w:r>
          </w:p>
        </w:tc>
        <w:tc>
          <w:tcPr>
            <w:tcW w:w="1527" w:type="pct"/>
            <w:tcBorders>
              <w:top w:val="nil"/>
              <w:left w:val="nil"/>
              <w:bottom w:val="nil"/>
              <w:right w:val="single" w:sz="8" w:space="0" w:color="BFBFBF"/>
            </w:tcBorders>
            <w:noWrap/>
            <w:vAlign w:val="bottom"/>
          </w:tcPr>
          <w:p w:rsidR="004A72E7" w:rsidRPr="001E2F6E" w:rsidRDefault="004A72E7" w:rsidP="00E7466B">
            <w:pPr>
              <w:spacing w:line="240" w:lineRule="exact"/>
              <w:ind w:left="227" w:right="170" w:hanging="227"/>
              <w:jc w:val="right"/>
              <w:rPr>
                <w:color w:val="000000"/>
                <w:sz w:val="16"/>
                <w:szCs w:val="16"/>
              </w:rPr>
            </w:pPr>
            <w:r w:rsidRPr="001E2F6E">
              <w:rPr>
                <w:color w:val="000000"/>
                <w:sz w:val="16"/>
                <w:szCs w:val="16"/>
              </w:rPr>
              <w:t>887.542</w:t>
            </w:r>
          </w:p>
        </w:tc>
        <w:tc>
          <w:tcPr>
            <w:tcW w:w="845" w:type="pct"/>
            <w:tcBorders>
              <w:top w:val="nil"/>
              <w:left w:val="nil"/>
              <w:bottom w:val="nil"/>
              <w:right w:val="single" w:sz="8" w:space="0" w:color="BFBFBF"/>
            </w:tcBorders>
            <w:noWrap/>
            <w:vAlign w:val="bottom"/>
          </w:tcPr>
          <w:p w:rsidR="004A72E7" w:rsidRPr="001E2F6E" w:rsidRDefault="004A72E7" w:rsidP="00E7466B">
            <w:pPr>
              <w:spacing w:line="240" w:lineRule="exact"/>
              <w:ind w:left="227" w:right="170" w:hanging="227"/>
              <w:jc w:val="right"/>
              <w:rPr>
                <w:color w:val="000000"/>
                <w:sz w:val="16"/>
                <w:szCs w:val="16"/>
              </w:rPr>
            </w:pPr>
            <w:r w:rsidRPr="001E2F6E">
              <w:rPr>
                <w:color w:val="000000"/>
                <w:sz w:val="16"/>
                <w:szCs w:val="16"/>
              </w:rPr>
              <w:t>0,4</w:t>
            </w:r>
          </w:p>
        </w:tc>
      </w:tr>
      <w:tr w:rsidR="004A72E7" w:rsidRPr="001E2F6E">
        <w:trPr>
          <w:jc w:val="center"/>
        </w:trPr>
        <w:tc>
          <w:tcPr>
            <w:tcW w:w="2629" w:type="pct"/>
            <w:tcBorders>
              <w:top w:val="nil"/>
              <w:left w:val="nil"/>
              <w:bottom w:val="nil"/>
              <w:right w:val="single" w:sz="8" w:space="0" w:color="BFBFBF"/>
            </w:tcBorders>
            <w:vAlign w:val="bottom"/>
          </w:tcPr>
          <w:p w:rsidR="004A72E7" w:rsidRPr="001E2F6E" w:rsidRDefault="004A72E7" w:rsidP="00E7466B">
            <w:pPr>
              <w:spacing w:line="240" w:lineRule="exact"/>
              <w:ind w:left="227" w:hanging="227"/>
              <w:rPr>
                <w:color w:val="000000"/>
                <w:sz w:val="16"/>
                <w:szCs w:val="16"/>
              </w:rPr>
            </w:pPr>
            <w:r w:rsidRPr="001E2F6E">
              <w:rPr>
                <w:color w:val="000000"/>
                <w:sz w:val="16"/>
                <w:szCs w:val="16"/>
              </w:rPr>
              <w:t xml:space="preserve">3. </w:t>
            </w:r>
            <w:r w:rsidRPr="001E2F6E">
              <w:rPr>
                <w:sz w:val="16"/>
                <w:szCs w:val="16"/>
                <w:lang w:val="eu-ES"/>
              </w:rPr>
              <w:t>Enplegu Zentro Bereziak</w:t>
            </w:r>
          </w:p>
        </w:tc>
        <w:tc>
          <w:tcPr>
            <w:tcW w:w="1527" w:type="pct"/>
            <w:tcBorders>
              <w:top w:val="nil"/>
              <w:left w:val="nil"/>
              <w:bottom w:val="nil"/>
              <w:right w:val="single" w:sz="8" w:space="0" w:color="BFBFBF"/>
            </w:tcBorders>
            <w:noWrap/>
            <w:vAlign w:val="bottom"/>
          </w:tcPr>
          <w:p w:rsidR="004A72E7" w:rsidRPr="001E2F6E" w:rsidRDefault="004A72E7" w:rsidP="00E7466B">
            <w:pPr>
              <w:spacing w:line="240" w:lineRule="exact"/>
              <w:ind w:left="227" w:right="170" w:hanging="227"/>
              <w:jc w:val="right"/>
              <w:rPr>
                <w:color w:val="000000"/>
                <w:sz w:val="16"/>
                <w:szCs w:val="16"/>
              </w:rPr>
            </w:pPr>
            <w:r w:rsidRPr="001E2F6E">
              <w:rPr>
                <w:color w:val="000000"/>
                <w:sz w:val="16"/>
                <w:szCs w:val="16"/>
              </w:rPr>
              <w:t>605.419</w:t>
            </w:r>
          </w:p>
        </w:tc>
        <w:tc>
          <w:tcPr>
            <w:tcW w:w="845" w:type="pct"/>
            <w:tcBorders>
              <w:top w:val="nil"/>
              <w:left w:val="nil"/>
              <w:bottom w:val="nil"/>
              <w:right w:val="single" w:sz="8" w:space="0" w:color="BFBFBF"/>
            </w:tcBorders>
            <w:noWrap/>
            <w:vAlign w:val="bottom"/>
          </w:tcPr>
          <w:p w:rsidR="004A72E7" w:rsidRPr="001E2F6E" w:rsidRDefault="004A72E7" w:rsidP="00E7466B">
            <w:pPr>
              <w:spacing w:line="240" w:lineRule="exact"/>
              <w:ind w:left="227" w:right="170" w:hanging="227"/>
              <w:jc w:val="right"/>
              <w:rPr>
                <w:color w:val="000000"/>
                <w:sz w:val="16"/>
                <w:szCs w:val="16"/>
              </w:rPr>
            </w:pPr>
            <w:r w:rsidRPr="001E2F6E">
              <w:rPr>
                <w:color w:val="000000"/>
                <w:sz w:val="16"/>
                <w:szCs w:val="16"/>
              </w:rPr>
              <w:t>0,3</w:t>
            </w:r>
          </w:p>
        </w:tc>
      </w:tr>
      <w:tr w:rsidR="004A72E7" w:rsidRPr="001E2F6E">
        <w:trPr>
          <w:jc w:val="center"/>
        </w:trPr>
        <w:tc>
          <w:tcPr>
            <w:tcW w:w="2629" w:type="pct"/>
            <w:tcBorders>
              <w:top w:val="nil"/>
              <w:left w:val="nil"/>
              <w:bottom w:val="nil"/>
              <w:right w:val="single" w:sz="8" w:space="0" w:color="BFBFBF"/>
            </w:tcBorders>
            <w:noWrap/>
            <w:vAlign w:val="bottom"/>
          </w:tcPr>
          <w:p w:rsidR="004A72E7" w:rsidRPr="001E2F6E" w:rsidRDefault="004A72E7" w:rsidP="00E7466B">
            <w:pPr>
              <w:spacing w:line="240" w:lineRule="exact"/>
              <w:ind w:left="227" w:hanging="227"/>
              <w:rPr>
                <w:color w:val="000000"/>
                <w:sz w:val="16"/>
                <w:szCs w:val="16"/>
              </w:rPr>
            </w:pPr>
            <w:r w:rsidRPr="001E2F6E">
              <w:rPr>
                <w:color w:val="000000"/>
                <w:sz w:val="16"/>
                <w:szCs w:val="16"/>
              </w:rPr>
              <w:t xml:space="preserve">4. </w:t>
            </w:r>
            <w:r w:rsidRPr="001E2F6E">
              <w:rPr>
                <w:sz w:val="16"/>
                <w:szCs w:val="16"/>
                <w:lang w:val="eu-ES"/>
              </w:rPr>
              <w:t>Onura Publikoko Elkarteak</w:t>
            </w:r>
          </w:p>
        </w:tc>
        <w:tc>
          <w:tcPr>
            <w:tcW w:w="1527" w:type="pct"/>
            <w:tcBorders>
              <w:top w:val="nil"/>
              <w:left w:val="nil"/>
              <w:bottom w:val="nil"/>
              <w:right w:val="single" w:sz="8" w:space="0" w:color="BFBFBF"/>
            </w:tcBorders>
            <w:noWrap/>
            <w:vAlign w:val="bottom"/>
          </w:tcPr>
          <w:p w:rsidR="004A72E7" w:rsidRPr="001E2F6E" w:rsidRDefault="004A72E7" w:rsidP="00E7466B">
            <w:pPr>
              <w:spacing w:line="240" w:lineRule="exact"/>
              <w:ind w:left="227" w:right="170" w:hanging="227"/>
              <w:jc w:val="right"/>
              <w:rPr>
                <w:color w:val="000000"/>
                <w:sz w:val="16"/>
                <w:szCs w:val="16"/>
              </w:rPr>
            </w:pPr>
            <w:r w:rsidRPr="001E2F6E">
              <w:rPr>
                <w:color w:val="000000"/>
                <w:sz w:val="16"/>
                <w:szCs w:val="16"/>
              </w:rPr>
              <w:t>467.927</w:t>
            </w:r>
          </w:p>
        </w:tc>
        <w:tc>
          <w:tcPr>
            <w:tcW w:w="845" w:type="pct"/>
            <w:tcBorders>
              <w:top w:val="nil"/>
              <w:left w:val="nil"/>
              <w:bottom w:val="nil"/>
              <w:right w:val="single" w:sz="8" w:space="0" w:color="BFBFBF"/>
            </w:tcBorders>
            <w:noWrap/>
            <w:vAlign w:val="bottom"/>
          </w:tcPr>
          <w:p w:rsidR="004A72E7" w:rsidRPr="001E2F6E" w:rsidRDefault="004A72E7" w:rsidP="00E7466B">
            <w:pPr>
              <w:spacing w:line="240" w:lineRule="exact"/>
              <w:ind w:left="227" w:right="170" w:hanging="227"/>
              <w:jc w:val="right"/>
              <w:rPr>
                <w:color w:val="000000"/>
                <w:sz w:val="16"/>
                <w:szCs w:val="16"/>
              </w:rPr>
            </w:pPr>
            <w:r w:rsidRPr="001E2F6E">
              <w:rPr>
                <w:color w:val="000000"/>
                <w:sz w:val="16"/>
                <w:szCs w:val="16"/>
              </w:rPr>
              <w:t>0,2</w:t>
            </w:r>
          </w:p>
        </w:tc>
      </w:tr>
      <w:tr w:rsidR="004A72E7" w:rsidRPr="001E2F6E">
        <w:trPr>
          <w:jc w:val="center"/>
        </w:trPr>
        <w:tc>
          <w:tcPr>
            <w:tcW w:w="2629" w:type="pct"/>
            <w:tcBorders>
              <w:top w:val="nil"/>
              <w:left w:val="nil"/>
              <w:bottom w:val="nil"/>
              <w:right w:val="single" w:sz="8" w:space="0" w:color="BFBFBF"/>
            </w:tcBorders>
            <w:noWrap/>
            <w:vAlign w:val="bottom"/>
          </w:tcPr>
          <w:p w:rsidR="004A72E7" w:rsidRPr="001E2F6E" w:rsidRDefault="004A72E7" w:rsidP="00E7466B">
            <w:pPr>
              <w:spacing w:line="240" w:lineRule="exact"/>
              <w:ind w:left="227" w:hanging="227"/>
              <w:rPr>
                <w:color w:val="000000"/>
                <w:sz w:val="16"/>
                <w:szCs w:val="16"/>
              </w:rPr>
            </w:pPr>
            <w:r w:rsidRPr="001E2F6E">
              <w:rPr>
                <w:color w:val="000000"/>
                <w:sz w:val="16"/>
                <w:szCs w:val="16"/>
              </w:rPr>
              <w:t xml:space="preserve">6. </w:t>
            </w:r>
            <w:r w:rsidRPr="001E2F6E">
              <w:rPr>
                <w:sz w:val="16"/>
                <w:szCs w:val="16"/>
                <w:lang w:val="eu-ES"/>
              </w:rPr>
              <w:t>ENS</w:t>
            </w:r>
          </w:p>
        </w:tc>
        <w:tc>
          <w:tcPr>
            <w:tcW w:w="1527" w:type="pct"/>
            <w:tcBorders>
              <w:top w:val="nil"/>
              <w:left w:val="nil"/>
              <w:bottom w:val="nil"/>
              <w:right w:val="single" w:sz="8" w:space="0" w:color="BFBFBF"/>
            </w:tcBorders>
            <w:noWrap/>
            <w:vAlign w:val="bottom"/>
          </w:tcPr>
          <w:p w:rsidR="004A72E7" w:rsidRPr="001E2F6E" w:rsidRDefault="004A72E7" w:rsidP="00E7466B">
            <w:pPr>
              <w:spacing w:line="240" w:lineRule="exact"/>
              <w:ind w:left="227" w:right="170" w:hanging="227"/>
              <w:jc w:val="right"/>
              <w:rPr>
                <w:color w:val="000000"/>
                <w:sz w:val="16"/>
                <w:szCs w:val="16"/>
              </w:rPr>
            </w:pPr>
            <w:r w:rsidRPr="001E2F6E">
              <w:rPr>
                <w:color w:val="000000"/>
                <w:sz w:val="16"/>
                <w:szCs w:val="16"/>
              </w:rPr>
              <w:t>-295.725</w:t>
            </w:r>
          </w:p>
        </w:tc>
        <w:tc>
          <w:tcPr>
            <w:tcW w:w="845" w:type="pct"/>
            <w:tcBorders>
              <w:top w:val="nil"/>
              <w:left w:val="nil"/>
              <w:bottom w:val="nil"/>
              <w:right w:val="single" w:sz="8" w:space="0" w:color="BFBFBF"/>
            </w:tcBorders>
            <w:noWrap/>
            <w:vAlign w:val="bottom"/>
          </w:tcPr>
          <w:p w:rsidR="004A72E7" w:rsidRPr="001E2F6E" w:rsidRDefault="004A72E7" w:rsidP="00E7466B">
            <w:pPr>
              <w:spacing w:line="240" w:lineRule="exact"/>
              <w:ind w:left="227" w:right="170" w:hanging="227"/>
              <w:jc w:val="right"/>
              <w:rPr>
                <w:color w:val="000000"/>
                <w:sz w:val="16"/>
                <w:szCs w:val="16"/>
              </w:rPr>
            </w:pPr>
            <w:r w:rsidRPr="001E2F6E">
              <w:rPr>
                <w:color w:val="000000"/>
                <w:sz w:val="16"/>
                <w:szCs w:val="16"/>
              </w:rPr>
              <w:t>-0,1</w:t>
            </w:r>
          </w:p>
        </w:tc>
      </w:tr>
      <w:tr w:rsidR="004A72E7" w:rsidRPr="001E2F6E">
        <w:trPr>
          <w:jc w:val="center"/>
        </w:trPr>
        <w:tc>
          <w:tcPr>
            <w:tcW w:w="2629" w:type="pct"/>
            <w:tcBorders>
              <w:top w:val="nil"/>
              <w:left w:val="nil"/>
              <w:bottom w:val="single" w:sz="8" w:space="0" w:color="BFBFBF"/>
              <w:right w:val="single" w:sz="8" w:space="0" w:color="BFBFBF"/>
            </w:tcBorders>
            <w:noWrap/>
            <w:vAlign w:val="bottom"/>
          </w:tcPr>
          <w:p w:rsidR="004A72E7" w:rsidRPr="001E2F6E" w:rsidRDefault="004A72E7" w:rsidP="00E7466B">
            <w:pPr>
              <w:spacing w:line="240" w:lineRule="exact"/>
              <w:ind w:left="227" w:hanging="227"/>
              <w:rPr>
                <w:color w:val="000000"/>
                <w:sz w:val="16"/>
                <w:szCs w:val="16"/>
              </w:rPr>
            </w:pPr>
            <w:r w:rsidRPr="001E2F6E">
              <w:rPr>
                <w:color w:val="000000"/>
                <w:sz w:val="16"/>
                <w:szCs w:val="16"/>
              </w:rPr>
              <w:t xml:space="preserve">7. </w:t>
            </w:r>
            <w:r w:rsidRPr="001E2F6E">
              <w:rPr>
                <w:sz w:val="16"/>
                <w:szCs w:val="16"/>
                <w:lang w:val="eu-ES"/>
              </w:rPr>
              <w:t>Fundazioak</w:t>
            </w:r>
          </w:p>
        </w:tc>
        <w:tc>
          <w:tcPr>
            <w:tcW w:w="1527" w:type="pct"/>
            <w:tcBorders>
              <w:top w:val="nil"/>
              <w:left w:val="nil"/>
              <w:bottom w:val="single" w:sz="8" w:space="0" w:color="BFBFBF"/>
              <w:right w:val="single" w:sz="8" w:space="0" w:color="BFBFBF"/>
            </w:tcBorders>
            <w:noWrap/>
            <w:vAlign w:val="bottom"/>
          </w:tcPr>
          <w:p w:rsidR="004A72E7" w:rsidRPr="001E2F6E" w:rsidRDefault="004A72E7" w:rsidP="00E7466B">
            <w:pPr>
              <w:spacing w:line="240" w:lineRule="exact"/>
              <w:ind w:left="227" w:right="170" w:hanging="227"/>
              <w:jc w:val="right"/>
              <w:rPr>
                <w:color w:val="000000"/>
                <w:sz w:val="16"/>
                <w:szCs w:val="16"/>
              </w:rPr>
            </w:pPr>
            <w:r w:rsidRPr="001E2F6E">
              <w:rPr>
                <w:color w:val="000000"/>
                <w:sz w:val="16"/>
                <w:szCs w:val="16"/>
              </w:rPr>
              <w:t>-22.747.918</w:t>
            </w:r>
          </w:p>
        </w:tc>
        <w:tc>
          <w:tcPr>
            <w:tcW w:w="845" w:type="pct"/>
            <w:tcBorders>
              <w:top w:val="nil"/>
              <w:left w:val="nil"/>
              <w:bottom w:val="single" w:sz="8" w:space="0" w:color="BFBFBF"/>
              <w:right w:val="single" w:sz="8" w:space="0" w:color="BFBFBF"/>
            </w:tcBorders>
            <w:noWrap/>
            <w:vAlign w:val="bottom"/>
          </w:tcPr>
          <w:p w:rsidR="004A72E7" w:rsidRPr="001E2F6E" w:rsidRDefault="004A72E7" w:rsidP="00E7466B">
            <w:pPr>
              <w:spacing w:line="240" w:lineRule="exact"/>
              <w:ind w:left="227" w:right="170" w:hanging="227"/>
              <w:jc w:val="right"/>
              <w:rPr>
                <w:color w:val="000000"/>
                <w:sz w:val="16"/>
                <w:szCs w:val="16"/>
              </w:rPr>
            </w:pPr>
            <w:r w:rsidRPr="001E2F6E">
              <w:rPr>
                <w:color w:val="000000"/>
                <w:sz w:val="16"/>
                <w:szCs w:val="16"/>
              </w:rPr>
              <w:t>-11,0</w:t>
            </w:r>
          </w:p>
        </w:tc>
      </w:tr>
      <w:tr w:rsidR="004A72E7" w:rsidRPr="001E2F6E">
        <w:trPr>
          <w:jc w:val="center"/>
        </w:trPr>
        <w:tc>
          <w:tcPr>
            <w:tcW w:w="2629" w:type="pct"/>
            <w:tcBorders>
              <w:top w:val="nil"/>
              <w:left w:val="nil"/>
              <w:bottom w:val="single" w:sz="8" w:space="0" w:color="BFBFBF"/>
              <w:right w:val="single" w:sz="8" w:space="0" w:color="BFBFBF"/>
            </w:tcBorders>
            <w:noWrap/>
            <w:vAlign w:val="bottom"/>
          </w:tcPr>
          <w:p w:rsidR="004A72E7" w:rsidRPr="001E2F6E" w:rsidRDefault="004A72E7" w:rsidP="00E7466B">
            <w:pPr>
              <w:spacing w:line="240" w:lineRule="exact"/>
              <w:ind w:left="227" w:hanging="227"/>
              <w:rPr>
                <w:b/>
                <w:bCs/>
                <w:color w:val="000000"/>
                <w:sz w:val="16"/>
                <w:szCs w:val="16"/>
              </w:rPr>
            </w:pPr>
            <w:r w:rsidRPr="001E2F6E">
              <w:rPr>
                <w:b/>
                <w:bCs/>
                <w:sz w:val="16"/>
                <w:szCs w:val="16"/>
                <w:lang w:val="eu-ES"/>
              </w:rPr>
              <w:t>GUZTIRA</w:t>
            </w:r>
          </w:p>
        </w:tc>
        <w:tc>
          <w:tcPr>
            <w:tcW w:w="1527" w:type="pct"/>
            <w:tcBorders>
              <w:top w:val="nil"/>
              <w:left w:val="nil"/>
              <w:bottom w:val="single" w:sz="8" w:space="0" w:color="BFBFBF"/>
              <w:right w:val="single" w:sz="8" w:space="0" w:color="BFBFBF"/>
            </w:tcBorders>
            <w:noWrap/>
            <w:vAlign w:val="bottom"/>
          </w:tcPr>
          <w:p w:rsidR="004A72E7" w:rsidRPr="001E2F6E" w:rsidRDefault="004A72E7" w:rsidP="00E7466B">
            <w:pPr>
              <w:spacing w:line="240" w:lineRule="exact"/>
              <w:ind w:left="227" w:right="170" w:hanging="227"/>
              <w:jc w:val="right"/>
              <w:rPr>
                <w:b/>
                <w:bCs/>
                <w:color w:val="000000"/>
                <w:sz w:val="16"/>
                <w:szCs w:val="16"/>
              </w:rPr>
            </w:pPr>
            <w:r w:rsidRPr="001E2F6E">
              <w:rPr>
                <w:b/>
                <w:bCs/>
                <w:color w:val="000000"/>
                <w:sz w:val="16"/>
                <w:szCs w:val="16"/>
              </w:rPr>
              <w:t>207.722.838</w:t>
            </w:r>
          </w:p>
        </w:tc>
        <w:tc>
          <w:tcPr>
            <w:tcW w:w="845" w:type="pct"/>
            <w:tcBorders>
              <w:top w:val="nil"/>
              <w:left w:val="nil"/>
              <w:bottom w:val="single" w:sz="8" w:space="0" w:color="BFBFBF"/>
              <w:right w:val="nil"/>
            </w:tcBorders>
            <w:vAlign w:val="bottom"/>
          </w:tcPr>
          <w:p w:rsidR="004A72E7" w:rsidRPr="001E2F6E" w:rsidRDefault="004A72E7" w:rsidP="00E7466B">
            <w:pPr>
              <w:spacing w:line="240" w:lineRule="exact"/>
              <w:ind w:left="227" w:right="170" w:hanging="227"/>
              <w:jc w:val="right"/>
              <w:rPr>
                <w:b/>
                <w:bCs/>
                <w:color w:val="000000"/>
                <w:sz w:val="16"/>
                <w:szCs w:val="16"/>
              </w:rPr>
            </w:pPr>
            <w:r w:rsidRPr="001E2F6E">
              <w:rPr>
                <w:b/>
                <w:bCs/>
                <w:color w:val="000000"/>
                <w:sz w:val="16"/>
                <w:szCs w:val="16"/>
              </w:rPr>
              <w:t>100,0</w:t>
            </w:r>
          </w:p>
        </w:tc>
      </w:tr>
    </w:tbl>
    <w:p w:rsidR="004A72E7" w:rsidRPr="001E2F6E" w:rsidRDefault="004A72E7" w:rsidP="00115016"/>
    <w:p w:rsidR="004A72E7" w:rsidRPr="001E2F6E" w:rsidRDefault="004A72E7" w:rsidP="00115016">
      <w:pPr>
        <w:rPr>
          <w:lang w:val="es-ES_tradnl"/>
        </w:rPr>
      </w:pPr>
    </w:p>
    <w:p w:rsidR="00D64E67" w:rsidRPr="001E2F6E" w:rsidRDefault="00D64E67">
      <w:pPr>
        <w:spacing w:line="240" w:lineRule="auto"/>
        <w:jc w:val="left"/>
      </w:pPr>
      <w:r w:rsidRPr="001E2F6E">
        <w:br w:type="page"/>
      </w:r>
    </w:p>
    <w:p w:rsidR="00D64E67" w:rsidRPr="001E2F6E" w:rsidRDefault="00D64E67">
      <w:pPr>
        <w:spacing w:line="240" w:lineRule="auto"/>
        <w:jc w:val="left"/>
      </w:pPr>
      <w:r w:rsidRPr="001E2F6E">
        <w:lastRenderedPageBreak/>
        <w:br w:type="page"/>
      </w:r>
    </w:p>
    <w:p w:rsidR="00195BE7" w:rsidRPr="001E2F6E" w:rsidRDefault="00195BE7" w:rsidP="00195BE7">
      <w:pPr>
        <w:pStyle w:val="ARIALNARROW"/>
        <w:spacing w:line="360" w:lineRule="auto"/>
        <w:ind w:left="227"/>
      </w:pPr>
    </w:p>
    <w:p w:rsidR="00195BE7" w:rsidRPr="001E2F6E" w:rsidRDefault="00195BE7" w:rsidP="00195BE7">
      <w:pPr>
        <w:pStyle w:val="ARIALNARROW"/>
        <w:spacing w:line="360" w:lineRule="auto"/>
        <w:ind w:left="227"/>
      </w:pPr>
    </w:p>
    <w:p w:rsidR="00195BE7" w:rsidRPr="001E2F6E" w:rsidRDefault="00195BE7" w:rsidP="00195BE7">
      <w:pPr>
        <w:pStyle w:val="ARIALNARROW"/>
        <w:spacing w:line="360" w:lineRule="auto"/>
        <w:ind w:left="227"/>
      </w:pPr>
    </w:p>
    <w:p w:rsidR="00195BE7" w:rsidRPr="001E2F6E" w:rsidRDefault="00195BE7" w:rsidP="00195BE7">
      <w:pPr>
        <w:pStyle w:val="ARIALNARROW"/>
        <w:spacing w:line="360" w:lineRule="auto"/>
        <w:ind w:left="227"/>
      </w:pPr>
    </w:p>
    <w:p w:rsidR="00195BE7" w:rsidRPr="001E2F6E" w:rsidRDefault="00195BE7" w:rsidP="00195BE7">
      <w:pPr>
        <w:pStyle w:val="ARIALNARROW"/>
        <w:spacing w:line="360" w:lineRule="auto"/>
        <w:ind w:left="227"/>
      </w:pPr>
    </w:p>
    <w:p w:rsidR="00195BE7" w:rsidRPr="001E2F6E" w:rsidRDefault="00195BE7" w:rsidP="00195BE7">
      <w:pPr>
        <w:pStyle w:val="ARIALNARROW"/>
        <w:spacing w:line="360" w:lineRule="auto"/>
        <w:ind w:left="227"/>
      </w:pPr>
    </w:p>
    <w:p w:rsidR="00195BE7" w:rsidRPr="001E2F6E" w:rsidRDefault="00195BE7" w:rsidP="00195BE7">
      <w:pPr>
        <w:pStyle w:val="ARIALNARROW"/>
        <w:spacing w:line="360" w:lineRule="auto"/>
        <w:ind w:left="227"/>
      </w:pPr>
    </w:p>
    <w:p w:rsidR="00195BE7" w:rsidRPr="001E2F6E" w:rsidRDefault="00195BE7" w:rsidP="00195BE7">
      <w:pPr>
        <w:pStyle w:val="ARIALNARROW"/>
        <w:spacing w:line="360" w:lineRule="auto"/>
        <w:ind w:left="227"/>
      </w:pPr>
    </w:p>
    <w:p w:rsidR="00195BE7" w:rsidRPr="001E2F6E" w:rsidRDefault="00195BE7" w:rsidP="00195BE7">
      <w:pPr>
        <w:pStyle w:val="ARIALNARROW"/>
        <w:spacing w:line="360" w:lineRule="auto"/>
        <w:ind w:left="227"/>
      </w:pPr>
    </w:p>
    <w:p w:rsidR="00195BE7" w:rsidRPr="001E2F6E" w:rsidRDefault="00195BE7" w:rsidP="00195BE7">
      <w:pPr>
        <w:pStyle w:val="ARIALNARROW"/>
        <w:spacing w:line="360" w:lineRule="auto"/>
        <w:ind w:left="227"/>
      </w:pPr>
    </w:p>
    <w:p w:rsidR="00195BE7" w:rsidRPr="001E2F6E" w:rsidRDefault="00195BE7" w:rsidP="00195BE7">
      <w:pPr>
        <w:pStyle w:val="ARIALNARROW"/>
        <w:spacing w:line="360" w:lineRule="auto"/>
        <w:ind w:left="227"/>
      </w:pPr>
    </w:p>
    <w:p w:rsidR="00195BE7" w:rsidRPr="001E2F6E" w:rsidRDefault="00195BE7" w:rsidP="00195BE7">
      <w:pPr>
        <w:pStyle w:val="ARIALNARROW"/>
        <w:spacing w:line="360" w:lineRule="auto"/>
        <w:ind w:left="227"/>
      </w:pPr>
    </w:p>
    <w:p w:rsidR="00195BE7" w:rsidRPr="001E2F6E" w:rsidRDefault="00195BE7" w:rsidP="00195BE7">
      <w:pPr>
        <w:pStyle w:val="ARIALNARROW"/>
        <w:spacing w:line="360" w:lineRule="auto"/>
        <w:ind w:left="227"/>
      </w:pPr>
    </w:p>
    <w:p w:rsidR="00195BE7" w:rsidRPr="001E2F6E" w:rsidRDefault="00195BE7" w:rsidP="00195BE7">
      <w:pPr>
        <w:pStyle w:val="ARIALNARROW"/>
        <w:spacing w:line="360" w:lineRule="auto"/>
        <w:ind w:left="227"/>
      </w:pPr>
    </w:p>
    <w:p w:rsidR="00195BE7" w:rsidRPr="001E2F6E" w:rsidRDefault="00195BE7" w:rsidP="00195BE7">
      <w:pPr>
        <w:pStyle w:val="ARIALNARROW"/>
        <w:spacing w:line="360" w:lineRule="auto"/>
        <w:ind w:left="227"/>
      </w:pPr>
    </w:p>
    <w:p w:rsidR="00195BE7" w:rsidRPr="001E2F6E" w:rsidRDefault="00195BE7" w:rsidP="00195BE7">
      <w:pPr>
        <w:pStyle w:val="ARIALNARROW"/>
        <w:spacing w:line="360" w:lineRule="auto"/>
        <w:ind w:left="227"/>
      </w:pPr>
    </w:p>
    <w:p w:rsidR="00195BE7" w:rsidRPr="001E2F6E" w:rsidRDefault="00195BE7" w:rsidP="00195BE7">
      <w:pPr>
        <w:pStyle w:val="Ttulo1"/>
        <w:pBdr>
          <w:bottom w:val="single" w:sz="4" w:space="1" w:color="BFBFBF" w:themeColor="background1" w:themeShade="BF"/>
        </w:pBdr>
        <w:jc w:val="center"/>
        <w:rPr>
          <w:sz w:val="32"/>
          <w:szCs w:val="32"/>
        </w:rPr>
      </w:pPr>
      <w:bookmarkStart w:id="16" w:name="_Toc391989002"/>
      <w:bookmarkStart w:id="17" w:name="_Toc392585665"/>
      <w:r w:rsidRPr="001E2F6E">
        <w:rPr>
          <w:sz w:val="32"/>
          <w:szCs w:val="32"/>
        </w:rPr>
        <w:t>ERANSKIN ESTATISTIKOA</w:t>
      </w:r>
      <w:bookmarkEnd w:id="16"/>
      <w:bookmarkEnd w:id="17"/>
    </w:p>
    <w:p w:rsidR="00195BE7" w:rsidRPr="001E2F6E" w:rsidRDefault="00195BE7" w:rsidP="00195BE7">
      <w:pPr>
        <w:pStyle w:val="ARIALNARROW"/>
        <w:spacing w:line="360" w:lineRule="auto"/>
        <w:ind w:left="227"/>
        <w:jc w:val="center"/>
      </w:pPr>
    </w:p>
    <w:p w:rsidR="00195BE7" w:rsidRPr="001E2F6E" w:rsidRDefault="00195BE7" w:rsidP="00195BE7">
      <w:pPr>
        <w:pStyle w:val="ARIALNARROW"/>
        <w:spacing w:line="360" w:lineRule="auto"/>
        <w:ind w:left="227"/>
      </w:pPr>
    </w:p>
    <w:p w:rsidR="00195BE7" w:rsidRPr="001E2F6E" w:rsidRDefault="00195BE7" w:rsidP="00195BE7">
      <w:pPr>
        <w:pStyle w:val="ARIALNARROW"/>
        <w:spacing w:line="360" w:lineRule="auto"/>
        <w:ind w:left="227"/>
      </w:pPr>
    </w:p>
    <w:p w:rsidR="00195BE7" w:rsidRPr="001E2F6E" w:rsidRDefault="00195BE7" w:rsidP="00195BE7">
      <w:pPr>
        <w:pStyle w:val="ARIALNARROW"/>
        <w:spacing w:line="360" w:lineRule="auto"/>
        <w:ind w:left="227"/>
      </w:pPr>
    </w:p>
    <w:p w:rsidR="00195BE7" w:rsidRPr="001E2F6E" w:rsidRDefault="00195BE7" w:rsidP="00195BE7">
      <w:pPr>
        <w:spacing w:after="200" w:line="276" w:lineRule="auto"/>
        <w:jc w:val="left"/>
        <w:rPr>
          <w:rFonts w:eastAsia="Times New Roman"/>
          <w:lang w:val="es-ES_tradnl" w:eastAsia="es-ES"/>
        </w:rPr>
      </w:pPr>
      <w:r w:rsidRPr="001E2F6E">
        <w:rPr>
          <w:rFonts w:eastAsia="Times New Roman"/>
          <w:lang w:val="es-ES_tradnl" w:eastAsia="es-ES"/>
        </w:rPr>
        <w:br w:type="page"/>
      </w:r>
    </w:p>
    <w:p w:rsidR="00195BE7" w:rsidRPr="001E2F6E" w:rsidRDefault="00195BE7">
      <w:pPr>
        <w:spacing w:line="240" w:lineRule="auto"/>
        <w:jc w:val="left"/>
        <w:rPr>
          <w:rFonts w:eastAsia="Times New Roman"/>
          <w:b/>
          <w:bCs/>
          <w:color w:val="1F497D" w:themeColor="text2"/>
          <w:sz w:val="28"/>
          <w:szCs w:val="28"/>
          <w:lang w:eastAsia="es-ES"/>
        </w:rPr>
      </w:pPr>
      <w:bookmarkStart w:id="18" w:name="_Toc391989003"/>
      <w:r w:rsidRPr="001E2F6E">
        <w:rPr>
          <w:color w:val="1F497D" w:themeColor="text2"/>
        </w:rPr>
        <w:lastRenderedPageBreak/>
        <w:br w:type="page"/>
      </w:r>
    </w:p>
    <w:p w:rsidR="00195BE7" w:rsidRPr="001E2F6E" w:rsidRDefault="00195BE7" w:rsidP="00195BE7">
      <w:pPr>
        <w:pStyle w:val="Ttulo1"/>
        <w:ind w:left="708" w:hanging="708"/>
        <w:rPr>
          <w:color w:val="1F497D" w:themeColor="text2"/>
        </w:rPr>
      </w:pPr>
      <w:bookmarkStart w:id="19" w:name="_Toc392585666"/>
      <w:r w:rsidRPr="001E2F6E">
        <w:rPr>
          <w:color w:val="1F497D" w:themeColor="text2"/>
        </w:rPr>
        <w:lastRenderedPageBreak/>
        <w:t xml:space="preserve">I.- </w:t>
      </w:r>
      <w:r w:rsidRPr="001E2F6E">
        <w:rPr>
          <w:color w:val="1F497D" w:themeColor="text2"/>
        </w:rPr>
        <w:tab/>
        <w:t>GIZARTE-EKONOMIAREN FORMA KLASIKOAK 2012 (GEFK)</w:t>
      </w:r>
      <w:bookmarkEnd w:id="18"/>
      <w:bookmarkEnd w:id="19"/>
    </w:p>
    <w:p w:rsidR="00195BE7" w:rsidRPr="001E2F6E" w:rsidRDefault="00195BE7" w:rsidP="00195BE7"/>
    <w:p w:rsidR="00195BE7" w:rsidRPr="001E2F6E" w:rsidRDefault="00195BE7" w:rsidP="00195BE7">
      <w:pPr>
        <w:pStyle w:val="Ttulo1"/>
        <w:ind w:left="708" w:hanging="708"/>
        <w:rPr>
          <w:color w:val="1F497D" w:themeColor="text2"/>
          <w:sz w:val="26"/>
          <w:szCs w:val="26"/>
        </w:rPr>
      </w:pPr>
      <w:bookmarkStart w:id="20" w:name="_Toc391989004"/>
      <w:bookmarkStart w:id="21" w:name="_Toc392585667"/>
      <w:r w:rsidRPr="001E2F6E">
        <w:rPr>
          <w:color w:val="1F497D" w:themeColor="text2"/>
          <w:sz w:val="26"/>
          <w:szCs w:val="26"/>
        </w:rPr>
        <w:t xml:space="preserve">1.- </w:t>
      </w:r>
      <w:r w:rsidRPr="001E2F6E">
        <w:rPr>
          <w:color w:val="1F497D" w:themeColor="text2"/>
          <w:sz w:val="26"/>
          <w:szCs w:val="26"/>
        </w:rPr>
        <w:tab/>
        <w:t>ENPLEGUAREN ETA ESTABLEZIMENDUEN DINAMIKA 2010-2012 BIURTEKOAN</w:t>
      </w:r>
      <w:bookmarkEnd w:id="20"/>
      <w:bookmarkEnd w:id="21"/>
    </w:p>
    <w:p w:rsidR="00195BE7" w:rsidRPr="001E2F6E" w:rsidRDefault="00195BE7" w:rsidP="00195BE7"/>
    <w:p w:rsidR="00195BE7" w:rsidRPr="001E2F6E" w:rsidRDefault="00195BE7" w:rsidP="00195BE7">
      <w:pPr>
        <w:pStyle w:val="Epgrafe"/>
        <w:jc w:val="center"/>
        <w:rPr>
          <w:rFonts w:ascii="Arial" w:hAnsi="Arial" w:cs="Arial"/>
          <w:color w:val="1F497D" w:themeColor="text2"/>
          <w:sz w:val="18"/>
          <w:szCs w:val="18"/>
        </w:rPr>
      </w:pPr>
      <w:bookmarkStart w:id="22" w:name="_Toc391989073"/>
      <w:bookmarkStart w:id="23" w:name="_Toc392585736"/>
      <w:r w:rsidRPr="001E2F6E">
        <w:rPr>
          <w:rFonts w:ascii="Arial" w:hAnsi="Arial" w:cs="Arial"/>
          <w:color w:val="1F497D" w:themeColor="text2"/>
          <w:sz w:val="18"/>
          <w:szCs w:val="18"/>
        </w:rPr>
        <w:t>1.</w:t>
      </w:r>
      <w:r w:rsidR="00EB6BA6" w:rsidRPr="001E2F6E">
        <w:rPr>
          <w:rFonts w:ascii="Arial" w:hAnsi="Arial" w:cs="Arial"/>
          <w:color w:val="1F497D" w:themeColor="text2"/>
          <w:sz w:val="18"/>
          <w:szCs w:val="18"/>
        </w:rPr>
        <w:fldChar w:fldCharType="begin"/>
      </w:r>
      <w:r w:rsidRPr="001E2F6E">
        <w:rPr>
          <w:rFonts w:ascii="Arial" w:hAnsi="Arial" w:cs="Arial"/>
          <w:color w:val="1F497D" w:themeColor="text2"/>
          <w:sz w:val="18"/>
          <w:szCs w:val="18"/>
        </w:rPr>
        <w:instrText xml:space="preserve"> SEQ Cuadro_1. \* ARABIC </w:instrText>
      </w:r>
      <w:r w:rsidR="00EB6BA6" w:rsidRPr="001E2F6E">
        <w:rPr>
          <w:rFonts w:ascii="Arial" w:hAnsi="Arial" w:cs="Arial"/>
          <w:color w:val="1F497D" w:themeColor="text2"/>
          <w:sz w:val="18"/>
          <w:szCs w:val="18"/>
        </w:rPr>
        <w:fldChar w:fldCharType="separate"/>
      </w:r>
      <w:r w:rsidR="00A327D4">
        <w:rPr>
          <w:rFonts w:ascii="Arial" w:hAnsi="Arial" w:cs="Arial"/>
          <w:noProof/>
          <w:color w:val="1F497D" w:themeColor="text2"/>
          <w:sz w:val="18"/>
          <w:szCs w:val="18"/>
        </w:rPr>
        <w:t>1</w:t>
      </w:r>
      <w:r w:rsidR="00EB6BA6" w:rsidRPr="001E2F6E">
        <w:rPr>
          <w:rFonts w:ascii="Arial" w:hAnsi="Arial" w:cs="Arial"/>
          <w:color w:val="1F497D" w:themeColor="text2"/>
          <w:sz w:val="18"/>
          <w:szCs w:val="18"/>
        </w:rPr>
        <w:fldChar w:fldCharType="end"/>
      </w:r>
      <w:r w:rsidRPr="001E2F6E">
        <w:rPr>
          <w:rFonts w:ascii="Arial" w:hAnsi="Arial" w:cs="Arial"/>
          <w:color w:val="1F497D" w:themeColor="text2"/>
          <w:sz w:val="18"/>
          <w:szCs w:val="18"/>
        </w:rPr>
        <w:t xml:space="preserve"> Taula</w:t>
      </w:r>
      <w:r w:rsidRPr="001E2F6E">
        <w:rPr>
          <w:rFonts w:ascii="Arial" w:hAnsi="Arial" w:cs="Arial"/>
          <w:color w:val="1F497D" w:themeColor="text2"/>
          <w:sz w:val="18"/>
          <w:szCs w:val="18"/>
          <w:lang w:val="eu-ES"/>
        </w:rPr>
        <w:t xml:space="preserve"> GIZARTE-EKONOMIAREN ALORREKO ESTABLEZIMENDUEN ETA ENPLEGUAREN BILAKAERA. KONPARAZIOZKO ERREFERENTZIA: EAEko BIZTANLERIA LANDUNA 2002-2012</w:t>
      </w:r>
      <w:bookmarkEnd w:id="22"/>
      <w:bookmarkEnd w:id="23"/>
    </w:p>
    <w:tbl>
      <w:tblPr>
        <w:tblW w:w="5000" w:type="pct"/>
        <w:jc w:val="center"/>
        <w:tblLook w:val="04A0" w:firstRow="1" w:lastRow="0" w:firstColumn="1" w:lastColumn="0" w:noHBand="0" w:noVBand="1"/>
      </w:tblPr>
      <w:tblGrid>
        <w:gridCol w:w="2591"/>
        <w:gridCol w:w="2343"/>
        <w:gridCol w:w="1963"/>
        <w:gridCol w:w="2107"/>
      </w:tblGrid>
      <w:tr w:rsidR="00195BE7" w:rsidRPr="001E2F6E" w:rsidTr="00195BE7">
        <w:trPr>
          <w:jc w:val="center"/>
        </w:trPr>
        <w:tc>
          <w:tcPr>
            <w:tcW w:w="1439" w:type="pct"/>
            <w:tcBorders>
              <w:top w:val="single" w:sz="4" w:space="0" w:color="BFBFBF" w:themeColor="background1" w:themeShade="BF"/>
              <w:right w:val="single" w:sz="4" w:space="0" w:color="BFBFBF" w:themeColor="background1" w:themeShade="BF"/>
            </w:tcBorders>
            <w:shd w:val="clear" w:color="auto" w:fill="DBE5F1" w:themeFill="accent1" w:themeFillTint="33"/>
          </w:tcPr>
          <w:p w:rsidR="00195BE7" w:rsidRPr="001E2F6E" w:rsidRDefault="00195BE7" w:rsidP="00195BE7">
            <w:pPr>
              <w:spacing w:line="240" w:lineRule="exact"/>
              <w:rPr>
                <w:b/>
                <w:sz w:val="16"/>
                <w:szCs w:val="16"/>
              </w:rPr>
            </w:pPr>
          </w:p>
        </w:tc>
        <w:tc>
          <w:tcPr>
            <w:tcW w:w="2391"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tcPr>
          <w:p w:rsidR="00195BE7" w:rsidRPr="001E2F6E" w:rsidRDefault="00195BE7" w:rsidP="00195BE7">
            <w:pPr>
              <w:spacing w:line="240" w:lineRule="exact"/>
              <w:jc w:val="center"/>
              <w:rPr>
                <w:b/>
                <w:sz w:val="16"/>
                <w:szCs w:val="16"/>
              </w:rPr>
            </w:pPr>
            <w:r w:rsidRPr="001E2F6E">
              <w:rPr>
                <w:b/>
                <w:sz w:val="16"/>
                <w:szCs w:val="16"/>
                <w:lang w:val="eu-ES"/>
              </w:rPr>
              <w:t>GIZARTE EKONOMIA</w:t>
            </w:r>
          </w:p>
        </w:tc>
        <w:tc>
          <w:tcPr>
            <w:tcW w:w="1170" w:type="pct"/>
            <w:vMerge w:val="restar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vAlign w:val="center"/>
          </w:tcPr>
          <w:p w:rsidR="00195BE7" w:rsidRPr="001E2F6E" w:rsidRDefault="00195BE7" w:rsidP="00195BE7">
            <w:pPr>
              <w:spacing w:line="240" w:lineRule="exact"/>
              <w:jc w:val="center"/>
              <w:rPr>
                <w:b/>
                <w:sz w:val="16"/>
                <w:szCs w:val="16"/>
              </w:rPr>
            </w:pPr>
            <w:r w:rsidRPr="001E2F6E">
              <w:rPr>
                <w:b/>
                <w:sz w:val="16"/>
                <w:szCs w:val="16"/>
                <w:lang w:val="eu-ES"/>
              </w:rPr>
              <w:t>Biztanleria landuna EAEn</w:t>
            </w:r>
          </w:p>
        </w:tc>
      </w:tr>
      <w:tr w:rsidR="00195BE7" w:rsidRPr="001E2F6E" w:rsidTr="00195BE7">
        <w:trPr>
          <w:jc w:val="center"/>
        </w:trPr>
        <w:tc>
          <w:tcPr>
            <w:tcW w:w="1439" w:type="pct"/>
            <w:tcBorders>
              <w:bottom w:val="single" w:sz="4" w:space="0" w:color="BFBFBF" w:themeColor="background1" w:themeShade="BF"/>
              <w:right w:val="single" w:sz="4" w:space="0" w:color="BFBFBF" w:themeColor="background1" w:themeShade="BF"/>
            </w:tcBorders>
            <w:shd w:val="clear" w:color="auto" w:fill="DBE5F1" w:themeFill="accent1" w:themeFillTint="33"/>
          </w:tcPr>
          <w:p w:rsidR="00195BE7" w:rsidRPr="001E2F6E" w:rsidRDefault="00195BE7" w:rsidP="00195BE7">
            <w:pPr>
              <w:spacing w:line="240" w:lineRule="exact"/>
              <w:rPr>
                <w:b/>
                <w:sz w:val="16"/>
                <w:szCs w:val="16"/>
              </w:rPr>
            </w:pPr>
          </w:p>
        </w:tc>
        <w:tc>
          <w:tcPr>
            <w:tcW w:w="130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tcPr>
          <w:p w:rsidR="00195BE7" w:rsidRPr="001E2F6E" w:rsidRDefault="00195BE7" w:rsidP="00195BE7">
            <w:pPr>
              <w:spacing w:line="240" w:lineRule="exact"/>
              <w:jc w:val="center"/>
              <w:rPr>
                <w:b/>
                <w:sz w:val="16"/>
                <w:szCs w:val="16"/>
                <w:lang w:val="eu-ES"/>
              </w:rPr>
            </w:pPr>
            <w:r w:rsidRPr="001E2F6E">
              <w:rPr>
                <w:b/>
                <w:sz w:val="16"/>
                <w:szCs w:val="16"/>
                <w:lang w:val="es-ES_tradnl"/>
              </w:rPr>
              <w:t>Establezimenduak</w:t>
            </w:r>
          </w:p>
        </w:tc>
        <w:tc>
          <w:tcPr>
            <w:tcW w:w="109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tcPr>
          <w:p w:rsidR="00195BE7" w:rsidRPr="001E2F6E" w:rsidRDefault="00195BE7" w:rsidP="00195BE7">
            <w:pPr>
              <w:spacing w:line="240" w:lineRule="exact"/>
              <w:jc w:val="center"/>
              <w:rPr>
                <w:b/>
                <w:sz w:val="16"/>
                <w:szCs w:val="16"/>
                <w:lang w:val="eu-ES"/>
              </w:rPr>
            </w:pPr>
            <w:r w:rsidRPr="001E2F6E">
              <w:rPr>
                <w:b/>
                <w:sz w:val="16"/>
                <w:szCs w:val="16"/>
              </w:rPr>
              <w:t>Enpleguak</w:t>
            </w:r>
          </w:p>
        </w:tc>
        <w:tc>
          <w:tcPr>
            <w:tcW w:w="1170" w:type="pct"/>
            <w:vMerge/>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vAlign w:val="center"/>
          </w:tcPr>
          <w:p w:rsidR="00195BE7" w:rsidRPr="001E2F6E" w:rsidRDefault="00195BE7" w:rsidP="00195BE7">
            <w:pPr>
              <w:spacing w:line="240" w:lineRule="exact"/>
              <w:jc w:val="center"/>
              <w:rPr>
                <w:b/>
                <w:sz w:val="16"/>
                <w:szCs w:val="16"/>
              </w:rPr>
            </w:pPr>
          </w:p>
        </w:tc>
      </w:tr>
      <w:tr w:rsidR="00195BE7" w:rsidRPr="001E2F6E" w:rsidTr="00195BE7">
        <w:trPr>
          <w:jc w:val="center"/>
        </w:trPr>
        <w:tc>
          <w:tcPr>
            <w:tcW w:w="1439" w:type="pct"/>
            <w:tcBorders>
              <w:top w:val="single" w:sz="4" w:space="0" w:color="BFBFBF" w:themeColor="background1" w:themeShade="BF"/>
              <w:right w:val="single" w:sz="4" w:space="0" w:color="BFBFBF" w:themeColor="background1" w:themeShade="BF"/>
            </w:tcBorders>
          </w:tcPr>
          <w:p w:rsidR="00195BE7" w:rsidRPr="001E2F6E" w:rsidRDefault="00195BE7" w:rsidP="00195BE7">
            <w:pPr>
              <w:spacing w:line="240" w:lineRule="exact"/>
              <w:rPr>
                <w:sz w:val="16"/>
                <w:szCs w:val="16"/>
              </w:rPr>
            </w:pPr>
            <w:r w:rsidRPr="001E2F6E">
              <w:rPr>
                <w:sz w:val="16"/>
                <w:szCs w:val="16"/>
              </w:rPr>
              <w:t>2002</w:t>
            </w:r>
          </w:p>
        </w:tc>
        <w:tc>
          <w:tcPr>
            <w:tcW w:w="1301" w:type="pct"/>
            <w:tcBorders>
              <w:top w:val="single" w:sz="4" w:space="0" w:color="BFBFBF" w:themeColor="background1" w:themeShade="BF"/>
              <w:left w:val="single" w:sz="4" w:space="0" w:color="BFBFBF" w:themeColor="background1" w:themeShade="BF"/>
              <w:right w:val="single" w:sz="4" w:space="0" w:color="BFBFBF" w:themeColor="background1" w:themeShade="BF"/>
            </w:tcBorders>
          </w:tcPr>
          <w:p w:rsidR="00195BE7" w:rsidRPr="001E2F6E" w:rsidRDefault="00195BE7" w:rsidP="00195BE7">
            <w:pPr>
              <w:spacing w:line="240" w:lineRule="exact"/>
              <w:ind w:right="284"/>
              <w:jc w:val="right"/>
              <w:rPr>
                <w:sz w:val="16"/>
                <w:szCs w:val="16"/>
              </w:rPr>
            </w:pPr>
            <w:r w:rsidRPr="001E2F6E">
              <w:rPr>
                <w:sz w:val="16"/>
                <w:szCs w:val="16"/>
              </w:rPr>
              <w:t>2.976</w:t>
            </w:r>
          </w:p>
        </w:tc>
        <w:tc>
          <w:tcPr>
            <w:tcW w:w="1090" w:type="pct"/>
            <w:tcBorders>
              <w:top w:val="single" w:sz="4" w:space="0" w:color="BFBFBF" w:themeColor="background1" w:themeShade="BF"/>
              <w:left w:val="single" w:sz="4" w:space="0" w:color="BFBFBF" w:themeColor="background1" w:themeShade="BF"/>
              <w:right w:val="single" w:sz="4" w:space="0" w:color="BFBFBF" w:themeColor="background1" w:themeShade="BF"/>
            </w:tcBorders>
          </w:tcPr>
          <w:p w:rsidR="00195BE7" w:rsidRPr="001E2F6E" w:rsidRDefault="00195BE7" w:rsidP="00195BE7">
            <w:pPr>
              <w:spacing w:line="240" w:lineRule="exact"/>
              <w:ind w:right="284"/>
              <w:jc w:val="right"/>
              <w:rPr>
                <w:sz w:val="16"/>
                <w:szCs w:val="16"/>
              </w:rPr>
            </w:pPr>
            <w:r w:rsidRPr="001E2F6E">
              <w:rPr>
                <w:sz w:val="16"/>
                <w:szCs w:val="16"/>
              </w:rPr>
              <w:t>61.022</w:t>
            </w:r>
          </w:p>
        </w:tc>
        <w:tc>
          <w:tcPr>
            <w:tcW w:w="1170" w:type="pct"/>
            <w:tcBorders>
              <w:top w:val="single" w:sz="4" w:space="0" w:color="BFBFBF" w:themeColor="background1" w:themeShade="BF"/>
              <w:left w:val="single" w:sz="4" w:space="0" w:color="BFBFBF" w:themeColor="background1" w:themeShade="BF"/>
            </w:tcBorders>
          </w:tcPr>
          <w:p w:rsidR="00195BE7" w:rsidRPr="001E2F6E" w:rsidRDefault="00195BE7" w:rsidP="00195BE7">
            <w:pPr>
              <w:spacing w:line="240" w:lineRule="exact"/>
              <w:ind w:right="284"/>
              <w:jc w:val="right"/>
              <w:rPr>
                <w:sz w:val="16"/>
                <w:szCs w:val="16"/>
              </w:rPr>
            </w:pPr>
            <w:r w:rsidRPr="001E2F6E">
              <w:rPr>
                <w:sz w:val="16"/>
                <w:szCs w:val="16"/>
              </w:rPr>
              <w:t>902.200</w:t>
            </w:r>
          </w:p>
        </w:tc>
      </w:tr>
      <w:tr w:rsidR="00195BE7" w:rsidRPr="001E2F6E" w:rsidTr="00195BE7">
        <w:trPr>
          <w:jc w:val="center"/>
        </w:trPr>
        <w:tc>
          <w:tcPr>
            <w:tcW w:w="1439" w:type="pct"/>
            <w:tcBorders>
              <w:right w:val="single" w:sz="4" w:space="0" w:color="BFBFBF" w:themeColor="background1" w:themeShade="BF"/>
            </w:tcBorders>
          </w:tcPr>
          <w:p w:rsidR="00195BE7" w:rsidRPr="001E2F6E" w:rsidRDefault="00195BE7" w:rsidP="00195BE7">
            <w:pPr>
              <w:spacing w:line="240" w:lineRule="exact"/>
              <w:rPr>
                <w:sz w:val="16"/>
                <w:szCs w:val="16"/>
              </w:rPr>
            </w:pPr>
            <w:r w:rsidRPr="001E2F6E">
              <w:rPr>
                <w:sz w:val="16"/>
                <w:szCs w:val="16"/>
              </w:rPr>
              <w:t>2004</w:t>
            </w:r>
          </w:p>
        </w:tc>
        <w:tc>
          <w:tcPr>
            <w:tcW w:w="1301" w:type="pct"/>
            <w:tcBorders>
              <w:left w:val="single" w:sz="4" w:space="0" w:color="BFBFBF" w:themeColor="background1" w:themeShade="BF"/>
              <w:right w:val="single" w:sz="4" w:space="0" w:color="BFBFBF" w:themeColor="background1" w:themeShade="BF"/>
            </w:tcBorders>
          </w:tcPr>
          <w:p w:rsidR="00195BE7" w:rsidRPr="001E2F6E" w:rsidRDefault="00195BE7" w:rsidP="00195BE7">
            <w:pPr>
              <w:spacing w:line="240" w:lineRule="exact"/>
              <w:ind w:right="284"/>
              <w:jc w:val="right"/>
              <w:rPr>
                <w:sz w:val="16"/>
                <w:szCs w:val="16"/>
              </w:rPr>
            </w:pPr>
            <w:r w:rsidRPr="001E2F6E">
              <w:rPr>
                <w:sz w:val="16"/>
                <w:szCs w:val="16"/>
              </w:rPr>
              <w:t>3.032</w:t>
            </w:r>
          </w:p>
        </w:tc>
        <w:tc>
          <w:tcPr>
            <w:tcW w:w="1090" w:type="pct"/>
            <w:tcBorders>
              <w:left w:val="single" w:sz="4" w:space="0" w:color="BFBFBF" w:themeColor="background1" w:themeShade="BF"/>
              <w:right w:val="single" w:sz="4" w:space="0" w:color="BFBFBF" w:themeColor="background1" w:themeShade="BF"/>
            </w:tcBorders>
          </w:tcPr>
          <w:p w:rsidR="00195BE7" w:rsidRPr="001E2F6E" w:rsidRDefault="00195BE7" w:rsidP="00195BE7">
            <w:pPr>
              <w:spacing w:line="240" w:lineRule="exact"/>
              <w:ind w:right="284"/>
              <w:jc w:val="right"/>
              <w:rPr>
                <w:sz w:val="16"/>
                <w:szCs w:val="16"/>
              </w:rPr>
            </w:pPr>
            <w:r w:rsidRPr="001E2F6E">
              <w:rPr>
                <w:sz w:val="16"/>
                <w:szCs w:val="16"/>
              </w:rPr>
              <w:t>61.140</w:t>
            </w:r>
          </w:p>
        </w:tc>
        <w:tc>
          <w:tcPr>
            <w:tcW w:w="1170" w:type="pct"/>
            <w:tcBorders>
              <w:left w:val="single" w:sz="4" w:space="0" w:color="BFBFBF" w:themeColor="background1" w:themeShade="BF"/>
            </w:tcBorders>
          </w:tcPr>
          <w:p w:rsidR="00195BE7" w:rsidRPr="001E2F6E" w:rsidRDefault="00195BE7" w:rsidP="00195BE7">
            <w:pPr>
              <w:spacing w:line="240" w:lineRule="exact"/>
              <w:ind w:right="284"/>
              <w:jc w:val="right"/>
              <w:rPr>
                <w:sz w:val="16"/>
                <w:szCs w:val="16"/>
              </w:rPr>
            </w:pPr>
            <w:r w:rsidRPr="001E2F6E">
              <w:rPr>
                <w:sz w:val="16"/>
                <w:szCs w:val="16"/>
              </w:rPr>
              <w:t>930.600</w:t>
            </w:r>
          </w:p>
        </w:tc>
      </w:tr>
      <w:tr w:rsidR="00195BE7" w:rsidRPr="001E2F6E" w:rsidTr="00195BE7">
        <w:trPr>
          <w:jc w:val="center"/>
        </w:trPr>
        <w:tc>
          <w:tcPr>
            <w:tcW w:w="1439" w:type="pct"/>
            <w:tcBorders>
              <w:right w:val="single" w:sz="4" w:space="0" w:color="BFBFBF" w:themeColor="background1" w:themeShade="BF"/>
            </w:tcBorders>
          </w:tcPr>
          <w:p w:rsidR="00195BE7" w:rsidRPr="001E2F6E" w:rsidRDefault="00195BE7" w:rsidP="00195BE7">
            <w:pPr>
              <w:spacing w:line="240" w:lineRule="exact"/>
              <w:rPr>
                <w:sz w:val="16"/>
                <w:szCs w:val="16"/>
              </w:rPr>
            </w:pPr>
            <w:r w:rsidRPr="001E2F6E">
              <w:rPr>
                <w:sz w:val="16"/>
                <w:szCs w:val="16"/>
              </w:rPr>
              <w:t>2006</w:t>
            </w:r>
          </w:p>
        </w:tc>
        <w:tc>
          <w:tcPr>
            <w:tcW w:w="1301" w:type="pct"/>
            <w:tcBorders>
              <w:left w:val="single" w:sz="4" w:space="0" w:color="BFBFBF" w:themeColor="background1" w:themeShade="BF"/>
              <w:right w:val="single" w:sz="4" w:space="0" w:color="BFBFBF" w:themeColor="background1" w:themeShade="BF"/>
            </w:tcBorders>
          </w:tcPr>
          <w:p w:rsidR="00195BE7" w:rsidRPr="001E2F6E" w:rsidRDefault="00195BE7" w:rsidP="00195BE7">
            <w:pPr>
              <w:spacing w:line="240" w:lineRule="exact"/>
              <w:ind w:right="284"/>
              <w:jc w:val="right"/>
              <w:rPr>
                <w:sz w:val="16"/>
                <w:szCs w:val="16"/>
              </w:rPr>
            </w:pPr>
            <w:r w:rsidRPr="001E2F6E">
              <w:rPr>
                <w:sz w:val="16"/>
                <w:szCs w:val="16"/>
              </w:rPr>
              <w:t>3.096</w:t>
            </w:r>
          </w:p>
        </w:tc>
        <w:tc>
          <w:tcPr>
            <w:tcW w:w="1090" w:type="pct"/>
            <w:tcBorders>
              <w:left w:val="single" w:sz="4" w:space="0" w:color="BFBFBF" w:themeColor="background1" w:themeShade="BF"/>
              <w:right w:val="single" w:sz="4" w:space="0" w:color="BFBFBF" w:themeColor="background1" w:themeShade="BF"/>
            </w:tcBorders>
          </w:tcPr>
          <w:p w:rsidR="00195BE7" w:rsidRPr="001E2F6E" w:rsidRDefault="00195BE7" w:rsidP="00195BE7">
            <w:pPr>
              <w:spacing w:line="240" w:lineRule="exact"/>
              <w:ind w:right="284"/>
              <w:jc w:val="right"/>
              <w:rPr>
                <w:sz w:val="16"/>
                <w:szCs w:val="16"/>
              </w:rPr>
            </w:pPr>
            <w:r w:rsidRPr="001E2F6E">
              <w:rPr>
                <w:sz w:val="16"/>
                <w:szCs w:val="16"/>
              </w:rPr>
              <w:t>63.480</w:t>
            </w:r>
          </w:p>
        </w:tc>
        <w:tc>
          <w:tcPr>
            <w:tcW w:w="1170" w:type="pct"/>
            <w:tcBorders>
              <w:left w:val="single" w:sz="4" w:space="0" w:color="BFBFBF" w:themeColor="background1" w:themeShade="BF"/>
            </w:tcBorders>
          </w:tcPr>
          <w:p w:rsidR="00195BE7" w:rsidRPr="001E2F6E" w:rsidRDefault="00195BE7" w:rsidP="00195BE7">
            <w:pPr>
              <w:spacing w:line="240" w:lineRule="exact"/>
              <w:ind w:right="284"/>
              <w:jc w:val="right"/>
              <w:rPr>
                <w:sz w:val="16"/>
                <w:szCs w:val="16"/>
              </w:rPr>
            </w:pPr>
            <w:r w:rsidRPr="001E2F6E">
              <w:rPr>
                <w:sz w:val="16"/>
                <w:szCs w:val="16"/>
              </w:rPr>
              <w:t>961.000</w:t>
            </w:r>
          </w:p>
        </w:tc>
      </w:tr>
      <w:tr w:rsidR="00195BE7" w:rsidRPr="001E2F6E" w:rsidTr="00195BE7">
        <w:trPr>
          <w:jc w:val="center"/>
        </w:trPr>
        <w:tc>
          <w:tcPr>
            <w:tcW w:w="1439" w:type="pct"/>
            <w:tcBorders>
              <w:right w:val="single" w:sz="4" w:space="0" w:color="BFBFBF" w:themeColor="background1" w:themeShade="BF"/>
            </w:tcBorders>
          </w:tcPr>
          <w:p w:rsidR="00195BE7" w:rsidRPr="001E2F6E" w:rsidRDefault="00195BE7" w:rsidP="00195BE7">
            <w:pPr>
              <w:spacing w:line="240" w:lineRule="exact"/>
              <w:rPr>
                <w:sz w:val="16"/>
                <w:szCs w:val="16"/>
              </w:rPr>
            </w:pPr>
            <w:r w:rsidRPr="001E2F6E">
              <w:rPr>
                <w:sz w:val="16"/>
                <w:szCs w:val="16"/>
              </w:rPr>
              <w:t>2008</w:t>
            </w:r>
          </w:p>
        </w:tc>
        <w:tc>
          <w:tcPr>
            <w:tcW w:w="1301" w:type="pct"/>
            <w:tcBorders>
              <w:left w:val="single" w:sz="4" w:space="0" w:color="BFBFBF" w:themeColor="background1" w:themeShade="BF"/>
              <w:right w:val="single" w:sz="4" w:space="0" w:color="BFBFBF" w:themeColor="background1" w:themeShade="BF"/>
            </w:tcBorders>
          </w:tcPr>
          <w:p w:rsidR="00195BE7" w:rsidRPr="001E2F6E" w:rsidRDefault="00195BE7" w:rsidP="00195BE7">
            <w:pPr>
              <w:spacing w:line="240" w:lineRule="exact"/>
              <w:ind w:right="284"/>
              <w:jc w:val="right"/>
              <w:rPr>
                <w:sz w:val="16"/>
                <w:szCs w:val="16"/>
              </w:rPr>
            </w:pPr>
            <w:r w:rsidRPr="001E2F6E">
              <w:rPr>
                <w:sz w:val="16"/>
                <w:szCs w:val="16"/>
              </w:rPr>
              <w:t>2.986</w:t>
            </w:r>
          </w:p>
        </w:tc>
        <w:tc>
          <w:tcPr>
            <w:tcW w:w="1090" w:type="pct"/>
            <w:tcBorders>
              <w:left w:val="single" w:sz="4" w:space="0" w:color="BFBFBF" w:themeColor="background1" w:themeShade="BF"/>
              <w:right w:val="single" w:sz="4" w:space="0" w:color="BFBFBF" w:themeColor="background1" w:themeShade="BF"/>
            </w:tcBorders>
          </w:tcPr>
          <w:p w:rsidR="00195BE7" w:rsidRPr="001E2F6E" w:rsidRDefault="00195BE7" w:rsidP="00195BE7">
            <w:pPr>
              <w:spacing w:line="240" w:lineRule="exact"/>
              <w:ind w:right="284"/>
              <w:jc w:val="right"/>
              <w:rPr>
                <w:sz w:val="16"/>
                <w:szCs w:val="16"/>
              </w:rPr>
            </w:pPr>
            <w:r w:rsidRPr="001E2F6E">
              <w:rPr>
                <w:sz w:val="16"/>
                <w:szCs w:val="16"/>
              </w:rPr>
              <w:t>62.615</w:t>
            </w:r>
          </w:p>
        </w:tc>
        <w:tc>
          <w:tcPr>
            <w:tcW w:w="1170" w:type="pct"/>
            <w:tcBorders>
              <w:left w:val="single" w:sz="4" w:space="0" w:color="BFBFBF" w:themeColor="background1" w:themeShade="BF"/>
            </w:tcBorders>
          </w:tcPr>
          <w:p w:rsidR="00195BE7" w:rsidRPr="001E2F6E" w:rsidRDefault="00195BE7" w:rsidP="00195BE7">
            <w:pPr>
              <w:spacing w:line="240" w:lineRule="exact"/>
              <w:ind w:right="284"/>
              <w:jc w:val="right"/>
              <w:rPr>
                <w:sz w:val="16"/>
                <w:szCs w:val="16"/>
              </w:rPr>
            </w:pPr>
            <w:r w:rsidRPr="001E2F6E">
              <w:rPr>
                <w:sz w:val="16"/>
                <w:szCs w:val="16"/>
              </w:rPr>
              <w:t>987.100</w:t>
            </w:r>
          </w:p>
        </w:tc>
      </w:tr>
      <w:tr w:rsidR="00195BE7" w:rsidRPr="001E2F6E" w:rsidTr="00195BE7">
        <w:trPr>
          <w:jc w:val="center"/>
        </w:trPr>
        <w:tc>
          <w:tcPr>
            <w:tcW w:w="1439" w:type="pct"/>
            <w:tcBorders>
              <w:right w:val="single" w:sz="4" w:space="0" w:color="BFBFBF" w:themeColor="background1" w:themeShade="BF"/>
            </w:tcBorders>
          </w:tcPr>
          <w:p w:rsidR="00195BE7" w:rsidRPr="001E2F6E" w:rsidRDefault="00195BE7" w:rsidP="00195BE7">
            <w:pPr>
              <w:spacing w:line="240" w:lineRule="exact"/>
              <w:rPr>
                <w:sz w:val="16"/>
                <w:szCs w:val="16"/>
              </w:rPr>
            </w:pPr>
            <w:r w:rsidRPr="001E2F6E">
              <w:rPr>
                <w:sz w:val="16"/>
                <w:szCs w:val="16"/>
              </w:rPr>
              <w:t>2010</w:t>
            </w:r>
          </w:p>
        </w:tc>
        <w:tc>
          <w:tcPr>
            <w:tcW w:w="1301" w:type="pct"/>
            <w:tcBorders>
              <w:left w:val="single" w:sz="4" w:space="0" w:color="BFBFBF" w:themeColor="background1" w:themeShade="BF"/>
              <w:right w:val="single" w:sz="4" w:space="0" w:color="BFBFBF" w:themeColor="background1" w:themeShade="BF"/>
            </w:tcBorders>
          </w:tcPr>
          <w:p w:rsidR="00195BE7" w:rsidRPr="001E2F6E" w:rsidRDefault="00195BE7" w:rsidP="00195BE7">
            <w:pPr>
              <w:spacing w:line="240" w:lineRule="exact"/>
              <w:ind w:right="284"/>
              <w:jc w:val="right"/>
              <w:rPr>
                <w:sz w:val="16"/>
                <w:szCs w:val="16"/>
              </w:rPr>
            </w:pPr>
            <w:r w:rsidRPr="001E2F6E">
              <w:rPr>
                <w:sz w:val="16"/>
                <w:szCs w:val="16"/>
              </w:rPr>
              <w:t>2.997</w:t>
            </w:r>
          </w:p>
        </w:tc>
        <w:tc>
          <w:tcPr>
            <w:tcW w:w="1090" w:type="pct"/>
            <w:tcBorders>
              <w:left w:val="single" w:sz="4" w:space="0" w:color="BFBFBF" w:themeColor="background1" w:themeShade="BF"/>
              <w:right w:val="single" w:sz="4" w:space="0" w:color="BFBFBF" w:themeColor="background1" w:themeShade="BF"/>
            </w:tcBorders>
          </w:tcPr>
          <w:p w:rsidR="00195BE7" w:rsidRPr="001E2F6E" w:rsidRDefault="00195BE7" w:rsidP="00195BE7">
            <w:pPr>
              <w:spacing w:line="240" w:lineRule="exact"/>
              <w:ind w:right="284"/>
              <w:jc w:val="right"/>
              <w:rPr>
                <w:sz w:val="16"/>
                <w:szCs w:val="16"/>
              </w:rPr>
            </w:pPr>
            <w:r w:rsidRPr="001E2F6E">
              <w:rPr>
                <w:sz w:val="16"/>
                <w:szCs w:val="16"/>
              </w:rPr>
              <w:t>59.915</w:t>
            </w:r>
          </w:p>
        </w:tc>
        <w:tc>
          <w:tcPr>
            <w:tcW w:w="1170" w:type="pct"/>
            <w:tcBorders>
              <w:left w:val="single" w:sz="4" w:space="0" w:color="BFBFBF" w:themeColor="background1" w:themeShade="BF"/>
            </w:tcBorders>
          </w:tcPr>
          <w:p w:rsidR="00195BE7" w:rsidRPr="001E2F6E" w:rsidRDefault="00195BE7" w:rsidP="00195BE7">
            <w:pPr>
              <w:spacing w:line="240" w:lineRule="exact"/>
              <w:ind w:right="284"/>
              <w:jc w:val="right"/>
              <w:rPr>
                <w:sz w:val="16"/>
                <w:szCs w:val="16"/>
              </w:rPr>
            </w:pPr>
            <w:r w:rsidRPr="001E2F6E">
              <w:rPr>
                <w:sz w:val="16"/>
                <w:szCs w:val="16"/>
              </w:rPr>
              <w:t>948.900</w:t>
            </w:r>
          </w:p>
        </w:tc>
      </w:tr>
      <w:tr w:rsidR="00195BE7" w:rsidRPr="001E2F6E" w:rsidTr="00195BE7">
        <w:trPr>
          <w:jc w:val="center"/>
        </w:trPr>
        <w:tc>
          <w:tcPr>
            <w:tcW w:w="1439" w:type="pct"/>
            <w:tcBorders>
              <w:bottom w:val="single" w:sz="4" w:space="0" w:color="BFBFBF" w:themeColor="background1" w:themeShade="BF"/>
              <w:right w:val="single" w:sz="4" w:space="0" w:color="BFBFBF" w:themeColor="background1" w:themeShade="BF"/>
            </w:tcBorders>
          </w:tcPr>
          <w:p w:rsidR="00195BE7" w:rsidRPr="001E2F6E" w:rsidRDefault="00195BE7" w:rsidP="00195BE7">
            <w:pPr>
              <w:spacing w:line="240" w:lineRule="exact"/>
              <w:rPr>
                <w:sz w:val="16"/>
                <w:szCs w:val="16"/>
              </w:rPr>
            </w:pPr>
            <w:r w:rsidRPr="001E2F6E">
              <w:rPr>
                <w:sz w:val="16"/>
                <w:szCs w:val="16"/>
              </w:rPr>
              <w:t>2012</w:t>
            </w:r>
          </w:p>
        </w:tc>
        <w:tc>
          <w:tcPr>
            <w:tcW w:w="1301" w:type="pct"/>
            <w:tcBorders>
              <w:left w:val="single" w:sz="4" w:space="0" w:color="BFBFBF" w:themeColor="background1" w:themeShade="BF"/>
              <w:bottom w:val="single" w:sz="4" w:space="0" w:color="BFBFBF" w:themeColor="background1" w:themeShade="BF"/>
              <w:right w:val="single" w:sz="4" w:space="0" w:color="BFBFBF" w:themeColor="background1" w:themeShade="BF"/>
            </w:tcBorders>
          </w:tcPr>
          <w:p w:rsidR="00195BE7" w:rsidRPr="001E2F6E" w:rsidRDefault="00195BE7" w:rsidP="00195BE7">
            <w:pPr>
              <w:spacing w:line="240" w:lineRule="exact"/>
              <w:ind w:right="284"/>
              <w:jc w:val="right"/>
              <w:rPr>
                <w:sz w:val="16"/>
                <w:szCs w:val="16"/>
              </w:rPr>
            </w:pPr>
            <w:r w:rsidRPr="001E2F6E">
              <w:rPr>
                <w:sz w:val="16"/>
                <w:szCs w:val="16"/>
              </w:rPr>
              <w:t>3.078</w:t>
            </w:r>
          </w:p>
        </w:tc>
        <w:tc>
          <w:tcPr>
            <w:tcW w:w="1090" w:type="pct"/>
            <w:tcBorders>
              <w:left w:val="single" w:sz="4" w:space="0" w:color="BFBFBF" w:themeColor="background1" w:themeShade="BF"/>
              <w:bottom w:val="single" w:sz="4" w:space="0" w:color="BFBFBF" w:themeColor="background1" w:themeShade="BF"/>
              <w:right w:val="single" w:sz="4" w:space="0" w:color="BFBFBF" w:themeColor="background1" w:themeShade="BF"/>
            </w:tcBorders>
          </w:tcPr>
          <w:p w:rsidR="00195BE7" w:rsidRPr="001E2F6E" w:rsidRDefault="00195BE7" w:rsidP="00195BE7">
            <w:pPr>
              <w:spacing w:line="240" w:lineRule="exact"/>
              <w:ind w:right="284"/>
              <w:jc w:val="right"/>
              <w:rPr>
                <w:sz w:val="16"/>
                <w:szCs w:val="16"/>
              </w:rPr>
            </w:pPr>
            <w:r w:rsidRPr="001E2F6E">
              <w:rPr>
                <w:sz w:val="16"/>
                <w:szCs w:val="16"/>
              </w:rPr>
              <w:t>55.809</w:t>
            </w:r>
          </w:p>
        </w:tc>
        <w:tc>
          <w:tcPr>
            <w:tcW w:w="1170" w:type="pct"/>
            <w:tcBorders>
              <w:left w:val="single" w:sz="4" w:space="0" w:color="BFBFBF" w:themeColor="background1" w:themeShade="BF"/>
              <w:bottom w:val="single" w:sz="4" w:space="0" w:color="BFBFBF" w:themeColor="background1" w:themeShade="BF"/>
            </w:tcBorders>
          </w:tcPr>
          <w:p w:rsidR="00195BE7" w:rsidRPr="001E2F6E" w:rsidRDefault="00195BE7" w:rsidP="00195BE7">
            <w:pPr>
              <w:spacing w:line="240" w:lineRule="exact"/>
              <w:ind w:right="284"/>
              <w:jc w:val="right"/>
              <w:rPr>
                <w:sz w:val="16"/>
                <w:szCs w:val="16"/>
              </w:rPr>
            </w:pPr>
            <w:r w:rsidRPr="001E2F6E">
              <w:rPr>
                <w:sz w:val="16"/>
                <w:szCs w:val="16"/>
              </w:rPr>
              <w:t>904.300</w:t>
            </w:r>
          </w:p>
        </w:tc>
      </w:tr>
      <w:tr w:rsidR="00195BE7" w:rsidRPr="001E2F6E" w:rsidTr="00195BE7">
        <w:trPr>
          <w:jc w:val="center"/>
        </w:trPr>
        <w:tc>
          <w:tcPr>
            <w:tcW w:w="1439" w:type="pct"/>
            <w:tcBorders>
              <w:top w:val="single" w:sz="4" w:space="0" w:color="BFBFBF" w:themeColor="background1" w:themeShade="BF"/>
              <w:bottom w:val="single" w:sz="4" w:space="0" w:color="BFBFBF" w:themeColor="background1" w:themeShade="BF"/>
              <w:right w:val="single" w:sz="4" w:space="0" w:color="BFBFBF" w:themeColor="background1" w:themeShade="BF"/>
            </w:tcBorders>
          </w:tcPr>
          <w:p w:rsidR="00195BE7" w:rsidRPr="001E2F6E" w:rsidRDefault="00195BE7" w:rsidP="00195BE7">
            <w:pPr>
              <w:spacing w:line="240" w:lineRule="exact"/>
              <w:rPr>
                <w:sz w:val="16"/>
                <w:szCs w:val="16"/>
              </w:rPr>
            </w:pPr>
          </w:p>
        </w:tc>
        <w:tc>
          <w:tcPr>
            <w:tcW w:w="130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195BE7" w:rsidRPr="001E2F6E" w:rsidRDefault="00195BE7" w:rsidP="00195BE7">
            <w:pPr>
              <w:spacing w:line="240" w:lineRule="exact"/>
              <w:ind w:right="284"/>
              <w:jc w:val="right"/>
              <w:rPr>
                <w:b/>
                <w:color w:val="76923C" w:themeColor="accent3" w:themeShade="BF"/>
                <w:sz w:val="16"/>
                <w:szCs w:val="16"/>
              </w:rPr>
            </w:pPr>
            <w:r w:rsidRPr="001E2F6E">
              <w:rPr>
                <w:b/>
                <w:color w:val="76923C" w:themeColor="accent3" w:themeShade="BF"/>
                <w:sz w:val="16"/>
                <w:szCs w:val="16"/>
              </w:rPr>
              <w:t>%+2,7</w:t>
            </w:r>
          </w:p>
        </w:tc>
        <w:tc>
          <w:tcPr>
            <w:tcW w:w="109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195BE7" w:rsidRPr="001E2F6E" w:rsidRDefault="00195BE7" w:rsidP="00195BE7">
            <w:pPr>
              <w:spacing w:line="240" w:lineRule="exact"/>
              <w:ind w:right="284"/>
              <w:jc w:val="right"/>
              <w:rPr>
                <w:b/>
                <w:color w:val="FF0000"/>
                <w:sz w:val="16"/>
                <w:szCs w:val="16"/>
              </w:rPr>
            </w:pPr>
            <w:r w:rsidRPr="001E2F6E">
              <w:rPr>
                <w:b/>
                <w:color w:val="FF0000"/>
                <w:sz w:val="16"/>
                <w:szCs w:val="16"/>
              </w:rPr>
              <w:t>%-6,9</w:t>
            </w:r>
          </w:p>
        </w:tc>
        <w:tc>
          <w:tcPr>
            <w:tcW w:w="1170" w:type="pct"/>
            <w:tcBorders>
              <w:top w:val="single" w:sz="4" w:space="0" w:color="BFBFBF" w:themeColor="background1" w:themeShade="BF"/>
              <w:left w:val="single" w:sz="4" w:space="0" w:color="BFBFBF" w:themeColor="background1" w:themeShade="BF"/>
              <w:bottom w:val="single" w:sz="4" w:space="0" w:color="BFBFBF" w:themeColor="background1" w:themeShade="BF"/>
            </w:tcBorders>
          </w:tcPr>
          <w:p w:rsidR="00195BE7" w:rsidRPr="001E2F6E" w:rsidRDefault="00195BE7" w:rsidP="00195BE7">
            <w:pPr>
              <w:spacing w:line="240" w:lineRule="exact"/>
              <w:ind w:right="284"/>
              <w:jc w:val="right"/>
              <w:rPr>
                <w:b/>
                <w:color w:val="FF0000"/>
                <w:sz w:val="16"/>
                <w:szCs w:val="16"/>
              </w:rPr>
            </w:pPr>
            <w:r w:rsidRPr="001E2F6E">
              <w:rPr>
                <w:b/>
                <w:color w:val="FF0000"/>
                <w:sz w:val="16"/>
                <w:szCs w:val="16"/>
              </w:rPr>
              <w:t>%-4,7</w:t>
            </w:r>
          </w:p>
        </w:tc>
      </w:tr>
    </w:tbl>
    <w:p w:rsidR="00195BE7" w:rsidRPr="001E2F6E" w:rsidRDefault="00195BE7" w:rsidP="00195BE7">
      <w:pPr>
        <w:pStyle w:val="Piedepgina"/>
        <w:widowControl w:val="0"/>
        <w:tabs>
          <w:tab w:val="clear" w:pos="4252"/>
          <w:tab w:val="clear" w:pos="8504"/>
        </w:tabs>
        <w:ind w:left="567" w:hanging="567"/>
        <w:rPr>
          <w:i/>
          <w:sz w:val="16"/>
          <w:szCs w:val="16"/>
          <w:lang w:val="eu-ES"/>
        </w:rPr>
      </w:pPr>
      <w:r w:rsidRPr="001E2F6E">
        <w:rPr>
          <w:i/>
          <w:sz w:val="16"/>
          <w:szCs w:val="16"/>
          <w:lang w:val="eu-ES"/>
        </w:rPr>
        <w:t>Oharra: Okupazio datuak Biztanleria jardueraren arabera sailkatzeko inkestatik (BJA) hartutakoak dira. Eustat. Urteko okupazioaren batez bestekoa</w:t>
      </w:r>
    </w:p>
    <w:p w:rsidR="00195BE7" w:rsidRPr="001E2F6E" w:rsidRDefault="00195BE7" w:rsidP="00195BE7">
      <w:pPr>
        <w:rPr>
          <w:lang w:val="eu-ES"/>
        </w:rPr>
      </w:pPr>
    </w:p>
    <w:p w:rsidR="00195BE7" w:rsidRPr="00A253D5" w:rsidRDefault="00195BE7" w:rsidP="00195BE7">
      <w:pPr>
        <w:spacing w:line="240" w:lineRule="auto"/>
        <w:jc w:val="center"/>
        <w:rPr>
          <w:b/>
          <w:color w:val="1F497D" w:themeColor="text2"/>
          <w:sz w:val="18"/>
          <w:szCs w:val="18"/>
          <w:lang w:val="eu-ES"/>
        </w:rPr>
      </w:pPr>
      <w:bookmarkStart w:id="24" w:name="_Toc391989074"/>
      <w:bookmarkStart w:id="25" w:name="_Toc392585737"/>
      <w:r w:rsidRPr="00A253D5">
        <w:rPr>
          <w:b/>
          <w:color w:val="1F497D" w:themeColor="text2"/>
          <w:sz w:val="18"/>
          <w:szCs w:val="18"/>
          <w:lang w:val="eu-ES"/>
        </w:rPr>
        <w:t>1.</w:t>
      </w:r>
      <w:r w:rsidR="00EB6BA6" w:rsidRPr="001E2F6E">
        <w:rPr>
          <w:b/>
          <w:color w:val="1F497D" w:themeColor="text2"/>
          <w:sz w:val="18"/>
          <w:szCs w:val="18"/>
        </w:rPr>
        <w:fldChar w:fldCharType="begin"/>
      </w:r>
      <w:r w:rsidRPr="00A253D5">
        <w:rPr>
          <w:b/>
          <w:color w:val="1F497D" w:themeColor="text2"/>
          <w:sz w:val="18"/>
          <w:szCs w:val="18"/>
          <w:lang w:val="eu-ES"/>
        </w:rPr>
        <w:instrText xml:space="preserve"> SEQ Cuadro_1. \* ARABIC </w:instrText>
      </w:r>
      <w:r w:rsidR="00EB6BA6" w:rsidRPr="001E2F6E">
        <w:rPr>
          <w:b/>
          <w:color w:val="1F497D" w:themeColor="text2"/>
          <w:sz w:val="18"/>
          <w:szCs w:val="18"/>
        </w:rPr>
        <w:fldChar w:fldCharType="separate"/>
      </w:r>
      <w:r w:rsidR="00A327D4">
        <w:rPr>
          <w:b/>
          <w:noProof/>
          <w:color w:val="1F497D" w:themeColor="text2"/>
          <w:sz w:val="18"/>
          <w:szCs w:val="18"/>
          <w:lang w:val="eu-ES"/>
        </w:rPr>
        <w:t>2</w:t>
      </w:r>
      <w:r w:rsidR="00EB6BA6" w:rsidRPr="001E2F6E">
        <w:rPr>
          <w:b/>
          <w:color w:val="1F497D" w:themeColor="text2"/>
          <w:sz w:val="18"/>
          <w:szCs w:val="18"/>
        </w:rPr>
        <w:fldChar w:fldCharType="end"/>
      </w:r>
      <w:r w:rsidRPr="00A253D5">
        <w:rPr>
          <w:b/>
          <w:color w:val="1F497D" w:themeColor="text2"/>
          <w:sz w:val="18"/>
          <w:szCs w:val="18"/>
          <w:lang w:val="eu-ES"/>
        </w:rPr>
        <w:t xml:space="preserve"> Taula </w:t>
      </w:r>
      <w:r w:rsidRPr="001E2F6E">
        <w:rPr>
          <w:b/>
          <w:color w:val="1F497D" w:themeColor="text2"/>
          <w:sz w:val="18"/>
          <w:szCs w:val="18"/>
          <w:lang w:val="eu-ES"/>
        </w:rPr>
        <w:t>GIZARTE-EKONOMIAREN ALORREKO ESTABLEZIMENDUEN ETA ENPLEGUEN HAZKUNDE-TASAK 2000 eta 2012 artean. KONPARAZIOZKO ERREFERENTZIA: EAEko BIZTANLERIA LANDUNA</w:t>
      </w:r>
      <w:bookmarkEnd w:id="24"/>
      <w:bookmarkEnd w:id="25"/>
    </w:p>
    <w:tbl>
      <w:tblPr>
        <w:tblW w:w="5000" w:type="pct"/>
        <w:jc w:val="center"/>
        <w:tblLook w:val="04A0" w:firstRow="1" w:lastRow="0" w:firstColumn="1" w:lastColumn="0" w:noHBand="0" w:noVBand="1"/>
      </w:tblPr>
      <w:tblGrid>
        <w:gridCol w:w="2374"/>
        <w:gridCol w:w="2437"/>
        <w:gridCol w:w="2097"/>
        <w:gridCol w:w="2096"/>
      </w:tblGrid>
      <w:tr w:rsidR="00195BE7" w:rsidRPr="001E2F6E" w:rsidTr="00195BE7">
        <w:trPr>
          <w:jc w:val="center"/>
        </w:trPr>
        <w:tc>
          <w:tcPr>
            <w:tcW w:w="1318"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tcPr>
          <w:p w:rsidR="00195BE7" w:rsidRPr="001E2F6E" w:rsidRDefault="00195BE7" w:rsidP="00195BE7">
            <w:pPr>
              <w:spacing w:line="240" w:lineRule="exact"/>
              <w:rPr>
                <w:b/>
                <w:sz w:val="16"/>
                <w:szCs w:val="16"/>
                <w:lang w:val="eu-ES"/>
              </w:rPr>
            </w:pPr>
          </w:p>
        </w:tc>
        <w:tc>
          <w:tcPr>
            <w:tcW w:w="135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tcPr>
          <w:p w:rsidR="00195BE7" w:rsidRPr="001E2F6E" w:rsidRDefault="00195BE7" w:rsidP="00195BE7">
            <w:pPr>
              <w:spacing w:line="240" w:lineRule="exact"/>
              <w:jc w:val="center"/>
              <w:rPr>
                <w:b/>
                <w:sz w:val="16"/>
                <w:szCs w:val="16"/>
                <w:lang w:val="eu-ES"/>
              </w:rPr>
            </w:pPr>
            <w:r w:rsidRPr="001E2F6E">
              <w:rPr>
                <w:b/>
                <w:sz w:val="16"/>
                <w:szCs w:val="16"/>
                <w:lang w:val="es-ES_tradnl"/>
              </w:rPr>
              <w:t>Establezimenduak</w:t>
            </w:r>
          </w:p>
        </w:tc>
        <w:tc>
          <w:tcPr>
            <w:tcW w:w="116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tcPr>
          <w:p w:rsidR="00195BE7" w:rsidRPr="001E2F6E" w:rsidRDefault="00195BE7" w:rsidP="00195BE7">
            <w:pPr>
              <w:spacing w:line="240" w:lineRule="exact"/>
              <w:jc w:val="center"/>
              <w:rPr>
                <w:b/>
                <w:sz w:val="16"/>
                <w:szCs w:val="16"/>
                <w:lang w:val="eu-ES"/>
              </w:rPr>
            </w:pPr>
            <w:r w:rsidRPr="001E2F6E">
              <w:rPr>
                <w:b/>
                <w:sz w:val="16"/>
                <w:szCs w:val="16"/>
              </w:rPr>
              <w:t>Enpleguak</w:t>
            </w:r>
          </w:p>
        </w:tc>
        <w:tc>
          <w:tcPr>
            <w:tcW w:w="1164"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vAlign w:val="center"/>
          </w:tcPr>
          <w:p w:rsidR="00195BE7" w:rsidRPr="001E2F6E" w:rsidRDefault="00195BE7" w:rsidP="00195BE7">
            <w:pPr>
              <w:spacing w:line="240" w:lineRule="exact"/>
              <w:jc w:val="center"/>
              <w:rPr>
                <w:b/>
                <w:sz w:val="16"/>
                <w:szCs w:val="16"/>
                <w:lang w:val="eu-ES"/>
              </w:rPr>
            </w:pPr>
            <w:r w:rsidRPr="001E2F6E">
              <w:rPr>
                <w:b/>
                <w:sz w:val="16"/>
                <w:szCs w:val="16"/>
                <w:lang w:val="eu-ES"/>
              </w:rPr>
              <w:t>Biztanleria landuna EAE</w:t>
            </w:r>
          </w:p>
        </w:tc>
      </w:tr>
      <w:tr w:rsidR="00195BE7" w:rsidRPr="001E2F6E" w:rsidTr="00195BE7">
        <w:trPr>
          <w:jc w:val="center"/>
        </w:trPr>
        <w:tc>
          <w:tcPr>
            <w:tcW w:w="1318" w:type="pct"/>
            <w:tcBorders>
              <w:top w:val="single" w:sz="4" w:space="0" w:color="BFBFBF" w:themeColor="background1" w:themeShade="BF"/>
              <w:right w:val="single" w:sz="4" w:space="0" w:color="BFBFBF" w:themeColor="background1" w:themeShade="BF"/>
            </w:tcBorders>
          </w:tcPr>
          <w:p w:rsidR="00195BE7" w:rsidRPr="001E2F6E" w:rsidRDefault="00195BE7" w:rsidP="00195BE7">
            <w:pPr>
              <w:spacing w:line="240" w:lineRule="exact"/>
              <w:rPr>
                <w:sz w:val="16"/>
                <w:szCs w:val="16"/>
                <w:lang w:val="eu-ES"/>
              </w:rPr>
            </w:pPr>
            <w:r w:rsidRPr="001E2F6E">
              <w:rPr>
                <w:sz w:val="16"/>
                <w:szCs w:val="16"/>
                <w:lang w:val="eu-ES"/>
              </w:rPr>
              <w:sym w:font="Monotype Sorts" w:char="F073"/>
            </w:r>
            <w:r w:rsidRPr="001E2F6E">
              <w:rPr>
                <w:sz w:val="16"/>
                <w:szCs w:val="16"/>
                <w:lang w:val="eu-ES"/>
              </w:rPr>
              <w:t xml:space="preserve"> %02/00</w:t>
            </w:r>
          </w:p>
        </w:tc>
        <w:tc>
          <w:tcPr>
            <w:tcW w:w="1353" w:type="pct"/>
            <w:tcBorders>
              <w:top w:val="single" w:sz="4" w:space="0" w:color="BFBFBF" w:themeColor="background1" w:themeShade="BF"/>
              <w:left w:val="single" w:sz="4" w:space="0" w:color="BFBFBF" w:themeColor="background1" w:themeShade="BF"/>
              <w:right w:val="single" w:sz="4" w:space="0" w:color="BFBFBF" w:themeColor="background1" w:themeShade="BF"/>
            </w:tcBorders>
          </w:tcPr>
          <w:p w:rsidR="00195BE7" w:rsidRPr="001E2F6E" w:rsidRDefault="00195BE7" w:rsidP="00195BE7">
            <w:pPr>
              <w:spacing w:line="240" w:lineRule="exact"/>
              <w:ind w:right="284"/>
              <w:jc w:val="right"/>
              <w:rPr>
                <w:sz w:val="16"/>
                <w:szCs w:val="16"/>
                <w:lang w:val="eu-ES"/>
              </w:rPr>
            </w:pPr>
            <w:r w:rsidRPr="001E2F6E">
              <w:rPr>
                <w:sz w:val="16"/>
                <w:szCs w:val="16"/>
                <w:lang w:val="eu-ES"/>
              </w:rPr>
              <w:t>%+6,2</w:t>
            </w:r>
          </w:p>
        </w:tc>
        <w:tc>
          <w:tcPr>
            <w:tcW w:w="1164" w:type="pct"/>
            <w:tcBorders>
              <w:top w:val="single" w:sz="4" w:space="0" w:color="BFBFBF" w:themeColor="background1" w:themeShade="BF"/>
              <w:left w:val="single" w:sz="4" w:space="0" w:color="BFBFBF" w:themeColor="background1" w:themeShade="BF"/>
              <w:right w:val="single" w:sz="4" w:space="0" w:color="BFBFBF" w:themeColor="background1" w:themeShade="BF"/>
            </w:tcBorders>
          </w:tcPr>
          <w:p w:rsidR="00195BE7" w:rsidRPr="001E2F6E" w:rsidRDefault="00195BE7" w:rsidP="00195BE7">
            <w:pPr>
              <w:spacing w:line="240" w:lineRule="exact"/>
              <w:ind w:right="284"/>
              <w:jc w:val="right"/>
              <w:rPr>
                <w:sz w:val="16"/>
                <w:szCs w:val="16"/>
                <w:lang w:val="eu-ES"/>
              </w:rPr>
            </w:pPr>
            <w:r w:rsidRPr="001E2F6E">
              <w:rPr>
                <w:sz w:val="16"/>
                <w:szCs w:val="16"/>
                <w:lang w:val="eu-ES"/>
              </w:rPr>
              <w:t>%+12,6</w:t>
            </w:r>
          </w:p>
        </w:tc>
        <w:tc>
          <w:tcPr>
            <w:tcW w:w="1164" w:type="pct"/>
            <w:tcBorders>
              <w:top w:val="single" w:sz="4" w:space="0" w:color="BFBFBF" w:themeColor="background1" w:themeShade="BF"/>
              <w:left w:val="single" w:sz="4" w:space="0" w:color="BFBFBF" w:themeColor="background1" w:themeShade="BF"/>
            </w:tcBorders>
          </w:tcPr>
          <w:p w:rsidR="00195BE7" w:rsidRPr="001E2F6E" w:rsidRDefault="00195BE7" w:rsidP="00195BE7">
            <w:pPr>
              <w:spacing w:line="240" w:lineRule="exact"/>
              <w:ind w:right="284"/>
              <w:jc w:val="right"/>
              <w:rPr>
                <w:sz w:val="16"/>
                <w:szCs w:val="16"/>
                <w:lang w:val="eu-ES"/>
              </w:rPr>
            </w:pPr>
            <w:r w:rsidRPr="001E2F6E">
              <w:rPr>
                <w:sz w:val="16"/>
                <w:szCs w:val="16"/>
                <w:lang w:val="eu-ES"/>
              </w:rPr>
              <w:t>%+8,7</w:t>
            </w:r>
          </w:p>
        </w:tc>
      </w:tr>
      <w:tr w:rsidR="00195BE7" w:rsidRPr="001E2F6E" w:rsidTr="00195BE7">
        <w:trPr>
          <w:jc w:val="center"/>
        </w:trPr>
        <w:tc>
          <w:tcPr>
            <w:tcW w:w="1318" w:type="pct"/>
            <w:tcBorders>
              <w:right w:val="single" w:sz="4" w:space="0" w:color="BFBFBF" w:themeColor="background1" w:themeShade="BF"/>
            </w:tcBorders>
          </w:tcPr>
          <w:p w:rsidR="00195BE7" w:rsidRPr="001E2F6E" w:rsidRDefault="00195BE7" w:rsidP="00195BE7">
            <w:pPr>
              <w:spacing w:line="240" w:lineRule="exact"/>
              <w:rPr>
                <w:sz w:val="16"/>
                <w:szCs w:val="16"/>
                <w:lang w:val="eu-ES"/>
              </w:rPr>
            </w:pPr>
            <w:r w:rsidRPr="001E2F6E">
              <w:rPr>
                <w:sz w:val="16"/>
                <w:szCs w:val="16"/>
                <w:lang w:val="eu-ES"/>
              </w:rPr>
              <w:sym w:font="Monotype Sorts" w:char="F073"/>
            </w:r>
            <w:r w:rsidRPr="001E2F6E">
              <w:rPr>
                <w:sz w:val="16"/>
                <w:szCs w:val="16"/>
                <w:lang w:val="eu-ES"/>
              </w:rPr>
              <w:t xml:space="preserve"> %04/02</w:t>
            </w:r>
          </w:p>
        </w:tc>
        <w:tc>
          <w:tcPr>
            <w:tcW w:w="1353" w:type="pct"/>
            <w:tcBorders>
              <w:left w:val="single" w:sz="4" w:space="0" w:color="BFBFBF" w:themeColor="background1" w:themeShade="BF"/>
              <w:right w:val="single" w:sz="4" w:space="0" w:color="BFBFBF" w:themeColor="background1" w:themeShade="BF"/>
            </w:tcBorders>
          </w:tcPr>
          <w:p w:rsidR="00195BE7" w:rsidRPr="001E2F6E" w:rsidRDefault="00195BE7" w:rsidP="00195BE7">
            <w:pPr>
              <w:spacing w:line="240" w:lineRule="exact"/>
              <w:ind w:right="284"/>
              <w:jc w:val="right"/>
              <w:rPr>
                <w:sz w:val="16"/>
                <w:szCs w:val="16"/>
                <w:lang w:val="eu-ES"/>
              </w:rPr>
            </w:pPr>
            <w:r w:rsidRPr="001E2F6E">
              <w:rPr>
                <w:sz w:val="16"/>
                <w:szCs w:val="16"/>
                <w:lang w:val="eu-ES"/>
              </w:rPr>
              <w:t>%+1,9</w:t>
            </w:r>
          </w:p>
        </w:tc>
        <w:tc>
          <w:tcPr>
            <w:tcW w:w="1164" w:type="pct"/>
            <w:tcBorders>
              <w:left w:val="single" w:sz="4" w:space="0" w:color="BFBFBF" w:themeColor="background1" w:themeShade="BF"/>
              <w:right w:val="single" w:sz="4" w:space="0" w:color="BFBFBF" w:themeColor="background1" w:themeShade="BF"/>
            </w:tcBorders>
          </w:tcPr>
          <w:p w:rsidR="00195BE7" w:rsidRPr="001E2F6E" w:rsidRDefault="00195BE7" w:rsidP="00195BE7">
            <w:pPr>
              <w:spacing w:line="240" w:lineRule="exact"/>
              <w:ind w:right="284"/>
              <w:jc w:val="right"/>
              <w:rPr>
                <w:sz w:val="16"/>
                <w:szCs w:val="16"/>
                <w:lang w:val="eu-ES"/>
              </w:rPr>
            </w:pPr>
            <w:r w:rsidRPr="001E2F6E">
              <w:rPr>
                <w:sz w:val="16"/>
                <w:szCs w:val="16"/>
                <w:lang w:val="eu-ES"/>
              </w:rPr>
              <w:t>% +0,2</w:t>
            </w:r>
          </w:p>
        </w:tc>
        <w:tc>
          <w:tcPr>
            <w:tcW w:w="1164" w:type="pct"/>
            <w:tcBorders>
              <w:left w:val="single" w:sz="4" w:space="0" w:color="BFBFBF" w:themeColor="background1" w:themeShade="BF"/>
            </w:tcBorders>
          </w:tcPr>
          <w:p w:rsidR="00195BE7" w:rsidRPr="001E2F6E" w:rsidRDefault="00195BE7" w:rsidP="00195BE7">
            <w:pPr>
              <w:spacing w:line="240" w:lineRule="exact"/>
              <w:ind w:right="284"/>
              <w:jc w:val="right"/>
              <w:rPr>
                <w:sz w:val="16"/>
                <w:szCs w:val="16"/>
                <w:lang w:val="eu-ES"/>
              </w:rPr>
            </w:pPr>
            <w:r w:rsidRPr="001E2F6E">
              <w:rPr>
                <w:sz w:val="16"/>
                <w:szCs w:val="16"/>
                <w:lang w:val="eu-ES"/>
              </w:rPr>
              <w:t>%+3,1</w:t>
            </w:r>
          </w:p>
        </w:tc>
      </w:tr>
      <w:tr w:rsidR="00195BE7" w:rsidRPr="001E2F6E" w:rsidTr="00195BE7">
        <w:trPr>
          <w:jc w:val="center"/>
        </w:trPr>
        <w:tc>
          <w:tcPr>
            <w:tcW w:w="1318" w:type="pct"/>
            <w:tcBorders>
              <w:right w:val="single" w:sz="4" w:space="0" w:color="BFBFBF" w:themeColor="background1" w:themeShade="BF"/>
            </w:tcBorders>
          </w:tcPr>
          <w:p w:rsidR="00195BE7" w:rsidRPr="001E2F6E" w:rsidRDefault="00195BE7" w:rsidP="00195BE7">
            <w:pPr>
              <w:spacing w:line="240" w:lineRule="exact"/>
              <w:rPr>
                <w:sz w:val="16"/>
                <w:szCs w:val="16"/>
                <w:lang w:val="eu-ES"/>
              </w:rPr>
            </w:pPr>
            <w:r w:rsidRPr="001E2F6E">
              <w:rPr>
                <w:sz w:val="16"/>
                <w:szCs w:val="16"/>
                <w:lang w:val="eu-ES"/>
              </w:rPr>
              <w:sym w:font="Monotype Sorts" w:char="F073"/>
            </w:r>
            <w:r w:rsidRPr="001E2F6E">
              <w:rPr>
                <w:sz w:val="16"/>
                <w:szCs w:val="16"/>
                <w:lang w:val="eu-ES"/>
              </w:rPr>
              <w:t xml:space="preserve"> %06/04</w:t>
            </w:r>
          </w:p>
        </w:tc>
        <w:tc>
          <w:tcPr>
            <w:tcW w:w="1353" w:type="pct"/>
            <w:tcBorders>
              <w:left w:val="single" w:sz="4" w:space="0" w:color="BFBFBF" w:themeColor="background1" w:themeShade="BF"/>
              <w:right w:val="single" w:sz="4" w:space="0" w:color="BFBFBF" w:themeColor="background1" w:themeShade="BF"/>
            </w:tcBorders>
          </w:tcPr>
          <w:p w:rsidR="00195BE7" w:rsidRPr="001E2F6E" w:rsidRDefault="00195BE7" w:rsidP="00195BE7">
            <w:pPr>
              <w:spacing w:line="240" w:lineRule="exact"/>
              <w:ind w:right="284"/>
              <w:jc w:val="right"/>
              <w:rPr>
                <w:sz w:val="16"/>
                <w:szCs w:val="16"/>
                <w:lang w:val="eu-ES"/>
              </w:rPr>
            </w:pPr>
            <w:r w:rsidRPr="001E2F6E">
              <w:rPr>
                <w:sz w:val="16"/>
                <w:szCs w:val="16"/>
                <w:lang w:val="eu-ES"/>
              </w:rPr>
              <w:t>%+2,1</w:t>
            </w:r>
          </w:p>
        </w:tc>
        <w:tc>
          <w:tcPr>
            <w:tcW w:w="1164" w:type="pct"/>
            <w:tcBorders>
              <w:left w:val="single" w:sz="4" w:space="0" w:color="BFBFBF" w:themeColor="background1" w:themeShade="BF"/>
              <w:right w:val="single" w:sz="4" w:space="0" w:color="BFBFBF" w:themeColor="background1" w:themeShade="BF"/>
            </w:tcBorders>
          </w:tcPr>
          <w:p w:rsidR="00195BE7" w:rsidRPr="001E2F6E" w:rsidRDefault="00195BE7" w:rsidP="00195BE7">
            <w:pPr>
              <w:spacing w:line="240" w:lineRule="exact"/>
              <w:ind w:right="284"/>
              <w:jc w:val="right"/>
              <w:rPr>
                <w:sz w:val="16"/>
                <w:szCs w:val="16"/>
                <w:lang w:val="eu-ES"/>
              </w:rPr>
            </w:pPr>
            <w:r w:rsidRPr="001E2F6E">
              <w:rPr>
                <w:sz w:val="16"/>
                <w:szCs w:val="16"/>
                <w:lang w:val="eu-ES"/>
              </w:rPr>
              <w:t xml:space="preserve"> %+3,8</w:t>
            </w:r>
          </w:p>
        </w:tc>
        <w:tc>
          <w:tcPr>
            <w:tcW w:w="1164" w:type="pct"/>
            <w:tcBorders>
              <w:left w:val="single" w:sz="4" w:space="0" w:color="BFBFBF" w:themeColor="background1" w:themeShade="BF"/>
            </w:tcBorders>
          </w:tcPr>
          <w:p w:rsidR="00195BE7" w:rsidRPr="001E2F6E" w:rsidRDefault="00195BE7" w:rsidP="00195BE7">
            <w:pPr>
              <w:spacing w:line="240" w:lineRule="exact"/>
              <w:ind w:right="284"/>
              <w:jc w:val="right"/>
              <w:rPr>
                <w:sz w:val="16"/>
                <w:szCs w:val="16"/>
                <w:lang w:val="eu-ES"/>
              </w:rPr>
            </w:pPr>
            <w:r w:rsidRPr="001E2F6E">
              <w:rPr>
                <w:sz w:val="16"/>
                <w:szCs w:val="16"/>
                <w:lang w:val="eu-ES"/>
              </w:rPr>
              <w:t>%+3,3</w:t>
            </w:r>
          </w:p>
        </w:tc>
      </w:tr>
      <w:tr w:rsidR="00195BE7" w:rsidRPr="001E2F6E" w:rsidTr="00195BE7">
        <w:trPr>
          <w:jc w:val="center"/>
        </w:trPr>
        <w:tc>
          <w:tcPr>
            <w:tcW w:w="1318" w:type="pct"/>
            <w:tcBorders>
              <w:right w:val="single" w:sz="4" w:space="0" w:color="BFBFBF" w:themeColor="background1" w:themeShade="BF"/>
            </w:tcBorders>
          </w:tcPr>
          <w:p w:rsidR="00195BE7" w:rsidRPr="001E2F6E" w:rsidRDefault="00195BE7" w:rsidP="00195BE7">
            <w:pPr>
              <w:spacing w:line="240" w:lineRule="exact"/>
              <w:rPr>
                <w:sz w:val="16"/>
                <w:szCs w:val="16"/>
                <w:lang w:val="eu-ES"/>
              </w:rPr>
            </w:pPr>
            <w:r w:rsidRPr="001E2F6E">
              <w:rPr>
                <w:sz w:val="16"/>
                <w:szCs w:val="16"/>
                <w:lang w:val="eu-ES"/>
              </w:rPr>
              <w:sym w:font="Monotype Sorts" w:char="F073"/>
            </w:r>
            <w:r w:rsidRPr="001E2F6E">
              <w:rPr>
                <w:sz w:val="16"/>
                <w:szCs w:val="16"/>
                <w:lang w:val="eu-ES"/>
              </w:rPr>
              <w:t xml:space="preserve"> %08/06</w:t>
            </w:r>
          </w:p>
        </w:tc>
        <w:tc>
          <w:tcPr>
            <w:tcW w:w="1353" w:type="pct"/>
            <w:tcBorders>
              <w:left w:val="single" w:sz="4" w:space="0" w:color="BFBFBF" w:themeColor="background1" w:themeShade="BF"/>
              <w:right w:val="single" w:sz="4" w:space="0" w:color="BFBFBF" w:themeColor="background1" w:themeShade="BF"/>
            </w:tcBorders>
          </w:tcPr>
          <w:p w:rsidR="00195BE7" w:rsidRPr="001E2F6E" w:rsidRDefault="00195BE7" w:rsidP="00195BE7">
            <w:pPr>
              <w:spacing w:line="240" w:lineRule="exact"/>
              <w:ind w:right="284"/>
              <w:jc w:val="right"/>
              <w:rPr>
                <w:sz w:val="16"/>
                <w:szCs w:val="16"/>
                <w:lang w:val="eu-ES"/>
              </w:rPr>
            </w:pPr>
            <w:r w:rsidRPr="001E2F6E">
              <w:rPr>
                <w:sz w:val="16"/>
                <w:szCs w:val="16"/>
                <w:lang w:val="eu-ES"/>
              </w:rPr>
              <w:t>% -3,6</w:t>
            </w:r>
          </w:p>
        </w:tc>
        <w:tc>
          <w:tcPr>
            <w:tcW w:w="1164" w:type="pct"/>
            <w:tcBorders>
              <w:left w:val="single" w:sz="4" w:space="0" w:color="BFBFBF" w:themeColor="background1" w:themeShade="BF"/>
              <w:right w:val="single" w:sz="4" w:space="0" w:color="BFBFBF" w:themeColor="background1" w:themeShade="BF"/>
            </w:tcBorders>
          </w:tcPr>
          <w:p w:rsidR="00195BE7" w:rsidRPr="001E2F6E" w:rsidRDefault="00195BE7" w:rsidP="00195BE7">
            <w:pPr>
              <w:spacing w:line="240" w:lineRule="exact"/>
              <w:ind w:right="284"/>
              <w:jc w:val="right"/>
              <w:rPr>
                <w:sz w:val="16"/>
                <w:szCs w:val="16"/>
                <w:lang w:val="eu-ES"/>
              </w:rPr>
            </w:pPr>
            <w:r w:rsidRPr="001E2F6E">
              <w:rPr>
                <w:sz w:val="16"/>
                <w:szCs w:val="16"/>
                <w:lang w:val="eu-ES"/>
              </w:rPr>
              <w:t xml:space="preserve"> %-1,4</w:t>
            </w:r>
          </w:p>
        </w:tc>
        <w:tc>
          <w:tcPr>
            <w:tcW w:w="1164" w:type="pct"/>
            <w:tcBorders>
              <w:left w:val="single" w:sz="4" w:space="0" w:color="BFBFBF" w:themeColor="background1" w:themeShade="BF"/>
            </w:tcBorders>
          </w:tcPr>
          <w:p w:rsidR="00195BE7" w:rsidRPr="001E2F6E" w:rsidRDefault="00195BE7" w:rsidP="00195BE7">
            <w:pPr>
              <w:spacing w:line="240" w:lineRule="exact"/>
              <w:ind w:right="284"/>
              <w:jc w:val="right"/>
              <w:rPr>
                <w:sz w:val="16"/>
                <w:szCs w:val="16"/>
                <w:lang w:val="eu-ES"/>
              </w:rPr>
            </w:pPr>
            <w:r w:rsidRPr="001E2F6E">
              <w:rPr>
                <w:sz w:val="16"/>
                <w:szCs w:val="16"/>
                <w:lang w:val="eu-ES"/>
              </w:rPr>
              <w:t>%+2,7</w:t>
            </w:r>
          </w:p>
        </w:tc>
      </w:tr>
      <w:tr w:rsidR="00195BE7" w:rsidRPr="001E2F6E" w:rsidTr="00195BE7">
        <w:trPr>
          <w:jc w:val="center"/>
        </w:trPr>
        <w:tc>
          <w:tcPr>
            <w:tcW w:w="1318" w:type="pct"/>
            <w:tcBorders>
              <w:right w:val="single" w:sz="4" w:space="0" w:color="BFBFBF" w:themeColor="background1" w:themeShade="BF"/>
            </w:tcBorders>
          </w:tcPr>
          <w:p w:rsidR="00195BE7" w:rsidRPr="001E2F6E" w:rsidRDefault="00195BE7" w:rsidP="00195BE7">
            <w:pPr>
              <w:spacing w:line="240" w:lineRule="exact"/>
              <w:rPr>
                <w:sz w:val="16"/>
                <w:szCs w:val="16"/>
                <w:lang w:val="eu-ES"/>
              </w:rPr>
            </w:pPr>
            <w:r w:rsidRPr="001E2F6E">
              <w:rPr>
                <w:sz w:val="16"/>
                <w:szCs w:val="16"/>
                <w:lang w:val="eu-ES"/>
              </w:rPr>
              <w:sym w:font="Monotype Sorts" w:char="F073"/>
            </w:r>
            <w:r w:rsidRPr="001E2F6E">
              <w:rPr>
                <w:sz w:val="16"/>
                <w:szCs w:val="16"/>
                <w:lang w:val="eu-ES"/>
              </w:rPr>
              <w:t xml:space="preserve"> %10/08</w:t>
            </w:r>
          </w:p>
        </w:tc>
        <w:tc>
          <w:tcPr>
            <w:tcW w:w="1353" w:type="pct"/>
            <w:tcBorders>
              <w:left w:val="single" w:sz="4" w:space="0" w:color="BFBFBF" w:themeColor="background1" w:themeShade="BF"/>
              <w:right w:val="single" w:sz="4" w:space="0" w:color="BFBFBF" w:themeColor="background1" w:themeShade="BF"/>
            </w:tcBorders>
          </w:tcPr>
          <w:p w:rsidR="00195BE7" w:rsidRPr="001E2F6E" w:rsidRDefault="00195BE7" w:rsidP="00195BE7">
            <w:pPr>
              <w:spacing w:line="240" w:lineRule="exact"/>
              <w:ind w:right="284"/>
              <w:jc w:val="right"/>
              <w:rPr>
                <w:sz w:val="16"/>
                <w:szCs w:val="16"/>
                <w:lang w:val="eu-ES"/>
              </w:rPr>
            </w:pPr>
            <w:r w:rsidRPr="001E2F6E">
              <w:rPr>
                <w:sz w:val="16"/>
                <w:szCs w:val="16"/>
                <w:lang w:val="eu-ES"/>
              </w:rPr>
              <w:t>%+0,4</w:t>
            </w:r>
          </w:p>
        </w:tc>
        <w:tc>
          <w:tcPr>
            <w:tcW w:w="1164" w:type="pct"/>
            <w:tcBorders>
              <w:left w:val="single" w:sz="4" w:space="0" w:color="BFBFBF" w:themeColor="background1" w:themeShade="BF"/>
              <w:right w:val="single" w:sz="4" w:space="0" w:color="BFBFBF" w:themeColor="background1" w:themeShade="BF"/>
            </w:tcBorders>
          </w:tcPr>
          <w:p w:rsidR="00195BE7" w:rsidRPr="001E2F6E" w:rsidRDefault="00195BE7" w:rsidP="00195BE7">
            <w:pPr>
              <w:spacing w:line="240" w:lineRule="exact"/>
              <w:ind w:right="284"/>
              <w:jc w:val="right"/>
              <w:rPr>
                <w:sz w:val="16"/>
                <w:szCs w:val="16"/>
                <w:lang w:val="eu-ES"/>
              </w:rPr>
            </w:pPr>
            <w:r w:rsidRPr="001E2F6E">
              <w:rPr>
                <w:sz w:val="16"/>
                <w:szCs w:val="16"/>
                <w:lang w:val="eu-ES"/>
              </w:rPr>
              <w:t xml:space="preserve">  %-4,3</w:t>
            </w:r>
          </w:p>
        </w:tc>
        <w:tc>
          <w:tcPr>
            <w:tcW w:w="1164" w:type="pct"/>
            <w:tcBorders>
              <w:left w:val="single" w:sz="4" w:space="0" w:color="BFBFBF" w:themeColor="background1" w:themeShade="BF"/>
            </w:tcBorders>
          </w:tcPr>
          <w:p w:rsidR="00195BE7" w:rsidRPr="001E2F6E" w:rsidRDefault="00195BE7" w:rsidP="00195BE7">
            <w:pPr>
              <w:spacing w:line="240" w:lineRule="exact"/>
              <w:ind w:right="284"/>
              <w:jc w:val="right"/>
              <w:rPr>
                <w:sz w:val="16"/>
                <w:szCs w:val="16"/>
                <w:lang w:val="eu-ES"/>
              </w:rPr>
            </w:pPr>
            <w:r w:rsidRPr="001E2F6E">
              <w:rPr>
                <w:sz w:val="16"/>
                <w:szCs w:val="16"/>
                <w:lang w:val="eu-ES"/>
              </w:rPr>
              <w:t>%-3,9</w:t>
            </w:r>
          </w:p>
        </w:tc>
      </w:tr>
      <w:tr w:rsidR="00195BE7" w:rsidRPr="001E2F6E" w:rsidTr="00195BE7">
        <w:trPr>
          <w:jc w:val="center"/>
        </w:trPr>
        <w:tc>
          <w:tcPr>
            <w:tcW w:w="1318" w:type="pct"/>
            <w:tcBorders>
              <w:bottom w:val="single" w:sz="4" w:space="0" w:color="BFBFBF" w:themeColor="background1" w:themeShade="BF"/>
              <w:right w:val="single" w:sz="4" w:space="0" w:color="BFBFBF" w:themeColor="background1" w:themeShade="BF"/>
            </w:tcBorders>
          </w:tcPr>
          <w:p w:rsidR="00195BE7" w:rsidRPr="001E2F6E" w:rsidRDefault="00195BE7" w:rsidP="00195BE7">
            <w:pPr>
              <w:spacing w:line="240" w:lineRule="exact"/>
              <w:rPr>
                <w:sz w:val="16"/>
                <w:szCs w:val="16"/>
                <w:lang w:val="eu-ES"/>
              </w:rPr>
            </w:pPr>
            <w:r w:rsidRPr="001E2F6E">
              <w:rPr>
                <w:sz w:val="16"/>
                <w:szCs w:val="16"/>
                <w:lang w:val="eu-ES"/>
              </w:rPr>
              <w:sym w:font="Monotype Sorts" w:char="F073"/>
            </w:r>
            <w:r w:rsidRPr="001E2F6E">
              <w:rPr>
                <w:sz w:val="16"/>
                <w:szCs w:val="16"/>
                <w:lang w:val="eu-ES"/>
              </w:rPr>
              <w:t xml:space="preserve"> %12/10</w:t>
            </w:r>
          </w:p>
        </w:tc>
        <w:tc>
          <w:tcPr>
            <w:tcW w:w="1353" w:type="pct"/>
            <w:tcBorders>
              <w:left w:val="single" w:sz="4" w:space="0" w:color="BFBFBF" w:themeColor="background1" w:themeShade="BF"/>
              <w:bottom w:val="single" w:sz="4" w:space="0" w:color="BFBFBF" w:themeColor="background1" w:themeShade="BF"/>
              <w:right w:val="single" w:sz="4" w:space="0" w:color="BFBFBF" w:themeColor="background1" w:themeShade="BF"/>
            </w:tcBorders>
          </w:tcPr>
          <w:p w:rsidR="00195BE7" w:rsidRPr="001E2F6E" w:rsidRDefault="00195BE7" w:rsidP="00195BE7">
            <w:pPr>
              <w:spacing w:line="240" w:lineRule="exact"/>
              <w:ind w:right="284"/>
              <w:jc w:val="right"/>
              <w:rPr>
                <w:sz w:val="16"/>
                <w:szCs w:val="16"/>
                <w:lang w:val="eu-ES"/>
              </w:rPr>
            </w:pPr>
            <w:r w:rsidRPr="001E2F6E">
              <w:rPr>
                <w:sz w:val="16"/>
                <w:szCs w:val="16"/>
                <w:lang w:val="eu-ES"/>
              </w:rPr>
              <w:t>%+2,7</w:t>
            </w:r>
          </w:p>
        </w:tc>
        <w:tc>
          <w:tcPr>
            <w:tcW w:w="1164" w:type="pct"/>
            <w:tcBorders>
              <w:left w:val="single" w:sz="4" w:space="0" w:color="BFBFBF" w:themeColor="background1" w:themeShade="BF"/>
              <w:bottom w:val="single" w:sz="4" w:space="0" w:color="BFBFBF" w:themeColor="background1" w:themeShade="BF"/>
              <w:right w:val="single" w:sz="4" w:space="0" w:color="BFBFBF" w:themeColor="background1" w:themeShade="BF"/>
            </w:tcBorders>
          </w:tcPr>
          <w:p w:rsidR="00195BE7" w:rsidRPr="001E2F6E" w:rsidRDefault="00195BE7" w:rsidP="00195BE7">
            <w:pPr>
              <w:spacing w:line="240" w:lineRule="exact"/>
              <w:ind w:right="284"/>
              <w:jc w:val="right"/>
              <w:rPr>
                <w:sz w:val="16"/>
                <w:szCs w:val="16"/>
                <w:lang w:val="eu-ES"/>
              </w:rPr>
            </w:pPr>
            <w:r w:rsidRPr="001E2F6E">
              <w:rPr>
                <w:sz w:val="16"/>
                <w:szCs w:val="16"/>
                <w:lang w:val="eu-ES"/>
              </w:rPr>
              <w:t xml:space="preserve">  %-6,9</w:t>
            </w:r>
          </w:p>
        </w:tc>
        <w:tc>
          <w:tcPr>
            <w:tcW w:w="1164" w:type="pct"/>
            <w:tcBorders>
              <w:left w:val="single" w:sz="4" w:space="0" w:color="BFBFBF" w:themeColor="background1" w:themeShade="BF"/>
              <w:bottom w:val="single" w:sz="4" w:space="0" w:color="BFBFBF" w:themeColor="background1" w:themeShade="BF"/>
            </w:tcBorders>
          </w:tcPr>
          <w:p w:rsidR="00195BE7" w:rsidRPr="001E2F6E" w:rsidRDefault="00195BE7" w:rsidP="00195BE7">
            <w:pPr>
              <w:spacing w:line="240" w:lineRule="exact"/>
              <w:ind w:right="284"/>
              <w:jc w:val="right"/>
              <w:rPr>
                <w:sz w:val="16"/>
                <w:szCs w:val="16"/>
                <w:lang w:val="eu-ES"/>
              </w:rPr>
            </w:pPr>
            <w:r w:rsidRPr="001E2F6E">
              <w:rPr>
                <w:sz w:val="16"/>
                <w:szCs w:val="16"/>
                <w:lang w:val="eu-ES"/>
              </w:rPr>
              <w:t>%-4,7</w:t>
            </w:r>
          </w:p>
        </w:tc>
      </w:tr>
    </w:tbl>
    <w:p w:rsidR="00195BE7" w:rsidRPr="001E2F6E" w:rsidRDefault="00195BE7" w:rsidP="00195BE7">
      <w:pPr>
        <w:pStyle w:val="Piedepgina"/>
        <w:widowControl w:val="0"/>
        <w:tabs>
          <w:tab w:val="clear" w:pos="4252"/>
          <w:tab w:val="clear" w:pos="8504"/>
          <w:tab w:val="left" w:pos="1276"/>
        </w:tabs>
        <w:ind w:left="567" w:hanging="567"/>
        <w:rPr>
          <w:rFonts w:ascii="Tahoma" w:hAnsi="Tahoma" w:cs="Tahoma"/>
          <w:snapToGrid w:val="0"/>
          <w:lang w:val="eu-ES"/>
        </w:rPr>
      </w:pPr>
      <w:r w:rsidRPr="001E2F6E">
        <w:rPr>
          <w:i/>
          <w:sz w:val="16"/>
          <w:szCs w:val="16"/>
          <w:lang w:val="eu-ES"/>
        </w:rPr>
        <w:t>Oharra: Okupazio datuak Biztanleria jardueraren arabera sailkatzeko inkestatik (BJA) hartutakoak dira. Eustat. Urteko okupazioaren batez bestekoa</w:t>
      </w:r>
    </w:p>
    <w:p w:rsidR="00195BE7" w:rsidRPr="00A253D5" w:rsidRDefault="00195BE7" w:rsidP="00195BE7">
      <w:pPr>
        <w:rPr>
          <w:lang w:val="eu-ES"/>
        </w:rPr>
      </w:pPr>
    </w:p>
    <w:p w:rsidR="00195BE7" w:rsidRPr="00A253D5" w:rsidRDefault="00195BE7" w:rsidP="00195BE7">
      <w:pPr>
        <w:spacing w:line="240" w:lineRule="auto"/>
        <w:jc w:val="center"/>
        <w:rPr>
          <w:b/>
          <w:color w:val="1F497D" w:themeColor="text2"/>
          <w:sz w:val="18"/>
          <w:szCs w:val="18"/>
          <w:lang w:val="eu-ES"/>
        </w:rPr>
      </w:pPr>
      <w:bookmarkStart w:id="26" w:name="_Toc391989146"/>
      <w:bookmarkStart w:id="27" w:name="_Toc392585811"/>
      <w:r w:rsidRPr="00A253D5">
        <w:rPr>
          <w:b/>
          <w:color w:val="1F497D" w:themeColor="text2"/>
          <w:sz w:val="18"/>
          <w:szCs w:val="18"/>
          <w:lang w:val="eu-ES"/>
        </w:rPr>
        <w:t>1.</w:t>
      </w:r>
      <w:r w:rsidR="00EB6BA6" w:rsidRPr="001E2F6E">
        <w:rPr>
          <w:b/>
          <w:color w:val="1F497D" w:themeColor="text2"/>
          <w:sz w:val="18"/>
          <w:szCs w:val="18"/>
        </w:rPr>
        <w:fldChar w:fldCharType="begin"/>
      </w:r>
      <w:r w:rsidRPr="00A253D5">
        <w:rPr>
          <w:b/>
          <w:color w:val="1F497D" w:themeColor="text2"/>
          <w:sz w:val="18"/>
          <w:szCs w:val="18"/>
          <w:lang w:val="eu-ES"/>
        </w:rPr>
        <w:instrText xml:space="preserve"> SEQ Gráfico_1. \* ARABIC </w:instrText>
      </w:r>
      <w:r w:rsidR="00EB6BA6" w:rsidRPr="001E2F6E">
        <w:rPr>
          <w:b/>
          <w:color w:val="1F497D" w:themeColor="text2"/>
          <w:sz w:val="18"/>
          <w:szCs w:val="18"/>
        </w:rPr>
        <w:fldChar w:fldCharType="separate"/>
      </w:r>
      <w:r w:rsidR="00A327D4">
        <w:rPr>
          <w:b/>
          <w:noProof/>
          <w:color w:val="1F497D" w:themeColor="text2"/>
          <w:sz w:val="18"/>
          <w:szCs w:val="18"/>
          <w:lang w:val="eu-ES"/>
        </w:rPr>
        <w:t>1</w:t>
      </w:r>
      <w:r w:rsidR="00EB6BA6" w:rsidRPr="001E2F6E">
        <w:rPr>
          <w:b/>
          <w:color w:val="1F497D" w:themeColor="text2"/>
          <w:sz w:val="18"/>
          <w:szCs w:val="18"/>
        </w:rPr>
        <w:fldChar w:fldCharType="end"/>
      </w:r>
      <w:r w:rsidRPr="00A253D5">
        <w:rPr>
          <w:b/>
          <w:color w:val="1F497D" w:themeColor="text2"/>
          <w:sz w:val="18"/>
          <w:szCs w:val="18"/>
          <w:lang w:val="eu-ES"/>
        </w:rPr>
        <w:t xml:space="preserve"> Irudia </w:t>
      </w:r>
      <w:r w:rsidRPr="001E2F6E">
        <w:rPr>
          <w:b/>
          <w:color w:val="1F497D" w:themeColor="text2"/>
          <w:sz w:val="18"/>
          <w:szCs w:val="18"/>
          <w:lang w:val="eu-ES"/>
        </w:rPr>
        <w:t>GIZARTE-EKONOMIAREN ALORREKO ESTABLEZIMENDUEN ETA ENPLEGUAREN BILAKAERA 1994-2012</w:t>
      </w:r>
      <w:bookmarkEnd w:id="26"/>
      <w:bookmarkEnd w:id="27"/>
    </w:p>
    <w:p w:rsidR="00195BE7" w:rsidRPr="00A253D5" w:rsidRDefault="00195BE7" w:rsidP="00195BE7">
      <w:pPr>
        <w:rPr>
          <w:sz w:val="16"/>
          <w:szCs w:val="16"/>
          <w:lang w:val="eu-ES"/>
        </w:rPr>
      </w:pPr>
      <w:r w:rsidRPr="001E2F6E">
        <w:rPr>
          <w:noProof/>
          <w:sz w:val="16"/>
          <w:szCs w:val="16"/>
          <w:lang w:eastAsia="es-ES"/>
        </w:rPr>
        <w:drawing>
          <wp:anchor distT="0" distB="0" distL="114300" distR="114300" simplePos="0" relativeHeight="251682816" behindDoc="0" locked="0" layoutInCell="1" allowOverlap="1" wp14:anchorId="7847EB35" wp14:editId="7A174417">
            <wp:simplePos x="0" y="0"/>
            <wp:positionH relativeFrom="column">
              <wp:posOffset>205740</wp:posOffset>
            </wp:positionH>
            <wp:positionV relativeFrom="paragraph">
              <wp:posOffset>127635</wp:posOffset>
            </wp:positionV>
            <wp:extent cx="4895850" cy="1828800"/>
            <wp:effectExtent l="0" t="0" r="0" b="0"/>
            <wp:wrapNone/>
            <wp:docPr id="58" name="Objeto 43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anchor>
        </w:drawing>
      </w:r>
    </w:p>
    <w:p w:rsidR="00195BE7" w:rsidRPr="00A253D5" w:rsidRDefault="00195BE7" w:rsidP="00195BE7">
      <w:pPr>
        <w:rPr>
          <w:lang w:val="eu-ES"/>
        </w:rPr>
      </w:pPr>
    </w:p>
    <w:p w:rsidR="00195BE7" w:rsidRPr="00A253D5" w:rsidRDefault="00195BE7" w:rsidP="00195BE7">
      <w:pPr>
        <w:rPr>
          <w:lang w:val="eu-ES"/>
        </w:rPr>
      </w:pPr>
    </w:p>
    <w:p w:rsidR="00195BE7" w:rsidRPr="00A253D5" w:rsidRDefault="00195BE7" w:rsidP="00195BE7">
      <w:pPr>
        <w:rPr>
          <w:lang w:val="eu-ES"/>
        </w:rPr>
      </w:pPr>
    </w:p>
    <w:p w:rsidR="00195BE7" w:rsidRPr="00A253D5" w:rsidRDefault="00195BE7" w:rsidP="00195BE7">
      <w:pPr>
        <w:rPr>
          <w:lang w:val="eu-ES"/>
        </w:rPr>
      </w:pPr>
    </w:p>
    <w:p w:rsidR="00195BE7" w:rsidRPr="00A253D5" w:rsidRDefault="00195BE7" w:rsidP="00195BE7">
      <w:pPr>
        <w:rPr>
          <w:lang w:val="eu-ES"/>
        </w:rPr>
      </w:pPr>
    </w:p>
    <w:p w:rsidR="00195BE7" w:rsidRPr="00A253D5" w:rsidRDefault="00195BE7" w:rsidP="00195BE7">
      <w:pPr>
        <w:rPr>
          <w:lang w:val="eu-ES"/>
        </w:rPr>
      </w:pPr>
    </w:p>
    <w:p w:rsidR="00195BE7" w:rsidRPr="00A253D5" w:rsidRDefault="00195BE7" w:rsidP="00195BE7">
      <w:pPr>
        <w:rPr>
          <w:lang w:val="eu-ES"/>
        </w:rPr>
      </w:pPr>
    </w:p>
    <w:p w:rsidR="00195BE7" w:rsidRPr="00A253D5" w:rsidRDefault="00195BE7" w:rsidP="00195BE7">
      <w:pPr>
        <w:rPr>
          <w:lang w:val="eu-ES"/>
        </w:rPr>
      </w:pPr>
      <w:r w:rsidRPr="001E2F6E">
        <w:rPr>
          <w:noProof/>
          <w:lang w:eastAsia="es-ES"/>
        </w:rPr>
        <w:drawing>
          <wp:anchor distT="0" distB="0" distL="114300" distR="114300" simplePos="0" relativeHeight="251681792" behindDoc="0" locked="0" layoutInCell="1" allowOverlap="1" wp14:anchorId="699C1F83" wp14:editId="2571D9DB">
            <wp:simplePos x="0" y="0"/>
            <wp:positionH relativeFrom="column">
              <wp:posOffset>205740</wp:posOffset>
            </wp:positionH>
            <wp:positionV relativeFrom="paragraph">
              <wp:posOffset>91440</wp:posOffset>
            </wp:positionV>
            <wp:extent cx="4953000" cy="1828800"/>
            <wp:effectExtent l="0" t="0" r="0" b="0"/>
            <wp:wrapNone/>
            <wp:docPr id="59" name="Objeto 43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anchor>
        </w:drawing>
      </w:r>
    </w:p>
    <w:p w:rsidR="00195BE7" w:rsidRPr="00A253D5" w:rsidRDefault="00195BE7" w:rsidP="00195BE7">
      <w:pPr>
        <w:spacing w:line="240" w:lineRule="auto"/>
        <w:rPr>
          <w:lang w:val="eu-ES"/>
        </w:rPr>
      </w:pPr>
    </w:p>
    <w:p w:rsidR="00195BE7" w:rsidRPr="00A253D5" w:rsidRDefault="00195BE7" w:rsidP="00195BE7">
      <w:pPr>
        <w:rPr>
          <w:lang w:val="eu-ES"/>
        </w:rPr>
      </w:pPr>
    </w:p>
    <w:p w:rsidR="00195BE7" w:rsidRPr="00A253D5" w:rsidRDefault="00195BE7" w:rsidP="00195BE7">
      <w:pPr>
        <w:rPr>
          <w:lang w:val="eu-ES"/>
        </w:rPr>
      </w:pPr>
    </w:p>
    <w:p w:rsidR="00195BE7" w:rsidRPr="00A253D5" w:rsidRDefault="00195BE7" w:rsidP="00195BE7">
      <w:pPr>
        <w:pStyle w:val="Textoindependiente2"/>
        <w:spacing w:line="240" w:lineRule="auto"/>
        <w:rPr>
          <w:lang w:val="eu-ES"/>
        </w:rPr>
      </w:pPr>
    </w:p>
    <w:p w:rsidR="00195BE7" w:rsidRPr="00A253D5" w:rsidRDefault="00195BE7" w:rsidP="00195BE7">
      <w:pPr>
        <w:pStyle w:val="Textoindependiente2"/>
        <w:spacing w:line="240" w:lineRule="auto"/>
        <w:rPr>
          <w:lang w:val="eu-ES"/>
        </w:rPr>
      </w:pPr>
    </w:p>
    <w:p w:rsidR="00195BE7" w:rsidRPr="00A253D5" w:rsidRDefault="00195BE7" w:rsidP="00195BE7">
      <w:pPr>
        <w:pStyle w:val="Textoindependiente2"/>
        <w:spacing w:line="240" w:lineRule="auto"/>
        <w:rPr>
          <w:lang w:val="eu-ES"/>
        </w:rPr>
      </w:pPr>
    </w:p>
    <w:p w:rsidR="00195BE7" w:rsidRPr="00A253D5" w:rsidRDefault="00195BE7" w:rsidP="00195BE7">
      <w:pPr>
        <w:pStyle w:val="Textoindependiente2"/>
        <w:spacing w:line="240" w:lineRule="auto"/>
        <w:rPr>
          <w:lang w:val="eu-ES"/>
        </w:rPr>
      </w:pPr>
    </w:p>
    <w:p w:rsidR="00195BE7" w:rsidRPr="00A253D5" w:rsidRDefault="00195BE7" w:rsidP="00195BE7">
      <w:pPr>
        <w:pStyle w:val="Textoindependiente2"/>
        <w:spacing w:line="240" w:lineRule="auto"/>
        <w:rPr>
          <w:lang w:val="eu-ES"/>
        </w:rPr>
      </w:pPr>
    </w:p>
    <w:p w:rsidR="00195BE7" w:rsidRPr="00A253D5" w:rsidRDefault="00195BE7" w:rsidP="00195BE7">
      <w:pPr>
        <w:spacing w:line="240" w:lineRule="auto"/>
        <w:jc w:val="center"/>
        <w:rPr>
          <w:b/>
          <w:color w:val="1F497D" w:themeColor="text2"/>
          <w:sz w:val="18"/>
          <w:szCs w:val="18"/>
          <w:lang w:val="eu-ES"/>
        </w:rPr>
      </w:pPr>
      <w:bookmarkStart w:id="28" w:name="_Toc391989147"/>
      <w:bookmarkStart w:id="29" w:name="_Toc392585812"/>
      <w:r w:rsidRPr="00A253D5">
        <w:rPr>
          <w:b/>
          <w:color w:val="1F497D" w:themeColor="text2"/>
          <w:sz w:val="18"/>
          <w:szCs w:val="18"/>
          <w:lang w:val="eu-ES"/>
        </w:rPr>
        <w:lastRenderedPageBreak/>
        <w:t>1.</w:t>
      </w:r>
      <w:r w:rsidR="00EB6BA6" w:rsidRPr="001E2F6E">
        <w:rPr>
          <w:b/>
          <w:color w:val="1F497D" w:themeColor="text2"/>
          <w:sz w:val="18"/>
          <w:szCs w:val="18"/>
        </w:rPr>
        <w:fldChar w:fldCharType="begin"/>
      </w:r>
      <w:r w:rsidRPr="00A253D5">
        <w:rPr>
          <w:b/>
          <w:color w:val="1F497D" w:themeColor="text2"/>
          <w:sz w:val="18"/>
          <w:szCs w:val="18"/>
          <w:lang w:val="eu-ES"/>
        </w:rPr>
        <w:instrText xml:space="preserve"> SEQ Gráfico_1. \* ARABIC </w:instrText>
      </w:r>
      <w:r w:rsidR="00EB6BA6" w:rsidRPr="001E2F6E">
        <w:rPr>
          <w:b/>
          <w:color w:val="1F497D" w:themeColor="text2"/>
          <w:sz w:val="18"/>
          <w:szCs w:val="18"/>
        </w:rPr>
        <w:fldChar w:fldCharType="separate"/>
      </w:r>
      <w:r w:rsidR="00A327D4">
        <w:rPr>
          <w:b/>
          <w:noProof/>
          <w:color w:val="1F497D" w:themeColor="text2"/>
          <w:sz w:val="18"/>
          <w:szCs w:val="18"/>
          <w:lang w:val="eu-ES"/>
        </w:rPr>
        <w:t>2</w:t>
      </w:r>
      <w:r w:rsidR="00EB6BA6" w:rsidRPr="001E2F6E">
        <w:rPr>
          <w:b/>
          <w:color w:val="1F497D" w:themeColor="text2"/>
          <w:sz w:val="18"/>
          <w:szCs w:val="18"/>
        </w:rPr>
        <w:fldChar w:fldCharType="end"/>
      </w:r>
      <w:r w:rsidRPr="00A253D5">
        <w:rPr>
          <w:b/>
          <w:color w:val="1F497D" w:themeColor="text2"/>
          <w:sz w:val="18"/>
          <w:szCs w:val="18"/>
          <w:lang w:val="eu-ES"/>
        </w:rPr>
        <w:t xml:space="preserve"> Irudia </w:t>
      </w:r>
      <w:r w:rsidRPr="001E2F6E">
        <w:rPr>
          <w:b/>
          <w:color w:val="1F497D" w:themeColor="text2"/>
          <w:sz w:val="18"/>
          <w:szCs w:val="18"/>
          <w:lang w:val="eu-ES"/>
        </w:rPr>
        <w:t>GIZARTE-EKONOMIAREN ENPLEGUAK EAEko EKONOMIAN DUEN PISU ERLATIBOAREN BILAKAERA 1994-2012 (% EAEko enpleguen kopuru osoarekiko)</w:t>
      </w:r>
      <w:bookmarkEnd w:id="28"/>
      <w:bookmarkEnd w:id="29"/>
    </w:p>
    <w:p w:rsidR="00195BE7" w:rsidRPr="00A253D5" w:rsidRDefault="00195BE7" w:rsidP="00195BE7">
      <w:pPr>
        <w:jc w:val="center"/>
        <w:rPr>
          <w:b/>
          <w:color w:val="1F497D" w:themeColor="text2"/>
          <w:sz w:val="18"/>
          <w:szCs w:val="18"/>
          <w:lang w:val="eu-ES"/>
        </w:rPr>
      </w:pPr>
      <w:r w:rsidRPr="001E2F6E">
        <w:rPr>
          <w:b/>
          <w:noProof/>
          <w:color w:val="1F497D" w:themeColor="text2"/>
          <w:sz w:val="18"/>
          <w:szCs w:val="18"/>
          <w:lang w:eastAsia="es-ES"/>
        </w:rPr>
        <w:drawing>
          <wp:anchor distT="0" distB="0" distL="114300" distR="114300" simplePos="0" relativeHeight="251683840" behindDoc="0" locked="0" layoutInCell="1" allowOverlap="1" wp14:anchorId="1BBF644D" wp14:editId="1877AB3A">
            <wp:simplePos x="0" y="0"/>
            <wp:positionH relativeFrom="column">
              <wp:posOffset>405682</wp:posOffset>
            </wp:positionH>
            <wp:positionV relativeFrom="paragraph">
              <wp:posOffset>70485</wp:posOffset>
            </wp:positionV>
            <wp:extent cx="4876800" cy="1828800"/>
            <wp:effectExtent l="0" t="0" r="0" b="0"/>
            <wp:wrapNone/>
            <wp:docPr id="60" name="Objeto 43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anchor>
        </w:drawing>
      </w:r>
    </w:p>
    <w:p w:rsidR="00195BE7" w:rsidRPr="00A253D5" w:rsidRDefault="00195BE7" w:rsidP="00195BE7">
      <w:pPr>
        <w:rPr>
          <w:b/>
          <w:lang w:val="eu-ES"/>
        </w:rPr>
      </w:pPr>
    </w:p>
    <w:p w:rsidR="00195BE7" w:rsidRPr="00A253D5" w:rsidRDefault="00195BE7" w:rsidP="00195BE7">
      <w:pPr>
        <w:rPr>
          <w:lang w:val="eu-ES"/>
        </w:rPr>
      </w:pPr>
    </w:p>
    <w:p w:rsidR="00195BE7" w:rsidRPr="00A253D5" w:rsidRDefault="00195BE7" w:rsidP="00195BE7">
      <w:pPr>
        <w:rPr>
          <w:lang w:val="eu-ES"/>
        </w:rPr>
      </w:pPr>
    </w:p>
    <w:p w:rsidR="00195BE7" w:rsidRPr="00A253D5" w:rsidRDefault="00195BE7" w:rsidP="00195BE7">
      <w:pPr>
        <w:rPr>
          <w:lang w:val="eu-ES"/>
        </w:rPr>
      </w:pPr>
    </w:p>
    <w:p w:rsidR="00195BE7" w:rsidRPr="00A253D5" w:rsidRDefault="00195BE7" w:rsidP="00195BE7">
      <w:pPr>
        <w:rPr>
          <w:lang w:val="eu-ES"/>
        </w:rPr>
      </w:pPr>
    </w:p>
    <w:p w:rsidR="00195BE7" w:rsidRPr="00A253D5" w:rsidRDefault="00195BE7" w:rsidP="00195BE7">
      <w:pPr>
        <w:rPr>
          <w:lang w:val="eu-ES"/>
        </w:rPr>
      </w:pPr>
    </w:p>
    <w:p w:rsidR="00195BE7" w:rsidRPr="00A253D5" w:rsidRDefault="00195BE7" w:rsidP="00195BE7">
      <w:pPr>
        <w:rPr>
          <w:lang w:val="eu-ES"/>
        </w:rPr>
      </w:pPr>
    </w:p>
    <w:p w:rsidR="00195BE7" w:rsidRPr="00A253D5" w:rsidRDefault="00195BE7" w:rsidP="00195BE7">
      <w:pPr>
        <w:pStyle w:val="Piedepgina"/>
        <w:widowControl w:val="0"/>
        <w:tabs>
          <w:tab w:val="clear" w:pos="4252"/>
          <w:tab w:val="clear" w:pos="8504"/>
          <w:tab w:val="left" w:pos="1276"/>
        </w:tabs>
        <w:ind w:left="1276" w:right="566" w:hanging="425"/>
        <w:rPr>
          <w:i/>
          <w:sz w:val="16"/>
          <w:szCs w:val="16"/>
          <w:lang w:val="eu-ES"/>
        </w:rPr>
      </w:pPr>
    </w:p>
    <w:p w:rsidR="00195BE7" w:rsidRPr="00A253D5" w:rsidRDefault="00195BE7" w:rsidP="00195BE7">
      <w:pPr>
        <w:pStyle w:val="Piedepgina"/>
        <w:widowControl w:val="0"/>
        <w:tabs>
          <w:tab w:val="clear" w:pos="4252"/>
          <w:tab w:val="clear" w:pos="8504"/>
          <w:tab w:val="left" w:pos="1276"/>
        </w:tabs>
        <w:ind w:left="1276" w:right="566" w:hanging="425"/>
        <w:rPr>
          <w:i/>
          <w:sz w:val="16"/>
          <w:szCs w:val="16"/>
          <w:lang w:val="eu-ES"/>
        </w:rPr>
      </w:pPr>
    </w:p>
    <w:p w:rsidR="00195BE7" w:rsidRPr="001E2F6E" w:rsidRDefault="00195BE7" w:rsidP="00195BE7">
      <w:pPr>
        <w:pStyle w:val="Piedepgina"/>
        <w:widowControl w:val="0"/>
        <w:tabs>
          <w:tab w:val="clear" w:pos="4252"/>
          <w:tab w:val="clear" w:pos="8504"/>
          <w:tab w:val="left" w:pos="1276"/>
        </w:tabs>
        <w:ind w:left="1418" w:hanging="567"/>
        <w:rPr>
          <w:i/>
          <w:sz w:val="16"/>
          <w:szCs w:val="16"/>
          <w:lang w:val="eu-ES"/>
        </w:rPr>
      </w:pPr>
      <w:r w:rsidRPr="001E2F6E">
        <w:rPr>
          <w:i/>
          <w:sz w:val="16"/>
          <w:szCs w:val="16"/>
          <w:lang w:val="eu-ES"/>
        </w:rPr>
        <w:t>Oharra: Konparazio datuak Biztanleria jardueraren arabera sailkatzeko inkestatik (BJA) hartutakoak dira. Eustat. Urteko okupazioaren batez bestekoa</w:t>
      </w:r>
    </w:p>
    <w:p w:rsidR="00195BE7" w:rsidRPr="001E2F6E" w:rsidRDefault="00195BE7" w:rsidP="00195BE7">
      <w:pPr>
        <w:pStyle w:val="ARIALNARROW"/>
        <w:spacing w:line="240" w:lineRule="auto"/>
        <w:ind w:right="566"/>
        <w:rPr>
          <w:color w:val="1F497D" w:themeColor="text2"/>
          <w:sz w:val="18"/>
          <w:szCs w:val="18"/>
          <w:lang w:val="eu-ES"/>
        </w:rPr>
      </w:pPr>
    </w:p>
    <w:p w:rsidR="00195BE7" w:rsidRPr="001E2F6E" w:rsidRDefault="00195BE7" w:rsidP="00195BE7">
      <w:pPr>
        <w:jc w:val="left"/>
        <w:rPr>
          <w:b/>
          <w:color w:val="1F497D" w:themeColor="text2"/>
          <w:sz w:val="18"/>
          <w:szCs w:val="18"/>
          <w:lang w:val="eu-ES"/>
        </w:rPr>
      </w:pPr>
    </w:p>
    <w:p w:rsidR="00195BE7" w:rsidRPr="001E2F6E" w:rsidRDefault="00195BE7" w:rsidP="00195BE7">
      <w:pPr>
        <w:spacing w:line="240" w:lineRule="auto"/>
        <w:jc w:val="center"/>
        <w:rPr>
          <w:b/>
          <w:color w:val="1F497D" w:themeColor="text2"/>
          <w:sz w:val="18"/>
          <w:szCs w:val="18"/>
        </w:rPr>
      </w:pPr>
      <w:bookmarkStart w:id="30" w:name="_Toc391989075"/>
      <w:bookmarkStart w:id="31" w:name="_Toc392585738"/>
      <w:r w:rsidRPr="001E2F6E">
        <w:rPr>
          <w:b/>
          <w:color w:val="1F497D" w:themeColor="text2"/>
          <w:sz w:val="18"/>
          <w:szCs w:val="18"/>
          <w:lang w:val="eu-ES"/>
        </w:rPr>
        <w:t>1.</w:t>
      </w:r>
      <w:r w:rsidR="00EB6BA6" w:rsidRPr="001E2F6E">
        <w:rPr>
          <w:b/>
          <w:color w:val="1F497D" w:themeColor="text2"/>
          <w:sz w:val="18"/>
          <w:szCs w:val="18"/>
        </w:rPr>
        <w:fldChar w:fldCharType="begin"/>
      </w:r>
      <w:r w:rsidRPr="001E2F6E">
        <w:rPr>
          <w:b/>
          <w:color w:val="1F497D" w:themeColor="text2"/>
          <w:sz w:val="18"/>
          <w:szCs w:val="18"/>
          <w:lang w:val="eu-ES"/>
        </w:rPr>
        <w:instrText xml:space="preserve"> SEQ Cuadro_1. \* ARABIC </w:instrText>
      </w:r>
      <w:r w:rsidR="00EB6BA6" w:rsidRPr="001E2F6E">
        <w:rPr>
          <w:b/>
          <w:color w:val="1F497D" w:themeColor="text2"/>
          <w:sz w:val="18"/>
          <w:szCs w:val="18"/>
        </w:rPr>
        <w:fldChar w:fldCharType="separate"/>
      </w:r>
      <w:r w:rsidR="00A327D4">
        <w:rPr>
          <w:b/>
          <w:noProof/>
          <w:color w:val="1F497D" w:themeColor="text2"/>
          <w:sz w:val="18"/>
          <w:szCs w:val="18"/>
          <w:lang w:val="eu-ES"/>
        </w:rPr>
        <w:t>3</w:t>
      </w:r>
      <w:r w:rsidR="00EB6BA6" w:rsidRPr="001E2F6E">
        <w:rPr>
          <w:b/>
          <w:color w:val="1F497D" w:themeColor="text2"/>
          <w:sz w:val="18"/>
          <w:szCs w:val="18"/>
        </w:rPr>
        <w:fldChar w:fldCharType="end"/>
      </w:r>
      <w:r w:rsidRPr="001E2F6E">
        <w:rPr>
          <w:b/>
          <w:color w:val="1F497D" w:themeColor="text2"/>
          <w:sz w:val="18"/>
          <w:szCs w:val="18"/>
          <w:lang w:val="eu-ES"/>
        </w:rPr>
        <w:t xml:space="preserve"> Taula GIZARTE-EKONOMIAREN ALORREKO ENPRESEN TAMAINARI BURUZKO ADIERAZLEAK. 2010-2012</w:t>
      </w:r>
      <w:bookmarkEnd w:id="30"/>
      <w:bookmarkEnd w:id="31"/>
    </w:p>
    <w:tbl>
      <w:tblPr>
        <w:tblW w:w="5000" w:type="pct"/>
        <w:jc w:val="center"/>
        <w:tblLook w:val="04A0" w:firstRow="1" w:lastRow="0" w:firstColumn="1" w:lastColumn="0" w:noHBand="0" w:noVBand="1"/>
      </w:tblPr>
      <w:tblGrid>
        <w:gridCol w:w="5359"/>
        <w:gridCol w:w="1891"/>
        <w:gridCol w:w="1754"/>
      </w:tblGrid>
      <w:tr w:rsidR="00195BE7" w:rsidRPr="001E2F6E" w:rsidTr="00195BE7">
        <w:trPr>
          <w:jc w:val="center"/>
        </w:trPr>
        <w:tc>
          <w:tcPr>
            <w:tcW w:w="2976"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tcPr>
          <w:p w:rsidR="00195BE7" w:rsidRPr="001E2F6E" w:rsidRDefault="00195BE7" w:rsidP="00195BE7">
            <w:pPr>
              <w:spacing w:line="240" w:lineRule="exact"/>
              <w:rPr>
                <w:b/>
                <w:sz w:val="16"/>
                <w:szCs w:val="16"/>
              </w:rPr>
            </w:pPr>
          </w:p>
        </w:tc>
        <w:tc>
          <w:tcPr>
            <w:tcW w:w="105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tcPr>
          <w:p w:rsidR="00195BE7" w:rsidRPr="001E2F6E" w:rsidRDefault="00195BE7" w:rsidP="00195BE7">
            <w:pPr>
              <w:spacing w:line="240" w:lineRule="exact"/>
              <w:jc w:val="center"/>
              <w:rPr>
                <w:b/>
                <w:sz w:val="16"/>
                <w:szCs w:val="16"/>
              </w:rPr>
            </w:pPr>
            <w:r w:rsidRPr="001E2F6E">
              <w:rPr>
                <w:b/>
                <w:sz w:val="16"/>
                <w:szCs w:val="16"/>
              </w:rPr>
              <w:t>2010</w:t>
            </w:r>
          </w:p>
        </w:tc>
        <w:tc>
          <w:tcPr>
            <w:tcW w:w="974"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tcPr>
          <w:p w:rsidR="00195BE7" w:rsidRPr="001E2F6E" w:rsidRDefault="00195BE7" w:rsidP="00195BE7">
            <w:pPr>
              <w:spacing w:line="240" w:lineRule="exact"/>
              <w:jc w:val="center"/>
              <w:rPr>
                <w:b/>
                <w:sz w:val="16"/>
                <w:szCs w:val="16"/>
              </w:rPr>
            </w:pPr>
            <w:r w:rsidRPr="001E2F6E">
              <w:rPr>
                <w:b/>
                <w:sz w:val="16"/>
                <w:szCs w:val="16"/>
              </w:rPr>
              <w:t>2012</w:t>
            </w:r>
          </w:p>
        </w:tc>
      </w:tr>
      <w:tr w:rsidR="00195BE7" w:rsidRPr="001E2F6E" w:rsidTr="00195BE7">
        <w:trPr>
          <w:jc w:val="center"/>
        </w:trPr>
        <w:tc>
          <w:tcPr>
            <w:tcW w:w="2976" w:type="pct"/>
            <w:tcBorders>
              <w:top w:val="single" w:sz="4" w:space="0" w:color="BFBFBF" w:themeColor="background1" w:themeShade="BF"/>
              <w:right w:val="single" w:sz="4" w:space="0" w:color="BFBFBF" w:themeColor="background1" w:themeShade="BF"/>
            </w:tcBorders>
            <w:vAlign w:val="bottom"/>
          </w:tcPr>
          <w:p w:rsidR="00195BE7" w:rsidRPr="001E2F6E" w:rsidRDefault="00195BE7" w:rsidP="00195BE7">
            <w:pPr>
              <w:spacing w:line="240" w:lineRule="exact"/>
              <w:rPr>
                <w:sz w:val="16"/>
                <w:szCs w:val="16"/>
              </w:rPr>
            </w:pPr>
            <w:r w:rsidRPr="001E2F6E">
              <w:rPr>
                <w:sz w:val="16"/>
                <w:szCs w:val="16"/>
                <w:lang w:val="eu-ES"/>
              </w:rPr>
              <w:t>Establezimendu/enpresa-kopurua</w:t>
            </w:r>
          </w:p>
        </w:tc>
        <w:tc>
          <w:tcPr>
            <w:tcW w:w="1050" w:type="pct"/>
            <w:tcBorders>
              <w:top w:val="single" w:sz="4" w:space="0" w:color="BFBFBF" w:themeColor="background1" w:themeShade="BF"/>
              <w:left w:val="single" w:sz="4" w:space="0" w:color="BFBFBF" w:themeColor="background1" w:themeShade="BF"/>
              <w:right w:val="single" w:sz="4" w:space="0" w:color="BFBFBF" w:themeColor="background1" w:themeShade="BF"/>
            </w:tcBorders>
          </w:tcPr>
          <w:p w:rsidR="00195BE7" w:rsidRPr="001E2F6E" w:rsidRDefault="00195BE7" w:rsidP="00195BE7">
            <w:pPr>
              <w:spacing w:line="240" w:lineRule="exact"/>
              <w:ind w:right="170"/>
              <w:jc w:val="right"/>
              <w:rPr>
                <w:sz w:val="16"/>
                <w:szCs w:val="16"/>
              </w:rPr>
            </w:pPr>
            <w:r w:rsidRPr="001E2F6E">
              <w:rPr>
                <w:sz w:val="16"/>
                <w:szCs w:val="16"/>
              </w:rPr>
              <w:t>1,38</w:t>
            </w:r>
          </w:p>
        </w:tc>
        <w:tc>
          <w:tcPr>
            <w:tcW w:w="974" w:type="pct"/>
            <w:tcBorders>
              <w:top w:val="single" w:sz="4" w:space="0" w:color="BFBFBF" w:themeColor="background1" w:themeShade="BF"/>
              <w:left w:val="single" w:sz="4" w:space="0" w:color="BFBFBF" w:themeColor="background1" w:themeShade="BF"/>
            </w:tcBorders>
          </w:tcPr>
          <w:p w:rsidR="00195BE7" w:rsidRPr="001E2F6E" w:rsidRDefault="00195BE7" w:rsidP="00195BE7">
            <w:pPr>
              <w:spacing w:line="240" w:lineRule="exact"/>
              <w:ind w:right="170"/>
              <w:jc w:val="right"/>
              <w:rPr>
                <w:sz w:val="16"/>
                <w:szCs w:val="16"/>
              </w:rPr>
            </w:pPr>
            <w:r w:rsidRPr="001E2F6E">
              <w:rPr>
                <w:sz w:val="16"/>
                <w:szCs w:val="16"/>
              </w:rPr>
              <w:t>1,31</w:t>
            </w:r>
          </w:p>
        </w:tc>
      </w:tr>
      <w:tr w:rsidR="00195BE7" w:rsidRPr="001E2F6E" w:rsidTr="00195BE7">
        <w:trPr>
          <w:jc w:val="center"/>
        </w:trPr>
        <w:tc>
          <w:tcPr>
            <w:tcW w:w="2976" w:type="pct"/>
            <w:tcBorders>
              <w:right w:val="single" w:sz="4" w:space="0" w:color="BFBFBF" w:themeColor="background1" w:themeShade="BF"/>
            </w:tcBorders>
            <w:vAlign w:val="bottom"/>
          </w:tcPr>
          <w:p w:rsidR="00195BE7" w:rsidRPr="001E2F6E" w:rsidRDefault="00195BE7" w:rsidP="00195BE7">
            <w:pPr>
              <w:spacing w:line="240" w:lineRule="exact"/>
              <w:rPr>
                <w:sz w:val="16"/>
                <w:szCs w:val="16"/>
              </w:rPr>
            </w:pPr>
            <w:r w:rsidRPr="001E2F6E">
              <w:rPr>
                <w:sz w:val="16"/>
                <w:szCs w:val="16"/>
                <w:lang w:val="eu-ES"/>
              </w:rPr>
              <w:t>Enpresen batez besteko tamaina (Enpleguak)</w:t>
            </w:r>
          </w:p>
        </w:tc>
        <w:tc>
          <w:tcPr>
            <w:tcW w:w="1050" w:type="pct"/>
            <w:tcBorders>
              <w:left w:val="single" w:sz="4" w:space="0" w:color="BFBFBF" w:themeColor="background1" w:themeShade="BF"/>
              <w:right w:val="single" w:sz="4" w:space="0" w:color="BFBFBF" w:themeColor="background1" w:themeShade="BF"/>
            </w:tcBorders>
          </w:tcPr>
          <w:p w:rsidR="00195BE7" w:rsidRPr="001E2F6E" w:rsidRDefault="00195BE7" w:rsidP="00195BE7">
            <w:pPr>
              <w:spacing w:line="240" w:lineRule="exact"/>
              <w:ind w:right="170"/>
              <w:jc w:val="right"/>
              <w:rPr>
                <w:sz w:val="16"/>
                <w:szCs w:val="16"/>
              </w:rPr>
            </w:pPr>
            <w:r w:rsidRPr="001E2F6E">
              <w:rPr>
                <w:sz w:val="16"/>
                <w:szCs w:val="16"/>
              </w:rPr>
              <w:t>27,6</w:t>
            </w:r>
          </w:p>
        </w:tc>
        <w:tc>
          <w:tcPr>
            <w:tcW w:w="974" w:type="pct"/>
            <w:tcBorders>
              <w:left w:val="single" w:sz="4" w:space="0" w:color="BFBFBF" w:themeColor="background1" w:themeShade="BF"/>
            </w:tcBorders>
          </w:tcPr>
          <w:p w:rsidR="00195BE7" w:rsidRPr="001E2F6E" w:rsidRDefault="00195BE7" w:rsidP="00195BE7">
            <w:pPr>
              <w:spacing w:line="240" w:lineRule="exact"/>
              <w:ind w:right="170"/>
              <w:jc w:val="right"/>
              <w:rPr>
                <w:sz w:val="16"/>
                <w:szCs w:val="16"/>
              </w:rPr>
            </w:pPr>
            <w:r w:rsidRPr="001E2F6E">
              <w:rPr>
                <w:sz w:val="16"/>
                <w:szCs w:val="16"/>
              </w:rPr>
              <w:t>23,8</w:t>
            </w:r>
          </w:p>
        </w:tc>
      </w:tr>
      <w:tr w:rsidR="00195BE7" w:rsidRPr="001E2F6E" w:rsidTr="00195BE7">
        <w:trPr>
          <w:jc w:val="center"/>
        </w:trPr>
        <w:tc>
          <w:tcPr>
            <w:tcW w:w="2976" w:type="pct"/>
            <w:tcBorders>
              <w:bottom w:val="single" w:sz="4" w:space="0" w:color="BFBFBF" w:themeColor="background1" w:themeShade="BF"/>
              <w:right w:val="single" w:sz="4" w:space="0" w:color="BFBFBF" w:themeColor="background1" w:themeShade="BF"/>
            </w:tcBorders>
            <w:vAlign w:val="bottom"/>
          </w:tcPr>
          <w:p w:rsidR="00195BE7" w:rsidRPr="001E2F6E" w:rsidRDefault="00195BE7" w:rsidP="00195BE7">
            <w:pPr>
              <w:spacing w:line="240" w:lineRule="exact"/>
              <w:rPr>
                <w:sz w:val="16"/>
                <w:szCs w:val="16"/>
              </w:rPr>
            </w:pPr>
            <w:r w:rsidRPr="001E2F6E">
              <w:rPr>
                <w:sz w:val="16"/>
                <w:szCs w:val="16"/>
                <w:lang w:val="eu-ES"/>
              </w:rPr>
              <w:t>Establezimenduen batez besteko tamaina (Enpleguak)</w:t>
            </w:r>
          </w:p>
        </w:tc>
        <w:tc>
          <w:tcPr>
            <w:tcW w:w="1050" w:type="pct"/>
            <w:tcBorders>
              <w:left w:val="single" w:sz="4" w:space="0" w:color="BFBFBF" w:themeColor="background1" w:themeShade="BF"/>
              <w:bottom w:val="single" w:sz="4" w:space="0" w:color="BFBFBF" w:themeColor="background1" w:themeShade="BF"/>
              <w:right w:val="single" w:sz="4" w:space="0" w:color="BFBFBF" w:themeColor="background1" w:themeShade="BF"/>
            </w:tcBorders>
          </w:tcPr>
          <w:p w:rsidR="00195BE7" w:rsidRPr="001E2F6E" w:rsidRDefault="00195BE7" w:rsidP="00195BE7">
            <w:pPr>
              <w:spacing w:line="240" w:lineRule="exact"/>
              <w:ind w:right="170"/>
              <w:jc w:val="right"/>
              <w:rPr>
                <w:sz w:val="16"/>
                <w:szCs w:val="16"/>
              </w:rPr>
            </w:pPr>
            <w:r w:rsidRPr="001E2F6E">
              <w:rPr>
                <w:sz w:val="16"/>
                <w:szCs w:val="16"/>
              </w:rPr>
              <w:t>20,0</w:t>
            </w:r>
          </w:p>
        </w:tc>
        <w:tc>
          <w:tcPr>
            <w:tcW w:w="974" w:type="pct"/>
            <w:tcBorders>
              <w:left w:val="single" w:sz="4" w:space="0" w:color="BFBFBF" w:themeColor="background1" w:themeShade="BF"/>
              <w:bottom w:val="single" w:sz="4" w:space="0" w:color="BFBFBF" w:themeColor="background1" w:themeShade="BF"/>
            </w:tcBorders>
          </w:tcPr>
          <w:p w:rsidR="00195BE7" w:rsidRPr="001E2F6E" w:rsidRDefault="00195BE7" w:rsidP="00195BE7">
            <w:pPr>
              <w:spacing w:line="240" w:lineRule="exact"/>
              <w:ind w:right="170"/>
              <w:jc w:val="right"/>
              <w:rPr>
                <w:sz w:val="16"/>
                <w:szCs w:val="16"/>
              </w:rPr>
            </w:pPr>
            <w:r w:rsidRPr="001E2F6E">
              <w:rPr>
                <w:sz w:val="16"/>
                <w:szCs w:val="16"/>
              </w:rPr>
              <w:t>18,1</w:t>
            </w:r>
          </w:p>
        </w:tc>
      </w:tr>
    </w:tbl>
    <w:p w:rsidR="00195BE7" w:rsidRPr="001E2F6E" w:rsidRDefault="00195BE7" w:rsidP="00195BE7"/>
    <w:p w:rsidR="00195BE7" w:rsidRPr="001E2F6E" w:rsidRDefault="00195BE7" w:rsidP="00195BE7">
      <w:pPr>
        <w:spacing w:line="240" w:lineRule="auto"/>
        <w:jc w:val="center"/>
        <w:rPr>
          <w:b/>
          <w:color w:val="1F497D" w:themeColor="text2"/>
          <w:sz w:val="18"/>
          <w:szCs w:val="18"/>
          <w:lang w:val="eu-ES"/>
        </w:rPr>
      </w:pPr>
      <w:bookmarkStart w:id="32" w:name="_Toc391989076"/>
      <w:bookmarkStart w:id="33" w:name="_Toc392585739"/>
      <w:r w:rsidRPr="001E2F6E">
        <w:rPr>
          <w:b/>
          <w:color w:val="1F497D" w:themeColor="text2"/>
          <w:sz w:val="18"/>
          <w:szCs w:val="18"/>
        </w:rPr>
        <w:t>1.</w:t>
      </w:r>
      <w:r w:rsidR="00EB6BA6" w:rsidRPr="001E2F6E">
        <w:rPr>
          <w:b/>
          <w:color w:val="1F497D" w:themeColor="text2"/>
          <w:sz w:val="18"/>
          <w:szCs w:val="18"/>
        </w:rPr>
        <w:fldChar w:fldCharType="begin"/>
      </w:r>
      <w:r w:rsidRPr="001E2F6E">
        <w:rPr>
          <w:b/>
          <w:color w:val="1F497D" w:themeColor="text2"/>
          <w:sz w:val="18"/>
          <w:szCs w:val="18"/>
        </w:rPr>
        <w:instrText xml:space="preserve"> SEQ Cuadro_1. \* ARABIC </w:instrText>
      </w:r>
      <w:r w:rsidR="00EB6BA6" w:rsidRPr="001E2F6E">
        <w:rPr>
          <w:b/>
          <w:color w:val="1F497D" w:themeColor="text2"/>
          <w:sz w:val="18"/>
          <w:szCs w:val="18"/>
        </w:rPr>
        <w:fldChar w:fldCharType="separate"/>
      </w:r>
      <w:r w:rsidR="00A327D4">
        <w:rPr>
          <w:b/>
          <w:noProof/>
          <w:color w:val="1F497D" w:themeColor="text2"/>
          <w:sz w:val="18"/>
          <w:szCs w:val="18"/>
        </w:rPr>
        <w:t>4</w:t>
      </w:r>
      <w:r w:rsidR="00EB6BA6" w:rsidRPr="001E2F6E">
        <w:rPr>
          <w:b/>
          <w:color w:val="1F497D" w:themeColor="text2"/>
          <w:sz w:val="18"/>
          <w:szCs w:val="18"/>
        </w:rPr>
        <w:fldChar w:fldCharType="end"/>
      </w:r>
      <w:r w:rsidRPr="001E2F6E">
        <w:rPr>
          <w:b/>
          <w:color w:val="1F497D" w:themeColor="text2"/>
          <w:sz w:val="18"/>
          <w:szCs w:val="18"/>
        </w:rPr>
        <w:t xml:space="preserve"> Taula </w:t>
      </w:r>
      <w:r w:rsidRPr="001E2F6E">
        <w:rPr>
          <w:b/>
          <w:color w:val="1F497D" w:themeColor="text2"/>
          <w:sz w:val="18"/>
          <w:szCs w:val="18"/>
          <w:lang w:val="eu-ES"/>
        </w:rPr>
        <w:t>GIZARTE-EKONOMIAREN ALORREKO ENPRESEN TAMAINA 2012ean</w:t>
      </w:r>
      <w:bookmarkEnd w:id="32"/>
      <w:bookmarkEnd w:id="33"/>
    </w:p>
    <w:p w:rsidR="00195BE7" w:rsidRPr="001E2F6E" w:rsidRDefault="00195BE7" w:rsidP="00195BE7">
      <w:pPr>
        <w:spacing w:line="240" w:lineRule="auto"/>
        <w:jc w:val="center"/>
        <w:rPr>
          <w:b/>
          <w:noProof/>
          <w:color w:val="1F497D" w:themeColor="text2"/>
          <w:sz w:val="18"/>
          <w:szCs w:val="18"/>
        </w:rPr>
      </w:pPr>
      <w:r w:rsidRPr="001E2F6E">
        <w:rPr>
          <w:b/>
          <w:color w:val="1F497D" w:themeColor="text2"/>
          <w:sz w:val="18"/>
          <w:szCs w:val="18"/>
          <w:lang w:val="eu-ES"/>
        </w:rPr>
        <w:t>(</w:t>
      </w:r>
      <w:r w:rsidRPr="001E2F6E">
        <w:rPr>
          <w:b/>
          <w:color w:val="1F497D" w:themeColor="text2"/>
          <w:sz w:val="18"/>
          <w:szCs w:val="18"/>
        </w:rPr>
        <w:t xml:space="preserve">zifra absolutuak </w:t>
      </w:r>
      <w:r w:rsidRPr="001E2F6E">
        <w:rPr>
          <w:b/>
          <w:color w:val="1F497D" w:themeColor="text2"/>
          <w:sz w:val="18"/>
          <w:szCs w:val="18"/>
          <w:lang w:val="eu-ES"/>
        </w:rPr>
        <w:t>eta %bertikalak)</w:t>
      </w:r>
    </w:p>
    <w:tbl>
      <w:tblPr>
        <w:tblW w:w="5000" w:type="pct"/>
        <w:jc w:val="center"/>
        <w:tblLook w:val="04A0" w:firstRow="1" w:lastRow="0" w:firstColumn="1" w:lastColumn="0" w:noHBand="0" w:noVBand="1"/>
      </w:tblPr>
      <w:tblGrid>
        <w:gridCol w:w="2120"/>
        <w:gridCol w:w="1378"/>
        <w:gridCol w:w="1378"/>
        <w:gridCol w:w="1376"/>
        <w:gridCol w:w="1376"/>
        <w:gridCol w:w="1376"/>
      </w:tblGrid>
      <w:tr w:rsidR="00195BE7" w:rsidRPr="001E2F6E" w:rsidTr="00195BE7">
        <w:trPr>
          <w:jc w:val="center"/>
        </w:trPr>
        <w:tc>
          <w:tcPr>
            <w:tcW w:w="1177"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hideMark/>
          </w:tcPr>
          <w:p w:rsidR="00195BE7" w:rsidRPr="001E2F6E" w:rsidRDefault="00195BE7" w:rsidP="00195BE7">
            <w:pPr>
              <w:spacing w:line="240" w:lineRule="exact"/>
              <w:jc w:val="center"/>
              <w:rPr>
                <w:b/>
                <w:sz w:val="16"/>
                <w:szCs w:val="16"/>
              </w:rPr>
            </w:pPr>
          </w:p>
        </w:tc>
        <w:tc>
          <w:tcPr>
            <w:tcW w:w="765"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vAlign w:val="center"/>
            <w:hideMark/>
          </w:tcPr>
          <w:p w:rsidR="00195BE7" w:rsidRPr="001E2F6E" w:rsidRDefault="00195BE7" w:rsidP="00195BE7">
            <w:pPr>
              <w:spacing w:line="240" w:lineRule="exact"/>
              <w:jc w:val="center"/>
              <w:rPr>
                <w:b/>
                <w:snapToGrid w:val="0"/>
                <w:sz w:val="16"/>
                <w:szCs w:val="16"/>
              </w:rPr>
            </w:pPr>
            <w:r w:rsidRPr="001E2F6E">
              <w:rPr>
                <w:b/>
                <w:snapToGrid w:val="0"/>
                <w:sz w:val="16"/>
                <w:szCs w:val="16"/>
              </w:rPr>
              <w:t>Enpresa-kopurua</w:t>
            </w:r>
          </w:p>
        </w:tc>
        <w:tc>
          <w:tcPr>
            <w:tcW w:w="765"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hideMark/>
          </w:tcPr>
          <w:p w:rsidR="00195BE7" w:rsidRPr="001E2F6E" w:rsidRDefault="00195BE7" w:rsidP="00195BE7">
            <w:pPr>
              <w:spacing w:line="240" w:lineRule="exact"/>
              <w:jc w:val="center"/>
              <w:rPr>
                <w:b/>
                <w:snapToGrid w:val="0"/>
                <w:sz w:val="16"/>
                <w:szCs w:val="16"/>
              </w:rPr>
            </w:pPr>
            <w:r w:rsidRPr="001E2F6E">
              <w:rPr>
                <w:b/>
                <w:snapToGrid w:val="0"/>
                <w:sz w:val="16"/>
                <w:szCs w:val="16"/>
              </w:rPr>
              <w:t>%ber.</w:t>
            </w:r>
          </w:p>
        </w:tc>
        <w:tc>
          <w:tcPr>
            <w:tcW w:w="764"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vAlign w:val="center"/>
            <w:hideMark/>
          </w:tcPr>
          <w:p w:rsidR="00195BE7" w:rsidRPr="001E2F6E" w:rsidRDefault="00195BE7" w:rsidP="00195BE7">
            <w:pPr>
              <w:spacing w:line="240" w:lineRule="exact"/>
              <w:jc w:val="center"/>
              <w:rPr>
                <w:b/>
                <w:snapToGrid w:val="0"/>
                <w:sz w:val="16"/>
                <w:szCs w:val="16"/>
              </w:rPr>
            </w:pPr>
            <w:r w:rsidRPr="001E2F6E">
              <w:rPr>
                <w:b/>
                <w:snapToGrid w:val="0"/>
                <w:sz w:val="16"/>
                <w:szCs w:val="16"/>
              </w:rPr>
              <w:t>Enpleguak</w:t>
            </w:r>
          </w:p>
        </w:tc>
        <w:tc>
          <w:tcPr>
            <w:tcW w:w="764"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hideMark/>
          </w:tcPr>
          <w:p w:rsidR="00195BE7" w:rsidRPr="001E2F6E" w:rsidRDefault="00195BE7" w:rsidP="00195BE7">
            <w:pPr>
              <w:spacing w:line="240" w:lineRule="exact"/>
              <w:jc w:val="center"/>
              <w:rPr>
                <w:b/>
                <w:snapToGrid w:val="0"/>
                <w:sz w:val="16"/>
                <w:szCs w:val="16"/>
              </w:rPr>
            </w:pPr>
            <w:r w:rsidRPr="001E2F6E">
              <w:rPr>
                <w:b/>
                <w:snapToGrid w:val="0"/>
                <w:sz w:val="16"/>
                <w:szCs w:val="16"/>
              </w:rPr>
              <w:t>%ber.</w:t>
            </w:r>
          </w:p>
        </w:tc>
        <w:tc>
          <w:tcPr>
            <w:tcW w:w="764"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vAlign w:val="center"/>
            <w:hideMark/>
          </w:tcPr>
          <w:p w:rsidR="00195BE7" w:rsidRPr="001E2F6E" w:rsidRDefault="00195BE7" w:rsidP="00195BE7">
            <w:pPr>
              <w:spacing w:line="240" w:lineRule="exact"/>
              <w:jc w:val="center"/>
              <w:rPr>
                <w:b/>
                <w:snapToGrid w:val="0"/>
                <w:sz w:val="16"/>
                <w:szCs w:val="16"/>
              </w:rPr>
            </w:pPr>
            <w:r w:rsidRPr="001E2F6E">
              <w:rPr>
                <w:b/>
                <w:snapToGrid w:val="0"/>
                <w:sz w:val="16"/>
                <w:szCs w:val="16"/>
              </w:rPr>
              <w:t>Batez besteko tamaina</w:t>
            </w:r>
          </w:p>
        </w:tc>
      </w:tr>
      <w:tr w:rsidR="00195BE7" w:rsidRPr="001E2F6E" w:rsidTr="00195BE7">
        <w:trPr>
          <w:jc w:val="center"/>
        </w:trPr>
        <w:tc>
          <w:tcPr>
            <w:tcW w:w="1177" w:type="pct"/>
            <w:tcBorders>
              <w:top w:val="single" w:sz="4" w:space="0" w:color="BFBFBF" w:themeColor="background1" w:themeShade="BF"/>
              <w:right w:val="single" w:sz="4" w:space="0" w:color="BFBFBF" w:themeColor="background1" w:themeShade="BF"/>
            </w:tcBorders>
            <w:vAlign w:val="bottom"/>
            <w:hideMark/>
          </w:tcPr>
          <w:p w:rsidR="00195BE7" w:rsidRPr="001E2F6E" w:rsidRDefault="00195BE7" w:rsidP="00195BE7">
            <w:pPr>
              <w:spacing w:line="240" w:lineRule="exact"/>
              <w:rPr>
                <w:snapToGrid w:val="0"/>
                <w:sz w:val="16"/>
                <w:szCs w:val="16"/>
              </w:rPr>
            </w:pPr>
            <w:r w:rsidRPr="001E2F6E">
              <w:rPr>
                <w:snapToGrid w:val="0"/>
                <w:sz w:val="16"/>
                <w:szCs w:val="16"/>
                <w:lang w:val="eu-ES"/>
              </w:rPr>
              <w:t>5 enplegu arte</w:t>
            </w:r>
          </w:p>
        </w:tc>
        <w:tc>
          <w:tcPr>
            <w:tcW w:w="765" w:type="pct"/>
            <w:tcBorders>
              <w:top w:val="single" w:sz="4" w:space="0" w:color="BFBFBF" w:themeColor="background1" w:themeShade="BF"/>
              <w:left w:val="single" w:sz="4" w:space="0" w:color="BFBFBF" w:themeColor="background1" w:themeShade="BF"/>
            </w:tcBorders>
            <w:hideMark/>
          </w:tcPr>
          <w:p w:rsidR="00195BE7" w:rsidRPr="001E2F6E" w:rsidRDefault="00195BE7" w:rsidP="00195BE7">
            <w:pPr>
              <w:spacing w:line="240" w:lineRule="exact"/>
              <w:ind w:right="170"/>
              <w:jc w:val="right"/>
              <w:rPr>
                <w:sz w:val="16"/>
                <w:szCs w:val="16"/>
              </w:rPr>
            </w:pPr>
            <w:r w:rsidRPr="001E2F6E">
              <w:rPr>
                <w:sz w:val="16"/>
                <w:szCs w:val="16"/>
              </w:rPr>
              <w:t>1.441</w:t>
            </w:r>
          </w:p>
        </w:tc>
        <w:tc>
          <w:tcPr>
            <w:tcW w:w="765" w:type="pct"/>
            <w:tcBorders>
              <w:top w:val="single" w:sz="4" w:space="0" w:color="BFBFBF" w:themeColor="background1" w:themeShade="BF"/>
              <w:right w:val="single" w:sz="4" w:space="0" w:color="BFBFBF" w:themeColor="background1" w:themeShade="BF"/>
            </w:tcBorders>
            <w:hideMark/>
          </w:tcPr>
          <w:p w:rsidR="00195BE7" w:rsidRPr="001E2F6E" w:rsidRDefault="00195BE7" w:rsidP="00195BE7">
            <w:pPr>
              <w:spacing w:line="240" w:lineRule="exact"/>
              <w:ind w:right="170"/>
              <w:jc w:val="right"/>
              <w:rPr>
                <w:sz w:val="16"/>
                <w:szCs w:val="16"/>
              </w:rPr>
            </w:pPr>
            <w:r w:rsidRPr="001E2F6E">
              <w:rPr>
                <w:sz w:val="16"/>
                <w:szCs w:val="16"/>
              </w:rPr>
              <w:t>61,4</w:t>
            </w:r>
          </w:p>
        </w:tc>
        <w:tc>
          <w:tcPr>
            <w:tcW w:w="764" w:type="pct"/>
            <w:tcBorders>
              <w:top w:val="single" w:sz="4" w:space="0" w:color="BFBFBF" w:themeColor="background1" w:themeShade="BF"/>
              <w:left w:val="single" w:sz="4" w:space="0" w:color="BFBFBF" w:themeColor="background1" w:themeShade="BF"/>
            </w:tcBorders>
            <w:hideMark/>
          </w:tcPr>
          <w:p w:rsidR="00195BE7" w:rsidRPr="001E2F6E" w:rsidRDefault="00195BE7" w:rsidP="00195BE7">
            <w:pPr>
              <w:spacing w:line="240" w:lineRule="exact"/>
              <w:ind w:right="170"/>
              <w:jc w:val="right"/>
              <w:rPr>
                <w:sz w:val="16"/>
                <w:szCs w:val="16"/>
              </w:rPr>
            </w:pPr>
            <w:r w:rsidRPr="001E2F6E">
              <w:rPr>
                <w:sz w:val="16"/>
                <w:szCs w:val="16"/>
              </w:rPr>
              <w:t>3.960</w:t>
            </w:r>
          </w:p>
        </w:tc>
        <w:tc>
          <w:tcPr>
            <w:tcW w:w="764" w:type="pct"/>
            <w:tcBorders>
              <w:top w:val="single" w:sz="4" w:space="0" w:color="BFBFBF" w:themeColor="background1" w:themeShade="BF"/>
              <w:right w:val="single" w:sz="4" w:space="0" w:color="BFBFBF" w:themeColor="background1" w:themeShade="BF"/>
            </w:tcBorders>
            <w:hideMark/>
          </w:tcPr>
          <w:p w:rsidR="00195BE7" w:rsidRPr="001E2F6E" w:rsidRDefault="00195BE7" w:rsidP="00195BE7">
            <w:pPr>
              <w:spacing w:line="240" w:lineRule="exact"/>
              <w:ind w:right="170"/>
              <w:jc w:val="right"/>
              <w:rPr>
                <w:sz w:val="16"/>
                <w:szCs w:val="16"/>
              </w:rPr>
            </w:pPr>
            <w:r w:rsidRPr="001E2F6E">
              <w:rPr>
                <w:sz w:val="16"/>
                <w:szCs w:val="16"/>
              </w:rPr>
              <w:t>7,1</w:t>
            </w:r>
          </w:p>
        </w:tc>
        <w:tc>
          <w:tcPr>
            <w:tcW w:w="764" w:type="pct"/>
            <w:tcBorders>
              <w:top w:val="single" w:sz="4" w:space="0" w:color="BFBFBF" w:themeColor="background1" w:themeShade="BF"/>
              <w:left w:val="single" w:sz="4" w:space="0" w:color="BFBFBF" w:themeColor="background1" w:themeShade="BF"/>
            </w:tcBorders>
            <w:hideMark/>
          </w:tcPr>
          <w:p w:rsidR="00195BE7" w:rsidRPr="001E2F6E" w:rsidRDefault="00195BE7" w:rsidP="00195BE7">
            <w:pPr>
              <w:spacing w:line="240" w:lineRule="exact"/>
              <w:ind w:right="170"/>
              <w:jc w:val="right"/>
              <w:rPr>
                <w:sz w:val="16"/>
                <w:szCs w:val="16"/>
              </w:rPr>
            </w:pPr>
            <w:r w:rsidRPr="001E2F6E">
              <w:rPr>
                <w:sz w:val="16"/>
                <w:szCs w:val="16"/>
              </w:rPr>
              <w:t>2,7</w:t>
            </w:r>
          </w:p>
        </w:tc>
      </w:tr>
      <w:tr w:rsidR="00195BE7" w:rsidRPr="001E2F6E" w:rsidTr="00195BE7">
        <w:trPr>
          <w:jc w:val="center"/>
        </w:trPr>
        <w:tc>
          <w:tcPr>
            <w:tcW w:w="1177" w:type="pct"/>
            <w:tcBorders>
              <w:right w:val="single" w:sz="4" w:space="0" w:color="BFBFBF" w:themeColor="background1" w:themeShade="BF"/>
            </w:tcBorders>
            <w:vAlign w:val="bottom"/>
            <w:hideMark/>
          </w:tcPr>
          <w:p w:rsidR="00195BE7" w:rsidRPr="001E2F6E" w:rsidRDefault="00195BE7" w:rsidP="00195BE7">
            <w:pPr>
              <w:spacing w:line="240" w:lineRule="exact"/>
              <w:rPr>
                <w:snapToGrid w:val="0"/>
                <w:sz w:val="16"/>
                <w:szCs w:val="16"/>
              </w:rPr>
            </w:pPr>
            <w:r w:rsidRPr="001E2F6E">
              <w:rPr>
                <w:snapToGrid w:val="0"/>
                <w:sz w:val="16"/>
                <w:szCs w:val="16"/>
                <w:lang w:val="eu-ES"/>
              </w:rPr>
              <w:t>6tik 15era</w:t>
            </w:r>
          </w:p>
        </w:tc>
        <w:tc>
          <w:tcPr>
            <w:tcW w:w="765" w:type="pct"/>
            <w:tcBorders>
              <w:left w:val="single" w:sz="4" w:space="0" w:color="BFBFBF" w:themeColor="background1" w:themeShade="BF"/>
            </w:tcBorders>
            <w:hideMark/>
          </w:tcPr>
          <w:p w:rsidR="00195BE7" w:rsidRPr="001E2F6E" w:rsidRDefault="00195BE7" w:rsidP="00195BE7">
            <w:pPr>
              <w:spacing w:line="240" w:lineRule="exact"/>
              <w:ind w:right="170"/>
              <w:jc w:val="right"/>
              <w:rPr>
                <w:sz w:val="16"/>
                <w:szCs w:val="16"/>
              </w:rPr>
            </w:pPr>
            <w:r w:rsidRPr="001E2F6E">
              <w:rPr>
                <w:sz w:val="16"/>
                <w:szCs w:val="16"/>
              </w:rPr>
              <w:t>506</w:t>
            </w:r>
          </w:p>
        </w:tc>
        <w:tc>
          <w:tcPr>
            <w:tcW w:w="765" w:type="pct"/>
            <w:tcBorders>
              <w:right w:val="single" w:sz="4" w:space="0" w:color="BFBFBF" w:themeColor="background1" w:themeShade="BF"/>
            </w:tcBorders>
            <w:hideMark/>
          </w:tcPr>
          <w:p w:rsidR="00195BE7" w:rsidRPr="001E2F6E" w:rsidRDefault="00195BE7" w:rsidP="00195BE7">
            <w:pPr>
              <w:spacing w:line="240" w:lineRule="exact"/>
              <w:ind w:right="170"/>
              <w:jc w:val="right"/>
              <w:rPr>
                <w:sz w:val="16"/>
                <w:szCs w:val="16"/>
              </w:rPr>
            </w:pPr>
            <w:r w:rsidRPr="001E2F6E">
              <w:rPr>
                <w:sz w:val="16"/>
                <w:szCs w:val="16"/>
              </w:rPr>
              <w:t>21,6</w:t>
            </w:r>
          </w:p>
        </w:tc>
        <w:tc>
          <w:tcPr>
            <w:tcW w:w="764" w:type="pct"/>
            <w:tcBorders>
              <w:left w:val="single" w:sz="4" w:space="0" w:color="BFBFBF" w:themeColor="background1" w:themeShade="BF"/>
            </w:tcBorders>
            <w:hideMark/>
          </w:tcPr>
          <w:p w:rsidR="00195BE7" w:rsidRPr="001E2F6E" w:rsidRDefault="00195BE7" w:rsidP="00195BE7">
            <w:pPr>
              <w:spacing w:line="240" w:lineRule="exact"/>
              <w:ind w:right="170"/>
              <w:jc w:val="right"/>
              <w:rPr>
                <w:sz w:val="16"/>
                <w:szCs w:val="16"/>
              </w:rPr>
            </w:pPr>
            <w:r w:rsidRPr="001E2F6E">
              <w:rPr>
                <w:sz w:val="16"/>
                <w:szCs w:val="16"/>
              </w:rPr>
              <w:t>4.472</w:t>
            </w:r>
          </w:p>
        </w:tc>
        <w:tc>
          <w:tcPr>
            <w:tcW w:w="764" w:type="pct"/>
            <w:tcBorders>
              <w:right w:val="single" w:sz="4" w:space="0" w:color="BFBFBF" w:themeColor="background1" w:themeShade="BF"/>
            </w:tcBorders>
            <w:hideMark/>
          </w:tcPr>
          <w:p w:rsidR="00195BE7" w:rsidRPr="001E2F6E" w:rsidRDefault="00195BE7" w:rsidP="00195BE7">
            <w:pPr>
              <w:spacing w:line="240" w:lineRule="exact"/>
              <w:ind w:right="170"/>
              <w:jc w:val="right"/>
              <w:rPr>
                <w:sz w:val="16"/>
                <w:szCs w:val="16"/>
              </w:rPr>
            </w:pPr>
            <w:r w:rsidRPr="001E2F6E">
              <w:rPr>
                <w:sz w:val="16"/>
                <w:szCs w:val="16"/>
              </w:rPr>
              <w:t>8,0</w:t>
            </w:r>
          </w:p>
        </w:tc>
        <w:tc>
          <w:tcPr>
            <w:tcW w:w="764" w:type="pct"/>
            <w:tcBorders>
              <w:left w:val="single" w:sz="4" w:space="0" w:color="BFBFBF" w:themeColor="background1" w:themeShade="BF"/>
            </w:tcBorders>
            <w:hideMark/>
          </w:tcPr>
          <w:p w:rsidR="00195BE7" w:rsidRPr="001E2F6E" w:rsidRDefault="00195BE7" w:rsidP="00195BE7">
            <w:pPr>
              <w:spacing w:line="240" w:lineRule="exact"/>
              <w:ind w:right="170"/>
              <w:jc w:val="right"/>
              <w:rPr>
                <w:sz w:val="16"/>
                <w:szCs w:val="16"/>
              </w:rPr>
            </w:pPr>
            <w:r w:rsidRPr="001E2F6E">
              <w:rPr>
                <w:sz w:val="16"/>
                <w:szCs w:val="16"/>
              </w:rPr>
              <w:t>8,8</w:t>
            </w:r>
          </w:p>
        </w:tc>
      </w:tr>
      <w:tr w:rsidR="00195BE7" w:rsidRPr="001E2F6E" w:rsidTr="00195BE7">
        <w:trPr>
          <w:jc w:val="center"/>
        </w:trPr>
        <w:tc>
          <w:tcPr>
            <w:tcW w:w="1177" w:type="pct"/>
            <w:tcBorders>
              <w:right w:val="single" w:sz="4" w:space="0" w:color="BFBFBF" w:themeColor="background1" w:themeShade="BF"/>
            </w:tcBorders>
            <w:vAlign w:val="bottom"/>
            <w:hideMark/>
          </w:tcPr>
          <w:p w:rsidR="00195BE7" w:rsidRPr="001E2F6E" w:rsidRDefault="00195BE7" w:rsidP="00195BE7">
            <w:pPr>
              <w:spacing w:line="240" w:lineRule="exact"/>
              <w:rPr>
                <w:snapToGrid w:val="0"/>
                <w:sz w:val="16"/>
                <w:szCs w:val="16"/>
              </w:rPr>
            </w:pPr>
            <w:r w:rsidRPr="001E2F6E">
              <w:rPr>
                <w:snapToGrid w:val="0"/>
                <w:sz w:val="16"/>
                <w:szCs w:val="16"/>
                <w:lang w:val="eu-ES"/>
              </w:rPr>
              <w:t>16tik 50era</w:t>
            </w:r>
          </w:p>
        </w:tc>
        <w:tc>
          <w:tcPr>
            <w:tcW w:w="765" w:type="pct"/>
            <w:tcBorders>
              <w:left w:val="single" w:sz="4" w:space="0" w:color="BFBFBF" w:themeColor="background1" w:themeShade="BF"/>
            </w:tcBorders>
            <w:hideMark/>
          </w:tcPr>
          <w:p w:rsidR="00195BE7" w:rsidRPr="001E2F6E" w:rsidRDefault="00195BE7" w:rsidP="00195BE7">
            <w:pPr>
              <w:spacing w:line="240" w:lineRule="exact"/>
              <w:ind w:right="170"/>
              <w:jc w:val="right"/>
              <w:rPr>
                <w:sz w:val="16"/>
                <w:szCs w:val="16"/>
              </w:rPr>
            </w:pPr>
            <w:r w:rsidRPr="001E2F6E">
              <w:rPr>
                <w:sz w:val="16"/>
                <w:szCs w:val="16"/>
              </w:rPr>
              <w:t>235</w:t>
            </w:r>
          </w:p>
        </w:tc>
        <w:tc>
          <w:tcPr>
            <w:tcW w:w="765" w:type="pct"/>
            <w:tcBorders>
              <w:right w:val="single" w:sz="4" w:space="0" w:color="BFBFBF" w:themeColor="background1" w:themeShade="BF"/>
            </w:tcBorders>
            <w:hideMark/>
          </w:tcPr>
          <w:p w:rsidR="00195BE7" w:rsidRPr="001E2F6E" w:rsidRDefault="00195BE7" w:rsidP="00195BE7">
            <w:pPr>
              <w:spacing w:line="240" w:lineRule="exact"/>
              <w:ind w:right="170"/>
              <w:jc w:val="right"/>
              <w:rPr>
                <w:sz w:val="16"/>
                <w:szCs w:val="16"/>
              </w:rPr>
            </w:pPr>
            <w:r w:rsidRPr="001E2F6E">
              <w:rPr>
                <w:sz w:val="16"/>
                <w:szCs w:val="16"/>
              </w:rPr>
              <w:t>10,0</w:t>
            </w:r>
          </w:p>
        </w:tc>
        <w:tc>
          <w:tcPr>
            <w:tcW w:w="764" w:type="pct"/>
            <w:tcBorders>
              <w:left w:val="single" w:sz="4" w:space="0" w:color="BFBFBF" w:themeColor="background1" w:themeShade="BF"/>
            </w:tcBorders>
            <w:hideMark/>
          </w:tcPr>
          <w:p w:rsidR="00195BE7" w:rsidRPr="001E2F6E" w:rsidRDefault="00195BE7" w:rsidP="00195BE7">
            <w:pPr>
              <w:spacing w:line="240" w:lineRule="exact"/>
              <w:ind w:right="170"/>
              <w:jc w:val="right"/>
              <w:rPr>
                <w:sz w:val="16"/>
                <w:szCs w:val="16"/>
              </w:rPr>
            </w:pPr>
            <w:r w:rsidRPr="001E2F6E">
              <w:rPr>
                <w:sz w:val="16"/>
                <w:szCs w:val="16"/>
              </w:rPr>
              <w:t>6.638</w:t>
            </w:r>
          </w:p>
        </w:tc>
        <w:tc>
          <w:tcPr>
            <w:tcW w:w="764" w:type="pct"/>
            <w:tcBorders>
              <w:right w:val="single" w:sz="4" w:space="0" w:color="BFBFBF" w:themeColor="background1" w:themeShade="BF"/>
            </w:tcBorders>
            <w:hideMark/>
          </w:tcPr>
          <w:p w:rsidR="00195BE7" w:rsidRPr="001E2F6E" w:rsidRDefault="00195BE7" w:rsidP="00195BE7">
            <w:pPr>
              <w:spacing w:line="240" w:lineRule="exact"/>
              <w:ind w:right="170"/>
              <w:jc w:val="right"/>
              <w:rPr>
                <w:sz w:val="16"/>
                <w:szCs w:val="16"/>
              </w:rPr>
            </w:pPr>
            <w:r w:rsidRPr="001E2F6E">
              <w:rPr>
                <w:sz w:val="16"/>
                <w:szCs w:val="16"/>
              </w:rPr>
              <w:t>11,9</w:t>
            </w:r>
          </w:p>
        </w:tc>
        <w:tc>
          <w:tcPr>
            <w:tcW w:w="764" w:type="pct"/>
            <w:tcBorders>
              <w:left w:val="single" w:sz="4" w:space="0" w:color="BFBFBF" w:themeColor="background1" w:themeShade="BF"/>
            </w:tcBorders>
            <w:hideMark/>
          </w:tcPr>
          <w:p w:rsidR="00195BE7" w:rsidRPr="001E2F6E" w:rsidRDefault="00195BE7" w:rsidP="00195BE7">
            <w:pPr>
              <w:spacing w:line="240" w:lineRule="exact"/>
              <w:ind w:right="170"/>
              <w:jc w:val="right"/>
              <w:rPr>
                <w:sz w:val="16"/>
                <w:szCs w:val="16"/>
              </w:rPr>
            </w:pPr>
            <w:r w:rsidRPr="001E2F6E">
              <w:rPr>
                <w:sz w:val="16"/>
                <w:szCs w:val="16"/>
              </w:rPr>
              <w:t>28,2</w:t>
            </w:r>
          </w:p>
        </w:tc>
      </w:tr>
      <w:tr w:rsidR="00195BE7" w:rsidRPr="001E2F6E" w:rsidTr="00195BE7">
        <w:trPr>
          <w:jc w:val="center"/>
        </w:trPr>
        <w:tc>
          <w:tcPr>
            <w:tcW w:w="1177" w:type="pct"/>
            <w:tcBorders>
              <w:right w:val="single" w:sz="4" w:space="0" w:color="BFBFBF" w:themeColor="background1" w:themeShade="BF"/>
            </w:tcBorders>
            <w:vAlign w:val="bottom"/>
            <w:hideMark/>
          </w:tcPr>
          <w:p w:rsidR="00195BE7" w:rsidRPr="001E2F6E" w:rsidRDefault="00195BE7" w:rsidP="00195BE7">
            <w:pPr>
              <w:spacing w:line="240" w:lineRule="exact"/>
              <w:rPr>
                <w:snapToGrid w:val="0"/>
                <w:sz w:val="16"/>
                <w:szCs w:val="16"/>
              </w:rPr>
            </w:pPr>
            <w:r w:rsidRPr="001E2F6E">
              <w:rPr>
                <w:snapToGrid w:val="0"/>
                <w:sz w:val="16"/>
                <w:szCs w:val="16"/>
                <w:lang w:val="eu-ES"/>
              </w:rPr>
              <w:t>51tik 100era</w:t>
            </w:r>
          </w:p>
        </w:tc>
        <w:tc>
          <w:tcPr>
            <w:tcW w:w="765" w:type="pct"/>
            <w:tcBorders>
              <w:left w:val="single" w:sz="4" w:space="0" w:color="BFBFBF" w:themeColor="background1" w:themeShade="BF"/>
            </w:tcBorders>
            <w:hideMark/>
          </w:tcPr>
          <w:p w:rsidR="00195BE7" w:rsidRPr="001E2F6E" w:rsidRDefault="00195BE7" w:rsidP="00195BE7">
            <w:pPr>
              <w:spacing w:line="240" w:lineRule="exact"/>
              <w:ind w:right="170"/>
              <w:jc w:val="right"/>
              <w:rPr>
                <w:sz w:val="16"/>
                <w:szCs w:val="16"/>
              </w:rPr>
            </w:pPr>
            <w:r w:rsidRPr="001E2F6E">
              <w:rPr>
                <w:sz w:val="16"/>
                <w:szCs w:val="16"/>
              </w:rPr>
              <w:t>86</w:t>
            </w:r>
          </w:p>
        </w:tc>
        <w:tc>
          <w:tcPr>
            <w:tcW w:w="765" w:type="pct"/>
            <w:tcBorders>
              <w:right w:val="single" w:sz="4" w:space="0" w:color="BFBFBF" w:themeColor="background1" w:themeShade="BF"/>
            </w:tcBorders>
            <w:hideMark/>
          </w:tcPr>
          <w:p w:rsidR="00195BE7" w:rsidRPr="001E2F6E" w:rsidRDefault="00195BE7" w:rsidP="00195BE7">
            <w:pPr>
              <w:spacing w:line="240" w:lineRule="exact"/>
              <w:ind w:right="170"/>
              <w:jc w:val="right"/>
              <w:rPr>
                <w:sz w:val="16"/>
                <w:szCs w:val="16"/>
              </w:rPr>
            </w:pPr>
            <w:r w:rsidRPr="001E2F6E">
              <w:rPr>
                <w:sz w:val="16"/>
                <w:szCs w:val="16"/>
              </w:rPr>
              <w:t>3,7</w:t>
            </w:r>
          </w:p>
        </w:tc>
        <w:tc>
          <w:tcPr>
            <w:tcW w:w="764" w:type="pct"/>
            <w:tcBorders>
              <w:left w:val="single" w:sz="4" w:space="0" w:color="BFBFBF" w:themeColor="background1" w:themeShade="BF"/>
            </w:tcBorders>
            <w:hideMark/>
          </w:tcPr>
          <w:p w:rsidR="00195BE7" w:rsidRPr="001E2F6E" w:rsidRDefault="00195BE7" w:rsidP="00195BE7">
            <w:pPr>
              <w:spacing w:line="240" w:lineRule="exact"/>
              <w:ind w:right="170"/>
              <w:jc w:val="right"/>
              <w:rPr>
                <w:sz w:val="16"/>
                <w:szCs w:val="16"/>
              </w:rPr>
            </w:pPr>
            <w:r w:rsidRPr="001E2F6E">
              <w:rPr>
                <w:sz w:val="16"/>
                <w:szCs w:val="16"/>
              </w:rPr>
              <w:t>6.117</w:t>
            </w:r>
          </w:p>
        </w:tc>
        <w:tc>
          <w:tcPr>
            <w:tcW w:w="764" w:type="pct"/>
            <w:tcBorders>
              <w:right w:val="single" w:sz="4" w:space="0" w:color="BFBFBF" w:themeColor="background1" w:themeShade="BF"/>
            </w:tcBorders>
            <w:hideMark/>
          </w:tcPr>
          <w:p w:rsidR="00195BE7" w:rsidRPr="001E2F6E" w:rsidRDefault="00195BE7" w:rsidP="00195BE7">
            <w:pPr>
              <w:spacing w:line="240" w:lineRule="exact"/>
              <w:ind w:right="170"/>
              <w:jc w:val="right"/>
              <w:rPr>
                <w:sz w:val="16"/>
                <w:szCs w:val="16"/>
              </w:rPr>
            </w:pPr>
            <w:r w:rsidRPr="001E2F6E">
              <w:rPr>
                <w:sz w:val="16"/>
                <w:szCs w:val="16"/>
              </w:rPr>
              <w:t>11,0</w:t>
            </w:r>
          </w:p>
        </w:tc>
        <w:tc>
          <w:tcPr>
            <w:tcW w:w="764" w:type="pct"/>
            <w:tcBorders>
              <w:left w:val="single" w:sz="4" w:space="0" w:color="BFBFBF" w:themeColor="background1" w:themeShade="BF"/>
            </w:tcBorders>
            <w:hideMark/>
          </w:tcPr>
          <w:p w:rsidR="00195BE7" w:rsidRPr="001E2F6E" w:rsidRDefault="00195BE7" w:rsidP="00195BE7">
            <w:pPr>
              <w:spacing w:line="240" w:lineRule="exact"/>
              <w:ind w:right="170"/>
              <w:jc w:val="right"/>
              <w:rPr>
                <w:sz w:val="16"/>
                <w:szCs w:val="16"/>
              </w:rPr>
            </w:pPr>
            <w:r w:rsidRPr="001E2F6E">
              <w:rPr>
                <w:sz w:val="16"/>
                <w:szCs w:val="16"/>
              </w:rPr>
              <w:t>71,1</w:t>
            </w:r>
          </w:p>
        </w:tc>
      </w:tr>
      <w:tr w:rsidR="00195BE7" w:rsidRPr="001E2F6E" w:rsidTr="00195BE7">
        <w:trPr>
          <w:jc w:val="center"/>
        </w:trPr>
        <w:tc>
          <w:tcPr>
            <w:tcW w:w="1177" w:type="pct"/>
            <w:tcBorders>
              <w:right w:val="single" w:sz="4" w:space="0" w:color="BFBFBF" w:themeColor="background1" w:themeShade="BF"/>
            </w:tcBorders>
            <w:vAlign w:val="bottom"/>
            <w:hideMark/>
          </w:tcPr>
          <w:p w:rsidR="00195BE7" w:rsidRPr="001E2F6E" w:rsidRDefault="00195BE7" w:rsidP="00195BE7">
            <w:pPr>
              <w:spacing w:line="240" w:lineRule="exact"/>
              <w:rPr>
                <w:snapToGrid w:val="0"/>
                <w:sz w:val="16"/>
                <w:szCs w:val="16"/>
              </w:rPr>
            </w:pPr>
            <w:r w:rsidRPr="001E2F6E">
              <w:rPr>
                <w:snapToGrid w:val="0"/>
                <w:sz w:val="16"/>
                <w:szCs w:val="16"/>
                <w:lang w:val="eu-ES"/>
              </w:rPr>
              <w:t>101etik 200era</w:t>
            </w:r>
          </w:p>
        </w:tc>
        <w:tc>
          <w:tcPr>
            <w:tcW w:w="765" w:type="pct"/>
            <w:tcBorders>
              <w:left w:val="single" w:sz="4" w:space="0" w:color="BFBFBF" w:themeColor="background1" w:themeShade="BF"/>
            </w:tcBorders>
            <w:hideMark/>
          </w:tcPr>
          <w:p w:rsidR="00195BE7" w:rsidRPr="001E2F6E" w:rsidRDefault="00195BE7" w:rsidP="00195BE7">
            <w:pPr>
              <w:spacing w:line="240" w:lineRule="exact"/>
              <w:ind w:right="170"/>
              <w:jc w:val="right"/>
              <w:rPr>
                <w:sz w:val="16"/>
                <w:szCs w:val="16"/>
              </w:rPr>
            </w:pPr>
            <w:r w:rsidRPr="001E2F6E">
              <w:rPr>
                <w:sz w:val="16"/>
                <w:szCs w:val="16"/>
              </w:rPr>
              <w:t>41</w:t>
            </w:r>
          </w:p>
        </w:tc>
        <w:tc>
          <w:tcPr>
            <w:tcW w:w="765" w:type="pct"/>
            <w:tcBorders>
              <w:right w:val="single" w:sz="4" w:space="0" w:color="BFBFBF" w:themeColor="background1" w:themeShade="BF"/>
            </w:tcBorders>
            <w:hideMark/>
          </w:tcPr>
          <w:p w:rsidR="00195BE7" w:rsidRPr="001E2F6E" w:rsidRDefault="00195BE7" w:rsidP="00195BE7">
            <w:pPr>
              <w:spacing w:line="240" w:lineRule="exact"/>
              <w:ind w:right="170"/>
              <w:jc w:val="right"/>
              <w:rPr>
                <w:sz w:val="16"/>
                <w:szCs w:val="16"/>
              </w:rPr>
            </w:pPr>
            <w:r w:rsidRPr="001E2F6E">
              <w:rPr>
                <w:sz w:val="16"/>
                <w:szCs w:val="16"/>
              </w:rPr>
              <w:t>1,7</w:t>
            </w:r>
          </w:p>
        </w:tc>
        <w:tc>
          <w:tcPr>
            <w:tcW w:w="764" w:type="pct"/>
            <w:tcBorders>
              <w:left w:val="single" w:sz="4" w:space="0" w:color="BFBFBF" w:themeColor="background1" w:themeShade="BF"/>
            </w:tcBorders>
            <w:hideMark/>
          </w:tcPr>
          <w:p w:rsidR="00195BE7" w:rsidRPr="001E2F6E" w:rsidRDefault="00195BE7" w:rsidP="00195BE7">
            <w:pPr>
              <w:spacing w:line="240" w:lineRule="exact"/>
              <w:ind w:right="170"/>
              <w:jc w:val="right"/>
              <w:rPr>
                <w:sz w:val="16"/>
                <w:szCs w:val="16"/>
              </w:rPr>
            </w:pPr>
            <w:r w:rsidRPr="001E2F6E">
              <w:rPr>
                <w:sz w:val="16"/>
                <w:szCs w:val="16"/>
              </w:rPr>
              <w:t>5.748</w:t>
            </w:r>
          </w:p>
        </w:tc>
        <w:tc>
          <w:tcPr>
            <w:tcW w:w="764" w:type="pct"/>
            <w:tcBorders>
              <w:right w:val="single" w:sz="4" w:space="0" w:color="BFBFBF" w:themeColor="background1" w:themeShade="BF"/>
            </w:tcBorders>
            <w:hideMark/>
          </w:tcPr>
          <w:p w:rsidR="00195BE7" w:rsidRPr="001E2F6E" w:rsidRDefault="00195BE7" w:rsidP="00195BE7">
            <w:pPr>
              <w:spacing w:line="240" w:lineRule="exact"/>
              <w:ind w:right="170"/>
              <w:jc w:val="right"/>
              <w:rPr>
                <w:sz w:val="16"/>
                <w:szCs w:val="16"/>
              </w:rPr>
            </w:pPr>
            <w:r w:rsidRPr="001E2F6E">
              <w:rPr>
                <w:sz w:val="16"/>
                <w:szCs w:val="16"/>
              </w:rPr>
              <w:t>10,3</w:t>
            </w:r>
          </w:p>
        </w:tc>
        <w:tc>
          <w:tcPr>
            <w:tcW w:w="764" w:type="pct"/>
            <w:tcBorders>
              <w:left w:val="single" w:sz="4" w:space="0" w:color="BFBFBF" w:themeColor="background1" w:themeShade="BF"/>
            </w:tcBorders>
            <w:hideMark/>
          </w:tcPr>
          <w:p w:rsidR="00195BE7" w:rsidRPr="001E2F6E" w:rsidRDefault="00195BE7" w:rsidP="00195BE7">
            <w:pPr>
              <w:spacing w:line="240" w:lineRule="exact"/>
              <w:ind w:right="170"/>
              <w:jc w:val="right"/>
              <w:rPr>
                <w:sz w:val="16"/>
                <w:szCs w:val="16"/>
              </w:rPr>
            </w:pPr>
            <w:r w:rsidRPr="001E2F6E">
              <w:rPr>
                <w:sz w:val="16"/>
                <w:szCs w:val="16"/>
              </w:rPr>
              <w:t>140,2</w:t>
            </w:r>
          </w:p>
        </w:tc>
      </w:tr>
      <w:tr w:rsidR="00195BE7" w:rsidRPr="001E2F6E" w:rsidTr="00195BE7">
        <w:trPr>
          <w:jc w:val="center"/>
        </w:trPr>
        <w:tc>
          <w:tcPr>
            <w:tcW w:w="1177" w:type="pct"/>
            <w:tcBorders>
              <w:right w:val="single" w:sz="4" w:space="0" w:color="BFBFBF" w:themeColor="background1" w:themeShade="BF"/>
            </w:tcBorders>
            <w:vAlign w:val="bottom"/>
            <w:hideMark/>
          </w:tcPr>
          <w:p w:rsidR="00195BE7" w:rsidRPr="001E2F6E" w:rsidRDefault="00195BE7" w:rsidP="00195BE7">
            <w:pPr>
              <w:spacing w:line="240" w:lineRule="exact"/>
              <w:rPr>
                <w:snapToGrid w:val="0"/>
                <w:sz w:val="16"/>
                <w:szCs w:val="16"/>
              </w:rPr>
            </w:pPr>
            <w:r w:rsidRPr="001E2F6E">
              <w:rPr>
                <w:snapToGrid w:val="0"/>
                <w:sz w:val="16"/>
                <w:szCs w:val="16"/>
                <w:lang w:val="eu-ES"/>
              </w:rPr>
              <w:t>201etik 500era</w:t>
            </w:r>
          </w:p>
        </w:tc>
        <w:tc>
          <w:tcPr>
            <w:tcW w:w="765" w:type="pct"/>
            <w:tcBorders>
              <w:left w:val="single" w:sz="4" w:space="0" w:color="BFBFBF" w:themeColor="background1" w:themeShade="BF"/>
            </w:tcBorders>
            <w:hideMark/>
          </w:tcPr>
          <w:p w:rsidR="00195BE7" w:rsidRPr="001E2F6E" w:rsidRDefault="00195BE7" w:rsidP="00195BE7">
            <w:pPr>
              <w:spacing w:line="240" w:lineRule="exact"/>
              <w:ind w:right="170"/>
              <w:jc w:val="right"/>
              <w:rPr>
                <w:sz w:val="16"/>
                <w:szCs w:val="16"/>
              </w:rPr>
            </w:pPr>
            <w:r w:rsidRPr="001E2F6E">
              <w:rPr>
                <w:sz w:val="16"/>
                <w:szCs w:val="16"/>
              </w:rPr>
              <w:t>24</w:t>
            </w:r>
          </w:p>
        </w:tc>
        <w:tc>
          <w:tcPr>
            <w:tcW w:w="765" w:type="pct"/>
            <w:tcBorders>
              <w:right w:val="single" w:sz="4" w:space="0" w:color="BFBFBF" w:themeColor="background1" w:themeShade="BF"/>
            </w:tcBorders>
            <w:hideMark/>
          </w:tcPr>
          <w:p w:rsidR="00195BE7" w:rsidRPr="001E2F6E" w:rsidRDefault="00195BE7" w:rsidP="00195BE7">
            <w:pPr>
              <w:spacing w:line="240" w:lineRule="exact"/>
              <w:ind w:right="170"/>
              <w:jc w:val="right"/>
              <w:rPr>
                <w:sz w:val="16"/>
                <w:szCs w:val="16"/>
              </w:rPr>
            </w:pPr>
            <w:r w:rsidRPr="001E2F6E">
              <w:rPr>
                <w:sz w:val="16"/>
                <w:szCs w:val="16"/>
              </w:rPr>
              <w:t>1,0</w:t>
            </w:r>
          </w:p>
        </w:tc>
        <w:tc>
          <w:tcPr>
            <w:tcW w:w="764" w:type="pct"/>
            <w:tcBorders>
              <w:left w:val="single" w:sz="4" w:space="0" w:color="BFBFBF" w:themeColor="background1" w:themeShade="BF"/>
            </w:tcBorders>
            <w:hideMark/>
          </w:tcPr>
          <w:p w:rsidR="00195BE7" w:rsidRPr="001E2F6E" w:rsidRDefault="00195BE7" w:rsidP="00195BE7">
            <w:pPr>
              <w:spacing w:line="240" w:lineRule="exact"/>
              <w:ind w:right="170"/>
              <w:jc w:val="right"/>
              <w:rPr>
                <w:sz w:val="16"/>
                <w:szCs w:val="16"/>
              </w:rPr>
            </w:pPr>
            <w:r w:rsidRPr="001E2F6E">
              <w:rPr>
                <w:sz w:val="16"/>
                <w:szCs w:val="16"/>
              </w:rPr>
              <w:t>7.229</w:t>
            </w:r>
          </w:p>
        </w:tc>
        <w:tc>
          <w:tcPr>
            <w:tcW w:w="764" w:type="pct"/>
            <w:tcBorders>
              <w:right w:val="single" w:sz="4" w:space="0" w:color="BFBFBF" w:themeColor="background1" w:themeShade="BF"/>
            </w:tcBorders>
            <w:hideMark/>
          </w:tcPr>
          <w:p w:rsidR="00195BE7" w:rsidRPr="001E2F6E" w:rsidRDefault="00195BE7" w:rsidP="00195BE7">
            <w:pPr>
              <w:spacing w:line="240" w:lineRule="exact"/>
              <w:ind w:right="170"/>
              <w:jc w:val="right"/>
              <w:rPr>
                <w:sz w:val="16"/>
                <w:szCs w:val="16"/>
              </w:rPr>
            </w:pPr>
            <w:r w:rsidRPr="001E2F6E">
              <w:rPr>
                <w:sz w:val="16"/>
                <w:szCs w:val="16"/>
              </w:rPr>
              <w:t>13,0</w:t>
            </w:r>
          </w:p>
        </w:tc>
        <w:tc>
          <w:tcPr>
            <w:tcW w:w="764" w:type="pct"/>
            <w:tcBorders>
              <w:left w:val="single" w:sz="4" w:space="0" w:color="BFBFBF" w:themeColor="background1" w:themeShade="BF"/>
            </w:tcBorders>
            <w:hideMark/>
          </w:tcPr>
          <w:p w:rsidR="00195BE7" w:rsidRPr="001E2F6E" w:rsidRDefault="00195BE7" w:rsidP="00195BE7">
            <w:pPr>
              <w:spacing w:line="240" w:lineRule="exact"/>
              <w:ind w:right="170"/>
              <w:jc w:val="right"/>
              <w:rPr>
                <w:sz w:val="16"/>
                <w:szCs w:val="16"/>
              </w:rPr>
            </w:pPr>
            <w:r w:rsidRPr="001E2F6E">
              <w:rPr>
                <w:sz w:val="16"/>
                <w:szCs w:val="16"/>
              </w:rPr>
              <w:t>301,2</w:t>
            </w:r>
          </w:p>
        </w:tc>
      </w:tr>
      <w:tr w:rsidR="00195BE7" w:rsidRPr="001E2F6E" w:rsidTr="00195BE7">
        <w:trPr>
          <w:jc w:val="center"/>
        </w:trPr>
        <w:tc>
          <w:tcPr>
            <w:tcW w:w="1177" w:type="pct"/>
            <w:tcBorders>
              <w:bottom w:val="single" w:sz="4" w:space="0" w:color="BFBFBF" w:themeColor="background1" w:themeShade="BF"/>
              <w:right w:val="single" w:sz="4" w:space="0" w:color="BFBFBF" w:themeColor="background1" w:themeShade="BF"/>
            </w:tcBorders>
            <w:vAlign w:val="bottom"/>
            <w:hideMark/>
          </w:tcPr>
          <w:p w:rsidR="00195BE7" w:rsidRPr="001E2F6E" w:rsidRDefault="00195BE7" w:rsidP="00195BE7">
            <w:pPr>
              <w:spacing w:line="240" w:lineRule="exact"/>
              <w:rPr>
                <w:snapToGrid w:val="0"/>
                <w:sz w:val="16"/>
                <w:szCs w:val="16"/>
              </w:rPr>
            </w:pPr>
            <w:r w:rsidRPr="001E2F6E">
              <w:rPr>
                <w:snapToGrid w:val="0"/>
                <w:sz w:val="16"/>
                <w:szCs w:val="16"/>
                <w:lang w:val="eu-ES"/>
              </w:rPr>
              <w:t>500 enplegutik gora</w:t>
            </w:r>
          </w:p>
        </w:tc>
        <w:tc>
          <w:tcPr>
            <w:tcW w:w="765" w:type="pct"/>
            <w:tcBorders>
              <w:left w:val="single" w:sz="4" w:space="0" w:color="BFBFBF" w:themeColor="background1" w:themeShade="BF"/>
              <w:bottom w:val="single" w:sz="4" w:space="0" w:color="BFBFBF" w:themeColor="background1" w:themeShade="BF"/>
            </w:tcBorders>
            <w:hideMark/>
          </w:tcPr>
          <w:p w:rsidR="00195BE7" w:rsidRPr="001E2F6E" w:rsidRDefault="00195BE7" w:rsidP="00195BE7">
            <w:pPr>
              <w:spacing w:line="240" w:lineRule="exact"/>
              <w:ind w:right="170"/>
              <w:jc w:val="right"/>
              <w:rPr>
                <w:sz w:val="16"/>
                <w:szCs w:val="16"/>
              </w:rPr>
            </w:pPr>
            <w:r w:rsidRPr="001E2F6E">
              <w:rPr>
                <w:sz w:val="16"/>
                <w:szCs w:val="16"/>
              </w:rPr>
              <w:t>15</w:t>
            </w:r>
          </w:p>
        </w:tc>
        <w:tc>
          <w:tcPr>
            <w:tcW w:w="765" w:type="pct"/>
            <w:tcBorders>
              <w:bottom w:val="single" w:sz="4" w:space="0" w:color="BFBFBF" w:themeColor="background1" w:themeShade="BF"/>
              <w:right w:val="single" w:sz="4" w:space="0" w:color="BFBFBF" w:themeColor="background1" w:themeShade="BF"/>
            </w:tcBorders>
            <w:hideMark/>
          </w:tcPr>
          <w:p w:rsidR="00195BE7" w:rsidRPr="001E2F6E" w:rsidRDefault="00195BE7" w:rsidP="00195BE7">
            <w:pPr>
              <w:spacing w:line="240" w:lineRule="exact"/>
              <w:ind w:right="170"/>
              <w:jc w:val="right"/>
              <w:rPr>
                <w:sz w:val="16"/>
                <w:szCs w:val="16"/>
              </w:rPr>
            </w:pPr>
            <w:r w:rsidRPr="001E2F6E">
              <w:rPr>
                <w:sz w:val="16"/>
                <w:szCs w:val="16"/>
              </w:rPr>
              <w:t>0,6</w:t>
            </w:r>
          </w:p>
        </w:tc>
        <w:tc>
          <w:tcPr>
            <w:tcW w:w="764" w:type="pct"/>
            <w:tcBorders>
              <w:left w:val="single" w:sz="4" w:space="0" w:color="BFBFBF" w:themeColor="background1" w:themeShade="BF"/>
              <w:bottom w:val="single" w:sz="4" w:space="0" w:color="BFBFBF" w:themeColor="background1" w:themeShade="BF"/>
            </w:tcBorders>
            <w:hideMark/>
          </w:tcPr>
          <w:p w:rsidR="00195BE7" w:rsidRPr="001E2F6E" w:rsidRDefault="00195BE7" w:rsidP="00195BE7">
            <w:pPr>
              <w:spacing w:line="240" w:lineRule="exact"/>
              <w:ind w:right="170"/>
              <w:jc w:val="right"/>
              <w:rPr>
                <w:sz w:val="16"/>
                <w:szCs w:val="16"/>
              </w:rPr>
            </w:pPr>
            <w:r w:rsidRPr="001E2F6E">
              <w:rPr>
                <w:sz w:val="16"/>
                <w:szCs w:val="16"/>
              </w:rPr>
              <w:t>21.646</w:t>
            </w:r>
          </w:p>
        </w:tc>
        <w:tc>
          <w:tcPr>
            <w:tcW w:w="764" w:type="pct"/>
            <w:tcBorders>
              <w:bottom w:val="single" w:sz="4" w:space="0" w:color="BFBFBF" w:themeColor="background1" w:themeShade="BF"/>
              <w:right w:val="single" w:sz="4" w:space="0" w:color="BFBFBF" w:themeColor="background1" w:themeShade="BF"/>
            </w:tcBorders>
            <w:hideMark/>
          </w:tcPr>
          <w:p w:rsidR="00195BE7" w:rsidRPr="001E2F6E" w:rsidRDefault="00195BE7" w:rsidP="00195BE7">
            <w:pPr>
              <w:spacing w:line="240" w:lineRule="exact"/>
              <w:ind w:right="170"/>
              <w:jc w:val="right"/>
              <w:rPr>
                <w:sz w:val="16"/>
                <w:szCs w:val="16"/>
              </w:rPr>
            </w:pPr>
            <w:r w:rsidRPr="001E2F6E">
              <w:rPr>
                <w:sz w:val="16"/>
                <w:szCs w:val="16"/>
              </w:rPr>
              <w:t>38,8</w:t>
            </w:r>
          </w:p>
        </w:tc>
        <w:tc>
          <w:tcPr>
            <w:tcW w:w="764" w:type="pct"/>
            <w:tcBorders>
              <w:left w:val="single" w:sz="4" w:space="0" w:color="BFBFBF" w:themeColor="background1" w:themeShade="BF"/>
              <w:bottom w:val="single" w:sz="4" w:space="0" w:color="BFBFBF" w:themeColor="background1" w:themeShade="BF"/>
            </w:tcBorders>
            <w:hideMark/>
          </w:tcPr>
          <w:p w:rsidR="00195BE7" w:rsidRPr="001E2F6E" w:rsidRDefault="00195BE7" w:rsidP="00195BE7">
            <w:pPr>
              <w:spacing w:line="240" w:lineRule="exact"/>
              <w:ind w:right="170"/>
              <w:jc w:val="right"/>
              <w:rPr>
                <w:sz w:val="16"/>
                <w:szCs w:val="16"/>
              </w:rPr>
            </w:pPr>
            <w:r w:rsidRPr="001E2F6E">
              <w:rPr>
                <w:sz w:val="16"/>
                <w:szCs w:val="16"/>
              </w:rPr>
              <w:t>1.443,1</w:t>
            </w:r>
          </w:p>
        </w:tc>
      </w:tr>
      <w:tr w:rsidR="00195BE7" w:rsidRPr="001E2F6E" w:rsidTr="00195BE7">
        <w:trPr>
          <w:jc w:val="center"/>
        </w:trPr>
        <w:tc>
          <w:tcPr>
            <w:tcW w:w="1177" w:type="pct"/>
            <w:tcBorders>
              <w:top w:val="single" w:sz="4" w:space="0" w:color="BFBFBF" w:themeColor="background1" w:themeShade="BF"/>
              <w:bottom w:val="single" w:sz="4" w:space="0" w:color="BFBFBF" w:themeColor="background1" w:themeShade="BF"/>
              <w:right w:val="single" w:sz="4" w:space="0" w:color="BFBFBF" w:themeColor="background1" w:themeShade="BF"/>
            </w:tcBorders>
            <w:vAlign w:val="bottom"/>
            <w:hideMark/>
          </w:tcPr>
          <w:p w:rsidR="00195BE7" w:rsidRPr="001E2F6E" w:rsidRDefault="00195BE7" w:rsidP="00195BE7">
            <w:pPr>
              <w:spacing w:line="240" w:lineRule="exact"/>
              <w:rPr>
                <w:b/>
                <w:snapToGrid w:val="0"/>
                <w:sz w:val="16"/>
                <w:szCs w:val="16"/>
              </w:rPr>
            </w:pPr>
            <w:r w:rsidRPr="001E2F6E">
              <w:rPr>
                <w:b/>
                <w:snapToGrid w:val="0"/>
                <w:sz w:val="16"/>
                <w:szCs w:val="16"/>
              </w:rPr>
              <w:t>GUZTIRA</w:t>
            </w:r>
          </w:p>
        </w:tc>
        <w:tc>
          <w:tcPr>
            <w:tcW w:w="765" w:type="pct"/>
            <w:tcBorders>
              <w:top w:val="single" w:sz="4" w:space="0" w:color="BFBFBF" w:themeColor="background1" w:themeShade="BF"/>
              <w:left w:val="single" w:sz="4" w:space="0" w:color="BFBFBF" w:themeColor="background1" w:themeShade="BF"/>
              <w:bottom w:val="single" w:sz="4" w:space="0" w:color="BFBFBF" w:themeColor="background1" w:themeShade="BF"/>
            </w:tcBorders>
            <w:hideMark/>
          </w:tcPr>
          <w:p w:rsidR="00195BE7" w:rsidRPr="001E2F6E" w:rsidRDefault="00195BE7" w:rsidP="00195BE7">
            <w:pPr>
              <w:spacing w:line="240" w:lineRule="exact"/>
              <w:ind w:right="170"/>
              <w:jc w:val="right"/>
              <w:rPr>
                <w:b/>
                <w:sz w:val="16"/>
                <w:szCs w:val="16"/>
              </w:rPr>
            </w:pPr>
            <w:r w:rsidRPr="001E2F6E">
              <w:rPr>
                <w:b/>
                <w:sz w:val="16"/>
                <w:szCs w:val="16"/>
              </w:rPr>
              <w:t>2.348</w:t>
            </w:r>
          </w:p>
        </w:tc>
        <w:tc>
          <w:tcPr>
            <w:tcW w:w="765" w:type="pct"/>
            <w:tcBorders>
              <w:top w:val="single" w:sz="4" w:space="0" w:color="BFBFBF" w:themeColor="background1" w:themeShade="BF"/>
              <w:bottom w:val="single" w:sz="4" w:space="0" w:color="BFBFBF" w:themeColor="background1" w:themeShade="BF"/>
              <w:right w:val="single" w:sz="4" w:space="0" w:color="BFBFBF" w:themeColor="background1" w:themeShade="BF"/>
            </w:tcBorders>
            <w:hideMark/>
          </w:tcPr>
          <w:p w:rsidR="00195BE7" w:rsidRPr="001E2F6E" w:rsidRDefault="00195BE7" w:rsidP="00195BE7">
            <w:pPr>
              <w:spacing w:line="240" w:lineRule="exact"/>
              <w:ind w:right="170"/>
              <w:jc w:val="right"/>
              <w:rPr>
                <w:b/>
                <w:sz w:val="16"/>
                <w:szCs w:val="16"/>
              </w:rPr>
            </w:pPr>
            <w:r w:rsidRPr="001E2F6E">
              <w:rPr>
                <w:b/>
                <w:sz w:val="16"/>
                <w:szCs w:val="16"/>
              </w:rPr>
              <w:t>100</w:t>
            </w:r>
          </w:p>
        </w:tc>
        <w:tc>
          <w:tcPr>
            <w:tcW w:w="764" w:type="pct"/>
            <w:tcBorders>
              <w:top w:val="single" w:sz="4" w:space="0" w:color="BFBFBF" w:themeColor="background1" w:themeShade="BF"/>
              <w:left w:val="single" w:sz="4" w:space="0" w:color="BFBFBF" w:themeColor="background1" w:themeShade="BF"/>
              <w:bottom w:val="single" w:sz="4" w:space="0" w:color="BFBFBF" w:themeColor="background1" w:themeShade="BF"/>
            </w:tcBorders>
            <w:hideMark/>
          </w:tcPr>
          <w:p w:rsidR="00195BE7" w:rsidRPr="001E2F6E" w:rsidRDefault="00195BE7" w:rsidP="00195BE7">
            <w:pPr>
              <w:spacing w:line="240" w:lineRule="exact"/>
              <w:ind w:right="170"/>
              <w:jc w:val="right"/>
              <w:rPr>
                <w:b/>
                <w:sz w:val="16"/>
                <w:szCs w:val="16"/>
              </w:rPr>
            </w:pPr>
            <w:r w:rsidRPr="001E2F6E">
              <w:rPr>
                <w:b/>
                <w:sz w:val="16"/>
                <w:szCs w:val="16"/>
              </w:rPr>
              <w:t>55.809</w:t>
            </w:r>
          </w:p>
        </w:tc>
        <w:tc>
          <w:tcPr>
            <w:tcW w:w="764" w:type="pct"/>
            <w:tcBorders>
              <w:top w:val="single" w:sz="4" w:space="0" w:color="BFBFBF" w:themeColor="background1" w:themeShade="BF"/>
              <w:bottom w:val="single" w:sz="4" w:space="0" w:color="BFBFBF" w:themeColor="background1" w:themeShade="BF"/>
              <w:right w:val="single" w:sz="4" w:space="0" w:color="BFBFBF" w:themeColor="background1" w:themeShade="BF"/>
            </w:tcBorders>
            <w:hideMark/>
          </w:tcPr>
          <w:p w:rsidR="00195BE7" w:rsidRPr="001E2F6E" w:rsidRDefault="00195BE7" w:rsidP="00195BE7">
            <w:pPr>
              <w:spacing w:line="240" w:lineRule="exact"/>
              <w:ind w:right="170"/>
              <w:jc w:val="right"/>
              <w:rPr>
                <w:b/>
                <w:sz w:val="16"/>
                <w:szCs w:val="16"/>
              </w:rPr>
            </w:pPr>
            <w:r w:rsidRPr="001E2F6E">
              <w:rPr>
                <w:b/>
                <w:sz w:val="16"/>
                <w:szCs w:val="16"/>
              </w:rPr>
              <w:t>100</w:t>
            </w:r>
          </w:p>
        </w:tc>
        <w:tc>
          <w:tcPr>
            <w:tcW w:w="764" w:type="pct"/>
            <w:tcBorders>
              <w:top w:val="single" w:sz="4" w:space="0" w:color="BFBFBF" w:themeColor="background1" w:themeShade="BF"/>
              <w:left w:val="single" w:sz="4" w:space="0" w:color="BFBFBF" w:themeColor="background1" w:themeShade="BF"/>
              <w:bottom w:val="single" w:sz="4" w:space="0" w:color="BFBFBF" w:themeColor="background1" w:themeShade="BF"/>
            </w:tcBorders>
            <w:hideMark/>
          </w:tcPr>
          <w:p w:rsidR="00195BE7" w:rsidRPr="001E2F6E" w:rsidRDefault="00195BE7" w:rsidP="00195BE7">
            <w:pPr>
              <w:spacing w:line="240" w:lineRule="exact"/>
              <w:ind w:right="170"/>
              <w:jc w:val="right"/>
              <w:rPr>
                <w:b/>
                <w:sz w:val="16"/>
                <w:szCs w:val="16"/>
              </w:rPr>
            </w:pPr>
            <w:r w:rsidRPr="001E2F6E">
              <w:rPr>
                <w:b/>
                <w:sz w:val="16"/>
                <w:szCs w:val="16"/>
              </w:rPr>
              <w:t>23,8</w:t>
            </w:r>
          </w:p>
        </w:tc>
      </w:tr>
    </w:tbl>
    <w:p w:rsidR="00195BE7" w:rsidRPr="001E2F6E" w:rsidRDefault="00195BE7" w:rsidP="00195BE7"/>
    <w:p w:rsidR="00195BE7" w:rsidRPr="001E2F6E" w:rsidRDefault="00195BE7" w:rsidP="00195BE7">
      <w:pPr>
        <w:spacing w:line="240" w:lineRule="auto"/>
        <w:jc w:val="center"/>
        <w:rPr>
          <w:b/>
          <w:color w:val="1F497D" w:themeColor="text2"/>
          <w:sz w:val="18"/>
          <w:szCs w:val="18"/>
        </w:rPr>
      </w:pPr>
      <w:bookmarkStart w:id="34" w:name="_Toc392585740"/>
      <w:r w:rsidRPr="001E2F6E">
        <w:rPr>
          <w:b/>
          <w:color w:val="1F497D" w:themeColor="text2"/>
          <w:sz w:val="18"/>
          <w:szCs w:val="18"/>
        </w:rPr>
        <w:t>1.</w:t>
      </w:r>
      <w:r w:rsidR="00EB6BA6" w:rsidRPr="001E2F6E">
        <w:rPr>
          <w:b/>
          <w:color w:val="1F497D" w:themeColor="text2"/>
          <w:sz w:val="18"/>
          <w:szCs w:val="18"/>
        </w:rPr>
        <w:fldChar w:fldCharType="begin"/>
      </w:r>
      <w:r w:rsidRPr="001E2F6E">
        <w:rPr>
          <w:b/>
          <w:color w:val="1F497D" w:themeColor="text2"/>
          <w:sz w:val="18"/>
          <w:szCs w:val="18"/>
        </w:rPr>
        <w:instrText xml:space="preserve"> SEQ Cuadro_1. \* ARABIC </w:instrText>
      </w:r>
      <w:r w:rsidR="00EB6BA6" w:rsidRPr="001E2F6E">
        <w:rPr>
          <w:b/>
          <w:color w:val="1F497D" w:themeColor="text2"/>
          <w:sz w:val="18"/>
          <w:szCs w:val="18"/>
        </w:rPr>
        <w:fldChar w:fldCharType="separate"/>
      </w:r>
      <w:r w:rsidR="00A327D4">
        <w:rPr>
          <w:b/>
          <w:noProof/>
          <w:color w:val="1F497D" w:themeColor="text2"/>
          <w:sz w:val="18"/>
          <w:szCs w:val="18"/>
        </w:rPr>
        <w:t>5</w:t>
      </w:r>
      <w:r w:rsidR="00EB6BA6" w:rsidRPr="001E2F6E">
        <w:rPr>
          <w:b/>
          <w:color w:val="1F497D" w:themeColor="text2"/>
          <w:sz w:val="18"/>
          <w:szCs w:val="18"/>
        </w:rPr>
        <w:fldChar w:fldCharType="end"/>
      </w:r>
      <w:r w:rsidRPr="001E2F6E">
        <w:rPr>
          <w:b/>
          <w:color w:val="1F497D" w:themeColor="text2"/>
          <w:sz w:val="18"/>
          <w:szCs w:val="18"/>
        </w:rPr>
        <w:t xml:space="preserve"> Taula ENPLEGU KOPURUAREN BILAKAERA GIZARTE-EKONOMIAKO ENPRESEN TAMAINAREN ARABERA 2010-2012</w:t>
      </w:r>
      <w:bookmarkEnd w:id="34"/>
    </w:p>
    <w:tbl>
      <w:tblPr>
        <w:tblW w:w="5000" w:type="pct"/>
        <w:jc w:val="center"/>
        <w:tblCellMar>
          <w:left w:w="0" w:type="dxa"/>
          <w:right w:w="0" w:type="dxa"/>
        </w:tblCellMar>
        <w:tblLook w:val="04A0" w:firstRow="1" w:lastRow="0" w:firstColumn="1" w:lastColumn="0" w:noHBand="0" w:noVBand="1"/>
      </w:tblPr>
      <w:tblGrid>
        <w:gridCol w:w="1985"/>
        <w:gridCol w:w="2268"/>
        <w:gridCol w:w="2268"/>
        <w:gridCol w:w="2267"/>
      </w:tblGrid>
      <w:tr w:rsidR="00195BE7" w:rsidRPr="001E2F6E" w:rsidTr="00195BE7">
        <w:trPr>
          <w:jc w:val="center"/>
        </w:trPr>
        <w:tc>
          <w:tcPr>
            <w:tcW w:w="1129" w:type="pct"/>
            <w:tcBorders>
              <w:top w:val="single" w:sz="8" w:space="0" w:color="BFBFBF"/>
              <w:left w:val="nil"/>
              <w:bottom w:val="single" w:sz="8" w:space="0" w:color="BFBFBF"/>
              <w:right w:val="single" w:sz="8" w:space="0" w:color="BFBFBF"/>
            </w:tcBorders>
            <w:shd w:val="clear" w:color="auto" w:fill="DBE5F1"/>
            <w:vAlign w:val="center"/>
            <w:hideMark/>
          </w:tcPr>
          <w:p w:rsidR="00195BE7" w:rsidRPr="001E2F6E" w:rsidRDefault="00195BE7" w:rsidP="00195BE7">
            <w:pPr>
              <w:spacing w:line="240" w:lineRule="exact"/>
              <w:ind w:left="227" w:hanging="227"/>
              <w:rPr>
                <w:rFonts w:eastAsia="Times New Roman"/>
                <w:sz w:val="16"/>
                <w:szCs w:val="16"/>
                <w:lang w:val="es-ES_tradnl" w:eastAsia="es-ES"/>
              </w:rPr>
            </w:pPr>
          </w:p>
        </w:tc>
        <w:tc>
          <w:tcPr>
            <w:tcW w:w="1290" w:type="pct"/>
            <w:tcBorders>
              <w:top w:val="single" w:sz="8" w:space="0" w:color="BFBFBF"/>
              <w:left w:val="nil"/>
              <w:bottom w:val="single" w:sz="8" w:space="0" w:color="BFBFBF"/>
              <w:right w:val="single" w:sz="4" w:space="0" w:color="BFBFBF" w:themeColor="background1" w:themeShade="BF"/>
            </w:tcBorders>
            <w:shd w:val="clear" w:color="auto" w:fill="DBE5F1"/>
            <w:vAlign w:val="center"/>
            <w:hideMark/>
          </w:tcPr>
          <w:p w:rsidR="00195BE7" w:rsidRPr="001E2F6E" w:rsidRDefault="00195BE7" w:rsidP="00195BE7">
            <w:pPr>
              <w:spacing w:line="240" w:lineRule="exact"/>
              <w:ind w:left="227" w:hanging="227"/>
              <w:jc w:val="center"/>
              <w:rPr>
                <w:rFonts w:eastAsia="Times New Roman"/>
                <w:b/>
                <w:bCs/>
                <w:sz w:val="16"/>
                <w:szCs w:val="16"/>
                <w:lang w:eastAsia="es-ES"/>
              </w:rPr>
            </w:pPr>
            <w:r w:rsidRPr="001E2F6E">
              <w:rPr>
                <w:b/>
                <w:snapToGrid w:val="0"/>
                <w:sz w:val="16"/>
                <w:szCs w:val="16"/>
              </w:rPr>
              <w:t>Enpleguak</w:t>
            </w:r>
            <w:r w:rsidRPr="001E2F6E">
              <w:rPr>
                <w:rFonts w:eastAsia="Times New Roman"/>
                <w:b/>
                <w:bCs/>
                <w:sz w:val="16"/>
                <w:szCs w:val="16"/>
                <w:lang w:eastAsia="es-ES"/>
              </w:rPr>
              <w:t xml:space="preserve"> </w:t>
            </w:r>
          </w:p>
          <w:p w:rsidR="00195BE7" w:rsidRPr="001E2F6E" w:rsidRDefault="00195BE7" w:rsidP="00195BE7">
            <w:pPr>
              <w:spacing w:line="240" w:lineRule="exact"/>
              <w:ind w:left="227" w:hanging="227"/>
              <w:jc w:val="center"/>
              <w:rPr>
                <w:rFonts w:eastAsia="Times New Roman"/>
                <w:sz w:val="16"/>
                <w:szCs w:val="16"/>
                <w:lang w:eastAsia="es-ES"/>
              </w:rPr>
            </w:pPr>
            <w:r w:rsidRPr="001E2F6E">
              <w:rPr>
                <w:rFonts w:eastAsia="Times New Roman"/>
                <w:b/>
                <w:bCs/>
                <w:sz w:val="16"/>
                <w:szCs w:val="16"/>
                <w:lang w:eastAsia="es-ES"/>
              </w:rPr>
              <w:t>2010</w:t>
            </w:r>
          </w:p>
        </w:tc>
        <w:tc>
          <w:tcPr>
            <w:tcW w:w="1290" w:type="pct"/>
            <w:tcBorders>
              <w:top w:val="single" w:sz="8" w:space="0" w:color="BFBFBF"/>
              <w:left w:val="single" w:sz="4" w:space="0" w:color="BFBFBF" w:themeColor="background1" w:themeShade="BF"/>
              <w:bottom w:val="single" w:sz="8" w:space="0" w:color="BFBFBF"/>
              <w:right w:val="single" w:sz="4" w:space="0" w:color="BFBFBF" w:themeColor="background1" w:themeShade="BF"/>
            </w:tcBorders>
            <w:shd w:val="clear" w:color="auto" w:fill="DBE5F1"/>
            <w:vAlign w:val="center"/>
            <w:hideMark/>
          </w:tcPr>
          <w:p w:rsidR="00195BE7" w:rsidRPr="001E2F6E" w:rsidRDefault="00195BE7" w:rsidP="00195BE7">
            <w:pPr>
              <w:spacing w:line="240" w:lineRule="exact"/>
              <w:ind w:left="227" w:hanging="227"/>
              <w:jc w:val="center"/>
              <w:rPr>
                <w:rFonts w:eastAsia="Times New Roman"/>
                <w:b/>
                <w:bCs/>
                <w:sz w:val="16"/>
                <w:szCs w:val="16"/>
                <w:lang w:eastAsia="es-ES"/>
              </w:rPr>
            </w:pPr>
            <w:r w:rsidRPr="001E2F6E">
              <w:rPr>
                <w:b/>
                <w:snapToGrid w:val="0"/>
                <w:sz w:val="16"/>
                <w:szCs w:val="16"/>
              </w:rPr>
              <w:t>Enpleguak</w:t>
            </w:r>
            <w:r w:rsidRPr="001E2F6E">
              <w:rPr>
                <w:rFonts w:eastAsia="Times New Roman"/>
                <w:b/>
                <w:bCs/>
                <w:sz w:val="16"/>
                <w:szCs w:val="16"/>
                <w:lang w:eastAsia="es-ES"/>
              </w:rPr>
              <w:t xml:space="preserve"> </w:t>
            </w:r>
          </w:p>
          <w:p w:rsidR="00195BE7" w:rsidRPr="001E2F6E" w:rsidRDefault="00195BE7" w:rsidP="00195BE7">
            <w:pPr>
              <w:spacing w:line="240" w:lineRule="exact"/>
              <w:ind w:left="227" w:hanging="227"/>
              <w:jc w:val="center"/>
              <w:rPr>
                <w:rFonts w:eastAsia="Times New Roman"/>
                <w:sz w:val="16"/>
                <w:szCs w:val="16"/>
                <w:lang w:eastAsia="es-ES"/>
              </w:rPr>
            </w:pPr>
            <w:r w:rsidRPr="001E2F6E">
              <w:rPr>
                <w:rFonts w:eastAsia="Times New Roman"/>
                <w:b/>
                <w:bCs/>
                <w:sz w:val="16"/>
                <w:szCs w:val="16"/>
                <w:lang w:eastAsia="es-ES"/>
              </w:rPr>
              <w:t>2012</w:t>
            </w:r>
          </w:p>
        </w:tc>
        <w:tc>
          <w:tcPr>
            <w:tcW w:w="1290" w:type="pct"/>
            <w:tcBorders>
              <w:top w:val="single" w:sz="8" w:space="0" w:color="BFBFBF"/>
              <w:left w:val="single" w:sz="4" w:space="0" w:color="BFBFBF" w:themeColor="background1" w:themeShade="BF"/>
              <w:bottom w:val="single" w:sz="8" w:space="0" w:color="BFBFBF"/>
            </w:tcBorders>
            <w:shd w:val="clear" w:color="auto" w:fill="DBE5F1"/>
            <w:vAlign w:val="center"/>
            <w:hideMark/>
          </w:tcPr>
          <w:p w:rsidR="00195BE7" w:rsidRPr="001E2F6E" w:rsidRDefault="00195BE7" w:rsidP="00195BE7">
            <w:pPr>
              <w:spacing w:line="240" w:lineRule="exact"/>
              <w:ind w:left="227" w:hanging="227"/>
              <w:jc w:val="center"/>
              <w:rPr>
                <w:rFonts w:eastAsia="Times New Roman"/>
                <w:b/>
                <w:bCs/>
                <w:sz w:val="16"/>
                <w:szCs w:val="16"/>
                <w:lang w:eastAsia="es-ES"/>
              </w:rPr>
            </w:pPr>
            <w:r w:rsidRPr="001E2F6E">
              <w:rPr>
                <w:rFonts w:eastAsia="Times New Roman"/>
                <w:b/>
                <w:bCs/>
                <w:sz w:val="16"/>
                <w:szCs w:val="16"/>
                <w:lang w:eastAsia="es-ES"/>
              </w:rPr>
              <w:t xml:space="preserve">Bilakaera </w:t>
            </w:r>
          </w:p>
          <w:p w:rsidR="00195BE7" w:rsidRPr="001E2F6E" w:rsidRDefault="00195BE7" w:rsidP="00195BE7">
            <w:pPr>
              <w:spacing w:line="240" w:lineRule="exact"/>
              <w:ind w:left="227" w:hanging="227"/>
              <w:jc w:val="center"/>
              <w:rPr>
                <w:rFonts w:eastAsia="Times New Roman"/>
                <w:sz w:val="16"/>
                <w:szCs w:val="16"/>
                <w:lang w:eastAsia="es-ES"/>
              </w:rPr>
            </w:pPr>
            <w:r w:rsidRPr="001E2F6E">
              <w:rPr>
                <w:rFonts w:eastAsia="Times New Roman"/>
                <w:b/>
                <w:bCs/>
                <w:sz w:val="16"/>
                <w:szCs w:val="16"/>
                <w:lang w:eastAsia="es-ES"/>
              </w:rPr>
              <w:t>2010 - 2012</w:t>
            </w:r>
          </w:p>
        </w:tc>
      </w:tr>
      <w:tr w:rsidR="00195BE7" w:rsidRPr="001E2F6E" w:rsidTr="00195BE7">
        <w:trPr>
          <w:jc w:val="center"/>
        </w:trPr>
        <w:tc>
          <w:tcPr>
            <w:tcW w:w="1129" w:type="pct"/>
            <w:tcBorders>
              <w:top w:val="nil"/>
              <w:left w:val="nil"/>
              <w:bottom w:val="nil"/>
              <w:right w:val="single" w:sz="8" w:space="0" w:color="BFBFBF"/>
            </w:tcBorders>
            <w:shd w:val="clear" w:color="auto" w:fill="auto"/>
            <w:vAlign w:val="bottom"/>
            <w:hideMark/>
          </w:tcPr>
          <w:p w:rsidR="00195BE7" w:rsidRPr="001E2F6E" w:rsidRDefault="00195BE7" w:rsidP="00195BE7">
            <w:pPr>
              <w:spacing w:line="240" w:lineRule="exact"/>
              <w:rPr>
                <w:snapToGrid w:val="0"/>
                <w:sz w:val="16"/>
                <w:szCs w:val="16"/>
              </w:rPr>
            </w:pPr>
            <w:r w:rsidRPr="001E2F6E">
              <w:rPr>
                <w:snapToGrid w:val="0"/>
                <w:sz w:val="16"/>
                <w:szCs w:val="16"/>
                <w:lang w:val="eu-ES"/>
              </w:rPr>
              <w:t>5 enplegu arte</w:t>
            </w:r>
          </w:p>
        </w:tc>
        <w:tc>
          <w:tcPr>
            <w:tcW w:w="1290" w:type="pct"/>
            <w:tcBorders>
              <w:top w:val="nil"/>
              <w:left w:val="nil"/>
              <w:bottom w:val="nil"/>
              <w:right w:val="single" w:sz="4" w:space="0" w:color="BFBFBF" w:themeColor="background1" w:themeShade="BF"/>
            </w:tcBorders>
            <w:shd w:val="clear" w:color="auto" w:fill="auto"/>
            <w:vAlign w:val="center"/>
            <w:hideMark/>
          </w:tcPr>
          <w:p w:rsidR="00195BE7" w:rsidRPr="001E2F6E" w:rsidRDefault="00195BE7" w:rsidP="00195BE7">
            <w:pPr>
              <w:spacing w:line="240" w:lineRule="exact"/>
              <w:ind w:left="227" w:right="170" w:hanging="227"/>
              <w:jc w:val="right"/>
              <w:rPr>
                <w:rFonts w:eastAsia="Times New Roman"/>
                <w:sz w:val="16"/>
                <w:szCs w:val="16"/>
                <w:lang w:eastAsia="es-ES"/>
              </w:rPr>
            </w:pPr>
            <w:r w:rsidRPr="001E2F6E">
              <w:rPr>
                <w:rFonts w:eastAsia="Times New Roman"/>
                <w:sz w:val="16"/>
                <w:szCs w:val="16"/>
                <w:lang w:eastAsia="es-ES"/>
              </w:rPr>
              <w:t>3.639</w:t>
            </w:r>
          </w:p>
        </w:tc>
        <w:tc>
          <w:tcPr>
            <w:tcW w:w="1290" w:type="pct"/>
            <w:tcBorders>
              <w:top w:val="nil"/>
              <w:left w:val="single" w:sz="4" w:space="0" w:color="BFBFBF" w:themeColor="background1" w:themeShade="BF"/>
              <w:bottom w:val="nil"/>
              <w:right w:val="single" w:sz="4" w:space="0" w:color="BFBFBF" w:themeColor="background1" w:themeShade="BF"/>
            </w:tcBorders>
            <w:shd w:val="clear" w:color="auto" w:fill="auto"/>
            <w:vAlign w:val="center"/>
            <w:hideMark/>
          </w:tcPr>
          <w:p w:rsidR="00195BE7" w:rsidRPr="001E2F6E" w:rsidRDefault="00195BE7" w:rsidP="00195BE7">
            <w:pPr>
              <w:spacing w:line="240" w:lineRule="exact"/>
              <w:ind w:left="227" w:right="170" w:hanging="227"/>
              <w:jc w:val="right"/>
              <w:rPr>
                <w:rFonts w:eastAsia="Times New Roman"/>
                <w:sz w:val="16"/>
                <w:szCs w:val="16"/>
                <w:lang w:eastAsia="es-ES"/>
              </w:rPr>
            </w:pPr>
            <w:r w:rsidRPr="001E2F6E">
              <w:rPr>
                <w:rFonts w:eastAsia="Times New Roman"/>
                <w:sz w:val="16"/>
                <w:szCs w:val="16"/>
                <w:lang w:eastAsia="es-ES"/>
              </w:rPr>
              <w:t>3.960</w:t>
            </w:r>
          </w:p>
        </w:tc>
        <w:tc>
          <w:tcPr>
            <w:tcW w:w="1290" w:type="pct"/>
            <w:tcBorders>
              <w:top w:val="nil"/>
              <w:left w:val="single" w:sz="4" w:space="0" w:color="BFBFBF" w:themeColor="background1" w:themeShade="BF"/>
              <w:bottom w:val="nil"/>
            </w:tcBorders>
            <w:shd w:val="clear" w:color="auto" w:fill="auto"/>
            <w:vAlign w:val="center"/>
            <w:hideMark/>
          </w:tcPr>
          <w:p w:rsidR="00195BE7" w:rsidRPr="001E2F6E" w:rsidRDefault="00195BE7" w:rsidP="00195BE7">
            <w:pPr>
              <w:spacing w:line="240" w:lineRule="exact"/>
              <w:ind w:left="227" w:right="170" w:hanging="227"/>
              <w:jc w:val="right"/>
              <w:rPr>
                <w:rFonts w:eastAsia="Times New Roman"/>
                <w:sz w:val="16"/>
                <w:szCs w:val="16"/>
                <w:lang w:eastAsia="es-ES"/>
              </w:rPr>
            </w:pPr>
            <w:r w:rsidRPr="001E2F6E">
              <w:rPr>
                <w:rFonts w:eastAsia="Times New Roman"/>
                <w:sz w:val="16"/>
                <w:szCs w:val="16"/>
                <w:lang w:eastAsia="es-ES"/>
              </w:rPr>
              <w:t>8,8</w:t>
            </w:r>
          </w:p>
        </w:tc>
      </w:tr>
      <w:tr w:rsidR="00195BE7" w:rsidRPr="001E2F6E" w:rsidTr="00195BE7">
        <w:trPr>
          <w:jc w:val="center"/>
        </w:trPr>
        <w:tc>
          <w:tcPr>
            <w:tcW w:w="1129" w:type="pct"/>
            <w:tcBorders>
              <w:top w:val="nil"/>
              <w:left w:val="nil"/>
              <w:bottom w:val="nil"/>
              <w:right w:val="single" w:sz="8" w:space="0" w:color="BFBFBF"/>
            </w:tcBorders>
            <w:shd w:val="clear" w:color="auto" w:fill="auto"/>
            <w:vAlign w:val="bottom"/>
            <w:hideMark/>
          </w:tcPr>
          <w:p w:rsidR="00195BE7" w:rsidRPr="001E2F6E" w:rsidRDefault="00195BE7" w:rsidP="00195BE7">
            <w:pPr>
              <w:spacing w:line="240" w:lineRule="exact"/>
              <w:rPr>
                <w:snapToGrid w:val="0"/>
                <w:sz w:val="16"/>
                <w:szCs w:val="16"/>
              </w:rPr>
            </w:pPr>
            <w:r w:rsidRPr="001E2F6E">
              <w:rPr>
                <w:snapToGrid w:val="0"/>
                <w:sz w:val="16"/>
                <w:szCs w:val="16"/>
                <w:lang w:val="eu-ES"/>
              </w:rPr>
              <w:t>6tik 15era</w:t>
            </w:r>
          </w:p>
        </w:tc>
        <w:tc>
          <w:tcPr>
            <w:tcW w:w="1290" w:type="pct"/>
            <w:tcBorders>
              <w:top w:val="nil"/>
              <w:left w:val="nil"/>
              <w:bottom w:val="nil"/>
              <w:right w:val="single" w:sz="4" w:space="0" w:color="BFBFBF" w:themeColor="background1" w:themeShade="BF"/>
            </w:tcBorders>
            <w:shd w:val="clear" w:color="auto" w:fill="auto"/>
            <w:vAlign w:val="center"/>
            <w:hideMark/>
          </w:tcPr>
          <w:p w:rsidR="00195BE7" w:rsidRPr="001E2F6E" w:rsidRDefault="00195BE7" w:rsidP="00195BE7">
            <w:pPr>
              <w:spacing w:line="240" w:lineRule="exact"/>
              <w:ind w:left="227" w:right="170" w:hanging="227"/>
              <w:jc w:val="right"/>
              <w:rPr>
                <w:rFonts w:eastAsia="Times New Roman"/>
                <w:sz w:val="16"/>
                <w:szCs w:val="16"/>
                <w:lang w:eastAsia="es-ES"/>
              </w:rPr>
            </w:pPr>
            <w:r w:rsidRPr="001E2F6E">
              <w:rPr>
                <w:rFonts w:eastAsia="Times New Roman"/>
                <w:sz w:val="16"/>
                <w:szCs w:val="16"/>
                <w:lang w:eastAsia="es-ES"/>
              </w:rPr>
              <w:t>4.636</w:t>
            </w:r>
          </w:p>
        </w:tc>
        <w:tc>
          <w:tcPr>
            <w:tcW w:w="1290" w:type="pct"/>
            <w:tcBorders>
              <w:top w:val="nil"/>
              <w:left w:val="single" w:sz="4" w:space="0" w:color="BFBFBF" w:themeColor="background1" w:themeShade="BF"/>
              <w:bottom w:val="nil"/>
              <w:right w:val="single" w:sz="4" w:space="0" w:color="BFBFBF" w:themeColor="background1" w:themeShade="BF"/>
            </w:tcBorders>
            <w:shd w:val="clear" w:color="auto" w:fill="auto"/>
            <w:vAlign w:val="center"/>
            <w:hideMark/>
          </w:tcPr>
          <w:p w:rsidR="00195BE7" w:rsidRPr="001E2F6E" w:rsidRDefault="00195BE7" w:rsidP="00195BE7">
            <w:pPr>
              <w:spacing w:line="240" w:lineRule="exact"/>
              <w:ind w:left="227" w:right="170" w:hanging="227"/>
              <w:jc w:val="right"/>
              <w:rPr>
                <w:rFonts w:eastAsia="Times New Roman"/>
                <w:sz w:val="16"/>
                <w:szCs w:val="16"/>
                <w:lang w:eastAsia="es-ES"/>
              </w:rPr>
            </w:pPr>
            <w:r w:rsidRPr="001E2F6E">
              <w:rPr>
                <w:rFonts w:eastAsia="Times New Roman"/>
                <w:sz w:val="16"/>
                <w:szCs w:val="16"/>
                <w:lang w:eastAsia="es-ES"/>
              </w:rPr>
              <w:t>4.472</w:t>
            </w:r>
          </w:p>
        </w:tc>
        <w:tc>
          <w:tcPr>
            <w:tcW w:w="1290" w:type="pct"/>
            <w:tcBorders>
              <w:top w:val="nil"/>
              <w:left w:val="single" w:sz="4" w:space="0" w:color="BFBFBF" w:themeColor="background1" w:themeShade="BF"/>
              <w:bottom w:val="nil"/>
            </w:tcBorders>
            <w:shd w:val="clear" w:color="auto" w:fill="auto"/>
            <w:vAlign w:val="center"/>
            <w:hideMark/>
          </w:tcPr>
          <w:p w:rsidR="00195BE7" w:rsidRPr="001E2F6E" w:rsidRDefault="00195BE7" w:rsidP="00195BE7">
            <w:pPr>
              <w:spacing w:line="240" w:lineRule="exact"/>
              <w:ind w:left="227" w:right="170" w:hanging="227"/>
              <w:jc w:val="right"/>
              <w:rPr>
                <w:rFonts w:eastAsia="Times New Roman"/>
                <w:sz w:val="16"/>
                <w:szCs w:val="16"/>
                <w:lang w:eastAsia="es-ES"/>
              </w:rPr>
            </w:pPr>
            <w:r w:rsidRPr="001E2F6E">
              <w:rPr>
                <w:rFonts w:eastAsia="Times New Roman"/>
                <w:sz w:val="16"/>
                <w:szCs w:val="16"/>
                <w:lang w:eastAsia="es-ES"/>
              </w:rPr>
              <w:t>-3,5</w:t>
            </w:r>
          </w:p>
        </w:tc>
      </w:tr>
      <w:tr w:rsidR="00195BE7" w:rsidRPr="001E2F6E" w:rsidTr="00195BE7">
        <w:trPr>
          <w:jc w:val="center"/>
        </w:trPr>
        <w:tc>
          <w:tcPr>
            <w:tcW w:w="1129" w:type="pct"/>
            <w:tcBorders>
              <w:top w:val="nil"/>
              <w:left w:val="nil"/>
              <w:bottom w:val="nil"/>
              <w:right w:val="single" w:sz="8" w:space="0" w:color="BFBFBF"/>
            </w:tcBorders>
            <w:shd w:val="clear" w:color="auto" w:fill="auto"/>
            <w:vAlign w:val="bottom"/>
            <w:hideMark/>
          </w:tcPr>
          <w:p w:rsidR="00195BE7" w:rsidRPr="001E2F6E" w:rsidRDefault="00195BE7" w:rsidP="00195BE7">
            <w:pPr>
              <w:spacing w:line="240" w:lineRule="exact"/>
              <w:rPr>
                <w:snapToGrid w:val="0"/>
                <w:sz w:val="16"/>
                <w:szCs w:val="16"/>
              </w:rPr>
            </w:pPr>
            <w:r w:rsidRPr="001E2F6E">
              <w:rPr>
                <w:snapToGrid w:val="0"/>
                <w:sz w:val="16"/>
                <w:szCs w:val="16"/>
                <w:lang w:val="eu-ES"/>
              </w:rPr>
              <w:t>16tik 50era</w:t>
            </w:r>
          </w:p>
        </w:tc>
        <w:tc>
          <w:tcPr>
            <w:tcW w:w="1290" w:type="pct"/>
            <w:tcBorders>
              <w:top w:val="nil"/>
              <w:left w:val="nil"/>
              <w:bottom w:val="nil"/>
              <w:right w:val="single" w:sz="4" w:space="0" w:color="BFBFBF" w:themeColor="background1" w:themeShade="BF"/>
            </w:tcBorders>
            <w:shd w:val="clear" w:color="auto" w:fill="auto"/>
            <w:vAlign w:val="center"/>
            <w:hideMark/>
          </w:tcPr>
          <w:p w:rsidR="00195BE7" w:rsidRPr="001E2F6E" w:rsidRDefault="00195BE7" w:rsidP="00195BE7">
            <w:pPr>
              <w:spacing w:line="240" w:lineRule="exact"/>
              <w:ind w:left="227" w:right="170" w:hanging="227"/>
              <w:jc w:val="right"/>
              <w:rPr>
                <w:rFonts w:eastAsia="Times New Roman"/>
                <w:sz w:val="16"/>
                <w:szCs w:val="16"/>
                <w:lang w:eastAsia="es-ES"/>
              </w:rPr>
            </w:pPr>
            <w:r w:rsidRPr="001E2F6E">
              <w:rPr>
                <w:rFonts w:eastAsia="Times New Roman"/>
                <w:sz w:val="16"/>
                <w:szCs w:val="16"/>
                <w:lang w:eastAsia="es-ES"/>
              </w:rPr>
              <w:t>8.801</w:t>
            </w:r>
          </w:p>
        </w:tc>
        <w:tc>
          <w:tcPr>
            <w:tcW w:w="1290" w:type="pct"/>
            <w:tcBorders>
              <w:top w:val="nil"/>
              <w:left w:val="single" w:sz="4" w:space="0" w:color="BFBFBF" w:themeColor="background1" w:themeShade="BF"/>
              <w:bottom w:val="nil"/>
              <w:right w:val="single" w:sz="4" w:space="0" w:color="BFBFBF" w:themeColor="background1" w:themeShade="BF"/>
            </w:tcBorders>
            <w:shd w:val="clear" w:color="auto" w:fill="auto"/>
            <w:vAlign w:val="center"/>
            <w:hideMark/>
          </w:tcPr>
          <w:p w:rsidR="00195BE7" w:rsidRPr="001E2F6E" w:rsidRDefault="00195BE7" w:rsidP="00195BE7">
            <w:pPr>
              <w:spacing w:line="240" w:lineRule="exact"/>
              <w:ind w:left="227" w:right="170" w:hanging="227"/>
              <w:jc w:val="right"/>
              <w:rPr>
                <w:rFonts w:eastAsia="Times New Roman"/>
                <w:sz w:val="16"/>
                <w:szCs w:val="16"/>
                <w:lang w:eastAsia="es-ES"/>
              </w:rPr>
            </w:pPr>
            <w:r w:rsidRPr="001E2F6E">
              <w:rPr>
                <w:rFonts w:eastAsia="Times New Roman"/>
                <w:sz w:val="16"/>
                <w:szCs w:val="16"/>
                <w:lang w:eastAsia="es-ES"/>
              </w:rPr>
              <w:t>6.638</w:t>
            </w:r>
          </w:p>
        </w:tc>
        <w:tc>
          <w:tcPr>
            <w:tcW w:w="1290" w:type="pct"/>
            <w:tcBorders>
              <w:top w:val="nil"/>
              <w:left w:val="single" w:sz="4" w:space="0" w:color="BFBFBF" w:themeColor="background1" w:themeShade="BF"/>
              <w:bottom w:val="nil"/>
            </w:tcBorders>
            <w:shd w:val="clear" w:color="auto" w:fill="auto"/>
            <w:vAlign w:val="center"/>
            <w:hideMark/>
          </w:tcPr>
          <w:p w:rsidR="00195BE7" w:rsidRPr="001E2F6E" w:rsidRDefault="00195BE7" w:rsidP="00195BE7">
            <w:pPr>
              <w:spacing w:line="240" w:lineRule="exact"/>
              <w:ind w:left="227" w:right="170" w:hanging="227"/>
              <w:jc w:val="right"/>
              <w:rPr>
                <w:rFonts w:eastAsia="Times New Roman"/>
                <w:sz w:val="16"/>
                <w:szCs w:val="16"/>
                <w:lang w:eastAsia="es-ES"/>
              </w:rPr>
            </w:pPr>
            <w:r w:rsidRPr="001E2F6E">
              <w:rPr>
                <w:rFonts w:eastAsia="Times New Roman"/>
                <w:sz w:val="16"/>
                <w:szCs w:val="16"/>
                <w:lang w:eastAsia="es-ES"/>
              </w:rPr>
              <w:t>-24,6</w:t>
            </w:r>
          </w:p>
        </w:tc>
      </w:tr>
      <w:tr w:rsidR="00195BE7" w:rsidRPr="001E2F6E" w:rsidTr="00195BE7">
        <w:trPr>
          <w:jc w:val="center"/>
        </w:trPr>
        <w:tc>
          <w:tcPr>
            <w:tcW w:w="1129" w:type="pct"/>
            <w:tcBorders>
              <w:top w:val="nil"/>
              <w:left w:val="nil"/>
              <w:bottom w:val="nil"/>
              <w:right w:val="single" w:sz="8" w:space="0" w:color="BFBFBF"/>
            </w:tcBorders>
            <w:shd w:val="clear" w:color="auto" w:fill="auto"/>
            <w:vAlign w:val="bottom"/>
            <w:hideMark/>
          </w:tcPr>
          <w:p w:rsidR="00195BE7" w:rsidRPr="001E2F6E" w:rsidRDefault="00195BE7" w:rsidP="00195BE7">
            <w:pPr>
              <w:spacing w:line="240" w:lineRule="exact"/>
              <w:rPr>
                <w:snapToGrid w:val="0"/>
                <w:sz w:val="16"/>
                <w:szCs w:val="16"/>
              </w:rPr>
            </w:pPr>
            <w:r w:rsidRPr="001E2F6E">
              <w:rPr>
                <w:snapToGrid w:val="0"/>
                <w:sz w:val="16"/>
                <w:szCs w:val="16"/>
                <w:lang w:val="eu-ES"/>
              </w:rPr>
              <w:t>51tik 100era</w:t>
            </w:r>
          </w:p>
        </w:tc>
        <w:tc>
          <w:tcPr>
            <w:tcW w:w="1290" w:type="pct"/>
            <w:tcBorders>
              <w:top w:val="nil"/>
              <w:left w:val="nil"/>
              <w:bottom w:val="nil"/>
              <w:right w:val="single" w:sz="4" w:space="0" w:color="BFBFBF" w:themeColor="background1" w:themeShade="BF"/>
            </w:tcBorders>
            <w:shd w:val="clear" w:color="auto" w:fill="auto"/>
            <w:vAlign w:val="center"/>
            <w:hideMark/>
          </w:tcPr>
          <w:p w:rsidR="00195BE7" w:rsidRPr="001E2F6E" w:rsidRDefault="00195BE7" w:rsidP="00195BE7">
            <w:pPr>
              <w:spacing w:line="240" w:lineRule="exact"/>
              <w:ind w:left="227" w:right="170" w:hanging="227"/>
              <w:jc w:val="right"/>
              <w:rPr>
                <w:rFonts w:eastAsia="Times New Roman"/>
                <w:sz w:val="16"/>
                <w:szCs w:val="16"/>
                <w:lang w:eastAsia="es-ES"/>
              </w:rPr>
            </w:pPr>
            <w:r w:rsidRPr="001E2F6E">
              <w:rPr>
                <w:rFonts w:eastAsia="Times New Roman"/>
                <w:sz w:val="16"/>
                <w:szCs w:val="16"/>
                <w:lang w:eastAsia="es-ES"/>
              </w:rPr>
              <w:t>6.064</w:t>
            </w:r>
          </w:p>
        </w:tc>
        <w:tc>
          <w:tcPr>
            <w:tcW w:w="1290" w:type="pct"/>
            <w:tcBorders>
              <w:top w:val="nil"/>
              <w:left w:val="single" w:sz="4" w:space="0" w:color="BFBFBF" w:themeColor="background1" w:themeShade="BF"/>
              <w:bottom w:val="nil"/>
              <w:right w:val="single" w:sz="4" w:space="0" w:color="BFBFBF" w:themeColor="background1" w:themeShade="BF"/>
            </w:tcBorders>
            <w:shd w:val="clear" w:color="auto" w:fill="auto"/>
            <w:vAlign w:val="center"/>
            <w:hideMark/>
          </w:tcPr>
          <w:p w:rsidR="00195BE7" w:rsidRPr="001E2F6E" w:rsidRDefault="00195BE7" w:rsidP="00195BE7">
            <w:pPr>
              <w:spacing w:line="240" w:lineRule="exact"/>
              <w:ind w:left="227" w:right="170" w:hanging="227"/>
              <w:jc w:val="right"/>
              <w:rPr>
                <w:rFonts w:eastAsia="Times New Roman"/>
                <w:sz w:val="16"/>
                <w:szCs w:val="16"/>
                <w:lang w:eastAsia="es-ES"/>
              </w:rPr>
            </w:pPr>
            <w:r w:rsidRPr="001E2F6E">
              <w:rPr>
                <w:rFonts w:eastAsia="Times New Roman"/>
                <w:sz w:val="16"/>
                <w:szCs w:val="16"/>
                <w:lang w:eastAsia="es-ES"/>
              </w:rPr>
              <w:t>6.117</w:t>
            </w:r>
          </w:p>
        </w:tc>
        <w:tc>
          <w:tcPr>
            <w:tcW w:w="1290" w:type="pct"/>
            <w:tcBorders>
              <w:top w:val="nil"/>
              <w:left w:val="single" w:sz="4" w:space="0" w:color="BFBFBF" w:themeColor="background1" w:themeShade="BF"/>
              <w:bottom w:val="nil"/>
            </w:tcBorders>
            <w:shd w:val="clear" w:color="auto" w:fill="auto"/>
            <w:vAlign w:val="center"/>
            <w:hideMark/>
          </w:tcPr>
          <w:p w:rsidR="00195BE7" w:rsidRPr="001E2F6E" w:rsidRDefault="00195BE7" w:rsidP="00195BE7">
            <w:pPr>
              <w:spacing w:line="240" w:lineRule="exact"/>
              <w:ind w:left="227" w:right="170" w:hanging="227"/>
              <w:jc w:val="right"/>
              <w:rPr>
                <w:rFonts w:eastAsia="Times New Roman"/>
                <w:sz w:val="16"/>
                <w:szCs w:val="16"/>
                <w:lang w:eastAsia="es-ES"/>
              </w:rPr>
            </w:pPr>
            <w:r w:rsidRPr="001E2F6E">
              <w:rPr>
                <w:rFonts w:eastAsia="Times New Roman"/>
                <w:sz w:val="16"/>
                <w:szCs w:val="16"/>
                <w:lang w:eastAsia="es-ES"/>
              </w:rPr>
              <w:t>0,9</w:t>
            </w:r>
          </w:p>
        </w:tc>
      </w:tr>
      <w:tr w:rsidR="00195BE7" w:rsidRPr="001E2F6E" w:rsidTr="00195BE7">
        <w:trPr>
          <w:jc w:val="center"/>
        </w:trPr>
        <w:tc>
          <w:tcPr>
            <w:tcW w:w="1129" w:type="pct"/>
            <w:tcBorders>
              <w:top w:val="nil"/>
              <w:left w:val="nil"/>
              <w:bottom w:val="nil"/>
              <w:right w:val="single" w:sz="8" w:space="0" w:color="BFBFBF"/>
            </w:tcBorders>
            <w:shd w:val="clear" w:color="auto" w:fill="auto"/>
            <w:vAlign w:val="bottom"/>
            <w:hideMark/>
          </w:tcPr>
          <w:p w:rsidR="00195BE7" w:rsidRPr="001E2F6E" w:rsidRDefault="00195BE7" w:rsidP="00195BE7">
            <w:pPr>
              <w:spacing w:line="240" w:lineRule="exact"/>
              <w:rPr>
                <w:snapToGrid w:val="0"/>
                <w:sz w:val="16"/>
                <w:szCs w:val="16"/>
              </w:rPr>
            </w:pPr>
            <w:r w:rsidRPr="001E2F6E">
              <w:rPr>
                <w:snapToGrid w:val="0"/>
                <w:sz w:val="16"/>
                <w:szCs w:val="16"/>
                <w:lang w:val="eu-ES"/>
              </w:rPr>
              <w:t>101etik 200era</w:t>
            </w:r>
          </w:p>
        </w:tc>
        <w:tc>
          <w:tcPr>
            <w:tcW w:w="1290" w:type="pct"/>
            <w:tcBorders>
              <w:top w:val="nil"/>
              <w:left w:val="nil"/>
              <w:bottom w:val="nil"/>
              <w:right w:val="single" w:sz="4" w:space="0" w:color="BFBFBF" w:themeColor="background1" w:themeShade="BF"/>
            </w:tcBorders>
            <w:shd w:val="clear" w:color="auto" w:fill="auto"/>
            <w:vAlign w:val="center"/>
            <w:hideMark/>
          </w:tcPr>
          <w:p w:rsidR="00195BE7" w:rsidRPr="001E2F6E" w:rsidRDefault="00195BE7" w:rsidP="00195BE7">
            <w:pPr>
              <w:spacing w:line="240" w:lineRule="exact"/>
              <w:ind w:left="227" w:right="170" w:hanging="227"/>
              <w:jc w:val="right"/>
              <w:rPr>
                <w:rFonts w:eastAsia="Times New Roman"/>
                <w:sz w:val="16"/>
                <w:szCs w:val="16"/>
                <w:lang w:eastAsia="es-ES"/>
              </w:rPr>
            </w:pPr>
            <w:r w:rsidRPr="001E2F6E">
              <w:rPr>
                <w:rFonts w:eastAsia="Times New Roman"/>
                <w:sz w:val="16"/>
                <w:szCs w:val="16"/>
                <w:lang w:eastAsia="es-ES"/>
              </w:rPr>
              <w:t>5.182</w:t>
            </w:r>
          </w:p>
        </w:tc>
        <w:tc>
          <w:tcPr>
            <w:tcW w:w="1290" w:type="pct"/>
            <w:tcBorders>
              <w:top w:val="nil"/>
              <w:left w:val="single" w:sz="4" w:space="0" w:color="BFBFBF" w:themeColor="background1" w:themeShade="BF"/>
              <w:bottom w:val="nil"/>
              <w:right w:val="single" w:sz="4" w:space="0" w:color="BFBFBF" w:themeColor="background1" w:themeShade="BF"/>
            </w:tcBorders>
            <w:shd w:val="clear" w:color="auto" w:fill="auto"/>
            <w:vAlign w:val="center"/>
            <w:hideMark/>
          </w:tcPr>
          <w:p w:rsidR="00195BE7" w:rsidRPr="001E2F6E" w:rsidRDefault="00195BE7" w:rsidP="00195BE7">
            <w:pPr>
              <w:spacing w:line="240" w:lineRule="exact"/>
              <w:ind w:left="227" w:right="170" w:hanging="227"/>
              <w:jc w:val="right"/>
              <w:rPr>
                <w:rFonts w:eastAsia="Times New Roman"/>
                <w:sz w:val="16"/>
                <w:szCs w:val="16"/>
                <w:lang w:eastAsia="es-ES"/>
              </w:rPr>
            </w:pPr>
            <w:r w:rsidRPr="001E2F6E">
              <w:rPr>
                <w:rFonts w:eastAsia="Times New Roman"/>
                <w:sz w:val="16"/>
                <w:szCs w:val="16"/>
                <w:lang w:eastAsia="es-ES"/>
              </w:rPr>
              <w:t>5.748</w:t>
            </w:r>
          </w:p>
        </w:tc>
        <w:tc>
          <w:tcPr>
            <w:tcW w:w="1290" w:type="pct"/>
            <w:tcBorders>
              <w:top w:val="nil"/>
              <w:left w:val="single" w:sz="4" w:space="0" w:color="BFBFBF" w:themeColor="background1" w:themeShade="BF"/>
              <w:bottom w:val="nil"/>
            </w:tcBorders>
            <w:shd w:val="clear" w:color="auto" w:fill="auto"/>
            <w:vAlign w:val="center"/>
            <w:hideMark/>
          </w:tcPr>
          <w:p w:rsidR="00195BE7" w:rsidRPr="001E2F6E" w:rsidRDefault="00195BE7" w:rsidP="00195BE7">
            <w:pPr>
              <w:spacing w:line="240" w:lineRule="exact"/>
              <w:ind w:left="227" w:right="170" w:hanging="227"/>
              <w:jc w:val="right"/>
              <w:rPr>
                <w:rFonts w:eastAsia="Times New Roman"/>
                <w:sz w:val="16"/>
                <w:szCs w:val="16"/>
                <w:lang w:eastAsia="es-ES"/>
              </w:rPr>
            </w:pPr>
            <w:r w:rsidRPr="001E2F6E">
              <w:rPr>
                <w:rFonts w:eastAsia="Times New Roman"/>
                <w:sz w:val="16"/>
                <w:szCs w:val="16"/>
                <w:lang w:eastAsia="es-ES"/>
              </w:rPr>
              <w:t>10,9</w:t>
            </w:r>
          </w:p>
        </w:tc>
      </w:tr>
      <w:tr w:rsidR="00195BE7" w:rsidRPr="001E2F6E" w:rsidTr="00195BE7">
        <w:trPr>
          <w:jc w:val="center"/>
        </w:trPr>
        <w:tc>
          <w:tcPr>
            <w:tcW w:w="1129" w:type="pct"/>
            <w:tcBorders>
              <w:top w:val="nil"/>
              <w:left w:val="nil"/>
              <w:bottom w:val="nil"/>
              <w:right w:val="single" w:sz="8" w:space="0" w:color="BFBFBF"/>
            </w:tcBorders>
            <w:shd w:val="clear" w:color="auto" w:fill="auto"/>
            <w:vAlign w:val="bottom"/>
            <w:hideMark/>
          </w:tcPr>
          <w:p w:rsidR="00195BE7" w:rsidRPr="001E2F6E" w:rsidRDefault="00195BE7" w:rsidP="00195BE7">
            <w:pPr>
              <w:spacing w:line="240" w:lineRule="exact"/>
              <w:rPr>
                <w:snapToGrid w:val="0"/>
                <w:sz w:val="16"/>
                <w:szCs w:val="16"/>
              </w:rPr>
            </w:pPr>
            <w:r w:rsidRPr="001E2F6E">
              <w:rPr>
                <w:snapToGrid w:val="0"/>
                <w:sz w:val="16"/>
                <w:szCs w:val="16"/>
                <w:lang w:val="eu-ES"/>
              </w:rPr>
              <w:t>201etik 500era</w:t>
            </w:r>
          </w:p>
        </w:tc>
        <w:tc>
          <w:tcPr>
            <w:tcW w:w="1290" w:type="pct"/>
            <w:tcBorders>
              <w:top w:val="nil"/>
              <w:left w:val="nil"/>
              <w:bottom w:val="nil"/>
              <w:right w:val="single" w:sz="4" w:space="0" w:color="BFBFBF" w:themeColor="background1" w:themeShade="BF"/>
            </w:tcBorders>
            <w:shd w:val="clear" w:color="auto" w:fill="auto"/>
            <w:vAlign w:val="center"/>
            <w:hideMark/>
          </w:tcPr>
          <w:p w:rsidR="00195BE7" w:rsidRPr="001E2F6E" w:rsidRDefault="00195BE7" w:rsidP="00195BE7">
            <w:pPr>
              <w:spacing w:line="240" w:lineRule="exact"/>
              <w:ind w:left="227" w:right="170" w:hanging="227"/>
              <w:jc w:val="right"/>
              <w:rPr>
                <w:rFonts w:eastAsia="Times New Roman"/>
                <w:sz w:val="16"/>
                <w:szCs w:val="16"/>
                <w:lang w:eastAsia="es-ES"/>
              </w:rPr>
            </w:pPr>
            <w:r w:rsidRPr="001E2F6E">
              <w:rPr>
                <w:rFonts w:eastAsia="Times New Roman"/>
                <w:sz w:val="16"/>
                <w:szCs w:val="16"/>
                <w:lang w:eastAsia="es-ES"/>
              </w:rPr>
              <w:t>8.101</w:t>
            </w:r>
          </w:p>
        </w:tc>
        <w:tc>
          <w:tcPr>
            <w:tcW w:w="1290" w:type="pct"/>
            <w:tcBorders>
              <w:top w:val="nil"/>
              <w:left w:val="single" w:sz="4" w:space="0" w:color="BFBFBF" w:themeColor="background1" w:themeShade="BF"/>
              <w:bottom w:val="nil"/>
              <w:right w:val="single" w:sz="4" w:space="0" w:color="BFBFBF" w:themeColor="background1" w:themeShade="BF"/>
            </w:tcBorders>
            <w:shd w:val="clear" w:color="auto" w:fill="auto"/>
            <w:vAlign w:val="center"/>
            <w:hideMark/>
          </w:tcPr>
          <w:p w:rsidR="00195BE7" w:rsidRPr="001E2F6E" w:rsidRDefault="00195BE7" w:rsidP="00195BE7">
            <w:pPr>
              <w:spacing w:line="240" w:lineRule="exact"/>
              <w:ind w:left="227" w:right="170" w:hanging="227"/>
              <w:jc w:val="right"/>
              <w:rPr>
                <w:rFonts w:eastAsia="Times New Roman"/>
                <w:sz w:val="16"/>
                <w:szCs w:val="16"/>
                <w:lang w:eastAsia="es-ES"/>
              </w:rPr>
            </w:pPr>
            <w:r w:rsidRPr="001E2F6E">
              <w:rPr>
                <w:rFonts w:eastAsia="Times New Roman"/>
                <w:sz w:val="16"/>
                <w:szCs w:val="16"/>
                <w:lang w:eastAsia="es-ES"/>
              </w:rPr>
              <w:t>7.229</w:t>
            </w:r>
          </w:p>
        </w:tc>
        <w:tc>
          <w:tcPr>
            <w:tcW w:w="1290" w:type="pct"/>
            <w:tcBorders>
              <w:top w:val="nil"/>
              <w:left w:val="single" w:sz="4" w:space="0" w:color="BFBFBF" w:themeColor="background1" w:themeShade="BF"/>
              <w:bottom w:val="nil"/>
            </w:tcBorders>
            <w:shd w:val="clear" w:color="auto" w:fill="auto"/>
            <w:vAlign w:val="center"/>
            <w:hideMark/>
          </w:tcPr>
          <w:p w:rsidR="00195BE7" w:rsidRPr="001E2F6E" w:rsidRDefault="00195BE7" w:rsidP="00195BE7">
            <w:pPr>
              <w:spacing w:line="240" w:lineRule="exact"/>
              <w:ind w:left="227" w:right="170" w:hanging="227"/>
              <w:jc w:val="right"/>
              <w:rPr>
                <w:rFonts w:eastAsia="Times New Roman"/>
                <w:sz w:val="16"/>
                <w:szCs w:val="16"/>
                <w:lang w:eastAsia="es-ES"/>
              </w:rPr>
            </w:pPr>
            <w:r w:rsidRPr="001E2F6E">
              <w:rPr>
                <w:rFonts w:eastAsia="Times New Roman"/>
                <w:sz w:val="16"/>
                <w:szCs w:val="16"/>
                <w:lang w:eastAsia="es-ES"/>
              </w:rPr>
              <w:t>-10,8</w:t>
            </w:r>
          </w:p>
        </w:tc>
      </w:tr>
      <w:tr w:rsidR="00195BE7" w:rsidRPr="001E2F6E" w:rsidTr="00195BE7">
        <w:trPr>
          <w:jc w:val="center"/>
        </w:trPr>
        <w:tc>
          <w:tcPr>
            <w:tcW w:w="1129" w:type="pct"/>
            <w:tcBorders>
              <w:top w:val="nil"/>
              <w:left w:val="nil"/>
              <w:bottom w:val="single" w:sz="8" w:space="0" w:color="BFBFBF"/>
              <w:right w:val="single" w:sz="8" w:space="0" w:color="BFBFBF"/>
            </w:tcBorders>
            <w:shd w:val="clear" w:color="auto" w:fill="auto"/>
            <w:vAlign w:val="bottom"/>
            <w:hideMark/>
          </w:tcPr>
          <w:p w:rsidR="00195BE7" w:rsidRPr="001E2F6E" w:rsidRDefault="00195BE7" w:rsidP="00195BE7">
            <w:pPr>
              <w:spacing w:line="240" w:lineRule="exact"/>
              <w:rPr>
                <w:snapToGrid w:val="0"/>
                <w:sz w:val="16"/>
                <w:szCs w:val="16"/>
              </w:rPr>
            </w:pPr>
            <w:r w:rsidRPr="001E2F6E">
              <w:rPr>
                <w:snapToGrid w:val="0"/>
                <w:sz w:val="16"/>
                <w:szCs w:val="16"/>
                <w:lang w:val="eu-ES"/>
              </w:rPr>
              <w:t>500 enplegutik gora</w:t>
            </w:r>
          </w:p>
        </w:tc>
        <w:tc>
          <w:tcPr>
            <w:tcW w:w="1290" w:type="pct"/>
            <w:tcBorders>
              <w:top w:val="nil"/>
              <w:left w:val="nil"/>
              <w:bottom w:val="single" w:sz="8" w:space="0" w:color="BFBFBF"/>
              <w:right w:val="single" w:sz="4" w:space="0" w:color="BFBFBF" w:themeColor="background1" w:themeShade="BF"/>
            </w:tcBorders>
            <w:shd w:val="clear" w:color="auto" w:fill="auto"/>
            <w:vAlign w:val="center"/>
            <w:hideMark/>
          </w:tcPr>
          <w:p w:rsidR="00195BE7" w:rsidRPr="001E2F6E" w:rsidRDefault="00195BE7" w:rsidP="00195BE7">
            <w:pPr>
              <w:spacing w:line="240" w:lineRule="exact"/>
              <w:ind w:left="227" w:right="170" w:hanging="227"/>
              <w:jc w:val="right"/>
              <w:rPr>
                <w:rFonts w:eastAsia="Times New Roman"/>
                <w:sz w:val="16"/>
                <w:szCs w:val="16"/>
                <w:lang w:eastAsia="es-ES"/>
              </w:rPr>
            </w:pPr>
            <w:r w:rsidRPr="001E2F6E">
              <w:rPr>
                <w:rFonts w:eastAsia="Times New Roman"/>
                <w:sz w:val="16"/>
                <w:szCs w:val="16"/>
                <w:lang w:eastAsia="es-ES"/>
              </w:rPr>
              <w:t>23.492</w:t>
            </w:r>
          </w:p>
        </w:tc>
        <w:tc>
          <w:tcPr>
            <w:tcW w:w="1290" w:type="pct"/>
            <w:tcBorders>
              <w:top w:val="nil"/>
              <w:left w:val="single" w:sz="4" w:space="0" w:color="BFBFBF" w:themeColor="background1" w:themeShade="BF"/>
              <w:bottom w:val="single" w:sz="8" w:space="0" w:color="BFBFBF"/>
              <w:right w:val="single" w:sz="4" w:space="0" w:color="BFBFBF" w:themeColor="background1" w:themeShade="BF"/>
            </w:tcBorders>
            <w:shd w:val="clear" w:color="auto" w:fill="auto"/>
            <w:vAlign w:val="center"/>
            <w:hideMark/>
          </w:tcPr>
          <w:p w:rsidR="00195BE7" w:rsidRPr="001E2F6E" w:rsidRDefault="00195BE7" w:rsidP="00195BE7">
            <w:pPr>
              <w:spacing w:line="240" w:lineRule="exact"/>
              <w:ind w:left="227" w:right="170" w:hanging="227"/>
              <w:jc w:val="right"/>
              <w:rPr>
                <w:rFonts w:eastAsia="Times New Roman"/>
                <w:sz w:val="16"/>
                <w:szCs w:val="16"/>
                <w:lang w:eastAsia="es-ES"/>
              </w:rPr>
            </w:pPr>
            <w:r w:rsidRPr="001E2F6E">
              <w:rPr>
                <w:rFonts w:eastAsia="Times New Roman"/>
                <w:sz w:val="16"/>
                <w:szCs w:val="16"/>
                <w:lang w:eastAsia="es-ES"/>
              </w:rPr>
              <w:t>21.646</w:t>
            </w:r>
          </w:p>
        </w:tc>
        <w:tc>
          <w:tcPr>
            <w:tcW w:w="1290" w:type="pct"/>
            <w:tcBorders>
              <w:top w:val="nil"/>
              <w:left w:val="single" w:sz="4" w:space="0" w:color="BFBFBF" w:themeColor="background1" w:themeShade="BF"/>
              <w:bottom w:val="single" w:sz="4" w:space="0" w:color="BFBFBF" w:themeColor="background1" w:themeShade="BF"/>
            </w:tcBorders>
            <w:shd w:val="clear" w:color="auto" w:fill="auto"/>
            <w:vAlign w:val="center"/>
            <w:hideMark/>
          </w:tcPr>
          <w:p w:rsidR="00195BE7" w:rsidRPr="001E2F6E" w:rsidRDefault="00195BE7" w:rsidP="00195BE7">
            <w:pPr>
              <w:spacing w:line="240" w:lineRule="exact"/>
              <w:ind w:left="227" w:right="170" w:hanging="227"/>
              <w:jc w:val="right"/>
              <w:rPr>
                <w:rFonts w:eastAsia="Times New Roman"/>
                <w:sz w:val="16"/>
                <w:szCs w:val="16"/>
                <w:lang w:eastAsia="es-ES"/>
              </w:rPr>
            </w:pPr>
            <w:r w:rsidRPr="001E2F6E">
              <w:rPr>
                <w:rFonts w:eastAsia="Times New Roman"/>
                <w:sz w:val="16"/>
                <w:szCs w:val="16"/>
                <w:lang w:eastAsia="es-ES"/>
              </w:rPr>
              <w:t>-7,9</w:t>
            </w:r>
          </w:p>
        </w:tc>
      </w:tr>
      <w:tr w:rsidR="00195BE7" w:rsidRPr="001E2F6E" w:rsidTr="00195BE7">
        <w:trPr>
          <w:jc w:val="center"/>
        </w:trPr>
        <w:tc>
          <w:tcPr>
            <w:tcW w:w="1129" w:type="pct"/>
            <w:tcBorders>
              <w:top w:val="nil"/>
              <w:left w:val="nil"/>
              <w:bottom w:val="single" w:sz="8" w:space="0" w:color="BFBFBF"/>
              <w:right w:val="single" w:sz="8" w:space="0" w:color="BFBFBF"/>
            </w:tcBorders>
            <w:shd w:val="clear" w:color="auto" w:fill="auto"/>
            <w:vAlign w:val="bottom"/>
            <w:hideMark/>
          </w:tcPr>
          <w:p w:rsidR="00195BE7" w:rsidRPr="001E2F6E" w:rsidRDefault="00195BE7" w:rsidP="00195BE7">
            <w:pPr>
              <w:spacing w:line="240" w:lineRule="exact"/>
              <w:rPr>
                <w:b/>
                <w:snapToGrid w:val="0"/>
                <w:sz w:val="16"/>
                <w:szCs w:val="16"/>
              </w:rPr>
            </w:pPr>
            <w:r w:rsidRPr="001E2F6E">
              <w:rPr>
                <w:b/>
                <w:snapToGrid w:val="0"/>
                <w:sz w:val="16"/>
                <w:szCs w:val="16"/>
              </w:rPr>
              <w:t>GUZTIRA</w:t>
            </w:r>
          </w:p>
        </w:tc>
        <w:tc>
          <w:tcPr>
            <w:tcW w:w="1290" w:type="pct"/>
            <w:tcBorders>
              <w:top w:val="nil"/>
              <w:left w:val="nil"/>
              <w:bottom w:val="single" w:sz="8" w:space="0" w:color="BFBFBF"/>
              <w:right w:val="single" w:sz="4" w:space="0" w:color="BFBFBF" w:themeColor="background1" w:themeShade="BF"/>
            </w:tcBorders>
            <w:shd w:val="clear" w:color="auto" w:fill="auto"/>
            <w:vAlign w:val="center"/>
            <w:hideMark/>
          </w:tcPr>
          <w:p w:rsidR="00195BE7" w:rsidRPr="001E2F6E" w:rsidRDefault="00195BE7" w:rsidP="00195BE7">
            <w:pPr>
              <w:spacing w:line="240" w:lineRule="exact"/>
              <w:ind w:left="227" w:right="170" w:hanging="227"/>
              <w:jc w:val="right"/>
              <w:rPr>
                <w:rFonts w:eastAsia="Times New Roman"/>
                <w:sz w:val="16"/>
                <w:szCs w:val="16"/>
                <w:lang w:eastAsia="es-ES"/>
              </w:rPr>
            </w:pPr>
            <w:r w:rsidRPr="001E2F6E">
              <w:rPr>
                <w:rFonts w:eastAsia="Times New Roman"/>
                <w:b/>
                <w:bCs/>
                <w:sz w:val="16"/>
                <w:szCs w:val="16"/>
                <w:lang w:eastAsia="es-ES"/>
              </w:rPr>
              <w:t>59.915</w:t>
            </w:r>
          </w:p>
        </w:tc>
        <w:tc>
          <w:tcPr>
            <w:tcW w:w="1290" w:type="pct"/>
            <w:tcBorders>
              <w:top w:val="nil"/>
              <w:left w:val="single" w:sz="4" w:space="0" w:color="BFBFBF" w:themeColor="background1" w:themeShade="BF"/>
              <w:bottom w:val="single" w:sz="8" w:space="0" w:color="BFBFBF"/>
              <w:right w:val="single" w:sz="4" w:space="0" w:color="BFBFBF" w:themeColor="background1" w:themeShade="BF"/>
            </w:tcBorders>
            <w:shd w:val="clear" w:color="auto" w:fill="auto"/>
            <w:vAlign w:val="center"/>
            <w:hideMark/>
          </w:tcPr>
          <w:p w:rsidR="00195BE7" w:rsidRPr="001E2F6E" w:rsidRDefault="00195BE7" w:rsidP="00195BE7">
            <w:pPr>
              <w:spacing w:line="240" w:lineRule="exact"/>
              <w:ind w:left="227" w:right="170" w:hanging="227"/>
              <w:jc w:val="right"/>
              <w:rPr>
                <w:rFonts w:eastAsia="Times New Roman"/>
                <w:sz w:val="16"/>
                <w:szCs w:val="16"/>
                <w:lang w:eastAsia="es-ES"/>
              </w:rPr>
            </w:pPr>
            <w:r w:rsidRPr="001E2F6E">
              <w:rPr>
                <w:rFonts w:eastAsia="Times New Roman"/>
                <w:b/>
                <w:bCs/>
                <w:sz w:val="16"/>
                <w:szCs w:val="16"/>
                <w:lang w:eastAsia="es-ES"/>
              </w:rPr>
              <w:t>55.809</w:t>
            </w:r>
          </w:p>
        </w:tc>
        <w:tc>
          <w:tcPr>
            <w:tcW w:w="1290" w:type="pct"/>
            <w:tcBorders>
              <w:top w:val="single" w:sz="4" w:space="0" w:color="BFBFBF" w:themeColor="background1" w:themeShade="BF"/>
              <w:left w:val="single" w:sz="4" w:space="0" w:color="BFBFBF" w:themeColor="background1" w:themeShade="BF"/>
              <w:bottom w:val="single" w:sz="8" w:space="0" w:color="BFBFBF"/>
              <w:right w:val="nil"/>
            </w:tcBorders>
            <w:shd w:val="clear" w:color="auto" w:fill="auto"/>
            <w:vAlign w:val="center"/>
            <w:hideMark/>
          </w:tcPr>
          <w:p w:rsidR="00195BE7" w:rsidRPr="001E2F6E" w:rsidRDefault="00195BE7" w:rsidP="00195BE7">
            <w:pPr>
              <w:spacing w:line="240" w:lineRule="exact"/>
              <w:ind w:left="227" w:right="170" w:hanging="227"/>
              <w:jc w:val="right"/>
              <w:rPr>
                <w:rFonts w:eastAsia="Times New Roman"/>
                <w:sz w:val="16"/>
                <w:szCs w:val="16"/>
                <w:lang w:eastAsia="es-ES"/>
              </w:rPr>
            </w:pPr>
            <w:r w:rsidRPr="001E2F6E">
              <w:rPr>
                <w:rFonts w:eastAsia="Times New Roman"/>
                <w:b/>
                <w:bCs/>
                <w:sz w:val="16"/>
                <w:szCs w:val="16"/>
                <w:lang w:eastAsia="es-ES"/>
              </w:rPr>
              <w:t>-6,9</w:t>
            </w:r>
          </w:p>
        </w:tc>
      </w:tr>
    </w:tbl>
    <w:p w:rsidR="00195BE7" w:rsidRPr="001E2F6E" w:rsidRDefault="00195BE7" w:rsidP="00195BE7">
      <w:pPr>
        <w:rPr>
          <w:color w:val="FF0000"/>
        </w:rPr>
      </w:pPr>
    </w:p>
    <w:p w:rsidR="00195BE7" w:rsidRPr="001E2F6E" w:rsidRDefault="00195BE7" w:rsidP="00195BE7"/>
    <w:p w:rsidR="00195BE7" w:rsidRPr="001E2F6E" w:rsidRDefault="00195BE7" w:rsidP="00195BE7">
      <w:pPr>
        <w:spacing w:after="200" w:line="276" w:lineRule="auto"/>
        <w:jc w:val="left"/>
        <w:rPr>
          <w:b/>
          <w:color w:val="1F497D" w:themeColor="text2"/>
          <w:sz w:val="18"/>
          <w:szCs w:val="18"/>
        </w:rPr>
      </w:pPr>
      <w:bookmarkStart w:id="35" w:name="_Toc391989077"/>
      <w:r w:rsidRPr="001E2F6E">
        <w:rPr>
          <w:b/>
          <w:color w:val="1F497D" w:themeColor="text2"/>
          <w:sz w:val="18"/>
          <w:szCs w:val="18"/>
        </w:rPr>
        <w:br w:type="page"/>
      </w:r>
    </w:p>
    <w:p w:rsidR="00195BE7" w:rsidRPr="001E2F6E" w:rsidRDefault="00195BE7" w:rsidP="00195BE7">
      <w:pPr>
        <w:pStyle w:val="ARIALNARROW"/>
        <w:spacing w:line="240" w:lineRule="auto"/>
        <w:ind w:left="227" w:hanging="227"/>
        <w:jc w:val="center"/>
        <w:rPr>
          <w:rFonts w:eastAsia="Calibri"/>
          <w:b/>
          <w:color w:val="1F497D" w:themeColor="text2"/>
          <w:sz w:val="18"/>
          <w:szCs w:val="18"/>
          <w:lang w:val="es-ES" w:eastAsia="en-US"/>
        </w:rPr>
      </w:pPr>
      <w:bookmarkStart w:id="36" w:name="_Toc392585741"/>
      <w:r w:rsidRPr="001E2F6E">
        <w:rPr>
          <w:rFonts w:eastAsia="Calibri"/>
          <w:b/>
          <w:color w:val="1F497D" w:themeColor="text2"/>
          <w:sz w:val="18"/>
          <w:szCs w:val="18"/>
          <w:lang w:val="es-ES" w:eastAsia="en-US"/>
        </w:rPr>
        <w:lastRenderedPageBreak/>
        <w:t>1.</w:t>
      </w:r>
      <w:r w:rsidR="00EB6BA6" w:rsidRPr="001E2F6E">
        <w:rPr>
          <w:rFonts w:eastAsia="Calibri"/>
          <w:b/>
          <w:color w:val="1F497D" w:themeColor="text2"/>
          <w:sz w:val="18"/>
          <w:szCs w:val="18"/>
          <w:lang w:val="es-ES" w:eastAsia="en-US"/>
        </w:rPr>
        <w:fldChar w:fldCharType="begin"/>
      </w:r>
      <w:r w:rsidRPr="001E2F6E">
        <w:rPr>
          <w:rFonts w:eastAsia="Calibri"/>
          <w:b/>
          <w:color w:val="1F497D" w:themeColor="text2"/>
          <w:sz w:val="18"/>
          <w:szCs w:val="18"/>
          <w:lang w:val="es-ES" w:eastAsia="en-US"/>
        </w:rPr>
        <w:instrText xml:space="preserve"> SEQ Cuadro_1. \* ARABIC </w:instrText>
      </w:r>
      <w:r w:rsidR="00EB6BA6" w:rsidRPr="001E2F6E">
        <w:rPr>
          <w:rFonts w:eastAsia="Calibri"/>
          <w:b/>
          <w:color w:val="1F497D" w:themeColor="text2"/>
          <w:sz w:val="18"/>
          <w:szCs w:val="18"/>
          <w:lang w:val="es-ES" w:eastAsia="en-US"/>
        </w:rPr>
        <w:fldChar w:fldCharType="separate"/>
      </w:r>
      <w:r w:rsidR="00A327D4">
        <w:rPr>
          <w:rFonts w:eastAsia="Calibri"/>
          <w:b/>
          <w:noProof/>
          <w:color w:val="1F497D" w:themeColor="text2"/>
          <w:sz w:val="18"/>
          <w:szCs w:val="18"/>
          <w:lang w:val="es-ES" w:eastAsia="en-US"/>
        </w:rPr>
        <w:t>6</w:t>
      </w:r>
      <w:r w:rsidR="00EB6BA6" w:rsidRPr="001E2F6E">
        <w:rPr>
          <w:rFonts w:eastAsia="Calibri"/>
          <w:b/>
          <w:color w:val="1F497D" w:themeColor="text2"/>
          <w:sz w:val="18"/>
          <w:szCs w:val="18"/>
          <w:lang w:val="es-ES" w:eastAsia="en-US"/>
        </w:rPr>
        <w:fldChar w:fldCharType="end"/>
      </w:r>
      <w:r w:rsidRPr="001E2F6E">
        <w:rPr>
          <w:rFonts w:eastAsia="Calibri"/>
          <w:b/>
          <w:color w:val="1F497D" w:themeColor="text2"/>
          <w:sz w:val="18"/>
          <w:szCs w:val="18"/>
          <w:lang w:val="es-ES" w:eastAsia="en-US"/>
        </w:rPr>
        <w:t xml:space="preserve"> Taula KOOPERATIBA ESTABLEZIMENDU KOPURUAREN BILAKAERA TAMAINAREN ARABERA 2010-2012</w:t>
      </w:r>
      <w:bookmarkEnd w:id="36"/>
    </w:p>
    <w:tbl>
      <w:tblPr>
        <w:tblW w:w="8804" w:type="dxa"/>
        <w:tblInd w:w="55" w:type="dxa"/>
        <w:tblCellMar>
          <w:left w:w="70" w:type="dxa"/>
          <w:right w:w="70" w:type="dxa"/>
        </w:tblCellMar>
        <w:tblLook w:val="04A0" w:firstRow="1" w:lastRow="0" w:firstColumn="1" w:lastColumn="0" w:noHBand="0" w:noVBand="1"/>
      </w:tblPr>
      <w:tblGrid>
        <w:gridCol w:w="3559"/>
        <w:gridCol w:w="1843"/>
        <w:gridCol w:w="1701"/>
        <w:gridCol w:w="1701"/>
      </w:tblGrid>
      <w:tr w:rsidR="00195BE7" w:rsidRPr="001E2F6E" w:rsidTr="00195BE7">
        <w:tc>
          <w:tcPr>
            <w:tcW w:w="3559" w:type="dxa"/>
            <w:vMerge w:val="restart"/>
            <w:tcBorders>
              <w:top w:val="single" w:sz="8" w:space="0" w:color="BFBFBF"/>
              <w:left w:val="nil"/>
              <w:bottom w:val="single" w:sz="8" w:space="0" w:color="BFBFBF"/>
              <w:right w:val="single" w:sz="8" w:space="0" w:color="BFBFBF"/>
            </w:tcBorders>
            <w:shd w:val="clear" w:color="000000" w:fill="DBE5F1"/>
            <w:vAlign w:val="bottom"/>
            <w:hideMark/>
          </w:tcPr>
          <w:p w:rsidR="00195BE7" w:rsidRPr="001E2F6E" w:rsidRDefault="00195BE7" w:rsidP="00195BE7">
            <w:pPr>
              <w:spacing w:line="240" w:lineRule="exact"/>
              <w:jc w:val="left"/>
              <w:rPr>
                <w:rFonts w:ascii="Calibri" w:eastAsia="Times New Roman" w:hAnsi="Calibri" w:cs="Times New Roman"/>
                <w:sz w:val="22"/>
                <w:lang w:eastAsia="es-ES"/>
              </w:rPr>
            </w:pPr>
            <w:r w:rsidRPr="001E2F6E">
              <w:rPr>
                <w:rFonts w:ascii="Calibri" w:eastAsia="Times New Roman" w:hAnsi="Calibri" w:cs="Times New Roman"/>
                <w:sz w:val="22"/>
                <w:lang w:eastAsia="es-ES"/>
              </w:rPr>
              <w:t> </w:t>
            </w:r>
          </w:p>
        </w:tc>
        <w:tc>
          <w:tcPr>
            <w:tcW w:w="1843" w:type="dxa"/>
            <w:tcBorders>
              <w:top w:val="single" w:sz="8" w:space="0" w:color="BFBFBF"/>
              <w:left w:val="nil"/>
              <w:bottom w:val="nil"/>
              <w:right w:val="single" w:sz="8" w:space="0" w:color="BFBFBF"/>
            </w:tcBorders>
            <w:shd w:val="clear" w:color="000000" w:fill="DBE5F1"/>
            <w:vAlign w:val="bottom"/>
            <w:hideMark/>
          </w:tcPr>
          <w:p w:rsidR="00195BE7" w:rsidRPr="001E2F6E" w:rsidRDefault="00195BE7" w:rsidP="00195BE7">
            <w:pPr>
              <w:spacing w:line="240" w:lineRule="exact"/>
              <w:jc w:val="center"/>
              <w:rPr>
                <w:rFonts w:eastAsia="Times New Roman"/>
                <w:b/>
                <w:bCs/>
                <w:sz w:val="16"/>
                <w:szCs w:val="16"/>
                <w:lang w:eastAsia="es-ES"/>
              </w:rPr>
            </w:pPr>
            <w:r w:rsidRPr="001E2F6E">
              <w:rPr>
                <w:rFonts w:eastAsia="Times New Roman"/>
                <w:b/>
                <w:bCs/>
                <w:sz w:val="16"/>
                <w:szCs w:val="16"/>
                <w:lang w:eastAsia="es-ES"/>
              </w:rPr>
              <w:t>Establezimenduak</w:t>
            </w:r>
          </w:p>
        </w:tc>
        <w:tc>
          <w:tcPr>
            <w:tcW w:w="1701" w:type="dxa"/>
            <w:tcBorders>
              <w:top w:val="single" w:sz="8" w:space="0" w:color="BFBFBF"/>
              <w:left w:val="nil"/>
              <w:bottom w:val="nil"/>
              <w:right w:val="single" w:sz="8" w:space="0" w:color="BFBFBF"/>
            </w:tcBorders>
            <w:shd w:val="clear" w:color="000000" w:fill="DBE5F1"/>
            <w:vAlign w:val="bottom"/>
            <w:hideMark/>
          </w:tcPr>
          <w:p w:rsidR="00195BE7" w:rsidRPr="001E2F6E" w:rsidRDefault="00195BE7" w:rsidP="00195BE7">
            <w:pPr>
              <w:spacing w:line="240" w:lineRule="exact"/>
              <w:jc w:val="center"/>
              <w:rPr>
                <w:rFonts w:eastAsia="Times New Roman"/>
                <w:b/>
                <w:bCs/>
                <w:sz w:val="16"/>
                <w:szCs w:val="16"/>
                <w:lang w:eastAsia="es-ES"/>
              </w:rPr>
            </w:pPr>
            <w:r w:rsidRPr="001E2F6E">
              <w:rPr>
                <w:rFonts w:eastAsia="Times New Roman"/>
                <w:b/>
                <w:bCs/>
                <w:sz w:val="16"/>
                <w:szCs w:val="16"/>
                <w:lang w:eastAsia="es-ES"/>
              </w:rPr>
              <w:t>Establezimenduak</w:t>
            </w:r>
          </w:p>
        </w:tc>
        <w:tc>
          <w:tcPr>
            <w:tcW w:w="1701" w:type="dxa"/>
            <w:tcBorders>
              <w:top w:val="single" w:sz="8" w:space="0" w:color="BFBFBF"/>
              <w:left w:val="nil"/>
              <w:bottom w:val="nil"/>
              <w:right w:val="nil"/>
            </w:tcBorders>
            <w:shd w:val="clear" w:color="000000" w:fill="DBE5F1"/>
            <w:vAlign w:val="bottom"/>
            <w:hideMark/>
          </w:tcPr>
          <w:p w:rsidR="00195BE7" w:rsidRPr="001E2F6E" w:rsidRDefault="00195BE7" w:rsidP="00195BE7">
            <w:pPr>
              <w:spacing w:line="240" w:lineRule="exact"/>
              <w:jc w:val="center"/>
              <w:rPr>
                <w:rFonts w:eastAsia="Times New Roman"/>
                <w:b/>
                <w:bCs/>
                <w:sz w:val="16"/>
                <w:szCs w:val="16"/>
                <w:lang w:eastAsia="es-ES"/>
              </w:rPr>
            </w:pPr>
            <w:r w:rsidRPr="001E2F6E">
              <w:rPr>
                <w:rFonts w:eastAsia="Times New Roman"/>
                <w:b/>
                <w:bCs/>
                <w:sz w:val="16"/>
                <w:szCs w:val="16"/>
                <w:lang w:eastAsia="es-ES"/>
              </w:rPr>
              <w:t>Bilakaera</w:t>
            </w:r>
          </w:p>
        </w:tc>
      </w:tr>
      <w:tr w:rsidR="00195BE7" w:rsidRPr="001E2F6E" w:rsidTr="00195BE7">
        <w:tc>
          <w:tcPr>
            <w:tcW w:w="3559" w:type="dxa"/>
            <w:vMerge/>
            <w:tcBorders>
              <w:top w:val="single" w:sz="8" w:space="0" w:color="BFBFBF"/>
              <w:left w:val="nil"/>
              <w:bottom w:val="single" w:sz="8" w:space="0" w:color="BFBFBF"/>
              <w:right w:val="single" w:sz="8" w:space="0" w:color="BFBFBF"/>
            </w:tcBorders>
            <w:vAlign w:val="center"/>
            <w:hideMark/>
          </w:tcPr>
          <w:p w:rsidR="00195BE7" w:rsidRPr="001E2F6E" w:rsidRDefault="00195BE7" w:rsidP="00195BE7">
            <w:pPr>
              <w:spacing w:line="240" w:lineRule="exact"/>
              <w:jc w:val="left"/>
              <w:rPr>
                <w:rFonts w:ascii="Calibri" w:eastAsia="Times New Roman" w:hAnsi="Calibri" w:cs="Times New Roman"/>
                <w:sz w:val="22"/>
                <w:lang w:eastAsia="es-ES"/>
              </w:rPr>
            </w:pPr>
          </w:p>
        </w:tc>
        <w:tc>
          <w:tcPr>
            <w:tcW w:w="1843" w:type="dxa"/>
            <w:tcBorders>
              <w:top w:val="nil"/>
              <w:left w:val="nil"/>
              <w:bottom w:val="single" w:sz="8" w:space="0" w:color="BFBFBF"/>
              <w:right w:val="single" w:sz="8" w:space="0" w:color="BFBFBF"/>
            </w:tcBorders>
            <w:shd w:val="clear" w:color="000000" w:fill="DBE5F1"/>
            <w:vAlign w:val="bottom"/>
            <w:hideMark/>
          </w:tcPr>
          <w:p w:rsidR="00195BE7" w:rsidRPr="001E2F6E" w:rsidRDefault="00195BE7" w:rsidP="00195BE7">
            <w:pPr>
              <w:spacing w:line="240" w:lineRule="exact"/>
              <w:jc w:val="center"/>
              <w:rPr>
                <w:rFonts w:eastAsia="Times New Roman"/>
                <w:b/>
                <w:bCs/>
                <w:sz w:val="16"/>
                <w:szCs w:val="16"/>
                <w:lang w:eastAsia="es-ES"/>
              </w:rPr>
            </w:pPr>
            <w:r w:rsidRPr="001E2F6E">
              <w:rPr>
                <w:rFonts w:eastAsia="Times New Roman"/>
                <w:b/>
                <w:bCs/>
                <w:sz w:val="16"/>
                <w:szCs w:val="16"/>
                <w:lang w:eastAsia="es-ES"/>
              </w:rPr>
              <w:t>2010</w:t>
            </w:r>
          </w:p>
        </w:tc>
        <w:tc>
          <w:tcPr>
            <w:tcW w:w="1701" w:type="dxa"/>
            <w:tcBorders>
              <w:top w:val="nil"/>
              <w:left w:val="nil"/>
              <w:bottom w:val="single" w:sz="8" w:space="0" w:color="BFBFBF"/>
              <w:right w:val="single" w:sz="8" w:space="0" w:color="BFBFBF"/>
            </w:tcBorders>
            <w:shd w:val="clear" w:color="000000" w:fill="DBE5F1"/>
            <w:vAlign w:val="bottom"/>
            <w:hideMark/>
          </w:tcPr>
          <w:p w:rsidR="00195BE7" w:rsidRPr="001E2F6E" w:rsidRDefault="00195BE7" w:rsidP="00195BE7">
            <w:pPr>
              <w:spacing w:line="240" w:lineRule="exact"/>
              <w:jc w:val="center"/>
              <w:rPr>
                <w:rFonts w:eastAsia="Times New Roman"/>
                <w:b/>
                <w:bCs/>
                <w:sz w:val="16"/>
                <w:szCs w:val="16"/>
                <w:lang w:eastAsia="es-ES"/>
              </w:rPr>
            </w:pPr>
            <w:r w:rsidRPr="001E2F6E">
              <w:rPr>
                <w:rFonts w:eastAsia="Times New Roman"/>
                <w:b/>
                <w:bCs/>
                <w:sz w:val="16"/>
                <w:szCs w:val="16"/>
                <w:lang w:eastAsia="es-ES"/>
              </w:rPr>
              <w:t>2012</w:t>
            </w:r>
          </w:p>
        </w:tc>
        <w:tc>
          <w:tcPr>
            <w:tcW w:w="1701" w:type="dxa"/>
            <w:tcBorders>
              <w:top w:val="nil"/>
              <w:left w:val="nil"/>
              <w:bottom w:val="single" w:sz="8" w:space="0" w:color="BFBFBF"/>
              <w:right w:val="nil"/>
            </w:tcBorders>
            <w:shd w:val="clear" w:color="000000" w:fill="DBE5F1"/>
            <w:vAlign w:val="bottom"/>
            <w:hideMark/>
          </w:tcPr>
          <w:p w:rsidR="00195BE7" w:rsidRPr="001E2F6E" w:rsidRDefault="00195BE7" w:rsidP="00195BE7">
            <w:pPr>
              <w:spacing w:line="240" w:lineRule="exact"/>
              <w:jc w:val="center"/>
              <w:rPr>
                <w:rFonts w:eastAsia="Times New Roman"/>
                <w:b/>
                <w:bCs/>
                <w:sz w:val="16"/>
                <w:szCs w:val="16"/>
                <w:lang w:eastAsia="es-ES"/>
              </w:rPr>
            </w:pPr>
            <w:r w:rsidRPr="001E2F6E">
              <w:rPr>
                <w:rFonts w:eastAsia="Times New Roman"/>
                <w:b/>
                <w:bCs/>
                <w:sz w:val="16"/>
                <w:szCs w:val="16"/>
                <w:lang w:eastAsia="es-ES"/>
              </w:rPr>
              <w:t>2010 - 2012</w:t>
            </w:r>
          </w:p>
        </w:tc>
      </w:tr>
      <w:tr w:rsidR="00195BE7" w:rsidRPr="001E2F6E" w:rsidTr="00195BE7">
        <w:tc>
          <w:tcPr>
            <w:tcW w:w="3559" w:type="dxa"/>
            <w:tcBorders>
              <w:top w:val="nil"/>
              <w:left w:val="nil"/>
              <w:bottom w:val="nil"/>
              <w:right w:val="single" w:sz="8" w:space="0" w:color="BFBFBF"/>
            </w:tcBorders>
            <w:shd w:val="clear" w:color="auto" w:fill="auto"/>
            <w:vAlign w:val="bottom"/>
            <w:hideMark/>
          </w:tcPr>
          <w:p w:rsidR="00195BE7" w:rsidRPr="001E2F6E" w:rsidRDefault="00195BE7" w:rsidP="00195BE7">
            <w:pPr>
              <w:spacing w:line="240" w:lineRule="exact"/>
              <w:rPr>
                <w:snapToGrid w:val="0"/>
                <w:sz w:val="16"/>
                <w:szCs w:val="16"/>
              </w:rPr>
            </w:pPr>
            <w:r w:rsidRPr="001E2F6E">
              <w:rPr>
                <w:snapToGrid w:val="0"/>
                <w:sz w:val="16"/>
                <w:szCs w:val="16"/>
                <w:lang w:val="eu-ES"/>
              </w:rPr>
              <w:t>5 enplegu arte</w:t>
            </w:r>
          </w:p>
        </w:tc>
        <w:tc>
          <w:tcPr>
            <w:tcW w:w="1843" w:type="dxa"/>
            <w:tcBorders>
              <w:top w:val="nil"/>
              <w:left w:val="nil"/>
              <w:bottom w:val="nil"/>
              <w:right w:val="single" w:sz="8" w:space="0" w:color="BFBFBF"/>
            </w:tcBorders>
            <w:shd w:val="clear" w:color="auto" w:fill="auto"/>
            <w:vAlign w:val="bottom"/>
            <w:hideMark/>
          </w:tcPr>
          <w:p w:rsidR="00195BE7" w:rsidRPr="001E2F6E" w:rsidRDefault="00195BE7" w:rsidP="00195BE7">
            <w:pPr>
              <w:spacing w:line="240" w:lineRule="exact"/>
              <w:ind w:right="170"/>
              <w:jc w:val="right"/>
              <w:rPr>
                <w:rFonts w:eastAsia="Times New Roman"/>
                <w:sz w:val="16"/>
                <w:szCs w:val="16"/>
                <w:lang w:eastAsia="es-ES"/>
              </w:rPr>
            </w:pPr>
            <w:r w:rsidRPr="001E2F6E">
              <w:rPr>
                <w:rFonts w:eastAsia="Times New Roman"/>
                <w:sz w:val="16"/>
                <w:szCs w:val="16"/>
                <w:lang w:eastAsia="es-ES"/>
              </w:rPr>
              <w:t>612</w:t>
            </w:r>
          </w:p>
        </w:tc>
        <w:tc>
          <w:tcPr>
            <w:tcW w:w="1701" w:type="dxa"/>
            <w:tcBorders>
              <w:top w:val="nil"/>
              <w:left w:val="nil"/>
              <w:bottom w:val="nil"/>
              <w:right w:val="single" w:sz="8" w:space="0" w:color="BFBFBF"/>
            </w:tcBorders>
            <w:shd w:val="clear" w:color="auto" w:fill="auto"/>
            <w:vAlign w:val="bottom"/>
            <w:hideMark/>
          </w:tcPr>
          <w:p w:rsidR="00195BE7" w:rsidRPr="001E2F6E" w:rsidRDefault="00195BE7" w:rsidP="00195BE7">
            <w:pPr>
              <w:spacing w:line="240" w:lineRule="exact"/>
              <w:ind w:right="170"/>
              <w:jc w:val="right"/>
              <w:rPr>
                <w:rFonts w:eastAsia="Times New Roman"/>
                <w:sz w:val="16"/>
                <w:szCs w:val="16"/>
                <w:lang w:eastAsia="es-ES"/>
              </w:rPr>
            </w:pPr>
            <w:r w:rsidRPr="001E2F6E">
              <w:rPr>
                <w:rFonts w:eastAsia="Times New Roman"/>
                <w:sz w:val="16"/>
                <w:szCs w:val="16"/>
                <w:lang w:eastAsia="es-ES"/>
              </w:rPr>
              <w:t>900</w:t>
            </w:r>
          </w:p>
        </w:tc>
        <w:tc>
          <w:tcPr>
            <w:tcW w:w="1701" w:type="dxa"/>
            <w:tcBorders>
              <w:top w:val="nil"/>
              <w:left w:val="nil"/>
              <w:bottom w:val="nil"/>
              <w:right w:val="nil"/>
            </w:tcBorders>
            <w:shd w:val="clear" w:color="auto" w:fill="auto"/>
            <w:vAlign w:val="bottom"/>
            <w:hideMark/>
          </w:tcPr>
          <w:p w:rsidR="00195BE7" w:rsidRPr="001E2F6E" w:rsidRDefault="00195BE7" w:rsidP="00195BE7">
            <w:pPr>
              <w:spacing w:line="240" w:lineRule="exact"/>
              <w:ind w:right="170"/>
              <w:jc w:val="right"/>
              <w:rPr>
                <w:rFonts w:eastAsia="Times New Roman"/>
                <w:sz w:val="16"/>
                <w:szCs w:val="16"/>
                <w:lang w:eastAsia="es-ES"/>
              </w:rPr>
            </w:pPr>
            <w:r w:rsidRPr="001E2F6E">
              <w:rPr>
                <w:rFonts w:eastAsia="Times New Roman"/>
                <w:sz w:val="16"/>
                <w:szCs w:val="16"/>
                <w:lang w:eastAsia="es-ES"/>
              </w:rPr>
              <w:t>47,1</w:t>
            </w:r>
          </w:p>
        </w:tc>
      </w:tr>
      <w:tr w:rsidR="00195BE7" w:rsidRPr="001E2F6E" w:rsidTr="00195BE7">
        <w:tc>
          <w:tcPr>
            <w:tcW w:w="3559" w:type="dxa"/>
            <w:tcBorders>
              <w:top w:val="nil"/>
              <w:left w:val="nil"/>
              <w:bottom w:val="nil"/>
              <w:right w:val="single" w:sz="8" w:space="0" w:color="BFBFBF"/>
            </w:tcBorders>
            <w:shd w:val="clear" w:color="auto" w:fill="auto"/>
            <w:vAlign w:val="bottom"/>
            <w:hideMark/>
          </w:tcPr>
          <w:p w:rsidR="00195BE7" w:rsidRPr="001E2F6E" w:rsidRDefault="00195BE7" w:rsidP="00195BE7">
            <w:pPr>
              <w:spacing w:line="240" w:lineRule="exact"/>
              <w:rPr>
                <w:snapToGrid w:val="0"/>
                <w:sz w:val="16"/>
                <w:szCs w:val="16"/>
              </w:rPr>
            </w:pPr>
            <w:r w:rsidRPr="001E2F6E">
              <w:rPr>
                <w:snapToGrid w:val="0"/>
                <w:sz w:val="16"/>
                <w:szCs w:val="16"/>
                <w:lang w:val="eu-ES"/>
              </w:rPr>
              <w:t>6tik 15era</w:t>
            </w:r>
          </w:p>
        </w:tc>
        <w:tc>
          <w:tcPr>
            <w:tcW w:w="1843" w:type="dxa"/>
            <w:tcBorders>
              <w:top w:val="nil"/>
              <w:left w:val="nil"/>
              <w:bottom w:val="nil"/>
              <w:right w:val="single" w:sz="8" w:space="0" w:color="BFBFBF"/>
            </w:tcBorders>
            <w:shd w:val="clear" w:color="auto" w:fill="auto"/>
            <w:vAlign w:val="bottom"/>
            <w:hideMark/>
          </w:tcPr>
          <w:p w:rsidR="00195BE7" w:rsidRPr="001E2F6E" w:rsidRDefault="00195BE7" w:rsidP="00195BE7">
            <w:pPr>
              <w:spacing w:line="240" w:lineRule="exact"/>
              <w:ind w:right="170"/>
              <w:jc w:val="right"/>
              <w:rPr>
                <w:rFonts w:eastAsia="Times New Roman"/>
                <w:sz w:val="16"/>
                <w:szCs w:val="16"/>
                <w:lang w:eastAsia="es-ES"/>
              </w:rPr>
            </w:pPr>
            <w:r w:rsidRPr="001E2F6E">
              <w:rPr>
                <w:rFonts w:eastAsia="Times New Roman"/>
                <w:sz w:val="16"/>
                <w:szCs w:val="16"/>
                <w:lang w:eastAsia="es-ES"/>
              </w:rPr>
              <w:t>299</w:t>
            </w:r>
          </w:p>
        </w:tc>
        <w:tc>
          <w:tcPr>
            <w:tcW w:w="1701" w:type="dxa"/>
            <w:tcBorders>
              <w:top w:val="nil"/>
              <w:left w:val="nil"/>
              <w:bottom w:val="nil"/>
              <w:right w:val="single" w:sz="8" w:space="0" w:color="BFBFBF"/>
            </w:tcBorders>
            <w:shd w:val="clear" w:color="auto" w:fill="auto"/>
            <w:vAlign w:val="bottom"/>
            <w:hideMark/>
          </w:tcPr>
          <w:p w:rsidR="00195BE7" w:rsidRPr="001E2F6E" w:rsidRDefault="00195BE7" w:rsidP="00195BE7">
            <w:pPr>
              <w:spacing w:line="240" w:lineRule="exact"/>
              <w:ind w:right="170"/>
              <w:jc w:val="right"/>
              <w:rPr>
                <w:rFonts w:eastAsia="Times New Roman"/>
                <w:sz w:val="16"/>
                <w:szCs w:val="16"/>
                <w:lang w:eastAsia="es-ES"/>
              </w:rPr>
            </w:pPr>
            <w:r w:rsidRPr="001E2F6E">
              <w:rPr>
                <w:rFonts w:eastAsia="Times New Roman"/>
                <w:sz w:val="16"/>
                <w:szCs w:val="16"/>
                <w:lang w:eastAsia="es-ES"/>
              </w:rPr>
              <w:t>303</w:t>
            </w:r>
          </w:p>
        </w:tc>
        <w:tc>
          <w:tcPr>
            <w:tcW w:w="1701" w:type="dxa"/>
            <w:tcBorders>
              <w:top w:val="nil"/>
              <w:left w:val="nil"/>
              <w:bottom w:val="nil"/>
              <w:right w:val="nil"/>
            </w:tcBorders>
            <w:shd w:val="clear" w:color="auto" w:fill="auto"/>
            <w:vAlign w:val="bottom"/>
            <w:hideMark/>
          </w:tcPr>
          <w:p w:rsidR="00195BE7" w:rsidRPr="001E2F6E" w:rsidRDefault="00195BE7" w:rsidP="00195BE7">
            <w:pPr>
              <w:spacing w:line="240" w:lineRule="exact"/>
              <w:ind w:right="170"/>
              <w:jc w:val="right"/>
              <w:rPr>
                <w:rFonts w:eastAsia="Times New Roman"/>
                <w:sz w:val="16"/>
                <w:szCs w:val="16"/>
                <w:lang w:eastAsia="es-ES"/>
              </w:rPr>
            </w:pPr>
            <w:r w:rsidRPr="001E2F6E">
              <w:rPr>
                <w:rFonts w:eastAsia="Times New Roman"/>
                <w:sz w:val="16"/>
                <w:szCs w:val="16"/>
                <w:lang w:eastAsia="es-ES"/>
              </w:rPr>
              <w:t>1,3</w:t>
            </w:r>
          </w:p>
        </w:tc>
      </w:tr>
      <w:tr w:rsidR="00195BE7" w:rsidRPr="001E2F6E" w:rsidTr="00195BE7">
        <w:tc>
          <w:tcPr>
            <w:tcW w:w="3559" w:type="dxa"/>
            <w:tcBorders>
              <w:top w:val="nil"/>
              <w:left w:val="nil"/>
              <w:bottom w:val="nil"/>
              <w:right w:val="single" w:sz="8" w:space="0" w:color="BFBFBF"/>
            </w:tcBorders>
            <w:shd w:val="clear" w:color="auto" w:fill="auto"/>
            <w:vAlign w:val="bottom"/>
            <w:hideMark/>
          </w:tcPr>
          <w:p w:rsidR="00195BE7" w:rsidRPr="001E2F6E" w:rsidRDefault="00195BE7" w:rsidP="00195BE7">
            <w:pPr>
              <w:spacing w:line="240" w:lineRule="exact"/>
              <w:rPr>
                <w:snapToGrid w:val="0"/>
                <w:sz w:val="16"/>
                <w:szCs w:val="16"/>
              </w:rPr>
            </w:pPr>
            <w:r w:rsidRPr="001E2F6E">
              <w:rPr>
                <w:snapToGrid w:val="0"/>
                <w:sz w:val="16"/>
                <w:szCs w:val="16"/>
                <w:lang w:val="eu-ES"/>
              </w:rPr>
              <w:t>16tik 50era</w:t>
            </w:r>
          </w:p>
        </w:tc>
        <w:tc>
          <w:tcPr>
            <w:tcW w:w="1843" w:type="dxa"/>
            <w:tcBorders>
              <w:top w:val="nil"/>
              <w:left w:val="nil"/>
              <w:bottom w:val="nil"/>
              <w:right w:val="single" w:sz="8" w:space="0" w:color="BFBFBF"/>
            </w:tcBorders>
            <w:shd w:val="clear" w:color="auto" w:fill="auto"/>
            <w:vAlign w:val="bottom"/>
            <w:hideMark/>
          </w:tcPr>
          <w:p w:rsidR="00195BE7" w:rsidRPr="001E2F6E" w:rsidRDefault="00195BE7" w:rsidP="00195BE7">
            <w:pPr>
              <w:spacing w:line="240" w:lineRule="exact"/>
              <w:ind w:right="170"/>
              <w:jc w:val="right"/>
              <w:rPr>
                <w:rFonts w:eastAsia="Times New Roman"/>
                <w:sz w:val="16"/>
                <w:szCs w:val="16"/>
                <w:lang w:eastAsia="es-ES"/>
              </w:rPr>
            </w:pPr>
            <w:r w:rsidRPr="001E2F6E">
              <w:rPr>
                <w:rFonts w:eastAsia="Times New Roman"/>
                <w:sz w:val="16"/>
                <w:szCs w:val="16"/>
                <w:lang w:eastAsia="es-ES"/>
              </w:rPr>
              <w:t>231</w:t>
            </w:r>
          </w:p>
        </w:tc>
        <w:tc>
          <w:tcPr>
            <w:tcW w:w="1701" w:type="dxa"/>
            <w:tcBorders>
              <w:top w:val="nil"/>
              <w:left w:val="nil"/>
              <w:bottom w:val="nil"/>
              <w:right w:val="single" w:sz="8" w:space="0" w:color="BFBFBF"/>
            </w:tcBorders>
            <w:shd w:val="clear" w:color="auto" w:fill="auto"/>
            <w:vAlign w:val="bottom"/>
            <w:hideMark/>
          </w:tcPr>
          <w:p w:rsidR="00195BE7" w:rsidRPr="001E2F6E" w:rsidRDefault="00195BE7" w:rsidP="00195BE7">
            <w:pPr>
              <w:spacing w:line="240" w:lineRule="exact"/>
              <w:ind w:right="170"/>
              <w:jc w:val="right"/>
              <w:rPr>
                <w:rFonts w:eastAsia="Times New Roman"/>
                <w:sz w:val="16"/>
                <w:szCs w:val="16"/>
                <w:lang w:eastAsia="es-ES"/>
              </w:rPr>
            </w:pPr>
            <w:r w:rsidRPr="001E2F6E">
              <w:rPr>
                <w:rFonts w:eastAsia="Times New Roman"/>
                <w:sz w:val="16"/>
                <w:szCs w:val="16"/>
                <w:lang w:eastAsia="es-ES"/>
              </w:rPr>
              <w:t>181</w:t>
            </w:r>
          </w:p>
        </w:tc>
        <w:tc>
          <w:tcPr>
            <w:tcW w:w="1701" w:type="dxa"/>
            <w:tcBorders>
              <w:top w:val="nil"/>
              <w:left w:val="nil"/>
              <w:bottom w:val="nil"/>
              <w:right w:val="nil"/>
            </w:tcBorders>
            <w:shd w:val="clear" w:color="auto" w:fill="auto"/>
            <w:vAlign w:val="bottom"/>
            <w:hideMark/>
          </w:tcPr>
          <w:p w:rsidR="00195BE7" w:rsidRPr="001E2F6E" w:rsidRDefault="00195BE7" w:rsidP="00195BE7">
            <w:pPr>
              <w:spacing w:line="240" w:lineRule="exact"/>
              <w:ind w:right="170"/>
              <w:jc w:val="right"/>
              <w:rPr>
                <w:rFonts w:eastAsia="Times New Roman"/>
                <w:sz w:val="16"/>
                <w:szCs w:val="16"/>
                <w:lang w:eastAsia="es-ES"/>
              </w:rPr>
            </w:pPr>
            <w:r w:rsidRPr="001E2F6E">
              <w:rPr>
                <w:rFonts w:eastAsia="Times New Roman"/>
                <w:sz w:val="16"/>
                <w:szCs w:val="16"/>
                <w:lang w:eastAsia="es-ES"/>
              </w:rPr>
              <w:t>-21,6</w:t>
            </w:r>
          </w:p>
        </w:tc>
      </w:tr>
      <w:tr w:rsidR="00195BE7" w:rsidRPr="001E2F6E" w:rsidTr="00195BE7">
        <w:tc>
          <w:tcPr>
            <w:tcW w:w="3559" w:type="dxa"/>
            <w:tcBorders>
              <w:top w:val="nil"/>
              <w:left w:val="nil"/>
              <w:bottom w:val="nil"/>
              <w:right w:val="single" w:sz="8" w:space="0" w:color="BFBFBF"/>
            </w:tcBorders>
            <w:shd w:val="clear" w:color="auto" w:fill="auto"/>
            <w:vAlign w:val="bottom"/>
            <w:hideMark/>
          </w:tcPr>
          <w:p w:rsidR="00195BE7" w:rsidRPr="001E2F6E" w:rsidRDefault="00195BE7" w:rsidP="00195BE7">
            <w:pPr>
              <w:spacing w:line="240" w:lineRule="exact"/>
              <w:rPr>
                <w:snapToGrid w:val="0"/>
                <w:sz w:val="16"/>
                <w:szCs w:val="16"/>
              </w:rPr>
            </w:pPr>
            <w:r w:rsidRPr="001E2F6E">
              <w:rPr>
                <w:snapToGrid w:val="0"/>
                <w:sz w:val="16"/>
                <w:szCs w:val="16"/>
                <w:lang w:val="eu-ES"/>
              </w:rPr>
              <w:t>51tik 100era</w:t>
            </w:r>
          </w:p>
        </w:tc>
        <w:tc>
          <w:tcPr>
            <w:tcW w:w="1843" w:type="dxa"/>
            <w:tcBorders>
              <w:top w:val="nil"/>
              <w:left w:val="nil"/>
              <w:bottom w:val="nil"/>
              <w:right w:val="single" w:sz="8" w:space="0" w:color="BFBFBF"/>
            </w:tcBorders>
            <w:shd w:val="clear" w:color="auto" w:fill="auto"/>
            <w:vAlign w:val="bottom"/>
            <w:hideMark/>
          </w:tcPr>
          <w:p w:rsidR="00195BE7" w:rsidRPr="001E2F6E" w:rsidRDefault="00195BE7" w:rsidP="00195BE7">
            <w:pPr>
              <w:spacing w:line="240" w:lineRule="exact"/>
              <w:ind w:right="170"/>
              <w:jc w:val="right"/>
              <w:rPr>
                <w:rFonts w:eastAsia="Times New Roman"/>
                <w:sz w:val="16"/>
                <w:szCs w:val="16"/>
                <w:lang w:eastAsia="es-ES"/>
              </w:rPr>
            </w:pPr>
            <w:r w:rsidRPr="001E2F6E">
              <w:rPr>
                <w:rFonts w:eastAsia="Times New Roman"/>
                <w:sz w:val="16"/>
                <w:szCs w:val="16"/>
                <w:lang w:eastAsia="es-ES"/>
              </w:rPr>
              <w:t>92</w:t>
            </w:r>
          </w:p>
        </w:tc>
        <w:tc>
          <w:tcPr>
            <w:tcW w:w="1701" w:type="dxa"/>
            <w:tcBorders>
              <w:top w:val="nil"/>
              <w:left w:val="nil"/>
              <w:bottom w:val="nil"/>
              <w:right w:val="single" w:sz="8" w:space="0" w:color="BFBFBF"/>
            </w:tcBorders>
            <w:shd w:val="clear" w:color="auto" w:fill="auto"/>
            <w:vAlign w:val="bottom"/>
            <w:hideMark/>
          </w:tcPr>
          <w:p w:rsidR="00195BE7" w:rsidRPr="001E2F6E" w:rsidRDefault="00195BE7" w:rsidP="00195BE7">
            <w:pPr>
              <w:spacing w:line="240" w:lineRule="exact"/>
              <w:ind w:right="170"/>
              <w:jc w:val="right"/>
              <w:rPr>
                <w:rFonts w:eastAsia="Times New Roman"/>
                <w:sz w:val="16"/>
                <w:szCs w:val="16"/>
                <w:lang w:eastAsia="es-ES"/>
              </w:rPr>
            </w:pPr>
            <w:r w:rsidRPr="001E2F6E">
              <w:rPr>
                <w:rFonts w:eastAsia="Times New Roman"/>
                <w:sz w:val="16"/>
                <w:szCs w:val="16"/>
                <w:lang w:eastAsia="es-ES"/>
              </w:rPr>
              <w:t>94</w:t>
            </w:r>
          </w:p>
        </w:tc>
        <w:tc>
          <w:tcPr>
            <w:tcW w:w="1701" w:type="dxa"/>
            <w:tcBorders>
              <w:top w:val="nil"/>
              <w:left w:val="nil"/>
              <w:bottom w:val="nil"/>
              <w:right w:val="nil"/>
            </w:tcBorders>
            <w:shd w:val="clear" w:color="auto" w:fill="auto"/>
            <w:vAlign w:val="bottom"/>
            <w:hideMark/>
          </w:tcPr>
          <w:p w:rsidR="00195BE7" w:rsidRPr="001E2F6E" w:rsidRDefault="00195BE7" w:rsidP="00195BE7">
            <w:pPr>
              <w:spacing w:line="240" w:lineRule="exact"/>
              <w:ind w:right="170"/>
              <w:jc w:val="right"/>
              <w:rPr>
                <w:rFonts w:eastAsia="Times New Roman"/>
                <w:sz w:val="16"/>
                <w:szCs w:val="16"/>
                <w:lang w:eastAsia="es-ES"/>
              </w:rPr>
            </w:pPr>
            <w:r w:rsidRPr="001E2F6E">
              <w:rPr>
                <w:rFonts w:eastAsia="Times New Roman"/>
                <w:sz w:val="16"/>
                <w:szCs w:val="16"/>
                <w:lang w:eastAsia="es-ES"/>
              </w:rPr>
              <w:t>2,2</w:t>
            </w:r>
          </w:p>
        </w:tc>
      </w:tr>
      <w:tr w:rsidR="00195BE7" w:rsidRPr="001E2F6E" w:rsidTr="00195BE7">
        <w:tc>
          <w:tcPr>
            <w:tcW w:w="3559" w:type="dxa"/>
            <w:tcBorders>
              <w:top w:val="nil"/>
              <w:left w:val="nil"/>
              <w:bottom w:val="nil"/>
              <w:right w:val="single" w:sz="8" w:space="0" w:color="BFBFBF"/>
            </w:tcBorders>
            <w:shd w:val="clear" w:color="auto" w:fill="auto"/>
            <w:vAlign w:val="bottom"/>
            <w:hideMark/>
          </w:tcPr>
          <w:p w:rsidR="00195BE7" w:rsidRPr="001E2F6E" w:rsidRDefault="00195BE7" w:rsidP="00195BE7">
            <w:pPr>
              <w:spacing w:line="240" w:lineRule="exact"/>
              <w:rPr>
                <w:snapToGrid w:val="0"/>
                <w:sz w:val="16"/>
                <w:szCs w:val="16"/>
              </w:rPr>
            </w:pPr>
            <w:r w:rsidRPr="001E2F6E">
              <w:rPr>
                <w:snapToGrid w:val="0"/>
                <w:sz w:val="16"/>
                <w:szCs w:val="16"/>
                <w:lang w:val="eu-ES"/>
              </w:rPr>
              <w:t>101etik 200era</w:t>
            </w:r>
          </w:p>
        </w:tc>
        <w:tc>
          <w:tcPr>
            <w:tcW w:w="1843" w:type="dxa"/>
            <w:tcBorders>
              <w:top w:val="nil"/>
              <w:left w:val="nil"/>
              <w:bottom w:val="nil"/>
              <w:right w:val="single" w:sz="8" w:space="0" w:color="BFBFBF"/>
            </w:tcBorders>
            <w:shd w:val="clear" w:color="auto" w:fill="auto"/>
            <w:vAlign w:val="bottom"/>
            <w:hideMark/>
          </w:tcPr>
          <w:p w:rsidR="00195BE7" w:rsidRPr="001E2F6E" w:rsidRDefault="00195BE7" w:rsidP="00195BE7">
            <w:pPr>
              <w:spacing w:line="240" w:lineRule="exact"/>
              <w:ind w:right="170"/>
              <w:jc w:val="right"/>
              <w:rPr>
                <w:rFonts w:eastAsia="Times New Roman"/>
                <w:sz w:val="16"/>
                <w:szCs w:val="16"/>
                <w:lang w:eastAsia="es-ES"/>
              </w:rPr>
            </w:pPr>
            <w:r w:rsidRPr="001E2F6E">
              <w:rPr>
                <w:rFonts w:eastAsia="Times New Roman"/>
                <w:sz w:val="16"/>
                <w:szCs w:val="16"/>
                <w:lang w:eastAsia="es-ES"/>
              </w:rPr>
              <w:t>126</w:t>
            </w:r>
          </w:p>
        </w:tc>
        <w:tc>
          <w:tcPr>
            <w:tcW w:w="1701" w:type="dxa"/>
            <w:tcBorders>
              <w:top w:val="nil"/>
              <w:left w:val="nil"/>
              <w:bottom w:val="nil"/>
              <w:right w:val="single" w:sz="8" w:space="0" w:color="BFBFBF"/>
            </w:tcBorders>
            <w:shd w:val="clear" w:color="auto" w:fill="auto"/>
            <w:vAlign w:val="bottom"/>
            <w:hideMark/>
          </w:tcPr>
          <w:p w:rsidR="00195BE7" w:rsidRPr="001E2F6E" w:rsidRDefault="00195BE7" w:rsidP="00195BE7">
            <w:pPr>
              <w:spacing w:line="240" w:lineRule="exact"/>
              <w:ind w:right="170"/>
              <w:jc w:val="right"/>
              <w:rPr>
                <w:rFonts w:eastAsia="Times New Roman"/>
                <w:sz w:val="16"/>
                <w:szCs w:val="16"/>
                <w:lang w:eastAsia="es-ES"/>
              </w:rPr>
            </w:pPr>
            <w:r w:rsidRPr="001E2F6E">
              <w:rPr>
                <w:rFonts w:eastAsia="Times New Roman"/>
                <w:sz w:val="16"/>
                <w:szCs w:val="16"/>
                <w:lang w:eastAsia="es-ES"/>
              </w:rPr>
              <w:t>60</w:t>
            </w:r>
          </w:p>
        </w:tc>
        <w:tc>
          <w:tcPr>
            <w:tcW w:w="1701" w:type="dxa"/>
            <w:tcBorders>
              <w:top w:val="nil"/>
              <w:left w:val="nil"/>
              <w:bottom w:val="nil"/>
              <w:right w:val="nil"/>
            </w:tcBorders>
            <w:shd w:val="clear" w:color="auto" w:fill="auto"/>
            <w:vAlign w:val="bottom"/>
            <w:hideMark/>
          </w:tcPr>
          <w:p w:rsidR="00195BE7" w:rsidRPr="001E2F6E" w:rsidRDefault="00195BE7" w:rsidP="00195BE7">
            <w:pPr>
              <w:spacing w:line="240" w:lineRule="exact"/>
              <w:ind w:right="170"/>
              <w:jc w:val="right"/>
              <w:rPr>
                <w:rFonts w:eastAsia="Times New Roman"/>
                <w:sz w:val="16"/>
                <w:szCs w:val="16"/>
                <w:lang w:eastAsia="es-ES"/>
              </w:rPr>
            </w:pPr>
            <w:r w:rsidRPr="001E2F6E">
              <w:rPr>
                <w:rFonts w:eastAsia="Times New Roman"/>
                <w:sz w:val="16"/>
                <w:szCs w:val="16"/>
                <w:lang w:eastAsia="es-ES"/>
              </w:rPr>
              <w:t>-52,4</w:t>
            </w:r>
          </w:p>
        </w:tc>
      </w:tr>
      <w:tr w:rsidR="00195BE7" w:rsidRPr="001E2F6E" w:rsidTr="00195BE7">
        <w:tc>
          <w:tcPr>
            <w:tcW w:w="3559" w:type="dxa"/>
            <w:tcBorders>
              <w:top w:val="nil"/>
              <w:left w:val="nil"/>
              <w:bottom w:val="nil"/>
              <w:right w:val="single" w:sz="8" w:space="0" w:color="BFBFBF"/>
            </w:tcBorders>
            <w:shd w:val="clear" w:color="auto" w:fill="auto"/>
            <w:vAlign w:val="bottom"/>
            <w:hideMark/>
          </w:tcPr>
          <w:p w:rsidR="00195BE7" w:rsidRPr="001E2F6E" w:rsidRDefault="00195BE7" w:rsidP="00195BE7">
            <w:pPr>
              <w:spacing w:line="240" w:lineRule="exact"/>
              <w:rPr>
                <w:snapToGrid w:val="0"/>
                <w:sz w:val="16"/>
                <w:szCs w:val="16"/>
              </w:rPr>
            </w:pPr>
            <w:r w:rsidRPr="001E2F6E">
              <w:rPr>
                <w:snapToGrid w:val="0"/>
                <w:sz w:val="16"/>
                <w:szCs w:val="16"/>
                <w:lang w:val="eu-ES"/>
              </w:rPr>
              <w:t>201etik 500era</w:t>
            </w:r>
          </w:p>
        </w:tc>
        <w:tc>
          <w:tcPr>
            <w:tcW w:w="1843" w:type="dxa"/>
            <w:tcBorders>
              <w:top w:val="nil"/>
              <w:left w:val="nil"/>
              <w:bottom w:val="nil"/>
              <w:right w:val="single" w:sz="8" w:space="0" w:color="BFBFBF"/>
            </w:tcBorders>
            <w:shd w:val="clear" w:color="auto" w:fill="auto"/>
            <w:vAlign w:val="bottom"/>
            <w:hideMark/>
          </w:tcPr>
          <w:p w:rsidR="00195BE7" w:rsidRPr="001E2F6E" w:rsidRDefault="00195BE7" w:rsidP="00195BE7">
            <w:pPr>
              <w:spacing w:line="240" w:lineRule="exact"/>
              <w:ind w:right="170"/>
              <w:jc w:val="right"/>
              <w:rPr>
                <w:rFonts w:eastAsia="Times New Roman"/>
                <w:sz w:val="16"/>
                <w:szCs w:val="16"/>
                <w:lang w:eastAsia="es-ES"/>
              </w:rPr>
            </w:pPr>
            <w:r w:rsidRPr="001E2F6E">
              <w:rPr>
                <w:rFonts w:eastAsia="Times New Roman"/>
                <w:sz w:val="16"/>
                <w:szCs w:val="16"/>
                <w:lang w:eastAsia="es-ES"/>
              </w:rPr>
              <w:t>206</w:t>
            </w:r>
          </w:p>
        </w:tc>
        <w:tc>
          <w:tcPr>
            <w:tcW w:w="1701" w:type="dxa"/>
            <w:tcBorders>
              <w:top w:val="nil"/>
              <w:left w:val="nil"/>
              <w:bottom w:val="nil"/>
              <w:right w:val="single" w:sz="8" w:space="0" w:color="BFBFBF"/>
            </w:tcBorders>
            <w:shd w:val="clear" w:color="auto" w:fill="auto"/>
            <w:vAlign w:val="bottom"/>
            <w:hideMark/>
          </w:tcPr>
          <w:p w:rsidR="00195BE7" w:rsidRPr="001E2F6E" w:rsidRDefault="00195BE7" w:rsidP="00195BE7">
            <w:pPr>
              <w:spacing w:line="240" w:lineRule="exact"/>
              <w:ind w:right="170"/>
              <w:jc w:val="right"/>
              <w:rPr>
                <w:rFonts w:eastAsia="Times New Roman"/>
                <w:sz w:val="16"/>
                <w:szCs w:val="16"/>
                <w:lang w:eastAsia="es-ES"/>
              </w:rPr>
            </w:pPr>
            <w:r w:rsidRPr="001E2F6E">
              <w:rPr>
                <w:rFonts w:eastAsia="Times New Roman"/>
                <w:sz w:val="16"/>
                <w:szCs w:val="16"/>
                <w:lang w:eastAsia="es-ES"/>
              </w:rPr>
              <w:t>128</w:t>
            </w:r>
          </w:p>
        </w:tc>
        <w:tc>
          <w:tcPr>
            <w:tcW w:w="1701" w:type="dxa"/>
            <w:tcBorders>
              <w:top w:val="nil"/>
              <w:left w:val="nil"/>
              <w:bottom w:val="nil"/>
              <w:right w:val="nil"/>
            </w:tcBorders>
            <w:shd w:val="clear" w:color="auto" w:fill="auto"/>
            <w:vAlign w:val="bottom"/>
            <w:hideMark/>
          </w:tcPr>
          <w:p w:rsidR="00195BE7" w:rsidRPr="001E2F6E" w:rsidRDefault="00195BE7" w:rsidP="00195BE7">
            <w:pPr>
              <w:spacing w:line="240" w:lineRule="exact"/>
              <w:ind w:right="170"/>
              <w:jc w:val="right"/>
              <w:rPr>
                <w:rFonts w:eastAsia="Times New Roman"/>
                <w:sz w:val="16"/>
                <w:szCs w:val="16"/>
                <w:lang w:eastAsia="es-ES"/>
              </w:rPr>
            </w:pPr>
            <w:r w:rsidRPr="001E2F6E">
              <w:rPr>
                <w:rFonts w:eastAsia="Times New Roman"/>
                <w:sz w:val="16"/>
                <w:szCs w:val="16"/>
                <w:lang w:eastAsia="es-ES"/>
              </w:rPr>
              <w:t>-37,9</w:t>
            </w:r>
          </w:p>
        </w:tc>
      </w:tr>
      <w:tr w:rsidR="00195BE7" w:rsidRPr="001E2F6E" w:rsidTr="00195BE7">
        <w:tc>
          <w:tcPr>
            <w:tcW w:w="3559" w:type="dxa"/>
            <w:tcBorders>
              <w:top w:val="nil"/>
              <w:left w:val="nil"/>
              <w:bottom w:val="single" w:sz="8" w:space="0" w:color="BFBFBF"/>
              <w:right w:val="single" w:sz="8" w:space="0" w:color="BFBFBF"/>
            </w:tcBorders>
            <w:shd w:val="clear" w:color="auto" w:fill="auto"/>
            <w:vAlign w:val="bottom"/>
            <w:hideMark/>
          </w:tcPr>
          <w:p w:rsidR="00195BE7" w:rsidRPr="001E2F6E" w:rsidRDefault="00195BE7" w:rsidP="00195BE7">
            <w:pPr>
              <w:spacing w:line="240" w:lineRule="exact"/>
              <w:rPr>
                <w:snapToGrid w:val="0"/>
                <w:sz w:val="16"/>
                <w:szCs w:val="16"/>
              </w:rPr>
            </w:pPr>
            <w:r w:rsidRPr="001E2F6E">
              <w:rPr>
                <w:snapToGrid w:val="0"/>
                <w:sz w:val="16"/>
                <w:szCs w:val="16"/>
                <w:lang w:val="eu-ES"/>
              </w:rPr>
              <w:t>500 enplegutik gora</w:t>
            </w:r>
          </w:p>
        </w:tc>
        <w:tc>
          <w:tcPr>
            <w:tcW w:w="1843" w:type="dxa"/>
            <w:tcBorders>
              <w:top w:val="nil"/>
              <w:left w:val="nil"/>
              <w:bottom w:val="single" w:sz="8" w:space="0" w:color="BFBFBF"/>
              <w:right w:val="single" w:sz="8" w:space="0" w:color="BFBFBF"/>
            </w:tcBorders>
            <w:shd w:val="clear" w:color="auto" w:fill="auto"/>
            <w:vAlign w:val="bottom"/>
            <w:hideMark/>
          </w:tcPr>
          <w:p w:rsidR="00195BE7" w:rsidRPr="001E2F6E" w:rsidRDefault="00195BE7" w:rsidP="00195BE7">
            <w:pPr>
              <w:spacing w:line="240" w:lineRule="exact"/>
              <w:ind w:right="170"/>
              <w:jc w:val="right"/>
              <w:rPr>
                <w:rFonts w:eastAsia="Times New Roman"/>
                <w:sz w:val="16"/>
                <w:szCs w:val="16"/>
                <w:lang w:eastAsia="es-ES"/>
              </w:rPr>
            </w:pPr>
            <w:r w:rsidRPr="001E2F6E">
              <w:rPr>
                <w:rFonts w:eastAsia="Times New Roman"/>
                <w:sz w:val="16"/>
                <w:szCs w:val="16"/>
                <w:lang w:eastAsia="es-ES"/>
              </w:rPr>
              <w:t>463</w:t>
            </w:r>
          </w:p>
        </w:tc>
        <w:tc>
          <w:tcPr>
            <w:tcW w:w="1701" w:type="dxa"/>
            <w:tcBorders>
              <w:top w:val="nil"/>
              <w:left w:val="nil"/>
              <w:bottom w:val="single" w:sz="8" w:space="0" w:color="BFBFBF"/>
              <w:right w:val="single" w:sz="8" w:space="0" w:color="BFBFBF"/>
            </w:tcBorders>
            <w:shd w:val="clear" w:color="auto" w:fill="auto"/>
            <w:vAlign w:val="bottom"/>
            <w:hideMark/>
          </w:tcPr>
          <w:p w:rsidR="00195BE7" w:rsidRPr="001E2F6E" w:rsidRDefault="00195BE7" w:rsidP="00195BE7">
            <w:pPr>
              <w:spacing w:line="240" w:lineRule="exact"/>
              <w:ind w:right="170"/>
              <w:jc w:val="right"/>
              <w:rPr>
                <w:rFonts w:eastAsia="Times New Roman"/>
                <w:sz w:val="16"/>
                <w:szCs w:val="16"/>
                <w:lang w:eastAsia="es-ES"/>
              </w:rPr>
            </w:pPr>
            <w:r w:rsidRPr="001E2F6E">
              <w:rPr>
                <w:rFonts w:eastAsia="Times New Roman"/>
                <w:sz w:val="16"/>
                <w:szCs w:val="16"/>
                <w:lang w:eastAsia="es-ES"/>
              </w:rPr>
              <w:t>528</w:t>
            </w:r>
          </w:p>
        </w:tc>
        <w:tc>
          <w:tcPr>
            <w:tcW w:w="1701" w:type="dxa"/>
            <w:tcBorders>
              <w:top w:val="nil"/>
              <w:left w:val="nil"/>
              <w:bottom w:val="single" w:sz="8" w:space="0" w:color="BFBFBF"/>
              <w:right w:val="nil"/>
            </w:tcBorders>
            <w:shd w:val="clear" w:color="auto" w:fill="auto"/>
            <w:vAlign w:val="bottom"/>
            <w:hideMark/>
          </w:tcPr>
          <w:p w:rsidR="00195BE7" w:rsidRPr="001E2F6E" w:rsidRDefault="00195BE7" w:rsidP="00195BE7">
            <w:pPr>
              <w:spacing w:line="240" w:lineRule="exact"/>
              <w:ind w:right="170"/>
              <w:jc w:val="right"/>
              <w:rPr>
                <w:rFonts w:eastAsia="Times New Roman"/>
                <w:sz w:val="16"/>
                <w:szCs w:val="16"/>
                <w:lang w:eastAsia="es-ES"/>
              </w:rPr>
            </w:pPr>
            <w:r w:rsidRPr="001E2F6E">
              <w:rPr>
                <w:rFonts w:eastAsia="Times New Roman"/>
                <w:sz w:val="16"/>
                <w:szCs w:val="16"/>
                <w:lang w:eastAsia="es-ES"/>
              </w:rPr>
              <w:t>14,0</w:t>
            </w:r>
          </w:p>
        </w:tc>
      </w:tr>
      <w:tr w:rsidR="00195BE7" w:rsidRPr="001E2F6E" w:rsidTr="00195BE7">
        <w:tc>
          <w:tcPr>
            <w:tcW w:w="3559" w:type="dxa"/>
            <w:tcBorders>
              <w:top w:val="nil"/>
              <w:left w:val="nil"/>
              <w:bottom w:val="single" w:sz="8" w:space="0" w:color="BFBFBF"/>
              <w:right w:val="single" w:sz="8" w:space="0" w:color="BFBFBF"/>
            </w:tcBorders>
            <w:shd w:val="clear" w:color="auto" w:fill="auto"/>
            <w:vAlign w:val="bottom"/>
            <w:hideMark/>
          </w:tcPr>
          <w:p w:rsidR="00195BE7" w:rsidRPr="001E2F6E" w:rsidRDefault="00195BE7" w:rsidP="00195BE7">
            <w:pPr>
              <w:spacing w:line="240" w:lineRule="exact"/>
              <w:rPr>
                <w:b/>
                <w:snapToGrid w:val="0"/>
                <w:sz w:val="16"/>
                <w:szCs w:val="16"/>
              </w:rPr>
            </w:pPr>
            <w:r w:rsidRPr="001E2F6E">
              <w:rPr>
                <w:b/>
                <w:snapToGrid w:val="0"/>
                <w:sz w:val="16"/>
                <w:szCs w:val="16"/>
              </w:rPr>
              <w:t>GUZTIRA</w:t>
            </w:r>
          </w:p>
        </w:tc>
        <w:tc>
          <w:tcPr>
            <w:tcW w:w="1843" w:type="dxa"/>
            <w:tcBorders>
              <w:top w:val="nil"/>
              <w:left w:val="nil"/>
              <w:bottom w:val="single" w:sz="8" w:space="0" w:color="BFBFBF"/>
              <w:right w:val="single" w:sz="8" w:space="0" w:color="BFBFBF"/>
            </w:tcBorders>
            <w:shd w:val="clear" w:color="auto" w:fill="auto"/>
            <w:vAlign w:val="bottom"/>
            <w:hideMark/>
          </w:tcPr>
          <w:p w:rsidR="00195BE7" w:rsidRPr="001E2F6E" w:rsidRDefault="00195BE7" w:rsidP="00195BE7">
            <w:pPr>
              <w:spacing w:line="240" w:lineRule="exact"/>
              <w:ind w:right="170"/>
              <w:jc w:val="right"/>
              <w:rPr>
                <w:rFonts w:eastAsia="Times New Roman"/>
                <w:b/>
                <w:bCs/>
                <w:sz w:val="16"/>
                <w:szCs w:val="16"/>
                <w:lang w:eastAsia="es-ES"/>
              </w:rPr>
            </w:pPr>
            <w:r w:rsidRPr="001E2F6E">
              <w:rPr>
                <w:rFonts w:eastAsia="Times New Roman"/>
                <w:b/>
                <w:bCs/>
                <w:sz w:val="16"/>
                <w:szCs w:val="16"/>
                <w:lang w:eastAsia="es-ES"/>
              </w:rPr>
              <w:t>2.029</w:t>
            </w:r>
          </w:p>
        </w:tc>
        <w:tc>
          <w:tcPr>
            <w:tcW w:w="1701" w:type="dxa"/>
            <w:tcBorders>
              <w:top w:val="nil"/>
              <w:left w:val="nil"/>
              <w:bottom w:val="single" w:sz="8" w:space="0" w:color="BFBFBF"/>
              <w:right w:val="single" w:sz="8" w:space="0" w:color="BFBFBF"/>
            </w:tcBorders>
            <w:shd w:val="clear" w:color="auto" w:fill="auto"/>
            <w:vAlign w:val="bottom"/>
            <w:hideMark/>
          </w:tcPr>
          <w:p w:rsidR="00195BE7" w:rsidRPr="001E2F6E" w:rsidRDefault="00195BE7" w:rsidP="00195BE7">
            <w:pPr>
              <w:spacing w:line="240" w:lineRule="exact"/>
              <w:ind w:right="170"/>
              <w:jc w:val="right"/>
              <w:rPr>
                <w:rFonts w:eastAsia="Times New Roman"/>
                <w:b/>
                <w:bCs/>
                <w:sz w:val="16"/>
                <w:szCs w:val="16"/>
                <w:lang w:eastAsia="es-ES"/>
              </w:rPr>
            </w:pPr>
            <w:r w:rsidRPr="001E2F6E">
              <w:rPr>
                <w:rFonts w:eastAsia="Times New Roman"/>
                <w:b/>
                <w:bCs/>
                <w:sz w:val="16"/>
                <w:szCs w:val="16"/>
                <w:lang w:eastAsia="es-ES"/>
              </w:rPr>
              <w:t>2.194</w:t>
            </w:r>
          </w:p>
        </w:tc>
        <w:tc>
          <w:tcPr>
            <w:tcW w:w="1701" w:type="dxa"/>
            <w:tcBorders>
              <w:top w:val="nil"/>
              <w:left w:val="nil"/>
              <w:bottom w:val="single" w:sz="8" w:space="0" w:color="BFBFBF"/>
              <w:right w:val="nil"/>
            </w:tcBorders>
            <w:shd w:val="clear" w:color="auto" w:fill="auto"/>
            <w:vAlign w:val="bottom"/>
            <w:hideMark/>
          </w:tcPr>
          <w:p w:rsidR="00195BE7" w:rsidRPr="001E2F6E" w:rsidRDefault="00195BE7" w:rsidP="00195BE7">
            <w:pPr>
              <w:spacing w:line="240" w:lineRule="exact"/>
              <w:ind w:right="170"/>
              <w:jc w:val="right"/>
              <w:rPr>
                <w:rFonts w:eastAsia="Times New Roman"/>
                <w:b/>
                <w:bCs/>
                <w:sz w:val="16"/>
                <w:szCs w:val="16"/>
                <w:lang w:eastAsia="es-ES"/>
              </w:rPr>
            </w:pPr>
            <w:r w:rsidRPr="001E2F6E">
              <w:rPr>
                <w:rFonts w:eastAsia="Times New Roman"/>
                <w:b/>
                <w:bCs/>
                <w:sz w:val="16"/>
                <w:szCs w:val="16"/>
                <w:lang w:eastAsia="es-ES"/>
              </w:rPr>
              <w:t>8,1</w:t>
            </w:r>
          </w:p>
        </w:tc>
      </w:tr>
    </w:tbl>
    <w:p w:rsidR="00195BE7" w:rsidRDefault="00195BE7" w:rsidP="00195BE7">
      <w:pPr>
        <w:spacing w:line="240" w:lineRule="auto"/>
        <w:jc w:val="center"/>
        <w:rPr>
          <w:b/>
          <w:color w:val="00B050"/>
          <w:sz w:val="18"/>
          <w:szCs w:val="18"/>
        </w:rPr>
      </w:pPr>
    </w:p>
    <w:p w:rsidR="00067A2F" w:rsidRDefault="00067A2F" w:rsidP="00195BE7">
      <w:pPr>
        <w:spacing w:line="240" w:lineRule="auto"/>
        <w:jc w:val="center"/>
        <w:rPr>
          <w:b/>
          <w:color w:val="00B050"/>
          <w:sz w:val="18"/>
          <w:szCs w:val="18"/>
        </w:rPr>
      </w:pPr>
    </w:p>
    <w:p w:rsidR="00067A2F" w:rsidRDefault="00067A2F" w:rsidP="00195BE7">
      <w:pPr>
        <w:spacing w:line="240" w:lineRule="auto"/>
        <w:jc w:val="center"/>
        <w:rPr>
          <w:b/>
          <w:color w:val="00B050"/>
          <w:sz w:val="18"/>
          <w:szCs w:val="18"/>
        </w:rPr>
      </w:pPr>
    </w:p>
    <w:p w:rsidR="00067A2F" w:rsidRPr="001E2F6E" w:rsidRDefault="00067A2F" w:rsidP="00195BE7">
      <w:pPr>
        <w:spacing w:line="240" w:lineRule="auto"/>
        <w:jc w:val="center"/>
        <w:rPr>
          <w:b/>
          <w:color w:val="00B050"/>
          <w:sz w:val="18"/>
          <w:szCs w:val="18"/>
        </w:rPr>
      </w:pPr>
    </w:p>
    <w:p w:rsidR="00195BE7" w:rsidRPr="001E2F6E" w:rsidRDefault="00195BE7" w:rsidP="00195BE7">
      <w:pPr>
        <w:spacing w:line="240" w:lineRule="auto"/>
        <w:jc w:val="center"/>
        <w:rPr>
          <w:b/>
          <w:noProof/>
          <w:color w:val="1F497D" w:themeColor="text2"/>
          <w:sz w:val="18"/>
          <w:szCs w:val="18"/>
        </w:rPr>
      </w:pPr>
      <w:bookmarkStart w:id="37" w:name="_Toc392585742"/>
      <w:r w:rsidRPr="001E2F6E">
        <w:rPr>
          <w:b/>
          <w:color w:val="1F497D" w:themeColor="text2"/>
          <w:sz w:val="18"/>
          <w:szCs w:val="18"/>
        </w:rPr>
        <w:t>1.</w:t>
      </w:r>
      <w:r w:rsidR="00EB6BA6" w:rsidRPr="001E2F6E">
        <w:rPr>
          <w:b/>
          <w:color w:val="1F497D" w:themeColor="text2"/>
          <w:sz w:val="18"/>
          <w:szCs w:val="18"/>
        </w:rPr>
        <w:fldChar w:fldCharType="begin"/>
      </w:r>
      <w:r w:rsidRPr="001E2F6E">
        <w:rPr>
          <w:b/>
          <w:color w:val="1F497D" w:themeColor="text2"/>
          <w:sz w:val="18"/>
          <w:szCs w:val="18"/>
        </w:rPr>
        <w:instrText xml:space="preserve"> SEQ Cuadro_1. \* ARABIC </w:instrText>
      </w:r>
      <w:r w:rsidR="00EB6BA6" w:rsidRPr="001E2F6E">
        <w:rPr>
          <w:b/>
          <w:color w:val="1F497D" w:themeColor="text2"/>
          <w:sz w:val="18"/>
          <w:szCs w:val="18"/>
        </w:rPr>
        <w:fldChar w:fldCharType="separate"/>
      </w:r>
      <w:r w:rsidR="00A327D4">
        <w:rPr>
          <w:b/>
          <w:noProof/>
          <w:color w:val="1F497D" w:themeColor="text2"/>
          <w:sz w:val="18"/>
          <w:szCs w:val="18"/>
        </w:rPr>
        <w:t>7</w:t>
      </w:r>
      <w:r w:rsidR="00EB6BA6" w:rsidRPr="001E2F6E">
        <w:rPr>
          <w:b/>
          <w:color w:val="1F497D" w:themeColor="text2"/>
          <w:sz w:val="18"/>
          <w:szCs w:val="18"/>
        </w:rPr>
        <w:fldChar w:fldCharType="end"/>
      </w:r>
      <w:r w:rsidRPr="001E2F6E">
        <w:rPr>
          <w:b/>
          <w:color w:val="1F497D" w:themeColor="text2"/>
          <w:sz w:val="18"/>
          <w:szCs w:val="18"/>
        </w:rPr>
        <w:t xml:space="preserve"> Taula </w:t>
      </w:r>
      <w:r w:rsidRPr="001E2F6E">
        <w:rPr>
          <w:b/>
          <w:color w:val="1F497D" w:themeColor="text2"/>
          <w:sz w:val="18"/>
          <w:szCs w:val="18"/>
          <w:lang w:val="eu-ES"/>
        </w:rPr>
        <w:t>GIZARTE-EKONOMIAREN ETA EAEko EKONOMIAREN ESTABLEZIMENDU/ENPRESEN TAMAINA, ENPLEGUAREN ARABERA 2012ean</w:t>
      </w:r>
      <w:bookmarkEnd w:id="35"/>
      <w:bookmarkEnd w:id="37"/>
    </w:p>
    <w:tbl>
      <w:tblPr>
        <w:tblW w:w="5000" w:type="pct"/>
        <w:jc w:val="center"/>
        <w:tblLook w:val="04A0" w:firstRow="1" w:lastRow="0" w:firstColumn="1" w:lastColumn="0" w:noHBand="0" w:noVBand="1"/>
      </w:tblPr>
      <w:tblGrid>
        <w:gridCol w:w="3203"/>
        <w:gridCol w:w="2878"/>
        <w:gridCol w:w="2923"/>
      </w:tblGrid>
      <w:tr w:rsidR="00195BE7" w:rsidRPr="001E2F6E" w:rsidTr="00195BE7">
        <w:trPr>
          <w:jc w:val="center"/>
        </w:trPr>
        <w:tc>
          <w:tcPr>
            <w:tcW w:w="1779"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tcPr>
          <w:p w:rsidR="00195BE7" w:rsidRPr="001E2F6E" w:rsidRDefault="00195BE7" w:rsidP="00195BE7">
            <w:pPr>
              <w:spacing w:line="240" w:lineRule="exact"/>
              <w:jc w:val="center"/>
              <w:rPr>
                <w:b/>
                <w:snapToGrid w:val="0"/>
                <w:sz w:val="16"/>
                <w:szCs w:val="16"/>
              </w:rPr>
            </w:pPr>
          </w:p>
        </w:tc>
        <w:tc>
          <w:tcPr>
            <w:tcW w:w="159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bottom"/>
          </w:tcPr>
          <w:p w:rsidR="00195BE7" w:rsidRPr="001E2F6E" w:rsidRDefault="00195BE7" w:rsidP="00195BE7">
            <w:pPr>
              <w:spacing w:line="240" w:lineRule="auto"/>
              <w:jc w:val="center"/>
              <w:rPr>
                <w:b/>
                <w:snapToGrid w:val="0"/>
                <w:sz w:val="16"/>
                <w:szCs w:val="16"/>
              </w:rPr>
            </w:pPr>
            <w:r w:rsidRPr="001E2F6E">
              <w:rPr>
                <w:b/>
                <w:snapToGrid w:val="0"/>
                <w:sz w:val="16"/>
                <w:szCs w:val="16"/>
                <w:lang w:val="eu-ES"/>
              </w:rPr>
              <w:t>Establezimenduen batez besteko tamaina</w:t>
            </w:r>
          </w:p>
        </w:tc>
        <w:tc>
          <w:tcPr>
            <w:tcW w:w="1623"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vAlign w:val="center"/>
          </w:tcPr>
          <w:p w:rsidR="00195BE7" w:rsidRPr="001E2F6E" w:rsidRDefault="00195BE7" w:rsidP="00195BE7">
            <w:pPr>
              <w:spacing w:line="240" w:lineRule="auto"/>
              <w:jc w:val="center"/>
              <w:rPr>
                <w:b/>
                <w:snapToGrid w:val="0"/>
                <w:sz w:val="16"/>
                <w:szCs w:val="16"/>
              </w:rPr>
            </w:pPr>
            <w:r w:rsidRPr="001E2F6E">
              <w:rPr>
                <w:b/>
                <w:snapToGrid w:val="0"/>
                <w:sz w:val="16"/>
                <w:szCs w:val="16"/>
                <w:lang w:val="eu-ES"/>
              </w:rPr>
              <w:t>Enpresen batez besteko tamaina</w:t>
            </w:r>
          </w:p>
        </w:tc>
      </w:tr>
      <w:tr w:rsidR="00195BE7" w:rsidRPr="001E2F6E" w:rsidTr="00195BE7">
        <w:trPr>
          <w:jc w:val="center"/>
        </w:trPr>
        <w:tc>
          <w:tcPr>
            <w:tcW w:w="1779" w:type="pct"/>
            <w:tcBorders>
              <w:top w:val="single" w:sz="4" w:space="0" w:color="BFBFBF" w:themeColor="background1" w:themeShade="BF"/>
              <w:right w:val="single" w:sz="4" w:space="0" w:color="BFBFBF" w:themeColor="background1" w:themeShade="BF"/>
            </w:tcBorders>
          </w:tcPr>
          <w:p w:rsidR="00195BE7" w:rsidRPr="001E2F6E" w:rsidRDefault="00195BE7" w:rsidP="00195BE7">
            <w:pPr>
              <w:spacing w:line="220" w:lineRule="exact"/>
              <w:rPr>
                <w:snapToGrid w:val="0"/>
                <w:sz w:val="16"/>
                <w:szCs w:val="16"/>
                <w:lang w:val="eu-ES"/>
              </w:rPr>
            </w:pPr>
            <w:r w:rsidRPr="001E2F6E">
              <w:rPr>
                <w:snapToGrid w:val="0"/>
                <w:sz w:val="16"/>
                <w:szCs w:val="16"/>
                <w:lang w:val="eu-ES"/>
              </w:rPr>
              <w:t>Gizarte-Ekonomia 2012</w:t>
            </w:r>
          </w:p>
        </w:tc>
        <w:tc>
          <w:tcPr>
            <w:tcW w:w="1598" w:type="pct"/>
            <w:tcBorders>
              <w:top w:val="single" w:sz="4" w:space="0" w:color="BFBFBF" w:themeColor="background1" w:themeShade="BF"/>
              <w:left w:val="single" w:sz="4" w:space="0" w:color="BFBFBF" w:themeColor="background1" w:themeShade="BF"/>
              <w:right w:val="single" w:sz="4" w:space="0" w:color="BFBFBF" w:themeColor="background1" w:themeShade="BF"/>
            </w:tcBorders>
          </w:tcPr>
          <w:p w:rsidR="00195BE7" w:rsidRPr="001E2F6E" w:rsidRDefault="00195BE7" w:rsidP="00195BE7">
            <w:pPr>
              <w:spacing w:line="240" w:lineRule="exact"/>
              <w:ind w:right="284"/>
              <w:jc w:val="right"/>
              <w:rPr>
                <w:snapToGrid w:val="0"/>
                <w:sz w:val="16"/>
                <w:szCs w:val="16"/>
              </w:rPr>
            </w:pPr>
            <w:r w:rsidRPr="001E2F6E">
              <w:rPr>
                <w:sz w:val="16"/>
                <w:szCs w:val="16"/>
              </w:rPr>
              <w:t>18,1</w:t>
            </w:r>
          </w:p>
        </w:tc>
        <w:tc>
          <w:tcPr>
            <w:tcW w:w="1623" w:type="pct"/>
            <w:tcBorders>
              <w:top w:val="single" w:sz="4" w:space="0" w:color="BFBFBF" w:themeColor="background1" w:themeShade="BF"/>
              <w:left w:val="single" w:sz="4" w:space="0" w:color="BFBFBF" w:themeColor="background1" w:themeShade="BF"/>
            </w:tcBorders>
          </w:tcPr>
          <w:p w:rsidR="00195BE7" w:rsidRPr="001E2F6E" w:rsidRDefault="00195BE7" w:rsidP="00195BE7">
            <w:pPr>
              <w:spacing w:line="240" w:lineRule="exact"/>
              <w:ind w:right="284"/>
              <w:jc w:val="right"/>
              <w:rPr>
                <w:snapToGrid w:val="0"/>
                <w:sz w:val="16"/>
                <w:szCs w:val="16"/>
              </w:rPr>
            </w:pPr>
            <w:r w:rsidRPr="001E2F6E">
              <w:rPr>
                <w:snapToGrid w:val="0"/>
                <w:sz w:val="16"/>
                <w:szCs w:val="16"/>
              </w:rPr>
              <w:t>23,8</w:t>
            </w:r>
          </w:p>
        </w:tc>
      </w:tr>
      <w:tr w:rsidR="00195BE7" w:rsidRPr="001E2F6E" w:rsidTr="00195BE7">
        <w:trPr>
          <w:jc w:val="center"/>
        </w:trPr>
        <w:tc>
          <w:tcPr>
            <w:tcW w:w="1779" w:type="pct"/>
            <w:tcBorders>
              <w:bottom w:val="single" w:sz="4" w:space="0" w:color="BFBFBF" w:themeColor="background1" w:themeShade="BF"/>
              <w:right w:val="single" w:sz="4" w:space="0" w:color="BFBFBF" w:themeColor="background1" w:themeShade="BF"/>
            </w:tcBorders>
          </w:tcPr>
          <w:p w:rsidR="00195BE7" w:rsidRPr="001E2F6E" w:rsidRDefault="00195BE7" w:rsidP="00195BE7">
            <w:pPr>
              <w:spacing w:line="220" w:lineRule="exact"/>
              <w:rPr>
                <w:snapToGrid w:val="0"/>
                <w:sz w:val="16"/>
                <w:szCs w:val="16"/>
                <w:lang w:val="eu-ES"/>
              </w:rPr>
            </w:pPr>
            <w:r w:rsidRPr="001E2F6E">
              <w:rPr>
                <w:snapToGrid w:val="0"/>
                <w:sz w:val="16"/>
                <w:szCs w:val="16"/>
                <w:lang w:val="eu-ES"/>
              </w:rPr>
              <w:t>EAEko ekonomia 2012</w:t>
            </w:r>
          </w:p>
        </w:tc>
        <w:tc>
          <w:tcPr>
            <w:tcW w:w="1598" w:type="pct"/>
            <w:tcBorders>
              <w:left w:val="single" w:sz="4" w:space="0" w:color="BFBFBF" w:themeColor="background1" w:themeShade="BF"/>
              <w:bottom w:val="single" w:sz="4" w:space="0" w:color="BFBFBF" w:themeColor="background1" w:themeShade="BF"/>
              <w:right w:val="single" w:sz="4" w:space="0" w:color="BFBFBF" w:themeColor="background1" w:themeShade="BF"/>
            </w:tcBorders>
          </w:tcPr>
          <w:p w:rsidR="00195BE7" w:rsidRPr="001E2F6E" w:rsidRDefault="00195BE7" w:rsidP="00195BE7">
            <w:pPr>
              <w:spacing w:line="240" w:lineRule="exact"/>
              <w:ind w:right="284"/>
              <w:jc w:val="right"/>
              <w:rPr>
                <w:snapToGrid w:val="0"/>
                <w:sz w:val="16"/>
                <w:szCs w:val="16"/>
              </w:rPr>
            </w:pPr>
            <w:r w:rsidRPr="001E2F6E">
              <w:rPr>
                <w:snapToGrid w:val="0"/>
                <w:sz w:val="16"/>
                <w:szCs w:val="16"/>
              </w:rPr>
              <w:t xml:space="preserve"> 4,9</w:t>
            </w:r>
          </w:p>
        </w:tc>
        <w:tc>
          <w:tcPr>
            <w:tcW w:w="1623" w:type="pct"/>
            <w:tcBorders>
              <w:left w:val="single" w:sz="4" w:space="0" w:color="BFBFBF" w:themeColor="background1" w:themeShade="BF"/>
              <w:bottom w:val="single" w:sz="4" w:space="0" w:color="BFBFBF" w:themeColor="background1" w:themeShade="BF"/>
            </w:tcBorders>
          </w:tcPr>
          <w:p w:rsidR="00195BE7" w:rsidRPr="001E2F6E" w:rsidRDefault="00195BE7" w:rsidP="00195BE7">
            <w:pPr>
              <w:spacing w:line="240" w:lineRule="exact"/>
              <w:ind w:right="284"/>
              <w:jc w:val="right"/>
              <w:rPr>
                <w:snapToGrid w:val="0"/>
                <w:sz w:val="16"/>
                <w:szCs w:val="16"/>
              </w:rPr>
            </w:pPr>
            <w:r w:rsidRPr="001E2F6E">
              <w:rPr>
                <w:snapToGrid w:val="0"/>
                <w:sz w:val="16"/>
                <w:szCs w:val="16"/>
              </w:rPr>
              <w:t>5,5</w:t>
            </w:r>
          </w:p>
        </w:tc>
      </w:tr>
    </w:tbl>
    <w:p w:rsidR="00195BE7" w:rsidRPr="001E2F6E" w:rsidRDefault="00195BE7" w:rsidP="00195BE7">
      <w:pPr>
        <w:jc w:val="left"/>
        <w:rPr>
          <w:i/>
          <w:sz w:val="16"/>
          <w:szCs w:val="16"/>
          <w:lang w:val="eu-ES"/>
        </w:rPr>
      </w:pPr>
      <w:r w:rsidRPr="001E2F6E">
        <w:rPr>
          <w:i/>
          <w:sz w:val="16"/>
          <w:szCs w:val="16"/>
          <w:lang w:val="eu-ES"/>
        </w:rPr>
        <w:t>Oharra: EAEri buruzko datuak Jarduera Ekonomikoen Gidazerrendatik hartutakoak dira. Eustat 2012</w:t>
      </w:r>
    </w:p>
    <w:p w:rsidR="00195BE7" w:rsidRPr="001E2F6E" w:rsidRDefault="00195BE7" w:rsidP="00195BE7">
      <w:pPr>
        <w:rPr>
          <w:lang w:val="eu-ES"/>
        </w:rPr>
      </w:pPr>
    </w:p>
    <w:p w:rsidR="00195BE7" w:rsidRPr="001E2F6E" w:rsidRDefault="00195BE7" w:rsidP="00195BE7">
      <w:pPr>
        <w:spacing w:after="200" w:line="276" w:lineRule="auto"/>
        <w:jc w:val="left"/>
        <w:rPr>
          <w:rFonts w:eastAsia="Times New Roman" w:cs="Times New Roman"/>
          <w:b/>
          <w:snapToGrid w:val="0"/>
          <w:color w:val="1F497D" w:themeColor="text2"/>
          <w:sz w:val="22"/>
          <w:lang w:val="eu-ES" w:eastAsia="es-ES"/>
        </w:rPr>
      </w:pPr>
    </w:p>
    <w:p w:rsidR="00195BE7" w:rsidRPr="001E2F6E" w:rsidRDefault="00195BE7" w:rsidP="00195BE7">
      <w:pPr>
        <w:pStyle w:val="Ttulo1"/>
        <w:ind w:left="708" w:hanging="708"/>
        <w:rPr>
          <w:color w:val="1F497D" w:themeColor="text2"/>
          <w:sz w:val="22"/>
          <w:szCs w:val="22"/>
          <w:lang w:val="eu-ES"/>
        </w:rPr>
      </w:pPr>
      <w:bookmarkStart w:id="38" w:name="_Toc391989005"/>
      <w:bookmarkStart w:id="39" w:name="_Toc392585668"/>
      <w:r w:rsidRPr="001E2F6E">
        <w:rPr>
          <w:color w:val="1F497D" w:themeColor="text2"/>
          <w:sz w:val="22"/>
          <w:szCs w:val="22"/>
          <w:lang w:val="eu-ES"/>
        </w:rPr>
        <w:t>1.1.-</w:t>
      </w:r>
      <w:r w:rsidRPr="001E2F6E">
        <w:rPr>
          <w:color w:val="1F497D" w:themeColor="text2"/>
          <w:sz w:val="22"/>
          <w:szCs w:val="22"/>
          <w:lang w:val="eu-ES"/>
        </w:rPr>
        <w:tab/>
        <w:t>GIZARTE-EKONOMIAREN ARLOZ ARLOKO ENPLEGUA</w:t>
      </w:r>
      <w:bookmarkEnd w:id="38"/>
      <w:bookmarkEnd w:id="39"/>
    </w:p>
    <w:p w:rsidR="00195BE7" w:rsidRPr="001E2F6E" w:rsidRDefault="00195BE7" w:rsidP="00195BE7">
      <w:pPr>
        <w:jc w:val="center"/>
        <w:rPr>
          <w:b/>
          <w:noProof/>
          <w:color w:val="1F497D" w:themeColor="text2"/>
          <w:sz w:val="18"/>
          <w:szCs w:val="18"/>
          <w:lang w:val="eu-ES"/>
        </w:rPr>
      </w:pPr>
    </w:p>
    <w:p w:rsidR="00195BE7" w:rsidRPr="001E2F6E" w:rsidRDefault="00195BE7" w:rsidP="00195BE7">
      <w:pPr>
        <w:jc w:val="center"/>
        <w:rPr>
          <w:b/>
          <w:noProof/>
          <w:color w:val="1F497D" w:themeColor="text2"/>
          <w:sz w:val="18"/>
          <w:szCs w:val="18"/>
          <w:lang w:val="eu-ES"/>
        </w:rPr>
      </w:pPr>
    </w:p>
    <w:p w:rsidR="00195BE7" w:rsidRPr="001E2F6E" w:rsidRDefault="00195BE7" w:rsidP="00195BE7">
      <w:pPr>
        <w:spacing w:line="240" w:lineRule="auto"/>
        <w:jc w:val="center"/>
        <w:rPr>
          <w:b/>
          <w:noProof/>
          <w:color w:val="1F497D" w:themeColor="text2"/>
          <w:sz w:val="18"/>
          <w:szCs w:val="18"/>
          <w:lang w:val="eu-ES"/>
        </w:rPr>
      </w:pPr>
      <w:bookmarkStart w:id="40" w:name="_Toc391989148"/>
      <w:bookmarkStart w:id="41" w:name="_Toc392585813"/>
      <w:r w:rsidRPr="001E2F6E">
        <w:rPr>
          <w:b/>
          <w:color w:val="1F497D" w:themeColor="text2"/>
          <w:sz w:val="18"/>
          <w:szCs w:val="18"/>
          <w:lang w:val="eu-ES"/>
        </w:rPr>
        <w:t>1.</w:t>
      </w:r>
      <w:r w:rsidR="00EB6BA6" w:rsidRPr="001E2F6E">
        <w:rPr>
          <w:b/>
          <w:color w:val="1F497D" w:themeColor="text2"/>
          <w:sz w:val="18"/>
          <w:szCs w:val="18"/>
        </w:rPr>
        <w:fldChar w:fldCharType="begin"/>
      </w:r>
      <w:r w:rsidRPr="001E2F6E">
        <w:rPr>
          <w:b/>
          <w:color w:val="1F497D" w:themeColor="text2"/>
          <w:sz w:val="18"/>
          <w:szCs w:val="18"/>
          <w:lang w:val="eu-ES"/>
        </w:rPr>
        <w:instrText xml:space="preserve"> SEQ Gráfico_1. \* ARABIC </w:instrText>
      </w:r>
      <w:r w:rsidR="00EB6BA6" w:rsidRPr="001E2F6E">
        <w:rPr>
          <w:b/>
          <w:color w:val="1F497D" w:themeColor="text2"/>
          <w:sz w:val="18"/>
          <w:szCs w:val="18"/>
        </w:rPr>
        <w:fldChar w:fldCharType="separate"/>
      </w:r>
      <w:r w:rsidR="00A327D4">
        <w:rPr>
          <w:b/>
          <w:noProof/>
          <w:color w:val="1F497D" w:themeColor="text2"/>
          <w:sz w:val="18"/>
          <w:szCs w:val="18"/>
          <w:lang w:val="eu-ES"/>
        </w:rPr>
        <w:t>3</w:t>
      </w:r>
      <w:r w:rsidR="00EB6BA6" w:rsidRPr="001E2F6E">
        <w:rPr>
          <w:b/>
          <w:color w:val="1F497D" w:themeColor="text2"/>
          <w:sz w:val="18"/>
          <w:szCs w:val="18"/>
        </w:rPr>
        <w:fldChar w:fldCharType="end"/>
      </w:r>
      <w:r w:rsidRPr="001E2F6E">
        <w:rPr>
          <w:b/>
          <w:color w:val="1F497D" w:themeColor="text2"/>
          <w:sz w:val="18"/>
          <w:szCs w:val="18"/>
          <w:lang w:val="eu-ES"/>
        </w:rPr>
        <w:t xml:space="preserve"> Irudia </w:t>
      </w:r>
      <w:r w:rsidRPr="001E2F6E">
        <w:rPr>
          <w:b/>
          <w:noProof/>
          <w:color w:val="1F497D" w:themeColor="text2"/>
          <w:sz w:val="18"/>
          <w:szCs w:val="18"/>
          <w:lang w:val="eu-ES"/>
        </w:rPr>
        <w:t>GIZARTE-EKONOMIAREN INDUSTRIA-ENPLEGUAREN ETA HIRUGARREN SEKTOREKO ENPLEGUAREN BILAKAERA  (Hazkunde-tasak 2008-2010 eta 2010-2012 biurtekoetan)</w:t>
      </w:r>
      <w:bookmarkEnd w:id="40"/>
      <w:bookmarkEnd w:id="41"/>
    </w:p>
    <w:p w:rsidR="00195BE7" w:rsidRPr="001E2F6E" w:rsidRDefault="00195BE7" w:rsidP="00195BE7">
      <w:pPr>
        <w:jc w:val="center"/>
        <w:rPr>
          <w:b/>
          <w:noProof/>
          <w:color w:val="1F497D" w:themeColor="text2"/>
          <w:sz w:val="18"/>
          <w:szCs w:val="18"/>
          <w:lang w:val="eu-ES"/>
        </w:rPr>
      </w:pPr>
    </w:p>
    <w:p w:rsidR="00195BE7" w:rsidRPr="001E2F6E" w:rsidRDefault="00195BE7" w:rsidP="00195BE7">
      <w:pPr>
        <w:jc w:val="center"/>
        <w:rPr>
          <w:b/>
          <w:noProof/>
          <w:color w:val="1F497D" w:themeColor="text2"/>
          <w:sz w:val="18"/>
          <w:szCs w:val="18"/>
          <w:lang w:val="eu-ES"/>
        </w:rPr>
      </w:pPr>
      <w:r w:rsidRPr="001E2F6E">
        <w:rPr>
          <w:b/>
          <w:noProof/>
          <w:color w:val="1F497D" w:themeColor="text2"/>
          <w:sz w:val="18"/>
          <w:szCs w:val="18"/>
          <w:lang w:eastAsia="es-ES"/>
        </w:rPr>
        <w:drawing>
          <wp:anchor distT="121920" distB="30480" distL="333756" distR="166497" simplePos="0" relativeHeight="251689984" behindDoc="0" locked="0" layoutInCell="1" allowOverlap="1" wp14:anchorId="41F08DF6" wp14:editId="4482F18E">
            <wp:simplePos x="0" y="0"/>
            <wp:positionH relativeFrom="column">
              <wp:posOffset>-90170</wp:posOffset>
            </wp:positionH>
            <wp:positionV relativeFrom="paragraph">
              <wp:posOffset>137160</wp:posOffset>
            </wp:positionV>
            <wp:extent cx="5704795" cy="2457450"/>
            <wp:effectExtent l="0" t="0" r="0" b="0"/>
            <wp:wrapNone/>
            <wp:docPr id="450" name="Objeto 43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14:sizeRelH relativeFrom="margin">
              <wp14:pctWidth>0</wp14:pctWidth>
            </wp14:sizeRelH>
            <wp14:sizeRelV relativeFrom="margin">
              <wp14:pctHeight>0</wp14:pctHeight>
            </wp14:sizeRelV>
          </wp:anchor>
        </w:drawing>
      </w:r>
    </w:p>
    <w:p w:rsidR="00195BE7" w:rsidRPr="001E2F6E" w:rsidRDefault="00195BE7" w:rsidP="00195BE7">
      <w:pPr>
        <w:jc w:val="center"/>
        <w:rPr>
          <w:b/>
          <w:noProof/>
          <w:color w:val="1F497D" w:themeColor="text2"/>
          <w:sz w:val="18"/>
          <w:szCs w:val="18"/>
          <w:lang w:val="eu-ES"/>
        </w:rPr>
      </w:pPr>
    </w:p>
    <w:p w:rsidR="00195BE7" w:rsidRPr="001E2F6E" w:rsidRDefault="00195BE7" w:rsidP="00195BE7">
      <w:pPr>
        <w:jc w:val="center"/>
        <w:rPr>
          <w:b/>
          <w:noProof/>
          <w:color w:val="1F497D" w:themeColor="text2"/>
          <w:sz w:val="18"/>
          <w:szCs w:val="18"/>
          <w:lang w:val="eu-ES"/>
        </w:rPr>
      </w:pPr>
    </w:p>
    <w:p w:rsidR="00195BE7" w:rsidRPr="001E2F6E" w:rsidRDefault="00195BE7" w:rsidP="00195BE7">
      <w:pPr>
        <w:jc w:val="center"/>
        <w:rPr>
          <w:b/>
          <w:noProof/>
          <w:color w:val="1F497D" w:themeColor="text2"/>
          <w:sz w:val="18"/>
          <w:szCs w:val="18"/>
          <w:lang w:val="eu-ES"/>
        </w:rPr>
      </w:pPr>
    </w:p>
    <w:p w:rsidR="00195BE7" w:rsidRPr="001E2F6E" w:rsidRDefault="00195BE7" w:rsidP="00195BE7">
      <w:pPr>
        <w:jc w:val="center"/>
        <w:rPr>
          <w:b/>
          <w:noProof/>
          <w:color w:val="1F497D" w:themeColor="text2"/>
          <w:sz w:val="18"/>
          <w:szCs w:val="18"/>
          <w:lang w:val="eu-ES"/>
        </w:rPr>
      </w:pPr>
    </w:p>
    <w:p w:rsidR="00195BE7" w:rsidRPr="001E2F6E" w:rsidRDefault="00195BE7" w:rsidP="00195BE7">
      <w:pPr>
        <w:jc w:val="center"/>
        <w:rPr>
          <w:b/>
          <w:noProof/>
          <w:color w:val="1F497D" w:themeColor="text2"/>
          <w:sz w:val="18"/>
          <w:szCs w:val="18"/>
          <w:lang w:val="eu-ES"/>
        </w:rPr>
      </w:pPr>
    </w:p>
    <w:p w:rsidR="00195BE7" w:rsidRPr="001E2F6E" w:rsidRDefault="00195BE7" w:rsidP="00195BE7">
      <w:pPr>
        <w:jc w:val="center"/>
        <w:rPr>
          <w:b/>
          <w:noProof/>
          <w:color w:val="1F497D" w:themeColor="text2"/>
          <w:sz w:val="18"/>
          <w:szCs w:val="18"/>
          <w:lang w:val="eu-ES"/>
        </w:rPr>
      </w:pPr>
    </w:p>
    <w:p w:rsidR="00195BE7" w:rsidRPr="001E2F6E" w:rsidRDefault="00195BE7" w:rsidP="00195BE7">
      <w:pPr>
        <w:jc w:val="center"/>
        <w:rPr>
          <w:b/>
          <w:noProof/>
          <w:color w:val="1F497D" w:themeColor="text2"/>
          <w:sz w:val="18"/>
          <w:szCs w:val="18"/>
          <w:lang w:val="eu-ES"/>
        </w:rPr>
      </w:pPr>
    </w:p>
    <w:p w:rsidR="00195BE7" w:rsidRPr="001E2F6E" w:rsidRDefault="00195BE7" w:rsidP="00195BE7">
      <w:pPr>
        <w:jc w:val="center"/>
        <w:rPr>
          <w:b/>
          <w:noProof/>
          <w:color w:val="1F497D" w:themeColor="text2"/>
          <w:sz w:val="18"/>
          <w:szCs w:val="18"/>
          <w:lang w:val="eu-ES"/>
        </w:rPr>
      </w:pPr>
    </w:p>
    <w:p w:rsidR="00195BE7" w:rsidRPr="001E2F6E" w:rsidRDefault="00195BE7" w:rsidP="00195BE7">
      <w:pPr>
        <w:jc w:val="center"/>
        <w:rPr>
          <w:b/>
          <w:noProof/>
          <w:color w:val="1F497D" w:themeColor="text2"/>
          <w:sz w:val="18"/>
          <w:szCs w:val="18"/>
          <w:lang w:val="eu-ES"/>
        </w:rPr>
      </w:pPr>
    </w:p>
    <w:p w:rsidR="00195BE7" w:rsidRPr="001E2F6E" w:rsidRDefault="00195BE7" w:rsidP="00195BE7">
      <w:pPr>
        <w:jc w:val="center"/>
        <w:rPr>
          <w:b/>
          <w:noProof/>
          <w:color w:val="1F497D" w:themeColor="text2"/>
          <w:sz w:val="18"/>
          <w:szCs w:val="18"/>
          <w:lang w:val="eu-ES"/>
        </w:rPr>
      </w:pPr>
    </w:p>
    <w:p w:rsidR="00195BE7" w:rsidRPr="001E2F6E" w:rsidRDefault="00195BE7" w:rsidP="00195BE7">
      <w:pPr>
        <w:spacing w:line="240" w:lineRule="auto"/>
        <w:jc w:val="center"/>
        <w:rPr>
          <w:b/>
          <w:noProof/>
          <w:color w:val="1F497D" w:themeColor="text2"/>
          <w:sz w:val="18"/>
          <w:szCs w:val="18"/>
          <w:lang w:val="eu-ES"/>
        </w:rPr>
      </w:pPr>
    </w:p>
    <w:p w:rsidR="00195BE7" w:rsidRPr="001E2F6E" w:rsidRDefault="00195BE7" w:rsidP="00195BE7">
      <w:pPr>
        <w:jc w:val="center"/>
        <w:rPr>
          <w:i/>
          <w:sz w:val="16"/>
          <w:szCs w:val="16"/>
          <w:lang w:val="eu-ES"/>
        </w:rPr>
      </w:pPr>
    </w:p>
    <w:p w:rsidR="00067A2F" w:rsidRPr="00067A2F" w:rsidRDefault="00067A2F">
      <w:pPr>
        <w:spacing w:line="240" w:lineRule="auto"/>
        <w:jc w:val="left"/>
        <w:rPr>
          <w:b/>
          <w:color w:val="1F497D" w:themeColor="text2"/>
          <w:sz w:val="18"/>
          <w:szCs w:val="18"/>
          <w:lang w:val="eu-ES"/>
        </w:rPr>
      </w:pPr>
      <w:bookmarkStart w:id="42" w:name="_Toc391989078"/>
      <w:bookmarkStart w:id="43" w:name="_Toc392585743"/>
      <w:r w:rsidRPr="00067A2F">
        <w:rPr>
          <w:b/>
          <w:color w:val="1F497D" w:themeColor="text2"/>
          <w:sz w:val="18"/>
          <w:szCs w:val="18"/>
          <w:lang w:val="eu-ES"/>
        </w:rPr>
        <w:br w:type="page"/>
      </w:r>
    </w:p>
    <w:p w:rsidR="00195BE7" w:rsidRPr="001E2F6E" w:rsidRDefault="00195BE7" w:rsidP="00195BE7">
      <w:pPr>
        <w:spacing w:line="240" w:lineRule="auto"/>
        <w:jc w:val="center"/>
        <w:rPr>
          <w:b/>
          <w:color w:val="1F497D" w:themeColor="text2"/>
          <w:sz w:val="18"/>
          <w:szCs w:val="18"/>
          <w:lang w:val="eu-ES"/>
        </w:rPr>
      </w:pPr>
      <w:r w:rsidRPr="001E2F6E">
        <w:rPr>
          <w:b/>
          <w:color w:val="1F497D" w:themeColor="text2"/>
          <w:sz w:val="18"/>
          <w:szCs w:val="18"/>
        </w:rPr>
        <w:lastRenderedPageBreak/>
        <w:t>1.</w:t>
      </w:r>
      <w:r w:rsidR="00EB6BA6" w:rsidRPr="001E2F6E">
        <w:rPr>
          <w:b/>
          <w:color w:val="1F497D" w:themeColor="text2"/>
          <w:sz w:val="18"/>
          <w:szCs w:val="18"/>
        </w:rPr>
        <w:fldChar w:fldCharType="begin"/>
      </w:r>
      <w:r w:rsidRPr="001E2F6E">
        <w:rPr>
          <w:b/>
          <w:color w:val="1F497D" w:themeColor="text2"/>
          <w:sz w:val="18"/>
          <w:szCs w:val="18"/>
        </w:rPr>
        <w:instrText xml:space="preserve"> SEQ Cuadro_1. \* ARABIC </w:instrText>
      </w:r>
      <w:r w:rsidR="00EB6BA6" w:rsidRPr="001E2F6E">
        <w:rPr>
          <w:b/>
          <w:color w:val="1F497D" w:themeColor="text2"/>
          <w:sz w:val="18"/>
          <w:szCs w:val="18"/>
        </w:rPr>
        <w:fldChar w:fldCharType="separate"/>
      </w:r>
      <w:r w:rsidR="00A327D4">
        <w:rPr>
          <w:b/>
          <w:noProof/>
          <w:color w:val="1F497D" w:themeColor="text2"/>
          <w:sz w:val="18"/>
          <w:szCs w:val="18"/>
        </w:rPr>
        <w:t>8</w:t>
      </w:r>
      <w:r w:rsidR="00EB6BA6" w:rsidRPr="001E2F6E">
        <w:rPr>
          <w:b/>
          <w:color w:val="1F497D" w:themeColor="text2"/>
          <w:sz w:val="18"/>
          <w:szCs w:val="18"/>
        </w:rPr>
        <w:fldChar w:fldCharType="end"/>
      </w:r>
      <w:r w:rsidRPr="001E2F6E">
        <w:rPr>
          <w:b/>
          <w:color w:val="1F497D" w:themeColor="text2"/>
          <w:sz w:val="18"/>
          <w:szCs w:val="18"/>
        </w:rPr>
        <w:t xml:space="preserve"> Taula </w:t>
      </w:r>
      <w:r w:rsidRPr="001E2F6E">
        <w:rPr>
          <w:b/>
          <w:color w:val="1F497D" w:themeColor="text2"/>
          <w:sz w:val="18"/>
          <w:szCs w:val="18"/>
          <w:lang w:val="eu-ES"/>
        </w:rPr>
        <w:t>GIZARTE-EKONOMIAREN ALORREKO ENPLEGUAREN ARLOZ ARLOKO BANAKETA. 2010 eta 2012 (</w:t>
      </w:r>
      <w:r w:rsidRPr="001E2F6E">
        <w:rPr>
          <w:b/>
          <w:color w:val="1F497D" w:themeColor="text2"/>
          <w:sz w:val="18"/>
          <w:szCs w:val="18"/>
        </w:rPr>
        <w:t xml:space="preserve">zifra absolutuak </w:t>
      </w:r>
      <w:r w:rsidRPr="001E2F6E">
        <w:rPr>
          <w:b/>
          <w:color w:val="1F497D" w:themeColor="text2"/>
          <w:sz w:val="18"/>
          <w:szCs w:val="18"/>
          <w:lang w:val="eu-ES"/>
        </w:rPr>
        <w:t>eta %bertikalak)</w:t>
      </w:r>
      <w:bookmarkEnd w:id="42"/>
      <w:bookmarkEnd w:id="43"/>
    </w:p>
    <w:tbl>
      <w:tblPr>
        <w:tblW w:w="5000" w:type="pct"/>
        <w:jc w:val="center"/>
        <w:tblLook w:val="04A0" w:firstRow="1" w:lastRow="0" w:firstColumn="1" w:lastColumn="0" w:noHBand="0" w:noVBand="1"/>
      </w:tblPr>
      <w:tblGrid>
        <w:gridCol w:w="2678"/>
        <w:gridCol w:w="1698"/>
        <w:gridCol w:w="20"/>
        <w:gridCol w:w="1610"/>
        <w:gridCol w:w="1617"/>
        <w:gridCol w:w="1381"/>
      </w:tblGrid>
      <w:tr w:rsidR="00195BE7" w:rsidRPr="001E2F6E" w:rsidTr="00195BE7">
        <w:trPr>
          <w:jc w:val="center"/>
        </w:trPr>
        <w:tc>
          <w:tcPr>
            <w:tcW w:w="1487" w:type="pct"/>
            <w:tcBorders>
              <w:top w:val="single" w:sz="4" w:space="0" w:color="BFBFBF" w:themeColor="background1" w:themeShade="BF"/>
              <w:right w:val="single" w:sz="4" w:space="0" w:color="BFBFBF" w:themeColor="background1" w:themeShade="BF"/>
            </w:tcBorders>
            <w:shd w:val="clear" w:color="auto" w:fill="DBE5F1" w:themeFill="accent1" w:themeFillTint="33"/>
            <w:hideMark/>
          </w:tcPr>
          <w:p w:rsidR="00195BE7" w:rsidRPr="001E2F6E" w:rsidRDefault="00195BE7" w:rsidP="00195BE7">
            <w:pPr>
              <w:spacing w:line="240" w:lineRule="exact"/>
              <w:rPr>
                <w:b/>
                <w:sz w:val="16"/>
                <w:szCs w:val="16"/>
              </w:rPr>
            </w:pPr>
          </w:p>
        </w:tc>
        <w:tc>
          <w:tcPr>
            <w:tcW w:w="1848" w:type="pct"/>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hideMark/>
          </w:tcPr>
          <w:p w:rsidR="00195BE7" w:rsidRPr="001E2F6E" w:rsidRDefault="00195BE7" w:rsidP="00195BE7">
            <w:pPr>
              <w:spacing w:line="240" w:lineRule="exact"/>
              <w:jc w:val="center"/>
              <w:rPr>
                <w:b/>
                <w:bCs/>
                <w:sz w:val="16"/>
                <w:szCs w:val="16"/>
              </w:rPr>
            </w:pPr>
            <w:r w:rsidRPr="001E2F6E">
              <w:rPr>
                <w:b/>
                <w:bCs/>
                <w:sz w:val="16"/>
                <w:szCs w:val="16"/>
              </w:rPr>
              <w:t>2010</w:t>
            </w:r>
          </w:p>
        </w:tc>
        <w:tc>
          <w:tcPr>
            <w:tcW w:w="1665" w:type="pct"/>
            <w:gridSpan w:val="2"/>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hideMark/>
          </w:tcPr>
          <w:p w:rsidR="00195BE7" w:rsidRPr="001E2F6E" w:rsidRDefault="00195BE7" w:rsidP="00195BE7">
            <w:pPr>
              <w:spacing w:line="240" w:lineRule="exact"/>
              <w:jc w:val="center"/>
              <w:rPr>
                <w:b/>
                <w:bCs/>
                <w:sz w:val="16"/>
                <w:szCs w:val="16"/>
              </w:rPr>
            </w:pPr>
            <w:r w:rsidRPr="001E2F6E">
              <w:rPr>
                <w:b/>
                <w:bCs/>
                <w:sz w:val="16"/>
                <w:szCs w:val="16"/>
              </w:rPr>
              <w:t>2012</w:t>
            </w:r>
          </w:p>
        </w:tc>
      </w:tr>
      <w:tr w:rsidR="00195BE7" w:rsidRPr="001E2F6E" w:rsidTr="00195BE7">
        <w:trPr>
          <w:jc w:val="center"/>
        </w:trPr>
        <w:tc>
          <w:tcPr>
            <w:tcW w:w="1487" w:type="pct"/>
            <w:tcBorders>
              <w:bottom w:val="single" w:sz="4" w:space="0" w:color="BFBFBF" w:themeColor="background1" w:themeShade="BF"/>
              <w:right w:val="single" w:sz="4" w:space="0" w:color="BFBFBF" w:themeColor="background1" w:themeShade="BF"/>
            </w:tcBorders>
            <w:shd w:val="clear" w:color="auto" w:fill="DBE5F1" w:themeFill="accent1" w:themeFillTint="33"/>
            <w:hideMark/>
          </w:tcPr>
          <w:p w:rsidR="00195BE7" w:rsidRPr="001E2F6E" w:rsidRDefault="00195BE7" w:rsidP="00195BE7">
            <w:pPr>
              <w:spacing w:line="240" w:lineRule="exact"/>
              <w:rPr>
                <w:b/>
                <w:sz w:val="16"/>
                <w:szCs w:val="16"/>
              </w:rPr>
            </w:pPr>
          </w:p>
        </w:tc>
        <w:tc>
          <w:tcPr>
            <w:tcW w:w="954" w:type="pct"/>
            <w:gridSpan w:val="2"/>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hideMark/>
          </w:tcPr>
          <w:p w:rsidR="00195BE7" w:rsidRPr="001E2F6E" w:rsidRDefault="00195BE7" w:rsidP="00195BE7">
            <w:pPr>
              <w:spacing w:line="240" w:lineRule="exact"/>
              <w:jc w:val="center"/>
              <w:rPr>
                <w:b/>
                <w:bCs/>
                <w:sz w:val="16"/>
                <w:szCs w:val="16"/>
                <w:lang w:val="eu-ES"/>
              </w:rPr>
            </w:pPr>
            <w:r w:rsidRPr="001E2F6E">
              <w:rPr>
                <w:b/>
                <w:bCs/>
                <w:sz w:val="16"/>
                <w:szCs w:val="16"/>
                <w:lang w:val="eu-ES"/>
              </w:rPr>
              <w:t>z.a.</w:t>
            </w:r>
          </w:p>
        </w:tc>
        <w:tc>
          <w:tcPr>
            <w:tcW w:w="894"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hideMark/>
          </w:tcPr>
          <w:p w:rsidR="00195BE7" w:rsidRPr="001E2F6E" w:rsidRDefault="00195BE7" w:rsidP="00195BE7">
            <w:pPr>
              <w:spacing w:line="240" w:lineRule="exact"/>
              <w:jc w:val="center"/>
              <w:rPr>
                <w:b/>
                <w:bCs/>
                <w:sz w:val="16"/>
                <w:szCs w:val="16"/>
                <w:lang w:val="eu-ES"/>
              </w:rPr>
            </w:pPr>
            <w:r w:rsidRPr="001E2F6E">
              <w:rPr>
                <w:b/>
                <w:bCs/>
                <w:sz w:val="16"/>
                <w:szCs w:val="16"/>
                <w:lang w:val="eu-ES"/>
              </w:rPr>
              <w:t>%ber.</w:t>
            </w:r>
          </w:p>
        </w:tc>
        <w:tc>
          <w:tcPr>
            <w:tcW w:w="898"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hideMark/>
          </w:tcPr>
          <w:p w:rsidR="00195BE7" w:rsidRPr="001E2F6E" w:rsidRDefault="00195BE7" w:rsidP="00195BE7">
            <w:pPr>
              <w:spacing w:line="240" w:lineRule="exact"/>
              <w:jc w:val="center"/>
              <w:rPr>
                <w:b/>
                <w:bCs/>
                <w:sz w:val="16"/>
                <w:szCs w:val="16"/>
                <w:lang w:val="eu-ES"/>
              </w:rPr>
            </w:pPr>
            <w:r w:rsidRPr="001E2F6E">
              <w:rPr>
                <w:b/>
                <w:bCs/>
                <w:sz w:val="16"/>
                <w:szCs w:val="16"/>
                <w:lang w:val="eu-ES"/>
              </w:rPr>
              <w:t>z.a.</w:t>
            </w:r>
          </w:p>
        </w:tc>
        <w:tc>
          <w:tcPr>
            <w:tcW w:w="767" w:type="pct"/>
            <w:tcBorders>
              <w:top w:val="single" w:sz="4" w:space="0" w:color="BFBFBF" w:themeColor="background1" w:themeShade="BF"/>
              <w:bottom w:val="single" w:sz="4" w:space="0" w:color="BFBFBF" w:themeColor="background1" w:themeShade="BF"/>
            </w:tcBorders>
            <w:shd w:val="clear" w:color="auto" w:fill="DBE5F1" w:themeFill="accent1" w:themeFillTint="33"/>
            <w:hideMark/>
          </w:tcPr>
          <w:p w:rsidR="00195BE7" w:rsidRPr="001E2F6E" w:rsidRDefault="00195BE7" w:rsidP="00195BE7">
            <w:pPr>
              <w:spacing w:line="240" w:lineRule="exact"/>
              <w:jc w:val="center"/>
              <w:rPr>
                <w:b/>
                <w:bCs/>
                <w:sz w:val="16"/>
                <w:szCs w:val="16"/>
                <w:lang w:val="eu-ES"/>
              </w:rPr>
            </w:pPr>
            <w:r w:rsidRPr="001E2F6E">
              <w:rPr>
                <w:b/>
                <w:bCs/>
                <w:sz w:val="16"/>
                <w:szCs w:val="16"/>
                <w:lang w:val="eu-ES"/>
              </w:rPr>
              <w:t>%ber.</w:t>
            </w:r>
          </w:p>
        </w:tc>
      </w:tr>
      <w:tr w:rsidR="00195BE7" w:rsidRPr="001E2F6E" w:rsidTr="00195BE7">
        <w:trPr>
          <w:jc w:val="center"/>
        </w:trPr>
        <w:tc>
          <w:tcPr>
            <w:tcW w:w="1487" w:type="pct"/>
            <w:tcBorders>
              <w:top w:val="single" w:sz="4" w:space="0" w:color="BFBFBF" w:themeColor="background1" w:themeShade="BF"/>
              <w:right w:val="single" w:sz="4" w:space="0" w:color="BFBFBF" w:themeColor="background1" w:themeShade="BF"/>
            </w:tcBorders>
            <w:vAlign w:val="bottom"/>
            <w:hideMark/>
          </w:tcPr>
          <w:p w:rsidR="00195BE7" w:rsidRPr="001E2F6E" w:rsidRDefault="00195BE7" w:rsidP="00195BE7">
            <w:pPr>
              <w:spacing w:line="240" w:lineRule="exact"/>
              <w:rPr>
                <w:sz w:val="16"/>
                <w:szCs w:val="16"/>
              </w:rPr>
            </w:pPr>
            <w:r w:rsidRPr="001E2F6E">
              <w:rPr>
                <w:sz w:val="16"/>
                <w:szCs w:val="16"/>
              </w:rPr>
              <w:t>Lehen sektorea</w:t>
            </w:r>
          </w:p>
        </w:tc>
        <w:tc>
          <w:tcPr>
            <w:tcW w:w="943" w:type="pct"/>
            <w:tcBorders>
              <w:top w:val="single" w:sz="4" w:space="0" w:color="BFBFBF" w:themeColor="background1" w:themeShade="BF"/>
              <w:left w:val="single" w:sz="4" w:space="0" w:color="BFBFBF" w:themeColor="background1" w:themeShade="BF"/>
            </w:tcBorders>
            <w:hideMark/>
          </w:tcPr>
          <w:p w:rsidR="00195BE7" w:rsidRPr="001E2F6E" w:rsidRDefault="00195BE7" w:rsidP="00195BE7">
            <w:pPr>
              <w:spacing w:line="240" w:lineRule="exact"/>
              <w:ind w:right="170"/>
              <w:jc w:val="right"/>
              <w:rPr>
                <w:sz w:val="16"/>
                <w:szCs w:val="16"/>
              </w:rPr>
            </w:pPr>
            <w:r w:rsidRPr="001E2F6E">
              <w:rPr>
                <w:sz w:val="16"/>
                <w:szCs w:val="16"/>
              </w:rPr>
              <w:t>179</w:t>
            </w:r>
          </w:p>
        </w:tc>
        <w:tc>
          <w:tcPr>
            <w:tcW w:w="905" w:type="pct"/>
            <w:gridSpan w:val="2"/>
            <w:tcBorders>
              <w:top w:val="single" w:sz="4" w:space="0" w:color="BFBFBF" w:themeColor="background1" w:themeShade="BF"/>
              <w:right w:val="single" w:sz="4" w:space="0" w:color="BFBFBF" w:themeColor="background1" w:themeShade="BF"/>
            </w:tcBorders>
            <w:hideMark/>
          </w:tcPr>
          <w:p w:rsidR="00195BE7" w:rsidRPr="001E2F6E" w:rsidRDefault="00195BE7" w:rsidP="00195BE7">
            <w:pPr>
              <w:spacing w:line="240" w:lineRule="exact"/>
              <w:ind w:right="170"/>
              <w:jc w:val="right"/>
              <w:rPr>
                <w:sz w:val="16"/>
                <w:szCs w:val="16"/>
              </w:rPr>
            </w:pPr>
            <w:r w:rsidRPr="001E2F6E">
              <w:rPr>
                <w:sz w:val="16"/>
                <w:szCs w:val="16"/>
              </w:rPr>
              <w:t>0,3</w:t>
            </w:r>
          </w:p>
        </w:tc>
        <w:tc>
          <w:tcPr>
            <w:tcW w:w="898" w:type="pct"/>
            <w:tcBorders>
              <w:top w:val="single" w:sz="4" w:space="0" w:color="BFBFBF" w:themeColor="background1" w:themeShade="BF"/>
              <w:left w:val="single" w:sz="4" w:space="0" w:color="BFBFBF" w:themeColor="background1" w:themeShade="BF"/>
            </w:tcBorders>
            <w:hideMark/>
          </w:tcPr>
          <w:p w:rsidR="00195BE7" w:rsidRPr="001E2F6E" w:rsidRDefault="00195BE7" w:rsidP="00195BE7">
            <w:pPr>
              <w:spacing w:line="240" w:lineRule="exact"/>
              <w:ind w:right="170"/>
              <w:jc w:val="right"/>
              <w:rPr>
                <w:sz w:val="16"/>
                <w:szCs w:val="16"/>
              </w:rPr>
            </w:pPr>
            <w:r w:rsidRPr="001E2F6E">
              <w:rPr>
                <w:sz w:val="16"/>
                <w:szCs w:val="16"/>
              </w:rPr>
              <w:t>117</w:t>
            </w:r>
          </w:p>
        </w:tc>
        <w:tc>
          <w:tcPr>
            <w:tcW w:w="767" w:type="pct"/>
            <w:tcBorders>
              <w:top w:val="single" w:sz="4" w:space="0" w:color="BFBFBF" w:themeColor="background1" w:themeShade="BF"/>
            </w:tcBorders>
            <w:hideMark/>
          </w:tcPr>
          <w:p w:rsidR="00195BE7" w:rsidRPr="001E2F6E" w:rsidRDefault="00195BE7" w:rsidP="00195BE7">
            <w:pPr>
              <w:spacing w:line="240" w:lineRule="exact"/>
              <w:ind w:right="170"/>
              <w:jc w:val="right"/>
              <w:rPr>
                <w:sz w:val="16"/>
                <w:szCs w:val="16"/>
              </w:rPr>
            </w:pPr>
            <w:r w:rsidRPr="001E2F6E">
              <w:rPr>
                <w:sz w:val="16"/>
                <w:szCs w:val="16"/>
              </w:rPr>
              <w:t>0,2</w:t>
            </w:r>
          </w:p>
        </w:tc>
      </w:tr>
      <w:tr w:rsidR="00195BE7" w:rsidRPr="001E2F6E" w:rsidTr="00195BE7">
        <w:trPr>
          <w:jc w:val="center"/>
        </w:trPr>
        <w:tc>
          <w:tcPr>
            <w:tcW w:w="1487" w:type="pct"/>
            <w:tcBorders>
              <w:right w:val="single" w:sz="4" w:space="0" w:color="BFBFBF" w:themeColor="background1" w:themeShade="BF"/>
            </w:tcBorders>
            <w:vAlign w:val="bottom"/>
            <w:hideMark/>
          </w:tcPr>
          <w:p w:rsidR="00195BE7" w:rsidRPr="001E2F6E" w:rsidRDefault="00195BE7" w:rsidP="00195BE7">
            <w:pPr>
              <w:spacing w:line="240" w:lineRule="exact"/>
              <w:rPr>
                <w:sz w:val="16"/>
                <w:szCs w:val="16"/>
              </w:rPr>
            </w:pPr>
            <w:r w:rsidRPr="001E2F6E">
              <w:rPr>
                <w:sz w:val="16"/>
                <w:szCs w:val="16"/>
              </w:rPr>
              <w:t>Industria</w:t>
            </w:r>
          </w:p>
        </w:tc>
        <w:tc>
          <w:tcPr>
            <w:tcW w:w="943" w:type="pct"/>
            <w:tcBorders>
              <w:left w:val="single" w:sz="4" w:space="0" w:color="BFBFBF" w:themeColor="background1" w:themeShade="BF"/>
            </w:tcBorders>
            <w:hideMark/>
          </w:tcPr>
          <w:p w:rsidR="00195BE7" w:rsidRPr="001E2F6E" w:rsidRDefault="00195BE7" w:rsidP="00195BE7">
            <w:pPr>
              <w:spacing w:line="240" w:lineRule="exact"/>
              <w:ind w:right="170"/>
              <w:jc w:val="right"/>
              <w:rPr>
                <w:sz w:val="16"/>
                <w:szCs w:val="16"/>
              </w:rPr>
            </w:pPr>
            <w:r w:rsidRPr="001E2F6E">
              <w:rPr>
                <w:sz w:val="16"/>
                <w:szCs w:val="16"/>
              </w:rPr>
              <w:t>26.510</w:t>
            </w:r>
          </w:p>
        </w:tc>
        <w:tc>
          <w:tcPr>
            <w:tcW w:w="905" w:type="pct"/>
            <w:gridSpan w:val="2"/>
            <w:tcBorders>
              <w:right w:val="single" w:sz="4" w:space="0" w:color="BFBFBF" w:themeColor="background1" w:themeShade="BF"/>
            </w:tcBorders>
            <w:hideMark/>
          </w:tcPr>
          <w:p w:rsidR="00195BE7" w:rsidRPr="001E2F6E" w:rsidRDefault="00195BE7" w:rsidP="00195BE7">
            <w:pPr>
              <w:spacing w:line="240" w:lineRule="exact"/>
              <w:ind w:right="170"/>
              <w:jc w:val="right"/>
              <w:rPr>
                <w:sz w:val="16"/>
                <w:szCs w:val="16"/>
              </w:rPr>
            </w:pPr>
            <w:r w:rsidRPr="001E2F6E">
              <w:rPr>
                <w:sz w:val="16"/>
                <w:szCs w:val="16"/>
              </w:rPr>
              <w:t>44,2</w:t>
            </w:r>
          </w:p>
        </w:tc>
        <w:tc>
          <w:tcPr>
            <w:tcW w:w="898" w:type="pct"/>
            <w:tcBorders>
              <w:left w:val="single" w:sz="4" w:space="0" w:color="BFBFBF" w:themeColor="background1" w:themeShade="BF"/>
            </w:tcBorders>
            <w:hideMark/>
          </w:tcPr>
          <w:p w:rsidR="00195BE7" w:rsidRPr="001E2F6E" w:rsidRDefault="00195BE7" w:rsidP="00195BE7">
            <w:pPr>
              <w:spacing w:line="240" w:lineRule="exact"/>
              <w:ind w:right="170"/>
              <w:jc w:val="right"/>
              <w:rPr>
                <w:sz w:val="16"/>
                <w:szCs w:val="16"/>
              </w:rPr>
            </w:pPr>
            <w:r w:rsidRPr="001E2F6E">
              <w:rPr>
                <w:sz w:val="16"/>
                <w:szCs w:val="16"/>
              </w:rPr>
              <w:t>25.727</w:t>
            </w:r>
          </w:p>
        </w:tc>
        <w:tc>
          <w:tcPr>
            <w:tcW w:w="767" w:type="pct"/>
            <w:hideMark/>
          </w:tcPr>
          <w:p w:rsidR="00195BE7" w:rsidRPr="001E2F6E" w:rsidRDefault="00195BE7" w:rsidP="00195BE7">
            <w:pPr>
              <w:spacing w:line="240" w:lineRule="exact"/>
              <w:ind w:right="170"/>
              <w:jc w:val="right"/>
              <w:rPr>
                <w:sz w:val="16"/>
                <w:szCs w:val="16"/>
              </w:rPr>
            </w:pPr>
            <w:r w:rsidRPr="001E2F6E">
              <w:rPr>
                <w:sz w:val="16"/>
                <w:szCs w:val="16"/>
              </w:rPr>
              <w:t>46,1</w:t>
            </w:r>
          </w:p>
        </w:tc>
      </w:tr>
      <w:tr w:rsidR="00195BE7" w:rsidRPr="001E2F6E" w:rsidTr="00195BE7">
        <w:trPr>
          <w:jc w:val="center"/>
        </w:trPr>
        <w:tc>
          <w:tcPr>
            <w:tcW w:w="1487" w:type="pct"/>
            <w:tcBorders>
              <w:right w:val="single" w:sz="4" w:space="0" w:color="BFBFBF" w:themeColor="background1" w:themeShade="BF"/>
            </w:tcBorders>
            <w:vAlign w:val="bottom"/>
            <w:hideMark/>
          </w:tcPr>
          <w:p w:rsidR="00195BE7" w:rsidRPr="001E2F6E" w:rsidRDefault="00195BE7" w:rsidP="00195BE7">
            <w:pPr>
              <w:spacing w:line="240" w:lineRule="exact"/>
              <w:rPr>
                <w:sz w:val="16"/>
                <w:szCs w:val="16"/>
              </w:rPr>
            </w:pPr>
            <w:r w:rsidRPr="001E2F6E">
              <w:rPr>
                <w:sz w:val="16"/>
                <w:szCs w:val="16"/>
              </w:rPr>
              <w:t>Eraikuntza</w:t>
            </w:r>
          </w:p>
        </w:tc>
        <w:tc>
          <w:tcPr>
            <w:tcW w:w="943" w:type="pct"/>
            <w:tcBorders>
              <w:left w:val="single" w:sz="4" w:space="0" w:color="BFBFBF" w:themeColor="background1" w:themeShade="BF"/>
            </w:tcBorders>
            <w:hideMark/>
          </w:tcPr>
          <w:p w:rsidR="00195BE7" w:rsidRPr="001E2F6E" w:rsidRDefault="00195BE7" w:rsidP="00195BE7">
            <w:pPr>
              <w:spacing w:line="240" w:lineRule="exact"/>
              <w:ind w:right="170"/>
              <w:jc w:val="right"/>
              <w:rPr>
                <w:sz w:val="16"/>
                <w:szCs w:val="16"/>
              </w:rPr>
            </w:pPr>
            <w:r w:rsidRPr="001E2F6E">
              <w:rPr>
                <w:sz w:val="16"/>
                <w:szCs w:val="16"/>
              </w:rPr>
              <w:t>2.055</w:t>
            </w:r>
          </w:p>
        </w:tc>
        <w:tc>
          <w:tcPr>
            <w:tcW w:w="905" w:type="pct"/>
            <w:gridSpan w:val="2"/>
            <w:tcBorders>
              <w:right w:val="single" w:sz="4" w:space="0" w:color="BFBFBF" w:themeColor="background1" w:themeShade="BF"/>
            </w:tcBorders>
            <w:hideMark/>
          </w:tcPr>
          <w:p w:rsidR="00195BE7" w:rsidRPr="001E2F6E" w:rsidRDefault="00195BE7" w:rsidP="00195BE7">
            <w:pPr>
              <w:spacing w:line="240" w:lineRule="exact"/>
              <w:ind w:right="170"/>
              <w:jc w:val="right"/>
              <w:rPr>
                <w:sz w:val="16"/>
                <w:szCs w:val="16"/>
              </w:rPr>
            </w:pPr>
            <w:r w:rsidRPr="001E2F6E">
              <w:rPr>
                <w:sz w:val="16"/>
                <w:szCs w:val="16"/>
              </w:rPr>
              <w:t>3,4</w:t>
            </w:r>
          </w:p>
        </w:tc>
        <w:tc>
          <w:tcPr>
            <w:tcW w:w="898" w:type="pct"/>
            <w:tcBorders>
              <w:left w:val="single" w:sz="4" w:space="0" w:color="BFBFBF" w:themeColor="background1" w:themeShade="BF"/>
            </w:tcBorders>
            <w:hideMark/>
          </w:tcPr>
          <w:p w:rsidR="00195BE7" w:rsidRPr="001E2F6E" w:rsidRDefault="00195BE7" w:rsidP="00195BE7">
            <w:pPr>
              <w:spacing w:line="240" w:lineRule="exact"/>
              <w:ind w:right="170"/>
              <w:jc w:val="right"/>
              <w:rPr>
                <w:sz w:val="16"/>
                <w:szCs w:val="16"/>
              </w:rPr>
            </w:pPr>
            <w:r w:rsidRPr="001E2F6E">
              <w:rPr>
                <w:sz w:val="16"/>
                <w:szCs w:val="16"/>
              </w:rPr>
              <w:t>2.000</w:t>
            </w:r>
          </w:p>
        </w:tc>
        <w:tc>
          <w:tcPr>
            <w:tcW w:w="767" w:type="pct"/>
            <w:hideMark/>
          </w:tcPr>
          <w:p w:rsidR="00195BE7" w:rsidRPr="001E2F6E" w:rsidRDefault="00195BE7" w:rsidP="00195BE7">
            <w:pPr>
              <w:spacing w:line="240" w:lineRule="exact"/>
              <w:ind w:right="170"/>
              <w:jc w:val="right"/>
              <w:rPr>
                <w:sz w:val="16"/>
                <w:szCs w:val="16"/>
              </w:rPr>
            </w:pPr>
            <w:r w:rsidRPr="001E2F6E">
              <w:rPr>
                <w:sz w:val="16"/>
                <w:szCs w:val="16"/>
              </w:rPr>
              <w:t>3,6</w:t>
            </w:r>
          </w:p>
        </w:tc>
      </w:tr>
      <w:tr w:rsidR="00195BE7" w:rsidRPr="001E2F6E" w:rsidTr="00195BE7">
        <w:trPr>
          <w:jc w:val="center"/>
        </w:trPr>
        <w:tc>
          <w:tcPr>
            <w:tcW w:w="1487" w:type="pct"/>
            <w:tcBorders>
              <w:bottom w:val="single" w:sz="4" w:space="0" w:color="BFBFBF" w:themeColor="background1" w:themeShade="BF"/>
              <w:right w:val="single" w:sz="4" w:space="0" w:color="BFBFBF" w:themeColor="background1" w:themeShade="BF"/>
            </w:tcBorders>
            <w:vAlign w:val="bottom"/>
            <w:hideMark/>
          </w:tcPr>
          <w:p w:rsidR="00195BE7" w:rsidRPr="001E2F6E" w:rsidRDefault="00195BE7" w:rsidP="00195BE7">
            <w:pPr>
              <w:spacing w:line="240" w:lineRule="exact"/>
              <w:rPr>
                <w:sz w:val="16"/>
                <w:szCs w:val="16"/>
              </w:rPr>
            </w:pPr>
            <w:r w:rsidRPr="001E2F6E">
              <w:rPr>
                <w:sz w:val="16"/>
                <w:szCs w:val="16"/>
              </w:rPr>
              <w:t>Zerbitzuak</w:t>
            </w:r>
          </w:p>
        </w:tc>
        <w:tc>
          <w:tcPr>
            <w:tcW w:w="943" w:type="pct"/>
            <w:tcBorders>
              <w:left w:val="single" w:sz="4" w:space="0" w:color="BFBFBF" w:themeColor="background1" w:themeShade="BF"/>
              <w:bottom w:val="single" w:sz="4" w:space="0" w:color="BFBFBF" w:themeColor="background1" w:themeShade="BF"/>
            </w:tcBorders>
            <w:hideMark/>
          </w:tcPr>
          <w:p w:rsidR="00195BE7" w:rsidRPr="001E2F6E" w:rsidRDefault="00195BE7" w:rsidP="00195BE7">
            <w:pPr>
              <w:spacing w:line="240" w:lineRule="exact"/>
              <w:ind w:right="170"/>
              <w:jc w:val="right"/>
              <w:rPr>
                <w:sz w:val="16"/>
                <w:szCs w:val="16"/>
              </w:rPr>
            </w:pPr>
            <w:r w:rsidRPr="001E2F6E">
              <w:rPr>
                <w:sz w:val="16"/>
                <w:szCs w:val="16"/>
              </w:rPr>
              <w:t>31.171</w:t>
            </w:r>
          </w:p>
        </w:tc>
        <w:tc>
          <w:tcPr>
            <w:tcW w:w="905" w:type="pct"/>
            <w:gridSpan w:val="2"/>
            <w:tcBorders>
              <w:bottom w:val="single" w:sz="4" w:space="0" w:color="BFBFBF" w:themeColor="background1" w:themeShade="BF"/>
              <w:right w:val="single" w:sz="4" w:space="0" w:color="BFBFBF" w:themeColor="background1" w:themeShade="BF"/>
            </w:tcBorders>
            <w:hideMark/>
          </w:tcPr>
          <w:p w:rsidR="00195BE7" w:rsidRPr="001E2F6E" w:rsidRDefault="00195BE7" w:rsidP="00195BE7">
            <w:pPr>
              <w:spacing w:line="240" w:lineRule="exact"/>
              <w:ind w:right="170"/>
              <w:jc w:val="right"/>
              <w:rPr>
                <w:sz w:val="16"/>
                <w:szCs w:val="16"/>
              </w:rPr>
            </w:pPr>
            <w:r w:rsidRPr="001E2F6E">
              <w:rPr>
                <w:sz w:val="16"/>
                <w:szCs w:val="16"/>
              </w:rPr>
              <w:t>52</w:t>
            </w:r>
          </w:p>
        </w:tc>
        <w:tc>
          <w:tcPr>
            <w:tcW w:w="898" w:type="pct"/>
            <w:tcBorders>
              <w:left w:val="single" w:sz="4" w:space="0" w:color="BFBFBF" w:themeColor="background1" w:themeShade="BF"/>
              <w:bottom w:val="single" w:sz="4" w:space="0" w:color="BFBFBF" w:themeColor="background1" w:themeShade="BF"/>
            </w:tcBorders>
            <w:hideMark/>
          </w:tcPr>
          <w:p w:rsidR="00195BE7" w:rsidRPr="001E2F6E" w:rsidRDefault="00195BE7" w:rsidP="00195BE7">
            <w:pPr>
              <w:spacing w:line="240" w:lineRule="exact"/>
              <w:ind w:right="170"/>
              <w:jc w:val="right"/>
              <w:rPr>
                <w:sz w:val="16"/>
                <w:szCs w:val="16"/>
              </w:rPr>
            </w:pPr>
            <w:r w:rsidRPr="001E2F6E">
              <w:rPr>
                <w:sz w:val="16"/>
                <w:szCs w:val="16"/>
              </w:rPr>
              <w:t>27.966</w:t>
            </w:r>
          </w:p>
        </w:tc>
        <w:tc>
          <w:tcPr>
            <w:tcW w:w="767" w:type="pct"/>
            <w:tcBorders>
              <w:bottom w:val="single" w:sz="4" w:space="0" w:color="BFBFBF" w:themeColor="background1" w:themeShade="BF"/>
            </w:tcBorders>
            <w:hideMark/>
          </w:tcPr>
          <w:p w:rsidR="00195BE7" w:rsidRPr="001E2F6E" w:rsidRDefault="00195BE7" w:rsidP="00195BE7">
            <w:pPr>
              <w:spacing w:line="240" w:lineRule="exact"/>
              <w:ind w:right="170"/>
              <w:jc w:val="right"/>
              <w:rPr>
                <w:sz w:val="16"/>
                <w:szCs w:val="16"/>
              </w:rPr>
            </w:pPr>
            <w:r w:rsidRPr="001E2F6E">
              <w:rPr>
                <w:sz w:val="16"/>
                <w:szCs w:val="16"/>
              </w:rPr>
              <w:t>50,1</w:t>
            </w:r>
          </w:p>
        </w:tc>
      </w:tr>
      <w:tr w:rsidR="00195BE7" w:rsidRPr="001E2F6E" w:rsidTr="00195BE7">
        <w:trPr>
          <w:jc w:val="center"/>
        </w:trPr>
        <w:tc>
          <w:tcPr>
            <w:tcW w:w="1487" w:type="pct"/>
            <w:tcBorders>
              <w:top w:val="single" w:sz="4" w:space="0" w:color="BFBFBF" w:themeColor="background1" w:themeShade="BF"/>
              <w:bottom w:val="single" w:sz="4" w:space="0" w:color="BFBFBF" w:themeColor="background1" w:themeShade="BF"/>
              <w:right w:val="single" w:sz="4" w:space="0" w:color="BFBFBF" w:themeColor="background1" w:themeShade="BF"/>
            </w:tcBorders>
            <w:vAlign w:val="bottom"/>
            <w:hideMark/>
          </w:tcPr>
          <w:p w:rsidR="00195BE7" w:rsidRPr="001E2F6E" w:rsidRDefault="00195BE7" w:rsidP="00195BE7">
            <w:pPr>
              <w:spacing w:line="240" w:lineRule="exact"/>
              <w:rPr>
                <w:b/>
                <w:sz w:val="16"/>
                <w:szCs w:val="16"/>
              </w:rPr>
            </w:pPr>
            <w:r w:rsidRPr="001E2F6E">
              <w:rPr>
                <w:b/>
                <w:sz w:val="16"/>
                <w:szCs w:val="16"/>
              </w:rPr>
              <w:t>GUZTIRA</w:t>
            </w:r>
          </w:p>
        </w:tc>
        <w:tc>
          <w:tcPr>
            <w:tcW w:w="943" w:type="pct"/>
            <w:tcBorders>
              <w:top w:val="single" w:sz="4" w:space="0" w:color="BFBFBF" w:themeColor="background1" w:themeShade="BF"/>
              <w:left w:val="single" w:sz="4" w:space="0" w:color="BFBFBF" w:themeColor="background1" w:themeShade="BF"/>
              <w:bottom w:val="single" w:sz="4" w:space="0" w:color="BFBFBF" w:themeColor="background1" w:themeShade="BF"/>
            </w:tcBorders>
            <w:hideMark/>
          </w:tcPr>
          <w:p w:rsidR="00195BE7" w:rsidRPr="001E2F6E" w:rsidRDefault="00195BE7" w:rsidP="00195BE7">
            <w:pPr>
              <w:spacing w:line="240" w:lineRule="exact"/>
              <w:ind w:right="170"/>
              <w:jc w:val="right"/>
              <w:rPr>
                <w:b/>
                <w:bCs/>
                <w:sz w:val="16"/>
                <w:szCs w:val="16"/>
              </w:rPr>
            </w:pPr>
            <w:r w:rsidRPr="001E2F6E">
              <w:rPr>
                <w:b/>
                <w:bCs/>
                <w:sz w:val="16"/>
                <w:szCs w:val="16"/>
              </w:rPr>
              <w:t>59.915</w:t>
            </w:r>
          </w:p>
        </w:tc>
        <w:tc>
          <w:tcPr>
            <w:tcW w:w="905" w:type="pct"/>
            <w:gridSpan w:val="2"/>
            <w:tcBorders>
              <w:top w:val="single" w:sz="4" w:space="0" w:color="BFBFBF" w:themeColor="background1" w:themeShade="BF"/>
              <w:bottom w:val="single" w:sz="4" w:space="0" w:color="BFBFBF" w:themeColor="background1" w:themeShade="BF"/>
              <w:right w:val="single" w:sz="4" w:space="0" w:color="BFBFBF" w:themeColor="background1" w:themeShade="BF"/>
            </w:tcBorders>
            <w:hideMark/>
          </w:tcPr>
          <w:p w:rsidR="00195BE7" w:rsidRPr="001E2F6E" w:rsidRDefault="00195BE7" w:rsidP="00195BE7">
            <w:pPr>
              <w:spacing w:line="240" w:lineRule="exact"/>
              <w:ind w:right="170"/>
              <w:jc w:val="right"/>
              <w:rPr>
                <w:b/>
                <w:bCs/>
                <w:sz w:val="16"/>
                <w:szCs w:val="16"/>
              </w:rPr>
            </w:pPr>
            <w:r w:rsidRPr="001E2F6E">
              <w:rPr>
                <w:b/>
                <w:bCs/>
                <w:sz w:val="16"/>
                <w:szCs w:val="16"/>
              </w:rPr>
              <w:t>100</w:t>
            </w:r>
          </w:p>
        </w:tc>
        <w:tc>
          <w:tcPr>
            <w:tcW w:w="898" w:type="pct"/>
            <w:tcBorders>
              <w:top w:val="single" w:sz="4" w:space="0" w:color="BFBFBF" w:themeColor="background1" w:themeShade="BF"/>
              <w:left w:val="single" w:sz="4" w:space="0" w:color="BFBFBF" w:themeColor="background1" w:themeShade="BF"/>
              <w:bottom w:val="single" w:sz="4" w:space="0" w:color="BFBFBF" w:themeColor="background1" w:themeShade="BF"/>
            </w:tcBorders>
            <w:hideMark/>
          </w:tcPr>
          <w:p w:rsidR="00195BE7" w:rsidRPr="001E2F6E" w:rsidRDefault="00195BE7" w:rsidP="00195BE7">
            <w:pPr>
              <w:spacing w:line="240" w:lineRule="exact"/>
              <w:ind w:right="170"/>
              <w:jc w:val="right"/>
              <w:rPr>
                <w:b/>
                <w:bCs/>
                <w:sz w:val="16"/>
                <w:szCs w:val="16"/>
              </w:rPr>
            </w:pPr>
            <w:r w:rsidRPr="001E2F6E">
              <w:rPr>
                <w:b/>
                <w:bCs/>
                <w:sz w:val="16"/>
                <w:szCs w:val="16"/>
              </w:rPr>
              <w:t>55.809</w:t>
            </w:r>
          </w:p>
        </w:tc>
        <w:tc>
          <w:tcPr>
            <w:tcW w:w="767" w:type="pct"/>
            <w:tcBorders>
              <w:top w:val="single" w:sz="4" w:space="0" w:color="BFBFBF" w:themeColor="background1" w:themeShade="BF"/>
              <w:bottom w:val="single" w:sz="4" w:space="0" w:color="BFBFBF" w:themeColor="background1" w:themeShade="BF"/>
            </w:tcBorders>
            <w:hideMark/>
          </w:tcPr>
          <w:p w:rsidR="00195BE7" w:rsidRPr="001E2F6E" w:rsidRDefault="00195BE7" w:rsidP="00195BE7">
            <w:pPr>
              <w:spacing w:line="240" w:lineRule="exact"/>
              <w:ind w:right="170"/>
              <w:jc w:val="right"/>
              <w:rPr>
                <w:b/>
                <w:bCs/>
                <w:sz w:val="16"/>
                <w:szCs w:val="16"/>
              </w:rPr>
            </w:pPr>
            <w:r w:rsidRPr="001E2F6E">
              <w:rPr>
                <w:b/>
                <w:bCs/>
                <w:sz w:val="16"/>
                <w:szCs w:val="16"/>
              </w:rPr>
              <w:t>100</w:t>
            </w:r>
          </w:p>
        </w:tc>
      </w:tr>
    </w:tbl>
    <w:p w:rsidR="00195BE7" w:rsidRPr="001E2F6E" w:rsidRDefault="00195BE7" w:rsidP="00195BE7"/>
    <w:p w:rsidR="00195BE7" w:rsidRPr="001E2F6E" w:rsidRDefault="00195BE7" w:rsidP="00195BE7">
      <w:pPr>
        <w:spacing w:after="200" w:line="276" w:lineRule="auto"/>
        <w:jc w:val="left"/>
        <w:rPr>
          <w:b/>
          <w:color w:val="1F497D" w:themeColor="text2"/>
          <w:sz w:val="18"/>
          <w:szCs w:val="18"/>
        </w:rPr>
      </w:pPr>
      <w:bookmarkStart w:id="44" w:name="_Toc391989149"/>
    </w:p>
    <w:p w:rsidR="00195BE7" w:rsidRPr="001E2F6E" w:rsidRDefault="00195BE7" w:rsidP="00195BE7">
      <w:pPr>
        <w:spacing w:line="240" w:lineRule="auto"/>
        <w:jc w:val="center"/>
        <w:rPr>
          <w:b/>
          <w:noProof/>
          <w:color w:val="1F497D" w:themeColor="text2"/>
          <w:sz w:val="18"/>
          <w:szCs w:val="18"/>
          <w:lang w:val="eu-ES"/>
        </w:rPr>
      </w:pPr>
      <w:bookmarkStart w:id="45" w:name="_Toc392585814"/>
      <w:r w:rsidRPr="001E2F6E">
        <w:rPr>
          <w:b/>
          <w:color w:val="1F497D" w:themeColor="text2"/>
          <w:sz w:val="18"/>
          <w:szCs w:val="18"/>
        </w:rPr>
        <w:t>1.</w:t>
      </w:r>
      <w:r w:rsidR="00EB6BA6" w:rsidRPr="001E2F6E">
        <w:rPr>
          <w:b/>
          <w:color w:val="1F497D" w:themeColor="text2"/>
          <w:sz w:val="18"/>
          <w:szCs w:val="18"/>
        </w:rPr>
        <w:fldChar w:fldCharType="begin"/>
      </w:r>
      <w:r w:rsidRPr="001E2F6E">
        <w:rPr>
          <w:b/>
          <w:color w:val="1F497D" w:themeColor="text2"/>
          <w:sz w:val="18"/>
          <w:szCs w:val="18"/>
        </w:rPr>
        <w:instrText xml:space="preserve"> SEQ Gráfico_1. \* ARABIC </w:instrText>
      </w:r>
      <w:r w:rsidR="00EB6BA6" w:rsidRPr="001E2F6E">
        <w:rPr>
          <w:b/>
          <w:color w:val="1F497D" w:themeColor="text2"/>
          <w:sz w:val="18"/>
          <w:szCs w:val="18"/>
        </w:rPr>
        <w:fldChar w:fldCharType="separate"/>
      </w:r>
      <w:r w:rsidR="00A327D4">
        <w:rPr>
          <w:b/>
          <w:noProof/>
          <w:color w:val="1F497D" w:themeColor="text2"/>
          <w:sz w:val="18"/>
          <w:szCs w:val="18"/>
        </w:rPr>
        <w:t>4</w:t>
      </w:r>
      <w:r w:rsidR="00EB6BA6" w:rsidRPr="001E2F6E">
        <w:rPr>
          <w:b/>
          <w:color w:val="1F497D" w:themeColor="text2"/>
          <w:sz w:val="18"/>
          <w:szCs w:val="18"/>
        </w:rPr>
        <w:fldChar w:fldCharType="end"/>
      </w:r>
      <w:r w:rsidRPr="001E2F6E">
        <w:rPr>
          <w:b/>
          <w:color w:val="1F497D" w:themeColor="text2"/>
          <w:sz w:val="18"/>
          <w:szCs w:val="18"/>
        </w:rPr>
        <w:t xml:space="preserve"> Irudia </w:t>
      </w:r>
      <w:bookmarkEnd w:id="44"/>
      <w:r w:rsidRPr="001E2F6E">
        <w:rPr>
          <w:b/>
          <w:noProof/>
          <w:color w:val="1F497D" w:themeColor="text2"/>
          <w:sz w:val="18"/>
          <w:szCs w:val="18"/>
          <w:lang w:val="eu-ES"/>
        </w:rPr>
        <w:t>ENPLEGUAREN ARLOZ ARLOKO BANAKETAREN KONPARATIBA, EAEko EKONOMIAN ETA GIZARTE-EKONOMIAN. (%bertikalak, eremu bakoitzeko enplegu osoari dagokionez)</w:t>
      </w:r>
      <w:bookmarkEnd w:id="45"/>
    </w:p>
    <w:p w:rsidR="00195BE7" w:rsidRPr="001E2F6E" w:rsidRDefault="00195BE7" w:rsidP="00195BE7">
      <w:pPr>
        <w:spacing w:line="240" w:lineRule="auto"/>
        <w:jc w:val="center"/>
        <w:rPr>
          <w:b/>
          <w:noProof/>
          <w:color w:val="1F497D" w:themeColor="text2"/>
          <w:sz w:val="18"/>
          <w:szCs w:val="18"/>
          <w:lang w:val="eu-ES"/>
        </w:rPr>
      </w:pPr>
    </w:p>
    <w:p w:rsidR="00195BE7" w:rsidRPr="001E2F6E" w:rsidRDefault="00195BE7" w:rsidP="00195BE7">
      <w:pPr>
        <w:jc w:val="center"/>
        <w:rPr>
          <w:b/>
          <w:noProof/>
          <w:color w:val="1F497D" w:themeColor="text2"/>
          <w:sz w:val="18"/>
          <w:szCs w:val="18"/>
          <w:lang w:val="eu-ES"/>
        </w:rPr>
      </w:pPr>
      <w:r w:rsidRPr="001E2F6E">
        <w:rPr>
          <w:b/>
          <w:noProof/>
          <w:color w:val="1F497D" w:themeColor="text2"/>
          <w:sz w:val="18"/>
          <w:szCs w:val="18"/>
          <w:lang w:eastAsia="es-ES"/>
        </w:rPr>
        <w:drawing>
          <wp:anchor distT="0" distB="0" distL="114300" distR="114300" simplePos="0" relativeHeight="251691008" behindDoc="0" locked="0" layoutInCell="1" allowOverlap="1" wp14:anchorId="6E79B098" wp14:editId="4D78B985">
            <wp:simplePos x="0" y="0"/>
            <wp:positionH relativeFrom="column">
              <wp:posOffset>254635</wp:posOffset>
            </wp:positionH>
            <wp:positionV relativeFrom="paragraph">
              <wp:posOffset>23495</wp:posOffset>
            </wp:positionV>
            <wp:extent cx="4810125" cy="1828800"/>
            <wp:effectExtent l="0" t="0" r="0" b="0"/>
            <wp:wrapNone/>
            <wp:docPr id="452" name="Objeto 44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anchor>
        </w:drawing>
      </w:r>
    </w:p>
    <w:p w:rsidR="00195BE7" w:rsidRPr="001E2F6E" w:rsidRDefault="00195BE7" w:rsidP="00195BE7">
      <w:pPr>
        <w:jc w:val="center"/>
        <w:rPr>
          <w:b/>
          <w:noProof/>
          <w:color w:val="1F497D" w:themeColor="text2"/>
          <w:sz w:val="18"/>
          <w:szCs w:val="18"/>
          <w:lang w:val="eu-ES"/>
        </w:rPr>
      </w:pPr>
    </w:p>
    <w:p w:rsidR="00195BE7" w:rsidRPr="001E2F6E" w:rsidRDefault="00195BE7" w:rsidP="00195BE7">
      <w:pPr>
        <w:jc w:val="center"/>
        <w:rPr>
          <w:b/>
          <w:noProof/>
          <w:color w:val="1F497D" w:themeColor="text2"/>
          <w:sz w:val="18"/>
          <w:szCs w:val="18"/>
          <w:lang w:val="eu-ES"/>
        </w:rPr>
      </w:pPr>
    </w:p>
    <w:p w:rsidR="00195BE7" w:rsidRPr="001E2F6E" w:rsidRDefault="00195BE7" w:rsidP="00195BE7">
      <w:pPr>
        <w:jc w:val="center"/>
        <w:rPr>
          <w:b/>
          <w:noProof/>
          <w:color w:val="1F497D" w:themeColor="text2"/>
          <w:sz w:val="18"/>
          <w:szCs w:val="18"/>
          <w:lang w:val="eu-ES"/>
        </w:rPr>
      </w:pPr>
    </w:p>
    <w:p w:rsidR="00195BE7" w:rsidRPr="001E2F6E" w:rsidRDefault="00195BE7" w:rsidP="00195BE7">
      <w:pPr>
        <w:jc w:val="center"/>
        <w:rPr>
          <w:b/>
          <w:noProof/>
          <w:color w:val="1F497D" w:themeColor="text2"/>
          <w:sz w:val="18"/>
          <w:szCs w:val="18"/>
          <w:lang w:val="eu-ES"/>
        </w:rPr>
      </w:pPr>
    </w:p>
    <w:p w:rsidR="00195BE7" w:rsidRPr="001E2F6E" w:rsidRDefault="00195BE7" w:rsidP="00195BE7">
      <w:pPr>
        <w:jc w:val="center"/>
        <w:rPr>
          <w:b/>
          <w:noProof/>
          <w:color w:val="1F497D" w:themeColor="text2"/>
          <w:sz w:val="18"/>
          <w:szCs w:val="18"/>
          <w:lang w:val="eu-ES"/>
        </w:rPr>
      </w:pPr>
    </w:p>
    <w:p w:rsidR="00195BE7" w:rsidRPr="001E2F6E" w:rsidRDefault="00195BE7" w:rsidP="00195BE7">
      <w:pPr>
        <w:jc w:val="center"/>
        <w:rPr>
          <w:b/>
          <w:noProof/>
          <w:color w:val="1F497D" w:themeColor="text2"/>
          <w:sz w:val="18"/>
          <w:szCs w:val="18"/>
          <w:lang w:val="eu-ES"/>
        </w:rPr>
      </w:pPr>
    </w:p>
    <w:p w:rsidR="00195BE7" w:rsidRPr="001E2F6E" w:rsidRDefault="00195BE7" w:rsidP="00195BE7">
      <w:pPr>
        <w:jc w:val="center"/>
        <w:rPr>
          <w:b/>
          <w:noProof/>
          <w:color w:val="1F497D" w:themeColor="text2"/>
          <w:sz w:val="18"/>
          <w:szCs w:val="18"/>
          <w:lang w:val="eu-ES"/>
        </w:rPr>
      </w:pPr>
    </w:p>
    <w:p w:rsidR="00195BE7" w:rsidRPr="001E2F6E" w:rsidRDefault="00195BE7" w:rsidP="00195BE7">
      <w:pPr>
        <w:jc w:val="center"/>
        <w:rPr>
          <w:b/>
          <w:noProof/>
          <w:color w:val="1F497D" w:themeColor="text2"/>
          <w:sz w:val="18"/>
          <w:szCs w:val="18"/>
          <w:lang w:val="eu-ES"/>
        </w:rPr>
      </w:pPr>
    </w:p>
    <w:p w:rsidR="00195BE7" w:rsidRPr="001E2F6E" w:rsidRDefault="00195BE7" w:rsidP="00195BE7">
      <w:pPr>
        <w:jc w:val="center"/>
        <w:rPr>
          <w:b/>
          <w:noProof/>
          <w:color w:val="1F497D" w:themeColor="text2"/>
          <w:sz w:val="18"/>
          <w:szCs w:val="18"/>
          <w:lang w:val="eu-ES"/>
        </w:rPr>
      </w:pPr>
    </w:p>
    <w:p w:rsidR="00195BE7" w:rsidRPr="001E2F6E" w:rsidRDefault="00195BE7" w:rsidP="00195BE7">
      <w:pPr>
        <w:pStyle w:val="Piedepgina"/>
        <w:widowControl w:val="0"/>
        <w:tabs>
          <w:tab w:val="clear" w:pos="4252"/>
          <w:tab w:val="clear" w:pos="8504"/>
          <w:tab w:val="left" w:pos="1276"/>
        </w:tabs>
        <w:ind w:left="1276" w:hanging="425"/>
        <w:rPr>
          <w:i/>
          <w:sz w:val="16"/>
          <w:szCs w:val="16"/>
          <w:lang w:val="eu-ES"/>
        </w:rPr>
      </w:pPr>
    </w:p>
    <w:p w:rsidR="00195BE7" w:rsidRPr="001E2F6E" w:rsidRDefault="00195BE7" w:rsidP="00195BE7">
      <w:pPr>
        <w:spacing w:line="240" w:lineRule="auto"/>
        <w:jc w:val="center"/>
        <w:rPr>
          <w:b/>
          <w:noProof/>
          <w:color w:val="1F497D" w:themeColor="text2"/>
          <w:sz w:val="18"/>
          <w:szCs w:val="18"/>
          <w:lang w:val="eu-ES"/>
        </w:rPr>
      </w:pPr>
    </w:p>
    <w:p w:rsidR="00195BE7" w:rsidRPr="001E2F6E" w:rsidRDefault="00195BE7" w:rsidP="00195BE7">
      <w:pPr>
        <w:pStyle w:val="Piedepgina"/>
        <w:widowControl w:val="0"/>
        <w:tabs>
          <w:tab w:val="clear" w:pos="4252"/>
          <w:tab w:val="clear" w:pos="8504"/>
        </w:tabs>
        <w:ind w:left="1276" w:hanging="425"/>
        <w:rPr>
          <w:i/>
          <w:sz w:val="16"/>
          <w:szCs w:val="16"/>
          <w:lang w:val="eu-ES"/>
        </w:rPr>
      </w:pPr>
      <w:r w:rsidRPr="001E2F6E">
        <w:rPr>
          <w:i/>
          <w:sz w:val="16"/>
          <w:szCs w:val="16"/>
          <w:lang w:val="eu-ES"/>
        </w:rPr>
        <w:t>Oharra: Konparazio datuak Biztanleria jardueraren arabera sailkatzeko inkestatik (BJA) hartutakoak dira. Eustat 2012. urteko okupazioaren batez bestekoa.</w:t>
      </w:r>
    </w:p>
    <w:p w:rsidR="00195BE7" w:rsidRPr="001E2F6E" w:rsidRDefault="00195BE7" w:rsidP="00195BE7">
      <w:pPr>
        <w:tabs>
          <w:tab w:val="left" w:pos="142"/>
        </w:tabs>
        <w:jc w:val="left"/>
        <w:rPr>
          <w:lang w:val="eu-ES"/>
        </w:rPr>
      </w:pPr>
    </w:p>
    <w:p w:rsidR="00195BE7" w:rsidRPr="001E2F6E" w:rsidRDefault="00195BE7" w:rsidP="00195BE7">
      <w:pPr>
        <w:rPr>
          <w:sz w:val="2"/>
          <w:szCs w:val="2"/>
          <w:lang w:val="eu-ES"/>
        </w:rPr>
      </w:pPr>
    </w:p>
    <w:p w:rsidR="00195BE7" w:rsidRPr="001E2F6E" w:rsidRDefault="00195BE7" w:rsidP="00195BE7">
      <w:pPr>
        <w:rPr>
          <w:b/>
          <w:color w:val="1F497D" w:themeColor="text2"/>
          <w:sz w:val="18"/>
          <w:szCs w:val="18"/>
          <w:lang w:val="eu-ES"/>
        </w:rPr>
      </w:pPr>
    </w:p>
    <w:p w:rsidR="00195BE7" w:rsidRPr="001E2F6E" w:rsidRDefault="00195BE7" w:rsidP="00195BE7">
      <w:pPr>
        <w:spacing w:line="240" w:lineRule="auto"/>
        <w:jc w:val="center"/>
        <w:rPr>
          <w:b/>
          <w:color w:val="1F497D" w:themeColor="text2"/>
          <w:sz w:val="18"/>
          <w:szCs w:val="18"/>
          <w:lang w:val="eu-ES"/>
        </w:rPr>
      </w:pPr>
      <w:bookmarkStart w:id="46" w:name="_Toc391989150"/>
      <w:bookmarkStart w:id="47" w:name="_Toc392585815"/>
      <w:r w:rsidRPr="001E2F6E">
        <w:rPr>
          <w:b/>
          <w:color w:val="1F497D" w:themeColor="text2"/>
          <w:sz w:val="18"/>
          <w:szCs w:val="18"/>
          <w:lang w:val="eu-ES"/>
        </w:rPr>
        <w:t>1.</w:t>
      </w:r>
      <w:r w:rsidR="00EB6BA6" w:rsidRPr="001E2F6E">
        <w:rPr>
          <w:b/>
          <w:color w:val="1F497D" w:themeColor="text2"/>
          <w:sz w:val="18"/>
          <w:szCs w:val="18"/>
        </w:rPr>
        <w:fldChar w:fldCharType="begin"/>
      </w:r>
      <w:r w:rsidRPr="001E2F6E">
        <w:rPr>
          <w:b/>
          <w:color w:val="1F497D" w:themeColor="text2"/>
          <w:sz w:val="18"/>
          <w:szCs w:val="18"/>
          <w:lang w:val="eu-ES"/>
        </w:rPr>
        <w:instrText xml:space="preserve"> SEQ Gráfico_1. \* ARABIC </w:instrText>
      </w:r>
      <w:r w:rsidR="00EB6BA6" w:rsidRPr="001E2F6E">
        <w:rPr>
          <w:b/>
          <w:color w:val="1F497D" w:themeColor="text2"/>
          <w:sz w:val="18"/>
          <w:szCs w:val="18"/>
        </w:rPr>
        <w:fldChar w:fldCharType="separate"/>
      </w:r>
      <w:r w:rsidR="00A327D4">
        <w:rPr>
          <w:b/>
          <w:noProof/>
          <w:color w:val="1F497D" w:themeColor="text2"/>
          <w:sz w:val="18"/>
          <w:szCs w:val="18"/>
          <w:lang w:val="eu-ES"/>
        </w:rPr>
        <w:t>5</w:t>
      </w:r>
      <w:r w:rsidR="00EB6BA6" w:rsidRPr="001E2F6E">
        <w:rPr>
          <w:b/>
          <w:color w:val="1F497D" w:themeColor="text2"/>
          <w:sz w:val="18"/>
          <w:szCs w:val="18"/>
        </w:rPr>
        <w:fldChar w:fldCharType="end"/>
      </w:r>
      <w:r w:rsidRPr="001E2F6E">
        <w:rPr>
          <w:b/>
          <w:color w:val="1F497D" w:themeColor="text2"/>
          <w:sz w:val="18"/>
          <w:szCs w:val="18"/>
          <w:lang w:val="eu-ES"/>
        </w:rPr>
        <w:t xml:space="preserve"> Irudia GIZARTE-EKONOMIAREN GARRANTZI ERLATIBOA EAEko EKONOMIAN (Enpleguaren pisu erlatiboa). 2008-2012</w:t>
      </w:r>
      <w:bookmarkEnd w:id="46"/>
      <w:bookmarkEnd w:id="47"/>
    </w:p>
    <w:p w:rsidR="00195BE7" w:rsidRPr="001E2F6E" w:rsidRDefault="00195BE7" w:rsidP="00195BE7">
      <w:pPr>
        <w:rPr>
          <w:b/>
          <w:lang w:val="eu-ES"/>
        </w:rPr>
      </w:pPr>
    </w:p>
    <w:p w:rsidR="00195BE7" w:rsidRPr="001E2F6E" w:rsidRDefault="00195BE7" w:rsidP="00195BE7">
      <w:pPr>
        <w:rPr>
          <w:b/>
          <w:lang w:val="eu-ES"/>
        </w:rPr>
      </w:pPr>
    </w:p>
    <w:p w:rsidR="00195BE7" w:rsidRPr="001E2F6E" w:rsidRDefault="00195BE7" w:rsidP="00195BE7">
      <w:pPr>
        <w:rPr>
          <w:b/>
          <w:lang w:val="eu-ES"/>
        </w:rPr>
      </w:pPr>
      <w:r w:rsidRPr="001E2F6E">
        <w:rPr>
          <w:b/>
          <w:noProof/>
          <w:lang w:eastAsia="es-ES"/>
        </w:rPr>
        <w:drawing>
          <wp:anchor distT="0" distB="0" distL="114300" distR="114300" simplePos="0" relativeHeight="251687936" behindDoc="0" locked="0" layoutInCell="1" allowOverlap="1" wp14:anchorId="2B71F85D" wp14:editId="4E51C17B">
            <wp:simplePos x="0" y="0"/>
            <wp:positionH relativeFrom="column">
              <wp:posOffset>24765</wp:posOffset>
            </wp:positionH>
            <wp:positionV relativeFrom="paragraph">
              <wp:posOffset>-263525</wp:posOffset>
            </wp:positionV>
            <wp:extent cx="5362575" cy="1828800"/>
            <wp:effectExtent l="0" t="0" r="0" b="0"/>
            <wp:wrapNone/>
            <wp:docPr id="63" name="Objeto 43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anchor>
        </w:drawing>
      </w:r>
    </w:p>
    <w:p w:rsidR="00195BE7" w:rsidRPr="001E2F6E" w:rsidRDefault="00195BE7" w:rsidP="00195BE7">
      <w:pPr>
        <w:rPr>
          <w:lang w:val="eu-ES"/>
        </w:rPr>
      </w:pPr>
    </w:p>
    <w:p w:rsidR="00195BE7" w:rsidRPr="001E2F6E" w:rsidRDefault="00195BE7" w:rsidP="00195BE7">
      <w:pPr>
        <w:rPr>
          <w:lang w:val="eu-ES"/>
        </w:rPr>
      </w:pPr>
    </w:p>
    <w:p w:rsidR="00195BE7" w:rsidRPr="001E2F6E" w:rsidRDefault="00195BE7" w:rsidP="00195BE7">
      <w:pPr>
        <w:rPr>
          <w:lang w:val="eu-ES"/>
        </w:rPr>
      </w:pPr>
    </w:p>
    <w:p w:rsidR="00195BE7" w:rsidRPr="001E2F6E" w:rsidRDefault="00195BE7" w:rsidP="00195BE7">
      <w:pPr>
        <w:rPr>
          <w:lang w:val="eu-ES"/>
        </w:rPr>
      </w:pPr>
    </w:p>
    <w:p w:rsidR="00195BE7" w:rsidRPr="001E2F6E" w:rsidRDefault="00195BE7" w:rsidP="00195BE7">
      <w:pPr>
        <w:rPr>
          <w:lang w:val="eu-ES"/>
        </w:rPr>
      </w:pPr>
    </w:p>
    <w:p w:rsidR="00195BE7" w:rsidRPr="001E2F6E" w:rsidRDefault="00195BE7" w:rsidP="00195BE7">
      <w:pPr>
        <w:rPr>
          <w:lang w:val="eu-ES"/>
        </w:rPr>
      </w:pPr>
    </w:p>
    <w:p w:rsidR="00195BE7" w:rsidRPr="001E2F6E" w:rsidRDefault="00195BE7" w:rsidP="00195BE7">
      <w:pPr>
        <w:pStyle w:val="Piedepgina"/>
        <w:widowControl w:val="0"/>
        <w:tabs>
          <w:tab w:val="clear" w:pos="4252"/>
          <w:tab w:val="clear" w:pos="8504"/>
          <w:tab w:val="left" w:pos="1276"/>
        </w:tabs>
        <w:ind w:left="1276" w:hanging="425"/>
        <w:rPr>
          <w:rFonts w:ascii="Tahoma" w:hAnsi="Tahoma" w:cs="Tahoma"/>
          <w:snapToGrid w:val="0"/>
          <w:lang w:val="eu-ES"/>
        </w:rPr>
      </w:pPr>
      <w:r w:rsidRPr="001E2F6E">
        <w:rPr>
          <w:i/>
          <w:sz w:val="16"/>
          <w:szCs w:val="16"/>
          <w:lang w:val="eu-ES"/>
        </w:rPr>
        <w:t>Oharra: Konparazio datuak Biztanleria jardueraren arabera sailkatzeko inkestatik (BJA) hartutakoak dira. Eustat Urteko okupazioaren batez bestekoa</w:t>
      </w:r>
    </w:p>
    <w:p w:rsidR="00195BE7" w:rsidRPr="00A253D5" w:rsidRDefault="00195BE7" w:rsidP="00195BE7">
      <w:pPr>
        <w:spacing w:line="240" w:lineRule="auto"/>
        <w:jc w:val="center"/>
        <w:rPr>
          <w:b/>
          <w:color w:val="1F497D" w:themeColor="text2"/>
          <w:sz w:val="18"/>
          <w:szCs w:val="18"/>
          <w:lang w:val="eu-ES"/>
        </w:rPr>
      </w:pPr>
    </w:p>
    <w:p w:rsidR="00195BE7" w:rsidRPr="00A253D5" w:rsidRDefault="00195BE7" w:rsidP="00195BE7">
      <w:pPr>
        <w:spacing w:after="200" w:line="276" w:lineRule="auto"/>
        <w:jc w:val="left"/>
        <w:rPr>
          <w:b/>
          <w:color w:val="1F497D" w:themeColor="text2"/>
          <w:sz w:val="18"/>
          <w:szCs w:val="18"/>
          <w:lang w:val="eu-ES"/>
        </w:rPr>
      </w:pPr>
      <w:r w:rsidRPr="00A253D5">
        <w:rPr>
          <w:b/>
          <w:color w:val="1F497D" w:themeColor="text2"/>
          <w:sz w:val="18"/>
          <w:szCs w:val="18"/>
          <w:lang w:val="eu-ES"/>
        </w:rPr>
        <w:br w:type="page"/>
      </w:r>
    </w:p>
    <w:p w:rsidR="00195BE7" w:rsidRPr="00A253D5" w:rsidRDefault="00195BE7" w:rsidP="00195BE7">
      <w:pPr>
        <w:spacing w:line="240" w:lineRule="auto"/>
        <w:jc w:val="center"/>
        <w:rPr>
          <w:b/>
          <w:color w:val="1F497D" w:themeColor="text2"/>
          <w:sz w:val="18"/>
          <w:szCs w:val="18"/>
          <w:lang w:val="eu-ES"/>
        </w:rPr>
      </w:pPr>
      <w:bookmarkStart w:id="48" w:name="_Toc391989079"/>
      <w:bookmarkStart w:id="49" w:name="_Toc392585744"/>
      <w:r w:rsidRPr="00A253D5">
        <w:rPr>
          <w:b/>
          <w:color w:val="1F497D" w:themeColor="text2"/>
          <w:sz w:val="18"/>
          <w:szCs w:val="18"/>
          <w:lang w:val="eu-ES"/>
        </w:rPr>
        <w:lastRenderedPageBreak/>
        <w:t>1.</w:t>
      </w:r>
      <w:r w:rsidR="00EB6BA6" w:rsidRPr="001E2F6E">
        <w:rPr>
          <w:b/>
          <w:color w:val="1F497D" w:themeColor="text2"/>
          <w:sz w:val="18"/>
          <w:szCs w:val="18"/>
        </w:rPr>
        <w:fldChar w:fldCharType="begin"/>
      </w:r>
      <w:r w:rsidRPr="00A253D5">
        <w:rPr>
          <w:b/>
          <w:color w:val="1F497D" w:themeColor="text2"/>
          <w:sz w:val="18"/>
          <w:szCs w:val="18"/>
          <w:lang w:val="eu-ES"/>
        </w:rPr>
        <w:instrText xml:space="preserve"> SEQ Cuadro_1. \* ARABIC </w:instrText>
      </w:r>
      <w:r w:rsidR="00EB6BA6" w:rsidRPr="001E2F6E">
        <w:rPr>
          <w:b/>
          <w:color w:val="1F497D" w:themeColor="text2"/>
          <w:sz w:val="18"/>
          <w:szCs w:val="18"/>
        </w:rPr>
        <w:fldChar w:fldCharType="separate"/>
      </w:r>
      <w:r w:rsidR="00A327D4">
        <w:rPr>
          <w:b/>
          <w:noProof/>
          <w:color w:val="1F497D" w:themeColor="text2"/>
          <w:sz w:val="18"/>
          <w:szCs w:val="18"/>
          <w:lang w:val="eu-ES"/>
        </w:rPr>
        <w:t>9</w:t>
      </w:r>
      <w:r w:rsidR="00EB6BA6" w:rsidRPr="001E2F6E">
        <w:rPr>
          <w:b/>
          <w:color w:val="1F497D" w:themeColor="text2"/>
          <w:sz w:val="18"/>
          <w:szCs w:val="18"/>
        </w:rPr>
        <w:fldChar w:fldCharType="end"/>
      </w:r>
      <w:r w:rsidRPr="00A253D5">
        <w:rPr>
          <w:b/>
          <w:color w:val="1F497D" w:themeColor="text2"/>
          <w:sz w:val="18"/>
          <w:szCs w:val="18"/>
          <w:lang w:val="eu-ES"/>
        </w:rPr>
        <w:t xml:space="preserve"> Taula </w:t>
      </w:r>
      <w:r w:rsidRPr="001E2F6E">
        <w:rPr>
          <w:b/>
          <w:color w:val="1F497D" w:themeColor="text2"/>
          <w:sz w:val="18"/>
          <w:szCs w:val="18"/>
          <w:lang w:val="eu-ES"/>
        </w:rPr>
        <w:t>GIZARTE-EKONOMIAREN ENPLEGUAREN EGITURAREN BILAKAERA JARDUERA-ADARREN ARABERA 2010 – 2012 (</w:t>
      </w:r>
      <w:r w:rsidRPr="00A253D5">
        <w:rPr>
          <w:b/>
          <w:color w:val="1F497D" w:themeColor="text2"/>
          <w:sz w:val="18"/>
          <w:szCs w:val="18"/>
          <w:lang w:val="eu-ES"/>
        </w:rPr>
        <w:t xml:space="preserve">zifra absolutuak </w:t>
      </w:r>
      <w:r w:rsidRPr="001E2F6E">
        <w:rPr>
          <w:b/>
          <w:color w:val="1F497D" w:themeColor="text2"/>
          <w:sz w:val="18"/>
          <w:szCs w:val="18"/>
          <w:lang w:val="eu-ES"/>
        </w:rPr>
        <w:t>eta %bertikalak)</w:t>
      </w:r>
      <w:bookmarkEnd w:id="48"/>
      <w:bookmarkEnd w:id="49"/>
    </w:p>
    <w:tbl>
      <w:tblPr>
        <w:tblW w:w="5000" w:type="pct"/>
        <w:tblBorders>
          <w:top w:val="single" w:sz="4" w:space="0" w:color="BFBFBF" w:themeColor="background1" w:themeShade="BF"/>
          <w:bottom w:val="single" w:sz="4" w:space="0" w:color="BFBFBF" w:themeColor="background1" w:themeShade="BF"/>
        </w:tblBorders>
        <w:tblLook w:val="04A0" w:firstRow="1" w:lastRow="0" w:firstColumn="1" w:lastColumn="0" w:noHBand="0" w:noVBand="1"/>
      </w:tblPr>
      <w:tblGrid>
        <w:gridCol w:w="4427"/>
        <w:gridCol w:w="1144"/>
        <w:gridCol w:w="1145"/>
        <w:gridCol w:w="1144"/>
        <w:gridCol w:w="1144"/>
      </w:tblGrid>
      <w:tr w:rsidR="00195BE7" w:rsidRPr="001E2F6E" w:rsidTr="00195BE7">
        <w:tc>
          <w:tcPr>
            <w:tcW w:w="2363" w:type="pct"/>
            <w:tcBorders>
              <w:top w:val="single" w:sz="4" w:space="0" w:color="BFBFBF" w:themeColor="background1" w:themeShade="BF"/>
              <w:right w:val="single" w:sz="4" w:space="0" w:color="BFBFBF" w:themeColor="background1" w:themeShade="BF"/>
            </w:tcBorders>
            <w:shd w:val="clear" w:color="auto" w:fill="DBE5F1" w:themeFill="accent1" w:themeFillTint="33"/>
            <w:noWrap/>
            <w:hideMark/>
          </w:tcPr>
          <w:p w:rsidR="00195BE7" w:rsidRPr="00A253D5" w:rsidRDefault="00195BE7" w:rsidP="00195BE7">
            <w:pPr>
              <w:spacing w:line="220" w:lineRule="exact"/>
              <w:rPr>
                <w:sz w:val="16"/>
                <w:szCs w:val="16"/>
                <w:lang w:val="eu-ES"/>
              </w:rPr>
            </w:pPr>
          </w:p>
        </w:tc>
        <w:tc>
          <w:tcPr>
            <w:tcW w:w="1319"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noWrap/>
            <w:vAlign w:val="bottom"/>
            <w:hideMark/>
          </w:tcPr>
          <w:p w:rsidR="00195BE7" w:rsidRPr="001E2F6E" w:rsidRDefault="00195BE7" w:rsidP="00195BE7">
            <w:pPr>
              <w:spacing w:line="240" w:lineRule="auto"/>
              <w:jc w:val="center"/>
              <w:rPr>
                <w:b/>
                <w:bCs/>
                <w:sz w:val="16"/>
                <w:szCs w:val="16"/>
              </w:rPr>
            </w:pPr>
            <w:r w:rsidRPr="001E2F6E">
              <w:rPr>
                <w:b/>
                <w:bCs/>
                <w:snapToGrid w:val="0"/>
                <w:sz w:val="16"/>
                <w:szCs w:val="16"/>
                <w:lang w:val="eu-ES"/>
              </w:rPr>
              <w:t>GIZARTE-EKONOMIAREN JARDUERA-ADARRAK 2010</w:t>
            </w:r>
          </w:p>
        </w:tc>
        <w:tc>
          <w:tcPr>
            <w:tcW w:w="1318" w:type="pct"/>
            <w:gridSpan w:val="2"/>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noWrap/>
            <w:vAlign w:val="bottom"/>
            <w:hideMark/>
          </w:tcPr>
          <w:p w:rsidR="00195BE7" w:rsidRPr="001E2F6E" w:rsidRDefault="00195BE7" w:rsidP="00195BE7">
            <w:pPr>
              <w:spacing w:line="240" w:lineRule="auto"/>
              <w:jc w:val="center"/>
              <w:rPr>
                <w:b/>
                <w:bCs/>
                <w:sz w:val="16"/>
                <w:szCs w:val="16"/>
              </w:rPr>
            </w:pPr>
            <w:r w:rsidRPr="001E2F6E">
              <w:rPr>
                <w:b/>
                <w:bCs/>
                <w:snapToGrid w:val="0"/>
                <w:sz w:val="16"/>
                <w:szCs w:val="16"/>
                <w:lang w:val="eu-ES"/>
              </w:rPr>
              <w:t>GIZARTE-EKONOMIAREN JARDUERA-ADARRAK 2012</w:t>
            </w:r>
          </w:p>
        </w:tc>
      </w:tr>
      <w:tr w:rsidR="00195BE7" w:rsidRPr="001E2F6E" w:rsidTr="00195BE7">
        <w:tc>
          <w:tcPr>
            <w:tcW w:w="2363" w:type="pct"/>
            <w:tcBorders>
              <w:bottom w:val="single" w:sz="4" w:space="0" w:color="BFBFBF" w:themeColor="background1" w:themeShade="BF"/>
              <w:right w:val="single" w:sz="4" w:space="0" w:color="BFBFBF" w:themeColor="background1" w:themeShade="BF"/>
            </w:tcBorders>
            <w:shd w:val="clear" w:color="auto" w:fill="DBE5F1" w:themeFill="accent1" w:themeFillTint="33"/>
            <w:noWrap/>
            <w:hideMark/>
          </w:tcPr>
          <w:p w:rsidR="00195BE7" w:rsidRPr="001E2F6E" w:rsidRDefault="00195BE7" w:rsidP="00195BE7">
            <w:pPr>
              <w:spacing w:line="220" w:lineRule="exact"/>
              <w:rPr>
                <w:b/>
                <w:bCs/>
                <w:sz w:val="16"/>
                <w:szCs w:val="16"/>
              </w:rPr>
            </w:pPr>
          </w:p>
        </w:tc>
        <w:tc>
          <w:tcPr>
            <w:tcW w:w="659"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noWrap/>
            <w:vAlign w:val="bottom"/>
            <w:hideMark/>
          </w:tcPr>
          <w:p w:rsidR="00195BE7" w:rsidRPr="001E2F6E" w:rsidRDefault="00195BE7" w:rsidP="00195BE7">
            <w:pPr>
              <w:spacing w:line="240" w:lineRule="auto"/>
              <w:jc w:val="center"/>
              <w:rPr>
                <w:b/>
                <w:bCs/>
                <w:sz w:val="16"/>
                <w:szCs w:val="16"/>
              </w:rPr>
            </w:pPr>
            <w:r w:rsidRPr="001E2F6E">
              <w:rPr>
                <w:b/>
                <w:bCs/>
                <w:sz w:val="16"/>
                <w:szCs w:val="16"/>
              </w:rPr>
              <w:t>z.a.</w:t>
            </w:r>
          </w:p>
        </w:tc>
        <w:tc>
          <w:tcPr>
            <w:tcW w:w="660"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noWrap/>
            <w:vAlign w:val="bottom"/>
            <w:hideMark/>
          </w:tcPr>
          <w:p w:rsidR="00195BE7" w:rsidRPr="001E2F6E" w:rsidRDefault="00195BE7" w:rsidP="00195BE7">
            <w:pPr>
              <w:spacing w:line="240" w:lineRule="auto"/>
              <w:jc w:val="center"/>
              <w:rPr>
                <w:b/>
                <w:bCs/>
                <w:sz w:val="16"/>
                <w:szCs w:val="16"/>
              </w:rPr>
            </w:pPr>
            <w:r w:rsidRPr="001E2F6E">
              <w:rPr>
                <w:b/>
                <w:bCs/>
                <w:sz w:val="16"/>
                <w:szCs w:val="16"/>
              </w:rPr>
              <w:t>%ber.</w:t>
            </w:r>
          </w:p>
        </w:tc>
        <w:tc>
          <w:tcPr>
            <w:tcW w:w="659"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noWrap/>
            <w:vAlign w:val="bottom"/>
            <w:hideMark/>
          </w:tcPr>
          <w:p w:rsidR="00195BE7" w:rsidRPr="001E2F6E" w:rsidRDefault="00195BE7" w:rsidP="00195BE7">
            <w:pPr>
              <w:spacing w:line="240" w:lineRule="auto"/>
              <w:jc w:val="center"/>
              <w:rPr>
                <w:b/>
                <w:bCs/>
                <w:sz w:val="16"/>
                <w:szCs w:val="16"/>
              </w:rPr>
            </w:pPr>
            <w:r w:rsidRPr="001E2F6E">
              <w:rPr>
                <w:b/>
                <w:bCs/>
                <w:sz w:val="16"/>
                <w:szCs w:val="16"/>
              </w:rPr>
              <w:t>z.a.</w:t>
            </w:r>
          </w:p>
        </w:tc>
        <w:tc>
          <w:tcPr>
            <w:tcW w:w="659" w:type="pct"/>
            <w:tcBorders>
              <w:top w:val="single" w:sz="4" w:space="0" w:color="BFBFBF" w:themeColor="background1" w:themeShade="BF"/>
              <w:bottom w:val="single" w:sz="4" w:space="0" w:color="BFBFBF" w:themeColor="background1" w:themeShade="BF"/>
            </w:tcBorders>
            <w:shd w:val="clear" w:color="auto" w:fill="DBE5F1" w:themeFill="accent1" w:themeFillTint="33"/>
            <w:noWrap/>
            <w:vAlign w:val="bottom"/>
            <w:hideMark/>
          </w:tcPr>
          <w:p w:rsidR="00195BE7" w:rsidRPr="001E2F6E" w:rsidRDefault="00195BE7" w:rsidP="00195BE7">
            <w:pPr>
              <w:spacing w:line="240" w:lineRule="auto"/>
              <w:jc w:val="center"/>
              <w:rPr>
                <w:b/>
                <w:bCs/>
                <w:sz w:val="16"/>
                <w:szCs w:val="16"/>
              </w:rPr>
            </w:pPr>
            <w:r w:rsidRPr="001E2F6E">
              <w:rPr>
                <w:b/>
                <w:bCs/>
                <w:sz w:val="16"/>
                <w:szCs w:val="16"/>
              </w:rPr>
              <w:t>%ber.</w:t>
            </w:r>
          </w:p>
        </w:tc>
      </w:tr>
      <w:tr w:rsidR="00195BE7" w:rsidRPr="001E2F6E" w:rsidTr="00195BE7">
        <w:tc>
          <w:tcPr>
            <w:tcW w:w="2363" w:type="pct"/>
            <w:tcBorders>
              <w:top w:val="single" w:sz="4" w:space="0" w:color="BFBFBF" w:themeColor="background1" w:themeShade="BF"/>
              <w:right w:val="single" w:sz="4" w:space="0" w:color="BFBFBF" w:themeColor="background1" w:themeShade="BF"/>
            </w:tcBorders>
            <w:noWrap/>
            <w:vAlign w:val="bottom"/>
            <w:hideMark/>
          </w:tcPr>
          <w:p w:rsidR="00195BE7" w:rsidRPr="001E2F6E" w:rsidRDefault="00195BE7" w:rsidP="00195BE7">
            <w:pPr>
              <w:spacing w:line="240" w:lineRule="auto"/>
              <w:rPr>
                <w:sz w:val="16"/>
                <w:szCs w:val="16"/>
                <w:lang w:val="eu-ES"/>
              </w:rPr>
            </w:pPr>
            <w:r w:rsidRPr="001E2F6E">
              <w:rPr>
                <w:sz w:val="16"/>
                <w:szCs w:val="16"/>
                <w:lang w:val="eu-ES"/>
              </w:rPr>
              <w:t>Lehen sektorea</w:t>
            </w:r>
          </w:p>
        </w:tc>
        <w:tc>
          <w:tcPr>
            <w:tcW w:w="659" w:type="pct"/>
            <w:tcBorders>
              <w:top w:val="single" w:sz="4" w:space="0" w:color="BFBFBF" w:themeColor="background1" w:themeShade="BF"/>
              <w:left w:val="single" w:sz="4" w:space="0" w:color="BFBFBF" w:themeColor="background1" w:themeShade="BF"/>
            </w:tcBorders>
            <w:noWrap/>
            <w:vAlign w:val="center"/>
            <w:hideMark/>
          </w:tcPr>
          <w:p w:rsidR="00195BE7" w:rsidRPr="001E2F6E" w:rsidRDefault="00195BE7" w:rsidP="00195BE7">
            <w:pPr>
              <w:spacing w:line="220" w:lineRule="exact"/>
              <w:ind w:right="284"/>
              <w:jc w:val="right"/>
              <w:rPr>
                <w:sz w:val="16"/>
                <w:szCs w:val="16"/>
              </w:rPr>
            </w:pPr>
            <w:r w:rsidRPr="001E2F6E">
              <w:rPr>
                <w:sz w:val="16"/>
                <w:szCs w:val="16"/>
              </w:rPr>
              <w:t>179</w:t>
            </w:r>
          </w:p>
        </w:tc>
        <w:tc>
          <w:tcPr>
            <w:tcW w:w="660" w:type="pct"/>
            <w:tcBorders>
              <w:top w:val="single" w:sz="4" w:space="0" w:color="BFBFBF" w:themeColor="background1" w:themeShade="BF"/>
              <w:right w:val="single" w:sz="4" w:space="0" w:color="BFBFBF" w:themeColor="background1" w:themeShade="BF"/>
            </w:tcBorders>
            <w:noWrap/>
            <w:vAlign w:val="center"/>
            <w:hideMark/>
          </w:tcPr>
          <w:p w:rsidR="00195BE7" w:rsidRPr="001E2F6E" w:rsidRDefault="00195BE7" w:rsidP="00195BE7">
            <w:pPr>
              <w:spacing w:line="220" w:lineRule="exact"/>
              <w:ind w:right="284"/>
              <w:jc w:val="right"/>
              <w:rPr>
                <w:sz w:val="16"/>
                <w:szCs w:val="16"/>
              </w:rPr>
            </w:pPr>
            <w:r w:rsidRPr="001E2F6E">
              <w:rPr>
                <w:sz w:val="16"/>
                <w:szCs w:val="16"/>
              </w:rPr>
              <w:t>0,3</w:t>
            </w:r>
          </w:p>
        </w:tc>
        <w:tc>
          <w:tcPr>
            <w:tcW w:w="659" w:type="pct"/>
            <w:tcBorders>
              <w:top w:val="single" w:sz="4" w:space="0" w:color="BFBFBF" w:themeColor="background1" w:themeShade="BF"/>
              <w:left w:val="single" w:sz="4" w:space="0" w:color="BFBFBF" w:themeColor="background1" w:themeShade="BF"/>
            </w:tcBorders>
            <w:noWrap/>
            <w:vAlign w:val="center"/>
            <w:hideMark/>
          </w:tcPr>
          <w:p w:rsidR="00195BE7" w:rsidRPr="001E2F6E" w:rsidRDefault="00195BE7" w:rsidP="00195BE7">
            <w:pPr>
              <w:spacing w:line="220" w:lineRule="exact"/>
              <w:ind w:right="284"/>
              <w:jc w:val="right"/>
              <w:rPr>
                <w:sz w:val="16"/>
                <w:szCs w:val="16"/>
              </w:rPr>
            </w:pPr>
            <w:r w:rsidRPr="001E2F6E">
              <w:rPr>
                <w:sz w:val="16"/>
                <w:szCs w:val="16"/>
              </w:rPr>
              <w:t>117</w:t>
            </w:r>
          </w:p>
        </w:tc>
        <w:tc>
          <w:tcPr>
            <w:tcW w:w="659" w:type="pct"/>
            <w:tcBorders>
              <w:top w:val="single" w:sz="4" w:space="0" w:color="BFBFBF" w:themeColor="background1" w:themeShade="BF"/>
            </w:tcBorders>
            <w:noWrap/>
            <w:vAlign w:val="center"/>
            <w:hideMark/>
          </w:tcPr>
          <w:p w:rsidR="00195BE7" w:rsidRPr="001E2F6E" w:rsidRDefault="00195BE7" w:rsidP="00195BE7">
            <w:pPr>
              <w:spacing w:line="220" w:lineRule="exact"/>
              <w:ind w:right="284"/>
              <w:jc w:val="right"/>
              <w:rPr>
                <w:sz w:val="16"/>
                <w:szCs w:val="16"/>
              </w:rPr>
            </w:pPr>
            <w:r w:rsidRPr="001E2F6E">
              <w:rPr>
                <w:sz w:val="16"/>
                <w:szCs w:val="16"/>
              </w:rPr>
              <w:t>0,2</w:t>
            </w:r>
          </w:p>
        </w:tc>
      </w:tr>
      <w:tr w:rsidR="00195BE7" w:rsidRPr="001E2F6E" w:rsidTr="00195BE7">
        <w:tc>
          <w:tcPr>
            <w:tcW w:w="2363" w:type="pct"/>
            <w:tcBorders>
              <w:right w:val="single" w:sz="4" w:space="0" w:color="BFBFBF" w:themeColor="background1" w:themeShade="BF"/>
            </w:tcBorders>
            <w:noWrap/>
            <w:vAlign w:val="bottom"/>
            <w:hideMark/>
          </w:tcPr>
          <w:p w:rsidR="00195BE7" w:rsidRPr="001E2F6E" w:rsidRDefault="00195BE7" w:rsidP="00195BE7">
            <w:pPr>
              <w:spacing w:line="240" w:lineRule="auto"/>
              <w:rPr>
                <w:sz w:val="16"/>
                <w:szCs w:val="16"/>
                <w:lang w:val="eu-ES"/>
              </w:rPr>
            </w:pPr>
            <w:r w:rsidRPr="001E2F6E">
              <w:rPr>
                <w:sz w:val="16"/>
                <w:szCs w:val="16"/>
                <w:lang w:val="eu-ES"/>
              </w:rPr>
              <w:t>Ateratze-industriak</w:t>
            </w:r>
          </w:p>
        </w:tc>
        <w:tc>
          <w:tcPr>
            <w:tcW w:w="659" w:type="pct"/>
            <w:tcBorders>
              <w:left w:val="single" w:sz="4" w:space="0" w:color="BFBFBF" w:themeColor="background1" w:themeShade="BF"/>
            </w:tcBorders>
            <w:noWrap/>
            <w:vAlign w:val="center"/>
            <w:hideMark/>
          </w:tcPr>
          <w:p w:rsidR="00195BE7" w:rsidRPr="001E2F6E" w:rsidRDefault="00195BE7" w:rsidP="00195BE7">
            <w:pPr>
              <w:spacing w:line="220" w:lineRule="exact"/>
              <w:ind w:right="284"/>
              <w:jc w:val="right"/>
              <w:rPr>
                <w:sz w:val="16"/>
                <w:szCs w:val="16"/>
              </w:rPr>
            </w:pPr>
            <w:r w:rsidRPr="001E2F6E">
              <w:rPr>
                <w:sz w:val="16"/>
                <w:szCs w:val="16"/>
              </w:rPr>
              <w:t>143</w:t>
            </w:r>
          </w:p>
        </w:tc>
        <w:tc>
          <w:tcPr>
            <w:tcW w:w="660" w:type="pct"/>
            <w:tcBorders>
              <w:right w:val="single" w:sz="4" w:space="0" w:color="BFBFBF" w:themeColor="background1" w:themeShade="BF"/>
            </w:tcBorders>
            <w:noWrap/>
            <w:vAlign w:val="center"/>
            <w:hideMark/>
          </w:tcPr>
          <w:p w:rsidR="00195BE7" w:rsidRPr="001E2F6E" w:rsidRDefault="00195BE7" w:rsidP="00195BE7">
            <w:pPr>
              <w:spacing w:line="220" w:lineRule="exact"/>
              <w:ind w:right="284"/>
              <w:jc w:val="right"/>
              <w:rPr>
                <w:sz w:val="16"/>
                <w:szCs w:val="16"/>
              </w:rPr>
            </w:pPr>
            <w:r w:rsidRPr="001E2F6E">
              <w:rPr>
                <w:sz w:val="16"/>
                <w:szCs w:val="16"/>
              </w:rPr>
              <w:t>0,2</w:t>
            </w:r>
          </w:p>
        </w:tc>
        <w:tc>
          <w:tcPr>
            <w:tcW w:w="659" w:type="pct"/>
            <w:tcBorders>
              <w:left w:val="single" w:sz="4" w:space="0" w:color="BFBFBF" w:themeColor="background1" w:themeShade="BF"/>
            </w:tcBorders>
            <w:noWrap/>
            <w:vAlign w:val="center"/>
            <w:hideMark/>
          </w:tcPr>
          <w:p w:rsidR="00195BE7" w:rsidRPr="001E2F6E" w:rsidRDefault="00195BE7" w:rsidP="00195BE7">
            <w:pPr>
              <w:spacing w:line="220" w:lineRule="exact"/>
              <w:ind w:right="284"/>
              <w:jc w:val="right"/>
              <w:rPr>
                <w:sz w:val="16"/>
                <w:szCs w:val="16"/>
              </w:rPr>
            </w:pPr>
            <w:r w:rsidRPr="001E2F6E">
              <w:rPr>
                <w:sz w:val="16"/>
                <w:szCs w:val="16"/>
              </w:rPr>
              <w:t>207</w:t>
            </w:r>
          </w:p>
        </w:tc>
        <w:tc>
          <w:tcPr>
            <w:tcW w:w="659" w:type="pct"/>
            <w:noWrap/>
            <w:vAlign w:val="center"/>
            <w:hideMark/>
          </w:tcPr>
          <w:p w:rsidR="00195BE7" w:rsidRPr="001E2F6E" w:rsidRDefault="00195BE7" w:rsidP="00195BE7">
            <w:pPr>
              <w:spacing w:line="220" w:lineRule="exact"/>
              <w:ind w:right="284"/>
              <w:jc w:val="right"/>
              <w:rPr>
                <w:sz w:val="16"/>
                <w:szCs w:val="16"/>
              </w:rPr>
            </w:pPr>
            <w:r w:rsidRPr="001E2F6E">
              <w:rPr>
                <w:sz w:val="16"/>
                <w:szCs w:val="16"/>
              </w:rPr>
              <w:t>0,4</w:t>
            </w:r>
          </w:p>
        </w:tc>
      </w:tr>
      <w:tr w:rsidR="00195BE7" w:rsidRPr="001E2F6E" w:rsidTr="00195BE7">
        <w:tc>
          <w:tcPr>
            <w:tcW w:w="2363" w:type="pct"/>
            <w:tcBorders>
              <w:right w:val="single" w:sz="4" w:space="0" w:color="BFBFBF" w:themeColor="background1" w:themeShade="BF"/>
            </w:tcBorders>
            <w:noWrap/>
            <w:vAlign w:val="bottom"/>
            <w:hideMark/>
          </w:tcPr>
          <w:p w:rsidR="00195BE7" w:rsidRPr="001E2F6E" w:rsidRDefault="00195BE7" w:rsidP="00195BE7">
            <w:pPr>
              <w:spacing w:line="240" w:lineRule="auto"/>
              <w:rPr>
                <w:sz w:val="16"/>
                <w:szCs w:val="16"/>
                <w:lang w:val="eu-ES"/>
              </w:rPr>
            </w:pPr>
            <w:r w:rsidRPr="001E2F6E">
              <w:rPr>
                <w:sz w:val="16"/>
                <w:szCs w:val="16"/>
                <w:lang w:val="eu-ES"/>
              </w:rPr>
              <w:t>Manufaktura-industria</w:t>
            </w:r>
          </w:p>
        </w:tc>
        <w:tc>
          <w:tcPr>
            <w:tcW w:w="659" w:type="pct"/>
            <w:tcBorders>
              <w:left w:val="single" w:sz="4" w:space="0" w:color="BFBFBF" w:themeColor="background1" w:themeShade="BF"/>
            </w:tcBorders>
            <w:noWrap/>
            <w:vAlign w:val="center"/>
            <w:hideMark/>
          </w:tcPr>
          <w:p w:rsidR="00195BE7" w:rsidRPr="001E2F6E" w:rsidRDefault="00195BE7" w:rsidP="00195BE7">
            <w:pPr>
              <w:spacing w:line="220" w:lineRule="exact"/>
              <w:ind w:right="284"/>
              <w:jc w:val="right"/>
              <w:rPr>
                <w:sz w:val="16"/>
                <w:szCs w:val="16"/>
              </w:rPr>
            </w:pPr>
            <w:r w:rsidRPr="001E2F6E">
              <w:rPr>
                <w:sz w:val="16"/>
                <w:szCs w:val="16"/>
              </w:rPr>
              <w:t>26.367</w:t>
            </w:r>
          </w:p>
        </w:tc>
        <w:tc>
          <w:tcPr>
            <w:tcW w:w="660" w:type="pct"/>
            <w:tcBorders>
              <w:right w:val="single" w:sz="4" w:space="0" w:color="BFBFBF" w:themeColor="background1" w:themeShade="BF"/>
            </w:tcBorders>
            <w:noWrap/>
            <w:vAlign w:val="center"/>
            <w:hideMark/>
          </w:tcPr>
          <w:p w:rsidR="00195BE7" w:rsidRPr="001E2F6E" w:rsidRDefault="00195BE7" w:rsidP="00195BE7">
            <w:pPr>
              <w:spacing w:line="220" w:lineRule="exact"/>
              <w:ind w:right="284"/>
              <w:jc w:val="right"/>
              <w:rPr>
                <w:sz w:val="16"/>
                <w:szCs w:val="16"/>
              </w:rPr>
            </w:pPr>
            <w:r w:rsidRPr="001E2F6E">
              <w:rPr>
                <w:sz w:val="16"/>
                <w:szCs w:val="16"/>
              </w:rPr>
              <w:t>44,0</w:t>
            </w:r>
          </w:p>
        </w:tc>
        <w:tc>
          <w:tcPr>
            <w:tcW w:w="659" w:type="pct"/>
            <w:tcBorders>
              <w:left w:val="single" w:sz="4" w:space="0" w:color="BFBFBF" w:themeColor="background1" w:themeShade="BF"/>
            </w:tcBorders>
            <w:noWrap/>
            <w:vAlign w:val="center"/>
            <w:hideMark/>
          </w:tcPr>
          <w:p w:rsidR="00195BE7" w:rsidRPr="001E2F6E" w:rsidRDefault="00195BE7" w:rsidP="00195BE7">
            <w:pPr>
              <w:spacing w:line="220" w:lineRule="exact"/>
              <w:ind w:right="284"/>
              <w:jc w:val="right"/>
              <w:rPr>
                <w:sz w:val="16"/>
                <w:szCs w:val="16"/>
              </w:rPr>
            </w:pPr>
            <w:r w:rsidRPr="001E2F6E">
              <w:rPr>
                <w:sz w:val="16"/>
                <w:szCs w:val="16"/>
              </w:rPr>
              <w:t>25.520</w:t>
            </w:r>
          </w:p>
        </w:tc>
        <w:tc>
          <w:tcPr>
            <w:tcW w:w="659" w:type="pct"/>
            <w:noWrap/>
            <w:vAlign w:val="center"/>
            <w:hideMark/>
          </w:tcPr>
          <w:p w:rsidR="00195BE7" w:rsidRPr="001E2F6E" w:rsidRDefault="00195BE7" w:rsidP="00195BE7">
            <w:pPr>
              <w:spacing w:line="220" w:lineRule="exact"/>
              <w:ind w:right="284"/>
              <w:jc w:val="right"/>
              <w:rPr>
                <w:sz w:val="16"/>
                <w:szCs w:val="16"/>
              </w:rPr>
            </w:pPr>
            <w:r w:rsidRPr="001E2F6E">
              <w:rPr>
                <w:sz w:val="16"/>
                <w:szCs w:val="16"/>
              </w:rPr>
              <w:t>45,7</w:t>
            </w:r>
          </w:p>
        </w:tc>
      </w:tr>
      <w:tr w:rsidR="00195BE7" w:rsidRPr="001E2F6E" w:rsidTr="00195BE7">
        <w:tc>
          <w:tcPr>
            <w:tcW w:w="2363" w:type="pct"/>
            <w:tcBorders>
              <w:right w:val="single" w:sz="4" w:space="0" w:color="BFBFBF" w:themeColor="background1" w:themeShade="BF"/>
            </w:tcBorders>
            <w:noWrap/>
            <w:vAlign w:val="bottom"/>
            <w:hideMark/>
          </w:tcPr>
          <w:p w:rsidR="00195BE7" w:rsidRPr="001E2F6E" w:rsidRDefault="00195BE7" w:rsidP="00195BE7">
            <w:pPr>
              <w:numPr>
                <w:ilvl w:val="0"/>
                <w:numId w:val="47"/>
              </w:numPr>
              <w:spacing w:line="240" w:lineRule="auto"/>
              <w:jc w:val="left"/>
              <w:rPr>
                <w:sz w:val="16"/>
                <w:szCs w:val="16"/>
                <w:lang w:val="eu-ES"/>
              </w:rPr>
            </w:pPr>
            <w:r w:rsidRPr="001E2F6E">
              <w:rPr>
                <w:sz w:val="16"/>
                <w:szCs w:val="16"/>
                <w:lang w:val="eu-ES"/>
              </w:rPr>
              <w:t>Elikagai, edari eta tabakoaren industria</w:t>
            </w:r>
          </w:p>
        </w:tc>
        <w:tc>
          <w:tcPr>
            <w:tcW w:w="659" w:type="pct"/>
            <w:tcBorders>
              <w:left w:val="single" w:sz="4" w:space="0" w:color="BFBFBF" w:themeColor="background1" w:themeShade="BF"/>
            </w:tcBorders>
            <w:noWrap/>
            <w:vAlign w:val="center"/>
            <w:hideMark/>
          </w:tcPr>
          <w:p w:rsidR="00195BE7" w:rsidRPr="001E2F6E" w:rsidRDefault="00195BE7" w:rsidP="00195BE7">
            <w:pPr>
              <w:spacing w:line="220" w:lineRule="exact"/>
              <w:ind w:right="284"/>
              <w:jc w:val="right"/>
              <w:rPr>
                <w:sz w:val="16"/>
                <w:szCs w:val="16"/>
              </w:rPr>
            </w:pPr>
            <w:r w:rsidRPr="001E2F6E">
              <w:rPr>
                <w:sz w:val="16"/>
                <w:szCs w:val="16"/>
              </w:rPr>
              <w:t>608</w:t>
            </w:r>
          </w:p>
        </w:tc>
        <w:tc>
          <w:tcPr>
            <w:tcW w:w="660" w:type="pct"/>
            <w:tcBorders>
              <w:right w:val="single" w:sz="4" w:space="0" w:color="BFBFBF" w:themeColor="background1" w:themeShade="BF"/>
            </w:tcBorders>
            <w:noWrap/>
            <w:vAlign w:val="center"/>
            <w:hideMark/>
          </w:tcPr>
          <w:p w:rsidR="00195BE7" w:rsidRPr="001E2F6E" w:rsidRDefault="00195BE7" w:rsidP="00195BE7">
            <w:pPr>
              <w:spacing w:line="220" w:lineRule="exact"/>
              <w:ind w:right="284"/>
              <w:jc w:val="right"/>
              <w:rPr>
                <w:sz w:val="16"/>
                <w:szCs w:val="16"/>
              </w:rPr>
            </w:pPr>
            <w:r w:rsidRPr="001E2F6E">
              <w:rPr>
                <w:sz w:val="16"/>
                <w:szCs w:val="16"/>
              </w:rPr>
              <w:t>1,0</w:t>
            </w:r>
          </w:p>
        </w:tc>
        <w:tc>
          <w:tcPr>
            <w:tcW w:w="659" w:type="pct"/>
            <w:tcBorders>
              <w:left w:val="single" w:sz="4" w:space="0" w:color="BFBFBF" w:themeColor="background1" w:themeShade="BF"/>
            </w:tcBorders>
            <w:noWrap/>
            <w:vAlign w:val="center"/>
            <w:hideMark/>
          </w:tcPr>
          <w:p w:rsidR="00195BE7" w:rsidRPr="001E2F6E" w:rsidRDefault="00195BE7" w:rsidP="00195BE7">
            <w:pPr>
              <w:spacing w:line="220" w:lineRule="exact"/>
              <w:ind w:right="284"/>
              <w:jc w:val="right"/>
              <w:rPr>
                <w:sz w:val="16"/>
                <w:szCs w:val="16"/>
              </w:rPr>
            </w:pPr>
            <w:r w:rsidRPr="001E2F6E">
              <w:rPr>
                <w:sz w:val="16"/>
                <w:szCs w:val="16"/>
              </w:rPr>
              <w:t>545</w:t>
            </w:r>
          </w:p>
        </w:tc>
        <w:tc>
          <w:tcPr>
            <w:tcW w:w="659" w:type="pct"/>
            <w:noWrap/>
            <w:vAlign w:val="center"/>
            <w:hideMark/>
          </w:tcPr>
          <w:p w:rsidR="00195BE7" w:rsidRPr="001E2F6E" w:rsidRDefault="00195BE7" w:rsidP="00195BE7">
            <w:pPr>
              <w:spacing w:line="220" w:lineRule="exact"/>
              <w:ind w:right="284"/>
              <w:jc w:val="right"/>
              <w:rPr>
                <w:sz w:val="16"/>
                <w:szCs w:val="16"/>
              </w:rPr>
            </w:pPr>
            <w:r w:rsidRPr="001E2F6E">
              <w:rPr>
                <w:sz w:val="16"/>
                <w:szCs w:val="16"/>
              </w:rPr>
              <w:t>1,0</w:t>
            </w:r>
          </w:p>
        </w:tc>
      </w:tr>
      <w:tr w:rsidR="00195BE7" w:rsidRPr="001E2F6E" w:rsidTr="00195BE7">
        <w:tc>
          <w:tcPr>
            <w:tcW w:w="2363" w:type="pct"/>
            <w:tcBorders>
              <w:right w:val="single" w:sz="4" w:space="0" w:color="BFBFBF" w:themeColor="background1" w:themeShade="BF"/>
            </w:tcBorders>
            <w:noWrap/>
            <w:vAlign w:val="bottom"/>
            <w:hideMark/>
          </w:tcPr>
          <w:p w:rsidR="00195BE7" w:rsidRPr="001E2F6E" w:rsidRDefault="00195BE7" w:rsidP="00195BE7">
            <w:pPr>
              <w:numPr>
                <w:ilvl w:val="0"/>
                <w:numId w:val="47"/>
              </w:numPr>
              <w:spacing w:line="240" w:lineRule="auto"/>
              <w:jc w:val="left"/>
              <w:rPr>
                <w:sz w:val="16"/>
                <w:szCs w:val="16"/>
                <w:lang w:val="eu-ES"/>
              </w:rPr>
            </w:pPr>
            <w:r w:rsidRPr="001E2F6E">
              <w:rPr>
                <w:sz w:val="16"/>
                <w:szCs w:val="16"/>
                <w:lang w:val="eu-ES"/>
              </w:rPr>
              <w:t>Ehungintza eta jantzigintza</w:t>
            </w:r>
          </w:p>
        </w:tc>
        <w:tc>
          <w:tcPr>
            <w:tcW w:w="659" w:type="pct"/>
            <w:tcBorders>
              <w:left w:val="single" w:sz="4" w:space="0" w:color="BFBFBF" w:themeColor="background1" w:themeShade="BF"/>
            </w:tcBorders>
            <w:noWrap/>
            <w:vAlign w:val="center"/>
            <w:hideMark/>
          </w:tcPr>
          <w:p w:rsidR="00195BE7" w:rsidRPr="001E2F6E" w:rsidRDefault="00195BE7" w:rsidP="00195BE7">
            <w:pPr>
              <w:spacing w:line="220" w:lineRule="exact"/>
              <w:ind w:right="284"/>
              <w:jc w:val="right"/>
              <w:rPr>
                <w:sz w:val="16"/>
                <w:szCs w:val="16"/>
              </w:rPr>
            </w:pPr>
            <w:r w:rsidRPr="001E2F6E">
              <w:rPr>
                <w:sz w:val="16"/>
                <w:szCs w:val="16"/>
              </w:rPr>
              <w:t>47</w:t>
            </w:r>
          </w:p>
        </w:tc>
        <w:tc>
          <w:tcPr>
            <w:tcW w:w="660" w:type="pct"/>
            <w:tcBorders>
              <w:right w:val="single" w:sz="4" w:space="0" w:color="BFBFBF" w:themeColor="background1" w:themeShade="BF"/>
            </w:tcBorders>
            <w:noWrap/>
            <w:vAlign w:val="center"/>
            <w:hideMark/>
          </w:tcPr>
          <w:p w:rsidR="00195BE7" w:rsidRPr="001E2F6E" w:rsidRDefault="00195BE7" w:rsidP="00195BE7">
            <w:pPr>
              <w:spacing w:line="220" w:lineRule="exact"/>
              <w:ind w:right="284"/>
              <w:jc w:val="right"/>
              <w:rPr>
                <w:sz w:val="16"/>
                <w:szCs w:val="16"/>
              </w:rPr>
            </w:pPr>
            <w:r w:rsidRPr="001E2F6E">
              <w:rPr>
                <w:sz w:val="16"/>
                <w:szCs w:val="16"/>
              </w:rPr>
              <w:t>0,1</w:t>
            </w:r>
          </w:p>
        </w:tc>
        <w:tc>
          <w:tcPr>
            <w:tcW w:w="659" w:type="pct"/>
            <w:tcBorders>
              <w:left w:val="single" w:sz="4" w:space="0" w:color="BFBFBF" w:themeColor="background1" w:themeShade="BF"/>
            </w:tcBorders>
            <w:noWrap/>
            <w:vAlign w:val="center"/>
            <w:hideMark/>
          </w:tcPr>
          <w:p w:rsidR="00195BE7" w:rsidRPr="001E2F6E" w:rsidRDefault="00195BE7" w:rsidP="00195BE7">
            <w:pPr>
              <w:spacing w:line="220" w:lineRule="exact"/>
              <w:ind w:right="284"/>
              <w:jc w:val="right"/>
              <w:rPr>
                <w:sz w:val="16"/>
                <w:szCs w:val="16"/>
              </w:rPr>
            </w:pPr>
            <w:r w:rsidRPr="001E2F6E">
              <w:rPr>
                <w:sz w:val="16"/>
                <w:szCs w:val="16"/>
              </w:rPr>
              <w:t>32</w:t>
            </w:r>
          </w:p>
        </w:tc>
        <w:tc>
          <w:tcPr>
            <w:tcW w:w="659" w:type="pct"/>
            <w:noWrap/>
            <w:vAlign w:val="center"/>
            <w:hideMark/>
          </w:tcPr>
          <w:p w:rsidR="00195BE7" w:rsidRPr="001E2F6E" w:rsidRDefault="00195BE7" w:rsidP="00195BE7">
            <w:pPr>
              <w:spacing w:line="220" w:lineRule="exact"/>
              <w:ind w:right="284"/>
              <w:jc w:val="right"/>
              <w:rPr>
                <w:sz w:val="16"/>
                <w:szCs w:val="16"/>
              </w:rPr>
            </w:pPr>
            <w:r w:rsidRPr="001E2F6E">
              <w:rPr>
                <w:sz w:val="16"/>
                <w:szCs w:val="16"/>
              </w:rPr>
              <w:t>0,1</w:t>
            </w:r>
          </w:p>
        </w:tc>
      </w:tr>
      <w:tr w:rsidR="00195BE7" w:rsidRPr="001E2F6E" w:rsidTr="00195BE7">
        <w:tc>
          <w:tcPr>
            <w:tcW w:w="2363" w:type="pct"/>
            <w:tcBorders>
              <w:right w:val="single" w:sz="4" w:space="0" w:color="BFBFBF" w:themeColor="background1" w:themeShade="BF"/>
            </w:tcBorders>
            <w:noWrap/>
            <w:vAlign w:val="bottom"/>
            <w:hideMark/>
          </w:tcPr>
          <w:p w:rsidR="00195BE7" w:rsidRPr="001E2F6E" w:rsidRDefault="00195BE7" w:rsidP="00195BE7">
            <w:pPr>
              <w:numPr>
                <w:ilvl w:val="0"/>
                <w:numId w:val="47"/>
              </w:numPr>
              <w:spacing w:line="240" w:lineRule="auto"/>
              <w:jc w:val="left"/>
              <w:rPr>
                <w:sz w:val="16"/>
                <w:szCs w:val="16"/>
                <w:lang w:val="eu-ES"/>
              </w:rPr>
            </w:pPr>
            <w:r w:rsidRPr="001E2F6E">
              <w:rPr>
                <w:sz w:val="16"/>
                <w:szCs w:val="16"/>
                <w:lang w:val="eu-ES"/>
              </w:rPr>
              <w:t>Egurraren eta kortxoaren industria</w:t>
            </w:r>
          </w:p>
        </w:tc>
        <w:tc>
          <w:tcPr>
            <w:tcW w:w="659" w:type="pct"/>
            <w:tcBorders>
              <w:left w:val="single" w:sz="4" w:space="0" w:color="BFBFBF" w:themeColor="background1" w:themeShade="BF"/>
            </w:tcBorders>
            <w:noWrap/>
            <w:vAlign w:val="center"/>
            <w:hideMark/>
          </w:tcPr>
          <w:p w:rsidR="00195BE7" w:rsidRPr="001E2F6E" w:rsidRDefault="00195BE7" w:rsidP="00195BE7">
            <w:pPr>
              <w:spacing w:line="220" w:lineRule="exact"/>
              <w:ind w:right="284"/>
              <w:jc w:val="right"/>
              <w:rPr>
                <w:sz w:val="16"/>
                <w:szCs w:val="16"/>
              </w:rPr>
            </w:pPr>
            <w:r w:rsidRPr="001E2F6E">
              <w:rPr>
                <w:sz w:val="16"/>
                <w:szCs w:val="16"/>
              </w:rPr>
              <w:t>330</w:t>
            </w:r>
          </w:p>
        </w:tc>
        <w:tc>
          <w:tcPr>
            <w:tcW w:w="660" w:type="pct"/>
            <w:tcBorders>
              <w:right w:val="single" w:sz="4" w:space="0" w:color="BFBFBF" w:themeColor="background1" w:themeShade="BF"/>
            </w:tcBorders>
            <w:noWrap/>
            <w:vAlign w:val="center"/>
            <w:hideMark/>
          </w:tcPr>
          <w:p w:rsidR="00195BE7" w:rsidRPr="001E2F6E" w:rsidRDefault="00195BE7" w:rsidP="00195BE7">
            <w:pPr>
              <w:spacing w:line="220" w:lineRule="exact"/>
              <w:ind w:right="284"/>
              <w:jc w:val="right"/>
              <w:rPr>
                <w:sz w:val="16"/>
                <w:szCs w:val="16"/>
              </w:rPr>
            </w:pPr>
            <w:r w:rsidRPr="001E2F6E">
              <w:rPr>
                <w:sz w:val="16"/>
                <w:szCs w:val="16"/>
              </w:rPr>
              <w:t>0,6</w:t>
            </w:r>
          </w:p>
        </w:tc>
        <w:tc>
          <w:tcPr>
            <w:tcW w:w="659" w:type="pct"/>
            <w:tcBorders>
              <w:left w:val="single" w:sz="4" w:space="0" w:color="BFBFBF" w:themeColor="background1" w:themeShade="BF"/>
            </w:tcBorders>
            <w:noWrap/>
            <w:vAlign w:val="center"/>
            <w:hideMark/>
          </w:tcPr>
          <w:p w:rsidR="00195BE7" w:rsidRPr="001E2F6E" w:rsidRDefault="00195BE7" w:rsidP="00195BE7">
            <w:pPr>
              <w:spacing w:line="220" w:lineRule="exact"/>
              <w:ind w:right="284"/>
              <w:jc w:val="right"/>
              <w:rPr>
                <w:sz w:val="16"/>
                <w:szCs w:val="16"/>
              </w:rPr>
            </w:pPr>
            <w:r w:rsidRPr="001E2F6E">
              <w:rPr>
                <w:sz w:val="16"/>
                <w:szCs w:val="16"/>
              </w:rPr>
              <w:t>266</w:t>
            </w:r>
          </w:p>
        </w:tc>
        <w:tc>
          <w:tcPr>
            <w:tcW w:w="659" w:type="pct"/>
            <w:noWrap/>
            <w:vAlign w:val="center"/>
            <w:hideMark/>
          </w:tcPr>
          <w:p w:rsidR="00195BE7" w:rsidRPr="001E2F6E" w:rsidRDefault="00195BE7" w:rsidP="00195BE7">
            <w:pPr>
              <w:spacing w:line="220" w:lineRule="exact"/>
              <w:ind w:right="284"/>
              <w:jc w:val="right"/>
              <w:rPr>
                <w:sz w:val="16"/>
                <w:szCs w:val="16"/>
              </w:rPr>
            </w:pPr>
            <w:r w:rsidRPr="001E2F6E">
              <w:rPr>
                <w:sz w:val="16"/>
                <w:szCs w:val="16"/>
              </w:rPr>
              <w:t>0,5</w:t>
            </w:r>
          </w:p>
        </w:tc>
      </w:tr>
      <w:tr w:rsidR="00195BE7" w:rsidRPr="001E2F6E" w:rsidTr="00195BE7">
        <w:tc>
          <w:tcPr>
            <w:tcW w:w="2363" w:type="pct"/>
            <w:tcBorders>
              <w:right w:val="single" w:sz="4" w:space="0" w:color="BFBFBF" w:themeColor="background1" w:themeShade="BF"/>
            </w:tcBorders>
            <w:noWrap/>
            <w:vAlign w:val="bottom"/>
            <w:hideMark/>
          </w:tcPr>
          <w:p w:rsidR="00195BE7" w:rsidRPr="001E2F6E" w:rsidRDefault="00195BE7" w:rsidP="00195BE7">
            <w:pPr>
              <w:numPr>
                <w:ilvl w:val="0"/>
                <w:numId w:val="47"/>
              </w:numPr>
              <w:spacing w:line="240" w:lineRule="auto"/>
              <w:jc w:val="left"/>
              <w:rPr>
                <w:sz w:val="16"/>
                <w:szCs w:val="16"/>
                <w:lang w:val="eu-ES"/>
              </w:rPr>
            </w:pPr>
            <w:r w:rsidRPr="001E2F6E">
              <w:rPr>
                <w:sz w:val="16"/>
                <w:szCs w:val="16"/>
                <w:lang w:val="eu-ES"/>
              </w:rPr>
              <w:t>Paperaren industria;  argitalpenak, arte grafikoak eta euskarri grabatuen aldakiak</w:t>
            </w:r>
          </w:p>
        </w:tc>
        <w:tc>
          <w:tcPr>
            <w:tcW w:w="659" w:type="pct"/>
            <w:tcBorders>
              <w:left w:val="single" w:sz="4" w:space="0" w:color="BFBFBF" w:themeColor="background1" w:themeShade="BF"/>
            </w:tcBorders>
            <w:noWrap/>
            <w:vAlign w:val="center"/>
            <w:hideMark/>
          </w:tcPr>
          <w:p w:rsidR="00195BE7" w:rsidRPr="001E2F6E" w:rsidRDefault="00195BE7" w:rsidP="00195BE7">
            <w:pPr>
              <w:spacing w:line="220" w:lineRule="exact"/>
              <w:ind w:right="284"/>
              <w:jc w:val="right"/>
              <w:rPr>
                <w:sz w:val="16"/>
                <w:szCs w:val="16"/>
              </w:rPr>
            </w:pPr>
            <w:r w:rsidRPr="001E2F6E">
              <w:rPr>
                <w:sz w:val="16"/>
                <w:szCs w:val="16"/>
              </w:rPr>
              <w:t>561</w:t>
            </w:r>
          </w:p>
        </w:tc>
        <w:tc>
          <w:tcPr>
            <w:tcW w:w="660" w:type="pct"/>
            <w:tcBorders>
              <w:right w:val="single" w:sz="4" w:space="0" w:color="BFBFBF" w:themeColor="background1" w:themeShade="BF"/>
            </w:tcBorders>
            <w:noWrap/>
            <w:vAlign w:val="center"/>
            <w:hideMark/>
          </w:tcPr>
          <w:p w:rsidR="00195BE7" w:rsidRPr="001E2F6E" w:rsidRDefault="00195BE7" w:rsidP="00195BE7">
            <w:pPr>
              <w:spacing w:line="220" w:lineRule="exact"/>
              <w:ind w:right="284"/>
              <w:jc w:val="right"/>
              <w:rPr>
                <w:sz w:val="16"/>
                <w:szCs w:val="16"/>
              </w:rPr>
            </w:pPr>
            <w:r w:rsidRPr="001E2F6E">
              <w:rPr>
                <w:sz w:val="16"/>
                <w:szCs w:val="16"/>
              </w:rPr>
              <w:t>0,9</w:t>
            </w:r>
          </w:p>
        </w:tc>
        <w:tc>
          <w:tcPr>
            <w:tcW w:w="659" w:type="pct"/>
            <w:tcBorders>
              <w:left w:val="single" w:sz="4" w:space="0" w:color="BFBFBF" w:themeColor="background1" w:themeShade="BF"/>
            </w:tcBorders>
            <w:noWrap/>
            <w:vAlign w:val="center"/>
            <w:hideMark/>
          </w:tcPr>
          <w:p w:rsidR="00195BE7" w:rsidRPr="001E2F6E" w:rsidRDefault="00195BE7" w:rsidP="00195BE7">
            <w:pPr>
              <w:spacing w:line="220" w:lineRule="exact"/>
              <w:ind w:right="284"/>
              <w:jc w:val="right"/>
              <w:rPr>
                <w:sz w:val="16"/>
                <w:szCs w:val="16"/>
              </w:rPr>
            </w:pPr>
            <w:r w:rsidRPr="001E2F6E">
              <w:rPr>
                <w:sz w:val="16"/>
                <w:szCs w:val="16"/>
              </w:rPr>
              <w:t>573</w:t>
            </w:r>
          </w:p>
        </w:tc>
        <w:tc>
          <w:tcPr>
            <w:tcW w:w="659" w:type="pct"/>
            <w:noWrap/>
            <w:vAlign w:val="center"/>
            <w:hideMark/>
          </w:tcPr>
          <w:p w:rsidR="00195BE7" w:rsidRPr="001E2F6E" w:rsidRDefault="00195BE7" w:rsidP="00195BE7">
            <w:pPr>
              <w:spacing w:line="220" w:lineRule="exact"/>
              <w:ind w:right="284"/>
              <w:jc w:val="right"/>
              <w:rPr>
                <w:sz w:val="16"/>
                <w:szCs w:val="16"/>
              </w:rPr>
            </w:pPr>
            <w:r w:rsidRPr="001E2F6E">
              <w:rPr>
                <w:sz w:val="16"/>
                <w:szCs w:val="16"/>
              </w:rPr>
              <w:t>1,0</w:t>
            </w:r>
          </w:p>
        </w:tc>
      </w:tr>
      <w:tr w:rsidR="00195BE7" w:rsidRPr="001E2F6E" w:rsidTr="00195BE7">
        <w:tc>
          <w:tcPr>
            <w:tcW w:w="2363" w:type="pct"/>
            <w:tcBorders>
              <w:right w:val="single" w:sz="4" w:space="0" w:color="BFBFBF" w:themeColor="background1" w:themeShade="BF"/>
            </w:tcBorders>
            <w:noWrap/>
            <w:vAlign w:val="bottom"/>
            <w:hideMark/>
          </w:tcPr>
          <w:p w:rsidR="00195BE7" w:rsidRPr="001E2F6E" w:rsidRDefault="00195BE7" w:rsidP="00195BE7">
            <w:pPr>
              <w:numPr>
                <w:ilvl w:val="0"/>
                <w:numId w:val="47"/>
              </w:numPr>
              <w:spacing w:line="240" w:lineRule="auto"/>
              <w:jc w:val="left"/>
              <w:rPr>
                <w:sz w:val="16"/>
                <w:szCs w:val="16"/>
                <w:lang w:val="eu-ES"/>
              </w:rPr>
            </w:pPr>
            <w:r w:rsidRPr="001E2F6E">
              <w:rPr>
                <w:sz w:val="16"/>
                <w:szCs w:val="16"/>
                <w:lang w:val="eu-ES"/>
              </w:rPr>
              <w:t>Oinarrizko industria</w:t>
            </w:r>
          </w:p>
        </w:tc>
        <w:tc>
          <w:tcPr>
            <w:tcW w:w="659" w:type="pct"/>
            <w:tcBorders>
              <w:left w:val="single" w:sz="4" w:space="0" w:color="BFBFBF" w:themeColor="background1" w:themeShade="BF"/>
            </w:tcBorders>
            <w:noWrap/>
            <w:vAlign w:val="center"/>
            <w:hideMark/>
          </w:tcPr>
          <w:p w:rsidR="00195BE7" w:rsidRPr="001E2F6E" w:rsidRDefault="00195BE7" w:rsidP="00195BE7">
            <w:pPr>
              <w:spacing w:line="220" w:lineRule="exact"/>
              <w:ind w:right="284"/>
              <w:jc w:val="right"/>
              <w:rPr>
                <w:sz w:val="16"/>
                <w:szCs w:val="16"/>
              </w:rPr>
            </w:pPr>
            <w:r w:rsidRPr="001E2F6E">
              <w:rPr>
                <w:sz w:val="16"/>
                <w:szCs w:val="16"/>
              </w:rPr>
              <w:t>2.104</w:t>
            </w:r>
          </w:p>
        </w:tc>
        <w:tc>
          <w:tcPr>
            <w:tcW w:w="660" w:type="pct"/>
            <w:tcBorders>
              <w:right w:val="single" w:sz="4" w:space="0" w:color="BFBFBF" w:themeColor="background1" w:themeShade="BF"/>
            </w:tcBorders>
            <w:noWrap/>
            <w:vAlign w:val="center"/>
            <w:hideMark/>
          </w:tcPr>
          <w:p w:rsidR="00195BE7" w:rsidRPr="001E2F6E" w:rsidRDefault="00195BE7" w:rsidP="00195BE7">
            <w:pPr>
              <w:spacing w:line="220" w:lineRule="exact"/>
              <w:ind w:right="284"/>
              <w:jc w:val="right"/>
              <w:rPr>
                <w:sz w:val="16"/>
                <w:szCs w:val="16"/>
              </w:rPr>
            </w:pPr>
            <w:r w:rsidRPr="001E2F6E">
              <w:rPr>
                <w:sz w:val="16"/>
                <w:szCs w:val="16"/>
              </w:rPr>
              <w:t>3,5</w:t>
            </w:r>
          </w:p>
        </w:tc>
        <w:tc>
          <w:tcPr>
            <w:tcW w:w="659" w:type="pct"/>
            <w:tcBorders>
              <w:left w:val="single" w:sz="4" w:space="0" w:color="BFBFBF" w:themeColor="background1" w:themeShade="BF"/>
            </w:tcBorders>
            <w:noWrap/>
            <w:vAlign w:val="center"/>
            <w:hideMark/>
          </w:tcPr>
          <w:p w:rsidR="00195BE7" w:rsidRPr="001E2F6E" w:rsidRDefault="00195BE7" w:rsidP="00195BE7">
            <w:pPr>
              <w:spacing w:line="220" w:lineRule="exact"/>
              <w:ind w:right="284"/>
              <w:jc w:val="right"/>
              <w:rPr>
                <w:sz w:val="16"/>
                <w:szCs w:val="16"/>
              </w:rPr>
            </w:pPr>
            <w:r w:rsidRPr="001E2F6E">
              <w:rPr>
                <w:sz w:val="16"/>
                <w:szCs w:val="16"/>
              </w:rPr>
              <w:t>2.184</w:t>
            </w:r>
          </w:p>
        </w:tc>
        <w:tc>
          <w:tcPr>
            <w:tcW w:w="659" w:type="pct"/>
            <w:noWrap/>
            <w:vAlign w:val="center"/>
            <w:hideMark/>
          </w:tcPr>
          <w:p w:rsidR="00195BE7" w:rsidRPr="001E2F6E" w:rsidRDefault="00195BE7" w:rsidP="00195BE7">
            <w:pPr>
              <w:spacing w:line="220" w:lineRule="exact"/>
              <w:ind w:right="284"/>
              <w:jc w:val="right"/>
              <w:rPr>
                <w:sz w:val="16"/>
                <w:szCs w:val="16"/>
              </w:rPr>
            </w:pPr>
            <w:r w:rsidRPr="001E2F6E">
              <w:rPr>
                <w:sz w:val="16"/>
                <w:szCs w:val="16"/>
              </w:rPr>
              <w:t>3,9</w:t>
            </w:r>
          </w:p>
        </w:tc>
      </w:tr>
      <w:tr w:rsidR="00195BE7" w:rsidRPr="001E2F6E" w:rsidTr="00195BE7">
        <w:tc>
          <w:tcPr>
            <w:tcW w:w="2363" w:type="pct"/>
            <w:tcBorders>
              <w:right w:val="single" w:sz="4" w:space="0" w:color="BFBFBF" w:themeColor="background1" w:themeShade="BF"/>
            </w:tcBorders>
            <w:noWrap/>
            <w:vAlign w:val="bottom"/>
            <w:hideMark/>
          </w:tcPr>
          <w:p w:rsidR="00195BE7" w:rsidRPr="001E2F6E" w:rsidRDefault="00195BE7" w:rsidP="00195BE7">
            <w:pPr>
              <w:numPr>
                <w:ilvl w:val="0"/>
                <w:numId w:val="47"/>
              </w:numPr>
              <w:spacing w:line="240" w:lineRule="auto"/>
              <w:jc w:val="left"/>
              <w:rPr>
                <w:sz w:val="16"/>
                <w:szCs w:val="16"/>
                <w:lang w:val="eu-ES"/>
              </w:rPr>
            </w:pPr>
            <w:r w:rsidRPr="001E2F6E">
              <w:rPr>
                <w:sz w:val="16"/>
                <w:szCs w:val="16"/>
                <w:lang w:val="eu-ES"/>
              </w:rPr>
              <w:t>Metalgintza eta produktu metalikoen fabrikazioa</w:t>
            </w:r>
          </w:p>
        </w:tc>
        <w:tc>
          <w:tcPr>
            <w:tcW w:w="659" w:type="pct"/>
            <w:tcBorders>
              <w:left w:val="single" w:sz="4" w:space="0" w:color="BFBFBF" w:themeColor="background1" w:themeShade="BF"/>
            </w:tcBorders>
            <w:noWrap/>
            <w:vAlign w:val="center"/>
            <w:hideMark/>
          </w:tcPr>
          <w:p w:rsidR="00195BE7" w:rsidRPr="001E2F6E" w:rsidRDefault="00195BE7" w:rsidP="00195BE7">
            <w:pPr>
              <w:spacing w:line="220" w:lineRule="exact"/>
              <w:ind w:right="284"/>
              <w:jc w:val="right"/>
              <w:rPr>
                <w:sz w:val="16"/>
                <w:szCs w:val="16"/>
              </w:rPr>
            </w:pPr>
            <w:r w:rsidRPr="001E2F6E">
              <w:rPr>
                <w:sz w:val="16"/>
                <w:szCs w:val="16"/>
              </w:rPr>
              <w:t>9.651</w:t>
            </w:r>
          </w:p>
        </w:tc>
        <w:tc>
          <w:tcPr>
            <w:tcW w:w="660" w:type="pct"/>
            <w:tcBorders>
              <w:right w:val="single" w:sz="4" w:space="0" w:color="BFBFBF" w:themeColor="background1" w:themeShade="BF"/>
            </w:tcBorders>
            <w:noWrap/>
            <w:vAlign w:val="center"/>
            <w:hideMark/>
          </w:tcPr>
          <w:p w:rsidR="00195BE7" w:rsidRPr="001E2F6E" w:rsidRDefault="00195BE7" w:rsidP="00195BE7">
            <w:pPr>
              <w:spacing w:line="220" w:lineRule="exact"/>
              <w:ind w:right="284"/>
              <w:jc w:val="right"/>
              <w:rPr>
                <w:sz w:val="16"/>
                <w:szCs w:val="16"/>
              </w:rPr>
            </w:pPr>
            <w:r w:rsidRPr="001E2F6E">
              <w:rPr>
                <w:sz w:val="16"/>
                <w:szCs w:val="16"/>
              </w:rPr>
              <w:t>16,1</w:t>
            </w:r>
          </w:p>
        </w:tc>
        <w:tc>
          <w:tcPr>
            <w:tcW w:w="659" w:type="pct"/>
            <w:tcBorders>
              <w:left w:val="single" w:sz="4" w:space="0" w:color="BFBFBF" w:themeColor="background1" w:themeShade="BF"/>
            </w:tcBorders>
            <w:noWrap/>
            <w:vAlign w:val="center"/>
            <w:hideMark/>
          </w:tcPr>
          <w:p w:rsidR="00195BE7" w:rsidRPr="001E2F6E" w:rsidRDefault="00195BE7" w:rsidP="00195BE7">
            <w:pPr>
              <w:spacing w:line="220" w:lineRule="exact"/>
              <w:ind w:right="284"/>
              <w:jc w:val="right"/>
              <w:rPr>
                <w:sz w:val="16"/>
                <w:szCs w:val="16"/>
              </w:rPr>
            </w:pPr>
            <w:r w:rsidRPr="001E2F6E">
              <w:rPr>
                <w:sz w:val="16"/>
                <w:szCs w:val="16"/>
              </w:rPr>
              <w:t>9.525</w:t>
            </w:r>
          </w:p>
        </w:tc>
        <w:tc>
          <w:tcPr>
            <w:tcW w:w="659" w:type="pct"/>
            <w:noWrap/>
            <w:vAlign w:val="center"/>
            <w:hideMark/>
          </w:tcPr>
          <w:p w:rsidR="00195BE7" w:rsidRPr="001E2F6E" w:rsidRDefault="00195BE7" w:rsidP="00195BE7">
            <w:pPr>
              <w:spacing w:line="220" w:lineRule="exact"/>
              <w:ind w:right="284"/>
              <w:jc w:val="right"/>
              <w:rPr>
                <w:sz w:val="16"/>
                <w:szCs w:val="16"/>
              </w:rPr>
            </w:pPr>
            <w:r w:rsidRPr="001E2F6E">
              <w:rPr>
                <w:sz w:val="16"/>
                <w:szCs w:val="16"/>
              </w:rPr>
              <w:t>17,1</w:t>
            </w:r>
          </w:p>
        </w:tc>
      </w:tr>
      <w:tr w:rsidR="00195BE7" w:rsidRPr="001E2F6E" w:rsidTr="00195BE7">
        <w:tc>
          <w:tcPr>
            <w:tcW w:w="2363" w:type="pct"/>
            <w:tcBorders>
              <w:right w:val="single" w:sz="4" w:space="0" w:color="BFBFBF" w:themeColor="background1" w:themeShade="BF"/>
            </w:tcBorders>
            <w:noWrap/>
            <w:vAlign w:val="bottom"/>
            <w:hideMark/>
          </w:tcPr>
          <w:p w:rsidR="00195BE7" w:rsidRPr="001E2F6E" w:rsidRDefault="00195BE7" w:rsidP="00195BE7">
            <w:pPr>
              <w:numPr>
                <w:ilvl w:val="0"/>
                <w:numId w:val="47"/>
              </w:numPr>
              <w:spacing w:line="240" w:lineRule="auto"/>
              <w:jc w:val="left"/>
              <w:rPr>
                <w:sz w:val="16"/>
                <w:szCs w:val="16"/>
                <w:lang w:val="eu-ES"/>
              </w:rPr>
            </w:pPr>
            <w:r w:rsidRPr="001E2F6E">
              <w:rPr>
                <w:sz w:val="16"/>
                <w:szCs w:val="16"/>
                <w:lang w:val="eu-ES"/>
              </w:rPr>
              <w:t>Makineria eta ekipo mekanikoak fabrikatzearen industria</w:t>
            </w:r>
          </w:p>
        </w:tc>
        <w:tc>
          <w:tcPr>
            <w:tcW w:w="659" w:type="pct"/>
            <w:tcBorders>
              <w:left w:val="single" w:sz="4" w:space="0" w:color="BFBFBF" w:themeColor="background1" w:themeShade="BF"/>
            </w:tcBorders>
            <w:noWrap/>
            <w:vAlign w:val="center"/>
            <w:hideMark/>
          </w:tcPr>
          <w:p w:rsidR="00195BE7" w:rsidRPr="001E2F6E" w:rsidRDefault="00195BE7" w:rsidP="00195BE7">
            <w:pPr>
              <w:spacing w:line="220" w:lineRule="exact"/>
              <w:ind w:right="284"/>
              <w:jc w:val="right"/>
              <w:rPr>
                <w:sz w:val="16"/>
                <w:szCs w:val="16"/>
              </w:rPr>
            </w:pPr>
            <w:r w:rsidRPr="001E2F6E">
              <w:rPr>
                <w:sz w:val="16"/>
                <w:szCs w:val="16"/>
              </w:rPr>
              <w:t>7.690</w:t>
            </w:r>
          </w:p>
        </w:tc>
        <w:tc>
          <w:tcPr>
            <w:tcW w:w="660" w:type="pct"/>
            <w:tcBorders>
              <w:right w:val="single" w:sz="4" w:space="0" w:color="BFBFBF" w:themeColor="background1" w:themeShade="BF"/>
            </w:tcBorders>
            <w:noWrap/>
            <w:vAlign w:val="center"/>
            <w:hideMark/>
          </w:tcPr>
          <w:p w:rsidR="00195BE7" w:rsidRPr="001E2F6E" w:rsidRDefault="00195BE7" w:rsidP="00195BE7">
            <w:pPr>
              <w:spacing w:line="220" w:lineRule="exact"/>
              <w:ind w:right="284"/>
              <w:jc w:val="right"/>
              <w:rPr>
                <w:sz w:val="16"/>
                <w:szCs w:val="16"/>
              </w:rPr>
            </w:pPr>
            <w:r w:rsidRPr="001E2F6E">
              <w:rPr>
                <w:sz w:val="16"/>
                <w:szCs w:val="16"/>
              </w:rPr>
              <w:t>12,8</w:t>
            </w:r>
          </w:p>
        </w:tc>
        <w:tc>
          <w:tcPr>
            <w:tcW w:w="659" w:type="pct"/>
            <w:tcBorders>
              <w:left w:val="single" w:sz="4" w:space="0" w:color="BFBFBF" w:themeColor="background1" w:themeShade="BF"/>
            </w:tcBorders>
            <w:noWrap/>
            <w:vAlign w:val="center"/>
            <w:hideMark/>
          </w:tcPr>
          <w:p w:rsidR="00195BE7" w:rsidRPr="001E2F6E" w:rsidRDefault="00195BE7" w:rsidP="00195BE7">
            <w:pPr>
              <w:spacing w:line="220" w:lineRule="exact"/>
              <w:ind w:right="284"/>
              <w:jc w:val="right"/>
              <w:rPr>
                <w:sz w:val="16"/>
                <w:szCs w:val="16"/>
              </w:rPr>
            </w:pPr>
            <w:r w:rsidRPr="001E2F6E">
              <w:rPr>
                <w:sz w:val="16"/>
                <w:szCs w:val="16"/>
              </w:rPr>
              <w:t>7.406</w:t>
            </w:r>
          </w:p>
        </w:tc>
        <w:tc>
          <w:tcPr>
            <w:tcW w:w="659" w:type="pct"/>
            <w:noWrap/>
            <w:vAlign w:val="center"/>
            <w:hideMark/>
          </w:tcPr>
          <w:p w:rsidR="00195BE7" w:rsidRPr="001E2F6E" w:rsidRDefault="00195BE7" w:rsidP="00195BE7">
            <w:pPr>
              <w:spacing w:line="220" w:lineRule="exact"/>
              <w:ind w:right="284"/>
              <w:jc w:val="right"/>
              <w:rPr>
                <w:sz w:val="16"/>
                <w:szCs w:val="16"/>
              </w:rPr>
            </w:pPr>
            <w:r w:rsidRPr="001E2F6E">
              <w:rPr>
                <w:sz w:val="16"/>
                <w:szCs w:val="16"/>
              </w:rPr>
              <w:t>13,3</w:t>
            </w:r>
          </w:p>
        </w:tc>
      </w:tr>
      <w:tr w:rsidR="00195BE7" w:rsidRPr="001E2F6E" w:rsidTr="00195BE7">
        <w:tc>
          <w:tcPr>
            <w:tcW w:w="2363" w:type="pct"/>
            <w:tcBorders>
              <w:right w:val="single" w:sz="4" w:space="0" w:color="BFBFBF" w:themeColor="background1" w:themeShade="BF"/>
            </w:tcBorders>
            <w:noWrap/>
            <w:vAlign w:val="bottom"/>
            <w:hideMark/>
          </w:tcPr>
          <w:p w:rsidR="00195BE7" w:rsidRPr="001E2F6E" w:rsidRDefault="00195BE7" w:rsidP="00195BE7">
            <w:pPr>
              <w:numPr>
                <w:ilvl w:val="0"/>
                <w:numId w:val="47"/>
              </w:numPr>
              <w:spacing w:line="240" w:lineRule="auto"/>
              <w:jc w:val="left"/>
              <w:rPr>
                <w:sz w:val="16"/>
                <w:szCs w:val="16"/>
                <w:lang w:val="eu-ES"/>
              </w:rPr>
            </w:pPr>
            <w:r w:rsidRPr="001E2F6E">
              <w:rPr>
                <w:sz w:val="16"/>
                <w:szCs w:val="16"/>
                <w:lang w:val="eu-ES"/>
              </w:rPr>
              <w:t>Material eta ekipo elektriko, elektriko eta optikoaren industria</w:t>
            </w:r>
          </w:p>
        </w:tc>
        <w:tc>
          <w:tcPr>
            <w:tcW w:w="659" w:type="pct"/>
            <w:tcBorders>
              <w:left w:val="single" w:sz="4" w:space="0" w:color="BFBFBF" w:themeColor="background1" w:themeShade="BF"/>
            </w:tcBorders>
            <w:noWrap/>
            <w:vAlign w:val="center"/>
            <w:hideMark/>
          </w:tcPr>
          <w:p w:rsidR="00195BE7" w:rsidRPr="001E2F6E" w:rsidRDefault="00195BE7" w:rsidP="00195BE7">
            <w:pPr>
              <w:spacing w:line="220" w:lineRule="exact"/>
              <w:ind w:right="284"/>
              <w:jc w:val="right"/>
              <w:rPr>
                <w:sz w:val="16"/>
                <w:szCs w:val="16"/>
              </w:rPr>
            </w:pPr>
            <w:r w:rsidRPr="001E2F6E">
              <w:rPr>
                <w:sz w:val="16"/>
                <w:szCs w:val="16"/>
              </w:rPr>
              <w:t>4.413</w:t>
            </w:r>
          </w:p>
        </w:tc>
        <w:tc>
          <w:tcPr>
            <w:tcW w:w="660" w:type="pct"/>
            <w:tcBorders>
              <w:right w:val="single" w:sz="4" w:space="0" w:color="BFBFBF" w:themeColor="background1" w:themeShade="BF"/>
            </w:tcBorders>
            <w:noWrap/>
            <w:vAlign w:val="center"/>
            <w:hideMark/>
          </w:tcPr>
          <w:p w:rsidR="00195BE7" w:rsidRPr="001E2F6E" w:rsidRDefault="00195BE7" w:rsidP="00195BE7">
            <w:pPr>
              <w:spacing w:line="220" w:lineRule="exact"/>
              <w:ind w:right="284"/>
              <w:jc w:val="right"/>
              <w:rPr>
                <w:sz w:val="16"/>
                <w:szCs w:val="16"/>
              </w:rPr>
            </w:pPr>
            <w:r w:rsidRPr="001E2F6E">
              <w:rPr>
                <w:sz w:val="16"/>
                <w:szCs w:val="16"/>
              </w:rPr>
              <w:t>7,4</w:t>
            </w:r>
          </w:p>
        </w:tc>
        <w:tc>
          <w:tcPr>
            <w:tcW w:w="659" w:type="pct"/>
            <w:tcBorders>
              <w:left w:val="single" w:sz="4" w:space="0" w:color="BFBFBF" w:themeColor="background1" w:themeShade="BF"/>
            </w:tcBorders>
            <w:noWrap/>
            <w:vAlign w:val="center"/>
            <w:hideMark/>
          </w:tcPr>
          <w:p w:rsidR="00195BE7" w:rsidRPr="001E2F6E" w:rsidRDefault="00195BE7" w:rsidP="00195BE7">
            <w:pPr>
              <w:spacing w:line="220" w:lineRule="exact"/>
              <w:ind w:right="284"/>
              <w:jc w:val="right"/>
              <w:rPr>
                <w:sz w:val="16"/>
                <w:szCs w:val="16"/>
              </w:rPr>
            </w:pPr>
            <w:r w:rsidRPr="001E2F6E">
              <w:rPr>
                <w:sz w:val="16"/>
                <w:szCs w:val="16"/>
              </w:rPr>
              <w:t>4.072</w:t>
            </w:r>
          </w:p>
        </w:tc>
        <w:tc>
          <w:tcPr>
            <w:tcW w:w="659" w:type="pct"/>
            <w:noWrap/>
            <w:vAlign w:val="center"/>
            <w:hideMark/>
          </w:tcPr>
          <w:p w:rsidR="00195BE7" w:rsidRPr="001E2F6E" w:rsidRDefault="00195BE7" w:rsidP="00195BE7">
            <w:pPr>
              <w:spacing w:line="220" w:lineRule="exact"/>
              <w:ind w:right="284"/>
              <w:jc w:val="right"/>
              <w:rPr>
                <w:sz w:val="16"/>
                <w:szCs w:val="16"/>
              </w:rPr>
            </w:pPr>
            <w:r w:rsidRPr="001E2F6E">
              <w:rPr>
                <w:sz w:val="16"/>
                <w:szCs w:val="16"/>
              </w:rPr>
              <w:t>7,3</w:t>
            </w:r>
          </w:p>
        </w:tc>
      </w:tr>
      <w:tr w:rsidR="00195BE7" w:rsidRPr="001E2F6E" w:rsidTr="00195BE7">
        <w:tc>
          <w:tcPr>
            <w:tcW w:w="2363" w:type="pct"/>
            <w:tcBorders>
              <w:right w:val="single" w:sz="4" w:space="0" w:color="BFBFBF" w:themeColor="background1" w:themeShade="BF"/>
            </w:tcBorders>
            <w:noWrap/>
            <w:vAlign w:val="bottom"/>
            <w:hideMark/>
          </w:tcPr>
          <w:p w:rsidR="00195BE7" w:rsidRPr="001E2F6E" w:rsidRDefault="00195BE7" w:rsidP="00195BE7">
            <w:pPr>
              <w:numPr>
                <w:ilvl w:val="0"/>
                <w:numId w:val="47"/>
              </w:numPr>
              <w:spacing w:line="240" w:lineRule="auto"/>
              <w:jc w:val="left"/>
              <w:rPr>
                <w:sz w:val="16"/>
                <w:szCs w:val="16"/>
                <w:lang w:val="eu-ES"/>
              </w:rPr>
            </w:pPr>
            <w:r w:rsidRPr="001E2F6E">
              <w:rPr>
                <w:sz w:val="16"/>
                <w:szCs w:val="16"/>
                <w:lang w:val="eu-ES"/>
              </w:rPr>
              <w:t>Hainbat manufaktura-industria mota</w:t>
            </w:r>
          </w:p>
        </w:tc>
        <w:tc>
          <w:tcPr>
            <w:tcW w:w="659" w:type="pct"/>
            <w:tcBorders>
              <w:left w:val="single" w:sz="4" w:space="0" w:color="BFBFBF" w:themeColor="background1" w:themeShade="BF"/>
            </w:tcBorders>
            <w:noWrap/>
            <w:vAlign w:val="center"/>
            <w:hideMark/>
          </w:tcPr>
          <w:p w:rsidR="00195BE7" w:rsidRPr="001E2F6E" w:rsidRDefault="00195BE7" w:rsidP="00195BE7">
            <w:pPr>
              <w:spacing w:line="220" w:lineRule="exact"/>
              <w:ind w:right="284"/>
              <w:jc w:val="right"/>
              <w:rPr>
                <w:sz w:val="16"/>
                <w:szCs w:val="16"/>
              </w:rPr>
            </w:pPr>
            <w:r w:rsidRPr="001E2F6E">
              <w:rPr>
                <w:sz w:val="16"/>
                <w:szCs w:val="16"/>
              </w:rPr>
              <w:t>963</w:t>
            </w:r>
          </w:p>
        </w:tc>
        <w:tc>
          <w:tcPr>
            <w:tcW w:w="660" w:type="pct"/>
            <w:tcBorders>
              <w:right w:val="single" w:sz="4" w:space="0" w:color="BFBFBF" w:themeColor="background1" w:themeShade="BF"/>
            </w:tcBorders>
            <w:noWrap/>
            <w:vAlign w:val="center"/>
            <w:hideMark/>
          </w:tcPr>
          <w:p w:rsidR="00195BE7" w:rsidRPr="001E2F6E" w:rsidRDefault="00195BE7" w:rsidP="00195BE7">
            <w:pPr>
              <w:spacing w:line="220" w:lineRule="exact"/>
              <w:ind w:right="284"/>
              <w:jc w:val="right"/>
              <w:rPr>
                <w:sz w:val="16"/>
                <w:szCs w:val="16"/>
              </w:rPr>
            </w:pPr>
            <w:r w:rsidRPr="001E2F6E">
              <w:rPr>
                <w:sz w:val="16"/>
                <w:szCs w:val="16"/>
              </w:rPr>
              <w:t>1,6</w:t>
            </w:r>
          </w:p>
        </w:tc>
        <w:tc>
          <w:tcPr>
            <w:tcW w:w="659" w:type="pct"/>
            <w:tcBorders>
              <w:left w:val="single" w:sz="4" w:space="0" w:color="BFBFBF" w:themeColor="background1" w:themeShade="BF"/>
            </w:tcBorders>
            <w:noWrap/>
            <w:vAlign w:val="center"/>
            <w:hideMark/>
          </w:tcPr>
          <w:p w:rsidR="00195BE7" w:rsidRPr="001E2F6E" w:rsidRDefault="00195BE7" w:rsidP="00195BE7">
            <w:pPr>
              <w:spacing w:line="220" w:lineRule="exact"/>
              <w:ind w:right="284"/>
              <w:jc w:val="right"/>
              <w:rPr>
                <w:sz w:val="16"/>
                <w:szCs w:val="16"/>
              </w:rPr>
            </w:pPr>
            <w:r w:rsidRPr="001E2F6E">
              <w:rPr>
                <w:sz w:val="16"/>
                <w:szCs w:val="16"/>
              </w:rPr>
              <w:t>917</w:t>
            </w:r>
          </w:p>
        </w:tc>
        <w:tc>
          <w:tcPr>
            <w:tcW w:w="659" w:type="pct"/>
            <w:noWrap/>
            <w:vAlign w:val="center"/>
            <w:hideMark/>
          </w:tcPr>
          <w:p w:rsidR="00195BE7" w:rsidRPr="001E2F6E" w:rsidRDefault="00195BE7" w:rsidP="00195BE7">
            <w:pPr>
              <w:spacing w:line="220" w:lineRule="exact"/>
              <w:ind w:right="284"/>
              <w:jc w:val="right"/>
              <w:rPr>
                <w:sz w:val="16"/>
                <w:szCs w:val="16"/>
              </w:rPr>
            </w:pPr>
            <w:r w:rsidRPr="001E2F6E">
              <w:rPr>
                <w:sz w:val="16"/>
                <w:szCs w:val="16"/>
              </w:rPr>
              <w:t>1,6</w:t>
            </w:r>
          </w:p>
        </w:tc>
      </w:tr>
      <w:tr w:rsidR="00195BE7" w:rsidRPr="001E2F6E" w:rsidTr="00195BE7">
        <w:tc>
          <w:tcPr>
            <w:tcW w:w="2363" w:type="pct"/>
            <w:tcBorders>
              <w:right w:val="single" w:sz="4" w:space="0" w:color="BFBFBF" w:themeColor="background1" w:themeShade="BF"/>
            </w:tcBorders>
            <w:noWrap/>
            <w:vAlign w:val="bottom"/>
            <w:hideMark/>
          </w:tcPr>
          <w:p w:rsidR="00195BE7" w:rsidRPr="001E2F6E" w:rsidRDefault="00195BE7" w:rsidP="00195BE7">
            <w:pPr>
              <w:spacing w:line="240" w:lineRule="auto"/>
              <w:rPr>
                <w:sz w:val="16"/>
                <w:szCs w:val="16"/>
                <w:lang w:val="eu-ES"/>
              </w:rPr>
            </w:pPr>
            <w:r w:rsidRPr="001E2F6E">
              <w:rPr>
                <w:sz w:val="16"/>
                <w:szCs w:val="16"/>
                <w:lang w:val="eu-ES"/>
              </w:rPr>
              <w:t>Eraikuntza</w:t>
            </w:r>
          </w:p>
        </w:tc>
        <w:tc>
          <w:tcPr>
            <w:tcW w:w="659" w:type="pct"/>
            <w:tcBorders>
              <w:left w:val="single" w:sz="4" w:space="0" w:color="BFBFBF" w:themeColor="background1" w:themeShade="BF"/>
            </w:tcBorders>
            <w:noWrap/>
            <w:vAlign w:val="center"/>
            <w:hideMark/>
          </w:tcPr>
          <w:p w:rsidR="00195BE7" w:rsidRPr="001E2F6E" w:rsidRDefault="00195BE7" w:rsidP="00195BE7">
            <w:pPr>
              <w:spacing w:line="220" w:lineRule="exact"/>
              <w:ind w:right="284"/>
              <w:jc w:val="right"/>
              <w:rPr>
                <w:sz w:val="16"/>
                <w:szCs w:val="16"/>
              </w:rPr>
            </w:pPr>
            <w:r w:rsidRPr="001E2F6E">
              <w:rPr>
                <w:sz w:val="16"/>
                <w:szCs w:val="16"/>
              </w:rPr>
              <w:t>2.055</w:t>
            </w:r>
          </w:p>
        </w:tc>
        <w:tc>
          <w:tcPr>
            <w:tcW w:w="660" w:type="pct"/>
            <w:tcBorders>
              <w:right w:val="single" w:sz="4" w:space="0" w:color="BFBFBF" w:themeColor="background1" w:themeShade="BF"/>
            </w:tcBorders>
            <w:noWrap/>
            <w:vAlign w:val="center"/>
            <w:hideMark/>
          </w:tcPr>
          <w:p w:rsidR="00195BE7" w:rsidRPr="001E2F6E" w:rsidRDefault="00195BE7" w:rsidP="00195BE7">
            <w:pPr>
              <w:spacing w:line="220" w:lineRule="exact"/>
              <w:ind w:right="284"/>
              <w:jc w:val="right"/>
              <w:rPr>
                <w:sz w:val="16"/>
                <w:szCs w:val="16"/>
              </w:rPr>
            </w:pPr>
            <w:r w:rsidRPr="001E2F6E">
              <w:rPr>
                <w:sz w:val="16"/>
                <w:szCs w:val="16"/>
              </w:rPr>
              <w:t>3,4</w:t>
            </w:r>
          </w:p>
        </w:tc>
        <w:tc>
          <w:tcPr>
            <w:tcW w:w="659" w:type="pct"/>
            <w:tcBorders>
              <w:left w:val="single" w:sz="4" w:space="0" w:color="BFBFBF" w:themeColor="background1" w:themeShade="BF"/>
            </w:tcBorders>
            <w:noWrap/>
            <w:vAlign w:val="center"/>
            <w:hideMark/>
          </w:tcPr>
          <w:p w:rsidR="00195BE7" w:rsidRPr="001E2F6E" w:rsidRDefault="00195BE7" w:rsidP="00195BE7">
            <w:pPr>
              <w:spacing w:line="220" w:lineRule="exact"/>
              <w:ind w:right="284"/>
              <w:jc w:val="right"/>
              <w:rPr>
                <w:sz w:val="16"/>
                <w:szCs w:val="16"/>
              </w:rPr>
            </w:pPr>
            <w:r w:rsidRPr="001E2F6E">
              <w:rPr>
                <w:sz w:val="16"/>
                <w:szCs w:val="16"/>
              </w:rPr>
              <w:t>2.000</w:t>
            </w:r>
          </w:p>
        </w:tc>
        <w:tc>
          <w:tcPr>
            <w:tcW w:w="659" w:type="pct"/>
            <w:noWrap/>
            <w:vAlign w:val="center"/>
            <w:hideMark/>
          </w:tcPr>
          <w:p w:rsidR="00195BE7" w:rsidRPr="001E2F6E" w:rsidRDefault="00195BE7" w:rsidP="00195BE7">
            <w:pPr>
              <w:spacing w:line="220" w:lineRule="exact"/>
              <w:ind w:right="284"/>
              <w:jc w:val="right"/>
              <w:rPr>
                <w:sz w:val="16"/>
                <w:szCs w:val="16"/>
              </w:rPr>
            </w:pPr>
            <w:r w:rsidRPr="001E2F6E">
              <w:rPr>
                <w:sz w:val="16"/>
                <w:szCs w:val="16"/>
              </w:rPr>
              <w:t>3,6</w:t>
            </w:r>
          </w:p>
        </w:tc>
      </w:tr>
      <w:tr w:rsidR="00195BE7" w:rsidRPr="001E2F6E" w:rsidTr="00195BE7">
        <w:tc>
          <w:tcPr>
            <w:tcW w:w="2363" w:type="pct"/>
            <w:tcBorders>
              <w:right w:val="single" w:sz="4" w:space="0" w:color="BFBFBF" w:themeColor="background1" w:themeShade="BF"/>
            </w:tcBorders>
            <w:noWrap/>
            <w:vAlign w:val="bottom"/>
            <w:hideMark/>
          </w:tcPr>
          <w:p w:rsidR="00195BE7" w:rsidRPr="001E2F6E" w:rsidRDefault="00195BE7" w:rsidP="00195BE7">
            <w:pPr>
              <w:spacing w:line="240" w:lineRule="auto"/>
              <w:rPr>
                <w:sz w:val="16"/>
                <w:szCs w:val="16"/>
                <w:lang w:val="eu-ES"/>
              </w:rPr>
            </w:pPr>
            <w:r w:rsidRPr="001E2F6E">
              <w:rPr>
                <w:sz w:val="16"/>
                <w:szCs w:val="16"/>
                <w:lang w:val="eu-ES"/>
              </w:rPr>
              <w:t>Merkataritza; motordun ibilgailuak, motozikletak eta ziklomotoreak, eta salgai pertsonalak eta etxean erabiltzekoak konpontzea</w:t>
            </w:r>
          </w:p>
        </w:tc>
        <w:tc>
          <w:tcPr>
            <w:tcW w:w="659" w:type="pct"/>
            <w:tcBorders>
              <w:left w:val="single" w:sz="4" w:space="0" w:color="BFBFBF" w:themeColor="background1" w:themeShade="BF"/>
            </w:tcBorders>
            <w:noWrap/>
            <w:vAlign w:val="center"/>
            <w:hideMark/>
          </w:tcPr>
          <w:p w:rsidR="00195BE7" w:rsidRPr="001E2F6E" w:rsidRDefault="00195BE7" w:rsidP="00195BE7">
            <w:pPr>
              <w:spacing w:line="220" w:lineRule="exact"/>
              <w:ind w:right="284"/>
              <w:jc w:val="right"/>
              <w:rPr>
                <w:sz w:val="16"/>
                <w:szCs w:val="16"/>
              </w:rPr>
            </w:pPr>
            <w:r w:rsidRPr="001E2F6E">
              <w:rPr>
                <w:sz w:val="16"/>
                <w:szCs w:val="16"/>
              </w:rPr>
              <w:t>9.512</w:t>
            </w:r>
          </w:p>
        </w:tc>
        <w:tc>
          <w:tcPr>
            <w:tcW w:w="660" w:type="pct"/>
            <w:tcBorders>
              <w:right w:val="single" w:sz="4" w:space="0" w:color="BFBFBF" w:themeColor="background1" w:themeShade="BF"/>
            </w:tcBorders>
            <w:noWrap/>
            <w:vAlign w:val="center"/>
            <w:hideMark/>
          </w:tcPr>
          <w:p w:rsidR="00195BE7" w:rsidRPr="001E2F6E" w:rsidRDefault="00195BE7" w:rsidP="00195BE7">
            <w:pPr>
              <w:spacing w:line="220" w:lineRule="exact"/>
              <w:ind w:right="284"/>
              <w:jc w:val="right"/>
              <w:rPr>
                <w:sz w:val="16"/>
                <w:szCs w:val="16"/>
              </w:rPr>
            </w:pPr>
            <w:r w:rsidRPr="001E2F6E">
              <w:rPr>
                <w:sz w:val="16"/>
                <w:szCs w:val="16"/>
              </w:rPr>
              <w:t>15,9</w:t>
            </w:r>
          </w:p>
        </w:tc>
        <w:tc>
          <w:tcPr>
            <w:tcW w:w="659" w:type="pct"/>
            <w:tcBorders>
              <w:left w:val="single" w:sz="4" w:space="0" w:color="BFBFBF" w:themeColor="background1" w:themeShade="BF"/>
            </w:tcBorders>
            <w:noWrap/>
            <w:vAlign w:val="center"/>
            <w:hideMark/>
          </w:tcPr>
          <w:p w:rsidR="00195BE7" w:rsidRPr="001E2F6E" w:rsidRDefault="00195BE7" w:rsidP="00195BE7">
            <w:pPr>
              <w:spacing w:line="220" w:lineRule="exact"/>
              <w:ind w:right="284"/>
              <w:jc w:val="right"/>
              <w:rPr>
                <w:sz w:val="16"/>
                <w:szCs w:val="16"/>
              </w:rPr>
            </w:pPr>
            <w:r w:rsidRPr="001E2F6E">
              <w:rPr>
                <w:sz w:val="16"/>
                <w:szCs w:val="16"/>
              </w:rPr>
              <w:t>9.088</w:t>
            </w:r>
          </w:p>
        </w:tc>
        <w:tc>
          <w:tcPr>
            <w:tcW w:w="659" w:type="pct"/>
            <w:noWrap/>
            <w:vAlign w:val="center"/>
            <w:hideMark/>
          </w:tcPr>
          <w:p w:rsidR="00195BE7" w:rsidRPr="001E2F6E" w:rsidRDefault="00195BE7" w:rsidP="00195BE7">
            <w:pPr>
              <w:spacing w:line="220" w:lineRule="exact"/>
              <w:ind w:right="284"/>
              <w:jc w:val="right"/>
              <w:rPr>
                <w:sz w:val="16"/>
                <w:szCs w:val="16"/>
              </w:rPr>
            </w:pPr>
            <w:r w:rsidRPr="001E2F6E">
              <w:rPr>
                <w:sz w:val="16"/>
                <w:szCs w:val="16"/>
              </w:rPr>
              <w:t>16,3</w:t>
            </w:r>
          </w:p>
        </w:tc>
      </w:tr>
      <w:tr w:rsidR="00195BE7" w:rsidRPr="001E2F6E" w:rsidTr="00195BE7">
        <w:tc>
          <w:tcPr>
            <w:tcW w:w="2363" w:type="pct"/>
            <w:tcBorders>
              <w:right w:val="single" w:sz="4" w:space="0" w:color="BFBFBF" w:themeColor="background1" w:themeShade="BF"/>
            </w:tcBorders>
            <w:noWrap/>
            <w:vAlign w:val="bottom"/>
            <w:hideMark/>
          </w:tcPr>
          <w:p w:rsidR="00195BE7" w:rsidRPr="001E2F6E" w:rsidRDefault="00195BE7" w:rsidP="00195BE7">
            <w:pPr>
              <w:spacing w:line="240" w:lineRule="auto"/>
              <w:rPr>
                <w:sz w:val="16"/>
                <w:szCs w:val="16"/>
                <w:lang w:val="eu-ES"/>
              </w:rPr>
            </w:pPr>
            <w:r w:rsidRPr="001E2F6E">
              <w:rPr>
                <w:sz w:val="16"/>
                <w:szCs w:val="16"/>
                <w:lang w:val="eu-ES"/>
              </w:rPr>
              <w:t>Ostalaritza</w:t>
            </w:r>
          </w:p>
        </w:tc>
        <w:tc>
          <w:tcPr>
            <w:tcW w:w="659" w:type="pct"/>
            <w:tcBorders>
              <w:left w:val="single" w:sz="4" w:space="0" w:color="BFBFBF" w:themeColor="background1" w:themeShade="BF"/>
            </w:tcBorders>
            <w:noWrap/>
            <w:vAlign w:val="center"/>
            <w:hideMark/>
          </w:tcPr>
          <w:p w:rsidR="00195BE7" w:rsidRPr="001E2F6E" w:rsidRDefault="00195BE7" w:rsidP="00195BE7">
            <w:pPr>
              <w:spacing w:line="220" w:lineRule="exact"/>
              <w:ind w:right="284"/>
              <w:jc w:val="right"/>
              <w:rPr>
                <w:sz w:val="16"/>
                <w:szCs w:val="16"/>
              </w:rPr>
            </w:pPr>
            <w:r w:rsidRPr="001E2F6E">
              <w:rPr>
                <w:sz w:val="16"/>
                <w:szCs w:val="16"/>
              </w:rPr>
              <w:t>2.097</w:t>
            </w:r>
          </w:p>
        </w:tc>
        <w:tc>
          <w:tcPr>
            <w:tcW w:w="660" w:type="pct"/>
            <w:tcBorders>
              <w:right w:val="single" w:sz="4" w:space="0" w:color="BFBFBF" w:themeColor="background1" w:themeShade="BF"/>
            </w:tcBorders>
            <w:noWrap/>
            <w:vAlign w:val="center"/>
            <w:hideMark/>
          </w:tcPr>
          <w:p w:rsidR="00195BE7" w:rsidRPr="001E2F6E" w:rsidRDefault="00195BE7" w:rsidP="00195BE7">
            <w:pPr>
              <w:spacing w:line="220" w:lineRule="exact"/>
              <w:ind w:right="284"/>
              <w:jc w:val="right"/>
              <w:rPr>
                <w:sz w:val="16"/>
                <w:szCs w:val="16"/>
              </w:rPr>
            </w:pPr>
            <w:r w:rsidRPr="001E2F6E">
              <w:rPr>
                <w:sz w:val="16"/>
                <w:szCs w:val="16"/>
              </w:rPr>
              <w:t>3,5</w:t>
            </w:r>
          </w:p>
        </w:tc>
        <w:tc>
          <w:tcPr>
            <w:tcW w:w="659" w:type="pct"/>
            <w:tcBorders>
              <w:left w:val="single" w:sz="4" w:space="0" w:color="BFBFBF" w:themeColor="background1" w:themeShade="BF"/>
            </w:tcBorders>
            <w:noWrap/>
            <w:vAlign w:val="center"/>
            <w:hideMark/>
          </w:tcPr>
          <w:p w:rsidR="00195BE7" w:rsidRPr="001E2F6E" w:rsidRDefault="00195BE7" w:rsidP="00195BE7">
            <w:pPr>
              <w:spacing w:line="220" w:lineRule="exact"/>
              <w:ind w:right="284"/>
              <w:jc w:val="right"/>
              <w:rPr>
                <w:sz w:val="16"/>
                <w:szCs w:val="16"/>
              </w:rPr>
            </w:pPr>
            <w:r w:rsidRPr="001E2F6E">
              <w:rPr>
                <w:sz w:val="16"/>
                <w:szCs w:val="16"/>
              </w:rPr>
              <w:t>2.015</w:t>
            </w:r>
          </w:p>
        </w:tc>
        <w:tc>
          <w:tcPr>
            <w:tcW w:w="659" w:type="pct"/>
            <w:noWrap/>
            <w:vAlign w:val="center"/>
            <w:hideMark/>
          </w:tcPr>
          <w:p w:rsidR="00195BE7" w:rsidRPr="001E2F6E" w:rsidRDefault="00195BE7" w:rsidP="00195BE7">
            <w:pPr>
              <w:spacing w:line="220" w:lineRule="exact"/>
              <w:ind w:right="284"/>
              <w:jc w:val="right"/>
              <w:rPr>
                <w:sz w:val="16"/>
                <w:szCs w:val="16"/>
              </w:rPr>
            </w:pPr>
            <w:r w:rsidRPr="001E2F6E">
              <w:rPr>
                <w:sz w:val="16"/>
                <w:szCs w:val="16"/>
              </w:rPr>
              <w:t>3,6</w:t>
            </w:r>
          </w:p>
        </w:tc>
      </w:tr>
      <w:tr w:rsidR="00195BE7" w:rsidRPr="001E2F6E" w:rsidTr="00195BE7">
        <w:tc>
          <w:tcPr>
            <w:tcW w:w="2363" w:type="pct"/>
            <w:tcBorders>
              <w:right w:val="single" w:sz="4" w:space="0" w:color="BFBFBF" w:themeColor="background1" w:themeShade="BF"/>
            </w:tcBorders>
            <w:noWrap/>
            <w:vAlign w:val="bottom"/>
            <w:hideMark/>
          </w:tcPr>
          <w:p w:rsidR="00195BE7" w:rsidRPr="001E2F6E" w:rsidRDefault="00195BE7" w:rsidP="00195BE7">
            <w:pPr>
              <w:spacing w:line="240" w:lineRule="auto"/>
              <w:rPr>
                <w:sz w:val="16"/>
                <w:szCs w:val="16"/>
                <w:lang w:val="eu-ES"/>
              </w:rPr>
            </w:pPr>
            <w:r w:rsidRPr="001E2F6E">
              <w:rPr>
                <w:sz w:val="16"/>
                <w:szCs w:val="16"/>
                <w:lang w:val="eu-ES"/>
              </w:rPr>
              <w:t>Garraioa, biltegiratzea eta komunikazioak</w:t>
            </w:r>
          </w:p>
        </w:tc>
        <w:tc>
          <w:tcPr>
            <w:tcW w:w="659" w:type="pct"/>
            <w:tcBorders>
              <w:left w:val="single" w:sz="4" w:space="0" w:color="BFBFBF" w:themeColor="background1" w:themeShade="BF"/>
            </w:tcBorders>
            <w:noWrap/>
            <w:vAlign w:val="center"/>
            <w:hideMark/>
          </w:tcPr>
          <w:p w:rsidR="00195BE7" w:rsidRPr="001E2F6E" w:rsidRDefault="00195BE7" w:rsidP="00195BE7">
            <w:pPr>
              <w:spacing w:line="220" w:lineRule="exact"/>
              <w:ind w:right="284"/>
              <w:jc w:val="right"/>
              <w:rPr>
                <w:sz w:val="16"/>
                <w:szCs w:val="16"/>
              </w:rPr>
            </w:pPr>
            <w:r w:rsidRPr="001E2F6E">
              <w:rPr>
                <w:sz w:val="16"/>
                <w:szCs w:val="16"/>
              </w:rPr>
              <w:t>1.212</w:t>
            </w:r>
          </w:p>
        </w:tc>
        <w:tc>
          <w:tcPr>
            <w:tcW w:w="660" w:type="pct"/>
            <w:tcBorders>
              <w:right w:val="single" w:sz="4" w:space="0" w:color="BFBFBF" w:themeColor="background1" w:themeShade="BF"/>
            </w:tcBorders>
            <w:noWrap/>
            <w:vAlign w:val="center"/>
            <w:hideMark/>
          </w:tcPr>
          <w:p w:rsidR="00195BE7" w:rsidRPr="001E2F6E" w:rsidRDefault="00195BE7" w:rsidP="00195BE7">
            <w:pPr>
              <w:spacing w:line="220" w:lineRule="exact"/>
              <w:ind w:right="284"/>
              <w:jc w:val="right"/>
              <w:rPr>
                <w:sz w:val="16"/>
                <w:szCs w:val="16"/>
              </w:rPr>
            </w:pPr>
            <w:r w:rsidRPr="001E2F6E">
              <w:rPr>
                <w:sz w:val="16"/>
                <w:szCs w:val="16"/>
              </w:rPr>
              <w:t>2,0</w:t>
            </w:r>
          </w:p>
        </w:tc>
        <w:tc>
          <w:tcPr>
            <w:tcW w:w="659" w:type="pct"/>
            <w:tcBorders>
              <w:left w:val="single" w:sz="4" w:space="0" w:color="BFBFBF" w:themeColor="background1" w:themeShade="BF"/>
            </w:tcBorders>
            <w:noWrap/>
            <w:vAlign w:val="center"/>
            <w:hideMark/>
          </w:tcPr>
          <w:p w:rsidR="00195BE7" w:rsidRPr="001E2F6E" w:rsidRDefault="00195BE7" w:rsidP="00195BE7">
            <w:pPr>
              <w:spacing w:line="220" w:lineRule="exact"/>
              <w:ind w:right="284"/>
              <w:jc w:val="right"/>
              <w:rPr>
                <w:sz w:val="16"/>
                <w:szCs w:val="16"/>
              </w:rPr>
            </w:pPr>
            <w:r w:rsidRPr="001E2F6E">
              <w:rPr>
                <w:sz w:val="16"/>
                <w:szCs w:val="16"/>
              </w:rPr>
              <w:t>1.063</w:t>
            </w:r>
          </w:p>
        </w:tc>
        <w:tc>
          <w:tcPr>
            <w:tcW w:w="659" w:type="pct"/>
            <w:noWrap/>
            <w:vAlign w:val="center"/>
            <w:hideMark/>
          </w:tcPr>
          <w:p w:rsidR="00195BE7" w:rsidRPr="001E2F6E" w:rsidRDefault="00195BE7" w:rsidP="00195BE7">
            <w:pPr>
              <w:spacing w:line="220" w:lineRule="exact"/>
              <w:ind w:right="284"/>
              <w:jc w:val="right"/>
              <w:rPr>
                <w:sz w:val="16"/>
                <w:szCs w:val="16"/>
              </w:rPr>
            </w:pPr>
            <w:r w:rsidRPr="001E2F6E">
              <w:rPr>
                <w:sz w:val="16"/>
                <w:szCs w:val="16"/>
              </w:rPr>
              <w:t>1,9</w:t>
            </w:r>
          </w:p>
        </w:tc>
      </w:tr>
      <w:tr w:rsidR="00195BE7" w:rsidRPr="001E2F6E" w:rsidTr="00195BE7">
        <w:tc>
          <w:tcPr>
            <w:tcW w:w="2363" w:type="pct"/>
            <w:tcBorders>
              <w:right w:val="single" w:sz="4" w:space="0" w:color="BFBFBF" w:themeColor="background1" w:themeShade="BF"/>
            </w:tcBorders>
            <w:noWrap/>
            <w:vAlign w:val="bottom"/>
            <w:hideMark/>
          </w:tcPr>
          <w:p w:rsidR="00195BE7" w:rsidRPr="001E2F6E" w:rsidRDefault="00195BE7" w:rsidP="00195BE7">
            <w:pPr>
              <w:spacing w:line="240" w:lineRule="auto"/>
              <w:rPr>
                <w:sz w:val="16"/>
                <w:szCs w:val="16"/>
                <w:lang w:val="eu-ES"/>
              </w:rPr>
            </w:pPr>
            <w:r w:rsidRPr="001E2F6E">
              <w:rPr>
                <w:sz w:val="16"/>
                <w:szCs w:val="16"/>
                <w:lang w:val="eu-ES"/>
              </w:rPr>
              <w:t>Finantza-bitartekotza</w:t>
            </w:r>
          </w:p>
        </w:tc>
        <w:tc>
          <w:tcPr>
            <w:tcW w:w="659" w:type="pct"/>
            <w:tcBorders>
              <w:left w:val="single" w:sz="4" w:space="0" w:color="BFBFBF" w:themeColor="background1" w:themeShade="BF"/>
            </w:tcBorders>
            <w:noWrap/>
            <w:vAlign w:val="center"/>
            <w:hideMark/>
          </w:tcPr>
          <w:p w:rsidR="00195BE7" w:rsidRPr="001E2F6E" w:rsidRDefault="00195BE7" w:rsidP="00195BE7">
            <w:pPr>
              <w:spacing w:line="220" w:lineRule="exact"/>
              <w:ind w:right="284"/>
              <w:jc w:val="right"/>
              <w:rPr>
                <w:sz w:val="16"/>
                <w:szCs w:val="16"/>
              </w:rPr>
            </w:pPr>
            <w:r w:rsidRPr="001E2F6E">
              <w:rPr>
                <w:sz w:val="16"/>
                <w:szCs w:val="16"/>
              </w:rPr>
              <w:t>2.273</w:t>
            </w:r>
          </w:p>
        </w:tc>
        <w:tc>
          <w:tcPr>
            <w:tcW w:w="660" w:type="pct"/>
            <w:tcBorders>
              <w:right w:val="single" w:sz="4" w:space="0" w:color="BFBFBF" w:themeColor="background1" w:themeShade="BF"/>
            </w:tcBorders>
            <w:noWrap/>
            <w:vAlign w:val="center"/>
            <w:hideMark/>
          </w:tcPr>
          <w:p w:rsidR="00195BE7" w:rsidRPr="001E2F6E" w:rsidRDefault="00195BE7" w:rsidP="00195BE7">
            <w:pPr>
              <w:spacing w:line="220" w:lineRule="exact"/>
              <w:ind w:right="284"/>
              <w:jc w:val="right"/>
              <w:rPr>
                <w:sz w:val="16"/>
                <w:szCs w:val="16"/>
              </w:rPr>
            </w:pPr>
            <w:r w:rsidRPr="001E2F6E">
              <w:rPr>
                <w:sz w:val="16"/>
                <w:szCs w:val="16"/>
              </w:rPr>
              <w:t>3,8</w:t>
            </w:r>
          </w:p>
        </w:tc>
        <w:tc>
          <w:tcPr>
            <w:tcW w:w="659" w:type="pct"/>
            <w:tcBorders>
              <w:left w:val="single" w:sz="4" w:space="0" w:color="BFBFBF" w:themeColor="background1" w:themeShade="BF"/>
            </w:tcBorders>
            <w:noWrap/>
            <w:vAlign w:val="center"/>
            <w:hideMark/>
          </w:tcPr>
          <w:p w:rsidR="00195BE7" w:rsidRPr="001E2F6E" w:rsidRDefault="00195BE7" w:rsidP="00195BE7">
            <w:pPr>
              <w:spacing w:line="220" w:lineRule="exact"/>
              <w:ind w:right="284"/>
              <w:jc w:val="right"/>
              <w:rPr>
                <w:sz w:val="16"/>
                <w:szCs w:val="16"/>
              </w:rPr>
            </w:pPr>
            <w:r w:rsidRPr="001E2F6E">
              <w:rPr>
                <w:sz w:val="16"/>
                <w:szCs w:val="16"/>
              </w:rPr>
              <w:t>1.918</w:t>
            </w:r>
          </w:p>
        </w:tc>
        <w:tc>
          <w:tcPr>
            <w:tcW w:w="659" w:type="pct"/>
            <w:noWrap/>
            <w:vAlign w:val="center"/>
            <w:hideMark/>
          </w:tcPr>
          <w:p w:rsidR="00195BE7" w:rsidRPr="001E2F6E" w:rsidRDefault="00195BE7" w:rsidP="00195BE7">
            <w:pPr>
              <w:spacing w:line="220" w:lineRule="exact"/>
              <w:ind w:right="284"/>
              <w:jc w:val="right"/>
              <w:rPr>
                <w:sz w:val="16"/>
                <w:szCs w:val="16"/>
              </w:rPr>
            </w:pPr>
            <w:r w:rsidRPr="001E2F6E">
              <w:rPr>
                <w:sz w:val="16"/>
                <w:szCs w:val="16"/>
              </w:rPr>
              <w:t>3,4</w:t>
            </w:r>
          </w:p>
        </w:tc>
      </w:tr>
      <w:tr w:rsidR="00195BE7" w:rsidRPr="001E2F6E" w:rsidTr="00195BE7">
        <w:tc>
          <w:tcPr>
            <w:tcW w:w="2363" w:type="pct"/>
            <w:tcBorders>
              <w:right w:val="single" w:sz="4" w:space="0" w:color="BFBFBF" w:themeColor="background1" w:themeShade="BF"/>
            </w:tcBorders>
            <w:noWrap/>
            <w:vAlign w:val="bottom"/>
            <w:hideMark/>
          </w:tcPr>
          <w:p w:rsidR="00195BE7" w:rsidRPr="001E2F6E" w:rsidRDefault="00195BE7" w:rsidP="00195BE7">
            <w:pPr>
              <w:spacing w:line="240" w:lineRule="auto"/>
              <w:rPr>
                <w:sz w:val="16"/>
                <w:szCs w:val="16"/>
                <w:lang w:val="eu-ES"/>
              </w:rPr>
            </w:pPr>
            <w:r w:rsidRPr="001E2F6E">
              <w:rPr>
                <w:sz w:val="16"/>
                <w:szCs w:val="16"/>
                <w:lang w:val="eu-ES"/>
              </w:rPr>
              <w:t>Onibar-jarduerak eta alokairu-jarduerak; enpresa-zerbitzuak</w:t>
            </w:r>
          </w:p>
        </w:tc>
        <w:tc>
          <w:tcPr>
            <w:tcW w:w="659" w:type="pct"/>
            <w:tcBorders>
              <w:left w:val="single" w:sz="4" w:space="0" w:color="BFBFBF" w:themeColor="background1" w:themeShade="BF"/>
            </w:tcBorders>
            <w:noWrap/>
            <w:vAlign w:val="center"/>
            <w:hideMark/>
          </w:tcPr>
          <w:p w:rsidR="00195BE7" w:rsidRPr="001E2F6E" w:rsidRDefault="00195BE7" w:rsidP="00195BE7">
            <w:pPr>
              <w:spacing w:line="220" w:lineRule="exact"/>
              <w:ind w:right="284"/>
              <w:jc w:val="right"/>
              <w:rPr>
                <w:sz w:val="16"/>
                <w:szCs w:val="16"/>
              </w:rPr>
            </w:pPr>
            <w:r w:rsidRPr="001E2F6E">
              <w:rPr>
                <w:sz w:val="16"/>
                <w:szCs w:val="16"/>
              </w:rPr>
              <w:t>5.721</w:t>
            </w:r>
          </w:p>
        </w:tc>
        <w:tc>
          <w:tcPr>
            <w:tcW w:w="660" w:type="pct"/>
            <w:tcBorders>
              <w:right w:val="single" w:sz="4" w:space="0" w:color="BFBFBF" w:themeColor="background1" w:themeShade="BF"/>
            </w:tcBorders>
            <w:noWrap/>
            <w:vAlign w:val="center"/>
            <w:hideMark/>
          </w:tcPr>
          <w:p w:rsidR="00195BE7" w:rsidRPr="001E2F6E" w:rsidRDefault="00195BE7" w:rsidP="00195BE7">
            <w:pPr>
              <w:spacing w:line="220" w:lineRule="exact"/>
              <w:ind w:right="284"/>
              <w:jc w:val="right"/>
              <w:rPr>
                <w:sz w:val="16"/>
                <w:szCs w:val="16"/>
              </w:rPr>
            </w:pPr>
            <w:r w:rsidRPr="001E2F6E">
              <w:rPr>
                <w:sz w:val="16"/>
                <w:szCs w:val="16"/>
              </w:rPr>
              <w:t>9,5</w:t>
            </w:r>
          </w:p>
        </w:tc>
        <w:tc>
          <w:tcPr>
            <w:tcW w:w="659" w:type="pct"/>
            <w:tcBorders>
              <w:left w:val="single" w:sz="4" w:space="0" w:color="BFBFBF" w:themeColor="background1" w:themeShade="BF"/>
            </w:tcBorders>
            <w:noWrap/>
            <w:vAlign w:val="center"/>
            <w:hideMark/>
          </w:tcPr>
          <w:p w:rsidR="00195BE7" w:rsidRPr="001E2F6E" w:rsidRDefault="00195BE7" w:rsidP="00195BE7">
            <w:pPr>
              <w:spacing w:line="220" w:lineRule="exact"/>
              <w:ind w:right="284"/>
              <w:jc w:val="right"/>
              <w:rPr>
                <w:sz w:val="16"/>
                <w:szCs w:val="16"/>
              </w:rPr>
            </w:pPr>
            <w:r w:rsidRPr="001E2F6E">
              <w:rPr>
                <w:sz w:val="16"/>
                <w:szCs w:val="16"/>
              </w:rPr>
              <w:t>3.351</w:t>
            </w:r>
          </w:p>
        </w:tc>
        <w:tc>
          <w:tcPr>
            <w:tcW w:w="659" w:type="pct"/>
            <w:noWrap/>
            <w:vAlign w:val="center"/>
            <w:hideMark/>
          </w:tcPr>
          <w:p w:rsidR="00195BE7" w:rsidRPr="001E2F6E" w:rsidRDefault="00195BE7" w:rsidP="00195BE7">
            <w:pPr>
              <w:spacing w:line="220" w:lineRule="exact"/>
              <w:ind w:right="284"/>
              <w:jc w:val="right"/>
              <w:rPr>
                <w:sz w:val="16"/>
                <w:szCs w:val="16"/>
              </w:rPr>
            </w:pPr>
            <w:r w:rsidRPr="001E2F6E">
              <w:rPr>
                <w:sz w:val="16"/>
                <w:szCs w:val="16"/>
              </w:rPr>
              <w:t>6,0</w:t>
            </w:r>
          </w:p>
        </w:tc>
      </w:tr>
      <w:tr w:rsidR="00195BE7" w:rsidRPr="001E2F6E" w:rsidTr="00195BE7">
        <w:tc>
          <w:tcPr>
            <w:tcW w:w="2363" w:type="pct"/>
            <w:tcBorders>
              <w:right w:val="single" w:sz="4" w:space="0" w:color="BFBFBF" w:themeColor="background1" w:themeShade="BF"/>
            </w:tcBorders>
            <w:noWrap/>
            <w:vAlign w:val="bottom"/>
            <w:hideMark/>
          </w:tcPr>
          <w:p w:rsidR="00195BE7" w:rsidRPr="001E2F6E" w:rsidRDefault="00195BE7" w:rsidP="00195BE7">
            <w:pPr>
              <w:spacing w:line="240" w:lineRule="auto"/>
              <w:rPr>
                <w:sz w:val="16"/>
                <w:szCs w:val="16"/>
                <w:lang w:val="eu-ES"/>
              </w:rPr>
            </w:pPr>
            <w:r w:rsidRPr="001E2F6E">
              <w:rPr>
                <w:sz w:val="16"/>
                <w:szCs w:val="16"/>
                <w:lang w:val="eu-ES"/>
              </w:rPr>
              <w:t>Hezkuntza</w:t>
            </w:r>
          </w:p>
        </w:tc>
        <w:tc>
          <w:tcPr>
            <w:tcW w:w="659" w:type="pct"/>
            <w:tcBorders>
              <w:left w:val="single" w:sz="4" w:space="0" w:color="BFBFBF" w:themeColor="background1" w:themeShade="BF"/>
            </w:tcBorders>
            <w:noWrap/>
            <w:vAlign w:val="center"/>
            <w:hideMark/>
          </w:tcPr>
          <w:p w:rsidR="00195BE7" w:rsidRPr="001E2F6E" w:rsidRDefault="00195BE7" w:rsidP="00195BE7">
            <w:pPr>
              <w:spacing w:line="220" w:lineRule="exact"/>
              <w:ind w:right="284"/>
              <w:jc w:val="right"/>
              <w:rPr>
                <w:sz w:val="16"/>
                <w:szCs w:val="16"/>
              </w:rPr>
            </w:pPr>
            <w:r w:rsidRPr="001E2F6E">
              <w:rPr>
                <w:sz w:val="16"/>
                <w:szCs w:val="16"/>
              </w:rPr>
              <w:t>7.058</w:t>
            </w:r>
          </w:p>
        </w:tc>
        <w:tc>
          <w:tcPr>
            <w:tcW w:w="660" w:type="pct"/>
            <w:tcBorders>
              <w:right w:val="single" w:sz="4" w:space="0" w:color="BFBFBF" w:themeColor="background1" w:themeShade="BF"/>
            </w:tcBorders>
            <w:noWrap/>
            <w:vAlign w:val="center"/>
            <w:hideMark/>
          </w:tcPr>
          <w:p w:rsidR="00195BE7" w:rsidRPr="001E2F6E" w:rsidRDefault="00195BE7" w:rsidP="00195BE7">
            <w:pPr>
              <w:spacing w:line="220" w:lineRule="exact"/>
              <w:ind w:right="284"/>
              <w:jc w:val="right"/>
              <w:rPr>
                <w:sz w:val="16"/>
                <w:szCs w:val="16"/>
              </w:rPr>
            </w:pPr>
            <w:r w:rsidRPr="001E2F6E">
              <w:rPr>
                <w:sz w:val="16"/>
                <w:szCs w:val="16"/>
              </w:rPr>
              <w:t>11,8</w:t>
            </w:r>
          </w:p>
        </w:tc>
        <w:tc>
          <w:tcPr>
            <w:tcW w:w="659" w:type="pct"/>
            <w:tcBorders>
              <w:left w:val="single" w:sz="4" w:space="0" w:color="BFBFBF" w:themeColor="background1" w:themeShade="BF"/>
            </w:tcBorders>
            <w:noWrap/>
            <w:vAlign w:val="center"/>
            <w:hideMark/>
          </w:tcPr>
          <w:p w:rsidR="00195BE7" w:rsidRPr="001E2F6E" w:rsidRDefault="00195BE7" w:rsidP="00195BE7">
            <w:pPr>
              <w:spacing w:line="220" w:lineRule="exact"/>
              <w:ind w:right="284"/>
              <w:jc w:val="right"/>
              <w:rPr>
                <w:sz w:val="16"/>
                <w:szCs w:val="16"/>
              </w:rPr>
            </w:pPr>
            <w:r w:rsidRPr="001E2F6E">
              <w:rPr>
                <w:sz w:val="16"/>
                <w:szCs w:val="16"/>
              </w:rPr>
              <w:t>7.018</w:t>
            </w:r>
          </w:p>
        </w:tc>
        <w:tc>
          <w:tcPr>
            <w:tcW w:w="659" w:type="pct"/>
            <w:noWrap/>
            <w:vAlign w:val="center"/>
            <w:hideMark/>
          </w:tcPr>
          <w:p w:rsidR="00195BE7" w:rsidRPr="001E2F6E" w:rsidRDefault="00195BE7" w:rsidP="00195BE7">
            <w:pPr>
              <w:spacing w:line="220" w:lineRule="exact"/>
              <w:ind w:right="284"/>
              <w:jc w:val="right"/>
              <w:rPr>
                <w:sz w:val="16"/>
                <w:szCs w:val="16"/>
              </w:rPr>
            </w:pPr>
            <w:r w:rsidRPr="001E2F6E">
              <w:rPr>
                <w:sz w:val="16"/>
                <w:szCs w:val="16"/>
              </w:rPr>
              <w:t>12,6</w:t>
            </w:r>
          </w:p>
        </w:tc>
      </w:tr>
      <w:tr w:rsidR="00195BE7" w:rsidRPr="001E2F6E" w:rsidTr="00195BE7">
        <w:tc>
          <w:tcPr>
            <w:tcW w:w="2363" w:type="pct"/>
            <w:tcBorders>
              <w:right w:val="single" w:sz="4" w:space="0" w:color="BFBFBF" w:themeColor="background1" w:themeShade="BF"/>
            </w:tcBorders>
            <w:noWrap/>
            <w:vAlign w:val="bottom"/>
            <w:hideMark/>
          </w:tcPr>
          <w:p w:rsidR="00195BE7" w:rsidRPr="001E2F6E" w:rsidRDefault="00195BE7" w:rsidP="00195BE7">
            <w:pPr>
              <w:spacing w:line="240" w:lineRule="auto"/>
              <w:rPr>
                <w:sz w:val="16"/>
                <w:szCs w:val="16"/>
                <w:lang w:val="eu-ES"/>
              </w:rPr>
            </w:pPr>
            <w:r w:rsidRPr="001E2F6E">
              <w:rPr>
                <w:sz w:val="16"/>
                <w:szCs w:val="16"/>
                <w:lang w:val="eu-ES"/>
              </w:rPr>
              <w:t>Osasun- eta albaitaritza -jarduerak, gizarte -zerbitzuak</w:t>
            </w:r>
          </w:p>
        </w:tc>
        <w:tc>
          <w:tcPr>
            <w:tcW w:w="659" w:type="pct"/>
            <w:tcBorders>
              <w:left w:val="single" w:sz="4" w:space="0" w:color="BFBFBF" w:themeColor="background1" w:themeShade="BF"/>
            </w:tcBorders>
            <w:noWrap/>
            <w:vAlign w:val="center"/>
            <w:hideMark/>
          </w:tcPr>
          <w:p w:rsidR="00195BE7" w:rsidRPr="001E2F6E" w:rsidRDefault="00195BE7" w:rsidP="00195BE7">
            <w:pPr>
              <w:spacing w:line="220" w:lineRule="exact"/>
              <w:ind w:right="284"/>
              <w:jc w:val="right"/>
              <w:rPr>
                <w:sz w:val="16"/>
                <w:szCs w:val="16"/>
              </w:rPr>
            </w:pPr>
            <w:r w:rsidRPr="001E2F6E">
              <w:rPr>
                <w:sz w:val="16"/>
                <w:szCs w:val="16"/>
              </w:rPr>
              <w:t>1.736</w:t>
            </w:r>
          </w:p>
        </w:tc>
        <w:tc>
          <w:tcPr>
            <w:tcW w:w="660" w:type="pct"/>
            <w:tcBorders>
              <w:right w:val="single" w:sz="4" w:space="0" w:color="BFBFBF" w:themeColor="background1" w:themeShade="BF"/>
            </w:tcBorders>
            <w:noWrap/>
            <w:vAlign w:val="center"/>
            <w:hideMark/>
          </w:tcPr>
          <w:p w:rsidR="00195BE7" w:rsidRPr="001E2F6E" w:rsidRDefault="00195BE7" w:rsidP="00195BE7">
            <w:pPr>
              <w:spacing w:line="220" w:lineRule="exact"/>
              <w:ind w:right="284"/>
              <w:jc w:val="right"/>
              <w:rPr>
                <w:sz w:val="16"/>
                <w:szCs w:val="16"/>
              </w:rPr>
            </w:pPr>
            <w:r w:rsidRPr="001E2F6E">
              <w:rPr>
                <w:sz w:val="16"/>
                <w:szCs w:val="16"/>
              </w:rPr>
              <w:t>2,9</w:t>
            </w:r>
          </w:p>
        </w:tc>
        <w:tc>
          <w:tcPr>
            <w:tcW w:w="659" w:type="pct"/>
            <w:tcBorders>
              <w:left w:val="single" w:sz="4" w:space="0" w:color="BFBFBF" w:themeColor="background1" w:themeShade="BF"/>
            </w:tcBorders>
            <w:noWrap/>
            <w:vAlign w:val="center"/>
            <w:hideMark/>
          </w:tcPr>
          <w:p w:rsidR="00195BE7" w:rsidRPr="001E2F6E" w:rsidRDefault="00195BE7" w:rsidP="00195BE7">
            <w:pPr>
              <w:spacing w:line="220" w:lineRule="exact"/>
              <w:ind w:right="284"/>
              <w:jc w:val="right"/>
              <w:rPr>
                <w:sz w:val="16"/>
                <w:szCs w:val="16"/>
              </w:rPr>
            </w:pPr>
            <w:r w:rsidRPr="001E2F6E">
              <w:rPr>
                <w:sz w:val="16"/>
                <w:szCs w:val="16"/>
              </w:rPr>
              <w:t>1.698</w:t>
            </w:r>
          </w:p>
        </w:tc>
        <w:tc>
          <w:tcPr>
            <w:tcW w:w="659" w:type="pct"/>
            <w:noWrap/>
            <w:vAlign w:val="center"/>
            <w:hideMark/>
          </w:tcPr>
          <w:p w:rsidR="00195BE7" w:rsidRPr="001E2F6E" w:rsidRDefault="00195BE7" w:rsidP="00195BE7">
            <w:pPr>
              <w:spacing w:line="220" w:lineRule="exact"/>
              <w:ind w:right="284"/>
              <w:jc w:val="right"/>
              <w:rPr>
                <w:sz w:val="16"/>
                <w:szCs w:val="16"/>
              </w:rPr>
            </w:pPr>
            <w:r w:rsidRPr="001E2F6E">
              <w:rPr>
                <w:sz w:val="16"/>
                <w:szCs w:val="16"/>
              </w:rPr>
              <w:t>3,0</w:t>
            </w:r>
          </w:p>
        </w:tc>
      </w:tr>
      <w:tr w:rsidR="00195BE7" w:rsidRPr="001E2F6E" w:rsidTr="00195BE7">
        <w:tc>
          <w:tcPr>
            <w:tcW w:w="2363" w:type="pct"/>
            <w:tcBorders>
              <w:right w:val="single" w:sz="4" w:space="0" w:color="BFBFBF" w:themeColor="background1" w:themeShade="BF"/>
            </w:tcBorders>
            <w:noWrap/>
            <w:vAlign w:val="bottom"/>
            <w:hideMark/>
          </w:tcPr>
          <w:p w:rsidR="00195BE7" w:rsidRPr="001E2F6E" w:rsidRDefault="00195BE7" w:rsidP="00195BE7">
            <w:pPr>
              <w:spacing w:line="240" w:lineRule="auto"/>
              <w:rPr>
                <w:sz w:val="16"/>
                <w:szCs w:val="16"/>
                <w:lang w:val="eu-ES"/>
              </w:rPr>
            </w:pPr>
            <w:r w:rsidRPr="001E2F6E">
              <w:rPr>
                <w:sz w:val="16"/>
                <w:szCs w:val="16"/>
                <w:lang w:val="eu-ES"/>
              </w:rPr>
              <w:t>Bestelako gizarte -zerbitzuak eta komunitateari emandako zerbitzuak; zerbitzu pertsonalak</w:t>
            </w:r>
          </w:p>
        </w:tc>
        <w:tc>
          <w:tcPr>
            <w:tcW w:w="659" w:type="pct"/>
            <w:tcBorders>
              <w:left w:val="single" w:sz="4" w:space="0" w:color="BFBFBF" w:themeColor="background1" w:themeShade="BF"/>
            </w:tcBorders>
            <w:noWrap/>
            <w:vAlign w:val="center"/>
            <w:hideMark/>
          </w:tcPr>
          <w:p w:rsidR="00195BE7" w:rsidRPr="001E2F6E" w:rsidRDefault="00195BE7" w:rsidP="00195BE7">
            <w:pPr>
              <w:spacing w:line="220" w:lineRule="exact"/>
              <w:ind w:right="284"/>
              <w:jc w:val="right"/>
              <w:rPr>
                <w:sz w:val="16"/>
                <w:szCs w:val="16"/>
              </w:rPr>
            </w:pPr>
            <w:r w:rsidRPr="001E2F6E">
              <w:rPr>
                <w:sz w:val="16"/>
                <w:szCs w:val="16"/>
              </w:rPr>
              <w:t>443</w:t>
            </w:r>
          </w:p>
        </w:tc>
        <w:tc>
          <w:tcPr>
            <w:tcW w:w="660" w:type="pct"/>
            <w:tcBorders>
              <w:right w:val="single" w:sz="4" w:space="0" w:color="BFBFBF" w:themeColor="background1" w:themeShade="BF"/>
            </w:tcBorders>
            <w:noWrap/>
            <w:vAlign w:val="center"/>
            <w:hideMark/>
          </w:tcPr>
          <w:p w:rsidR="00195BE7" w:rsidRPr="001E2F6E" w:rsidRDefault="00195BE7" w:rsidP="00195BE7">
            <w:pPr>
              <w:spacing w:line="220" w:lineRule="exact"/>
              <w:ind w:right="284"/>
              <w:jc w:val="right"/>
              <w:rPr>
                <w:sz w:val="16"/>
                <w:szCs w:val="16"/>
              </w:rPr>
            </w:pPr>
            <w:r w:rsidRPr="001E2F6E">
              <w:rPr>
                <w:sz w:val="16"/>
                <w:szCs w:val="16"/>
              </w:rPr>
              <w:t>0,7</w:t>
            </w:r>
          </w:p>
        </w:tc>
        <w:tc>
          <w:tcPr>
            <w:tcW w:w="659" w:type="pct"/>
            <w:tcBorders>
              <w:left w:val="single" w:sz="4" w:space="0" w:color="BFBFBF" w:themeColor="background1" w:themeShade="BF"/>
            </w:tcBorders>
            <w:noWrap/>
            <w:vAlign w:val="center"/>
            <w:hideMark/>
          </w:tcPr>
          <w:p w:rsidR="00195BE7" w:rsidRPr="001E2F6E" w:rsidRDefault="00195BE7" w:rsidP="00195BE7">
            <w:pPr>
              <w:spacing w:line="220" w:lineRule="exact"/>
              <w:ind w:right="284"/>
              <w:jc w:val="right"/>
              <w:rPr>
                <w:sz w:val="16"/>
                <w:szCs w:val="16"/>
              </w:rPr>
            </w:pPr>
            <w:r w:rsidRPr="001E2F6E">
              <w:rPr>
                <w:sz w:val="16"/>
                <w:szCs w:val="16"/>
              </w:rPr>
              <w:t>440</w:t>
            </w:r>
          </w:p>
        </w:tc>
        <w:tc>
          <w:tcPr>
            <w:tcW w:w="659" w:type="pct"/>
            <w:noWrap/>
            <w:vAlign w:val="center"/>
            <w:hideMark/>
          </w:tcPr>
          <w:p w:rsidR="00195BE7" w:rsidRPr="001E2F6E" w:rsidRDefault="00195BE7" w:rsidP="00195BE7">
            <w:pPr>
              <w:spacing w:line="220" w:lineRule="exact"/>
              <w:ind w:right="284"/>
              <w:jc w:val="right"/>
              <w:rPr>
                <w:sz w:val="16"/>
                <w:szCs w:val="16"/>
              </w:rPr>
            </w:pPr>
            <w:r w:rsidRPr="001E2F6E">
              <w:rPr>
                <w:sz w:val="16"/>
                <w:szCs w:val="16"/>
              </w:rPr>
              <w:t>0,8</w:t>
            </w:r>
          </w:p>
        </w:tc>
      </w:tr>
      <w:tr w:rsidR="00195BE7" w:rsidRPr="001E2F6E" w:rsidTr="00195BE7">
        <w:tc>
          <w:tcPr>
            <w:tcW w:w="2363" w:type="pct"/>
            <w:tcBorders>
              <w:bottom w:val="single" w:sz="4" w:space="0" w:color="BFBFBF" w:themeColor="background1" w:themeShade="BF"/>
              <w:right w:val="single" w:sz="4" w:space="0" w:color="BFBFBF" w:themeColor="background1" w:themeShade="BF"/>
            </w:tcBorders>
            <w:noWrap/>
            <w:vAlign w:val="bottom"/>
            <w:hideMark/>
          </w:tcPr>
          <w:p w:rsidR="00195BE7" w:rsidRPr="001E2F6E" w:rsidRDefault="00195BE7" w:rsidP="00195BE7">
            <w:pPr>
              <w:spacing w:line="240" w:lineRule="auto"/>
              <w:rPr>
                <w:sz w:val="16"/>
                <w:szCs w:val="16"/>
                <w:lang w:val="eu-ES"/>
              </w:rPr>
            </w:pPr>
            <w:r w:rsidRPr="001E2F6E">
              <w:rPr>
                <w:sz w:val="16"/>
                <w:szCs w:val="16"/>
                <w:lang w:val="eu-ES"/>
              </w:rPr>
              <w:t>Lehen sektorea</w:t>
            </w:r>
          </w:p>
        </w:tc>
        <w:tc>
          <w:tcPr>
            <w:tcW w:w="659" w:type="pct"/>
            <w:tcBorders>
              <w:left w:val="single" w:sz="4" w:space="0" w:color="BFBFBF" w:themeColor="background1" w:themeShade="BF"/>
              <w:bottom w:val="single" w:sz="4" w:space="0" w:color="BFBFBF" w:themeColor="background1" w:themeShade="BF"/>
            </w:tcBorders>
            <w:noWrap/>
            <w:vAlign w:val="center"/>
            <w:hideMark/>
          </w:tcPr>
          <w:p w:rsidR="00195BE7" w:rsidRPr="001E2F6E" w:rsidRDefault="00195BE7" w:rsidP="00195BE7">
            <w:pPr>
              <w:spacing w:line="220" w:lineRule="exact"/>
              <w:ind w:right="284"/>
              <w:jc w:val="right"/>
              <w:rPr>
                <w:sz w:val="16"/>
                <w:szCs w:val="16"/>
              </w:rPr>
            </w:pPr>
            <w:r w:rsidRPr="001E2F6E">
              <w:rPr>
                <w:sz w:val="16"/>
                <w:szCs w:val="16"/>
              </w:rPr>
              <w:t>1.119</w:t>
            </w:r>
          </w:p>
        </w:tc>
        <w:tc>
          <w:tcPr>
            <w:tcW w:w="660" w:type="pct"/>
            <w:tcBorders>
              <w:bottom w:val="single" w:sz="4" w:space="0" w:color="BFBFBF" w:themeColor="background1" w:themeShade="BF"/>
              <w:right w:val="single" w:sz="4" w:space="0" w:color="BFBFBF" w:themeColor="background1" w:themeShade="BF"/>
            </w:tcBorders>
            <w:noWrap/>
            <w:vAlign w:val="center"/>
            <w:hideMark/>
          </w:tcPr>
          <w:p w:rsidR="00195BE7" w:rsidRPr="001E2F6E" w:rsidRDefault="00195BE7" w:rsidP="00195BE7">
            <w:pPr>
              <w:spacing w:line="220" w:lineRule="exact"/>
              <w:ind w:right="284"/>
              <w:jc w:val="right"/>
              <w:rPr>
                <w:sz w:val="16"/>
                <w:szCs w:val="16"/>
              </w:rPr>
            </w:pPr>
            <w:r w:rsidRPr="001E2F6E">
              <w:rPr>
                <w:sz w:val="16"/>
                <w:szCs w:val="16"/>
              </w:rPr>
              <w:t>1,9</w:t>
            </w:r>
          </w:p>
        </w:tc>
        <w:tc>
          <w:tcPr>
            <w:tcW w:w="659" w:type="pct"/>
            <w:tcBorders>
              <w:left w:val="single" w:sz="4" w:space="0" w:color="BFBFBF" w:themeColor="background1" w:themeShade="BF"/>
              <w:bottom w:val="single" w:sz="4" w:space="0" w:color="BFBFBF" w:themeColor="background1" w:themeShade="BF"/>
            </w:tcBorders>
            <w:noWrap/>
            <w:vAlign w:val="center"/>
            <w:hideMark/>
          </w:tcPr>
          <w:p w:rsidR="00195BE7" w:rsidRPr="001E2F6E" w:rsidRDefault="00195BE7" w:rsidP="00195BE7">
            <w:pPr>
              <w:spacing w:line="220" w:lineRule="exact"/>
              <w:ind w:right="284"/>
              <w:jc w:val="right"/>
              <w:rPr>
                <w:sz w:val="16"/>
                <w:szCs w:val="16"/>
              </w:rPr>
            </w:pPr>
            <w:r w:rsidRPr="001E2F6E">
              <w:rPr>
                <w:sz w:val="16"/>
                <w:szCs w:val="16"/>
              </w:rPr>
              <w:t>1.375</w:t>
            </w:r>
          </w:p>
        </w:tc>
        <w:tc>
          <w:tcPr>
            <w:tcW w:w="659" w:type="pct"/>
            <w:tcBorders>
              <w:bottom w:val="single" w:sz="4" w:space="0" w:color="BFBFBF" w:themeColor="background1" w:themeShade="BF"/>
            </w:tcBorders>
            <w:noWrap/>
            <w:vAlign w:val="center"/>
            <w:hideMark/>
          </w:tcPr>
          <w:p w:rsidR="00195BE7" w:rsidRPr="001E2F6E" w:rsidRDefault="00195BE7" w:rsidP="00195BE7">
            <w:pPr>
              <w:spacing w:line="220" w:lineRule="exact"/>
              <w:ind w:right="284"/>
              <w:jc w:val="right"/>
              <w:rPr>
                <w:sz w:val="16"/>
                <w:szCs w:val="16"/>
              </w:rPr>
            </w:pPr>
            <w:r w:rsidRPr="001E2F6E">
              <w:rPr>
                <w:sz w:val="16"/>
                <w:szCs w:val="16"/>
              </w:rPr>
              <w:t>2,5</w:t>
            </w:r>
          </w:p>
        </w:tc>
      </w:tr>
      <w:tr w:rsidR="00195BE7" w:rsidRPr="001E2F6E" w:rsidTr="00195BE7">
        <w:tc>
          <w:tcPr>
            <w:tcW w:w="2363" w:type="pct"/>
            <w:tcBorders>
              <w:top w:val="single" w:sz="4" w:space="0" w:color="BFBFBF" w:themeColor="background1" w:themeShade="BF"/>
              <w:bottom w:val="single" w:sz="4" w:space="0" w:color="BFBFBF" w:themeColor="background1" w:themeShade="BF"/>
              <w:right w:val="single" w:sz="4" w:space="0" w:color="BFBFBF" w:themeColor="background1" w:themeShade="BF"/>
            </w:tcBorders>
            <w:noWrap/>
            <w:hideMark/>
          </w:tcPr>
          <w:p w:rsidR="00195BE7" w:rsidRPr="001E2F6E" w:rsidRDefault="00195BE7" w:rsidP="00195BE7">
            <w:pPr>
              <w:spacing w:line="220" w:lineRule="exact"/>
              <w:rPr>
                <w:b/>
                <w:bCs/>
                <w:sz w:val="16"/>
                <w:szCs w:val="16"/>
                <w:lang w:val="eu-ES"/>
              </w:rPr>
            </w:pPr>
            <w:r w:rsidRPr="001E2F6E">
              <w:rPr>
                <w:b/>
                <w:bCs/>
                <w:sz w:val="16"/>
                <w:szCs w:val="16"/>
                <w:lang w:val="eu-ES"/>
              </w:rPr>
              <w:t>GUZTIRA</w:t>
            </w:r>
          </w:p>
        </w:tc>
        <w:tc>
          <w:tcPr>
            <w:tcW w:w="659" w:type="pct"/>
            <w:tcBorders>
              <w:top w:val="single" w:sz="4" w:space="0" w:color="BFBFBF" w:themeColor="background1" w:themeShade="BF"/>
              <w:left w:val="single" w:sz="4" w:space="0" w:color="BFBFBF" w:themeColor="background1" w:themeShade="BF"/>
              <w:bottom w:val="single" w:sz="4" w:space="0" w:color="BFBFBF" w:themeColor="background1" w:themeShade="BF"/>
            </w:tcBorders>
            <w:noWrap/>
            <w:vAlign w:val="center"/>
            <w:hideMark/>
          </w:tcPr>
          <w:p w:rsidR="00195BE7" w:rsidRPr="001E2F6E" w:rsidRDefault="00195BE7" w:rsidP="00195BE7">
            <w:pPr>
              <w:spacing w:line="220" w:lineRule="exact"/>
              <w:ind w:right="284"/>
              <w:jc w:val="right"/>
              <w:rPr>
                <w:b/>
                <w:bCs/>
                <w:sz w:val="16"/>
                <w:szCs w:val="16"/>
              </w:rPr>
            </w:pPr>
            <w:r w:rsidRPr="001E2F6E">
              <w:rPr>
                <w:b/>
                <w:bCs/>
                <w:sz w:val="16"/>
                <w:szCs w:val="16"/>
              </w:rPr>
              <w:t>59.915</w:t>
            </w:r>
          </w:p>
        </w:tc>
        <w:tc>
          <w:tcPr>
            <w:tcW w:w="660" w:type="pct"/>
            <w:tcBorders>
              <w:top w:val="single" w:sz="4" w:space="0" w:color="BFBFBF" w:themeColor="background1" w:themeShade="BF"/>
              <w:bottom w:val="single" w:sz="4" w:space="0" w:color="BFBFBF" w:themeColor="background1" w:themeShade="BF"/>
              <w:right w:val="single" w:sz="4" w:space="0" w:color="BFBFBF" w:themeColor="background1" w:themeShade="BF"/>
            </w:tcBorders>
            <w:noWrap/>
            <w:vAlign w:val="center"/>
            <w:hideMark/>
          </w:tcPr>
          <w:p w:rsidR="00195BE7" w:rsidRPr="001E2F6E" w:rsidRDefault="00195BE7" w:rsidP="00195BE7">
            <w:pPr>
              <w:spacing w:line="220" w:lineRule="exact"/>
              <w:ind w:right="284"/>
              <w:jc w:val="right"/>
              <w:rPr>
                <w:b/>
                <w:bCs/>
                <w:sz w:val="16"/>
                <w:szCs w:val="16"/>
              </w:rPr>
            </w:pPr>
            <w:r w:rsidRPr="001E2F6E">
              <w:rPr>
                <w:b/>
                <w:bCs/>
                <w:sz w:val="16"/>
                <w:szCs w:val="16"/>
              </w:rPr>
              <w:t>100</w:t>
            </w:r>
          </w:p>
        </w:tc>
        <w:tc>
          <w:tcPr>
            <w:tcW w:w="659" w:type="pct"/>
            <w:tcBorders>
              <w:top w:val="single" w:sz="4" w:space="0" w:color="BFBFBF" w:themeColor="background1" w:themeShade="BF"/>
              <w:left w:val="single" w:sz="4" w:space="0" w:color="BFBFBF" w:themeColor="background1" w:themeShade="BF"/>
              <w:bottom w:val="single" w:sz="4" w:space="0" w:color="BFBFBF" w:themeColor="background1" w:themeShade="BF"/>
            </w:tcBorders>
            <w:noWrap/>
            <w:vAlign w:val="center"/>
            <w:hideMark/>
          </w:tcPr>
          <w:p w:rsidR="00195BE7" w:rsidRPr="001E2F6E" w:rsidRDefault="00195BE7" w:rsidP="00195BE7">
            <w:pPr>
              <w:spacing w:line="220" w:lineRule="exact"/>
              <w:ind w:right="284"/>
              <w:jc w:val="right"/>
              <w:rPr>
                <w:b/>
                <w:bCs/>
                <w:sz w:val="16"/>
                <w:szCs w:val="16"/>
              </w:rPr>
            </w:pPr>
            <w:r w:rsidRPr="001E2F6E">
              <w:rPr>
                <w:b/>
                <w:bCs/>
                <w:sz w:val="16"/>
                <w:szCs w:val="16"/>
              </w:rPr>
              <w:t>55.809</w:t>
            </w:r>
          </w:p>
        </w:tc>
        <w:tc>
          <w:tcPr>
            <w:tcW w:w="659" w:type="pct"/>
            <w:tcBorders>
              <w:top w:val="single" w:sz="4" w:space="0" w:color="BFBFBF" w:themeColor="background1" w:themeShade="BF"/>
              <w:bottom w:val="single" w:sz="4" w:space="0" w:color="BFBFBF" w:themeColor="background1" w:themeShade="BF"/>
            </w:tcBorders>
            <w:noWrap/>
            <w:vAlign w:val="center"/>
            <w:hideMark/>
          </w:tcPr>
          <w:p w:rsidR="00195BE7" w:rsidRPr="001E2F6E" w:rsidRDefault="00195BE7" w:rsidP="00195BE7">
            <w:pPr>
              <w:spacing w:line="220" w:lineRule="exact"/>
              <w:ind w:right="284"/>
              <w:jc w:val="right"/>
              <w:rPr>
                <w:b/>
                <w:bCs/>
                <w:sz w:val="16"/>
                <w:szCs w:val="16"/>
              </w:rPr>
            </w:pPr>
            <w:r w:rsidRPr="001E2F6E">
              <w:rPr>
                <w:b/>
                <w:bCs/>
                <w:sz w:val="16"/>
                <w:szCs w:val="16"/>
              </w:rPr>
              <w:t>100</w:t>
            </w:r>
          </w:p>
        </w:tc>
      </w:tr>
    </w:tbl>
    <w:p w:rsidR="00195BE7" w:rsidRPr="001E2F6E" w:rsidRDefault="00195BE7" w:rsidP="00195BE7">
      <w:pPr>
        <w:widowControl w:val="0"/>
        <w:ind w:left="709" w:hanging="709"/>
        <w:rPr>
          <w:b/>
          <w:color w:val="1F497D" w:themeColor="text2"/>
        </w:rPr>
      </w:pPr>
    </w:p>
    <w:p w:rsidR="00195BE7" w:rsidRPr="001E2F6E" w:rsidRDefault="00195BE7" w:rsidP="00195BE7">
      <w:pPr>
        <w:rPr>
          <w:b/>
          <w:color w:val="1F497D" w:themeColor="text2"/>
        </w:rPr>
      </w:pPr>
    </w:p>
    <w:p w:rsidR="00195BE7" w:rsidRPr="001E2F6E" w:rsidRDefault="00195BE7" w:rsidP="00195BE7">
      <w:pPr>
        <w:pStyle w:val="Ttulo1"/>
        <w:ind w:left="708" w:hanging="708"/>
        <w:rPr>
          <w:color w:val="1F497D" w:themeColor="text2"/>
          <w:sz w:val="22"/>
          <w:szCs w:val="22"/>
          <w:lang w:val="eu-ES"/>
        </w:rPr>
      </w:pPr>
      <w:bookmarkStart w:id="50" w:name="_Toc391989006"/>
      <w:bookmarkStart w:id="51" w:name="_Toc392585669"/>
      <w:r w:rsidRPr="001E2F6E">
        <w:rPr>
          <w:color w:val="1F497D" w:themeColor="text2"/>
          <w:sz w:val="22"/>
          <w:szCs w:val="22"/>
          <w:lang w:val="eu-ES"/>
        </w:rPr>
        <w:t>1.2.-</w:t>
      </w:r>
      <w:r w:rsidRPr="001E2F6E">
        <w:rPr>
          <w:color w:val="1F497D" w:themeColor="text2"/>
          <w:sz w:val="22"/>
          <w:szCs w:val="22"/>
          <w:lang w:val="eu-ES"/>
        </w:rPr>
        <w:tab/>
        <w:t>GIZARTE-EKONOMIAKO ENPLEGUAREN EZAUGARRI NAGUSIAK</w:t>
      </w:r>
      <w:bookmarkEnd w:id="50"/>
      <w:bookmarkEnd w:id="51"/>
    </w:p>
    <w:p w:rsidR="00195BE7" w:rsidRPr="001E2F6E" w:rsidRDefault="00195BE7" w:rsidP="00195BE7">
      <w:pPr>
        <w:widowControl w:val="0"/>
        <w:rPr>
          <w:b/>
          <w:color w:val="1F497D" w:themeColor="text2"/>
          <w:sz w:val="22"/>
          <w:lang w:val="eu-ES"/>
        </w:rPr>
      </w:pPr>
    </w:p>
    <w:p w:rsidR="00195BE7" w:rsidRPr="001E2F6E" w:rsidRDefault="00195BE7" w:rsidP="00195BE7">
      <w:pPr>
        <w:pStyle w:val="Ttulo1"/>
        <w:ind w:left="708" w:hanging="708"/>
        <w:rPr>
          <w:color w:val="1F497D" w:themeColor="text2"/>
          <w:sz w:val="22"/>
          <w:szCs w:val="22"/>
          <w:lang w:val="eu-ES"/>
        </w:rPr>
      </w:pPr>
      <w:bookmarkStart w:id="52" w:name="_Toc391565478"/>
      <w:bookmarkStart w:id="53" w:name="_Toc391989007"/>
      <w:bookmarkStart w:id="54" w:name="_Toc392585670"/>
      <w:r w:rsidRPr="001E2F6E">
        <w:rPr>
          <w:color w:val="1F497D" w:themeColor="text2"/>
          <w:sz w:val="22"/>
          <w:szCs w:val="22"/>
          <w:lang w:val="eu-ES"/>
        </w:rPr>
        <w:t>1.2.1.- Generoa eta adina</w:t>
      </w:r>
      <w:bookmarkEnd w:id="52"/>
      <w:bookmarkEnd w:id="53"/>
      <w:bookmarkEnd w:id="54"/>
    </w:p>
    <w:p w:rsidR="00195BE7" w:rsidRPr="001E2F6E" w:rsidRDefault="00195BE7" w:rsidP="00195BE7"/>
    <w:p w:rsidR="00195BE7" w:rsidRPr="001E2F6E" w:rsidRDefault="00195BE7" w:rsidP="00195BE7">
      <w:pPr>
        <w:spacing w:line="240" w:lineRule="auto"/>
        <w:jc w:val="center"/>
        <w:rPr>
          <w:b/>
          <w:color w:val="1F497D" w:themeColor="text2"/>
          <w:sz w:val="18"/>
          <w:szCs w:val="18"/>
        </w:rPr>
      </w:pPr>
      <w:r w:rsidRPr="001E2F6E">
        <w:rPr>
          <w:b/>
          <w:color w:val="1F497D" w:themeColor="text2"/>
          <w:sz w:val="18"/>
          <w:szCs w:val="18"/>
        </w:rPr>
        <w:t xml:space="preserve"> </w:t>
      </w:r>
      <w:bookmarkStart w:id="55" w:name="_Toc391989080"/>
      <w:bookmarkStart w:id="56" w:name="_Toc392585745"/>
      <w:r w:rsidRPr="001E2F6E">
        <w:rPr>
          <w:b/>
          <w:color w:val="1F497D" w:themeColor="text2"/>
          <w:sz w:val="18"/>
          <w:szCs w:val="18"/>
        </w:rPr>
        <w:t>1.</w:t>
      </w:r>
      <w:r w:rsidR="00EB6BA6" w:rsidRPr="001E2F6E">
        <w:rPr>
          <w:b/>
          <w:color w:val="1F497D" w:themeColor="text2"/>
          <w:sz w:val="18"/>
          <w:szCs w:val="18"/>
        </w:rPr>
        <w:fldChar w:fldCharType="begin"/>
      </w:r>
      <w:r w:rsidRPr="001E2F6E">
        <w:rPr>
          <w:b/>
          <w:color w:val="1F497D" w:themeColor="text2"/>
          <w:sz w:val="18"/>
          <w:szCs w:val="18"/>
        </w:rPr>
        <w:instrText xml:space="preserve"> SEQ Cuadro_1. \* ARABIC </w:instrText>
      </w:r>
      <w:r w:rsidR="00EB6BA6" w:rsidRPr="001E2F6E">
        <w:rPr>
          <w:b/>
          <w:color w:val="1F497D" w:themeColor="text2"/>
          <w:sz w:val="18"/>
          <w:szCs w:val="18"/>
        </w:rPr>
        <w:fldChar w:fldCharType="separate"/>
      </w:r>
      <w:r w:rsidR="00A327D4">
        <w:rPr>
          <w:b/>
          <w:noProof/>
          <w:color w:val="1F497D" w:themeColor="text2"/>
          <w:sz w:val="18"/>
          <w:szCs w:val="18"/>
        </w:rPr>
        <w:t>10</w:t>
      </w:r>
      <w:r w:rsidR="00EB6BA6" w:rsidRPr="001E2F6E">
        <w:rPr>
          <w:b/>
          <w:color w:val="1F497D" w:themeColor="text2"/>
          <w:sz w:val="18"/>
          <w:szCs w:val="18"/>
        </w:rPr>
        <w:fldChar w:fldCharType="end"/>
      </w:r>
      <w:r w:rsidRPr="001E2F6E">
        <w:rPr>
          <w:b/>
          <w:color w:val="1F497D" w:themeColor="text2"/>
          <w:sz w:val="18"/>
          <w:szCs w:val="18"/>
        </w:rPr>
        <w:t xml:space="preserve"> Taula </w:t>
      </w:r>
      <w:r w:rsidRPr="001E2F6E">
        <w:rPr>
          <w:b/>
          <w:color w:val="1F497D" w:themeColor="text2"/>
          <w:sz w:val="18"/>
          <w:szCs w:val="18"/>
          <w:lang w:val="eu-ES"/>
        </w:rPr>
        <w:t>GIZARTE-EKONOMIAREN JARDUERAREN ARLOZ ARLOKO BANAKETA, GENEROAREN ARABERA 2012 (%bertikalak)</w:t>
      </w:r>
      <w:bookmarkEnd w:id="55"/>
      <w:bookmarkEnd w:id="56"/>
    </w:p>
    <w:tbl>
      <w:tblPr>
        <w:tblW w:w="5000" w:type="pct"/>
        <w:jc w:val="center"/>
        <w:tblLook w:val="04A0" w:firstRow="1" w:lastRow="0" w:firstColumn="1" w:lastColumn="0" w:noHBand="0" w:noVBand="1"/>
      </w:tblPr>
      <w:tblGrid>
        <w:gridCol w:w="1355"/>
        <w:gridCol w:w="1529"/>
        <w:gridCol w:w="1529"/>
        <w:gridCol w:w="1530"/>
        <w:gridCol w:w="1678"/>
        <w:gridCol w:w="1383"/>
      </w:tblGrid>
      <w:tr w:rsidR="00195BE7" w:rsidRPr="001E2F6E" w:rsidTr="00195BE7">
        <w:trPr>
          <w:jc w:val="center"/>
        </w:trPr>
        <w:tc>
          <w:tcPr>
            <w:tcW w:w="715"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tcPr>
          <w:p w:rsidR="00195BE7" w:rsidRPr="001E2F6E" w:rsidRDefault="00195BE7" w:rsidP="00195BE7">
            <w:pPr>
              <w:spacing w:line="240" w:lineRule="exact"/>
              <w:jc w:val="center"/>
              <w:rPr>
                <w:sz w:val="16"/>
                <w:szCs w:val="16"/>
              </w:rPr>
            </w:pPr>
            <w:r w:rsidRPr="001E2F6E">
              <w:rPr>
                <w:sz w:val="16"/>
                <w:szCs w:val="16"/>
              </w:rPr>
              <w:t> </w:t>
            </w:r>
          </w:p>
        </w:tc>
        <w:tc>
          <w:tcPr>
            <w:tcW w:w="85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tcPr>
          <w:p w:rsidR="00195BE7" w:rsidRPr="001E2F6E" w:rsidRDefault="00195BE7" w:rsidP="00195BE7">
            <w:pPr>
              <w:spacing w:line="240" w:lineRule="exact"/>
              <w:jc w:val="center"/>
              <w:rPr>
                <w:b/>
                <w:bCs/>
                <w:sz w:val="16"/>
                <w:szCs w:val="16"/>
                <w:lang w:val="eu-ES"/>
              </w:rPr>
            </w:pPr>
            <w:r w:rsidRPr="001E2F6E">
              <w:rPr>
                <w:b/>
                <w:bCs/>
                <w:sz w:val="16"/>
                <w:szCs w:val="16"/>
                <w:lang w:val="eu-ES"/>
              </w:rPr>
              <w:t>GUZTIRA</w:t>
            </w:r>
          </w:p>
        </w:tc>
        <w:tc>
          <w:tcPr>
            <w:tcW w:w="85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tcPr>
          <w:p w:rsidR="00195BE7" w:rsidRPr="001E2F6E" w:rsidRDefault="00195BE7" w:rsidP="00195BE7">
            <w:pPr>
              <w:spacing w:line="240" w:lineRule="exact"/>
              <w:jc w:val="center"/>
              <w:rPr>
                <w:b/>
                <w:bCs/>
                <w:sz w:val="16"/>
                <w:szCs w:val="16"/>
                <w:lang w:val="eu-ES"/>
              </w:rPr>
            </w:pPr>
            <w:r w:rsidRPr="001E2F6E">
              <w:rPr>
                <w:b/>
                <w:bCs/>
                <w:sz w:val="16"/>
                <w:szCs w:val="16"/>
                <w:lang w:val="eu-ES"/>
              </w:rPr>
              <w:t>Lehen sektorea</w:t>
            </w:r>
          </w:p>
        </w:tc>
        <w:tc>
          <w:tcPr>
            <w:tcW w:w="85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tcPr>
          <w:p w:rsidR="00195BE7" w:rsidRPr="001E2F6E" w:rsidRDefault="00195BE7" w:rsidP="00195BE7">
            <w:pPr>
              <w:spacing w:line="240" w:lineRule="exact"/>
              <w:jc w:val="center"/>
              <w:rPr>
                <w:b/>
                <w:bCs/>
                <w:sz w:val="16"/>
                <w:szCs w:val="16"/>
                <w:lang w:val="eu-ES"/>
              </w:rPr>
            </w:pPr>
            <w:r w:rsidRPr="001E2F6E">
              <w:rPr>
                <w:b/>
                <w:bCs/>
                <w:sz w:val="16"/>
                <w:szCs w:val="16"/>
                <w:lang w:val="eu-ES"/>
              </w:rPr>
              <w:t>Industria</w:t>
            </w:r>
          </w:p>
        </w:tc>
        <w:tc>
          <w:tcPr>
            <w:tcW w:w="93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tcPr>
          <w:p w:rsidR="00195BE7" w:rsidRPr="001E2F6E" w:rsidRDefault="00195BE7" w:rsidP="00195BE7">
            <w:pPr>
              <w:spacing w:line="240" w:lineRule="exact"/>
              <w:jc w:val="center"/>
              <w:rPr>
                <w:b/>
                <w:bCs/>
                <w:sz w:val="16"/>
                <w:szCs w:val="16"/>
                <w:lang w:val="eu-ES"/>
              </w:rPr>
            </w:pPr>
            <w:r w:rsidRPr="001E2F6E">
              <w:rPr>
                <w:b/>
                <w:bCs/>
                <w:sz w:val="16"/>
                <w:szCs w:val="16"/>
                <w:lang w:val="eu-ES"/>
              </w:rPr>
              <w:t>Eraikuntza</w:t>
            </w:r>
          </w:p>
        </w:tc>
        <w:tc>
          <w:tcPr>
            <w:tcW w:w="775"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vAlign w:val="center"/>
          </w:tcPr>
          <w:p w:rsidR="00195BE7" w:rsidRPr="001E2F6E" w:rsidRDefault="00195BE7" w:rsidP="00195BE7">
            <w:pPr>
              <w:spacing w:line="240" w:lineRule="exact"/>
              <w:jc w:val="center"/>
              <w:rPr>
                <w:b/>
                <w:bCs/>
                <w:sz w:val="16"/>
                <w:szCs w:val="16"/>
                <w:lang w:val="eu-ES"/>
              </w:rPr>
            </w:pPr>
            <w:r w:rsidRPr="001E2F6E">
              <w:rPr>
                <w:b/>
                <w:bCs/>
                <w:sz w:val="16"/>
                <w:szCs w:val="16"/>
                <w:lang w:val="eu-ES"/>
              </w:rPr>
              <w:t>Zerbitzuak</w:t>
            </w:r>
          </w:p>
        </w:tc>
      </w:tr>
      <w:tr w:rsidR="00195BE7" w:rsidRPr="001E2F6E" w:rsidTr="00195BE7">
        <w:trPr>
          <w:jc w:val="center"/>
        </w:trPr>
        <w:tc>
          <w:tcPr>
            <w:tcW w:w="715" w:type="pct"/>
            <w:tcBorders>
              <w:top w:val="single" w:sz="4" w:space="0" w:color="BFBFBF" w:themeColor="background1" w:themeShade="BF"/>
              <w:right w:val="single" w:sz="4" w:space="0" w:color="BFBFBF" w:themeColor="background1" w:themeShade="BF"/>
            </w:tcBorders>
            <w:vAlign w:val="bottom"/>
          </w:tcPr>
          <w:p w:rsidR="00195BE7" w:rsidRPr="001E2F6E" w:rsidRDefault="00195BE7" w:rsidP="00195BE7">
            <w:pPr>
              <w:spacing w:line="240" w:lineRule="exact"/>
              <w:rPr>
                <w:sz w:val="16"/>
                <w:szCs w:val="16"/>
                <w:lang w:val="eu-ES"/>
              </w:rPr>
            </w:pPr>
            <w:r w:rsidRPr="001E2F6E">
              <w:rPr>
                <w:sz w:val="16"/>
                <w:szCs w:val="16"/>
                <w:lang w:val="eu-ES"/>
              </w:rPr>
              <w:t>Gizonezkoak</w:t>
            </w:r>
          </w:p>
        </w:tc>
        <w:tc>
          <w:tcPr>
            <w:tcW w:w="857" w:type="pct"/>
            <w:tcBorders>
              <w:top w:val="single" w:sz="4" w:space="0" w:color="BFBFBF" w:themeColor="background1" w:themeShade="BF"/>
              <w:left w:val="single" w:sz="4" w:space="0" w:color="BFBFBF" w:themeColor="background1" w:themeShade="BF"/>
              <w:right w:val="single" w:sz="4" w:space="0" w:color="BFBFBF" w:themeColor="background1" w:themeShade="BF"/>
            </w:tcBorders>
          </w:tcPr>
          <w:p w:rsidR="00195BE7" w:rsidRPr="001E2F6E" w:rsidRDefault="00195BE7" w:rsidP="00195BE7">
            <w:pPr>
              <w:spacing w:line="240" w:lineRule="exact"/>
              <w:ind w:right="151"/>
              <w:jc w:val="right"/>
              <w:rPr>
                <w:bCs/>
                <w:sz w:val="16"/>
                <w:szCs w:val="16"/>
              </w:rPr>
            </w:pPr>
            <w:r w:rsidRPr="001E2F6E">
              <w:rPr>
                <w:bCs/>
                <w:sz w:val="16"/>
                <w:szCs w:val="16"/>
              </w:rPr>
              <w:t>57,0</w:t>
            </w:r>
          </w:p>
        </w:tc>
        <w:tc>
          <w:tcPr>
            <w:tcW w:w="857" w:type="pct"/>
            <w:tcBorders>
              <w:top w:val="single" w:sz="4" w:space="0" w:color="BFBFBF" w:themeColor="background1" w:themeShade="BF"/>
              <w:left w:val="single" w:sz="4" w:space="0" w:color="BFBFBF" w:themeColor="background1" w:themeShade="BF"/>
              <w:right w:val="single" w:sz="4" w:space="0" w:color="BFBFBF" w:themeColor="background1" w:themeShade="BF"/>
            </w:tcBorders>
          </w:tcPr>
          <w:p w:rsidR="00195BE7" w:rsidRPr="001E2F6E" w:rsidRDefault="00195BE7" w:rsidP="00195BE7">
            <w:pPr>
              <w:spacing w:line="240" w:lineRule="exact"/>
              <w:ind w:right="151"/>
              <w:jc w:val="right"/>
              <w:rPr>
                <w:sz w:val="16"/>
                <w:szCs w:val="16"/>
              </w:rPr>
            </w:pPr>
            <w:r w:rsidRPr="001E2F6E">
              <w:rPr>
                <w:sz w:val="16"/>
                <w:szCs w:val="16"/>
              </w:rPr>
              <w:t>80,0</w:t>
            </w:r>
          </w:p>
        </w:tc>
        <w:tc>
          <w:tcPr>
            <w:tcW w:w="857" w:type="pct"/>
            <w:tcBorders>
              <w:top w:val="single" w:sz="4" w:space="0" w:color="BFBFBF" w:themeColor="background1" w:themeShade="BF"/>
              <w:left w:val="single" w:sz="4" w:space="0" w:color="BFBFBF" w:themeColor="background1" w:themeShade="BF"/>
              <w:right w:val="single" w:sz="4" w:space="0" w:color="BFBFBF" w:themeColor="background1" w:themeShade="BF"/>
            </w:tcBorders>
          </w:tcPr>
          <w:p w:rsidR="00195BE7" w:rsidRPr="001E2F6E" w:rsidRDefault="00195BE7" w:rsidP="00195BE7">
            <w:pPr>
              <w:spacing w:line="240" w:lineRule="exact"/>
              <w:ind w:right="151"/>
              <w:jc w:val="right"/>
              <w:rPr>
                <w:sz w:val="16"/>
                <w:szCs w:val="16"/>
              </w:rPr>
            </w:pPr>
            <w:r w:rsidRPr="001E2F6E">
              <w:rPr>
                <w:sz w:val="16"/>
                <w:szCs w:val="16"/>
              </w:rPr>
              <w:t>78,0</w:t>
            </w:r>
          </w:p>
        </w:tc>
        <w:tc>
          <w:tcPr>
            <w:tcW w:w="939" w:type="pct"/>
            <w:tcBorders>
              <w:top w:val="single" w:sz="4" w:space="0" w:color="BFBFBF" w:themeColor="background1" w:themeShade="BF"/>
              <w:left w:val="single" w:sz="4" w:space="0" w:color="BFBFBF" w:themeColor="background1" w:themeShade="BF"/>
              <w:right w:val="single" w:sz="4" w:space="0" w:color="BFBFBF" w:themeColor="background1" w:themeShade="BF"/>
            </w:tcBorders>
          </w:tcPr>
          <w:p w:rsidR="00195BE7" w:rsidRPr="001E2F6E" w:rsidRDefault="00195BE7" w:rsidP="00195BE7">
            <w:pPr>
              <w:spacing w:line="240" w:lineRule="exact"/>
              <w:ind w:right="151"/>
              <w:jc w:val="right"/>
              <w:rPr>
                <w:sz w:val="16"/>
                <w:szCs w:val="16"/>
              </w:rPr>
            </w:pPr>
            <w:r w:rsidRPr="001E2F6E">
              <w:rPr>
                <w:sz w:val="16"/>
                <w:szCs w:val="16"/>
              </w:rPr>
              <w:t>90,0</w:t>
            </w:r>
          </w:p>
        </w:tc>
        <w:tc>
          <w:tcPr>
            <w:tcW w:w="775" w:type="pct"/>
            <w:tcBorders>
              <w:top w:val="single" w:sz="4" w:space="0" w:color="BFBFBF" w:themeColor="background1" w:themeShade="BF"/>
              <w:left w:val="single" w:sz="4" w:space="0" w:color="BFBFBF" w:themeColor="background1" w:themeShade="BF"/>
            </w:tcBorders>
          </w:tcPr>
          <w:p w:rsidR="00195BE7" w:rsidRPr="001E2F6E" w:rsidRDefault="00195BE7" w:rsidP="00195BE7">
            <w:pPr>
              <w:spacing w:line="240" w:lineRule="exact"/>
              <w:ind w:right="151"/>
              <w:jc w:val="right"/>
              <w:rPr>
                <w:sz w:val="16"/>
                <w:szCs w:val="16"/>
              </w:rPr>
            </w:pPr>
            <w:r w:rsidRPr="001E2F6E">
              <w:rPr>
                <w:sz w:val="16"/>
                <w:szCs w:val="16"/>
              </w:rPr>
              <w:t>35,0</w:t>
            </w:r>
          </w:p>
        </w:tc>
      </w:tr>
      <w:tr w:rsidR="00195BE7" w:rsidRPr="001E2F6E" w:rsidTr="00195BE7">
        <w:trPr>
          <w:jc w:val="center"/>
        </w:trPr>
        <w:tc>
          <w:tcPr>
            <w:tcW w:w="715" w:type="pct"/>
            <w:tcBorders>
              <w:bottom w:val="single" w:sz="4" w:space="0" w:color="BFBFBF" w:themeColor="background1" w:themeShade="BF"/>
              <w:right w:val="single" w:sz="4" w:space="0" w:color="BFBFBF" w:themeColor="background1" w:themeShade="BF"/>
            </w:tcBorders>
            <w:vAlign w:val="bottom"/>
          </w:tcPr>
          <w:p w:rsidR="00195BE7" w:rsidRPr="001E2F6E" w:rsidRDefault="00195BE7" w:rsidP="00195BE7">
            <w:pPr>
              <w:spacing w:line="240" w:lineRule="exact"/>
              <w:rPr>
                <w:sz w:val="16"/>
                <w:szCs w:val="16"/>
                <w:lang w:val="eu-ES"/>
              </w:rPr>
            </w:pPr>
            <w:r w:rsidRPr="001E2F6E">
              <w:rPr>
                <w:sz w:val="16"/>
                <w:szCs w:val="16"/>
                <w:lang w:val="eu-ES"/>
              </w:rPr>
              <w:t>Emakumezkoak</w:t>
            </w:r>
          </w:p>
        </w:tc>
        <w:tc>
          <w:tcPr>
            <w:tcW w:w="857" w:type="pct"/>
            <w:tcBorders>
              <w:left w:val="single" w:sz="4" w:space="0" w:color="BFBFBF" w:themeColor="background1" w:themeShade="BF"/>
              <w:bottom w:val="single" w:sz="4" w:space="0" w:color="BFBFBF" w:themeColor="background1" w:themeShade="BF"/>
              <w:right w:val="single" w:sz="4" w:space="0" w:color="BFBFBF" w:themeColor="background1" w:themeShade="BF"/>
            </w:tcBorders>
          </w:tcPr>
          <w:p w:rsidR="00195BE7" w:rsidRPr="001E2F6E" w:rsidRDefault="00195BE7" w:rsidP="00195BE7">
            <w:pPr>
              <w:spacing w:line="240" w:lineRule="exact"/>
              <w:ind w:right="151"/>
              <w:jc w:val="right"/>
              <w:rPr>
                <w:bCs/>
                <w:sz w:val="16"/>
                <w:szCs w:val="16"/>
              </w:rPr>
            </w:pPr>
            <w:r w:rsidRPr="001E2F6E">
              <w:rPr>
                <w:bCs/>
                <w:sz w:val="16"/>
                <w:szCs w:val="16"/>
              </w:rPr>
              <w:t>43,0</w:t>
            </w:r>
          </w:p>
        </w:tc>
        <w:tc>
          <w:tcPr>
            <w:tcW w:w="857" w:type="pct"/>
            <w:tcBorders>
              <w:left w:val="single" w:sz="4" w:space="0" w:color="BFBFBF" w:themeColor="background1" w:themeShade="BF"/>
              <w:bottom w:val="single" w:sz="4" w:space="0" w:color="BFBFBF" w:themeColor="background1" w:themeShade="BF"/>
              <w:right w:val="single" w:sz="4" w:space="0" w:color="BFBFBF" w:themeColor="background1" w:themeShade="BF"/>
            </w:tcBorders>
          </w:tcPr>
          <w:p w:rsidR="00195BE7" w:rsidRPr="001E2F6E" w:rsidRDefault="00195BE7" w:rsidP="00195BE7">
            <w:pPr>
              <w:spacing w:line="240" w:lineRule="exact"/>
              <w:ind w:right="151"/>
              <w:jc w:val="right"/>
              <w:rPr>
                <w:sz w:val="16"/>
                <w:szCs w:val="16"/>
              </w:rPr>
            </w:pPr>
            <w:r w:rsidRPr="001E2F6E">
              <w:rPr>
                <w:sz w:val="16"/>
                <w:szCs w:val="16"/>
              </w:rPr>
              <w:t>20,0</w:t>
            </w:r>
          </w:p>
        </w:tc>
        <w:tc>
          <w:tcPr>
            <w:tcW w:w="857" w:type="pct"/>
            <w:tcBorders>
              <w:left w:val="single" w:sz="4" w:space="0" w:color="BFBFBF" w:themeColor="background1" w:themeShade="BF"/>
              <w:bottom w:val="single" w:sz="4" w:space="0" w:color="BFBFBF" w:themeColor="background1" w:themeShade="BF"/>
              <w:right w:val="single" w:sz="4" w:space="0" w:color="BFBFBF" w:themeColor="background1" w:themeShade="BF"/>
            </w:tcBorders>
          </w:tcPr>
          <w:p w:rsidR="00195BE7" w:rsidRPr="001E2F6E" w:rsidRDefault="00195BE7" w:rsidP="00195BE7">
            <w:pPr>
              <w:spacing w:line="240" w:lineRule="exact"/>
              <w:ind w:right="151"/>
              <w:jc w:val="right"/>
              <w:rPr>
                <w:sz w:val="16"/>
                <w:szCs w:val="16"/>
              </w:rPr>
            </w:pPr>
            <w:r w:rsidRPr="001E2F6E">
              <w:rPr>
                <w:sz w:val="16"/>
                <w:szCs w:val="16"/>
              </w:rPr>
              <w:t>22,0</w:t>
            </w:r>
          </w:p>
        </w:tc>
        <w:tc>
          <w:tcPr>
            <w:tcW w:w="939" w:type="pct"/>
            <w:tcBorders>
              <w:left w:val="single" w:sz="4" w:space="0" w:color="BFBFBF" w:themeColor="background1" w:themeShade="BF"/>
              <w:bottom w:val="single" w:sz="4" w:space="0" w:color="BFBFBF" w:themeColor="background1" w:themeShade="BF"/>
              <w:right w:val="single" w:sz="4" w:space="0" w:color="BFBFBF" w:themeColor="background1" w:themeShade="BF"/>
            </w:tcBorders>
          </w:tcPr>
          <w:p w:rsidR="00195BE7" w:rsidRPr="001E2F6E" w:rsidRDefault="00195BE7" w:rsidP="00195BE7">
            <w:pPr>
              <w:spacing w:line="240" w:lineRule="exact"/>
              <w:ind w:right="151"/>
              <w:jc w:val="right"/>
              <w:rPr>
                <w:sz w:val="16"/>
                <w:szCs w:val="16"/>
              </w:rPr>
            </w:pPr>
            <w:r w:rsidRPr="001E2F6E">
              <w:rPr>
                <w:sz w:val="16"/>
                <w:szCs w:val="16"/>
              </w:rPr>
              <w:t>10,0</w:t>
            </w:r>
          </w:p>
        </w:tc>
        <w:tc>
          <w:tcPr>
            <w:tcW w:w="775" w:type="pct"/>
            <w:tcBorders>
              <w:left w:val="single" w:sz="4" w:space="0" w:color="BFBFBF" w:themeColor="background1" w:themeShade="BF"/>
              <w:bottom w:val="single" w:sz="4" w:space="0" w:color="BFBFBF" w:themeColor="background1" w:themeShade="BF"/>
            </w:tcBorders>
          </w:tcPr>
          <w:p w:rsidR="00195BE7" w:rsidRPr="001E2F6E" w:rsidRDefault="00195BE7" w:rsidP="00195BE7">
            <w:pPr>
              <w:spacing w:line="240" w:lineRule="exact"/>
              <w:ind w:right="151"/>
              <w:jc w:val="right"/>
              <w:rPr>
                <w:sz w:val="16"/>
                <w:szCs w:val="16"/>
              </w:rPr>
            </w:pPr>
            <w:r w:rsidRPr="001E2F6E">
              <w:rPr>
                <w:sz w:val="16"/>
                <w:szCs w:val="16"/>
              </w:rPr>
              <w:t>65,0</w:t>
            </w:r>
          </w:p>
        </w:tc>
      </w:tr>
    </w:tbl>
    <w:p w:rsidR="00195BE7" w:rsidRPr="001E2F6E" w:rsidRDefault="00195BE7" w:rsidP="00195BE7">
      <w:pPr>
        <w:rPr>
          <w:rFonts w:ascii="Tahoma" w:hAnsi="Tahoma"/>
        </w:rPr>
      </w:pPr>
    </w:p>
    <w:p w:rsidR="00195BE7" w:rsidRPr="001E2F6E" w:rsidRDefault="00195BE7" w:rsidP="00195BE7">
      <w:pPr>
        <w:spacing w:line="240" w:lineRule="auto"/>
        <w:jc w:val="center"/>
        <w:rPr>
          <w:b/>
          <w:color w:val="1F497D" w:themeColor="text2"/>
          <w:sz w:val="18"/>
          <w:szCs w:val="18"/>
        </w:rPr>
      </w:pPr>
      <w:bookmarkStart w:id="57" w:name="_Toc391989081"/>
      <w:bookmarkStart w:id="58" w:name="_Toc392585746"/>
      <w:r w:rsidRPr="001E2F6E">
        <w:rPr>
          <w:b/>
          <w:color w:val="1F497D" w:themeColor="text2"/>
          <w:sz w:val="18"/>
          <w:szCs w:val="18"/>
        </w:rPr>
        <w:t>1.</w:t>
      </w:r>
      <w:r w:rsidR="00EB6BA6" w:rsidRPr="001E2F6E">
        <w:rPr>
          <w:b/>
          <w:color w:val="1F497D" w:themeColor="text2"/>
          <w:sz w:val="18"/>
          <w:szCs w:val="18"/>
        </w:rPr>
        <w:fldChar w:fldCharType="begin"/>
      </w:r>
      <w:r w:rsidRPr="001E2F6E">
        <w:rPr>
          <w:b/>
          <w:color w:val="1F497D" w:themeColor="text2"/>
          <w:sz w:val="18"/>
          <w:szCs w:val="18"/>
        </w:rPr>
        <w:instrText xml:space="preserve"> SEQ Cuadro_1. \* ARABIC </w:instrText>
      </w:r>
      <w:r w:rsidR="00EB6BA6" w:rsidRPr="001E2F6E">
        <w:rPr>
          <w:b/>
          <w:color w:val="1F497D" w:themeColor="text2"/>
          <w:sz w:val="18"/>
          <w:szCs w:val="18"/>
        </w:rPr>
        <w:fldChar w:fldCharType="separate"/>
      </w:r>
      <w:r w:rsidR="00A327D4">
        <w:rPr>
          <w:b/>
          <w:noProof/>
          <w:color w:val="1F497D" w:themeColor="text2"/>
          <w:sz w:val="18"/>
          <w:szCs w:val="18"/>
        </w:rPr>
        <w:t>11</w:t>
      </w:r>
      <w:r w:rsidR="00EB6BA6" w:rsidRPr="001E2F6E">
        <w:rPr>
          <w:b/>
          <w:color w:val="1F497D" w:themeColor="text2"/>
          <w:sz w:val="18"/>
          <w:szCs w:val="18"/>
        </w:rPr>
        <w:fldChar w:fldCharType="end"/>
      </w:r>
      <w:r w:rsidRPr="001E2F6E">
        <w:rPr>
          <w:b/>
          <w:color w:val="1F497D" w:themeColor="text2"/>
          <w:sz w:val="18"/>
          <w:szCs w:val="18"/>
        </w:rPr>
        <w:t xml:space="preserve"> Taula </w:t>
      </w:r>
      <w:r w:rsidRPr="001E2F6E">
        <w:rPr>
          <w:b/>
          <w:color w:val="1F497D" w:themeColor="text2"/>
          <w:sz w:val="18"/>
          <w:szCs w:val="18"/>
          <w:lang w:val="eu-ES"/>
        </w:rPr>
        <w:t>EAEko EKONOMIAKO JARDUERAREN ARLOZ ARLOKO BANAKETA, GENEROAREN ARABERA. 2012 (%bertikalak.)</w:t>
      </w:r>
      <w:bookmarkEnd w:id="57"/>
      <w:bookmarkEnd w:id="58"/>
    </w:p>
    <w:tbl>
      <w:tblPr>
        <w:tblW w:w="5000" w:type="pct"/>
        <w:jc w:val="center"/>
        <w:tblLook w:val="04A0" w:firstRow="1" w:lastRow="0" w:firstColumn="1" w:lastColumn="0" w:noHBand="0" w:noVBand="1"/>
      </w:tblPr>
      <w:tblGrid>
        <w:gridCol w:w="1355"/>
        <w:gridCol w:w="1529"/>
        <w:gridCol w:w="1529"/>
        <w:gridCol w:w="1530"/>
        <w:gridCol w:w="1678"/>
        <w:gridCol w:w="1383"/>
      </w:tblGrid>
      <w:tr w:rsidR="00195BE7" w:rsidRPr="001E2F6E" w:rsidTr="00195BE7">
        <w:trPr>
          <w:jc w:val="center"/>
        </w:trPr>
        <w:tc>
          <w:tcPr>
            <w:tcW w:w="715"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tcPr>
          <w:p w:rsidR="00195BE7" w:rsidRPr="001E2F6E" w:rsidRDefault="00195BE7" w:rsidP="00195BE7">
            <w:pPr>
              <w:spacing w:line="240" w:lineRule="exact"/>
              <w:jc w:val="center"/>
              <w:rPr>
                <w:sz w:val="16"/>
                <w:szCs w:val="16"/>
              </w:rPr>
            </w:pPr>
            <w:r w:rsidRPr="001E2F6E">
              <w:rPr>
                <w:sz w:val="16"/>
                <w:szCs w:val="16"/>
              </w:rPr>
              <w:t> </w:t>
            </w:r>
          </w:p>
        </w:tc>
        <w:tc>
          <w:tcPr>
            <w:tcW w:w="85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tcPr>
          <w:p w:rsidR="00195BE7" w:rsidRPr="001E2F6E" w:rsidRDefault="00195BE7" w:rsidP="00195BE7">
            <w:pPr>
              <w:spacing w:line="240" w:lineRule="exact"/>
              <w:jc w:val="center"/>
              <w:rPr>
                <w:b/>
                <w:bCs/>
                <w:sz w:val="16"/>
                <w:szCs w:val="16"/>
                <w:lang w:val="eu-ES"/>
              </w:rPr>
            </w:pPr>
            <w:r w:rsidRPr="001E2F6E">
              <w:rPr>
                <w:b/>
                <w:bCs/>
                <w:sz w:val="16"/>
                <w:szCs w:val="16"/>
                <w:lang w:val="eu-ES"/>
              </w:rPr>
              <w:t>GUZTIRA</w:t>
            </w:r>
          </w:p>
        </w:tc>
        <w:tc>
          <w:tcPr>
            <w:tcW w:w="85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tcPr>
          <w:p w:rsidR="00195BE7" w:rsidRPr="001E2F6E" w:rsidRDefault="00195BE7" w:rsidP="00195BE7">
            <w:pPr>
              <w:spacing w:line="240" w:lineRule="exact"/>
              <w:jc w:val="center"/>
              <w:rPr>
                <w:b/>
                <w:bCs/>
                <w:sz w:val="16"/>
                <w:szCs w:val="16"/>
                <w:lang w:val="eu-ES"/>
              </w:rPr>
            </w:pPr>
            <w:r w:rsidRPr="001E2F6E">
              <w:rPr>
                <w:b/>
                <w:bCs/>
                <w:sz w:val="16"/>
                <w:szCs w:val="16"/>
                <w:lang w:val="eu-ES"/>
              </w:rPr>
              <w:t>Lehen sektorea</w:t>
            </w:r>
          </w:p>
        </w:tc>
        <w:tc>
          <w:tcPr>
            <w:tcW w:w="85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tcPr>
          <w:p w:rsidR="00195BE7" w:rsidRPr="001E2F6E" w:rsidRDefault="00195BE7" w:rsidP="00195BE7">
            <w:pPr>
              <w:spacing w:line="240" w:lineRule="exact"/>
              <w:jc w:val="center"/>
              <w:rPr>
                <w:b/>
                <w:bCs/>
                <w:sz w:val="16"/>
                <w:szCs w:val="16"/>
                <w:lang w:val="eu-ES"/>
              </w:rPr>
            </w:pPr>
            <w:r w:rsidRPr="001E2F6E">
              <w:rPr>
                <w:b/>
                <w:bCs/>
                <w:sz w:val="16"/>
                <w:szCs w:val="16"/>
                <w:lang w:val="eu-ES"/>
              </w:rPr>
              <w:t>Industria</w:t>
            </w:r>
          </w:p>
        </w:tc>
        <w:tc>
          <w:tcPr>
            <w:tcW w:w="93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tcPr>
          <w:p w:rsidR="00195BE7" w:rsidRPr="001E2F6E" w:rsidRDefault="00195BE7" w:rsidP="00195BE7">
            <w:pPr>
              <w:spacing w:line="240" w:lineRule="exact"/>
              <w:jc w:val="center"/>
              <w:rPr>
                <w:b/>
                <w:bCs/>
                <w:sz w:val="16"/>
                <w:szCs w:val="16"/>
                <w:lang w:val="eu-ES"/>
              </w:rPr>
            </w:pPr>
            <w:r w:rsidRPr="001E2F6E">
              <w:rPr>
                <w:b/>
                <w:bCs/>
                <w:sz w:val="16"/>
                <w:szCs w:val="16"/>
                <w:lang w:val="eu-ES"/>
              </w:rPr>
              <w:t>Eraikuntza</w:t>
            </w:r>
          </w:p>
        </w:tc>
        <w:tc>
          <w:tcPr>
            <w:tcW w:w="775"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vAlign w:val="center"/>
          </w:tcPr>
          <w:p w:rsidR="00195BE7" w:rsidRPr="001E2F6E" w:rsidRDefault="00195BE7" w:rsidP="00195BE7">
            <w:pPr>
              <w:spacing w:line="240" w:lineRule="exact"/>
              <w:jc w:val="center"/>
              <w:rPr>
                <w:b/>
                <w:bCs/>
                <w:sz w:val="16"/>
                <w:szCs w:val="16"/>
                <w:lang w:val="eu-ES"/>
              </w:rPr>
            </w:pPr>
            <w:r w:rsidRPr="001E2F6E">
              <w:rPr>
                <w:b/>
                <w:bCs/>
                <w:sz w:val="16"/>
                <w:szCs w:val="16"/>
                <w:lang w:val="eu-ES"/>
              </w:rPr>
              <w:t>Zerbitzuak</w:t>
            </w:r>
          </w:p>
        </w:tc>
      </w:tr>
      <w:tr w:rsidR="00195BE7" w:rsidRPr="001E2F6E" w:rsidTr="00195BE7">
        <w:trPr>
          <w:jc w:val="center"/>
        </w:trPr>
        <w:tc>
          <w:tcPr>
            <w:tcW w:w="715" w:type="pct"/>
            <w:tcBorders>
              <w:top w:val="single" w:sz="4" w:space="0" w:color="BFBFBF" w:themeColor="background1" w:themeShade="BF"/>
              <w:right w:val="single" w:sz="4" w:space="0" w:color="BFBFBF" w:themeColor="background1" w:themeShade="BF"/>
            </w:tcBorders>
            <w:vAlign w:val="bottom"/>
          </w:tcPr>
          <w:p w:rsidR="00195BE7" w:rsidRPr="001E2F6E" w:rsidRDefault="00195BE7" w:rsidP="00195BE7">
            <w:pPr>
              <w:spacing w:line="240" w:lineRule="exact"/>
              <w:rPr>
                <w:sz w:val="16"/>
                <w:szCs w:val="16"/>
                <w:lang w:val="eu-ES"/>
              </w:rPr>
            </w:pPr>
            <w:r w:rsidRPr="001E2F6E">
              <w:rPr>
                <w:sz w:val="16"/>
                <w:szCs w:val="16"/>
                <w:lang w:val="eu-ES"/>
              </w:rPr>
              <w:t>Gizonezkoak</w:t>
            </w:r>
          </w:p>
        </w:tc>
        <w:tc>
          <w:tcPr>
            <w:tcW w:w="857" w:type="pct"/>
            <w:tcBorders>
              <w:top w:val="single" w:sz="4" w:space="0" w:color="BFBFBF" w:themeColor="background1" w:themeShade="BF"/>
              <w:left w:val="single" w:sz="4" w:space="0" w:color="BFBFBF" w:themeColor="background1" w:themeShade="BF"/>
              <w:right w:val="single" w:sz="4" w:space="0" w:color="BFBFBF" w:themeColor="background1" w:themeShade="BF"/>
            </w:tcBorders>
            <w:vAlign w:val="bottom"/>
          </w:tcPr>
          <w:p w:rsidR="00195BE7" w:rsidRPr="001E2F6E" w:rsidRDefault="00195BE7" w:rsidP="00195BE7">
            <w:pPr>
              <w:spacing w:line="240" w:lineRule="exact"/>
              <w:ind w:right="151"/>
              <w:jc w:val="right"/>
              <w:rPr>
                <w:bCs/>
                <w:sz w:val="16"/>
                <w:szCs w:val="16"/>
              </w:rPr>
            </w:pPr>
            <w:r w:rsidRPr="001E2F6E">
              <w:rPr>
                <w:bCs/>
                <w:sz w:val="16"/>
                <w:szCs w:val="16"/>
              </w:rPr>
              <w:t>53,8</w:t>
            </w:r>
          </w:p>
        </w:tc>
        <w:tc>
          <w:tcPr>
            <w:tcW w:w="857" w:type="pct"/>
            <w:tcBorders>
              <w:top w:val="single" w:sz="4" w:space="0" w:color="BFBFBF" w:themeColor="background1" w:themeShade="BF"/>
              <w:left w:val="single" w:sz="4" w:space="0" w:color="BFBFBF" w:themeColor="background1" w:themeShade="BF"/>
              <w:right w:val="single" w:sz="4" w:space="0" w:color="BFBFBF" w:themeColor="background1" w:themeShade="BF"/>
            </w:tcBorders>
            <w:vAlign w:val="bottom"/>
          </w:tcPr>
          <w:p w:rsidR="00195BE7" w:rsidRPr="001E2F6E" w:rsidRDefault="00195BE7" w:rsidP="00195BE7">
            <w:pPr>
              <w:spacing w:line="240" w:lineRule="exact"/>
              <w:ind w:right="151"/>
              <w:jc w:val="right"/>
              <w:rPr>
                <w:bCs/>
                <w:sz w:val="16"/>
                <w:szCs w:val="16"/>
              </w:rPr>
            </w:pPr>
            <w:r w:rsidRPr="001E2F6E">
              <w:rPr>
                <w:bCs/>
                <w:sz w:val="16"/>
                <w:szCs w:val="16"/>
              </w:rPr>
              <w:t>69,1</w:t>
            </w:r>
          </w:p>
        </w:tc>
        <w:tc>
          <w:tcPr>
            <w:tcW w:w="857" w:type="pct"/>
            <w:tcBorders>
              <w:top w:val="single" w:sz="4" w:space="0" w:color="BFBFBF" w:themeColor="background1" w:themeShade="BF"/>
              <w:left w:val="single" w:sz="4" w:space="0" w:color="BFBFBF" w:themeColor="background1" w:themeShade="BF"/>
              <w:right w:val="single" w:sz="4" w:space="0" w:color="BFBFBF" w:themeColor="background1" w:themeShade="BF"/>
            </w:tcBorders>
            <w:vAlign w:val="bottom"/>
          </w:tcPr>
          <w:p w:rsidR="00195BE7" w:rsidRPr="001E2F6E" w:rsidRDefault="00195BE7" w:rsidP="00195BE7">
            <w:pPr>
              <w:spacing w:line="240" w:lineRule="exact"/>
              <w:ind w:right="151"/>
              <w:jc w:val="right"/>
              <w:rPr>
                <w:bCs/>
                <w:sz w:val="16"/>
                <w:szCs w:val="16"/>
              </w:rPr>
            </w:pPr>
            <w:r w:rsidRPr="001E2F6E">
              <w:rPr>
                <w:bCs/>
                <w:sz w:val="16"/>
                <w:szCs w:val="16"/>
              </w:rPr>
              <w:t>79,2</w:t>
            </w:r>
          </w:p>
        </w:tc>
        <w:tc>
          <w:tcPr>
            <w:tcW w:w="939" w:type="pct"/>
            <w:tcBorders>
              <w:top w:val="single" w:sz="4" w:space="0" w:color="BFBFBF" w:themeColor="background1" w:themeShade="BF"/>
              <w:left w:val="single" w:sz="4" w:space="0" w:color="BFBFBF" w:themeColor="background1" w:themeShade="BF"/>
              <w:right w:val="single" w:sz="4" w:space="0" w:color="BFBFBF" w:themeColor="background1" w:themeShade="BF"/>
            </w:tcBorders>
            <w:vAlign w:val="bottom"/>
          </w:tcPr>
          <w:p w:rsidR="00195BE7" w:rsidRPr="001E2F6E" w:rsidRDefault="00195BE7" w:rsidP="00195BE7">
            <w:pPr>
              <w:spacing w:line="240" w:lineRule="exact"/>
              <w:ind w:right="151"/>
              <w:jc w:val="right"/>
              <w:rPr>
                <w:bCs/>
                <w:sz w:val="16"/>
                <w:szCs w:val="16"/>
              </w:rPr>
            </w:pPr>
            <w:r w:rsidRPr="001E2F6E">
              <w:rPr>
                <w:bCs/>
                <w:sz w:val="16"/>
                <w:szCs w:val="16"/>
              </w:rPr>
              <w:t>87,9</w:t>
            </w:r>
          </w:p>
        </w:tc>
        <w:tc>
          <w:tcPr>
            <w:tcW w:w="775" w:type="pct"/>
            <w:tcBorders>
              <w:top w:val="single" w:sz="4" w:space="0" w:color="BFBFBF" w:themeColor="background1" w:themeShade="BF"/>
              <w:left w:val="single" w:sz="4" w:space="0" w:color="BFBFBF" w:themeColor="background1" w:themeShade="BF"/>
            </w:tcBorders>
            <w:vAlign w:val="bottom"/>
          </w:tcPr>
          <w:p w:rsidR="00195BE7" w:rsidRPr="001E2F6E" w:rsidRDefault="00195BE7" w:rsidP="00195BE7">
            <w:pPr>
              <w:spacing w:line="240" w:lineRule="exact"/>
              <w:ind w:right="151"/>
              <w:jc w:val="right"/>
              <w:rPr>
                <w:bCs/>
                <w:sz w:val="16"/>
                <w:szCs w:val="16"/>
              </w:rPr>
            </w:pPr>
            <w:r w:rsidRPr="001E2F6E">
              <w:rPr>
                <w:bCs/>
                <w:sz w:val="16"/>
                <w:szCs w:val="16"/>
              </w:rPr>
              <w:t>41,8</w:t>
            </w:r>
          </w:p>
        </w:tc>
      </w:tr>
      <w:tr w:rsidR="00195BE7" w:rsidRPr="001E2F6E" w:rsidTr="00195BE7">
        <w:trPr>
          <w:jc w:val="center"/>
        </w:trPr>
        <w:tc>
          <w:tcPr>
            <w:tcW w:w="715" w:type="pct"/>
            <w:tcBorders>
              <w:bottom w:val="single" w:sz="4" w:space="0" w:color="BFBFBF" w:themeColor="background1" w:themeShade="BF"/>
              <w:right w:val="single" w:sz="4" w:space="0" w:color="BFBFBF" w:themeColor="background1" w:themeShade="BF"/>
            </w:tcBorders>
            <w:vAlign w:val="bottom"/>
          </w:tcPr>
          <w:p w:rsidR="00195BE7" w:rsidRPr="001E2F6E" w:rsidRDefault="00195BE7" w:rsidP="00195BE7">
            <w:pPr>
              <w:spacing w:line="240" w:lineRule="exact"/>
              <w:rPr>
                <w:sz w:val="16"/>
                <w:szCs w:val="16"/>
                <w:lang w:val="eu-ES"/>
              </w:rPr>
            </w:pPr>
            <w:r w:rsidRPr="001E2F6E">
              <w:rPr>
                <w:sz w:val="16"/>
                <w:szCs w:val="16"/>
                <w:lang w:val="eu-ES"/>
              </w:rPr>
              <w:t>Emakumezkoak</w:t>
            </w:r>
          </w:p>
        </w:tc>
        <w:tc>
          <w:tcPr>
            <w:tcW w:w="857" w:type="pct"/>
            <w:tcBorders>
              <w:left w:val="single" w:sz="4" w:space="0" w:color="BFBFBF" w:themeColor="background1" w:themeShade="BF"/>
              <w:bottom w:val="single" w:sz="4" w:space="0" w:color="BFBFBF" w:themeColor="background1" w:themeShade="BF"/>
              <w:right w:val="single" w:sz="4" w:space="0" w:color="BFBFBF" w:themeColor="background1" w:themeShade="BF"/>
            </w:tcBorders>
            <w:vAlign w:val="bottom"/>
          </w:tcPr>
          <w:p w:rsidR="00195BE7" w:rsidRPr="001E2F6E" w:rsidRDefault="00195BE7" w:rsidP="00195BE7">
            <w:pPr>
              <w:spacing w:line="240" w:lineRule="exact"/>
              <w:ind w:right="151"/>
              <w:jc w:val="right"/>
              <w:rPr>
                <w:bCs/>
                <w:sz w:val="16"/>
                <w:szCs w:val="16"/>
              </w:rPr>
            </w:pPr>
            <w:r w:rsidRPr="001E2F6E">
              <w:rPr>
                <w:bCs/>
                <w:sz w:val="16"/>
                <w:szCs w:val="16"/>
              </w:rPr>
              <w:t>46,2</w:t>
            </w:r>
          </w:p>
        </w:tc>
        <w:tc>
          <w:tcPr>
            <w:tcW w:w="857" w:type="pct"/>
            <w:tcBorders>
              <w:left w:val="single" w:sz="4" w:space="0" w:color="BFBFBF" w:themeColor="background1" w:themeShade="BF"/>
              <w:bottom w:val="single" w:sz="4" w:space="0" w:color="BFBFBF" w:themeColor="background1" w:themeShade="BF"/>
              <w:right w:val="single" w:sz="4" w:space="0" w:color="BFBFBF" w:themeColor="background1" w:themeShade="BF"/>
            </w:tcBorders>
            <w:vAlign w:val="bottom"/>
          </w:tcPr>
          <w:p w:rsidR="00195BE7" w:rsidRPr="001E2F6E" w:rsidRDefault="00195BE7" w:rsidP="00195BE7">
            <w:pPr>
              <w:spacing w:line="240" w:lineRule="exact"/>
              <w:ind w:right="151"/>
              <w:jc w:val="right"/>
              <w:rPr>
                <w:bCs/>
                <w:sz w:val="16"/>
                <w:szCs w:val="16"/>
              </w:rPr>
            </w:pPr>
            <w:r w:rsidRPr="001E2F6E">
              <w:rPr>
                <w:bCs/>
                <w:sz w:val="16"/>
                <w:szCs w:val="16"/>
              </w:rPr>
              <w:t>30,9</w:t>
            </w:r>
          </w:p>
        </w:tc>
        <w:tc>
          <w:tcPr>
            <w:tcW w:w="857" w:type="pct"/>
            <w:tcBorders>
              <w:left w:val="single" w:sz="4" w:space="0" w:color="BFBFBF" w:themeColor="background1" w:themeShade="BF"/>
              <w:bottom w:val="single" w:sz="4" w:space="0" w:color="BFBFBF" w:themeColor="background1" w:themeShade="BF"/>
              <w:right w:val="single" w:sz="4" w:space="0" w:color="BFBFBF" w:themeColor="background1" w:themeShade="BF"/>
            </w:tcBorders>
            <w:vAlign w:val="bottom"/>
          </w:tcPr>
          <w:p w:rsidR="00195BE7" w:rsidRPr="001E2F6E" w:rsidRDefault="00195BE7" w:rsidP="00195BE7">
            <w:pPr>
              <w:spacing w:line="240" w:lineRule="exact"/>
              <w:ind w:right="151"/>
              <w:jc w:val="right"/>
              <w:rPr>
                <w:bCs/>
                <w:sz w:val="16"/>
                <w:szCs w:val="16"/>
              </w:rPr>
            </w:pPr>
            <w:r w:rsidRPr="001E2F6E">
              <w:rPr>
                <w:bCs/>
                <w:sz w:val="16"/>
                <w:szCs w:val="16"/>
              </w:rPr>
              <w:t>20,8</w:t>
            </w:r>
          </w:p>
        </w:tc>
        <w:tc>
          <w:tcPr>
            <w:tcW w:w="939" w:type="pct"/>
            <w:tcBorders>
              <w:left w:val="single" w:sz="4" w:space="0" w:color="BFBFBF" w:themeColor="background1" w:themeShade="BF"/>
              <w:bottom w:val="single" w:sz="4" w:space="0" w:color="BFBFBF" w:themeColor="background1" w:themeShade="BF"/>
              <w:right w:val="single" w:sz="4" w:space="0" w:color="BFBFBF" w:themeColor="background1" w:themeShade="BF"/>
            </w:tcBorders>
            <w:vAlign w:val="bottom"/>
          </w:tcPr>
          <w:p w:rsidR="00195BE7" w:rsidRPr="001E2F6E" w:rsidRDefault="00195BE7" w:rsidP="00195BE7">
            <w:pPr>
              <w:spacing w:line="240" w:lineRule="exact"/>
              <w:ind w:right="151"/>
              <w:jc w:val="right"/>
              <w:rPr>
                <w:bCs/>
                <w:sz w:val="16"/>
                <w:szCs w:val="16"/>
              </w:rPr>
            </w:pPr>
            <w:r w:rsidRPr="001E2F6E">
              <w:rPr>
                <w:bCs/>
                <w:sz w:val="16"/>
                <w:szCs w:val="16"/>
              </w:rPr>
              <w:t>12,1</w:t>
            </w:r>
          </w:p>
        </w:tc>
        <w:tc>
          <w:tcPr>
            <w:tcW w:w="775" w:type="pct"/>
            <w:tcBorders>
              <w:left w:val="single" w:sz="4" w:space="0" w:color="BFBFBF" w:themeColor="background1" w:themeShade="BF"/>
              <w:bottom w:val="single" w:sz="4" w:space="0" w:color="BFBFBF" w:themeColor="background1" w:themeShade="BF"/>
            </w:tcBorders>
            <w:vAlign w:val="bottom"/>
          </w:tcPr>
          <w:p w:rsidR="00195BE7" w:rsidRPr="001E2F6E" w:rsidRDefault="00195BE7" w:rsidP="00195BE7">
            <w:pPr>
              <w:spacing w:line="240" w:lineRule="exact"/>
              <w:ind w:right="151"/>
              <w:jc w:val="right"/>
              <w:rPr>
                <w:bCs/>
                <w:sz w:val="16"/>
                <w:szCs w:val="16"/>
              </w:rPr>
            </w:pPr>
            <w:r w:rsidRPr="001E2F6E">
              <w:rPr>
                <w:bCs/>
                <w:sz w:val="16"/>
                <w:szCs w:val="16"/>
              </w:rPr>
              <w:t>58,2</w:t>
            </w:r>
          </w:p>
        </w:tc>
      </w:tr>
    </w:tbl>
    <w:p w:rsidR="00195BE7" w:rsidRPr="001E2F6E" w:rsidRDefault="00195BE7" w:rsidP="00195BE7">
      <w:pPr>
        <w:spacing w:line="240" w:lineRule="auto"/>
        <w:rPr>
          <w:lang w:val="eu-ES"/>
        </w:rPr>
      </w:pPr>
    </w:p>
    <w:p w:rsidR="00195BE7" w:rsidRPr="001E2F6E" w:rsidRDefault="00195BE7" w:rsidP="00195BE7">
      <w:pPr>
        <w:spacing w:after="200" w:line="276" w:lineRule="auto"/>
        <w:jc w:val="left"/>
        <w:rPr>
          <w:b/>
          <w:color w:val="1F497D" w:themeColor="text2"/>
          <w:sz w:val="18"/>
          <w:szCs w:val="18"/>
        </w:rPr>
      </w:pPr>
      <w:bookmarkStart w:id="59" w:name="_Toc391989082"/>
      <w:r w:rsidRPr="001E2F6E">
        <w:rPr>
          <w:b/>
          <w:color w:val="1F497D" w:themeColor="text2"/>
          <w:sz w:val="18"/>
          <w:szCs w:val="18"/>
        </w:rPr>
        <w:br w:type="page"/>
      </w:r>
    </w:p>
    <w:p w:rsidR="00195BE7" w:rsidRPr="001E2F6E" w:rsidRDefault="00195BE7" w:rsidP="00195BE7">
      <w:pPr>
        <w:spacing w:line="240" w:lineRule="auto"/>
        <w:jc w:val="center"/>
        <w:rPr>
          <w:b/>
          <w:color w:val="1F497D" w:themeColor="text2"/>
          <w:sz w:val="18"/>
          <w:szCs w:val="18"/>
          <w:lang w:val="eu-ES"/>
        </w:rPr>
      </w:pPr>
      <w:bookmarkStart w:id="60" w:name="_Toc392585747"/>
      <w:r w:rsidRPr="001E2F6E">
        <w:rPr>
          <w:b/>
          <w:color w:val="1F497D" w:themeColor="text2"/>
          <w:sz w:val="18"/>
          <w:szCs w:val="18"/>
        </w:rPr>
        <w:lastRenderedPageBreak/>
        <w:t>1.</w:t>
      </w:r>
      <w:r w:rsidR="00EB6BA6" w:rsidRPr="001E2F6E">
        <w:rPr>
          <w:b/>
          <w:color w:val="1F497D" w:themeColor="text2"/>
          <w:sz w:val="18"/>
          <w:szCs w:val="18"/>
        </w:rPr>
        <w:fldChar w:fldCharType="begin"/>
      </w:r>
      <w:r w:rsidRPr="001E2F6E">
        <w:rPr>
          <w:b/>
          <w:color w:val="1F497D" w:themeColor="text2"/>
          <w:sz w:val="18"/>
          <w:szCs w:val="18"/>
        </w:rPr>
        <w:instrText xml:space="preserve"> SEQ Cuadro_1. \* ARABIC </w:instrText>
      </w:r>
      <w:r w:rsidR="00EB6BA6" w:rsidRPr="001E2F6E">
        <w:rPr>
          <w:b/>
          <w:color w:val="1F497D" w:themeColor="text2"/>
          <w:sz w:val="18"/>
          <w:szCs w:val="18"/>
        </w:rPr>
        <w:fldChar w:fldCharType="separate"/>
      </w:r>
      <w:r w:rsidR="00A327D4">
        <w:rPr>
          <w:b/>
          <w:noProof/>
          <w:color w:val="1F497D" w:themeColor="text2"/>
          <w:sz w:val="18"/>
          <w:szCs w:val="18"/>
        </w:rPr>
        <w:t>12</w:t>
      </w:r>
      <w:r w:rsidR="00EB6BA6" w:rsidRPr="001E2F6E">
        <w:rPr>
          <w:b/>
          <w:color w:val="1F497D" w:themeColor="text2"/>
          <w:sz w:val="18"/>
          <w:szCs w:val="18"/>
        </w:rPr>
        <w:fldChar w:fldCharType="end"/>
      </w:r>
      <w:r w:rsidRPr="001E2F6E">
        <w:rPr>
          <w:b/>
          <w:color w:val="1F497D" w:themeColor="text2"/>
          <w:sz w:val="18"/>
          <w:szCs w:val="18"/>
        </w:rPr>
        <w:t xml:space="preserve"> Taula </w:t>
      </w:r>
      <w:r w:rsidRPr="001E2F6E">
        <w:rPr>
          <w:b/>
          <w:color w:val="1F497D" w:themeColor="text2"/>
          <w:sz w:val="18"/>
          <w:szCs w:val="18"/>
          <w:lang w:val="eu-ES"/>
        </w:rPr>
        <w:t>IZAERA JURIDIKOAREN ARABERAKO BANAKETA, GENEROA KONTUAN HARTUTA</w:t>
      </w:r>
      <w:bookmarkEnd w:id="59"/>
      <w:bookmarkEnd w:id="60"/>
    </w:p>
    <w:p w:rsidR="00195BE7" w:rsidRPr="001E2F6E" w:rsidRDefault="00195BE7" w:rsidP="00195BE7">
      <w:pPr>
        <w:spacing w:line="240" w:lineRule="auto"/>
        <w:jc w:val="center"/>
        <w:rPr>
          <w:b/>
          <w:color w:val="1F497D" w:themeColor="text2"/>
          <w:sz w:val="18"/>
          <w:szCs w:val="18"/>
        </w:rPr>
      </w:pPr>
      <w:r w:rsidRPr="001E2F6E">
        <w:rPr>
          <w:b/>
          <w:color w:val="1F497D" w:themeColor="text2"/>
          <w:sz w:val="18"/>
          <w:szCs w:val="18"/>
          <w:lang w:val="eu-ES"/>
        </w:rPr>
        <w:t>2012 (%bertikalak)</w:t>
      </w:r>
    </w:p>
    <w:tbl>
      <w:tblPr>
        <w:tblW w:w="5000" w:type="pct"/>
        <w:jc w:val="center"/>
        <w:tblLook w:val="04A0" w:firstRow="1" w:lastRow="0" w:firstColumn="1" w:lastColumn="0" w:noHBand="0" w:noVBand="1"/>
      </w:tblPr>
      <w:tblGrid>
        <w:gridCol w:w="1723"/>
        <w:gridCol w:w="1821"/>
        <w:gridCol w:w="2024"/>
        <w:gridCol w:w="1617"/>
        <w:gridCol w:w="1819"/>
      </w:tblGrid>
      <w:tr w:rsidR="00195BE7" w:rsidRPr="001E2F6E" w:rsidTr="00195BE7">
        <w:trPr>
          <w:jc w:val="center"/>
        </w:trPr>
        <w:tc>
          <w:tcPr>
            <w:tcW w:w="957"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tcPr>
          <w:p w:rsidR="00195BE7" w:rsidRPr="001E2F6E" w:rsidRDefault="00195BE7" w:rsidP="00195BE7">
            <w:pPr>
              <w:spacing w:line="240" w:lineRule="exact"/>
              <w:jc w:val="center"/>
              <w:rPr>
                <w:b/>
                <w:bCs/>
                <w:sz w:val="16"/>
                <w:szCs w:val="16"/>
              </w:rPr>
            </w:pPr>
            <w:r w:rsidRPr="001E2F6E">
              <w:rPr>
                <w:b/>
                <w:bCs/>
                <w:sz w:val="16"/>
                <w:szCs w:val="16"/>
              </w:rPr>
              <w:t> </w:t>
            </w:r>
          </w:p>
        </w:tc>
        <w:tc>
          <w:tcPr>
            <w:tcW w:w="101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tcPr>
          <w:p w:rsidR="00195BE7" w:rsidRPr="001E2F6E" w:rsidRDefault="00195BE7" w:rsidP="00195BE7">
            <w:pPr>
              <w:spacing w:line="240" w:lineRule="auto"/>
              <w:jc w:val="center"/>
              <w:rPr>
                <w:b/>
                <w:bCs/>
                <w:sz w:val="16"/>
                <w:szCs w:val="16"/>
                <w:lang w:val="eu-ES"/>
              </w:rPr>
            </w:pPr>
            <w:r w:rsidRPr="001E2F6E">
              <w:rPr>
                <w:b/>
                <w:bCs/>
                <w:sz w:val="16"/>
                <w:szCs w:val="16"/>
                <w:lang w:val="eu-ES"/>
              </w:rPr>
              <w:t>GUZTIRA</w:t>
            </w:r>
          </w:p>
        </w:tc>
        <w:tc>
          <w:tcPr>
            <w:tcW w:w="112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tcPr>
          <w:p w:rsidR="00195BE7" w:rsidRPr="001E2F6E" w:rsidRDefault="00195BE7" w:rsidP="00195BE7">
            <w:pPr>
              <w:spacing w:line="240" w:lineRule="auto"/>
              <w:jc w:val="center"/>
              <w:rPr>
                <w:b/>
                <w:bCs/>
                <w:sz w:val="16"/>
                <w:szCs w:val="16"/>
                <w:lang w:val="eu-ES"/>
              </w:rPr>
            </w:pPr>
            <w:r w:rsidRPr="001E2F6E">
              <w:rPr>
                <w:b/>
                <w:bCs/>
                <w:sz w:val="16"/>
                <w:szCs w:val="16"/>
                <w:lang w:val="eu-ES"/>
              </w:rPr>
              <w:t>Kooperatibak</w:t>
            </w:r>
          </w:p>
        </w:tc>
        <w:tc>
          <w:tcPr>
            <w:tcW w:w="89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tcPr>
          <w:p w:rsidR="00195BE7" w:rsidRPr="001E2F6E" w:rsidRDefault="00195BE7" w:rsidP="00195BE7">
            <w:pPr>
              <w:spacing w:line="240" w:lineRule="auto"/>
              <w:jc w:val="center"/>
              <w:rPr>
                <w:b/>
                <w:bCs/>
                <w:sz w:val="16"/>
                <w:szCs w:val="16"/>
                <w:lang w:val="eu-ES"/>
              </w:rPr>
            </w:pPr>
            <w:r w:rsidRPr="001E2F6E">
              <w:rPr>
                <w:b/>
                <w:bCs/>
                <w:sz w:val="16"/>
                <w:szCs w:val="16"/>
                <w:lang w:val="eu-ES"/>
              </w:rPr>
              <w:t>LSA</w:t>
            </w:r>
          </w:p>
          <w:p w:rsidR="00195BE7" w:rsidRPr="001E2F6E" w:rsidRDefault="00195BE7" w:rsidP="00195BE7">
            <w:pPr>
              <w:spacing w:line="240" w:lineRule="auto"/>
              <w:jc w:val="center"/>
              <w:rPr>
                <w:b/>
                <w:bCs/>
                <w:sz w:val="16"/>
                <w:szCs w:val="16"/>
                <w:lang w:val="eu-ES"/>
              </w:rPr>
            </w:pPr>
            <w:r w:rsidRPr="001E2F6E">
              <w:rPr>
                <w:b/>
                <w:bCs/>
                <w:sz w:val="16"/>
                <w:szCs w:val="16"/>
                <w:lang w:val="eu-ES"/>
              </w:rPr>
              <w:t>sozietateak</w:t>
            </w:r>
          </w:p>
        </w:tc>
        <w:tc>
          <w:tcPr>
            <w:tcW w:w="1010"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vAlign w:val="center"/>
          </w:tcPr>
          <w:p w:rsidR="00195BE7" w:rsidRPr="001E2F6E" w:rsidRDefault="00195BE7" w:rsidP="00195BE7">
            <w:pPr>
              <w:spacing w:line="240" w:lineRule="auto"/>
              <w:jc w:val="center"/>
              <w:rPr>
                <w:b/>
                <w:bCs/>
                <w:sz w:val="16"/>
                <w:szCs w:val="16"/>
                <w:lang w:val="eu-ES"/>
              </w:rPr>
            </w:pPr>
            <w:r w:rsidRPr="001E2F6E">
              <w:rPr>
                <w:b/>
                <w:bCs/>
                <w:sz w:val="16"/>
                <w:szCs w:val="16"/>
                <w:lang w:val="eu-ES"/>
              </w:rPr>
              <w:t>LSM</w:t>
            </w:r>
          </w:p>
          <w:p w:rsidR="00195BE7" w:rsidRPr="001E2F6E" w:rsidRDefault="00195BE7" w:rsidP="00195BE7">
            <w:pPr>
              <w:spacing w:line="240" w:lineRule="auto"/>
              <w:jc w:val="center"/>
              <w:rPr>
                <w:b/>
                <w:bCs/>
                <w:sz w:val="16"/>
                <w:szCs w:val="16"/>
                <w:lang w:val="eu-ES"/>
              </w:rPr>
            </w:pPr>
            <w:r w:rsidRPr="001E2F6E">
              <w:rPr>
                <w:b/>
                <w:bCs/>
                <w:sz w:val="16"/>
                <w:szCs w:val="16"/>
                <w:lang w:val="eu-ES"/>
              </w:rPr>
              <w:t>sozietateak</w:t>
            </w:r>
          </w:p>
        </w:tc>
      </w:tr>
      <w:tr w:rsidR="00195BE7" w:rsidRPr="001E2F6E" w:rsidTr="00195BE7">
        <w:trPr>
          <w:jc w:val="center"/>
        </w:trPr>
        <w:tc>
          <w:tcPr>
            <w:tcW w:w="957" w:type="pct"/>
            <w:tcBorders>
              <w:top w:val="single" w:sz="4" w:space="0" w:color="BFBFBF" w:themeColor="background1" w:themeShade="BF"/>
              <w:right w:val="single" w:sz="4" w:space="0" w:color="BFBFBF" w:themeColor="background1" w:themeShade="BF"/>
            </w:tcBorders>
            <w:vAlign w:val="bottom"/>
          </w:tcPr>
          <w:p w:rsidR="00195BE7" w:rsidRPr="001E2F6E" w:rsidRDefault="00195BE7" w:rsidP="00195BE7">
            <w:pPr>
              <w:spacing w:line="240" w:lineRule="exact"/>
              <w:rPr>
                <w:sz w:val="16"/>
                <w:szCs w:val="16"/>
                <w:lang w:val="eu-ES"/>
              </w:rPr>
            </w:pPr>
            <w:r w:rsidRPr="001E2F6E">
              <w:rPr>
                <w:sz w:val="16"/>
                <w:szCs w:val="16"/>
                <w:lang w:val="eu-ES"/>
              </w:rPr>
              <w:t>Gizonezkoak</w:t>
            </w:r>
          </w:p>
        </w:tc>
        <w:tc>
          <w:tcPr>
            <w:tcW w:w="1011" w:type="pct"/>
            <w:tcBorders>
              <w:top w:val="single" w:sz="4" w:space="0" w:color="BFBFBF" w:themeColor="background1" w:themeShade="BF"/>
              <w:left w:val="single" w:sz="4" w:space="0" w:color="BFBFBF" w:themeColor="background1" w:themeShade="BF"/>
              <w:right w:val="single" w:sz="4" w:space="0" w:color="BFBFBF" w:themeColor="background1" w:themeShade="BF"/>
            </w:tcBorders>
          </w:tcPr>
          <w:p w:rsidR="00195BE7" w:rsidRPr="001E2F6E" w:rsidRDefault="00195BE7" w:rsidP="00195BE7">
            <w:pPr>
              <w:spacing w:line="240" w:lineRule="exact"/>
              <w:ind w:right="177"/>
              <w:jc w:val="right"/>
              <w:rPr>
                <w:bCs/>
                <w:sz w:val="16"/>
                <w:szCs w:val="16"/>
              </w:rPr>
            </w:pPr>
            <w:r w:rsidRPr="001E2F6E">
              <w:rPr>
                <w:bCs/>
                <w:sz w:val="16"/>
                <w:szCs w:val="16"/>
              </w:rPr>
              <w:t>57,0</w:t>
            </w:r>
          </w:p>
        </w:tc>
        <w:tc>
          <w:tcPr>
            <w:tcW w:w="1124" w:type="pct"/>
            <w:tcBorders>
              <w:top w:val="single" w:sz="4" w:space="0" w:color="BFBFBF" w:themeColor="background1" w:themeShade="BF"/>
              <w:left w:val="single" w:sz="4" w:space="0" w:color="BFBFBF" w:themeColor="background1" w:themeShade="BF"/>
              <w:right w:val="single" w:sz="4" w:space="0" w:color="BFBFBF" w:themeColor="background1" w:themeShade="BF"/>
            </w:tcBorders>
          </w:tcPr>
          <w:p w:rsidR="00195BE7" w:rsidRPr="001E2F6E" w:rsidRDefault="00195BE7" w:rsidP="00195BE7">
            <w:pPr>
              <w:spacing w:line="240" w:lineRule="exact"/>
              <w:ind w:right="177"/>
              <w:jc w:val="right"/>
              <w:rPr>
                <w:bCs/>
                <w:sz w:val="16"/>
                <w:szCs w:val="16"/>
              </w:rPr>
            </w:pPr>
            <w:r w:rsidRPr="001E2F6E">
              <w:rPr>
                <w:bCs/>
                <w:sz w:val="16"/>
                <w:szCs w:val="16"/>
              </w:rPr>
              <w:t>53,8</w:t>
            </w:r>
          </w:p>
        </w:tc>
        <w:tc>
          <w:tcPr>
            <w:tcW w:w="898" w:type="pct"/>
            <w:tcBorders>
              <w:top w:val="single" w:sz="4" w:space="0" w:color="BFBFBF" w:themeColor="background1" w:themeShade="BF"/>
              <w:left w:val="single" w:sz="4" w:space="0" w:color="BFBFBF" w:themeColor="background1" w:themeShade="BF"/>
              <w:right w:val="single" w:sz="4" w:space="0" w:color="BFBFBF" w:themeColor="background1" w:themeShade="BF"/>
            </w:tcBorders>
          </w:tcPr>
          <w:p w:rsidR="00195BE7" w:rsidRPr="001E2F6E" w:rsidRDefault="00195BE7" w:rsidP="00195BE7">
            <w:pPr>
              <w:spacing w:line="240" w:lineRule="exact"/>
              <w:ind w:right="177"/>
              <w:jc w:val="right"/>
              <w:rPr>
                <w:bCs/>
                <w:sz w:val="16"/>
                <w:szCs w:val="16"/>
              </w:rPr>
            </w:pPr>
            <w:r w:rsidRPr="001E2F6E">
              <w:rPr>
                <w:bCs/>
                <w:sz w:val="16"/>
                <w:szCs w:val="16"/>
              </w:rPr>
              <w:t>79,4</w:t>
            </w:r>
          </w:p>
        </w:tc>
        <w:tc>
          <w:tcPr>
            <w:tcW w:w="1010" w:type="pct"/>
            <w:tcBorders>
              <w:top w:val="single" w:sz="4" w:space="0" w:color="BFBFBF" w:themeColor="background1" w:themeShade="BF"/>
              <w:left w:val="single" w:sz="4" w:space="0" w:color="BFBFBF" w:themeColor="background1" w:themeShade="BF"/>
            </w:tcBorders>
          </w:tcPr>
          <w:p w:rsidR="00195BE7" w:rsidRPr="001E2F6E" w:rsidRDefault="00195BE7" w:rsidP="00195BE7">
            <w:pPr>
              <w:spacing w:line="240" w:lineRule="exact"/>
              <w:ind w:right="177"/>
              <w:jc w:val="right"/>
              <w:rPr>
                <w:bCs/>
                <w:sz w:val="16"/>
                <w:szCs w:val="16"/>
              </w:rPr>
            </w:pPr>
            <w:r w:rsidRPr="001E2F6E">
              <w:rPr>
                <w:bCs/>
                <w:sz w:val="16"/>
                <w:szCs w:val="16"/>
              </w:rPr>
              <w:t>73,3</w:t>
            </w:r>
          </w:p>
        </w:tc>
      </w:tr>
      <w:tr w:rsidR="00195BE7" w:rsidRPr="001E2F6E" w:rsidTr="00195BE7">
        <w:trPr>
          <w:jc w:val="center"/>
        </w:trPr>
        <w:tc>
          <w:tcPr>
            <w:tcW w:w="957" w:type="pct"/>
            <w:tcBorders>
              <w:bottom w:val="single" w:sz="4" w:space="0" w:color="BFBFBF" w:themeColor="background1" w:themeShade="BF"/>
              <w:right w:val="single" w:sz="4" w:space="0" w:color="BFBFBF" w:themeColor="background1" w:themeShade="BF"/>
            </w:tcBorders>
            <w:vAlign w:val="bottom"/>
          </w:tcPr>
          <w:p w:rsidR="00195BE7" w:rsidRPr="001E2F6E" w:rsidRDefault="00195BE7" w:rsidP="00195BE7">
            <w:pPr>
              <w:spacing w:line="240" w:lineRule="exact"/>
              <w:rPr>
                <w:sz w:val="16"/>
                <w:szCs w:val="16"/>
                <w:lang w:val="eu-ES"/>
              </w:rPr>
            </w:pPr>
            <w:r w:rsidRPr="001E2F6E">
              <w:rPr>
                <w:sz w:val="16"/>
                <w:szCs w:val="16"/>
                <w:lang w:val="eu-ES"/>
              </w:rPr>
              <w:t>Emakumezkoak</w:t>
            </w:r>
          </w:p>
        </w:tc>
        <w:tc>
          <w:tcPr>
            <w:tcW w:w="1011" w:type="pct"/>
            <w:tcBorders>
              <w:left w:val="single" w:sz="4" w:space="0" w:color="BFBFBF" w:themeColor="background1" w:themeShade="BF"/>
              <w:bottom w:val="single" w:sz="4" w:space="0" w:color="BFBFBF" w:themeColor="background1" w:themeShade="BF"/>
              <w:right w:val="single" w:sz="4" w:space="0" w:color="BFBFBF" w:themeColor="background1" w:themeShade="BF"/>
            </w:tcBorders>
          </w:tcPr>
          <w:p w:rsidR="00195BE7" w:rsidRPr="001E2F6E" w:rsidRDefault="00195BE7" w:rsidP="00195BE7">
            <w:pPr>
              <w:spacing w:line="240" w:lineRule="exact"/>
              <w:ind w:right="177"/>
              <w:jc w:val="right"/>
              <w:rPr>
                <w:bCs/>
                <w:sz w:val="16"/>
                <w:szCs w:val="16"/>
              </w:rPr>
            </w:pPr>
            <w:r w:rsidRPr="001E2F6E">
              <w:rPr>
                <w:bCs/>
                <w:sz w:val="16"/>
                <w:szCs w:val="16"/>
              </w:rPr>
              <w:t>43,0</w:t>
            </w:r>
          </w:p>
        </w:tc>
        <w:tc>
          <w:tcPr>
            <w:tcW w:w="1124" w:type="pct"/>
            <w:tcBorders>
              <w:left w:val="single" w:sz="4" w:space="0" w:color="BFBFBF" w:themeColor="background1" w:themeShade="BF"/>
              <w:bottom w:val="single" w:sz="4" w:space="0" w:color="BFBFBF" w:themeColor="background1" w:themeShade="BF"/>
              <w:right w:val="single" w:sz="4" w:space="0" w:color="BFBFBF" w:themeColor="background1" w:themeShade="BF"/>
            </w:tcBorders>
          </w:tcPr>
          <w:p w:rsidR="00195BE7" w:rsidRPr="001E2F6E" w:rsidRDefault="00195BE7" w:rsidP="00195BE7">
            <w:pPr>
              <w:spacing w:line="240" w:lineRule="exact"/>
              <w:ind w:right="177"/>
              <w:jc w:val="right"/>
              <w:rPr>
                <w:bCs/>
                <w:sz w:val="16"/>
                <w:szCs w:val="16"/>
              </w:rPr>
            </w:pPr>
            <w:r w:rsidRPr="001E2F6E">
              <w:rPr>
                <w:bCs/>
                <w:sz w:val="16"/>
                <w:szCs w:val="16"/>
              </w:rPr>
              <w:t>46,2</w:t>
            </w:r>
          </w:p>
        </w:tc>
        <w:tc>
          <w:tcPr>
            <w:tcW w:w="898" w:type="pct"/>
            <w:tcBorders>
              <w:left w:val="single" w:sz="4" w:space="0" w:color="BFBFBF" w:themeColor="background1" w:themeShade="BF"/>
              <w:bottom w:val="single" w:sz="4" w:space="0" w:color="BFBFBF" w:themeColor="background1" w:themeShade="BF"/>
              <w:right w:val="single" w:sz="4" w:space="0" w:color="BFBFBF" w:themeColor="background1" w:themeShade="BF"/>
            </w:tcBorders>
          </w:tcPr>
          <w:p w:rsidR="00195BE7" w:rsidRPr="001E2F6E" w:rsidRDefault="00195BE7" w:rsidP="00195BE7">
            <w:pPr>
              <w:spacing w:line="240" w:lineRule="exact"/>
              <w:ind w:right="177"/>
              <w:jc w:val="right"/>
              <w:rPr>
                <w:bCs/>
                <w:sz w:val="16"/>
                <w:szCs w:val="16"/>
              </w:rPr>
            </w:pPr>
            <w:r w:rsidRPr="001E2F6E">
              <w:rPr>
                <w:bCs/>
                <w:sz w:val="16"/>
                <w:szCs w:val="16"/>
              </w:rPr>
              <w:t>20,6</w:t>
            </w:r>
          </w:p>
        </w:tc>
        <w:tc>
          <w:tcPr>
            <w:tcW w:w="1010" w:type="pct"/>
            <w:tcBorders>
              <w:left w:val="single" w:sz="4" w:space="0" w:color="BFBFBF" w:themeColor="background1" w:themeShade="BF"/>
              <w:bottom w:val="single" w:sz="4" w:space="0" w:color="BFBFBF" w:themeColor="background1" w:themeShade="BF"/>
            </w:tcBorders>
          </w:tcPr>
          <w:p w:rsidR="00195BE7" w:rsidRPr="001E2F6E" w:rsidRDefault="00195BE7" w:rsidP="00195BE7">
            <w:pPr>
              <w:spacing w:line="240" w:lineRule="exact"/>
              <w:ind w:right="177"/>
              <w:jc w:val="right"/>
              <w:rPr>
                <w:bCs/>
                <w:sz w:val="16"/>
                <w:szCs w:val="16"/>
              </w:rPr>
            </w:pPr>
            <w:r w:rsidRPr="001E2F6E">
              <w:rPr>
                <w:bCs/>
                <w:sz w:val="16"/>
                <w:szCs w:val="16"/>
              </w:rPr>
              <w:t>26,7</w:t>
            </w:r>
          </w:p>
        </w:tc>
      </w:tr>
    </w:tbl>
    <w:p w:rsidR="00195BE7" w:rsidRPr="001E2F6E" w:rsidRDefault="00195BE7" w:rsidP="00195BE7"/>
    <w:p w:rsidR="00195BE7" w:rsidRPr="001E2F6E" w:rsidRDefault="00195BE7" w:rsidP="00195BE7">
      <w:pPr>
        <w:spacing w:line="240" w:lineRule="auto"/>
        <w:jc w:val="center"/>
        <w:rPr>
          <w:b/>
          <w:color w:val="1F497D" w:themeColor="text2"/>
          <w:sz w:val="18"/>
          <w:szCs w:val="18"/>
        </w:rPr>
      </w:pPr>
      <w:bookmarkStart w:id="61" w:name="_Toc391989083"/>
      <w:bookmarkStart w:id="62" w:name="_Toc392585748"/>
      <w:r w:rsidRPr="001E2F6E">
        <w:rPr>
          <w:b/>
          <w:color w:val="1F497D" w:themeColor="text2"/>
          <w:sz w:val="18"/>
          <w:szCs w:val="18"/>
        </w:rPr>
        <w:t>1.</w:t>
      </w:r>
      <w:r w:rsidR="00EB6BA6" w:rsidRPr="001E2F6E">
        <w:rPr>
          <w:b/>
          <w:color w:val="1F497D" w:themeColor="text2"/>
          <w:sz w:val="18"/>
          <w:szCs w:val="18"/>
        </w:rPr>
        <w:fldChar w:fldCharType="begin"/>
      </w:r>
      <w:r w:rsidRPr="001E2F6E">
        <w:rPr>
          <w:b/>
          <w:color w:val="1F497D" w:themeColor="text2"/>
          <w:sz w:val="18"/>
          <w:szCs w:val="18"/>
        </w:rPr>
        <w:instrText xml:space="preserve"> SEQ Cuadro_1. \* ARABIC </w:instrText>
      </w:r>
      <w:r w:rsidR="00EB6BA6" w:rsidRPr="001E2F6E">
        <w:rPr>
          <w:b/>
          <w:color w:val="1F497D" w:themeColor="text2"/>
          <w:sz w:val="18"/>
          <w:szCs w:val="18"/>
        </w:rPr>
        <w:fldChar w:fldCharType="separate"/>
      </w:r>
      <w:r w:rsidR="00A327D4">
        <w:rPr>
          <w:b/>
          <w:noProof/>
          <w:color w:val="1F497D" w:themeColor="text2"/>
          <w:sz w:val="18"/>
          <w:szCs w:val="18"/>
        </w:rPr>
        <w:t>13</w:t>
      </w:r>
      <w:r w:rsidR="00EB6BA6" w:rsidRPr="001E2F6E">
        <w:rPr>
          <w:b/>
          <w:color w:val="1F497D" w:themeColor="text2"/>
          <w:sz w:val="18"/>
          <w:szCs w:val="18"/>
        </w:rPr>
        <w:fldChar w:fldCharType="end"/>
      </w:r>
      <w:r w:rsidRPr="001E2F6E">
        <w:rPr>
          <w:b/>
          <w:color w:val="1F497D" w:themeColor="text2"/>
          <w:sz w:val="18"/>
          <w:szCs w:val="18"/>
        </w:rPr>
        <w:t xml:space="preserve"> Taula </w:t>
      </w:r>
      <w:r w:rsidRPr="001E2F6E">
        <w:rPr>
          <w:b/>
          <w:color w:val="1F497D" w:themeColor="text2"/>
          <w:sz w:val="18"/>
          <w:szCs w:val="18"/>
          <w:lang w:val="eu-ES"/>
        </w:rPr>
        <w:t>JARDUERA-SEKTOREAREN ETA GENEROAREN ARABERAKO BANAKETA, GIZARTE-EKONOMIAREN ZUZENDARITZA KONTSEILU ETA ADMINISTRAZIOKO KONTSEILUETAN. 2012 (%bertikalak)</w:t>
      </w:r>
      <w:bookmarkEnd w:id="61"/>
      <w:bookmarkEnd w:id="62"/>
    </w:p>
    <w:tbl>
      <w:tblPr>
        <w:tblW w:w="5000" w:type="pct"/>
        <w:jc w:val="center"/>
        <w:tblLook w:val="04A0" w:firstRow="1" w:lastRow="0" w:firstColumn="1" w:lastColumn="0" w:noHBand="0" w:noVBand="1"/>
      </w:tblPr>
      <w:tblGrid>
        <w:gridCol w:w="1355"/>
        <w:gridCol w:w="1529"/>
        <w:gridCol w:w="1529"/>
        <w:gridCol w:w="1530"/>
        <w:gridCol w:w="1678"/>
        <w:gridCol w:w="1383"/>
      </w:tblGrid>
      <w:tr w:rsidR="00195BE7" w:rsidRPr="001E2F6E" w:rsidTr="00195BE7">
        <w:trPr>
          <w:jc w:val="center"/>
        </w:trPr>
        <w:tc>
          <w:tcPr>
            <w:tcW w:w="715"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tcPr>
          <w:p w:rsidR="00195BE7" w:rsidRPr="001E2F6E" w:rsidRDefault="00195BE7" w:rsidP="00195BE7">
            <w:pPr>
              <w:spacing w:line="240" w:lineRule="exact"/>
              <w:jc w:val="center"/>
              <w:rPr>
                <w:sz w:val="16"/>
                <w:szCs w:val="16"/>
              </w:rPr>
            </w:pPr>
            <w:r w:rsidRPr="001E2F6E">
              <w:rPr>
                <w:sz w:val="16"/>
                <w:szCs w:val="16"/>
              </w:rPr>
              <w:t> </w:t>
            </w:r>
          </w:p>
        </w:tc>
        <w:tc>
          <w:tcPr>
            <w:tcW w:w="85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tcPr>
          <w:p w:rsidR="00195BE7" w:rsidRPr="001E2F6E" w:rsidRDefault="00195BE7" w:rsidP="00195BE7">
            <w:pPr>
              <w:spacing w:line="240" w:lineRule="auto"/>
              <w:jc w:val="center"/>
              <w:rPr>
                <w:b/>
                <w:bCs/>
                <w:sz w:val="16"/>
                <w:szCs w:val="16"/>
                <w:lang w:val="eu-ES"/>
              </w:rPr>
            </w:pPr>
            <w:r w:rsidRPr="001E2F6E">
              <w:rPr>
                <w:b/>
                <w:bCs/>
                <w:sz w:val="16"/>
                <w:szCs w:val="16"/>
                <w:lang w:val="eu-ES"/>
              </w:rPr>
              <w:t>GUZTIRA Kontseilua</w:t>
            </w:r>
          </w:p>
        </w:tc>
        <w:tc>
          <w:tcPr>
            <w:tcW w:w="85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tcPr>
          <w:p w:rsidR="00195BE7" w:rsidRPr="001E2F6E" w:rsidRDefault="00195BE7" w:rsidP="00195BE7">
            <w:pPr>
              <w:spacing w:line="240" w:lineRule="auto"/>
              <w:jc w:val="center"/>
              <w:rPr>
                <w:b/>
                <w:bCs/>
                <w:sz w:val="16"/>
                <w:szCs w:val="16"/>
                <w:lang w:val="eu-ES"/>
              </w:rPr>
            </w:pPr>
            <w:r w:rsidRPr="001E2F6E">
              <w:rPr>
                <w:b/>
                <w:bCs/>
                <w:sz w:val="16"/>
                <w:szCs w:val="16"/>
                <w:lang w:val="eu-ES"/>
              </w:rPr>
              <w:t>Lehen sektorea</w:t>
            </w:r>
          </w:p>
        </w:tc>
        <w:tc>
          <w:tcPr>
            <w:tcW w:w="85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tcPr>
          <w:p w:rsidR="00195BE7" w:rsidRPr="001E2F6E" w:rsidRDefault="00195BE7" w:rsidP="00195BE7">
            <w:pPr>
              <w:spacing w:line="240" w:lineRule="auto"/>
              <w:jc w:val="center"/>
              <w:rPr>
                <w:b/>
                <w:bCs/>
                <w:sz w:val="16"/>
                <w:szCs w:val="16"/>
                <w:lang w:val="eu-ES"/>
              </w:rPr>
            </w:pPr>
            <w:r w:rsidRPr="001E2F6E">
              <w:rPr>
                <w:b/>
                <w:bCs/>
                <w:sz w:val="16"/>
                <w:szCs w:val="16"/>
                <w:lang w:val="eu-ES"/>
              </w:rPr>
              <w:t>Industria</w:t>
            </w:r>
          </w:p>
        </w:tc>
        <w:tc>
          <w:tcPr>
            <w:tcW w:w="93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tcPr>
          <w:p w:rsidR="00195BE7" w:rsidRPr="001E2F6E" w:rsidRDefault="00195BE7" w:rsidP="00195BE7">
            <w:pPr>
              <w:spacing w:line="240" w:lineRule="auto"/>
              <w:jc w:val="center"/>
              <w:rPr>
                <w:b/>
                <w:bCs/>
                <w:sz w:val="16"/>
                <w:szCs w:val="16"/>
                <w:lang w:val="eu-ES"/>
              </w:rPr>
            </w:pPr>
            <w:r w:rsidRPr="001E2F6E">
              <w:rPr>
                <w:b/>
                <w:bCs/>
                <w:sz w:val="16"/>
                <w:szCs w:val="16"/>
                <w:lang w:val="eu-ES"/>
              </w:rPr>
              <w:t>Eraikuntza</w:t>
            </w:r>
          </w:p>
        </w:tc>
        <w:tc>
          <w:tcPr>
            <w:tcW w:w="775"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vAlign w:val="center"/>
          </w:tcPr>
          <w:p w:rsidR="00195BE7" w:rsidRPr="001E2F6E" w:rsidRDefault="00195BE7" w:rsidP="00195BE7">
            <w:pPr>
              <w:spacing w:line="240" w:lineRule="auto"/>
              <w:jc w:val="center"/>
              <w:rPr>
                <w:b/>
                <w:bCs/>
                <w:sz w:val="16"/>
                <w:szCs w:val="16"/>
                <w:lang w:val="eu-ES"/>
              </w:rPr>
            </w:pPr>
            <w:r w:rsidRPr="001E2F6E">
              <w:rPr>
                <w:b/>
                <w:bCs/>
                <w:sz w:val="16"/>
                <w:szCs w:val="16"/>
                <w:lang w:val="eu-ES"/>
              </w:rPr>
              <w:t>Zerbitzuak</w:t>
            </w:r>
          </w:p>
        </w:tc>
      </w:tr>
      <w:tr w:rsidR="00195BE7" w:rsidRPr="001E2F6E" w:rsidTr="00195BE7">
        <w:trPr>
          <w:jc w:val="center"/>
        </w:trPr>
        <w:tc>
          <w:tcPr>
            <w:tcW w:w="715" w:type="pct"/>
            <w:tcBorders>
              <w:top w:val="single" w:sz="4" w:space="0" w:color="BFBFBF" w:themeColor="background1" w:themeShade="BF"/>
              <w:right w:val="single" w:sz="4" w:space="0" w:color="BFBFBF" w:themeColor="background1" w:themeShade="BF"/>
            </w:tcBorders>
            <w:vAlign w:val="bottom"/>
          </w:tcPr>
          <w:p w:rsidR="00195BE7" w:rsidRPr="001E2F6E" w:rsidRDefault="00195BE7" w:rsidP="00195BE7">
            <w:pPr>
              <w:spacing w:line="240" w:lineRule="exact"/>
              <w:rPr>
                <w:sz w:val="16"/>
                <w:szCs w:val="16"/>
                <w:lang w:val="eu-ES"/>
              </w:rPr>
            </w:pPr>
            <w:r w:rsidRPr="001E2F6E">
              <w:rPr>
                <w:sz w:val="16"/>
                <w:szCs w:val="16"/>
                <w:lang w:val="eu-ES"/>
              </w:rPr>
              <w:t>Gizonezkoak</w:t>
            </w:r>
          </w:p>
        </w:tc>
        <w:tc>
          <w:tcPr>
            <w:tcW w:w="857" w:type="pct"/>
            <w:tcBorders>
              <w:top w:val="single" w:sz="4" w:space="0" w:color="BFBFBF" w:themeColor="background1" w:themeShade="BF"/>
              <w:left w:val="single" w:sz="4" w:space="0" w:color="BFBFBF" w:themeColor="background1" w:themeShade="BF"/>
              <w:right w:val="single" w:sz="4" w:space="0" w:color="BFBFBF" w:themeColor="background1" w:themeShade="BF"/>
            </w:tcBorders>
            <w:vAlign w:val="bottom"/>
          </w:tcPr>
          <w:p w:rsidR="00195BE7" w:rsidRPr="001E2F6E" w:rsidRDefault="00195BE7" w:rsidP="00195BE7">
            <w:pPr>
              <w:spacing w:line="240" w:lineRule="exact"/>
              <w:ind w:right="151"/>
              <w:jc w:val="right"/>
              <w:rPr>
                <w:sz w:val="16"/>
                <w:szCs w:val="16"/>
              </w:rPr>
            </w:pPr>
            <w:r w:rsidRPr="001E2F6E">
              <w:rPr>
                <w:sz w:val="16"/>
                <w:szCs w:val="16"/>
              </w:rPr>
              <w:t>71,2</w:t>
            </w:r>
          </w:p>
        </w:tc>
        <w:tc>
          <w:tcPr>
            <w:tcW w:w="857" w:type="pct"/>
            <w:tcBorders>
              <w:top w:val="single" w:sz="4" w:space="0" w:color="BFBFBF" w:themeColor="background1" w:themeShade="BF"/>
              <w:left w:val="single" w:sz="4" w:space="0" w:color="BFBFBF" w:themeColor="background1" w:themeShade="BF"/>
              <w:right w:val="single" w:sz="4" w:space="0" w:color="BFBFBF" w:themeColor="background1" w:themeShade="BF"/>
            </w:tcBorders>
            <w:vAlign w:val="bottom"/>
          </w:tcPr>
          <w:p w:rsidR="00195BE7" w:rsidRPr="001E2F6E" w:rsidRDefault="00195BE7" w:rsidP="00195BE7">
            <w:pPr>
              <w:spacing w:line="240" w:lineRule="exact"/>
              <w:ind w:right="151"/>
              <w:jc w:val="right"/>
              <w:rPr>
                <w:sz w:val="16"/>
                <w:szCs w:val="16"/>
              </w:rPr>
            </w:pPr>
            <w:r w:rsidRPr="001E2F6E">
              <w:rPr>
                <w:sz w:val="16"/>
                <w:szCs w:val="16"/>
              </w:rPr>
              <w:t>88,7</w:t>
            </w:r>
          </w:p>
        </w:tc>
        <w:tc>
          <w:tcPr>
            <w:tcW w:w="857" w:type="pct"/>
            <w:tcBorders>
              <w:top w:val="single" w:sz="4" w:space="0" w:color="BFBFBF" w:themeColor="background1" w:themeShade="BF"/>
              <w:left w:val="single" w:sz="4" w:space="0" w:color="BFBFBF" w:themeColor="background1" w:themeShade="BF"/>
              <w:right w:val="single" w:sz="4" w:space="0" w:color="BFBFBF" w:themeColor="background1" w:themeShade="BF"/>
            </w:tcBorders>
            <w:vAlign w:val="bottom"/>
          </w:tcPr>
          <w:p w:rsidR="00195BE7" w:rsidRPr="001E2F6E" w:rsidRDefault="00195BE7" w:rsidP="00195BE7">
            <w:pPr>
              <w:spacing w:line="240" w:lineRule="exact"/>
              <w:ind w:right="151"/>
              <w:jc w:val="right"/>
              <w:rPr>
                <w:sz w:val="16"/>
                <w:szCs w:val="16"/>
              </w:rPr>
            </w:pPr>
            <w:r w:rsidRPr="001E2F6E">
              <w:rPr>
                <w:sz w:val="16"/>
                <w:szCs w:val="16"/>
              </w:rPr>
              <w:t>76,5</w:t>
            </w:r>
          </w:p>
        </w:tc>
        <w:tc>
          <w:tcPr>
            <w:tcW w:w="939" w:type="pct"/>
            <w:tcBorders>
              <w:top w:val="single" w:sz="4" w:space="0" w:color="BFBFBF" w:themeColor="background1" w:themeShade="BF"/>
              <w:left w:val="single" w:sz="4" w:space="0" w:color="BFBFBF" w:themeColor="background1" w:themeShade="BF"/>
              <w:right w:val="single" w:sz="4" w:space="0" w:color="BFBFBF" w:themeColor="background1" w:themeShade="BF"/>
            </w:tcBorders>
            <w:vAlign w:val="bottom"/>
          </w:tcPr>
          <w:p w:rsidR="00195BE7" w:rsidRPr="001E2F6E" w:rsidRDefault="00195BE7" w:rsidP="00195BE7">
            <w:pPr>
              <w:spacing w:line="240" w:lineRule="exact"/>
              <w:ind w:right="151"/>
              <w:jc w:val="right"/>
              <w:rPr>
                <w:sz w:val="16"/>
                <w:szCs w:val="16"/>
              </w:rPr>
            </w:pPr>
            <w:r w:rsidRPr="001E2F6E">
              <w:rPr>
                <w:sz w:val="16"/>
                <w:szCs w:val="16"/>
              </w:rPr>
              <w:t>92,8</w:t>
            </w:r>
          </w:p>
        </w:tc>
        <w:tc>
          <w:tcPr>
            <w:tcW w:w="775" w:type="pct"/>
            <w:tcBorders>
              <w:top w:val="single" w:sz="4" w:space="0" w:color="BFBFBF" w:themeColor="background1" w:themeShade="BF"/>
              <w:left w:val="single" w:sz="4" w:space="0" w:color="BFBFBF" w:themeColor="background1" w:themeShade="BF"/>
            </w:tcBorders>
            <w:vAlign w:val="bottom"/>
          </w:tcPr>
          <w:p w:rsidR="00195BE7" w:rsidRPr="001E2F6E" w:rsidRDefault="00195BE7" w:rsidP="00195BE7">
            <w:pPr>
              <w:spacing w:line="240" w:lineRule="exact"/>
              <w:ind w:right="151"/>
              <w:jc w:val="right"/>
              <w:rPr>
                <w:sz w:val="16"/>
                <w:szCs w:val="16"/>
              </w:rPr>
            </w:pPr>
            <w:r w:rsidRPr="001E2F6E">
              <w:rPr>
                <w:sz w:val="16"/>
                <w:szCs w:val="16"/>
              </w:rPr>
              <w:t>63,1</w:t>
            </w:r>
          </w:p>
        </w:tc>
      </w:tr>
      <w:tr w:rsidR="00195BE7" w:rsidRPr="001E2F6E" w:rsidTr="00195BE7">
        <w:trPr>
          <w:jc w:val="center"/>
        </w:trPr>
        <w:tc>
          <w:tcPr>
            <w:tcW w:w="715" w:type="pct"/>
            <w:tcBorders>
              <w:bottom w:val="single" w:sz="4" w:space="0" w:color="BFBFBF" w:themeColor="background1" w:themeShade="BF"/>
              <w:right w:val="single" w:sz="4" w:space="0" w:color="BFBFBF" w:themeColor="background1" w:themeShade="BF"/>
            </w:tcBorders>
            <w:vAlign w:val="bottom"/>
          </w:tcPr>
          <w:p w:rsidR="00195BE7" w:rsidRPr="001E2F6E" w:rsidRDefault="00195BE7" w:rsidP="00195BE7">
            <w:pPr>
              <w:spacing w:line="240" w:lineRule="exact"/>
              <w:rPr>
                <w:sz w:val="16"/>
                <w:szCs w:val="16"/>
                <w:lang w:val="eu-ES"/>
              </w:rPr>
            </w:pPr>
            <w:r w:rsidRPr="001E2F6E">
              <w:rPr>
                <w:sz w:val="16"/>
                <w:szCs w:val="16"/>
                <w:lang w:val="eu-ES"/>
              </w:rPr>
              <w:t>Emakumezkoak</w:t>
            </w:r>
          </w:p>
        </w:tc>
        <w:tc>
          <w:tcPr>
            <w:tcW w:w="857" w:type="pct"/>
            <w:tcBorders>
              <w:left w:val="single" w:sz="4" w:space="0" w:color="BFBFBF" w:themeColor="background1" w:themeShade="BF"/>
              <w:bottom w:val="single" w:sz="4" w:space="0" w:color="BFBFBF" w:themeColor="background1" w:themeShade="BF"/>
              <w:right w:val="single" w:sz="4" w:space="0" w:color="BFBFBF" w:themeColor="background1" w:themeShade="BF"/>
            </w:tcBorders>
            <w:vAlign w:val="bottom"/>
          </w:tcPr>
          <w:p w:rsidR="00195BE7" w:rsidRPr="001E2F6E" w:rsidRDefault="00195BE7" w:rsidP="00195BE7">
            <w:pPr>
              <w:spacing w:line="240" w:lineRule="exact"/>
              <w:ind w:right="151"/>
              <w:jc w:val="right"/>
              <w:rPr>
                <w:sz w:val="16"/>
                <w:szCs w:val="16"/>
              </w:rPr>
            </w:pPr>
            <w:r w:rsidRPr="001E2F6E">
              <w:rPr>
                <w:sz w:val="16"/>
                <w:szCs w:val="16"/>
              </w:rPr>
              <w:t>28,8</w:t>
            </w:r>
          </w:p>
        </w:tc>
        <w:tc>
          <w:tcPr>
            <w:tcW w:w="857" w:type="pct"/>
            <w:tcBorders>
              <w:left w:val="single" w:sz="4" w:space="0" w:color="BFBFBF" w:themeColor="background1" w:themeShade="BF"/>
              <w:bottom w:val="single" w:sz="4" w:space="0" w:color="BFBFBF" w:themeColor="background1" w:themeShade="BF"/>
              <w:right w:val="single" w:sz="4" w:space="0" w:color="BFBFBF" w:themeColor="background1" w:themeShade="BF"/>
            </w:tcBorders>
            <w:vAlign w:val="bottom"/>
          </w:tcPr>
          <w:p w:rsidR="00195BE7" w:rsidRPr="001E2F6E" w:rsidRDefault="00195BE7" w:rsidP="00195BE7">
            <w:pPr>
              <w:spacing w:line="240" w:lineRule="exact"/>
              <w:ind w:right="151"/>
              <w:jc w:val="right"/>
              <w:rPr>
                <w:sz w:val="16"/>
                <w:szCs w:val="16"/>
              </w:rPr>
            </w:pPr>
            <w:r w:rsidRPr="001E2F6E">
              <w:rPr>
                <w:sz w:val="16"/>
                <w:szCs w:val="16"/>
              </w:rPr>
              <w:t>11,3</w:t>
            </w:r>
          </w:p>
        </w:tc>
        <w:tc>
          <w:tcPr>
            <w:tcW w:w="857" w:type="pct"/>
            <w:tcBorders>
              <w:left w:val="single" w:sz="4" w:space="0" w:color="BFBFBF" w:themeColor="background1" w:themeShade="BF"/>
              <w:bottom w:val="single" w:sz="4" w:space="0" w:color="BFBFBF" w:themeColor="background1" w:themeShade="BF"/>
              <w:right w:val="single" w:sz="4" w:space="0" w:color="BFBFBF" w:themeColor="background1" w:themeShade="BF"/>
            </w:tcBorders>
            <w:vAlign w:val="bottom"/>
          </w:tcPr>
          <w:p w:rsidR="00195BE7" w:rsidRPr="001E2F6E" w:rsidRDefault="00195BE7" w:rsidP="00195BE7">
            <w:pPr>
              <w:spacing w:line="240" w:lineRule="exact"/>
              <w:ind w:right="151"/>
              <w:jc w:val="right"/>
              <w:rPr>
                <w:sz w:val="16"/>
                <w:szCs w:val="16"/>
              </w:rPr>
            </w:pPr>
            <w:r w:rsidRPr="001E2F6E">
              <w:rPr>
                <w:sz w:val="16"/>
                <w:szCs w:val="16"/>
              </w:rPr>
              <w:t>23,5</w:t>
            </w:r>
          </w:p>
        </w:tc>
        <w:tc>
          <w:tcPr>
            <w:tcW w:w="939" w:type="pct"/>
            <w:tcBorders>
              <w:left w:val="single" w:sz="4" w:space="0" w:color="BFBFBF" w:themeColor="background1" w:themeShade="BF"/>
              <w:bottom w:val="single" w:sz="4" w:space="0" w:color="BFBFBF" w:themeColor="background1" w:themeShade="BF"/>
              <w:right w:val="single" w:sz="4" w:space="0" w:color="BFBFBF" w:themeColor="background1" w:themeShade="BF"/>
            </w:tcBorders>
            <w:vAlign w:val="bottom"/>
          </w:tcPr>
          <w:p w:rsidR="00195BE7" w:rsidRPr="001E2F6E" w:rsidRDefault="00195BE7" w:rsidP="00195BE7">
            <w:pPr>
              <w:spacing w:line="240" w:lineRule="exact"/>
              <w:ind w:right="151"/>
              <w:jc w:val="right"/>
              <w:rPr>
                <w:sz w:val="16"/>
                <w:szCs w:val="16"/>
              </w:rPr>
            </w:pPr>
            <w:r w:rsidRPr="001E2F6E">
              <w:rPr>
                <w:sz w:val="16"/>
                <w:szCs w:val="16"/>
              </w:rPr>
              <w:t>7,2</w:t>
            </w:r>
          </w:p>
        </w:tc>
        <w:tc>
          <w:tcPr>
            <w:tcW w:w="775" w:type="pct"/>
            <w:tcBorders>
              <w:left w:val="single" w:sz="4" w:space="0" w:color="BFBFBF" w:themeColor="background1" w:themeShade="BF"/>
              <w:bottom w:val="single" w:sz="4" w:space="0" w:color="BFBFBF" w:themeColor="background1" w:themeShade="BF"/>
            </w:tcBorders>
            <w:vAlign w:val="bottom"/>
          </w:tcPr>
          <w:p w:rsidR="00195BE7" w:rsidRPr="001E2F6E" w:rsidRDefault="00195BE7" w:rsidP="00195BE7">
            <w:pPr>
              <w:spacing w:line="240" w:lineRule="exact"/>
              <w:ind w:right="151"/>
              <w:jc w:val="right"/>
              <w:rPr>
                <w:sz w:val="16"/>
                <w:szCs w:val="16"/>
              </w:rPr>
            </w:pPr>
            <w:r w:rsidRPr="001E2F6E">
              <w:rPr>
                <w:sz w:val="16"/>
                <w:szCs w:val="16"/>
              </w:rPr>
              <w:t>36,9</w:t>
            </w:r>
          </w:p>
        </w:tc>
      </w:tr>
    </w:tbl>
    <w:p w:rsidR="00195BE7" w:rsidRPr="001E2F6E" w:rsidRDefault="00195BE7" w:rsidP="00195BE7"/>
    <w:p w:rsidR="00195BE7" w:rsidRPr="001E2F6E" w:rsidRDefault="00195BE7" w:rsidP="00195BE7">
      <w:pPr>
        <w:pStyle w:val="Textoindependiente2"/>
        <w:spacing w:after="0" w:line="240" w:lineRule="auto"/>
        <w:jc w:val="center"/>
        <w:rPr>
          <w:b/>
          <w:color w:val="1F497D" w:themeColor="text2"/>
          <w:sz w:val="18"/>
          <w:szCs w:val="18"/>
        </w:rPr>
      </w:pPr>
      <w:bookmarkStart w:id="63" w:name="_Toc391989084"/>
      <w:bookmarkStart w:id="64" w:name="_Toc392585749"/>
      <w:r w:rsidRPr="001E2F6E">
        <w:rPr>
          <w:b/>
          <w:color w:val="1F497D" w:themeColor="text2"/>
          <w:sz w:val="18"/>
          <w:szCs w:val="18"/>
        </w:rPr>
        <w:t>1.</w:t>
      </w:r>
      <w:r w:rsidR="00EB6BA6" w:rsidRPr="001E2F6E">
        <w:rPr>
          <w:b/>
          <w:color w:val="1F497D" w:themeColor="text2"/>
          <w:sz w:val="18"/>
          <w:szCs w:val="18"/>
        </w:rPr>
        <w:fldChar w:fldCharType="begin"/>
      </w:r>
      <w:r w:rsidRPr="001E2F6E">
        <w:rPr>
          <w:b/>
          <w:color w:val="1F497D" w:themeColor="text2"/>
          <w:sz w:val="18"/>
          <w:szCs w:val="18"/>
        </w:rPr>
        <w:instrText xml:space="preserve"> SEQ Cuadro_1. \* ARABIC </w:instrText>
      </w:r>
      <w:r w:rsidR="00EB6BA6" w:rsidRPr="001E2F6E">
        <w:rPr>
          <w:b/>
          <w:color w:val="1F497D" w:themeColor="text2"/>
          <w:sz w:val="18"/>
          <w:szCs w:val="18"/>
        </w:rPr>
        <w:fldChar w:fldCharType="separate"/>
      </w:r>
      <w:r w:rsidR="00A327D4">
        <w:rPr>
          <w:b/>
          <w:noProof/>
          <w:color w:val="1F497D" w:themeColor="text2"/>
          <w:sz w:val="18"/>
          <w:szCs w:val="18"/>
        </w:rPr>
        <w:t>14</w:t>
      </w:r>
      <w:r w:rsidR="00EB6BA6" w:rsidRPr="001E2F6E">
        <w:rPr>
          <w:b/>
          <w:color w:val="1F497D" w:themeColor="text2"/>
          <w:sz w:val="18"/>
          <w:szCs w:val="18"/>
        </w:rPr>
        <w:fldChar w:fldCharType="end"/>
      </w:r>
      <w:r w:rsidRPr="001E2F6E">
        <w:rPr>
          <w:b/>
          <w:color w:val="1F497D" w:themeColor="text2"/>
          <w:sz w:val="18"/>
          <w:szCs w:val="18"/>
        </w:rPr>
        <w:t xml:space="preserve"> Taula </w:t>
      </w:r>
      <w:r w:rsidRPr="001E2F6E">
        <w:rPr>
          <w:b/>
          <w:color w:val="1F497D" w:themeColor="text2"/>
          <w:sz w:val="18"/>
          <w:szCs w:val="18"/>
          <w:lang w:val="eu-ES"/>
        </w:rPr>
        <w:t>ENPLEGUAREN ARLOZ ARLOKO BANAKETA, ADINAREN ARABERA  (%horizontalak) 2012</w:t>
      </w:r>
      <w:bookmarkEnd w:id="63"/>
      <w:bookmarkEnd w:id="64"/>
    </w:p>
    <w:tbl>
      <w:tblPr>
        <w:tblW w:w="5000" w:type="pct"/>
        <w:jc w:val="center"/>
        <w:tblLook w:val="04A0" w:firstRow="1" w:lastRow="0" w:firstColumn="1" w:lastColumn="0" w:noHBand="0" w:noVBand="1"/>
      </w:tblPr>
      <w:tblGrid>
        <w:gridCol w:w="1863"/>
        <w:gridCol w:w="1786"/>
        <w:gridCol w:w="1785"/>
        <w:gridCol w:w="1785"/>
        <w:gridCol w:w="1785"/>
      </w:tblGrid>
      <w:tr w:rsidR="00195BE7" w:rsidRPr="001E2F6E" w:rsidTr="00195BE7">
        <w:trPr>
          <w:jc w:val="center"/>
        </w:trPr>
        <w:tc>
          <w:tcPr>
            <w:tcW w:w="1035"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tcPr>
          <w:p w:rsidR="00195BE7" w:rsidRPr="001E2F6E" w:rsidRDefault="00195BE7" w:rsidP="00195BE7">
            <w:pPr>
              <w:spacing w:line="240" w:lineRule="exact"/>
              <w:jc w:val="center"/>
              <w:rPr>
                <w:b/>
                <w:bCs/>
                <w:sz w:val="16"/>
                <w:szCs w:val="16"/>
              </w:rPr>
            </w:pPr>
          </w:p>
        </w:tc>
        <w:tc>
          <w:tcPr>
            <w:tcW w:w="99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bottom"/>
          </w:tcPr>
          <w:p w:rsidR="00195BE7" w:rsidRPr="001E2F6E" w:rsidRDefault="00195BE7" w:rsidP="00195BE7">
            <w:pPr>
              <w:spacing w:line="240" w:lineRule="exact"/>
              <w:jc w:val="center"/>
              <w:rPr>
                <w:b/>
                <w:bCs/>
                <w:sz w:val="16"/>
                <w:szCs w:val="16"/>
                <w:lang w:val="eu-ES"/>
              </w:rPr>
            </w:pPr>
            <w:r w:rsidRPr="001E2F6E">
              <w:rPr>
                <w:b/>
                <w:bCs/>
                <w:sz w:val="16"/>
                <w:szCs w:val="16"/>
                <w:lang w:val="eu-ES"/>
              </w:rPr>
              <w:t>GUZTIRA</w:t>
            </w:r>
          </w:p>
        </w:tc>
        <w:tc>
          <w:tcPr>
            <w:tcW w:w="99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bottom"/>
          </w:tcPr>
          <w:p w:rsidR="00195BE7" w:rsidRPr="001E2F6E" w:rsidRDefault="00195BE7" w:rsidP="00195BE7">
            <w:pPr>
              <w:spacing w:line="240" w:lineRule="exact"/>
              <w:jc w:val="center"/>
              <w:rPr>
                <w:b/>
                <w:bCs/>
                <w:sz w:val="16"/>
                <w:szCs w:val="16"/>
                <w:lang w:val="eu-ES"/>
              </w:rPr>
            </w:pPr>
            <w:r w:rsidRPr="001E2F6E">
              <w:rPr>
                <w:b/>
                <w:bCs/>
                <w:sz w:val="16"/>
                <w:szCs w:val="16"/>
                <w:lang w:val="eu-ES"/>
              </w:rPr>
              <w:t>30etik behera</w:t>
            </w:r>
          </w:p>
        </w:tc>
        <w:tc>
          <w:tcPr>
            <w:tcW w:w="99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bottom"/>
          </w:tcPr>
          <w:p w:rsidR="00195BE7" w:rsidRPr="001E2F6E" w:rsidRDefault="00195BE7" w:rsidP="00195BE7">
            <w:pPr>
              <w:spacing w:line="240" w:lineRule="exact"/>
              <w:jc w:val="center"/>
              <w:rPr>
                <w:b/>
                <w:bCs/>
                <w:sz w:val="16"/>
                <w:szCs w:val="16"/>
                <w:lang w:val="eu-ES"/>
              </w:rPr>
            </w:pPr>
            <w:r w:rsidRPr="001E2F6E">
              <w:rPr>
                <w:b/>
                <w:bCs/>
                <w:sz w:val="16"/>
                <w:szCs w:val="16"/>
                <w:lang w:val="eu-ES"/>
              </w:rPr>
              <w:t>30-45 bitarte</w:t>
            </w:r>
          </w:p>
        </w:tc>
        <w:tc>
          <w:tcPr>
            <w:tcW w:w="991"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vAlign w:val="bottom"/>
          </w:tcPr>
          <w:p w:rsidR="00195BE7" w:rsidRPr="001E2F6E" w:rsidRDefault="00195BE7" w:rsidP="00195BE7">
            <w:pPr>
              <w:spacing w:line="240" w:lineRule="exact"/>
              <w:jc w:val="center"/>
              <w:rPr>
                <w:b/>
                <w:bCs/>
                <w:sz w:val="16"/>
                <w:szCs w:val="16"/>
                <w:lang w:val="eu-ES"/>
              </w:rPr>
            </w:pPr>
            <w:r w:rsidRPr="001E2F6E">
              <w:rPr>
                <w:b/>
                <w:bCs/>
                <w:sz w:val="16"/>
                <w:szCs w:val="16"/>
                <w:lang w:val="eu-ES"/>
              </w:rPr>
              <w:t>45etik gora</w:t>
            </w:r>
          </w:p>
        </w:tc>
      </w:tr>
      <w:tr w:rsidR="00195BE7" w:rsidRPr="001E2F6E" w:rsidTr="00195BE7">
        <w:trPr>
          <w:jc w:val="center"/>
        </w:trPr>
        <w:tc>
          <w:tcPr>
            <w:tcW w:w="1035" w:type="pct"/>
            <w:tcBorders>
              <w:top w:val="single" w:sz="4" w:space="0" w:color="BFBFBF" w:themeColor="background1" w:themeShade="BF"/>
              <w:right w:val="single" w:sz="4" w:space="0" w:color="BFBFBF" w:themeColor="background1" w:themeShade="BF"/>
            </w:tcBorders>
            <w:vAlign w:val="bottom"/>
          </w:tcPr>
          <w:p w:rsidR="00195BE7" w:rsidRPr="001E2F6E" w:rsidRDefault="00195BE7" w:rsidP="00195BE7">
            <w:pPr>
              <w:spacing w:line="240" w:lineRule="exact"/>
              <w:rPr>
                <w:sz w:val="16"/>
                <w:szCs w:val="16"/>
                <w:lang w:val="eu-ES"/>
              </w:rPr>
            </w:pPr>
            <w:r w:rsidRPr="001E2F6E">
              <w:rPr>
                <w:sz w:val="16"/>
                <w:szCs w:val="16"/>
                <w:lang w:val="eu-ES"/>
              </w:rPr>
              <w:t>Lehen sektorea</w:t>
            </w:r>
          </w:p>
        </w:tc>
        <w:tc>
          <w:tcPr>
            <w:tcW w:w="992" w:type="pct"/>
            <w:tcBorders>
              <w:top w:val="single" w:sz="4" w:space="0" w:color="BFBFBF" w:themeColor="background1" w:themeShade="BF"/>
              <w:left w:val="single" w:sz="4" w:space="0" w:color="BFBFBF" w:themeColor="background1" w:themeShade="BF"/>
              <w:right w:val="single" w:sz="4" w:space="0" w:color="BFBFBF" w:themeColor="background1" w:themeShade="BF"/>
            </w:tcBorders>
          </w:tcPr>
          <w:p w:rsidR="00195BE7" w:rsidRPr="001E2F6E" w:rsidRDefault="00195BE7" w:rsidP="00195BE7">
            <w:pPr>
              <w:spacing w:line="240" w:lineRule="exact"/>
              <w:ind w:right="284"/>
              <w:jc w:val="right"/>
              <w:rPr>
                <w:sz w:val="16"/>
                <w:szCs w:val="16"/>
              </w:rPr>
            </w:pPr>
            <w:r w:rsidRPr="001E2F6E">
              <w:rPr>
                <w:sz w:val="16"/>
                <w:szCs w:val="16"/>
                <w:lang w:val="es-ES_tradnl"/>
              </w:rPr>
              <w:t>100</w:t>
            </w:r>
          </w:p>
        </w:tc>
        <w:tc>
          <w:tcPr>
            <w:tcW w:w="991" w:type="pct"/>
            <w:tcBorders>
              <w:top w:val="single" w:sz="4" w:space="0" w:color="BFBFBF" w:themeColor="background1" w:themeShade="BF"/>
              <w:left w:val="single" w:sz="4" w:space="0" w:color="BFBFBF" w:themeColor="background1" w:themeShade="BF"/>
              <w:right w:val="single" w:sz="4" w:space="0" w:color="BFBFBF" w:themeColor="background1" w:themeShade="BF"/>
            </w:tcBorders>
          </w:tcPr>
          <w:p w:rsidR="00195BE7" w:rsidRPr="001E2F6E" w:rsidRDefault="00195BE7" w:rsidP="00195BE7">
            <w:pPr>
              <w:spacing w:line="240" w:lineRule="exact"/>
              <w:ind w:right="284"/>
              <w:jc w:val="right"/>
              <w:rPr>
                <w:sz w:val="16"/>
                <w:szCs w:val="16"/>
              </w:rPr>
            </w:pPr>
            <w:r w:rsidRPr="001E2F6E">
              <w:rPr>
                <w:sz w:val="16"/>
                <w:szCs w:val="16"/>
              </w:rPr>
              <w:t>6,8</w:t>
            </w:r>
          </w:p>
        </w:tc>
        <w:tc>
          <w:tcPr>
            <w:tcW w:w="991" w:type="pct"/>
            <w:tcBorders>
              <w:top w:val="single" w:sz="4" w:space="0" w:color="BFBFBF" w:themeColor="background1" w:themeShade="BF"/>
              <w:left w:val="single" w:sz="4" w:space="0" w:color="BFBFBF" w:themeColor="background1" w:themeShade="BF"/>
              <w:right w:val="single" w:sz="4" w:space="0" w:color="BFBFBF" w:themeColor="background1" w:themeShade="BF"/>
            </w:tcBorders>
          </w:tcPr>
          <w:p w:rsidR="00195BE7" w:rsidRPr="001E2F6E" w:rsidRDefault="00195BE7" w:rsidP="00195BE7">
            <w:pPr>
              <w:spacing w:line="240" w:lineRule="exact"/>
              <w:ind w:right="284"/>
              <w:jc w:val="right"/>
              <w:rPr>
                <w:sz w:val="16"/>
                <w:szCs w:val="16"/>
              </w:rPr>
            </w:pPr>
            <w:r w:rsidRPr="001E2F6E">
              <w:rPr>
                <w:sz w:val="16"/>
                <w:szCs w:val="16"/>
              </w:rPr>
              <w:t>35,4</w:t>
            </w:r>
          </w:p>
        </w:tc>
        <w:tc>
          <w:tcPr>
            <w:tcW w:w="991" w:type="pct"/>
            <w:tcBorders>
              <w:top w:val="single" w:sz="4" w:space="0" w:color="BFBFBF" w:themeColor="background1" w:themeShade="BF"/>
              <w:left w:val="single" w:sz="4" w:space="0" w:color="BFBFBF" w:themeColor="background1" w:themeShade="BF"/>
            </w:tcBorders>
          </w:tcPr>
          <w:p w:rsidR="00195BE7" w:rsidRPr="001E2F6E" w:rsidRDefault="00195BE7" w:rsidP="00195BE7">
            <w:pPr>
              <w:spacing w:line="240" w:lineRule="exact"/>
              <w:ind w:right="284"/>
              <w:jc w:val="right"/>
              <w:rPr>
                <w:sz w:val="16"/>
                <w:szCs w:val="16"/>
              </w:rPr>
            </w:pPr>
            <w:r w:rsidRPr="001E2F6E">
              <w:rPr>
                <w:sz w:val="16"/>
                <w:szCs w:val="16"/>
              </w:rPr>
              <w:t>57,8</w:t>
            </w:r>
          </w:p>
        </w:tc>
      </w:tr>
      <w:tr w:rsidR="00195BE7" w:rsidRPr="001E2F6E" w:rsidTr="00195BE7">
        <w:trPr>
          <w:jc w:val="center"/>
        </w:trPr>
        <w:tc>
          <w:tcPr>
            <w:tcW w:w="1035" w:type="pct"/>
            <w:tcBorders>
              <w:right w:val="single" w:sz="4" w:space="0" w:color="BFBFBF" w:themeColor="background1" w:themeShade="BF"/>
            </w:tcBorders>
            <w:vAlign w:val="bottom"/>
          </w:tcPr>
          <w:p w:rsidR="00195BE7" w:rsidRPr="001E2F6E" w:rsidRDefault="00195BE7" w:rsidP="00195BE7">
            <w:pPr>
              <w:spacing w:line="240" w:lineRule="exact"/>
              <w:rPr>
                <w:sz w:val="16"/>
                <w:szCs w:val="16"/>
                <w:lang w:val="eu-ES"/>
              </w:rPr>
            </w:pPr>
            <w:r w:rsidRPr="001E2F6E">
              <w:rPr>
                <w:sz w:val="16"/>
                <w:szCs w:val="16"/>
                <w:lang w:val="eu-ES"/>
              </w:rPr>
              <w:t>Industria</w:t>
            </w:r>
          </w:p>
        </w:tc>
        <w:tc>
          <w:tcPr>
            <w:tcW w:w="992" w:type="pct"/>
            <w:tcBorders>
              <w:left w:val="single" w:sz="4" w:space="0" w:color="BFBFBF" w:themeColor="background1" w:themeShade="BF"/>
              <w:right w:val="single" w:sz="4" w:space="0" w:color="BFBFBF" w:themeColor="background1" w:themeShade="BF"/>
            </w:tcBorders>
          </w:tcPr>
          <w:p w:rsidR="00195BE7" w:rsidRPr="001E2F6E" w:rsidRDefault="00195BE7" w:rsidP="00195BE7">
            <w:pPr>
              <w:spacing w:line="240" w:lineRule="exact"/>
              <w:ind w:right="284"/>
              <w:jc w:val="right"/>
              <w:rPr>
                <w:sz w:val="16"/>
                <w:szCs w:val="16"/>
              </w:rPr>
            </w:pPr>
            <w:r w:rsidRPr="001E2F6E">
              <w:rPr>
                <w:sz w:val="16"/>
                <w:szCs w:val="16"/>
                <w:lang w:val="es-ES_tradnl"/>
              </w:rPr>
              <w:t>100</w:t>
            </w:r>
          </w:p>
        </w:tc>
        <w:tc>
          <w:tcPr>
            <w:tcW w:w="991" w:type="pct"/>
            <w:tcBorders>
              <w:left w:val="single" w:sz="4" w:space="0" w:color="BFBFBF" w:themeColor="background1" w:themeShade="BF"/>
              <w:right w:val="single" w:sz="4" w:space="0" w:color="BFBFBF" w:themeColor="background1" w:themeShade="BF"/>
            </w:tcBorders>
          </w:tcPr>
          <w:p w:rsidR="00195BE7" w:rsidRPr="001E2F6E" w:rsidRDefault="00195BE7" w:rsidP="00195BE7">
            <w:pPr>
              <w:spacing w:line="240" w:lineRule="exact"/>
              <w:ind w:right="284"/>
              <w:jc w:val="right"/>
              <w:rPr>
                <w:sz w:val="16"/>
                <w:szCs w:val="16"/>
              </w:rPr>
            </w:pPr>
            <w:r w:rsidRPr="001E2F6E">
              <w:rPr>
                <w:sz w:val="16"/>
                <w:szCs w:val="16"/>
              </w:rPr>
              <w:t>12,4</w:t>
            </w:r>
          </w:p>
        </w:tc>
        <w:tc>
          <w:tcPr>
            <w:tcW w:w="991" w:type="pct"/>
            <w:tcBorders>
              <w:left w:val="single" w:sz="4" w:space="0" w:color="BFBFBF" w:themeColor="background1" w:themeShade="BF"/>
              <w:right w:val="single" w:sz="4" w:space="0" w:color="BFBFBF" w:themeColor="background1" w:themeShade="BF"/>
            </w:tcBorders>
          </w:tcPr>
          <w:p w:rsidR="00195BE7" w:rsidRPr="001E2F6E" w:rsidRDefault="00195BE7" w:rsidP="00195BE7">
            <w:pPr>
              <w:spacing w:line="240" w:lineRule="exact"/>
              <w:ind w:right="284"/>
              <w:jc w:val="right"/>
              <w:rPr>
                <w:sz w:val="16"/>
                <w:szCs w:val="16"/>
              </w:rPr>
            </w:pPr>
            <w:r w:rsidRPr="001E2F6E">
              <w:rPr>
                <w:sz w:val="16"/>
                <w:szCs w:val="16"/>
              </w:rPr>
              <w:t>50,0</w:t>
            </w:r>
          </w:p>
        </w:tc>
        <w:tc>
          <w:tcPr>
            <w:tcW w:w="991" w:type="pct"/>
            <w:tcBorders>
              <w:left w:val="single" w:sz="4" w:space="0" w:color="BFBFBF" w:themeColor="background1" w:themeShade="BF"/>
            </w:tcBorders>
          </w:tcPr>
          <w:p w:rsidR="00195BE7" w:rsidRPr="001E2F6E" w:rsidRDefault="00195BE7" w:rsidP="00195BE7">
            <w:pPr>
              <w:spacing w:line="240" w:lineRule="exact"/>
              <w:ind w:right="284"/>
              <w:jc w:val="right"/>
              <w:rPr>
                <w:sz w:val="16"/>
                <w:szCs w:val="16"/>
              </w:rPr>
            </w:pPr>
            <w:r w:rsidRPr="001E2F6E">
              <w:rPr>
                <w:sz w:val="16"/>
                <w:szCs w:val="16"/>
              </w:rPr>
              <w:t>37,7</w:t>
            </w:r>
          </w:p>
        </w:tc>
      </w:tr>
      <w:tr w:rsidR="00195BE7" w:rsidRPr="001E2F6E" w:rsidTr="00195BE7">
        <w:trPr>
          <w:jc w:val="center"/>
        </w:trPr>
        <w:tc>
          <w:tcPr>
            <w:tcW w:w="1035" w:type="pct"/>
            <w:tcBorders>
              <w:right w:val="single" w:sz="4" w:space="0" w:color="BFBFBF" w:themeColor="background1" w:themeShade="BF"/>
            </w:tcBorders>
            <w:vAlign w:val="bottom"/>
          </w:tcPr>
          <w:p w:rsidR="00195BE7" w:rsidRPr="001E2F6E" w:rsidRDefault="00195BE7" w:rsidP="00195BE7">
            <w:pPr>
              <w:spacing w:line="240" w:lineRule="exact"/>
              <w:rPr>
                <w:sz w:val="16"/>
                <w:szCs w:val="16"/>
                <w:lang w:val="eu-ES"/>
              </w:rPr>
            </w:pPr>
            <w:r w:rsidRPr="001E2F6E">
              <w:rPr>
                <w:sz w:val="16"/>
                <w:szCs w:val="16"/>
                <w:lang w:val="eu-ES"/>
              </w:rPr>
              <w:t>Eraikuntza</w:t>
            </w:r>
          </w:p>
        </w:tc>
        <w:tc>
          <w:tcPr>
            <w:tcW w:w="992" w:type="pct"/>
            <w:tcBorders>
              <w:left w:val="single" w:sz="4" w:space="0" w:color="BFBFBF" w:themeColor="background1" w:themeShade="BF"/>
              <w:right w:val="single" w:sz="4" w:space="0" w:color="BFBFBF" w:themeColor="background1" w:themeShade="BF"/>
            </w:tcBorders>
          </w:tcPr>
          <w:p w:rsidR="00195BE7" w:rsidRPr="001E2F6E" w:rsidRDefault="00195BE7" w:rsidP="00195BE7">
            <w:pPr>
              <w:spacing w:line="240" w:lineRule="exact"/>
              <w:ind w:right="284"/>
              <w:jc w:val="right"/>
              <w:rPr>
                <w:sz w:val="16"/>
                <w:szCs w:val="16"/>
              </w:rPr>
            </w:pPr>
            <w:r w:rsidRPr="001E2F6E">
              <w:rPr>
                <w:sz w:val="16"/>
                <w:szCs w:val="16"/>
                <w:lang w:val="es-ES_tradnl"/>
              </w:rPr>
              <w:t>100</w:t>
            </w:r>
          </w:p>
        </w:tc>
        <w:tc>
          <w:tcPr>
            <w:tcW w:w="991" w:type="pct"/>
            <w:tcBorders>
              <w:left w:val="single" w:sz="4" w:space="0" w:color="BFBFBF" w:themeColor="background1" w:themeShade="BF"/>
              <w:right w:val="single" w:sz="4" w:space="0" w:color="BFBFBF" w:themeColor="background1" w:themeShade="BF"/>
            </w:tcBorders>
          </w:tcPr>
          <w:p w:rsidR="00195BE7" w:rsidRPr="001E2F6E" w:rsidRDefault="00195BE7" w:rsidP="00195BE7">
            <w:pPr>
              <w:spacing w:line="240" w:lineRule="exact"/>
              <w:ind w:right="284"/>
              <w:jc w:val="right"/>
              <w:rPr>
                <w:sz w:val="16"/>
                <w:szCs w:val="16"/>
              </w:rPr>
            </w:pPr>
            <w:r w:rsidRPr="001E2F6E">
              <w:rPr>
                <w:sz w:val="16"/>
                <w:szCs w:val="16"/>
              </w:rPr>
              <w:t>9,9</w:t>
            </w:r>
          </w:p>
        </w:tc>
        <w:tc>
          <w:tcPr>
            <w:tcW w:w="991" w:type="pct"/>
            <w:tcBorders>
              <w:left w:val="single" w:sz="4" w:space="0" w:color="BFBFBF" w:themeColor="background1" w:themeShade="BF"/>
              <w:right w:val="single" w:sz="4" w:space="0" w:color="BFBFBF" w:themeColor="background1" w:themeShade="BF"/>
            </w:tcBorders>
          </w:tcPr>
          <w:p w:rsidR="00195BE7" w:rsidRPr="001E2F6E" w:rsidRDefault="00195BE7" w:rsidP="00195BE7">
            <w:pPr>
              <w:spacing w:line="240" w:lineRule="exact"/>
              <w:ind w:right="284"/>
              <w:jc w:val="right"/>
              <w:rPr>
                <w:sz w:val="16"/>
                <w:szCs w:val="16"/>
              </w:rPr>
            </w:pPr>
            <w:r w:rsidRPr="001E2F6E">
              <w:rPr>
                <w:sz w:val="16"/>
                <w:szCs w:val="16"/>
              </w:rPr>
              <w:t>50,6</w:t>
            </w:r>
          </w:p>
        </w:tc>
        <w:tc>
          <w:tcPr>
            <w:tcW w:w="991" w:type="pct"/>
            <w:tcBorders>
              <w:left w:val="single" w:sz="4" w:space="0" w:color="BFBFBF" w:themeColor="background1" w:themeShade="BF"/>
            </w:tcBorders>
          </w:tcPr>
          <w:p w:rsidR="00195BE7" w:rsidRPr="001E2F6E" w:rsidRDefault="00195BE7" w:rsidP="00195BE7">
            <w:pPr>
              <w:spacing w:line="240" w:lineRule="exact"/>
              <w:ind w:right="284"/>
              <w:jc w:val="right"/>
              <w:rPr>
                <w:sz w:val="16"/>
                <w:szCs w:val="16"/>
              </w:rPr>
            </w:pPr>
            <w:r w:rsidRPr="001E2F6E">
              <w:rPr>
                <w:sz w:val="16"/>
                <w:szCs w:val="16"/>
              </w:rPr>
              <w:t>39,5</w:t>
            </w:r>
          </w:p>
        </w:tc>
      </w:tr>
      <w:tr w:rsidR="00195BE7" w:rsidRPr="001E2F6E" w:rsidTr="00195BE7">
        <w:trPr>
          <w:jc w:val="center"/>
        </w:trPr>
        <w:tc>
          <w:tcPr>
            <w:tcW w:w="1035" w:type="pct"/>
            <w:tcBorders>
              <w:bottom w:val="single" w:sz="4" w:space="0" w:color="BFBFBF" w:themeColor="background1" w:themeShade="BF"/>
              <w:right w:val="single" w:sz="4" w:space="0" w:color="BFBFBF" w:themeColor="background1" w:themeShade="BF"/>
            </w:tcBorders>
            <w:vAlign w:val="bottom"/>
          </w:tcPr>
          <w:p w:rsidR="00195BE7" w:rsidRPr="001E2F6E" w:rsidRDefault="00195BE7" w:rsidP="00195BE7">
            <w:pPr>
              <w:spacing w:line="240" w:lineRule="exact"/>
              <w:rPr>
                <w:sz w:val="16"/>
                <w:szCs w:val="16"/>
                <w:lang w:val="eu-ES"/>
              </w:rPr>
            </w:pPr>
            <w:r w:rsidRPr="001E2F6E">
              <w:rPr>
                <w:sz w:val="16"/>
                <w:szCs w:val="16"/>
                <w:lang w:val="eu-ES"/>
              </w:rPr>
              <w:t>Zerbitzuak</w:t>
            </w:r>
          </w:p>
        </w:tc>
        <w:tc>
          <w:tcPr>
            <w:tcW w:w="992" w:type="pct"/>
            <w:tcBorders>
              <w:left w:val="single" w:sz="4" w:space="0" w:color="BFBFBF" w:themeColor="background1" w:themeShade="BF"/>
              <w:bottom w:val="single" w:sz="4" w:space="0" w:color="BFBFBF" w:themeColor="background1" w:themeShade="BF"/>
              <w:right w:val="single" w:sz="4" w:space="0" w:color="BFBFBF" w:themeColor="background1" w:themeShade="BF"/>
            </w:tcBorders>
          </w:tcPr>
          <w:p w:rsidR="00195BE7" w:rsidRPr="001E2F6E" w:rsidRDefault="00195BE7" w:rsidP="00195BE7">
            <w:pPr>
              <w:spacing w:line="240" w:lineRule="exact"/>
              <w:ind w:right="284"/>
              <w:jc w:val="right"/>
              <w:rPr>
                <w:sz w:val="16"/>
                <w:szCs w:val="16"/>
              </w:rPr>
            </w:pPr>
            <w:r w:rsidRPr="001E2F6E">
              <w:rPr>
                <w:sz w:val="16"/>
                <w:szCs w:val="16"/>
                <w:lang w:val="es-ES_tradnl"/>
              </w:rPr>
              <w:t>100</w:t>
            </w:r>
          </w:p>
        </w:tc>
        <w:tc>
          <w:tcPr>
            <w:tcW w:w="991" w:type="pct"/>
            <w:tcBorders>
              <w:left w:val="single" w:sz="4" w:space="0" w:color="BFBFBF" w:themeColor="background1" w:themeShade="BF"/>
              <w:bottom w:val="single" w:sz="4" w:space="0" w:color="BFBFBF" w:themeColor="background1" w:themeShade="BF"/>
              <w:right w:val="single" w:sz="4" w:space="0" w:color="BFBFBF" w:themeColor="background1" w:themeShade="BF"/>
            </w:tcBorders>
          </w:tcPr>
          <w:p w:rsidR="00195BE7" w:rsidRPr="001E2F6E" w:rsidRDefault="00195BE7" w:rsidP="00195BE7">
            <w:pPr>
              <w:spacing w:line="240" w:lineRule="exact"/>
              <w:ind w:right="284"/>
              <w:jc w:val="right"/>
              <w:rPr>
                <w:sz w:val="16"/>
                <w:szCs w:val="16"/>
              </w:rPr>
            </w:pPr>
            <w:r w:rsidRPr="001E2F6E">
              <w:rPr>
                <w:sz w:val="16"/>
                <w:szCs w:val="16"/>
              </w:rPr>
              <w:t>14,1</w:t>
            </w:r>
          </w:p>
        </w:tc>
        <w:tc>
          <w:tcPr>
            <w:tcW w:w="991" w:type="pct"/>
            <w:tcBorders>
              <w:left w:val="single" w:sz="4" w:space="0" w:color="BFBFBF" w:themeColor="background1" w:themeShade="BF"/>
              <w:bottom w:val="single" w:sz="4" w:space="0" w:color="BFBFBF" w:themeColor="background1" w:themeShade="BF"/>
              <w:right w:val="single" w:sz="4" w:space="0" w:color="BFBFBF" w:themeColor="background1" w:themeShade="BF"/>
            </w:tcBorders>
          </w:tcPr>
          <w:p w:rsidR="00195BE7" w:rsidRPr="001E2F6E" w:rsidRDefault="00195BE7" w:rsidP="00195BE7">
            <w:pPr>
              <w:spacing w:line="240" w:lineRule="exact"/>
              <w:ind w:right="284"/>
              <w:jc w:val="right"/>
              <w:rPr>
                <w:sz w:val="16"/>
                <w:szCs w:val="16"/>
              </w:rPr>
            </w:pPr>
            <w:r w:rsidRPr="001E2F6E">
              <w:rPr>
                <w:sz w:val="16"/>
                <w:szCs w:val="16"/>
              </w:rPr>
              <w:t>51,8</w:t>
            </w:r>
          </w:p>
        </w:tc>
        <w:tc>
          <w:tcPr>
            <w:tcW w:w="991" w:type="pct"/>
            <w:tcBorders>
              <w:left w:val="single" w:sz="4" w:space="0" w:color="BFBFBF" w:themeColor="background1" w:themeShade="BF"/>
              <w:bottom w:val="single" w:sz="4" w:space="0" w:color="BFBFBF" w:themeColor="background1" w:themeShade="BF"/>
            </w:tcBorders>
          </w:tcPr>
          <w:p w:rsidR="00195BE7" w:rsidRPr="001E2F6E" w:rsidRDefault="00195BE7" w:rsidP="00195BE7">
            <w:pPr>
              <w:spacing w:line="240" w:lineRule="exact"/>
              <w:ind w:right="284"/>
              <w:jc w:val="right"/>
              <w:rPr>
                <w:sz w:val="16"/>
                <w:szCs w:val="16"/>
              </w:rPr>
            </w:pPr>
            <w:r w:rsidRPr="001E2F6E">
              <w:rPr>
                <w:sz w:val="16"/>
                <w:szCs w:val="16"/>
              </w:rPr>
              <w:t>34,1</w:t>
            </w:r>
          </w:p>
        </w:tc>
      </w:tr>
      <w:tr w:rsidR="00195BE7" w:rsidRPr="001E2F6E" w:rsidTr="00195BE7">
        <w:trPr>
          <w:jc w:val="center"/>
        </w:trPr>
        <w:tc>
          <w:tcPr>
            <w:tcW w:w="1035" w:type="pct"/>
            <w:tcBorders>
              <w:top w:val="single" w:sz="4" w:space="0" w:color="BFBFBF" w:themeColor="background1" w:themeShade="BF"/>
              <w:bottom w:val="single" w:sz="4" w:space="0" w:color="BFBFBF" w:themeColor="background1" w:themeShade="BF"/>
              <w:right w:val="single" w:sz="4" w:space="0" w:color="BFBFBF" w:themeColor="background1" w:themeShade="BF"/>
            </w:tcBorders>
            <w:vAlign w:val="bottom"/>
          </w:tcPr>
          <w:p w:rsidR="00195BE7" w:rsidRPr="001E2F6E" w:rsidRDefault="00195BE7" w:rsidP="00195BE7">
            <w:pPr>
              <w:spacing w:line="240" w:lineRule="exact"/>
              <w:rPr>
                <w:b/>
                <w:bCs/>
                <w:sz w:val="16"/>
                <w:szCs w:val="16"/>
                <w:lang w:val="eu-ES"/>
              </w:rPr>
            </w:pPr>
            <w:r w:rsidRPr="001E2F6E">
              <w:rPr>
                <w:b/>
                <w:bCs/>
                <w:sz w:val="16"/>
                <w:szCs w:val="16"/>
                <w:lang w:val="eu-ES"/>
              </w:rPr>
              <w:t>GUZTIRA</w:t>
            </w:r>
          </w:p>
        </w:tc>
        <w:tc>
          <w:tcPr>
            <w:tcW w:w="99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195BE7" w:rsidRPr="001E2F6E" w:rsidRDefault="00195BE7" w:rsidP="00195BE7">
            <w:pPr>
              <w:spacing w:line="240" w:lineRule="exact"/>
              <w:ind w:right="284"/>
              <w:jc w:val="right"/>
              <w:rPr>
                <w:b/>
                <w:bCs/>
                <w:sz w:val="16"/>
                <w:szCs w:val="16"/>
              </w:rPr>
            </w:pPr>
            <w:r w:rsidRPr="001E2F6E">
              <w:rPr>
                <w:b/>
                <w:bCs/>
                <w:sz w:val="16"/>
                <w:szCs w:val="16"/>
                <w:lang w:val="es-ES_tradnl"/>
              </w:rPr>
              <w:t>100</w:t>
            </w:r>
          </w:p>
        </w:tc>
        <w:tc>
          <w:tcPr>
            <w:tcW w:w="99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195BE7" w:rsidRPr="001E2F6E" w:rsidRDefault="00195BE7" w:rsidP="00195BE7">
            <w:pPr>
              <w:spacing w:line="240" w:lineRule="exact"/>
              <w:ind w:right="284"/>
              <w:jc w:val="right"/>
              <w:rPr>
                <w:b/>
                <w:bCs/>
                <w:sz w:val="16"/>
                <w:szCs w:val="16"/>
              </w:rPr>
            </w:pPr>
            <w:r w:rsidRPr="001E2F6E">
              <w:rPr>
                <w:b/>
                <w:bCs/>
                <w:sz w:val="16"/>
                <w:szCs w:val="16"/>
              </w:rPr>
              <w:t>13,1</w:t>
            </w:r>
          </w:p>
        </w:tc>
        <w:tc>
          <w:tcPr>
            <w:tcW w:w="99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195BE7" w:rsidRPr="001E2F6E" w:rsidRDefault="00195BE7" w:rsidP="00195BE7">
            <w:pPr>
              <w:spacing w:line="240" w:lineRule="exact"/>
              <w:ind w:right="284"/>
              <w:jc w:val="right"/>
              <w:rPr>
                <w:b/>
                <w:bCs/>
                <w:sz w:val="16"/>
                <w:szCs w:val="16"/>
              </w:rPr>
            </w:pPr>
            <w:r w:rsidRPr="001E2F6E">
              <w:rPr>
                <w:b/>
                <w:bCs/>
                <w:sz w:val="16"/>
                <w:szCs w:val="16"/>
              </w:rPr>
              <w:t>50,9</w:t>
            </w:r>
          </w:p>
        </w:tc>
        <w:tc>
          <w:tcPr>
            <w:tcW w:w="991" w:type="pct"/>
            <w:tcBorders>
              <w:top w:val="single" w:sz="4" w:space="0" w:color="BFBFBF" w:themeColor="background1" w:themeShade="BF"/>
              <w:left w:val="single" w:sz="4" w:space="0" w:color="BFBFBF" w:themeColor="background1" w:themeShade="BF"/>
              <w:bottom w:val="single" w:sz="4" w:space="0" w:color="BFBFBF" w:themeColor="background1" w:themeShade="BF"/>
            </w:tcBorders>
          </w:tcPr>
          <w:p w:rsidR="00195BE7" w:rsidRPr="001E2F6E" w:rsidRDefault="00195BE7" w:rsidP="00195BE7">
            <w:pPr>
              <w:spacing w:line="240" w:lineRule="exact"/>
              <w:ind w:right="284"/>
              <w:jc w:val="right"/>
              <w:rPr>
                <w:b/>
                <w:bCs/>
                <w:sz w:val="16"/>
                <w:szCs w:val="16"/>
              </w:rPr>
            </w:pPr>
            <w:r w:rsidRPr="001E2F6E">
              <w:rPr>
                <w:b/>
                <w:bCs/>
                <w:sz w:val="16"/>
                <w:szCs w:val="16"/>
              </w:rPr>
              <w:t>36,0</w:t>
            </w:r>
          </w:p>
        </w:tc>
      </w:tr>
    </w:tbl>
    <w:p w:rsidR="00195BE7" w:rsidRPr="001E2F6E" w:rsidRDefault="00195BE7" w:rsidP="00195BE7"/>
    <w:p w:rsidR="00195BE7" w:rsidRPr="001E2F6E" w:rsidRDefault="00195BE7" w:rsidP="00195BE7">
      <w:pPr>
        <w:spacing w:line="240" w:lineRule="auto"/>
        <w:jc w:val="center"/>
        <w:rPr>
          <w:b/>
          <w:color w:val="1F497D" w:themeColor="text2"/>
          <w:sz w:val="18"/>
          <w:szCs w:val="18"/>
        </w:rPr>
      </w:pPr>
      <w:bookmarkStart w:id="65" w:name="_Toc391989085"/>
      <w:bookmarkStart w:id="66" w:name="_Toc392585750"/>
      <w:r w:rsidRPr="001E2F6E">
        <w:rPr>
          <w:b/>
          <w:color w:val="1F497D" w:themeColor="text2"/>
          <w:sz w:val="18"/>
          <w:szCs w:val="18"/>
        </w:rPr>
        <w:t>1.</w:t>
      </w:r>
      <w:r w:rsidR="00EB6BA6" w:rsidRPr="001E2F6E">
        <w:rPr>
          <w:b/>
          <w:color w:val="1F497D" w:themeColor="text2"/>
          <w:sz w:val="18"/>
          <w:szCs w:val="18"/>
        </w:rPr>
        <w:fldChar w:fldCharType="begin"/>
      </w:r>
      <w:r w:rsidRPr="001E2F6E">
        <w:rPr>
          <w:b/>
          <w:color w:val="1F497D" w:themeColor="text2"/>
          <w:sz w:val="18"/>
          <w:szCs w:val="18"/>
        </w:rPr>
        <w:instrText xml:space="preserve"> SEQ Cuadro_1. \* ARABIC </w:instrText>
      </w:r>
      <w:r w:rsidR="00EB6BA6" w:rsidRPr="001E2F6E">
        <w:rPr>
          <w:b/>
          <w:color w:val="1F497D" w:themeColor="text2"/>
          <w:sz w:val="18"/>
          <w:szCs w:val="18"/>
        </w:rPr>
        <w:fldChar w:fldCharType="separate"/>
      </w:r>
      <w:r w:rsidR="00A327D4">
        <w:rPr>
          <w:b/>
          <w:noProof/>
          <w:color w:val="1F497D" w:themeColor="text2"/>
          <w:sz w:val="18"/>
          <w:szCs w:val="18"/>
        </w:rPr>
        <w:t>15</w:t>
      </w:r>
      <w:r w:rsidR="00EB6BA6" w:rsidRPr="001E2F6E">
        <w:rPr>
          <w:b/>
          <w:color w:val="1F497D" w:themeColor="text2"/>
          <w:sz w:val="18"/>
          <w:szCs w:val="18"/>
        </w:rPr>
        <w:fldChar w:fldCharType="end"/>
      </w:r>
      <w:r w:rsidRPr="001E2F6E">
        <w:rPr>
          <w:b/>
          <w:color w:val="1F497D" w:themeColor="text2"/>
          <w:sz w:val="18"/>
          <w:szCs w:val="18"/>
        </w:rPr>
        <w:t xml:space="preserve"> Taula </w:t>
      </w:r>
      <w:r w:rsidRPr="001E2F6E">
        <w:rPr>
          <w:b/>
          <w:color w:val="1F497D" w:themeColor="text2"/>
          <w:sz w:val="18"/>
          <w:szCs w:val="18"/>
          <w:lang w:val="eu-ES"/>
        </w:rPr>
        <w:t>ENPLEGUAREN BANAKETA ADINAREN ETA FORMA JURIDIKOAREN ARABERA (% horizontalak). 2012</w:t>
      </w:r>
      <w:bookmarkEnd w:id="65"/>
      <w:bookmarkEnd w:id="66"/>
    </w:p>
    <w:tbl>
      <w:tblPr>
        <w:tblW w:w="5000" w:type="pct"/>
        <w:jc w:val="center"/>
        <w:tblLook w:val="04A0" w:firstRow="1" w:lastRow="0" w:firstColumn="1" w:lastColumn="0" w:noHBand="0" w:noVBand="1"/>
      </w:tblPr>
      <w:tblGrid>
        <w:gridCol w:w="1863"/>
        <w:gridCol w:w="1786"/>
        <w:gridCol w:w="1785"/>
        <w:gridCol w:w="1785"/>
        <w:gridCol w:w="1785"/>
      </w:tblGrid>
      <w:tr w:rsidR="00195BE7" w:rsidRPr="001E2F6E" w:rsidTr="00195BE7">
        <w:trPr>
          <w:jc w:val="center"/>
        </w:trPr>
        <w:tc>
          <w:tcPr>
            <w:tcW w:w="1035"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tcPr>
          <w:p w:rsidR="00195BE7" w:rsidRPr="001E2F6E" w:rsidRDefault="00195BE7" w:rsidP="00195BE7">
            <w:pPr>
              <w:spacing w:line="240" w:lineRule="exact"/>
              <w:jc w:val="center"/>
              <w:rPr>
                <w:b/>
                <w:bCs/>
                <w:sz w:val="16"/>
                <w:szCs w:val="16"/>
              </w:rPr>
            </w:pPr>
          </w:p>
        </w:tc>
        <w:tc>
          <w:tcPr>
            <w:tcW w:w="99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bottom"/>
          </w:tcPr>
          <w:p w:rsidR="00195BE7" w:rsidRPr="001E2F6E" w:rsidRDefault="00195BE7" w:rsidP="00195BE7">
            <w:pPr>
              <w:spacing w:line="240" w:lineRule="exact"/>
              <w:jc w:val="center"/>
              <w:rPr>
                <w:b/>
                <w:bCs/>
                <w:sz w:val="16"/>
                <w:szCs w:val="16"/>
                <w:lang w:val="eu-ES"/>
              </w:rPr>
            </w:pPr>
            <w:r w:rsidRPr="001E2F6E">
              <w:rPr>
                <w:b/>
                <w:bCs/>
                <w:sz w:val="16"/>
                <w:szCs w:val="16"/>
                <w:lang w:val="eu-ES"/>
              </w:rPr>
              <w:t>GUZTIRA</w:t>
            </w:r>
          </w:p>
        </w:tc>
        <w:tc>
          <w:tcPr>
            <w:tcW w:w="99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bottom"/>
          </w:tcPr>
          <w:p w:rsidR="00195BE7" w:rsidRPr="001E2F6E" w:rsidRDefault="00195BE7" w:rsidP="00195BE7">
            <w:pPr>
              <w:spacing w:line="240" w:lineRule="exact"/>
              <w:jc w:val="center"/>
              <w:rPr>
                <w:b/>
                <w:bCs/>
                <w:sz w:val="16"/>
                <w:szCs w:val="16"/>
                <w:lang w:val="eu-ES"/>
              </w:rPr>
            </w:pPr>
            <w:r w:rsidRPr="001E2F6E">
              <w:rPr>
                <w:b/>
                <w:bCs/>
                <w:sz w:val="16"/>
                <w:szCs w:val="16"/>
                <w:lang w:val="eu-ES"/>
              </w:rPr>
              <w:t>30etik behera</w:t>
            </w:r>
          </w:p>
        </w:tc>
        <w:tc>
          <w:tcPr>
            <w:tcW w:w="99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bottom"/>
          </w:tcPr>
          <w:p w:rsidR="00195BE7" w:rsidRPr="001E2F6E" w:rsidRDefault="00195BE7" w:rsidP="00195BE7">
            <w:pPr>
              <w:spacing w:line="240" w:lineRule="exact"/>
              <w:jc w:val="center"/>
              <w:rPr>
                <w:b/>
                <w:bCs/>
                <w:sz w:val="16"/>
                <w:szCs w:val="16"/>
                <w:lang w:val="eu-ES"/>
              </w:rPr>
            </w:pPr>
            <w:r w:rsidRPr="001E2F6E">
              <w:rPr>
                <w:b/>
                <w:bCs/>
                <w:sz w:val="16"/>
                <w:szCs w:val="16"/>
                <w:lang w:val="eu-ES"/>
              </w:rPr>
              <w:t>30 - 45</w:t>
            </w:r>
          </w:p>
        </w:tc>
        <w:tc>
          <w:tcPr>
            <w:tcW w:w="991"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vAlign w:val="bottom"/>
          </w:tcPr>
          <w:p w:rsidR="00195BE7" w:rsidRPr="001E2F6E" w:rsidRDefault="00195BE7" w:rsidP="00195BE7">
            <w:pPr>
              <w:spacing w:line="240" w:lineRule="exact"/>
              <w:jc w:val="center"/>
              <w:rPr>
                <w:b/>
                <w:bCs/>
                <w:sz w:val="16"/>
                <w:szCs w:val="16"/>
                <w:lang w:val="eu-ES"/>
              </w:rPr>
            </w:pPr>
            <w:r w:rsidRPr="001E2F6E">
              <w:rPr>
                <w:b/>
                <w:bCs/>
                <w:sz w:val="16"/>
                <w:szCs w:val="16"/>
                <w:lang w:val="eu-ES"/>
              </w:rPr>
              <w:t>45etik gora</w:t>
            </w:r>
          </w:p>
        </w:tc>
      </w:tr>
      <w:tr w:rsidR="00195BE7" w:rsidRPr="001E2F6E" w:rsidTr="00195BE7">
        <w:trPr>
          <w:jc w:val="center"/>
        </w:trPr>
        <w:tc>
          <w:tcPr>
            <w:tcW w:w="1035" w:type="pct"/>
            <w:tcBorders>
              <w:right w:val="single" w:sz="4" w:space="0" w:color="BFBFBF" w:themeColor="background1" w:themeShade="BF"/>
            </w:tcBorders>
            <w:vAlign w:val="bottom"/>
          </w:tcPr>
          <w:p w:rsidR="00195BE7" w:rsidRPr="001E2F6E" w:rsidRDefault="00195BE7" w:rsidP="00195BE7">
            <w:pPr>
              <w:spacing w:line="240" w:lineRule="exact"/>
              <w:rPr>
                <w:sz w:val="16"/>
                <w:szCs w:val="16"/>
                <w:lang w:val="eu-ES"/>
              </w:rPr>
            </w:pPr>
            <w:r w:rsidRPr="001E2F6E">
              <w:rPr>
                <w:sz w:val="16"/>
                <w:szCs w:val="16"/>
                <w:lang w:val="eu-ES"/>
              </w:rPr>
              <w:t>KOOP</w:t>
            </w:r>
          </w:p>
        </w:tc>
        <w:tc>
          <w:tcPr>
            <w:tcW w:w="992" w:type="pct"/>
            <w:tcBorders>
              <w:left w:val="single" w:sz="4" w:space="0" w:color="BFBFBF" w:themeColor="background1" w:themeShade="BF"/>
              <w:right w:val="single" w:sz="4" w:space="0" w:color="BFBFBF" w:themeColor="background1" w:themeShade="BF"/>
            </w:tcBorders>
            <w:vAlign w:val="bottom"/>
          </w:tcPr>
          <w:p w:rsidR="00195BE7" w:rsidRPr="001E2F6E" w:rsidRDefault="00195BE7" w:rsidP="00195BE7">
            <w:pPr>
              <w:spacing w:line="240" w:lineRule="exact"/>
              <w:ind w:right="284"/>
              <w:jc w:val="right"/>
              <w:rPr>
                <w:sz w:val="16"/>
                <w:szCs w:val="16"/>
                <w:lang w:val="en-GB"/>
              </w:rPr>
            </w:pPr>
            <w:r w:rsidRPr="001E2F6E">
              <w:rPr>
                <w:sz w:val="16"/>
                <w:szCs w:val="16"/>
                <w:lang w:val="en-GB"/>
              </w:rPr>
              <w:t>100</w:t>
            </w:r>
          </w:p>
        </w:tc>
        <w:tc>
          <w:tcPr>
            <w:tcW w:w="991" w:type="pct"/>
            <w:tcBorders>
              <w:left w:val="single" w:sz="4" w:space="0" w:color="BFBFBF" w:themeColor="background1" w:themeShade="BF"/>
              <w:right w:val="single" w:sz="4" w:space="0" w:color="BFBFBF" w:themeColor="background1" w:themeShade="BF"/>
            </w:tcBorders>
            <w:vAlign w:val="bottom"/>
          </w:tcPr>
          <w:p w:rsidR="00195BE7" w:rsidRPr="001E2F6E" w:rsidRDefault="00195BE7" w:rsidP="00195BE7">
            <w:pPr>
              <w:spacing w:line="240" w:lineRule="exact"/>
              <w:ind w:right="284"/>
              <w:jc w:val="right"/>
              <w:rPr>
                <w:rFonts w:ascii="Calibri" w:hAnsi="Calibri"/>
                <w:color w:val="000000"/>
                <w:sz w:val="16"/>
                <w:szCs w:val="16"/>
              </w:rPr>
            </w:pPr>
            <w:r w:rsidRPr="001E2F6E">
              <w:rPr>
                <w:sz w:val="16"/>
                <w:szCs w:val="16"/>
              </w:rPr>
              <w:t>13,4</w:t>
            </w:r>
          </w:p>
        </w:tc>
        <w:tc>
          <w:tcPr>
            <w:tcW w:w="991" w:type="pct"/>
            <w:tcBorders>
              <w:left w:val="single" w:sz="4" w:space="0" w:color="BFBFBF" w:themeColor="background1" w:themeShade="BF"/>
              <w:right w:val="single" w:sz="4" w:space="0" w:color="BFBFBF" w:themeColor="background1" w:themeShade="BF"/>
            </w:tcBorders>
            <w:vAlign w:val="bottom"/>
          </w:tcPr>
          <w:p w:rsidR="00195BE7" w:rsidRPr="001E2F6E" w:rsidRDefault="00195BE7" w:rsidP="00195BE7">
            <w:pPr>
              <w:spacing w:line="240" w:lineRule="exact"/>
              <w:ind w:right="284"/>
              <w:jc w:val="right"/>
              <w:rPr>
                <w:sz w:val="16"/>
                <w:szCs w:val="16"/>
              </w:rPr>
            </w:pPr>
            <w:r w:rsidRPr="001E2F6E">
              <w:rPr>
                <w:sz w:val="16"/>
                <w:szCs w:val="16"/>
              </w:rPr>
              <w:t>52,1</w:t>
            </w:r>
          </w:p>
        </w:tc>
        <w:tc>
          <w:tcPr>
            <w:tcW w:w="991" w:type="pct"/>
            <w:tcBorders>
              <w:left w:val="single" w:sz="4" w:space="0" w:color="BFBFBF" w:themeColor="background1" w:themeShade="BF"/>
            </w:tcBorders>
            <w:vAlign w:val="bottom"/>
          </w:tcPr>
          <w:p w:rsidR="00195BE7" w:rsidRPr="001E2F6E" w:rsidRDefault="00195BE7" w:rsidP="00195BE7">
            <w:pPr>
              <w:spacing w:line="240" w:lineRule="exact"/>
              <w:ind w:right="284"/>
              <w:jc w:val="right"/>
              <w:rPr>
                <w:sz w:val="16"/>
                <w:szCs w:val="16"/>
              </w:rPr>
            </w:pPr>
            <w:r w:rsidRPr="001E2F6E">
              <w:rPr>
                <w:sz w:val="16"/>
                <w:szCs w:val="16"/>
              </w:rPr>
              <w:t>34,5</w:t>
            </w:r>
          </w:p>
        </w:tc>
      </w:tr>
      <w:tr w:rsidR="00195BE7" w:rsidRPr="001E2F6E" w:rsidTr="00195BE7">
        <w:trPr>
          <w:jc w:val="center"/>
        </w:trPr>
        <w:tc>
          <w:tcPr>
            <w:tcW w:w="1035" w:type="pct"/>
            <w:tcBorders>
              <w:right w:val="single" w:sz="4" w:space="0" w:color="BFBFBF" w:themeColor="background1" w:themeShade="BF"/>
            </w:tcBorders>
            <w:vAlign w:val="bottom"/>
          </w:tcPr>
          <w:p w:rsidR="00195BE7" w:rsidRPr="001E2F6E" w:rsidRDefault="00195BE7" w:rsidP="00195BE7">
            <w:pPr>
              <w:spacing w:line="240" w:lineRule="exact"/>
              <w:rPr>
                <w:sz w:val="16"/>
                <w:szCs w:val="16"/>
                <w:lang w:val="eu-ES"/>
              </w:rPr>
            </w:pPr>
            <w:r w:rsidRPr="001E2F6E">
              <w:rPr>
                <w:sz w:val="16"/>
                <w:szCs w:val="16"/>
                <w:lang w:val="eu-ES"/>
              </w:rPr>
              <w:t>LSAak</w:t>
            </w:r>
          </w:p>
        </w:tc>
        <w:tc>
          <w:tcPr>
            <w:tcW w:w="992" w:type="pct"/>
            <w:tcBorders>
              <w:left w:val="single" w:sz="4" w:space="0" w:color="BFBFBF" w:themeColor="background1" w:themeShade="BF"/>
              <w:right w:val="single" w:sz="4" w:space="0" w:color="BFBFBF" w:themeColor="background1" w:themeShade="BF"/>
            </w:tcBorders>
            <w:vAlign w:val="bottom"/>
          </w:tcPr>
          <w:p w:rsidR="00195BE7" w:rsidRPr="001E2F6E" w:rsidRDefault="00195BE7" w:rsidP="00195BE7">
            <w:pPr>
              <w:spacing w:line="240" w:lineRule="exact"/>
              <w:ind w:right="284"/>
              <w:jc w:val="right"/>
              <w:rPr>
                <w:sz w:val="16"/>
                <w:szCs w:val="16"/>
              </w:rPr>
            </w:pPr>
            <w:r w:rsidRPr="001E2F6E">
              <w:rPr>
                <w:sz w:val="16"/>
                <w:szCs w:val="16"/>
                <w:lang w:val="es-ES_tradnl"/>
              </w:rPr>
              <w:t>100</w:t>
            </w:r>
          </w:p>
        </w:tc>
        <w:tc>
          <w:tcPr>
            <w:tcW w:w="991" w:type="pct"/>
            <w:tcBorders>
              <w:left w:val="single" w:sz="4" w:space="0" w:color="BFBFBF" w:themeColor="background1" w:themeShade="BF"/>
              <w:right w:val="single" w:sz="4" w:space="0" w:color="BFBFBF" w:themeColor="background1" w:themeShade="BF"/>
            </w:tcBorders>
            <w:vAlign w:val="bottom"/>
          </w:tcPr>
          <w:p w:rsidR="00195BE7" w:rsidRPr="001E2F6E" w:rsidRDefault="00195BE7" w:rsidP="00195BE7">
            <w:pPr>
              <w:spacing w:line="240" w:lineRule="exact"/>
              <w:ind w:right="284"/>
              <w:jc w:val="right"/>
              <w:rPr>
                <w:sz w:val="16"/>
                <w:szCs w:val="16"/>
              </w:rPr>
            </w:pPr>
            <w:r w:rsidRPr="001E2F6E">
              <w:rPr>
                <w:sz w:val="16"/>
                <w:szCs w:val="16"/>
              </w:rPr>
              <w:t>11,7</w:t>
            </w:r>
          </w:p>
        </w:tc>
        <w:tc>
          <w:tcPr>
            <w:tcW w:w="991" w:type="pct"/>
            <w:tcBorders>
              <w:left w:val="single" w:sz="4" w:space="0" w:color="BFBFBF" w:themeColor="background1" w:themeShade="BF"/>
              <w:right w:val="single" w:sz="4" w:space="0" w:color="BFBFBF" w:themeColor="background1" w:themeShade="BF"/>
            </w:tcBorders>
            <w:vAlign w:val="bottom"/>
          </w:tcPr>
          <w:p w:rsidR="00195BE7" w:rsidRPr="001E2F6E" w:rsidRDefault="00195BE7" w:rsidP="00195BE7">
            <w:pPr>
              <w:spacing w:line="240" w:lineRule="exact"/>
              <w:ind w:right="284"/>
              <w:jc w:val="right"/>
              <w:rPr>
                <w:sz w:val="16"/>
                <w:szCs w:val="16"/>
              </w:rPr>
            </w:pPr>
            <w:r w:rsidRPr="001E2F6E">
              <w:rPr>
                <w:sz w:val="16"/>
                <w:szCs w:val="16"/>
              </w:rPr>
              <w:t>41,4</w:t>
            </w:r>
          </w:p>
        </w:tc>
        <w:tc>
          <w:tcPr>
            <w:tcW w:w="991" w:type="pct"/>
            <w:tcBorders>
              <w:left w:val="single" w:sz="4" w:space="0" w:color="BFBFBF" w:themeColor="background1" w:themeShade="BF"/>
            </w:tcBorders>
            <w:vAlign w:val="bottom"/>
          </w:tcPr>
          <w:p w:rsidR="00195BE7" w:rsidRPr="001E2F6E" w:rsidRDefault="00195BE7" w:rsidP="00195BE7">
            <w:pPr>
              <w:spacing w:line="240" w:lineRule="exact"/>
              <w:ind w:right="284"/>
              <w:jc w:val="right"/>
              <w:rPr>
                <w:sz w:val="16"/>
                <w:szCs w:val="16"/>
              </w:rPr>
            </w:pPr>
            <w:r w:rsidRPr="001E2F6E">
              <w:rPr>
                <w:sz w:val="16"/>
                <w:szCs w:val="16"/>
              </w:rPr>
              <w:t>46,9</w:t>
            </w:r>
          </w:p>
        </w:tc>
      </w:tr>
      <w:tr w:rsidR="00195BE7" w:rsidRPr="001E2F6E" w:rsidTr="00195BE7">
        <w:trPr>
          <w:jc w:val="center"/>
        </w:trPr>
        <w:tc>
          <w:tcPr>
            <w:tcW w:w="1035" w:type="pct"/>
            <w:tcBorders>
              <w:bottom w:val="single" w:sz="4" w:space="0" w:color="BFBFBF" w:themeColor="background1" w:themeShade="BF"/>
              <w:right w:val="single" w:sz="4" w:space="0" w:color="BFBFBF" w:themeColor="background1" w:themeShade="BF"/>
            </w:tcBorders>
            <w:vAlign w:val="bottom"/>
          </w:tcPr>
          <w:p w:rsidR="00195BE7" w:rsidRPr="001E2F6E" w:rsidRDefault="00195BE7" w:rsidP="00195BE7">
            <w:pPr>
              <w:spacing w:line="240" w:lineRule="exact"/>
              <w:rPr>
                <w:sz w:val="16"/>
                <w:szCs w:val="16"/>
                <w:lang w:val="eu-ES"/>
              </w:rPr>
            </w:pPr>
            <w:r w:rsidRPr="001E2F6E">
              <w:rPr>
                <w:sz w:val="16"/>
                <w:szCs w:val="16"/>
                <w:lang w:val="eu-ES"/>
              </w:rPr>
              <w:t>LSMak</w:t>
            </w:r>
          </w:p>
        </w:tc>
        <w:tc>
          <w:tcPr>
            <w:tcW w:w="992" w:type="pct"/>
            <w:tcBorders>
              <w:left w:val="single" w:sz="4" w:space="0" w:color="BFBFBF" w:themeColor="background1" w:themeShade="BF"/>
              <w:bottom w:val="single" w:sz="4" w:space="0" w:color="BFBFBF" w:themeColor="background1" w:themeShade="BF"/>
              <w:right w:val="single" w:sz="4" w:space="0" w:color="BFBFBF" w:themeColor="background1" w:themeShade="BF"/>
            </w:tcBorders>
            <w:vAlign w:val="bottom"/>
          </w:tcPr>
          <w:p w:rsidR="00195BE7" w:rsidRPr="001E2F6E" w:rsidRDefault="00195BE7" w:rsidP="00195BE7">
            <w:pPr>
              <w:spacing w:line="240" w:lineRule="exact"/>
              <w:ind w:right="284"/>
              <w:jc w:val="right"/>
              <w:rPr>
                <w:sz w:val="16"/>
                <w:szCs w:val="16"/>
              </w:rPr>
            </w:pPr>
            <w:r w:rsidRPr="001E2F6E">
              <w:rPr>
                <w:sz w:val="16"/>
                <w:szCs w:val="16"/>
                <w:lang w:val="es-ES_tradnl"/>
              </w:rPr>
              <w:t>100</w:t>
            </w:r>
          </w:p>
        </w:tc>
        <w:tc>
          <w:tcPr>
            <w:tcW w:w="991" w:type="pct"/>
            <w:tcBorders>
              <w:left w:val="single" w:sz="4" w:space="0" w:color="BFBFBF" w:themeColor="background1" w:themeShade="BF"/>
              <w:bottom w:val="single" w:sz="4" w:space="0" w:color="BFBFBF" w:themeColor="background1" w:themeShade="BF"/>
              <w:right w:val="single" w:sz="4" w:space="0" w:color="BFBFBF" w:themeColor="background1" w:themeShade="BF"/>
            </w:tcBorders>
            <w:vAlign w:val="bottom"/>
          </w:tcPr>
          <w:p w:rsidR="00195BE7" w:rsidRPr="001E2F6E" w:rsidRDefault="00195BE7" w:rsidP="00195BE7">
            <w:pPr>
              <w:spacing w:line="240" w:lineRule="exact"/>
              <w:ind w:right="284"/>
              <w:jc w:val="right"/>
              <w:rPr>
                <w:sz w:val="16"/>
                <w:szCs w:val="16"/>
              </w:rPr>
            </w:pPr>
            <w:r w:rsidRPr="001E2F6E">
              <w:rPr>
                <w:sz w:val="16"/>
                <w:szCs w:val="16"/>
              </w:rPr>
              <w:t>10,7</w:t>
            </w:r>
          </w:p>
        </w:tc>
        <w:tc>
          <w:tcPr>
            <w:tcW w:w="991" w:type="pct"/>
            <w:tcBorders>
              <w:left w:val="single" w:sz="4" w:space="0" w:color="BFBFBF" w:themeColor="background1" w:themeShade="BF"/>
              <w:bottom w:val="single" w:sz="4" w:space="0" w:color="BFBFBF" w:themeColor="background1" w:themeShade="BF"/>
              <w:right w:val="single" w:sz="4" w:space="0" w:color="BFBFBF" w:themeColor="background1" w:themeShade="BF"/>
            </w:tcBorders>
            <w:vAlign w:val="bottom"/>
          </w:tcPr>
          <w:p w:rsidR="00195BE7" w:rsidRPr="001E2F6E" w:rsidRDefault="00195BE7" w:rsidP="00195BE7">
            <w:pPr>
              <w:spacing w:line="240" w:lineRule="exact"/>
              <w:ind w:right="284"/>
              <w:jc w:val="right"/>
              <w:rPr>
                <w:sz w:val="16"/>
                <w:szCs w:val="16"/>
              </w:rPr>
            </w:pPr>
            <w:r w:rsidRPr="001E2F6E">
              <w:rPr>
                <w:sz w:val="16"/>
                <w:szCs w:val="16"/>
              </w:rPr>
              <w:t>46,0</w:t>
            </w:r>
          </w:p>
        </w:tc>
        <w:tc>
          <w:tcPr>
            <w:tcW w:w="991" w:type="pct"/>
            <w:tcBorders>
              <w:left w:val="single" w:sz="4" w:space="0" w:color="BFBFBF" w:themeColor="background1" w:themeShade="BF"/>
              <w:bottom w:val="single" w:sz="4" w:space="0" w:color="BFBFBF" w:themeColor="background1" w:themeShade="BF"/>
            </w:tcBorders>
            <w:vAlign w:val="bottom"/>
          </w:tcPr>
          <w:p w:rsidR="00195BE7" w:rsidRPr="001E2F6E" w:rsidRDefault="00195BE7" w:rsidP="00195BE7">
            <w:pPr>
              <w:spacing w:line="240" w:lineRule="exact"/>
              <w:ind w:right="284"/>
              <w:jc w:val="right"/>
              <w:rPr>
                <w:sz w:val="16"/>
                <w:szCs w:val="16"/>
              </w:rPr>
            </w:pPr>
            <w:r w:rsidRPr="001E2F6E">
              <w:rPr>
                <w:sz w:val="16"/>
                <w:szCs w:val="16"/>
              </w:rPr>
              <w:t>43,3</w:t>
            </w:r>
          </w:p>
        </w:tc>
      </w:tr>
      <w:tr w:rsidR="00195BE7" w:rsidRPr="001E2F6E" w:rsidTr="00195BE7">
        <w:trPr>
          <w:jc w:val="center"/>
        </w:trPr>
        <w:tc>
          <w:tcPr>
            <w:tcW w:w="1035" w:type="pct"/>
            <w:tcBorders>
              <w:top w:val="single" w:sz="4" w:space="0" w:color="BFBFBF" w:themeColor="background1" w:themeShade="BF"/>
              <w:bottom w:val="single" w:sz="4" w:space="0" w:color="BFBFBF" w:themeColor="background1" w:themeShade="BF"/>
              <w:right w:val="single" w:sz="4" w:space="0" w:color="BFBFBF" w:themeColor="background1" w:themeShade="BF"/>
            </w:tcBorders>
            <w:vAlign w:val="bottom"/>
          </w:tcPr>
          <w:p w:rsidR="00195BE7" w:rsidRPr="001E2F6E" w:rsidRDefault="00195BE7" w:rsidP="00195BE7">
            <w:pPr>
              <w:spacing w:line="240" w:lineRule="exact"/>
              <w:rPr>
                <w:b/>
                <w:bCs/>
                <w:sz w:val="16"/>
                <w:szCs w:val="16"/>
                <w:lang w:val="eu-ES"/>
              </w:rPr>
            </w:pPr>
            <w:r w:rsidRPr="001E2F6E">
              <w:rPr>
                <w:b/>
                <w:bCs/>
                <w:sz w:val="16"/>
                <w:szCs w:val="16"/>
                <w:lang w:val="eu-ES"/>
              </w:rPr>
              <w:t>GUZTIRA</w:t>
            </w:r>
          </w:p>
        </w:tc>
        <w:tc>
          <w:tcPr>
            <w:tcW w:w="99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bottom"/>
          </w:tcPr>
          <w:p w:rsidR="00195BE7" w:rsidRPr="001E2F6E" w:rsidRDefault="00195BE7" w:rsidP="00195BE7">
            <w:pPr>
              <w:spacing w:line="240" w:lineRule="exact"/>
              <w:ind w:right="284"/>
              <w:jc w:val="right"/>
              <w:rPr>
                <w:b/>
                <w:bCs/>
                <w:sz w:val="16"/>
                <w:szCs w:val="16"/>
              </w:rPr>
            </w:pPr>
            <w:r w:rsidRPr="001E2F6E">
              <w:rPr>
                <w:b/>
                <w:bCs/>
                <w:sz w:val="16"/>
                <w:szCs w:val="16"/>
                <w:lang w:val="es-ES_tradnl"/>
              </w:rPr>
              <w:t>100</w:t>
            </w:r>
          </w:p>
        </w:tc>
        <w:tc>
          <w:tcPr>
            <w:tcW w:w="99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bottom"/>
          </w:tcPr>
          <w:p w:rsidR="00195BE7" w:rsidRPr="001E2F6E" w:rsidRDefault="00195BE7" w:rsidP="00195BE7">
            <w:pPr>
              <w:spacing w:line="240" w:lineRule="exact"/>
              <w:ind w:right="284"/>
              <w:jc w:val="right"/>
              <w:rPr>
                <w:b/>
                <w:bCs/>
                <w:sz w:val="16"/>
                <w:szCs w:val="16"/>
              </w:rPr>
            </w:pPr>
            <w:r w:rsidRPr="001E2F6E">
              <w:rPr>
                <w:b/>
                <w:bCs/>
                <w:sz w:val="16"/>
                <w:szCs w:val="16"/>
              </w:rPr>
              <w:t>13,1</w:t>
            </w:r>
          </w:p>
        </w:tc>
        <w:tc>
          <w:tcPr>
            <w:tcW w:w="99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bottom"/>
          </w:tcPr>
          <w:p w:rsidR="00195BE7" w:rsidRPr="001E2F6E" w:rsidRDefault="00195BE7" w:rsidP="00195BE7">
            <w:pPr>
              <w:spacing w:line="240" w:lineRule="exact"/>
              <w:ind w:right="284"/>
              <w:jc w:val="right"/>
              <w:rPr>
                <w:b/>
                <w:bCs/>
                <w:sz w:val="16"/>
                <w:szCs w:val="16"/>
              </w:rPr>
            </w:pPr>
            <w:r w:rsidRPr="001E2F6E">
              <w:rPr>
                <w:b/>
                <w:bCs/>
                <w:sz w:val="16"/>
                <w:szCs w:val="16"/>
              </w:rPr>
              <w:t>50,9</w:t>
            </w:r>
          </w:p>
        </w:tc>
        <w:tc>
          <w:tcPr>
            <w:tcW w:w="991" w:type="pct"/>
            <w:tcBorders>
              <w:top w:val="single" w:sz="4" w:space="0" w:color="BFBFBF" w:themeColor="background1" w:themeShade="BF"/>
              <w:left w:val="single" w:sz="4" w:space="0" w:color="BFBFBF" w:themeColor="background1" w:themeShade="BF"/>
              <w:bottom w:val="single" w:sz="4" w:space="0" w:color="BFBFBF" w:themeColor="background1" w:themeShade="BF"/>
            </w:tcBorders>
            <w:vAlign w:val="bottom"/>
          </w:tcPr>
          <w:p w:rsidR="00195BE7" w:rsidRPr="001E2F6E" w:rsidRDefault="00195BE7" w:rsidP="00195BE7">
            <w:pPr>
              <w:spacing w:line="240" w:lineRule="exact"/>
              <w:ind w:right="284"/>
              <w:jc w:val="right"/>
              <w:rPr>
                <w:b/>
                <w:bCs/>
                <w:sz w:val="16"/>
                <w:szCs w:val="16"/>
              </w:rPr>
            </w:pPr>
            <w:r w:rsidRPr="001E2F6E">
              <w:rPr>
                <w:b/>
                <w:bCs/>
                <w:sz w:val="16"/>
                <w:szCs w:val="16"/>
              </w:rPr>
              <w:t>36,0</w:t>
            </w:r>
          </w:p>
        </w:tc>
      </w:tr>
    </w:tbl>
    <w:p w:rsidR="00195BE7" w:rsidRPr="001E2F6E" w:rsidRDefault="00195BE7" w:rsidP="00195BE7">
      <w:pPr>
        <w:spacing w:line="240" w:lineRule="auto"/>
        <w:rPr>
          <w:lang w:val="es-ES_tradnl"/>
        </w:rPr>
      </w:pPr>
    </w:p>
    <w:p w:rsidR="00195BE7" w:rsidRPr="001E2F6E" w:rsidRDefault="00195BE7" w:rsidP="00195BE7">
      <w:pPr>
        <w:spacing w:line="240" w:lineRule="auto"/>
      </w:pPr>
    </w:p>
    <w:p w:rsidR="00195BE7" w:rsidRPr="001E2F6E" w:rsidRDefault="00195BE7" w:rsidP="00195BE7">
      <w:pPr>
        <w:pStyle w:val="Ttulo1"/>
        <w:ind w:left="708" w:hanging="708"/>
        <w:rPr>
          <w:color w:val="1F497D" w:themeColor="text2"/>
          <w:sz w:val="22"/>
          <w:szCs w:val="22"/>
        </w:rPr>
      </w:pPr>
      <w:bookmarkStart w:id="67" w:name="_Toc391565479"/>
      <w:bookmarkStart w:id="68" w:name="_Toc391989008"/>
      <w:bookmarkStart w:id="69" w:name="_Toc392585671"/>
      <w:r w:rsidRPr="001E2F6E">
        <w:rPr>
          <w:color w:val="1F497D" w:themeColor="text2"/>
          <w:sz w:val="22"/>
          <w:szCs w:val="22"/>
        </w:rPr>
        <w:t xml:space="preserve">1.2.2.- </w:t>
      </w:r>
      <w:bookmarkEnd w:id="67"/>
      <w:r w:rsidRPr="001E2F6E">
        <w:rPr>
          <w:color w:val="1F497D" w:themeColor="text2"/>
          <w:sz w:val="22"/>
          <w:szCs w:val="22"/>
          <w:lang w:val="eu-ES"/>
        </w:rPr>
        <w:t>Kontratu bidezko harreman-motak</w:t>
      </w:r>
      <w:bookmarkEnd w:id="68"/>
      <w:bookmarkEnd w:id="69"/>
    </w:p>
    <w:p w:rsidR="00195BE7" w:rsidRPr="001E2F6E" w:rsidRDefault="00195BE7" w:rsidP="00195BE7">
      <w:pPr>
        <w:pStyle w:val="ARIALNARROW"/>
        <w:rPr>
          <w:color w:val="1F497D" w:themeColor="text2"/>
          <w:sz w:val="18"/>
          <w:szCs w:val="18"/>
          <w:lang w:val="eu-ES"/>
        </w:rPr>
      </w:pPr>
    </w:p>
    <w:p w:rsidR="00195BE7" w:rsidRPr="001E2F6E" w:rsidRDefault="00195BE7" w:rsidP="00195BE7">
      <w:pPr>
        <w:pStyle w:val="Textoindependiente2"/>
        <w:spacing w:after="0" w:line="240" w:lineRule="auto"/>
        <w:jc w:val="center"/>
        <w:rPr>
          <w:b/>
          <w:color w:val="1F497D" w:themeColor="text2"/>
          <w:sz w:val="18"/>
          <w:szCs w:val="18"/>
        </w:rPr>
      </w:pPr>
      <w:bookmarkStart w:id="70" w:name="_Toc391989087"/>
      <w:bookmarkStart w:id="71" w:name="_Toc392585751"/>
      <w:r w:rsidRPr="001E2F6E">
        <w:rPr>
          <w:b/>
          <w:color w:val="1F497D" w:themeColor="text2"/>
          <w:sz w:val="18"/>
          <w:szCs w:val="18"/>
        </w:rPr>
        <w:t>1.</w:t>
      </w:r>
      <w:r w:rsidR="00EB6BA6" w:rsidRPr="001E2F6E">
        <w:rPr>
          <w:b/>
          <w:color w:val="1F497D" w:themeColor="text2"/>
          <w:sz w:val="18"/>
          <w:szCs w:val="18"/>
        </w:rPr>
        <w:fldChar w:fldCharType="begin"/>
      </w:r>
      <w:r w:rsidRPr="001E2F6E">
        <w:rPr>
          <w:b/>
          <w:color w:val="1F497D" w:themeColor="text2"/>
          <w:sz w:val="18"/>
          <w:szCs w:val="18"/>
        </w:rPr>
        <w:instrText xml:space="preserve"> SEQ Cuadro_1. \* ARABIC </w:instrText>
      </w:r>
      <w:r w:rsidR="00EB6BA6" w:rsidRPr="001E2F6E">
        <w:rPr>
          <w:b/>
          <w:color w:val="1F497D" w:themeColor="text2"/>
          <w:sz w:val="18"/>
          <w:szCs w:val="18"/>
        </w:rPr>
        <w:fldChar w:fldCharType="separate"/>
      </w:r>
      <w:r w:rsidR="00A327D4">
        <w:rPr>
          <w:b/>
          <w:noProof/>
          <w:color w:val="1F497D" w:themeColor="text2"/>
          <w:sz w:val="18"/>
          <w:szCs w:val="18"/>
        </w:rPr>
        <w:t>16</w:t>
      </w:r>
      <w:r w:rsidR="00EB6BA6" w:rsidRPr="001E2F6E">
        <w:rPr>
          <w:b/>
          <w:color w:val="1F497D" w:themeColor="text2"/>
          <w:sz w:val="18"/>
          <w:szCs w:val="18"/>
        </w:rPr>
        <w:fldChar w:fldCharType="end"/>
      </w:r>
      <w:r w:rsidRPr="001E2F6E">
        <w:rPr>
          <w:b/>
          <w:color w:val="1F497D" w:themeColor="text2"/>
          <w:sz w:val="18"/>
          <w:szCs w:val="18"/>
        </w:rPr>
        <w:t xml:space="preserve"> Taula </w:t>
      </w:r>
      <w:r w:rsidRPr="001E2F6E">
        <w:rPr>
          <w:b/>
          <w:color w:val="1F497D" w:themeColor="text2"/>
          <w:sz w:val="18"/>
          <w:szCs w:val="18"/>
          <w:lang w:val="eu-ES"/>
        </w:rPr>
        <w:t xml:space="preserve">ENPLEGUAREN BANAKETA, KONTRATU BIDEZKO HARREMANETAN ETA ESTABLEZIMENDUAREN FORMA JURIDIKOAREN ARABERA. 2012 </w:t>
      </w:r>
      <w:bookmarkEnd w:id="70"/>
      <w:r w:rsidRPr="001E2F6E">
        <w:rPr>
          <w:b/>
          <w:color w:val="1F497D" w:themeColor="text2"/>
          <w:sz w:val="18"/>
          <w:szCs w:val="18"/>
          <w:lang w:val="eu-ES"/>
        </w:rPr>
        <w:t>(% horizontalak)</w:t>
      </w:r>
      <w:bookmarkEnd w:id="71"/>
    </w:p>
    <w:tbl>
      <w:tblPr>
        <w:tblW w:w="5000" w:type="pct"/>
        <w:jc w:val="center"/>
        <w:tblLook w:val="04A0" w:firstRow="1" w:lastRow="0" w:firstColumn="1" w:lastColumn="0" w:noHBand="0" w:noVBand="1"/>
      </w:tblPr>
      <w:tblGrid>
        <w:gridCol w:w="1434"/>
        <w:gridCol w:w="1515"/>
        <w:gridCol w:w="1514"/>
        <w:gridCol w:w="1514"/>
        <w:gridCol w:w="1514"/>
        <w:gridCol w:w="1513"/>
      </w:tblGrid>
      <w:tr w:rsidR="00195BE7" w:rsidRPr="001E2F6E" w:rsidTr="00195BE7">
        <w:trPr>
          <w:jc w:val="center"/>
        </w:trPr>
        <w:tc>
          <w:tcPr>
            <w:tcW w:w="796"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tcPr>
          <w:p w:rsidR="00195BE7" w:rsidRPr="001E2F6E" w:rsidRDefault="00195BE7" w:rsidP="00195BE7">
            <w:pPr>
              <w:spacing w:line="240" w:lineRule="exact"/>
              <w:rPr>
                <w:bCs/>
                <w:sz w:val="16"/>
                <w:szCs w:val="16"/>
              </w:rPr>
            </w:pPr>
            <w:r w:rsidRPr="001E2F6E">
              <w:rPr>
                <w:bCs/>
                <w:sz w:val="16"/>
                <w:szCs w:val="16"/>
                <w:lang w:val="es-ES_tradnl"/>
              </w:rPr>
              <w:t> </w:t>
            </w:r>
          </w:p>
        </w:tc>
        <w:tc>
          <w:tcPr>
            <w:tcW w:w="84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tcPr>
          <w:p w:rsidR="00195BE7" w:rsidRPr="001E2F6E" w:rsidRDefault="00195BE7" w:rsidP="00195BE7">
            <w:pPr>
              <w:spacing w:line="240" w:lineRule="auto"/>
              <w:jc w:val="center"/>
              <w:rPr>
                <w:b/>
                <w:bCs/>
                <w:sz w:val="16"/>
                <w:szCs w:val="16"/>
                <w:lang w:val="eu-ES"/>
              </w:rPr>
            </w:pPr>
            <w:r w:rsidRPr="001E2F6E">
              <w:rPr>
                <w:b/>
                <w:bCs/>
                <w:sz w:val="16"/>
                <w:szCs w:val="16"/>
                <w:lang w:val="eu-ES"/>
              </w:rPr>
              <w:t>GUZTIRA</w:t>
            </w:r>
          </w:p>
        </w:tc>
        <w:tc>
          <w:tcPr>
            <w:tcW w:w="84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tcPr>
          <w:p w:rsidR="00195BE7" w:rsidRPr="001E2F6E" w:rsidRDefault="00195BE7" w:rsidP="00195BE7">
            <w:pPr>
              <w:spacing w:line="240" w:lineRule="auto"/>
              <w:jc w:val="center"/>
              <w:rPr>
                <w:b/>
                <w:bCs/>
                <w:sz w:val="16"/>
                <w:szCs w:val="16"/>
                <w:lang w:val="eu-ES"/>
              </w:rPr>
            </w:pPr>
            <w:r w:rsidRPr="001E2F6E">
              <w:rPr>
                <w:b/>
                <w:bCs/>
                <w:sz w:val="16"/>
                <w:szCs w:val="16"/>
                <w:lang w:val="eu-ES"/>
              </w:rPr>
              <w:t>Kideak</w:t>
            </w:r>
          </w:p>
        </w:tc>
        <w:tc>
          <w:tcPr>
            <w:tcW w:w="84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tcPr>
          <w:p w:rsidR="00195BE7" w:rsidRPr="001E2F6E" w:rsidRDefault="00195BE7" w:rsidP="00195BE7">
            <w:pPr>
              <w:spacing w:line="240" w:lineRule="auto"/>
              <w:jc w:val="center"/>
              <w:rPr>
                <w:b/>
                <w:bCs/>
                <w:sz w:val="16"/>
                <w:szCs w:val="16"/>
                <w:lang w:val="eu-ES"/>
              </w:rPr>
            </w:pPr>
            <w:r w:rsidRPr="001E2F6E">
              <w:rPr>
                <w:b/>
                <w:bCs/>
                <w:sz w:val="16"/>
                <w:szCs w:val="16"/>
                <w:lang w:val="eu-ES"/>
              </w:rPr>
              <w:t>Soldatapekoak</w:t>
            </w:r>
          </w:p>
        </w:tc>
        <w:tc>
          <w:tcPr>
            <w:tcW w:w="84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tcPr>
          <w:p w:rsidR="00195BE7" w:rsidRPr="001E2F6E" w:rsidRDefault="00195BE7" w:rsidP="00195BE7">
            <w:pPr>
              <w:spacing w:line="240" w:lineRule="auto"/>
              <w:jc w:val="center"/>
              <w:rPr>
                <w:b/>
                <w:bCs/>
                <w:sz w:val="16"/>
                <w:szCs w:val="16"/>
                <w:lang w:val="eu-ES"/>
              </w:rPr>
            </w:pPr>
            <w:r w:rsidRPr="001E2F6E">
              <w:rPr>
                <w:b/>
                <w:bCs/>
                <w:sz w:val="16"/>
                <w:szCs w:val="16"/>
                <w:lang w:val="eu-ES"/>
              </w:rPr>
              <w:t>Finkoak</w:t>
            </w:r>
          </w:p>
        </w:tc>
        <w:tc>
          <w:tcPr>
            <w:tcW w:w="840"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vAlign w:val="center"/>
          </w:tcPr>
          <w:p w:rsidR="00195BE7" w:rsidRPr="001E2F6E" w:rsidRDefault="00195BE7" w:rsidP="00195BE7">
            <w:pPr>
              <w:spacing w:line="240" w:lineRule="auto"/>
              <w:jc w:val="center"/>
              <w:rPr>
                <w:b/>
                <w:bCs/>
                <w:sz w:val="16"/>
                <w:szCs w:val="16"/>
                <w:lang w:val="eu-ES"/>
              </w:rPr>
            </w:pPr>
            <w:r w:rsidRPr="001E2F6E">
              <w:rPr>
                <w:b/>
                <w:bCs/>
                <w:sz w:val="16"/>
                <w:szCs w:val="16"/>
                <w:lang w:val="eu-ES"/>
              </w:rPr>
              <w:t>Behin-behinekoak</w:t>
            </w:r>
          </w:p>
        </w:tc>
      </w:tr>
      <w:tr w:rsidR="00195BE7" w:rsidRPr="001E2F6E" w:rsidTr="00195BE7">
        <w:trPr>
          <w:jc w:val="center"/>
        </w:trPr>
        <w:tc>
          <w:tcPr>
            <w:tcW w:w="796" w:type="pct"/>
            <w:tcBorders>
              <w:top w:val="single" w:sz="4" w:space="0" w:color="BFBFBF" w:themeColor="background1" w:themeShade="BF"/>
              <w:right w:val="single" w:sz="4" w:space="0" w:color="BFBFBF" w:themeColor="background1" w:themeShade="BF"/>
            </w:tcBorders>
            <w:vAlign w:val="bottom"/>
          </w:tcPr>
          <w:p w:rsidR="00195BE7" w:rsidRPr="001E2F6E" w:rsidRDefault="00195BE7" w:rsidP="00195BE7">
            <w:pPr>
              <w:spacing w:line="240" w:lineRule="auto"/>
              <w:rPr>
                <w:sz w:val="16"/>
                <w:szCs w:val="16"/>
                <w:lang w:val="eu-ES"/>
              </w:rPr>
            </w:pPr>
            <w:r w:rsidRPr="001E2F6E">
              <w:rPr>
                <w:sz w:val="16"/>
                <w:szCs w:val="16"/>
                <w:lang w:val="eu-ES"/>
              </w:rPr>
              <w:t>KOOP</w:t>
            </w:r>
          </w:p>
        </w:tc>
        <w:tc>
          <w:tcPr>
            <w:tcW w:w="841" w:type="pct"/>
            <w:tcBorders>
              <w:top w:val="single" w:sz="4" w:space="0" w:color="BFBFBF" w:themeColor="background1" w:themeShade="BF"/>
              <w:left w:val="single" w:sz="4" w:space="0" w:color="BFBFBF" w:themeColor="background1" w:themeShade="BF"/>
              <w:right w:val="single" w:sz="4" w:space="0" w:color="BFBFBF" w:themeColor="background1" w:themeShade="BF"/>
            </w:tcBorders>
          </w:tcPr>
          <w:p w:rsidR="00195BE7" w:rsidRPr="001E2F6E" w:rsidRDefault="00195BE7" w:rsidP="00195BE7">
            <w:pPr>
              <w:spacing w:line="240" w:lineRule="exact"/>
              <w:ind w:right="170"/>
              <w:jc w:val="right"/>
              <w:rPr>
                <w:sz w:val="16"/>
                <w:szCs w:val="16"/>
                <w:lang w:val="en-GB"/>
              </w:rPr>
            </w:pPr>
            <w:r w:rsidRPr="001E2F6E">
              <w:rPr>
                <w:sz w:val="16"/>
                <w:szCs w:val="16"/>
                <w:lang w:val="en-GB"/>
              </w:rPr>
              <w:t>100</w:t>
            </w:r>
          </w:p>
        </w:tc>
        <w:tc>
          <w:tcPr>
            <w:tcW w:w="841" w:type="pct"/>
            <w:tcBorders>
              <w:top w:val="single" w:sz="4" w:space="0" w:color="BFBFBF" w:themeColor="background1" w:themeShade="BF"/>
              <w:left w:val="single" w:sz="4" w:space="0" w:color="BFBFBF" w:themeColor="background1" w:themeShade="BF"/>
              <w:right w:val="single" w:sz="4" w:space="0" w:color="BFBFBF" w:themeColor="background1" w:themeShade="BF"/>
            </w:tcBorders>
          </w:tcPr>
          <w:p w:rsidR="00195BE7" w:rsidRPr="001E2F6E" w:rsidRDefault="00195BE7" w:rsidP="00195BE7">
            <w:pPr>
              <w:spacing w:line="240" w:lineRule="exact"/>
              <w:ind w:right="170"/>
              <w:jc w:val="right"/>
              <w:rPr>
                <w:sz w:val="16"/>
                <w:szCs w:val="16"/>
              </w:rPr>
            </w:pPr>
            <w:r w:rsidRPr="001E2F6E">
              <w:rPr>
                <w:sz w:val="16"/>
                <w:szCs w:val="16"/>
              </w:rPr>
              <w:t>71,5</w:t>
            </w:r>
          </w:p>
        </w:tc>
        <w:tc>
          <w:tcPr>
            <w:tcW w:w="841" w:type="pct"/>
            <w:tcBorders>
              <w:top w:val="single" w:sz="4" w:space="0" w:color="BFBFBF" w:themeColor="background1" w:themeShade="BF"/>
              <w:left w:val="single" w:sz="4" w:space="0" w:color="BFBFBF" w:themeColor="background1" w:themeShade="BF"/>
              <w:right w:val="single" w:sz="4" w:space="0" w:color="BFBFBF" w:themeColor="background1" w:themeShade="BF"/>
            </w:tcBorders>
          </w:tcPr>
          <w:p w:rsidR="00195BE7" w:rsidRPr="001E2F6E" w:rsidRDefault="00195BE7" w:rsidP="00195BE7">
            <w:pPr>
              <w:spacing w:line="240" w:lineRule="exact"/>
              <w:ind w:right="170"/>
              <w:jc w:val="right"/>
              <w:rPr>
                <w:sz w:val="16"/>
                <w:szCs w:val="16"/>
              </w:rPr>
            </w:pPr>
            <w:r w:rsidRPr="001E2F6E">
              <w:rPr>
                <w:sz w:val="16"/>
                <w:szCs w:val="16"/>
              </w:rPr>
              <w:t>28,5</w:t>
            </w:r>
          </w:p>
        </w:tc>
        <w:tc>
          <w:tcPr>
            <w:tcW w:w="841" w:type="pct"/>
            <w:tcBorders>
              <w:top w:val="single" w:sz="4" w:space="0" w:color="BFBFBF" w:themeColor="background1" w:themeShade="BF"/>
              <w:left w:val="single" w:sz="4" w:space="0" w:color="BFBFBF" w:themeColor="background1" w:themeShade="BF"/>
              <w:right w:val="single" w:sz="4" w:space="0" w:color="BFBFBF" w:themeColor="background1" w:themeShade="BF"/>
            </w:tcBorders>
          </w:tcPr>
          <w:p w:rsidR="00195BE7" w:rsidRPr="001E2F6E" w:rsidRDefault="00195BE7" w:rsidP="00195BE7">
            <w:pPr>
              <w:spacing w:line="240" w:lineRule="exact"/>
              <w:ind w:right="170"/>
              <w:jc w:val="right"/>
              <w:rPr>
                <w:sz w:val="16"/>
                <w:szCs w:val="16"/>
              </w:rPr>
            </w:pPr>
            <w:r w:rsidRPr="001E2F6E">
              <w:rPr>
                <w:sz w:val="16"/>
                <w:szCs w:val="16"/>
              </w:rPr>
              <w:t>13,0</w:t>
            </w:r>
          </w:p>
        </w:tc>
        <w:tc>
          <w:tcPr>
            <w:tcW w:w="840" w:type="pct"/>
            <w:tcBorders>
              <w:top w:val="single" w:sz="4" w:space="0" w:color="BFBFBF" w:themeColor="background1" w:themeShade="BF"/>
              <w:left w:val="single" w:sz="4" w:space="0" w:color="BFBFBF" w:themeColor="background1" w:themeShade="BF"/>
            </w:tcBorders>
          </w:tcPr>
          <w:p w:rsidR="00195BE7" w:rsidRPr="001E2F6E" w:rsidRDefault="00195BE7" w:rsidP="00195BE7">
            <w:pPr>
              <w:spacing w:line="240" w:lineRule="exact"/>
              <w:ind w:right="170"/>
              <w:jc w:val="right"/>
              <w:rPr>
                <w:sz w:val="16"/>
                <w:szCs w:val="16"/>
              </w:rPr>
            </w:pPr>
            <w:r w:rsidRPr="001E2F6E">
              <w:rPr>
                <w:sz w:val="16"/>
                <w:szCs w:val="16"/>
              </w:rPr>
              <w:t>15,5</w:t>
            </w:r>
          </w:p>
        </w:tc>
      </w:tr>
      <w:tr w:rsidR="00195BE7" w:rsidRPr="001E2F6E" w:rsidTr="00195BE7">
        <w:trPr>
          <w:jc w:val="center"/>
        </w:trPr>
        <w:tc>
          <w:tcPr>
            <w:tcW w:w="796" w:type="pct"/>
            <w:tcBorders>
              <w:right w:val="single" w:sz="4" w:space="0" w:color="BFBFBF" w:themeColor="background1" w:themeShade="BF"/>
            </w:tcBorders>
            <w:vAlign w:val="bottom"/>
          </w:tcPr>
          <w:p w:rsidR="00195BE7" w:rsidRPr="001E2F6E" w:rsidRDefault="00195BE7" w:rsidP="00195BE7">
            <w:pPr>
              <w:spacing w:line="240" w:lineRule="auto"/>
              <w:rPr>
                <w:sz w:val="16"/>
                <w:szCs w:val="16"/>
                <w:lang w:val="eu-ES"/>
              </w:rPr>
            </w:pPr>
            <w:r w:rsidRPr="001E2F6E">
              <w:rPr>
                <w:sz w:val="16"/>
                <w:szCs w:val="16"/>
                <w:lang w:val="eu-ES"/>
              </w:rPr>
              <w:t>LSAak</w:t>
            </w:r>
          </w:p>
        </w:tc>
        <w:tc>
          <w:tcPr>
            <w:tcW w:w="841" w:type="pct"/>
            <w:tcBorders>
              <w:left w:val="single" w:sz="4" w:space="0" w:color="BFBFBF" w:themeColor="background1" w:themeShade="BF"/>
              <w:right w:val="single" w:sz="4" w:space="0" w:color="BFBFBF" w:themeColor="background1" w:themeShade="BF"/>
            </w:tcBorders>
          </w:tcPr>
          <w:p w:rsidR="00195BE7" w:rsidRPr="001E2F6E" w:rsidRDefault="00195BE7" w:rsidP="00195BE7">
            <w:pPr>
              <w:spacing w:line="240" w:lineRule="exact"/>
              <w:ind w:right="170"/>
              <w:jc w:val="right"/>
              <w:rPr>
                <w:sz w:val="16"/>
                <w:szCs w:val="16"/>
              </w:rPr>
            </w:pPr>
            <w:r w:rsidRPr="001E2F6E">
              <w:rPr>
                <w:sz w:val="16"/>
                <w:szCs w:val="16"/>
              </w:rPr>
              <w:t>100</w:t>
            </w:r>
          </w:p>
        </w:tc>
        <w:tc>
          <w:tcPr>
            <w:tcW w:w="841" w:type="pct"/>
            <w:tcBorders>
              <w:left w:val="single" w:sz="4" w:space="0" w:color="BFBFBF" w:themeColor="background1" w:themeShade="BF"/>
              <w:right w:val="single" w:sz="4" w:space="0" w:color="BFBFBF" w:themeColor="background1" w:themeShade="BF"/>
            </w:tcBorders>
          </w:tcPr>
          <w:p w:rsidR="00195BE7" w:rsidRPr="001E2F6E" w:rsidRDefault="00195BE7" w:rsidP="00195BE7">
            <w:pPr>
              <w:spacing w:line="240" w:lineRule="exact"/>
              <w:ind w:right="170"/>
              <w:jc w:val="right"/>
              <w:rPr>
                <w:sz w:val="16"/>
                <w:szCs w:val="16"/>
              </w:rPr>
            </w:pPr>
            <w:r w:rsidRPr="001E2F6E">
              <w:rPr>
                <w:sz w:val="16"/>
                <w:szCs w:val="16"/>
              </w:rPr>
              <w:t>59,3</w:t>
            </w:r>
          </w:p>
        </w:tc>
        <w:tc>
          <w:tcPr>
            <w:tcW w:w="841" w:type="pct"/>
            <w:tcBorders>
              <w:left w:val="single" w:sz="4" w:space="0" w:color="BFBFBF" w:themeColor="background1" w:themeShade="BF"/>
              <w:right w:val="single" w:sz="4" w:space="0" w:color="BFBFBF" w:themeColor="background1" w:themeShade="BF"/>
            </w:tcBorders>
          </w:tcPr>
          <w:p w:rsidR="00195BE7" w:rsidRPr="001E2F6E" w:rsidRDefault="00195BE7" w:rsidP="00195BE7">
            <w:pPr>
              <w:spacing w:line="240" w:lineRule="exact"/>
              <w:ind w:right="170"/>
              <w:jc w:val="right"/>
              <w:rPr>
                <w:sz w:val="16"/>
                <w:szCs w:val="16"/>
              </w:rPr>
            </w:pPr>
            <w:r w:rsidRPr="001E2F6E">
              <w:rPr>
                <w:sz w:val="16"/>
                <w:szCs w:val="16"/>
              </w:rPr>
              <w:t>40,7</w:t>
            </w:r>
          </w:p>
        </w:tc>
        <w:tc>
          <w:tcPr>
            <w:tcW w:w="841" w:type="pct"/>
            <w:tcBorders>
              <w:left w:val="single" w:sz="4" w:space="0" w:color="BFBFBF" w:themeColor="background1" w:themeShade="BF"/>
              <w:right w:val="single" w:sz="4" w:space="0" w:color="BFBFBF" w:themeColor="background1" w:themeShade="BF"/>
            </w:tcBorders>
          </w:tcPr>
          <w:p w:rsidR="00195BE7" w:rsidRPr="001E2F6E" w:rsidRDefault="00195BE7" w:rsidP="00195BE7">
            <w:pPr>
              <w:spacing w:line="240" w:lineRule="exact"/>
              <w:ind w:right="170"/>
              <w:jc w:val="right"/>
              <w:rPr>
                <w:sz w:val="16"/>
                <w:szCs w:val="16"/>
              </w:rPr>
            </w:pPr>
            <w:r w:rsidRPr="001E2F6E">
              <w:rPr>
                <w:sz w:val="16"/>
                <w:szCs w:val="16"/>
              </w:rPr>
              <w:t>27,2</w:t>
            </w:r>
          </w:p>
        </w:tc>
        <w:tc>
          <w:tcPr>
            <w:tcW w:w="840" w:type="pct"/>
            <w:tcBorders>
              <w:left w:val="single" w:sz="4" w:space="0" w:color="BFBFBF" w:themeColor="background1" w:themeShade="BF"/>
            </w:tcBorders>
          </w:tcPr>
          <w:p w:rsidR="00195BE7" w:rsidRPr="001E2F6E" w:rsidRDefault="00195BE7" w:rsidP="00195BE7">
            <w:pPr>
              <w:spacing w:line="240" w:lineRule="exact"/>
              <w:ind w:right="170"/>
              <w:jc w:val="right"/>
              <w:rPr>
                <w:sz w:val="16"/>
                <w:szCs w:val="16"/>
              </w:rPr>
            </w:pPr>
            <w:r w:rsidRPr="001E2F6E">
              <w:rPr>
                <w:sz w:val="16"/>
                <w:szCs w:val="16"/>
              </w:rPr>
              <w:t>13,5</w:t>
            </w:r>
          </w:p>
        </w:tc>
      </w:tr>
      <w:tr w:rsidR="00195BE7" w:rsidRPr="001E2F6E" w:rsidTr="00195BE7">
        <w:trPr>
          <w:jc w:val="center"/>
        </w:trPr>
        <w:tc>
          <w:tcPr>
            <w:tcW w:w="796" w:type="pct"/>
            <w:tcBorders>
              <w:bottom w:val="single" w:sz="4" w:space="0" w:color="BFBFBF" w:themeColor="background1" w:themeShade="BF"/>
              <w:right w:val="single" w:sz="4" w:space="0" w:color="BFBFBF" w:themeColor="background1" w:themeShade="BF"/>
            </w:tcBorders>
            <w:vAlign w:val="bottom"/>
          </w:tcPr>
          <w:p w:rsidR="00195BE7" w:rsidRPr="001E2F6E" w:rsidRDefault="00195BE7" w:rsidP="00195BE7">
            <w:pPr>
              <w:spacing w:line="240" w:lineRule="auto"/>
              <w:rPr>
                <w:sz w:val="16"/>
                <w:szCs w:val="16"/>
                <w:lang w:val="eu-ES"/>
              </w:rPr>
            </w:pPr>
            <w:r w:rsidRPr="001E2F6E">
              <w:rPr>
                <w:sz w:val="16"/>
                <w:szCs w:val="16"/>
                <w:lang w:val="eu-ES"/>
              </w:rPr>
              <w:t>LSMak</w:t>
            </w:r>
          </w:p>
        </w:tc>
        <w:tc>
          <w:tcPr>
            <w:tcW w:w="841" w:type="pct"/>
            <w:tcBorders>
              <w:left w:val="single" w:sz="4" w:space="0" w:color="BFBFBF" w:themeColor="background1" w:themeShade="BF"/>
              <w:bottom w:val="single" w:sz="4" w:space="0" w:color="BFBFBF" w:themeColor="background1" w:themeShade="BF"/>
              <w:right w:val="single" w:sz="4" w:space="0" w:color="BFBFBF" w:themeColor="background1" w:themeShade="BF"/>
            </w:tcBorders>
          </w:tcPr>
          <w:p w:rsidR="00195BE7" w:rsidRPr="001E2F6E" w:rsidRDefault="00195BE7" w:rsidP="00195BE7">
            <w:pPr>
              <w:spacing w:line="240" w:lineRule="exact"/>
              <w:ind w:right="170"/>
              <w:jc w:val="right"/>
              <w:rPr>
                <w:sz w:val="16"/>
                <w:szCs w:val="16"/>
              </w:rPr>
            </w:pPr>
            <w:r w:rsidRPr="001E2F6E">
              <w:rPr>
                <w:sz w:val="16"/>
                <w:szCs w:val="16"/>
              </w:rPr>
              <w:t>100</w:t>
            </w:r>
          </w:p>
        </w:tc>
        <w:tc>
          <w:tcPr>
            <w:tcW w:w="841" w:type="pct"/>
            <w:tcBorders>
              <w:left w:val="single" w:sz="4" w:space="0" w:color="BFBFBF" w:themeColor="background1" w:themeShade="BF"/>
              <w:bottom w:val="single" w:sz="4" w:space="0" w:color="BFBFBF" w:themeColor="background1" w:themeShade="BF"/>
              <w:right w:val="single" w:sz="4" w:space="0" w:color="BFBFBF" w:themeColor="background1" w:themeShade="BF"/>
            </w:tcBorders>
          </w:tcPr>
          <w:p w:rsidR="00195BE7" w:rsidRPr="001E2F6E" w:rsidRDefault="00195BE7" w:rsidP="00195BE7">
            <w:pPr>
              <w:spacing w:line="240" w:lineRule="exact"/>
              <w:ind w:right="170"/>
              <w:jc w:val="right"/>
              <w:rPr>
                <w:sz w:val="16"/>
                <w:szCs w:val="16"/>
              </w:rPr>
            </w:pPr>
            <w:r w:rsidRPr="001E2F6E">
              <w:rPr>
                <w:sz w:val="16"/>
                <w:szCs w:val="16"/>
              </w:rPr>
              <w:t>68,0</w:t>
            </w:r>
          </w:p>
        </w:tc>
        <w:tc>
          <w:tcPr>
            <w:tcW w:w="841" w:type="pct"/>
            <w:tcBorders>
              <w:left w:val="single" w:sz="4" w:space="0" w:color="BFBFBF" w:themeColor="background1" w:themeShade="BF"/>
              <w:bottom w:val="single" w:sz="4" w:space="0" w:color="BFBFBF" w:themeColor="background1" w:themeShade="BF"/>
              <w:right w:val="single" w:sz="4" w:space="0" w:color="BFBFBF" w:themeColor="background1" w:themeShade="BF"/>
            </w:tcBorders>
          </w:tcPr>
          <w:p w:rsidR="00195BE7" w:rsidRPr="001E2F6E" w:rsidRDefault="00195BE7" w:rsidP="00195BE7">
            <w:pPr>
              <w:spacing w:line="240" w:lineRule="exact"/>
              <w:ind w:right="170"/>
              <w:jc w:val="right"/>
              <w:rPr>
                <w:sz w:val="16"/>
                <w:szCs w:val="16"/>
              </w:rPr>
            </w:pPr>
            <w:r w:rsidRPr="001E2F6E">
              <w:rPr>
                <w:sz w:val="16"/>
                <w:szCs w:val="16"/>
              </w:rPr>
              <w:t>32,0</w:t>
            </w:r>
          </w:p>
        </w:tc>
        <w:tc>
          <w:tcPr>
            <w:tcW w:w="841" w:type="pct"/>
            <w:tcBorders>
              <w:left w:val="single" w:sz="4" w:space="0" w:color="BFBFBF" w:themeColor="background1" w:themeShade="BF"/>
              <w:bottom w:val="single" w:sz="4" w:space="0" w:color="BFBFBF" w:themeColor="background1" w:themeShade="BF"/>
              <w:right w:val="single" w:sz="4" w:space="0" w:color="BFBFBF" w:themeColor="background1" w:themeShade="BF"/>
            </w:tcBorders>
          </w:tcPr>
          <w:p w:rsidR="00195BE7" w:rsidRPr="001E2F6E" w:rsidRDefault="00195BE7" w:rsidP="00195BE7">
            <w:pPr>
              <w:spacing w:line="240" w:lineRule="exact"/>
              <w:ind w:right="170"/>
              <w:jc w:val="right"/>
              <w:rPr>
                <w:sz w:val="16"/>
                <w:szCs w:val="16"/>
              </w:rPr>
            </w:pPr>
            <w:r w:rsidRPr="001E2F6E">
              <w:rPr>
                <w:sz w:val="16"/>
                <w:szCs w:val="16"/>
              </w:rPr>
              <w:t>17,5</w:t>
            </w:r>
          </w:p>
        </w:tc>
        <w:tc>
          <w:tcPr>
            <w:tcW w:w="840" w:type="pct"/>
            <w:tcBorders>
              <w:left w:val="single" w:sz="4" w:space="0" w:color="BFBFBF" w:themeColor="background1" w:themeShade="BF"/>
              <w:bottom w:val="single" w:sz="4" w:space="0" w:color="BFBFBF" w:themeColor="background1" w:themeShade="BF"/>
            </w:tcBorders>
          </w:tcPr>
          <w:p w:rsidR="00195BE7" w:rsidRPr="001E2F6E" w:rsidRDefault="00195BE7" w:rsidP="00195BE7">
            <w:pPr>
              <w:spacing w:line="240" w:lineRule="exact"/>
              <w:ind w:right="170"/>
              <w:jc w:val="right"/>
              <w:rPr>
                <w:sz w:val="16"/>
                <w:szCs w:val="16"/>
              </w:rPr>
            </w:pPr>
            <w:r w:rsidRPr="001E2F6E">
              <w:rPr>
                <w:sz w:val="16"/>
                <w:szCs w:val="16"/>
              </w:rPr>
              <w:t>14,5</w:t>
            </w:r>
          </w:p>
        </w:tc>
      </w:tr>
      <w:tr w:rsidR="00195BE7" w:rsidRPr="001E2F6E" w:rsidTr="00195BE7">
        <w:trPr>
          <w:jc w:val="center"/>
        </w:trPr>
        <w:tc>
          <w:tcPr>
            <w:tcW w:w="796" w:type="pct"/>
            <w:tcBorders>
              <w:top w:val="single" w:sz="4" w:space="0" w:color="BFBFBF" w:themeColor="background1" w:themeShade="BF"/>
              <w:bottom w:val="single" w:sz="4" w:space="0" w:color="BFBFBF" w:themeColor="background1" w:themeShade="BF"/>
              <w:right w:val="single" w:sz="4" w:space="0" w:color="BFBFBF" w:themeColor="background1" w:themeShade="BF"/>
            </w:tcBorders>
          </w:tcPr>
          <w:p w:rsidR="00195BE7" w:rsidRPr="001E2F6E" w:rsidRDefault="00195BE7" w:rsidP="00195BE7">
            <w:pPr>
              <w:spacing w:line="240" w:lineRule="exact"/>
              <w:rPr>
                <w:b/>
                <w:bCs/>
                <w:sz w:val="16"/>
                <w:szCs w:val="16"/>
                <w:lang w:val="eu-ES"/>
              </w:rPr>
            </w:pPr>
            <w:r w:rsidRPr="001E2F6E">
              <w:rPr>
                <w:b/>
                <w:bCs/>
                <w:sz w:val="16"/>
                <w:szCs w:val="16"/>
                <w:lang w:val="eu-ES"/>
              </w:rPr>
              <w:t>GUZTIRA</w:t>
            </w:r>
          </w:p>
        </w:tc>
        <w:tc>
          <w:tcPr>
            <w:tcW w:w="84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195BE7" w:rsidRPr="001E2F6E" w:rsidRDefault="00195BE7" w:rsidP="00195BE7">
            <w:pPr>
              <w:spacing w:line="240" w:lineRule="exact"/>
              <w:ind w:right="170"/>
              <w:jc w:val="right"/>
              <w:rPr>
                <w:b/>
                <w:bCs/>
                <w:sz w:val="16"/>
                <w:szCs w:val="16"/>
              </w:rPr>
            </w:pPr>
            <w:r w:rsidRPr="001E2F6E">
              <w:rPr>
                <w:b/>
                <w:bCs/>
                <w:sz w:val="16"/>
                <w:szCs w:val="16"/>
                <w:lang w:val="es-ES_tradnl"/>
              </w:rPr>
              <w:t>100</w:t>
            </w:r>
          </w:p>
        </w:tc>
        <w:tc>
          <w:tcPr>
            <w:tcW w:w="84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195BE7" w:rsidRPr="001E2F6E" w:rsidRDefault="00195BE7" w:rsidP="00195BE7">
            <w:pPr>
              <w:spacing w:line="240" w:lineRule="exact"/>
              <w:ind w:right="170"/>
              <w:jc w:val="right"/>
              <w:rPr>
                <w:b/>
                <w:bCs/>
                <w:sz w:val="16"/>
                <w:szCs w:val="16"/>
              </w:rPr>
            </w:pPr>
            <w:r w:rsidRPr="001E2F6E">
              <w:rPr>
                <w:b/>
                <w:bCs/>
                <w:sz w:val="16"/>
                <w:szCs w:val="16"/>
              </w:rPr>
              <w:t>70,4</w:t>
            </w:r>
          </w:p>
        </w:tc>
        <w:tc>
          <w:tcPr>
            <w:tcW w:w="84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195BE7" w:rsidRPr="001E2F6E" w:rsidRDefault="00195BE7" w:rsidP="00195BE7">
            <w:pPr>
              <w:spacing w:line="240" w:lineRule="exact"/>
              <w:ind w:right="170"/>
              <w:jc w:val="right"/>
              <w:rPr>
                <w:b/>
                <w:bCs/>
                <w:sz w:val="16"/>
                <w:szCs w:val="16"/>
              </w:rPr>
            </w:pPr>
            <w:r w:rsidRPr="001E2F6E">
              <w:rPr>
                <w:b/>
                <w:bCs/>
                <w:sz w:val="16"/>
                <w:szCs w:val="16"/>
              </w:rPr>
              <w:t>29,6</w:t>
            </w:r>
          </w:p>
        </w:tc>
        <w:tc>
          <w:tcPr>
            <w:tcW w:w="84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195BE7" w:rsidRPr="001E2F6E" w:rsidRDefault="00195BE7" w:rsidP="00195BE7">
            <w:pPr>
              <w:spacing w:line="240" w:lineRule="exact"/>
              <w:ind w:right="170"/>
              <w:jc w:val="right"/>
              <w:rPr>
                <w:b/>
                <w:bCs/>
                <w:sz w:val="16"/>
                <w:szCs w:val="16"/>
              </w:rPr>
            </w:pPr>
            <w:r w:rsidRPr="001E2F6E">
              <w:rPr>
                <w:b/>
                <w:bCs/>
                <w:sz w:val="16"/>
                <w:szCs w:val="16"/>
              </w:rPr>
              <w:t>14,3</w:t>
            </w:r>
          </w:p>
        </w:tc>
        <w:tc>
          <w:tcPr>
            <w:tcW w:w="840" w:type="pct"/>
            <w:tcBorders>
              <w:top w:val="single" w:sz="4" w:space="0" w:color="BFBFBF" w:themeColor="background1" w:themeShade="BF"/>
              <w:left w:val="single" w:sz="4" w:space="0" w:color="BFBFBF" w:themeColor="background1" w:themeShade="BF"/>
              <w:bottom w:val="single" w:sz="4" w:space="0" w:color="BFBFBF" w:themeColor="background1" w:themeShade="BF"/>
            </w:tcBorders>
          </w:tcPr>
          <w:p w:rsidR="00195BE7" w:rsidRPr="001E2F6E" w:rsidRDefault="00195BE7" w:rsidP="00195BE7">
            <w:pPr>
              <w:spacing w:line="240" w:lineRule="exact"/>
              <w:ind w:right="170"/>
              <w:jc w:val="right"/>
              <w:rPr>
                <w:b/>
                <w:bCs/>
                <w:sz w:val="16"/>
                <w:szCs w:val="16"/>
              </w:rPr>
            </w:pPr>
            <w:r w:rsidRPr="001E2F6E">
              <w:rPr>
                <w:b/>
                <w:bCs/>
                <w:sz w:val="16"/>
                <w:szCs w:val="16"/>
              </w:rPr>
              <w:t>15,3</w:t>
            </w:r>
          </w:p>
        </w:tc>
      </w:tr>
    </w:tbl>
    <w:p w:rsidR="00195BE7" w:rsidRPr="001E2F6E" w:rsidRDefault="00195BE7" w:rsidP="00195BE7">
      <w:pPr>
        <w:pStyle w:val="ARIALNARROW"/>
        <w:rPr>
          <w:sz w:val="18"/>
          <w:szCs w:val="18"/>
        </w:rPr>
      </w:pPr>
    </w:p>
    <w:p w:rsidR="00195BE7" w:rsidRPr="001E2F6E" w:rsidRDefault="00195BE7" w:rsidP="00195BE7">
      <w:pPr>
        <w:spacing w:after="200" w:line="276" w:lineRule="auto"/>
        <w:jc w:val="left"/>
        <w:rPr>
          <w:rFonts w:eastAsia="Times New Roman"/>
          <w:sz w:val="18"/>
          <w:szCs w:val="18"/>
          <w:lang w:val="es-ES_tradnl" w:eastAsia="es-ES"/>
        </w:rPr>
      </w:pPr>
      <w:r w:rsidRPr="001E2F6E">
        <w:rPr>
          <w:sz w:val="18"/>
          <w:szCs w:val="18"/>
        </w:rPr>
        <w:br w:type="page"/>
      </w:r>
    </w:p>
    <w:p w:rsidR="00195BE7" w:rsidRPr="001E2F6E" w:rsidRDefault="00195BE7" w:rsidP="00195BE7">
      <w:pPr>
        <w:spacing w:line="240" w:lineRule="auto"/>
        <w:ind w:left="227" w:hanging="227"/>
        <w:jc w:val="center"/>
        <w:rPr>
          <w:rFonts w:ascii="Times New Roman" w:hAnsi="Times New Roman" w:cs="Times New Roman"/>
          <w:color w:val="1F497D" w:themeColor="text2"/>
          <w:sz w:val="24"/>
          <w:szCs w:val="24"/>
          <w:lang w:val="eu-ES" w:eastAsia="es-ES"/>
        </w:rPr>
      </w:pPr>
      <w:bookmarkStart w:id="72" w:name="_Toc392585752"/>
      <w:r w:rsidRPr="001E2F6E">
        <w:rPr>
          <w:b/>
          <w:color w:val="1F497D" w:themeColor="text2"/>
          <w:sz w:val="18"/>
          <w:szCs w:val="18"/>
        </w:rPr>
        <w:lastRenderedPageBreak/>
        <w:t>1.</w:t>
      </w:r>
      <w:r w:rsidR="00EB6BA6" w:rsidRPr="001E2F6E">
        <w:rPr>
          <w:b/>
          <w:color w:val="1F497D" w:themeColor="text2"/>
          <w:sz w:val="18"/>
          <w:szCs w:val="18"/>
        </w:rPr>
        <w:fldChar w:fldCharType="begin"/>
      </w:r>
      <w:r w:rsidRPr="001E2F6E">
        <w:rPr>
          <w:b/>
          <w:color w:val="1F497D" w:themeColor="text2"/>
          <w:sz w:val="18"/>
          <w:szCs w:val="18"/>
        </w:rPr>
        <w:instrText xml:space="preserve"> SEQ Cuadro_1. \* ARABIC </w:instrText>
      </w:r>
      <w:r w:rsidR="00EB6BA6" w:rsidRPr="001E2F6E">
        <w:rPr>
          <w:b/>
          <w:color w:val="1F497D" w:themeColor="text2"/>
          <w:sz w:val="18"/>
          <w:szCs w:val="18"/>
        </w:rPr>
        <w:fldChar w:fldCharType="separate"/>
      </w:r>
      <w:r w:rsidR="00A327D4">
        <w:rPr>
          <w:b/>
          <w:noProof/>
          <w:color w:val="1F497D" w:themeColor="text2"/>
          <w:sz w:val="18"/>
          <w:szCs w:val="18"/>
        </w:rPr>
        <w:t>17</w:t>
      </w:r>
      <w:r w:rsidR="00EB6BA6" w:rsidRPr="001E2F6E">
        <w:rPr>
          <w:b/>
          <w:color w:val="1F497D" w:themeColor="text2"/>
          <w:sz w:val="18"/>
          <w:szCs w:val="18"/>
        </w:rPr>
        <w:fldChar w:fldCharType="end"/>
      </w:r>
      <w:r w:rsidRPr="001E2F6E">
        <w:rPr>
          <w:b/>
          <w:color w:val="1F497D" w:themeColor="text2"/>
          <w:sz w:val="18"/>
          <w:szCs w:val="18"/>
        </w:rPr>
        <w:t xml:space="preserve"> Taula </w:t>
      </w:r>
      <w:r w:rsidRPr="001E2F6E">
        <w:rPr>
          <w:b/>
          <w:bCs/>
          <w:noProof/>
          <w:color w:val="1F497D" w:themeColor="text2"/>
          <w:sz w:val="18"/>
          <w:szCs w:val="18"/>
          <w:lang w:val="eu-ES"/>
        </w:rPr>
        <w:t>ENPLEGU-BANAKETA FORMA JURIDIKOAREN ETA KONTRATU-MOTAREN ARABERA EAE-KO GIZARTE EKONOMIAN, 2006-2012 (kopuru absolutuak)</w:t>
      </w:r>
      <w:bookmarkEnd w:id="72"/>
    </w:p>
    <w:tbl>
      <w:tblPr>
        <w:tblW w:w="5000" w:type="pct"/>
        <w:jc w:val="center"/>
        <w:tblCellMar>
          <w:left w:w="70" w:type="dxa"/>
          <w:right w:w="70" w:type="dxa"/>
        </w:tblCellMar>
        <w:tblLook w:val="00A0" w:firstRow="1" w:lastRow="0" w:firstColumn="1" w:lastColumn="0" w:noHBand="0" w:noVBand="0"/>
      </w:tblPr>
      <w:tblGrid>
        <w:gridCol w:w="1785"/>
        <w:gridCol w:w="1785"/>
        <w:gridCol w:w="1786"/>
        <w:gridCol w:w="1786"/>
        <w:gridCol w:w="1786"/>
      </w:tblGrid>
      <w:tr w:rsidR="00195BE7" w:rsidRPr="001E2F6E" w:rsidTr="00195BE7">
        <w:trPr>
          <w:jc w:val="center"/>
        </w:trPr>
        <w:tc>
          <w:tcPr>
            <w:tcW w:w="1000" w:type="pct"/>
            <w:tcBorders>
              <w:top w:val="single" w:sz="4" w:space="0" w:color="BFBFBF"/>
              <w:bottom w:val="single" w:sz="4" w:space="0" w:color="BFBFBF"/>
              <w:right w:val="single" w:sz="4" w:space="0" w:color="BFBFBF"/>
            </w:tcBorders>
            <w:shd w:val="clear" w:color="auto" w:fill="DBE5F1"/>
            <w:vAlign w:val="bottom"/>
          </w:tcPr>
          <w:p w:rsidR="00195BE7" w:rsidRPr="001E2F6E" w:rsidRDefault="00195BE7" w:rsidP="00195BE7">
            <w:pPr>
              <w:spacing w:line="240" w:lineRule="exact"/>
              <w:jc w:val="left"/>
              <w:rPr>
                <w:rFonts w:ascii="Calibri" w:hAnsi="Calibri" w:cs="Calibri"/>
                <w:sz w:val="22"/>
                <w:lang w:val="eu-ES" w:eastAsia="es-ES"/>
              </w:rPr>
            </w:pPr>
            <w:r w:rsidRPr="001E2F6E">
              <w:rPr>
                <w:rFonts w:ascii="Calibri" w:hAnsi="Calibri" w:cs="Calibri"/>
                <w:sz w:val="22"/>
                <w:lang w:val="eu-ES" w:eastAsia="es-ES"/>
              </w:rPr>
              <w:t> </w:t>
            </w:r>
          </w:p>
        </w:tc>
        <w:tc>
          <w:tcPr>
            <w:tcW w:w="1000" w:type="pct"/>
            <w:tcBorders>
              <w:top w:val="single" w:sz="4" w:space="0" w:color="BFBFBF"/>
              <w:left w:val="single" w:sz="4" w:space="0" w:color="BFBFBF"/>
              <w:bottom w:val="single" w:sz="4" w:space="0" w:color="BFBFBF"/>
              <w:right w:val="single" w:sz="4" w:space="0" w:color="BFBFBF"/>
            </w:tcBorders>
            <w:shd w:val="clear" w:color="auto" w:fill="DBE5F1"/>
            <w:vAlign w:val="bottom"/>
          </w:tcPr>
          <w:p w:rsidR="00195BE7" w:rsidRPr="001E2F6E" w:rsidRDefault="00195BE7" w:rsidP="00195BE7">
            <w:pPr>
              <w:spacing w:line="240" w:lineRule="exact"/>
              <w:jc w:val="center"/>
              <w:rPr>
                <w:b/>
                <w:bCs/>
                <w:sz w:val="16"/>
                <w:szCs w:val="16"/>
                <w:lang w:eastAsia="es-ES"/>
              </w:rPr>
            </w:pPr>
            <w:r w:rsidRPr="001E2F6E">
              <w:rPr>
                <w:b/>
                <w:bCs/>
                <w:sz w:val="16"/>
                <w:szCs w:val="16"/>
                <w:lang w:val="eu-ES" w:eastAsia="es-ES"/>
              </w:rPr>
              <w:t>Bazkideak</w:t>
            </w:r>
          </w:p>
        </w:tc>
        <w:tc>
          <w:tcPr>
            <w:tcW w:w="1000" w:type="pct"/>
            <w:tcBorders>
              <w:top w:val="single" w:sz="4" w:space="0" w:color="BFBFBF"/>
              <w:left w:val="single" w:sz="4" w:space="0" w:color="BFBFBF"/>
              <w:bottom w:val="single" w:sz="4" w:space="0" w:color="BFBFBF"/>
              <w:right w:val="single" w:sz="4" w:space="0" w:color="BFBFBF"/>
            </w:tcBorders>
            <w:shd w:val="clear" w:color="auto" w:fill="DBE5F1"/>
            <w:vAlign w:val="bottom"/>
          </w:tcPr>
          <w:p w:rsidR="00195BE7" w:rsidRPr="001E2F6E" w:rsidRDefault="00195BE7" w:rsidP="00195BE7">
            <w:pPr>
              <w:spacing w:line="240" w:lineRule="exact"/>
              <w:jc w:val="center"/>
              <w:rPr>
                <w:b/>
                <w:bCs/>
                <w:sz w:val="16"/>
                <w:szCs w:val="16"/>
                <w:lang w:eastAsia="es-ES"/>
              </w:rPr>
            </w:pPr>
            <w:r w:rsidRPr="001E2F6E">
              <w:rPr>
                <w:b/>
                <w:bCs/>
                <w:sz w:val="16"/>
                <w:szCs w:val="16"/>
                <w:lang w:val="eu-ES" w:eastAsia="es-ES"/>
              </w:rPr>
              <w:t>Soldatapekoak</w:t>
            </w:r>
          </w:p>
        </w:tc>
        <w:tc>
          <w:tcPr>
            <w:tcW w:w="1000" w:type="pct"/>
            <w:tcBorders>
              <w:top w:val="single" w:sz="4" w:space="0" w:color="BFBFBF"/>
              <w:left w:val="single" w:sz="4" w:space="0" w:color="BFBFBF"/>
              <w:bottom w:val="single" w:sz="4" w:space="0" w:color="BFBFBF"/>
              <w:right w:val="single" w:sz="4" w:space="0" w:color="BFBFBF"/>
            </w:tcBorders>
            <w:shd w:val="clear" w:color="auto" w:fill="DBE5F1"/>
            <w:vAlign w:val="bottom"/>
          </w:tcPr>
          <w:p w:rsidR="00195BE7" w:rsidRPr="001E2F6E" w:rsidRDefault="00195BE7" w:rsidP="00195BE7">
            <w:pPr>
              <w:spacing w:line="240" w:lineRule="exact"/>
              <w:jc w:val="center"/>
              <w:rPr>
                <w:b/>
                <w:bCs/>
                <w:sz w:val="16"/>
                <w:szCs w:val="16"/>
                <w:lang w:eastAsia="es-ES"/>
              </w:rPr>
            </w:pPr>
            <w:r w:rsidRPr="001E2F6E">
              <w:rPr>
                <w:b/>
                <w:bCs/>
                <w:sz w:val="16"/>
                <w:szCs w:val="16"/>
                <w:lang w:val="eu-ES" w:eastAsia="es-ES"/>
              </w:rPr>
              <w:t>Finkoak</w:t>
            </w:r>
          </w:p>
        </w:tc>
        <w:tc>
          <w:tcPr>
            <w:tcW w:w="1000" w:type="pct"/>
            <w:tcBorders>
              <w:top w:val="single" w:sz="4" w:space="0" w:color="BFBFBF"/>
              <w:left w:val="single" w:sz="4" w:space="0" w:color="BFBFBF"/>
              <w:bottom w:val="single" w:sz="4" w:space="0" w:color="BFBFBF"/>
            </w:tcBorders>
            <w:shd w:val="clear" w:color="auto" w:fill="DBE5F1"/>
            <w:vAlign w:val="bottom"/>
          </w:tcPr>
          <w:p w:rsidR="00195BE7" w:rsidRPr="001E2F6E" w:rsidRDefault="00195BE7" w:rsidP="00195BE7">
            <w:pPr>
              <w:spacing w:line="240" w:lineRule="exact"/>
              <w:jc w:val="center"/>
              <w:rPr>
                <w:b/>
                <w:bCs/>
                <w:sz w:val="16"/>
                <w:szCs w:val="16"/>
                <w:lang w:eastAsia="es-ES"/>
              </w:rPr>
            </w:pPr>
            <w:r w:rsidRPr="001E2F6E">
              <w:rPr>
                <w:b/>
                <w:bCs/>
                <w:sz w:val="16"/>
                <w:szCs w:val="16"/>
                <w:lang w:val="eu-ES" w:eastAsia="es-ES"/>
              </w:rPr>
              <w:t>Aldi baterakoak</w:t>
            </w:r>
          </w:p>
        </w:tc>
      </w:tr>
      <w:tr w:rsidR="00195BE7" w:rsidRPr="001E2F6E" w:rsidTr="00195BE7">
        <w:trPr>
          <w:jc w:val="center"/>
        </w:trPr>
        <w:tc>
          <w:tcPr>
            <w:tcW w:w="1000" w:type="pct"/>
            <w:tcBorders>
              <w:top w:val="single" w:sz="4" w:space="0" w:color="BFBFBF"/>
              <w:right w:val="single" w:sz="4" w:space="0" w:color="BFBFBF"/>
            </w:tcBorders>
            <w:vAlign w:val="bottom"/>
          </w:tcPr>
          <w:p w:rsidR="00195BE7" w:rsidRPr="001E2F6E" w:rsidRDefault="00195BE7" w:rsidP="00195BE7">
            <w:pPr>
              <w:spacing w:line="240" w:lineRule="exact"/>
              <w:rPr>
                <w:b/>
                <w:bCs/>
                <w:sz w:val="16"/>
                <w:szCs w:val="16"/>
                <w:lang w:eastAsia="es-ES"/>
              </w:rPr>
            </w:pPr>
            <w:r w:rsidRPr="001E2F6E">
              <w:rPr>
                <w:b/>
                <w:bCs/>
                <w:sz w:val="16"/>
                <w:szCs w:val="16"/>
                <w:lang w:val="eu-ES" w:eastAsia="es-ES"/>
              </w:rPr>
              <w:t>KOOP.ELK.</w:t>
            </w:r>
          </w:p>
        </w:tc>
        <w:tc>
          <w:tcPr>
            <w:tcW w:w="1000" w:type="pct"/>
            <w:tcBorders>
              <w:top w:val="single" w:sz="4" w:space="0" w:color="BFBFBF"/>
              <w:left w:val="single" w:sz="4" w:space="0" w:color="BFBFBF"/>
              <w:right w:val="single" w:sz="4" w:space="0" w:color="BFBFBF"/>
            </w:tcBorders>
            <w:vAlign w:val="bottom"/>
          </w:tcPr>
          <w:p w:rsidR="00195BE7" w:rsidRPr="001E2F6E" w:rsidRDefault="00195BE7" w:rsidP="00195BE7">
            <w:pPr>
              <w:spacing w:line="240" w:lineRule="exact"/>
              <w:jc w:val="left"/>
              <w:rPr>
                <w:rFonts w:ascii="Calibri" w:hAnsi="Calibri" w:cs="Calibri"/>
                <w:sz w:val="22"/>
                <w:lang w:eastAsia="es-ES"/>
              </w:rPr>
            </w:pPr>
            <w:r w:rsidRPr="001E2F6E">
              <w:rPr>
                <w:rFonts w:ascii="Calibri" w:hAnsi="Calibri" w:cs="Calibri"/>
                <w:sz w:val="22"/>
                <w:lang w:eastAsia="es-ES"/>
              </w:rPr>
              <w:t> </w:t>
            </w:r>
          </w:p>
        </w:tc>
        <w:tc>
          <w:tcPr>
            <w:tcW w:w="1000" w:type="pct"/>
            <w:tcBorders>
              <w:top w:val="single" w:sz="4" w:space="0" w:color="BFBFBF"/>
              <w:left w:val="single" w:sz="4" w:space="0" w:color="BFBFBF"/>
              <w:right w:val="single" w:sz="4" w:space="0" w:color="BFBFBF"/>
            </w:tcBorders>
            <w:vAlign w:val="bottom"/>
          </w:tcPr>
          <w:p w:rsidR="00195BE7" w:rsidRPr="001E2F6E" w:rsidRDefault="00195BE7" w:rsidP="00195BE7">
            <w:pPr>
              <w:spacing w:line="240" w:lineRule="exact"/>
              <w:jc w:val="left"/>
              <w:rPr>
                <w:rFonts w:ascii="Calibri" w:hAnsi="Calibri" w:cs="Calibri"/>
                <w:sz w:val="22"/>
                <w:lang w:eastAsia="es-ES"/>
              </w:rPr>
            </w:pPr>
            <w:r w:rsidRPr="001E2F6E">
              <w:rPr>
                <w:rFonts w:ascii="Calibri" w:hAnsi="Calibri" w:cs="Calibri"/>
                <w:sz w:val="22"/>
                <w:lang w:eastAsia="es-ES"/>
              </w:rPr>
              <w:t> </w:t>
            </w:r>
          </w:p>
        </w:tc>
        <w:tc>
          <w:tcPr>
            <w:tcW w:w="1000" w:type="pct"/>
            <w:tcBorders>
              <w:top w:val="single" w:sz="4" w:space="0" w:color="BFBFBF"/>
              <w:left w:val="single" w:sz="4" w:space="0" w:color="BFBFBF"/>
              <w:right w:val="single" w:sz="4" w:space="0" w:color="BFBFBF"/>
            </w:tcBorders>
            <w:vAlign w:val="bottom"/>
          </w:tcPr>
          <w:p w:rsidR="00195BE7" w:rsidRPr="001E2F6E" w:rsidRDefault="00195BE7" w:rsidP="00195BE7">
            <w:pPr>
              <w:spacing w:line="240" w:lineRule="exact"/>
              <w:jc w:val="left"/>
              <w:rPr>
                <w:rFonts w:ascii="Calibri" w:hAnsi="Calibri" w:cs="Calibri"/>
                <w:sz w:val="22"/>
                <w:lang w:eastAsia="es-ES"/>
              </w:rPr>
            </w:pPr>
            <w:r w:rsidRPr="001E2F6E">
              <w:rPr>
                <w:rFonts w:ascii="Calibri" w:hAnsi="Calibri" w:cs="Calibri"/>
                <w:sz w:val="22"/>
                <w:lang w:eastAsia="es-ES"/>
              </w:rPr>
              <w:t> </w:t>
            </w:r>
          </w:p>
        </w:tc>
        <w:tc>
          <w:tcPr>
            <w:tcW w:w="1000" w:type="pct"/>
            <w:tcBorders>
              <w:top w:val="single" w:sz="4" w:space="0" w:color="BFBFBF"/>
              <w:left w:val="single" w:sz="4" w:space="0" w:color="BFBFBF"/>
            </w:tcBorders>
            <w:vAlign w:val="bottom"/>
          </w:tcPr>
          <w:p w:rsidR="00195BE7" w:rsidRPr="001E2F6E" w:rsidRDefault="00195BE7" w:rsidP="00195BE7">
            <w:pPr>
              <w:spacing w:line="240" w:lineRule="exact"/>
              <w:jc w:val="left"/>
              <w:rPr>
                <w:rFonts w:ascii="Calibri" w:hAnsi="Calibri" w:cs="Calibri"/>
                <w:sz w:val="22"/>
                <w:lang w:eastAsia="es-ES"/>
              </w:rPr>
            </w:pPr>
            <w:r w:rsidRPr="001E2F6E">
              <w:rPr>
                <w:rFonts w:ascii="Calibri" w:hAnsi="Calibri" w:cs="Calibri"/>
                <w:sz w:val="22"/>
                <w:lang w:eastAsia="es-ES"/>
              </w:rPr>
              <w:t> </w:t>
            </w:r>
          </w:p>
        </w:tc>
      </w:tr>
      <w:tr w:rsidR="00195BE7" w:rsidRPr="001E2F6E" w:rsidTr="00195BE7">
        <w:trPr>
          <w:jc w:val="center"/>
        </w:trPr>
        <w:tc>
          <w:tcPr>
            <w:tcW w:w="1000" w:type="pct"/>
            <w:tcBorders>
              <w:right w:val="single" w:sz="4" w:space="0" w:color="BFBFBF"/>
            </w:tcBorders>
            <w:vAlign w:val="bottom"/>
          </w:tcPr>
          <w:p w:rsidR="00195BE7" w:rsidRPr="001E2F6E" w:rsidRDefault="00195BE7" w:rsidP="00195BE7">
            <w:pPr>
              <w:spacing w:line="240" w:lineRule="exact"/>
              <w:rPr>
                <w:sz w:val="16"/>
                <w:szCs w:val="16"/>
                <w:lang w:eastAsia="es-ES"/>
              </w:rPr>
            </w:pPr>
            <w:r w:rsidRPr="001E2F6E">
              <w:rPr>
                <w:sz w:val="16"/>
                <w:szCs w:val="16"/>
                <w:lang w:eastAsia="es-ES"/>
              </w:rPr>
              <w:t>2006</w:t>
            </w:r>
          </w:p>
        </w:tc>
        <w:tc>
          <w:tcPr>
            <w:tcW w:w="1000" w:type="pct"/>
            <w:tcBorders>
              <w:left w:val="single" w:sz="4" w:space="0" w:color="BFBFBF"/>
              <w:right w:val="single" w:sz="4" w:space="0" w:color="BFBFBF"/>
            </w:tcBorders>
            <w:vAlign w:val="bottom"/>
          </w:tcPr>
          <w:p w:rsidR="00195BE7" w:rsidRPr="001E2F6E" w:rsidRDefault="00195BE7" w:rsidP="00195BE7">
            <w:pPr>
              <w:spacing w:line="240" w:lineRule="exact"/>
              <w:ind w:right="170"/>
              <w:jc w:val="right"/>
              <w:rPr>
                <w:sz w:val="16"/>
                <w:szCs w:val="16"/>
                <w:lang w:eastAsia="es-ES"/>
              </w:rPr>
            </w:pPr>
            <w:r w:rsidRPr="001E2F6E">
              <w:rPr>
                <w:sz w:val="16"/>
                <w:szCs w:val="16"/>
                <w:lang w:eastAsia="es-ES"/>
              </w:rPr>
              <w:t>34.746</w:t>
            </w:r>
          </w:p>
        </w:tc>
        <w:tc>
          <w:tcPr>
            <w:tcW w:w="1000" w:type="pct"/>
            <w:tcBorders>
              <w:left w:val="single" w:sz="4" w:space="0" w:color="BFBFBF"/>
              <w:right w:val="single" w:sz="4" w:space="0" w:color="BFBFBF"/>
            </w:tcBorders>
            <w:vAlign w:val="bottom"/>
          </w:tcPr>
          <w:p w:rsidR="00195BE7" w:rsidRPr="001E2F6E" w:rsidRDefault="00195BE7" w:rsidP="00195BE7">
            <w:pPr>
              <w:spacing w:line="240" w:lineRule="exact"/>
              <w:ind w:right="170"/>
              <w:jc w:val="right"/>
              <w:rPr>
                <w:sz w:val="16"/>
                <w:szCs w:val="16"/>
                <w:lang w:eastAsia="es-ES"/>
              </w:rPr>
            </w:pPr>
            <w:r w:rsidRPr="001E2F6E">
              <w:rPr>
                <w:sz w:val="16"/>
                <w:szCs w:val="16"/>
                <w:lang w:eastAsia="es-ES"/>
              </w:rPr>
              <w:t>15.405</w:t>
            </w:r>
          </w:p>
        </w:tc>
        <w:tc>
          <w:tcPr>
            <w:tcW w:w="1000" w:type="pct"/>
            <w:tcBorders>
              <w:left w:val="single" w:sz="4" w:space="0" w:color="BFBFBF"/>
              <w:right w:val="single" w:sz="4" w:space="0" w:color="BFBFBF"/>
            </w:tcBorders>
            <w:vAlign w:val="bottom"/>
          </w:tcPr>
          <w:p w:rsidR="00195BE7" w:rsidRPr="001E2F6E" w:rsidRDefault="00195BE7" w:rsidP="00195BE7">
            <w:pPr>
              <w:spacing w:line="240" w:lineRule="exact"/>
              <w:ind w:right="170"/>
              <w:jc w:val="right"/>
              <w:rPr>
                <w:sz w:val="16"/>
                <w:szCs w:val="16"/>
                <w:lang w:eastAsia="es-ES"/>
              </w:rPr>
            </w:pPr>
            <w:r w:rsidRPr="001E2F6E">
              <w:rPr>
                <w:sz w:val="16"/>
                <w:szCs w:val="16"/>
                <w:lang w:eastAsia="es-ES"/>
              </w:rPr>
              <w:t>4.999</w:t>
            </w:r>
          </w:p>
        </w:tc>
        <w:tc>
          <w:tcPr>
            <w:tcW w:w="1000" w:type="pct"/>
            <w:tcBorders>
              <w:left w:val="single" w:sz="4" w:space="0" w:color="BFBFBF"/>
            </w:tcBorders>
            <w:vAlign w:val="bottom"/>
          </w:tcPr>
          <w:p w:rsidR="00195BE7" w:rsidRPr="001E2F6E" w:rsidRDefault="00195BE7" w:rsidP="00195BE7">
            <w:pPr>
              <w:spacing w:line="240" w:lineRule="exact"/>
              <w:ind w:right="170"/>
              <w:jc w:val="right"/>
              <w:rPr>
                <w:sz w:val="16"/>
                <w:szCs w:val="16"/>
                <w:lang w:eastAsia="es-ES"/>
              </w:rPr>
            </w:pPr>
            <w:r w:rsidRPr="001E2F6E">
              <w:rPr>
                <w:sz w:val="16"/>
                <w:szCs w:val="16"/>
                <w:lang w:eastAsia="es-ES"/>
              </w:rPr>
              <w:t>10.406</w:t>
            </w:r>
          </w:p>
        </w:tc>
      </w:tr>
      <w:tr w:rsidR="00195BE7" w:rsidRPr="001E2F6E" w:rsidTr="00195BE7">
        <w:trPr>
          <w:jc w:val="center"/>
        </w:trPr>
        <w:tc>
          <w:tcPr>
            <w:tcW w:w="1000" w:type="pct"/>
            <w:tcBorders>
              <w:right w:val="single" w:sz="4" w:space="0" w:color="BFBFBF"/>
            </w:tcBorders>
            <w:vAlign w:val="bottom"/>
          </w:tcPr>
          <w:p w:rsidR="00195BE7" w:rsidRPr="001E2F6E" w:rsidRDefault="00195BE7" w:rsidP="00195BE7">
            <w:pPr>
              <w:spacing w:line="240" w:lineRule="exact"/>
              <w:rPr>
                <w:sz w:val="16"/>
                <w:szCs w:val="16"/>
                <w:lang w:eastAsia="es-ES"/>
              </w:rPr>
            </w:pPr>
            <w:r w:rsidRPr="001E2F6E">
              <w:rPr>
                <w:sz w:val="16"/>
                <w:szCs w:val="16"/>
                <w:lang w:eastAsia="es-ES"/>
              </w:rPr>
              <w:t>2008</w:t>
            </w:r>
          </w:p>
        </w:tc>
        <w:tc>
          <w:tcPr>
            <w:tcW w:w="1000" w:type="pct"/>
            <w:tcBorders>
              <w:left w:val="single" w:sz="4" w:space="0" w:color="BFBFBF"/>
              <w:right w:val="single" w:sz="4" w:space="0" w:color="BFBFBF"/>
            </w:tcBorders>
            <w:vAlign w:val="bottom"/>
          </w:tcPr>
          <w:p w:rsidR="00195BE7" w:rsidRPr="001E2F6E" w:rsidRDefault="00195BE7" w:rsidP="00195BE7">
            <w:pPr>
              <w:spacing w:line="240" w:lineRule="exact"/>
              <w:ind w:right="170"/>
              <w:jc w:val="right"/>
              <w:rPr>
                <w:sz w:val="16"/>
                <w:szCs w:val="16"/>
                <w:lang w:eastAsia="es-ES"/>
              </w:rPr>
            </w:pPr>
            <w:r w:rsidRPr="001E2F6E">
              <w:rPr>
                <w:sz w:val="16"/>
                <w:szCs w:val="16"/>
                <w:lang w:eastAsia="es-ES"/>
              </w:rPr>
              <w:t>34.710</w:t>
            </w:r>
          </w:p>
        </w:tc>
        <w:tc>
          <w:tcPr>
            <w:tcW w:w="1000" w:type="pct"/>
            <w:tcBorders>
              <w:left w:val="single" w:sz="4" w:space="0" w:color="BFBFBF"/>
              <w:right w:val="single" w:sz="4" w:space="0" w:color="BFBFBF"/>
            </w:tcBorders>
            <w:vAlign w:val="bottom"/>
          </w:tcPr>
          <w:p w:rsidR="00195BE7" w:rsidRPr="001E2F6E" w:rsidRDefault="00195BE7" w:rsidP="00195BE7">
            <w:pPr>
              <w:spacing w:line="240" w:lineRule="exact"/>
              <w:ind w:right="170"/>
              <w:jc w:val="right"/>
              <w:rPr>
                <w:sz w:val="16"/>
                <w:szCs w:val="16"/>
                <w:lang w:eastAsia="es-ES"/>
              </w:rPr>
            </w:pPr>
            <w:r w:rsidRPr="001E2F6E">
              <w:rPr>
                <w:sz w:val="16"/>
                <w:szCs w:val="16"/>
                <w:lang w:eastAsia="es-ES"/>
              </w:rPr>
              <w:t>15.649</w:t>
            </w:r>
          </w:p>
        </w:tc>
        <w:tc>
          <w:tcPr>
            <w:tcW w:w="1000" w:type="pct"/>
            <w:tcBorders>
              <w:left w:val="single" w:sz="4" w:space="0" w:color="BFBFBF"/>
              <w:right w:val="single" w:sz="4" w:space="0" w:color="BFBFBF"/>
            </w:tcBorders>
            <w:vAlign w:val="bottom"/>
          </w:tcPr>
          <w:p w:rsidR="00195BE7" w:rsidRPr="001E2F6E" w:rsidRDefault="00195BE7" w:rsidP="00195BE7">
            <w:pPr>
              <w:spacing w:line="240" w:lineRule="exact"/>
              <w:ind w:right="170"/>
              <w:jc w:val="right"/>
              <w:rPr>
                <w:sz w:val="16"/>
                <w:szCs w:val="16"/>
                <w:lang w:eastAsia="es-ES"/>
              </w:rPr>
            </w:pPr>
            <w:r w:rsidRPr="001E2F6E">
              <w:rPr>
                <w:sz w:val="16"/>
                <w:szCs w:val="16"/>
                <w:lang w:eastAsia="es-ES"/>
              </w:rPr>
              <w:t>6.534</w:t>
            </w:r>
          </w:p>
        </w:tc>
        <w:tc>
          <w:tcPr>
            <w:tcW w:w="1000" w:type="pct"/>
            <w:tcBorders>
              <w:left w:val="single" w:sz="4" w:space="0" w:color="BFBFBF"/>
            </w:tcBorders>
            <w:vAlign w:val="bottom"/>
          </w:tcPr>
          <w:p w:rsidR="00195BE7" w:rsidRPr="001E2F6E" w:rsidRDefault="00195BE7" w:rsidP="00195BE7">
            <w:pPr>
              <w:spacing w:line="240" w:lineRule="exact"/>
              <w:ind w:right="170"/>
              <w:jc w:val="right"/>
              <w:rPr>
                <w:sz w:val="16"/>
                <w:szCs w:val="16"/>
                <w:lang w:eastAsia="es-ES"/>
              </w:rPr>
            </w:pPr>
            <w:r w:rsidRPr="001E2F6E">
              <w:rPr>
                <w:sz w:val="16"/>
                <w:szCs w:val="16"/>
                <w:lang w:eastAsia="es-ES"/>
              </w:rPr>
              <w:t>9.115</w:t>
            </w:r>
          </w:p>
        </w:tc>
      </w:tr>
      <w:tr w:rsidR="00195BE7" w:rsidRPr="001E2F6E" w:rsidTr="00195BE7">
        <w:trPr>
          <w:jc w:val="center"/>
        </w:trPr>
        <w:tc>
          <w:tcPr>
            <w:tcW w:w="1000" w:type="pct"/>
            <w:tcBorders>
              <w:right w:val="single" w:sz="4" w:space="0" w:color="BFBFBF"/>
            </w:tcBorders>
            <w:vAlign w:val="bottom"/>
          </w:tcPr>
          <w:p w:rsidR="00195BE7" w:rsidRPr="001E2F6E" w:rsidRDefault="00195BE7" w:rsidP="00195BE7">
            <w:pPr>
              <w:spacing w:line="240" w:lineRule="exact"/>
              <w:rPr>
                <w:sz w:val="16"/>
                <w:szCs w:val="16"/>
                <w:lang w:eastAsia="es-ES"/>
              </w:rPr>
            </w:pPr>
            <w:r w:rsidRPr="001E2F6E">
              <w:rPr>
                <w:sz w:val="16"/>
                <w:szCs w:val="16"/>
                <w:lang w:eastAsia="es-ES"/>
              </w:rPr>
              <w:t>2010</w:t>
            </w:r>
          </w:p>
        </w:tc>
        <w:tc>
          <w:tcPr>
            <w:tcW w:w="1000" w:type="pct"/>
            <w:tcBorders>
              <w:left w:val="single" w:sz="4" w:space="0" w:color="BFBFBF"/>
              <w:right w:val="single" w:sz="4" w:space="0" w:color="BFBFBF"/>
            </w:tcBorders>
            <w:vAlign w:val="bottom"/>
          </w:tcPr>
          <w:p w:rsidR="00195BE7" w:rsidRPr="001E2F6E" w:rsidRDefault="00195BE7" w:rsidP="00195BE7">
            <w:pPr>
              <w:spacing w:line="240" w:lineRule="exact"/>
              <w:ind w:right="170"/>
              <w:jc w:val="right"/>
              <w:rPr>
                <w:sz w:val="16"/>
                <w:szCs w:val="16"/>
                <w:lang w:eastAsia="es-ES"/>
              </w:rPr>
            </w:pPr>
            <w:r w:rsidRPr="001E2F6E">
              <w:rPr>
                <w:sz w:val="16"/>
                <w:szCs w:val="16"/>
                <w:lang w:eastAsia="es-ES"/>
              </w:rPr>
              <w:t>33.895</w:t>
            </w:r>
          </w:p>
        </w:tc>
        <w:tc>
          <w:tcPr>
            <w:tcW w:w="1000" w:type="pct"/>
            <w:tcBorders>
              <w:left w:val="single" w:sz="4" w:space="0" w:color="BFBFBF"/>
              <w:right w:val="single" w:sz="4" w:space="0" w:color="BFBFBF"/>
            </w:tcBorders>
            <w:vAlign w:val="bottom"/>
          </w:tcPr>
          <w:p w:rsidR="00195BE7" w:rsidRPr="001E2F6E" w:rsidRDefault="00195BE7" w:rsidP="00195BE7">
            <w:pPr>
              <w:spacing w:line="240" w:lineRule="exact"/>
              <w:ind w:right="170"/>
              <w:jc w:val="right"/>
              <w:rPr>
                <w:sz w:val="16"/>
                <w:szCs w:val="16"/>
                <w:lang w:eastAsia="es-ES"/>
              </w:rPr>
            </w:pPr>
            <w:r w:rsidRPr="001E2F6E">
              <w:rPr>
                <w:sz w:val="16"/>
                <w:szCs w:val="16"/>
                <w:lang w:eastAsia="es-ES"/>
              </w:rPr>
              <w:t>14.197</w:t>
            </w:r>
          </w:p>
        </w:tc>
        <w:tc>
          <w:tcPr>
            <w:tcW w:w="1000" w:type="pct"/>
            <w:tcBorders>
              <w:left w:val="single" w:sz="4" w:space="0" w:color="BFBFBF"/>
              <w:right w:val="single" w:sz="4" w:space="0" w:color="BFBFBF"/>
            </w:tcBorders>
            <w:vAlign w:val="bottom"/>
          </w:tcPr>
          <w:p w:rsidR="00195BE7" w:rsidRPr="001E2F6E" w:rsidRDefault="00195BE7" w:rsidP="00195BE7">
            <w:pPr>
              <w:spacing w:line="240" w:lineRule="exact"/>
              <w:ind w:right="170"/>
              <w:jc w:val="right"/>
              <w:rPr>
                <w:sz w:val="16"/>
                <w:szCs w:val="16"/>
                <w:lang w:eastAsia="es-ES"/>
              </w:rPr>
            </w:pPr>
            <w:r w:rsidRPr="001E2F6E">
              <w:rPr>
                <w:sz w:val="16"/>
                <w:szCs w:val="16"/>
                <w:lang w:eastAsia="es-ES"/>
              </w:rPr>
              <w:t>8.256</w:t>
            </w:r>
          </w:p>
        </w:tc>
        <w:tc>
          <w:tcPr>
            <w:tcW w:w="1000" w:type="pct"/>
            <w:tcBorders>
              <w:left w:val="single" w:sz="4" w:space="0" w:color="BFBFBF"/>
            </w:tcBorders>
            <w:vAlign w:val="bottom"/>
          </w:tcPr>
          <w:p w:rsidR="00195BE7" w:rsidRPr="001E2F6E" w:rsidRDefault="00195BE7" w:rsidP="00195BE7">
            <w:pPr>
              <w:spacing w:line="240" w:lineRule="exact"/>
              <w:ind w:right="170"/>
              <w:jc w:val="right"/>
              <w:rPr>
                <w:sz w:val="16"/>
                <w:szCs w:val="16"/>
                <w:lang w:eastAsia="es-ES"/>
              </w:rPr>
            </w:pPr>
            <w:r w:rsidRPr="001E2F6E">
              <w:rPr>
                <w:sz w:val="16"/>
                <w:szCs w:val="16"/>
                <w:lang w:eastAsia="es-ES"/>
              </w:rPr>
              <w:t>5.941</w:t>
            </w:r>
          </w:p>
        </w:tc>
      </w:tr>
      <w:tr w:rsidR="00195BE7" w:rsidRPr="001E2F6E" w:rsidTr="00195BE7">
        <w:trPr>
          <w:jc w:val="center"/>
        </w:trPr>
        <w:tc>
          <w:tcPr>
            <w:tcW w:w="1000" w:type="pct"/>
            <w:tcBorders>
              <w:bottom w:val="single" w:sz="4" w:space="0" w:color="BFBFBF"/>
              <w:right w:val="single" w:sz="4" w:space="0" w:color="BFBFBF"/>
            </w:tcBorders>
            <w:vAlign w:val="bottom"/>
          </w:tcPr>
          <w:p w:rsidR="00195BE7" w:rsidRPr="001E2F6E" w:rsidRDefault="00195BE7" w:rsidP="00195BE7">
            <w:pPr>
              <w:spacing w:line="240" w:lineRule="exact"/>
              <w:rPr>
                <w:sz w:val="16"/>
                <w:szCs w:val="16"/>
                <w:lang w:eastAsia="es-ES"/>
              </w:rPr>
            </w:pPr>
            <w:r w:rsidRPr="001E2F6E">
              <w:rPr>
                <w:sz w:val="16"/>
                <w:szCs w:val="16"/>
                <w:lang w:eastAsia="es-ES"/>
              </w:rPr>
              <w:t>2012</w:t>
            </w:r>
          </w:p>
        </w:tc>
        <w:tc>
          <w:tcPr>
            <w:tcW w:w="1000" w:type="pct"/>
            <w:tcBorders>
              <w:left w:val="single" w:sz="4" w:space="0" w:color="BFBFBF"/>
              <w:bottom w:val="single" w:sz="4" w:space="0" w:color="BFBFBF"/>
              <w:right w:val="single" w:sz="4" w:space="0" w:color="BFBFBF"/>
            </w:tcBorders>
            <w:vAlign w:val="bottom"/>
          </w:tcPr>
          <w:p w:rsidR="00195BE7" w:rsidRPr="001E2F6E" w:rsidRDefault="00195BE7" w:rsidP="00195BE7">
            <w:pPr>
              <w:spacing w:line="240" w:lineRule="exact"/>
              <w:ind w:right="170"/>
              <w:jc w:val="right"/>
              <w:rPr>
                <w:sz w:val="16"/>
                <w:szCs w:val="16"/>
                <w:lang w:eastAsia="es-ES"/>
              </w:rPr>
            </w:pPr>
            <w:r w:rsidRPr="001E2F6E">
              <w:rPr>
                <w:sz w:val="16"/>
                <w:szCs w:val="16"/>
                <w:lang w:eastAsia="es-ES"/>
              </w:rPr>
              <w:t>34.241</w:t>
            </w:r>
          </w:p>
        </w:tc>
        <w:tc>
          <w:tcPr>
            <w:tcW w:w="1000" w:type="pct"/>
            <w:tcBorders>
              <w:left w:val="single" w:sz="4" w:space="0" w:color="BFBFBF"/>
              <w:bottom w:val="single" w:sz="4" w:space="0" w:color="BFBFBF"/>
              <w:right w:val="single" w:sz="4" w:space="0" w:color="BFBFBF"/>
            </w:tcBorders>
            <w:vAlign w:val="bottom"/>
          </w:tcPr>
          <w:p w:rsidR="00195BE7" w:rsidRPr="001E2F6E" w:rsidRDefault="00195BE7" w:rsidP="00195BE7">
            <w:pPr>
              <w:spacing w:line="240" w:lineRule="exact"/>
              <w:ind w:right="170"/>
              <w:jc w:val="right"/>
              <w:rPr>
                <w:sz w:val="16"/>
                <w:szCs w:val="16"/>
                <w:lang w:eastAsia="es-ES"/>
              </w:rPr>
            </w:pPr>
            <w:r w:rsidRPr="001E2F6E">
              <w:rPr>
                <w:sz w:val="16"/>
                <w:szCs w:val="16"/>
                <w:lang w:eastAsia="es-ES"/>
              </w:rPr>
              <w:t>13.703</w:t>
            </w:r>
          </w:p>
        </w:tc>
        <w:tc>
          <w:tcPr>
            <w:tcW w:w="1000" w:type="pct"/>
            <w:tcBorders>
              <w:left w:val="single" w:sz="4" w:space="0" w:color="BFBFBF"/>
              <w:bottom w:val="single" w:sz="4" w:space="0" w:color="BFBFBF"/>
              <w:right w:val="single" w:sz="4" w:space="0" w:color="BFBFBF"/>
            </w:tcBorders>
            <w:vAlign w:val="bottom"/>
          </w:tcPr>
          <w:p w:rsidR="00195BE7" w:rsidRPr="001E2F6E" w:rsidRDefault="00195BE7" w:rsidP="00195BE7">
            <w:pPr>
              <w:spacing w:line="240" w:lineRule="exact"/>
              <w:ind w:right="170"/>
              <w:jc w:val="right"/>
              <w:rPr>
                <w:sz w:val="16"/>
                <w:szCs w:val="16"/>
                <w:lang w:eastAsia="es-ES"/>
              </w:rPr>
            </w:pPr>
            <w:r w:rsidRPr="001E2F6E">
              <w:rPr>
                <w:sz w:val="16"/>
                <w:szCs w:val="16"/>
                <w:lang w:eastAsia="es-ES"/>
              </w:rPr>
              <w:t>6.251</w:t>
            </w:r>
          </w:p>
        </w:tc>
        <w:tc>
          <w:tcPr>
            <w:tcW w:w="1000" w:type="pct"/>
            <w:tcBorders>
              <w:left w:val="single" w:sz="4" w:space="0" w:color="BFBFBF"/>
              <w:bottom w:val="single" w:sz="4" w:space="0" w:color="BFBFBF"/>
            </w:tcBorders>
            <w:vAlign w:val="bottom"/>
          </w:tcPr>
          <w:p w:rsidR="00195BE7" w:rsidRPr="001E2F6E" w:rsidRDefault="00195BE7" w:rsidP="00195BE7">
            <w:pPr>
              <w:spacing w:line="240" w:lineRule="exact"/>
              <w:ind w:right="170"/>
              <w:jc w:val="right"/>
              <w:rPr>
                <w:sz w:val="16"/>
                <w:szCs w:val="16"/>
                <w:lang w:eastAsia="es-ES"/>
              </w:rPr>
            </w:pPr>
            <w:r w:rsidRPr="001E2F6E">
              <w:rPr>
                <w:sz w:val="16"/>
                <w:szCs w:val="16"/>
                <w:lang w:eastAsia="es-ES"/>
              </w:rPr>
              <w:t>7.451</w:t>
            </w:r>
          </w:p>
        </w:tc>
      </w:tr>
      <w:tr w:rsidR="00195BE7" w:rsidRPr="001E2F6E" w:rsidTr="00195BE7">
        <w:trPr>
          <w:jc w:val="center"/>
        </w:trPr>
        <w:tc>
          <w:tcPr>
            <w:tcW w:w="1000" w:type="pct"/>
            <w:tcBorders>
              <w:top w:val="single" w:sz="4" w:space="0" w:color="BFBFBF"/>
              <w:right w:val="single" w:sz="4" w:space="0" w:color="BFBFBF"/>
            </w:tcBorders>
            <w:vAlign w:val="bottom"/>
          </w:tcPr>
          <w:p w:rsidR="00195BE7" w:rsidRPr="001E2F6E" w:rsidRDefault="00195BE7" w:rsidP="00195BE7">
            <w:pPr>
              <w:spacing w:line="240" w:lineRule="exact"/>
              <w:rPr>
                <w:b/>
                <w:bCs/>
                <w:sz w:val="16"/>
                <w:szCs w:val="16"/>
                <w:lang w:eastAsia="es-ES"/>
              </w:rPr>
            </w:pPr>
            <w:r w:rsidRPr="001E2F6E">
              <w:rPr>
                <w:b/>
                <w:bCs/>
                <w:sz w:val="16"/>
                <w:szCs w:val="16"/>
                <w:lang w:val="eu-ES" w:eastAsia="es-ES"/>
              </w:rPr>
              <w:t>Lan-sozietateak</w:t>
            </w:r>
          </w:p>
        </w:tc>
        <w:tc>
          <w:tcPr>
            <w:tcW w:w="1000" w:type="pct"/>
            <w:tcBorders>
              <w:top w:val="single" w:sz="4" w:space="0" w:color="BFBFBF"/>
              <w:left w:val="single" w:sz="4" w:space="0" w:color="BFBFBF"/>
              <w:right w:val="single" w:sz="4" w:space="0" w:color="BFBFBF"/>
            </w:tcBorders>
            <w:vAlign w:val="bottom"/>
          </w:tcPr>
          <w:p w:rsidR="00195BE7" w:rsidRPr="001E2F6E" w:rsidRDefault="00195BE7" w:rsidP="00195BE7">
            <w:pPr>
              <w:spacing w:line="240" w:lineRule="exact"/>
              <w:ind w:right="170"/>
              <w:jc w:val="right"/>
              <w:rPr>
                <w:rFonts w:ascii="Calibri" w:hAnsi="Calibri" w:cs="Calibri"/>
                <w:sz w:val="22"/>
                <w:lang w:eastAsia="es-ES"/>
              </w:rPr>
            </w:pPr>
            <w:r w:rsidRPr="001E2F6E">
              <w:rPr>
                <w:rFonts w:ascii="Calibri" w:hAnsi="Calibri" w:cs="Calibri"/>
                <w:sz w:val="22"/>
                <w:lang w:eastAsia="es-ES"/>
              </w:rPr>
              <w:t> </w:t>
            </w:r>
          </w:p>
        </w:tc>
        <w:tc>
          <w:tcPr>
            <w:tcW w:w="1000" w:type="pct"/>
            <w:tcBorders>
              <w:top w:val="single" w:sz="4" w:space="0" w:color="BFBFBF"/>
              <w:left w:val="single" w:sz="4" w:space="0" w:color="BFBFBF"/>
              <w:right w:val="single" w:sz="4" w:space="0" w:color="BFBFBF"/>
            </w:tcBorders>
            <w:vAlign w:val="bottom"/>
          </w:tcPr>
          <w:p w:rsidR="00195BE7" w:rsidRPr="001E2F6E" w:rsidRDefault="00195BE7" w:rsidP="00195BE7">
            <w:pPr>
              <w:spacing w:line="240" w:lineRule="exact"/>
              <w:ind w:right="170"/>
              <w:jc w:val="right"/>
              <w:rPr>
                <w:rFonts w:ascii="Calibri" w:hAnsi="Calibri" w:cs="Calibri"/>
                <w:sz w:val="22"/>
                <w:lang w:eastAsia="es-ES"/>
              </w:rPr>
            </w:pPr>
            <w:r w:rsidRPr="001E2F6E">
              <w:rPr>
                <w:rFonts w:ascii="Calibri" w:hAnsi="Calibri" w:cs="Calibri"/>
                <w:sz w:val="22"/>
                <w:lang w:eastAsia="es-ES"/>
              </w:rPr>
              <w:t> </w:t>
            </w:r>
          </w:p>
        </w:tc>
        <w:tc>
          <w:tcPr>
            <w:tcW w:w="1000" w:type="pct"/>
            <w:tcBorders>
              <w:top w:val="single" w:sz="4" w:space="0" w:color="BFBFBF"/>
              <w:left w:val="single" w:sz="4" w:space="0" w:color="BFBFBF"/>
              <w:right w:val="single" w:sz="4" w:space="0" w:color="BFBFBF"/>
            </w:tcBorders>
            <w:vAlign w:val="bottom"/>
          </w:tcPr>
          <w:p w:rsidR="00195BE7" w:rsidRPr="001E2F6E" w:rsidRDefault="00195BE7" w:rsidP="00195BE7">
            <w:pPr>
              <w:spacing w:line="240" w:lineRule="exact"/>
              <w:ind w:right="170"/>
              <w:jc w:val="right"/>
              <w:rPr>
                <w:rFonts w:ascii="Calibri" w:hAnsi="Calibri" w:cs="Calibri"/>
                <w:sz w:val="22"/>
                <w:lang w:eastAsia="es-ES"/>
              </w:rPr>
            </w:pPr>
            <w:r w:rsidRPr="001E2F6E">
              <w:rPr>
                <w:rFonts w:ascii="Calibri" w:hAnsi="Calibri" w:cs="Calibri"/>
                <w:sz w:val="22"/>
                <w:lang w:eastAsia="es-ES"/>
              </w:rPr>
              <w:t> </w:t>
            </w:r>
          </w:p>
        </w:tc>
        <w:tc>
          <w:tcPr>
            <w:tcW w:w="1000" w:type="pct"/>
            <w:tcBorders>
              <w:top w:val="single" w:sz="4" w:space="0" w:color="BFBFBF"/>
              <w:left w:val="single" w:sz="4" w:space="0" w:color="BFBFBF"/>
            </w:tcBorders>
            <w:vAlign w:val="bottom"/>
          </w:tcPr>
          <w:p w:rsidR="00195BE7" w:rsidRPr="001E2F6E" w:rsidRDefault="00195BE7" w:rsidP="00195BE7">
            <w:pPr>
              <w:spacing w:line="240" w:lineRule="exact"/>
              <w:ind w:right="170"/>
              <w:jc w:val="right"/>
              <w:rPr>
                <w:rFonts w:ascii="Calibri" w:hAnsi="Calibri" w:cs="Calibri"/>
                <w:sz w:val="22"/>
                <w:lang w:eastAsia="es-ES"/>
              </w:rPr>
            </w:pPr>
            <w:r w:rsidRPr="001E2F6E">
              <w:rPr>
                <w:rFonts w:ascii="Calibri" w:hAnsi="Calibri" w:cs="Calibri"/>
                <w:sz w:val="22"/>
                <w:lang w:eastAsia="es-ES"/>
              </w:rPr>
              <w:t> </w:t>
            </w:r>
          </w:p>
        </w:tc>
      </w:tr>
      <w:tr w:rsidR="00195BE7" w:rsidRPr="001E2F6E" w:rsidTr="00195BE7">
        <w:trPr>
          <w:jc w:val="center"/>
        </w:trPr>
        <w:tc>
          <w:tcPr>
            <w:tcW w:w="1000" w:type="pct"/>
            <w:tcBorders>
              <w:right w:val="single" w:sz="4" w:space="0" w:color="BFBFBF"/>
            </w:tcBorders>
            <w:vAlign w:val="bottom"/>
          </w:tcPr>
          <w:p w:rsidR="00195BE7" w:rsidRPr="001E2F6E" w:rsidRDefault="00195BE7" w:rsidP="00195BE7">
            <w:pPr>
              <w:spacing w:line="240" w:lineRule="exact"/>
              <w:rPr>
                <w:sz w:val="16"/>
                <w:szCs w:val="16"/>
                <w:lang w:eastAsia="es-ES"/>
              </w:rPr>
            </w:pPr>
            <w:r w:rsidRPr="001E2F6E">
              <w:rPr>
                <w:sz w:val="16"/>
                <w:szCs w:val="16"/>
                <w:lang w:eastAsia="es-ES"/>
              </w:rPr>
              <w:t>2006</w:t>
            </w:r>
          </w:p>
        </w:tc>
        <w:tc>
          <w:tcPr>
            <w:tcW w:w="1000" w:type="pct"/>
            <w:tcBorders>
              <w:left w:val="single" w:sz="4" w:space="0" w:color="BFBFBF"/>
              <w:right w:val="single" w:sz="4" w:space="0" w:color="BFBFBF"/>
            </w:tcBorders>
            <w:vAlign w:val="bottom"/>
          </w:tcPr>
          <w:p w:rsidR="00195BE7" w:rsidRPr="001E2F6E" w:rsidRDefault="00195BE7" w:rsidP="00195BE7">
            <w:pPr>
              <w:spacing w:line="240" w:lineRule="exact"/>
              <w:ind w:right="170"/>
              <w:jc w:val="right"/>
              <w:rPr>
                <w:sz w:val="16"/>
                <w:szCs w:val="16"/>
                <w:lang w:eastAsia="es-ES"/>
              </w:rPr>
            </w:pPr>
            <w:r w:rsidRPr="001E2F6E">
              <w:rPr>
                <w:sz w:val="16"/>
                <w:szCs w:val="16"/>
                <w:lang w:eastAsia="es-ES"/>
              </w:rPr>
              <w:t>7.160</w:t>
            </w:r>
          </w:p>
        </w:tc>
        <w:tc>
          <w:tcPr>
            <w:tcW w:w="1000" w:type="pct"/>
            <w:tcBorders>
              <w:left w:val="single" w:sz="4" w:space="0" w:color="BFBFBF"/>
              <w:right w:val="single" w:sz="4" w:space="0" w:color="BFBFBF"/>
            </w:tcBorders>
            <w:vAlign w:val="bottom"/>
          </w:tcPr>
          <w:p w:rsidR="00195BE7" w:rsidRPr="001E2F6E" w:rsidRDefault="00195BE7" w:rsidP="00195BE7">
            <w:pPr>
              <w:spacing w:line="240" w:lineRule="exact"/>
              <w:ind w:right="170"/>
              <w:jc w:val="right"/>
              <w:rPr>
                <w:sz w:val="16"/>
                <w:szCs w:val="16"/>
                <w:lang w:eastAsia="es-ES"/>
              </w:rPr>
            </w:pPr>
            <w:r w:rsidRPr="001E2F6E">
              <w:rPr>
                <w:sz w:val="16"/>
                <w:szCs w:val="16"/>
                <w:lang w:eastAsia="es-ES"/>
              </w:rPr>
              <w:t>6.168</w:t>
            </w:r>
          </w:p>
        </w:tc>
        <w:tc>
          <w:tcPr>
            <w:tcW w:w="1000" w:type="pct"/>
            <w:tcBorders>
              <w:left w:val="single" w:sz="4" w:space="0" w:color="BFBFBF"/>
              <w:right w:val="single" w:sz="4" w:space="0" w:color="BFBFBF"/>
            </w:tcBorders>
            <w:vAlign w:val="bottom"/>
          </w:tcPr>
          <w:p w:rsidR="00195BE7" w:rsidRPr="001E2F6E" w:rsidRDefault="00195BE7" w:rsidP="00195BE7">
            <w:pPr>
              <w:spacing w:line="240" w:lineRule="exact"/>
              <w:ind w:right="170"/>
              <w:jc w:val="right"/>
              <w:rPr>
                <w:sz w:val="16"/>
                <w:szCs w:val="16"/>
                <w:lang w:eastAsia="es-ES"/>
              </w:rPr>
            </w:pPr>
            <w:r w:rsidRPr="001E2F6E">
              <w:rPr>
                <w:sz w:val="16"/>
                <w:szCs w:val="16"/>
                <w:lang w:eastAsia="es-ES"/>
              </w:rPr>
              <w:t>2.885</w:t>
            </w:r>
          </w:p>
        </w:tc>
        <w:tc>
          <w:tcPr>
            <w:tcW w:w="1000" w:type="pct"/>
            <w:tcBorders>
              <w:left w:val="single" w:sz="4" w:space="0" w:color="BFBFBF"/>
            </w:tcBorders>
            <w:vAlign w:val="bottom"/>
          </w:tcPr>
          <w:p w:rsidR="00195BE7" w:rsidRPr="001E2F6E" w:rsidRDefault="00195BE7" w:rsidP="00195BE7">
            <w:pPr>
              <w:spacing w:line="240" w:lineRule="exact"/>
              <w:ind w:right="170"/>
              <w:jc w:val="right"/>
              <w:rPr>
                <w:sz w:val="16"/>
                <w:szCs w:val="16"/>
                <w:lang w:eastAsia="es-ES"/>
              </w:rPr>
            </w:pPr>
            <w:r w:rsidRPr="001E2F6E">
              <w:rPr>
                <w:sz w:val="16"/>
                <w:szCs w:val="16"/>
                <w:lang w:eastAsia="es-ES"/>
              </w:rPr>
              <w:t>3.283</w:t>
            </w:r>
          </w:p>
        </w:tc>
      </w:tr>
      <w:tr w:rsidR="00195BE7" w:rsidRPr="001E2F6E" w:rsidTr="00195BE7">
        <w:trPr>
          <w:jc w:val="center"/>
        </w:trPr>
        <w:tc>
          <w:tcPr>
            <w:tcW w:w="1000" w:type="pct"/>
            <w:tcBorders>
              <w:right w:val="single" w:sz="4" w:space="0" w:color="BFBFBF"/>
            </w:tcBorders>
            <w:vAlign w:val="bottom"/>
          </w:tcPr>
          <w:p w:rsidR="00195BE7" w:rsidRPr="001E2F6E" w:rsidRDefault="00195BE7" w:rsidP="00195BE7">
            <w:pPr>
              <w:spacing w:line="240" w:lineRule="exact"/>
              <w:rPr>
                <w:sz w:val="16"/>
                <w:szCs w:val="16"/>
                <w:lang w:eastAsia="es-ES"/>
              </w:rPr>
            </w:pPr>
            <w:r w:rsidRPr="001E2F6E">
              <w:rPr>
                <w:sz w:val="16"/>
                <w:szCs w:val="16"/>
                <w:lang w:eastAsia="es-ES"/>
              </w:rPr>
              <w:t>2008</w:t>
            </w:r>
          </w:p>
        </w:tc>
        <w:tc>
          <w:tcPr>
            <w:tcW w:w="1000" w:type="pct"/>
            <w:tcBorders>
              <w:left w:val="single" w:sz="4" w:space="0" w:color="BFBFBF"/>
              <w:right w:val="single" w:sz="4" w:space="0" w:color="BFBFBF"/>
            </w:tcBorders>
            <w:vAlign w:val="bottom"/>
          </w:tcPr>
          <w:p w:rsidR="00195BE7" w:rsidRPr="001E2F6E" w:rsidRDefault="00195BE7" w:rsidP="00195BE7">
            <w:pPr>
              <w:spacing w:line="240" w:lineRule="exact"/>
              <w:ind w:right="170"/>
              <w:jc w:val="right"/>
              <w:rPr>
                <w:sz w:val="16"/>
                <w:szCs w:val="16"/>
                <w:lang w:eastAsia="es-ES"/>
              </w:rPr>
            </w:pPr>
            <w:r w:rsidRPr="001E2F6E">
              <w:rPr>
                <w:sz w:val="16"/>
                <w:szCs w:val="16"/>
                <w:lang w:eastAsia="es-ES"/>
              </w:rPr>
              <w:t>7.159</w:t>
            </w:r>
          </w:p>
        </w:tc>
        <w:tc>
          <w:tcPr>
            <w:tcW w:w="1000" w:type="pct"/>
            <w:tcBorders>
              <w:left w:val="single" w:sz="4" w:space="0" w:color="BFBFBF"/>
              <w:right w:val="single" w:sz="4" w:space="0" w:color="BFBFBF"/>
            </w:tcBorders>
            <w:vAlign w:val="bottom"/>
          </w:tcPr>
          <w:p w:rsidR="00195BE7" w:rsidRPr="001E2F6E" w:rsidRDefault="00195BE7" w:rsidP="00195BE7">
            <w:pPr>
              <w:spacing w:line="240" w:lineRule="exact"/>
              <w:ind w:right="170"/>
              <w:jc w:val="right"/>
              <w:rPr>
                <w:sz w:val="16"/>
                <w:szCs w:val="16"/>
                <w:lang w:eastAsia="es-ES"/>
              </w:rPr>
            </w:pPr>
            <w:r w:rsidRPr="001E2F6E">
              <w:rPr>
                <w:sz w:val="16"/>
                <w:szCs w:val="16"/>
                <w:lang w:eastAsia="es-ES"/>
              </w:rPr>
              <w:t>5.098</w:t>
            </w:r>
          </w:p>
        </w:tc>
        <w:tc>
          <w:tcPr>
            <w:tcW w:w="1000" w:type="pct"/>
            <w:tcBorders>
              <w:left w:val="single" w:sz="4" w:space="0" w:color="BFBFBF"/>
              <w:right w:val="single" w:sz="4" w:space="0" w:color="BFBFBF"/>
            </w:tcBorders>
            <w:vAlign w:val="bottom"/>
          </w:tcPr>
          <w:p w:rsidR="00195BE7" w:rsidRPr="001E2F6E" w:rsidRDefault="00195BE7" w:rsidP="00195BE7">
            <w:pPr>
              <w:spacing w:line="240" w:lineRule="exact"/>
              <w:ind w:right="170"/>
              <w:jc w:val="right"/>
              <w:rPr>
                <w:sz w:val="16"/>
                <w:szCs w:val="16"/>
                <w:lang w:eastAsia="es-ES"/>
              </w:rPr>
            </w:pPr>
            <w:r w:rsidRPr="001E2F6E">
              <w:rPr>
                <w:sz w:val="16"/>
                <w:szCs w:val="16"/>
                <w:lang w:eastAsia="es-ES"/>
              </w:rPr>
              <w:t>3.364</w:t>
            </w:r>
          </w:p>
        </w:tc>
        <w:tc>
          <w:tcPr>
            <w:tcW w:w="1000" w:type="pct"/>
            <w:tcBorders>
              <w:left w:val="single" w:sz="4" w:space="0" w:color="BFBFBF"/>
            </w:tcBorders>
            <w:vAlign w:val="bottom"/>
          </w:tcPr>
          <w:p w:rsidR="00195BE7" w:rsidRPr="001E2F6E" w:rsidRDefault="00195BE7" w:rsidP="00195BE7">
            <w:pPr>
              <w:spacing w:line="240" w:lineRule="exact"/>
              <w:ind w:right="170"/>
              <w:jc w:val="right"/>
              <w:rPr>
                <w:sz w:val="16"/>
                <w:szCs w:val="16"/>
                <w:lang w:eastAsia="es-ES"/>
              </w:rPr>
            </w:pPr>
            <w:r w:rsidRPr="001E2F6E">
              <w:rPr>
                <w:sz w:val="16"/>
                <w:szCs w:val="16"/>
                <w:lang w:eastAsia="es-ES"/>
              </w:rPr>
              <w:t>1.734</w:t>
            </w:r>
          </w:p>
        </w:tc>
      </w:tr>
      <w:tr w:rsidR="00195BE7" w:rsidRPr="001E2F6E" w:rsidTr="00195BE7">
        <w:trPr>
          <w:jc w:val="center"/>
        </w:trPr>
        <w:tc>
          <w:tcPr>
            <w:tcW w:w="1000" w:type="pct"/>
            <w:tcBorders>
              <w:right w:val="single" w:sz="4" w:space="0" w:color="BFBFBF"/>
            </w:tcBorders>
            <w:vAlign w:val="bottom"/>
          </w:tcPr>
          <w:p w:rsidR="00195BE7" w:rsidRPr="001E2F6E" w:rsidRDefault="00195BE7" w:rsidP="00195BE7">
            <w:pPr>
              <w:spacing w:line="240" w:lineRule="exact"/>
              <w:rPr>
                <w:sz w:val="16"/>
                <w:szCs w:val="16"/>
                <w:lang w:eastAsia="es-ES"/>
              </w:rPr>
            </w:pPr>
            <w:r w:rsidRPr="001E2F6E">
              <w:rPr>
                <w:sz w:val="16"/>
                <w:szCs w:val="16"/>
                <w:lang w:eastAsia="es-ES"/>
              </w:rPr>
              <w:t>2010</w:t>
            </w:r>
          </w:p>
        </w:tc>
        <w:tc>
          <w:tcPr>
            <w:tcW w:w="1000" w:type="pct"/>
            <w:tcBorders>
              <w:left w:val="single" w:sz="4" w:space="0" w:color="BFBFBF"/>
              <w:right w:val="single" w:sz="4" w:space="0" w:color="BFBFBF"/>
            </w:tcBorders>
            <w:vAlign w:val="bottom"/>
          </w:tcPr>
          <w:p w:rsidR="00195BE7" w:rsidRPr="001E2F6E" w:rsidRDefault="00195BE7" w:rsidP="00195BE7">
            <w:pPr>
              <w:spacing w:line="240" w:lineRule="exact"/>
              <w:ind w:right="170"/>
              <w:jc w:val="right"/>
              <w:rPr>
                <w:sz w:val="16"/>
                <w:szCs w:val="16"/>
                <w:lang w:eastAsia="es-ES"/>
              </w:rPr>
            </w:pPr>
            <w:r w:rsidRPr="001E2F6E">
              <w:rPr>
                <w:sz w:val="16"/>
                <w:szCs w:val="16"/>
                <w:lang w:eastAsia="es-ES"/>
              </w:rPr>
              <w:t>5.471</w:t>
            </w:r>
          </w:p>
        </w:tc>
        <w:tc>
          <w:tcPr>
            <w:tcW w:w="1000" w:type="pct"/>
            <w:tcBorders>
              <w:left w:val="single" w:sz="4" w:space="0" w:color="BFBFBF"/>
              <w:right w:val="single" w:sz="4" w:space="0" w:color="BFBFBF"/>
            </w:tcBorders>
            <w:vAlign w:val="bottom"/>
          </w:tcPr>
          <w:p w:rsidR="00195BE7" w:rsidRPr="001E2F6E" w:rsidRDefault="00195BE7" w:rsidP="00195BE7">
            <w:pPr>
              <w:spacing w:line="240" w:lineRule="exact"/>
              <w:ind w:right="170"/>
              <w:jc w:val="right"/>
              <w:rPr>
                <w:sz w:val="16"/>
                <w:szCs w:val="16"/>
                <w:lang w:eastAsia="es-ES"/>
              </w:rPr>
            </w:pPr>
            <w:r w:rsidRPr="001E2F6E">
              <w:rPr>
                <w:sz w:val="16"/>
                <w:szCs w:val="16"/>
                <w:lang w:eastAsia="es-ES"/>
              </w:rPr>
              <w:t>6.353</w:t>
            </w:r>
          </w:p>
        </w:tc>
        <w:tc>
          <w:tcPr>
            <w:tcW w:w="1000" w:type="pct"/>
            <w:tcBorders>
              <w:left w:val="single" w:sz="4" w:space="0" w:color="BFBFBF"/>
              <w:right w:val="single" w:sz="4" w:space="0" w:color="BFBFBF"/>
            </w:tcBorders>
            <w:vAlign w:val="bottom"/>
          </w:tcPr>
          <w:p w:rsidR="00195BE7" w:rsidRPr="001E2F6E" w:rsidRDefault="00195BE7" w:rsidP="00195BE7">
            <w:pPr>
              <w:spacing w:line="240" w:lineRule="exact"/>
              <w:ind w:right="170"/>
              <w:jc w:val="right"/>
              <w:rPr>
                <w:sz w:val="16"/>
                <w:szCs w:val="16"/>
                <w:lang w:eastAsia="es-ES"/>
              </w:rPr>
            </w:pPr>
            <w:r w:rsidRPr="001E2F6E">
              <w:rPr>
                <w:sz w:val="16"/>
                <w:szCs w:val="16"/>
                <w:lang w:eastAsia="es-ES"/>
              </w:rPr>
              <w:t>3.985</w:t>
            </w:r>
          </w:p>
        </w:tc>
        <w:tc>
          <w:tcPr>
            <w:tcW w:w="1000" w:type="pct"/>
            <w:tcBorders>
              <w:left w:val="single" w:sz="4" w:space="0" w:color="BFBFBF"/>
            </w:tcBorders>
            <w:vAlign w:val="bottom"/>
          </w:tcPr>
          <w:p w:rsidR="00195BE7" w:rsidRPr="001E2F6E" w:rsidRDefault="00195BE7" w:rsidP="00195BE7">
            <w:pPr>
              <w:spacing w:line="240" w:lineRule="exact"/>
              <w:ind w:right="170"/>
              <w:jc w:val="right"/>
              <w:rPr>
                <w:sz w:val="16"/>
                <w:szCs w:val="16"/>
                <w:lang w:eastAsia="es-ES"/>
              </w:rPr>
            </w:pPr>
            <w:r w:rsidRPr="001E2F6E">
              <w:rPr>
                <w:sz w:val="16"/>
                <w:szCs w:val="16"/>
                <w:lang w:eastAsia="es-ES"/>
              </w:rPr>
              <w:t>2.368</w:t>
            </w:r>
          </w:p>
        </w:tc>
      </w:tr>
      <w:tr w:rsidR="00195BE7" w:rsidRPr="001E2F6E" w:rsidTr="00195BE7">
        <w:trPr>
          <w:jc w:val="center"/>
        </w:trPr>
        <w:tc>
          <w:tcPr>
            <w:tcW w:w="1000" w:type="pct"/>
            <w:tcBorders>
              <w:bottom w:val="single" w:sz="4" w:space="0" w:color="BFBFBF"/>
              <w:right w:val="single" w:sz="4" w:space="0" w:color="BFBFBF"/>
            </w:tcBorders>
            <w:vAlign w:val="bottom"/>
          </w:tcPr>
          <w:p w:rsidR="00195BE7" w:rsidRPr="001E2F6E" w:rsidRDefault="00195BE7" w:rsidP="00195BE7">
            <w:pPr>
              <w:spacing w:line="240" w:lineRule="exact"/>
              <w:rPr>
                <w:sz w:val="16"/>
                <w:szCs w:val="16"/>
                <w:lang w:eastAsia="es-ES"/>
              </w:rPr>
            </w:pPr>
            <w:r w:rsidRPr="001E2F6E">
              <w:rPr>
                <w:sz w:val="16"/>
                <w:szCs w:val="16"/>
                <w:lang w:eastAsia="es-ES"/>
              </w:rPr>
              <w:t>2012</w:t>
            </w:r>
          </w:p>
        </w:tc>
        <w:tc>
          <w:tcPr>
            <w:tcW w:w="1000" w:type="pct"/>
            <w:tcBorders>
              <w:left w:val="single" w:sz="4" w:space="0" w:color="BFBFBF"/>
              <w:bottom w:val="single" w:sz="4" w:space="0" w:color="BFBFBF"/>
              <w:right w:val="single" w:sz="4" w:space="0" w:color="BFBFBF"/>
            </w:tcBorders>
            <w:vAlign w:val="bottom"/>
          </w:tcPr>
          <w:p w:rsidR="00195BE7" w:rsidRPr="001E2F6E" w:rsidRDefault="00195BE7" w:rsidP="00195BE7">
            <w:pPr>
              <w:spacing w:line="240" w:lineRule="exact"/>
              <w:ind w:right="170"/>
              <w:jc w:val="right"/>
              <w:rPr>
                <w:sz w:val="16"/>
                <w:szCs w:val="16"/>
                <w:lang w:eastAsia="es-ES"/>
              </w:rPr>
            </w:pPr>
            <w:r w:rsidRPr="001E2F6E">
              <w:rPr>
                <w:sz w:val="16"/>
                <w:szCs w:val="16"/>
                <w:lang w:eastAsia="es-ES"/>
              </w:rPr>
              <w:t>5.001</w:t>
            </w:r>
          </w:p>
        </w:tc>
        <w:tc>
          <w:tcPr>
            <w:tcW w:w="1000" w:type="pct"/>
            <w:tcBorders>
              <w:left w:val="single" w:sz="4" w:space="0" w:color="BFBFBF"/>
              <w:bottom w:val="single" w:sz="4" w:space="0" w:color="BFBFBF"/>
              <w:right w:val="single" w:sz="4" w:space="0" w:color="BFBFBF"/>
            </w:tcBorders>
            <w:vAlign w:val="bottom"/>
          </w:tcPr>
          <w:p w:rsidR="00195BE7" w:rsidRPr="001E2F6E" w:rsidRDefault="00195BE7" w:rsidP="00195BE7">
            <w:pPr>
              <w:spacing w:line="240" w:lineRule="exact"/>
              <w:ind w:right="170"/>
              <w:jc w:val="right"/>
              <w:rPr>
                <w:sz w:val="16"/>
                <w:szCs w:val="16"/>
                <w:lang w:eastAsia="es-ES"/>
              </w:rPr>
            </w:pPr>
            <w:r w:rsidRPr="001E2F6E">
              <w:rPr>
                <w:sz w:val="16"/>
                <w:szCs w:val="16"/>
                <w:lang w:eastAsia="es-ES"/>
              </w:rPr>
              <w:t>2.865</w:t>
            </w:r>
          </w:p>
        </w:tc>
        <w:tc>
          <w:tcPr>
            <w:tcW w:w="1000" w:type="pct"/>
            <w:tcBorders>
              <w:left w:val="single" w:sz="4" w:space="0" w:color="BFBFBF"/>
              <w:bottom w:val="single" w:sz="4" w:space="0" w:color="BFBFBF"/>
              <w:right w:val="single" w:sz="4" w:space="0" w:color="BFBFBF"/>
            </w:tcBorders>
            <w:vAlign w:val="bottom"/>
          </w:tcPr>
          <w:p w:rsidR="00195BE7" w:rsidRPr="001E2F6E" w:rsidRDefault="00195BE7" w:rsidP="00195BE7">
            <w:pPr>
              <w:spacing w:line="240" w:lineRule="exact"/>
              <w:ind w:right="170"/>
              <w:jc w:val="right"/>
              <w:rPr>
                <w:sz w:val="16"/>
                <w:szCs w:val="16"/>
                <w:lang w:eastAsia="es-ES"/>
              </w:rPr>
            </w:pPr>
            <w:r w:rsidRPr="001E2F6E">
              <w:rPr>
                <w:sz w:val="16"/>
                <w:szCs w:val="16"/>
                <w:lang w:eastAsia="es-ES"/>
              </w:rPr>
              <w:t>1.767</w:t>
            </w:r>
          </w:p>
        </w:tc>
        <w:tc>
          <w:tcPr>
            <w:tcW w:w="1000" w:type="pct"/>
            <w:tcBorders>
              <w:left w:val="single" w:sz="4" w:space="0" w:color="BFBFBF"/>
              <w:bottom w:val="single" w:sz="4" w:space="0" w:color="BFBFBF"/>
            </w:tcBorders>
            <w:vAlign w:val="bottom"/>
          </w:tcPr>
          <w:p w:rsidR="00195BE7" w:rsidRPr="001E2F6E" w:rsidRDefault="00195BE7" w:rsidP="00195BE7">
            <w:pPr>
              <w:spacing w:line="240" w:lineRule="exact"/>
              <w:ind w:right="170"/>
              <w:jc w:val="right"/>
              <w:rPr>
                <w:sz w:val="16"/>
                <w:szCs w:val="16"/>
                <w:lang w:eastAsia="es-ES"/>
              </w:rPr>
            </w:pPr>
            <w:r w:rsidRPr="001E2F6E">
              <w:rPr>
                <w:sz w:val="16"/>
                <w:szCs w:val="16"/>
                <w:lang w:eastAsia="es-ES"/>
              </w:rPr>
              <w:t>1.098</w:t>
            </w:r>
          </w:p>
        </w:tc>
      </w:tr>
      <w:tr w:rsidR="00195BE7" w:rsidRPr="001E2F6E" w:rsidTr="00195BE7">
        <w:trPr>
          <w:jc w:val="center"/>
        </w:trPr>
        <w:tc>
          <w:tcPr>
            <w:tcW w:w="1000" w:type="pct"/>
            <w:tcBorders>
              <w:top w:val="single" w:sz="4" w:space="0" w:color="BFBFBF"/>
              <w:right w:val="single" w:sz="4" w:space="0" w:color="BFBFBF"/>
            </w:tcBorders>
            <w:vAlign w:val="bottom"/>
          </w:tcPr>
          <w:p w:rsidR="00195BE7" w:rsidRPr="001E2F6E" w:rsidRDefault="00195BE7" w:rsidP="00195BE7">
            <w:pPr>
              <w:spacing w:line="240" w:lineRule="exact"/>
              <w:rPr>
                <w:b/>
                <w:bCs/>
                <w:sz w:val="16"/>
                <w:szCs w:val="16"/>
                <w:lang w:eastAsia="es-ES"/>
              </w:rPr>
            </w:pPr>
            <w:r w:rsidRPr="001E2F6E">
              <w:rPr>
                <w:b/>
                <w:bCs/>
                <w:sz w:val="16"/>
                <w:szCs w:val="16"/>
                <w:lang w:val="eu-ES" w:eastAsia="es-ES"/>
              </w:rPr>
              <w:t>Lan-sozietate anonimoak</w:t>
            </w:r>
          </w:p>
        </w:tc>
        <w:tc>
          <w:tcPr>
            <w:tcW w:w="1000" w:type="pct"/>
            <w:tcBorders>
              <w:top w:val="single" w:sz="4" w:space="0" w:color="BFBFBF"/>
              <w:left w:val="single" w:sz="4" w:space="0" w:color="BFBFBF"/>
              <w:right w:val="single" w:sz="4" w:space="0" w:color="BFBFBF"/>
            </w:tcBorders>
            <w:vAlign w:val="bottom"/>
          </w:tcPr>
          <w:p w:rsidR="00195BE7" w:rsidRPr="001E2F6E" w:rsidRDefault="00195BE7" w:rsidP="00195BE7">
            <w:pPr>
              <w:spacing w:line="240" w:lineRule="exact"/>
              <w:ind w:right="170"/>
              <w:jc w:val="right"/>
              <w:rPr>
                <w:rFonts w:ascii="Calibri" w:hAnsi="Calibri" w:cs="Calibri"/>
                <w:sz w:val="22"/>
                <w:lang w:eastAsia="es-ES"/>
              </w:rPr>
            </w:pPr>
            <w:r w:rsidRPr="001E2F6E">
              <w:rPr>
                <w:rFonts w:ascii="Calibri" w:hAnsi="Calibri" w:cs="Calibri"/>
                <w:sz w:val="22"/>
                <w:lang w:eastAsia="es-ES"/>
              </w:rPr>
              <w:t> </w:t>
            </w:r>
          </w:p>
        </w:tc>
        <w:tc>
          <w:tcPr>
            <w:tcW w:w="1000" w:type="pct"/>
            <w:tcBorders>
              <w:top w:val="single" w:sz="4" w:space="0" w:color="BFBFBF"/>
              <w:left w:val="single" w:sz="4" w:space="0" w:color="BFBFBF"/>
              <w:right w:val="single" w:sz="4" w:space="0" w:color="BFBFBF"/>
            </w:tcBorders>
            <w:vAlign w:val="bottom"/>
          </w:tcPr>
          <w:p w:rsidR="00195BE7" w:rsidRPr="001E2F6E" w:rsidRDefault="00195BE7" w:rsidP="00195BE7">
            <w:pPr>
              <w:spacing w:line="240" w:lineRule="exact"/>
              <w:ind w:right="170"/>
              <w:jc w:val="right"/>
              <w:rPr>
                <w:rFonts w:ascii="Calibri" w:hAnsi="Calibri" w:cs="Calibri"/>
                <w:sz w:val="22"/>
                <w:lang w:eastAsia="es-ES"/>
              </w:rPr>
            </w:pPr>
            <w:r w:rsidRPr="001E2F6E">
              <w:rPr>
                <w:rFonts w:ascii="Calibri" w:hAnsi="Calibri" w:cs="Calibri"/>
                <w:sz w:val="22"/>
                <w:lang w:eastAsia="es-ES"/>
              </w:rPr>
              <w:t> </w:t>
            </w:r>
          </w:p>
        </w:tc>
        <w:tc>
          <w:tcPr>
            <w:tcW w:w="1000" w:type="pct"/>
            <w:tcBorders>
              <w:top w:val="single" w:sz="4" w:space="0" w:color="BFBFBF"/>
              <w:left w:val="single" w:sz="4" w:space="0" w:color="BFBFBF"/>
              <w:right w:val="single" w:sz="4" w:space="0" w:color="BFBFBF"/>
            </w:tcBorders>
            <w:vAlign w:val="bottom"/>
          </w:tcPr>
          <w:p w:rsidR="00195BE7" w:rsidRPr="001E2F6E" w:rsidRDefault="00195BE7" w:rsidP="00195BE7">
            <w:pPr>
              <w:spacing w:line="240" w:lineRule="exact"/>
              <w:ind w:right="170"/>
              <w:jc w:val="right"/>
              <w:rPr>
                <w:rFonts w:ascii="Calibri" w:hAnsi="Calibri" w:cs="Calibri"/>
                <w:sz w:val="22"/>
                <w:lang w:eastAsia="es-ES"/>
              </w:rPr>
            </w:pPr>
            <w:r w:rsidRPr="001E2F6E">
              <w:rPr>
                <w:rFonts w:ascii="Calibri" w:hAnsi="Calibri" w:cs="Calibri"/>
                <w:sz w:val="22"/>
                <w:lang w:eastAsia="es-ES"/>
              </w:rPr>
              <w:t> </w:t>
            </w:r>
          </w:p>
        </w:tc>
        <w:tc>
          <w:tcPr>
            <w:tcW w:w="1000" w:type="pct"/>
            <w:tcBorders>
              <w:top w:val="single" w:sz="4" w:space="0" w:color="BFBFBF"/>
              <w:left w:val="single" w:sz="4" w:space="0" w:color="BFBFBF"/>
            </w:tcBorders>
            <w:vAlign w:val="bottom"/>
          </w:tcPr>
          <w:p w:rsidR="00195BE7" w:rsidRPr="001E2F6E" w:rsidRDefault="00195BE7" w:rsidP="00195BE7">
            <w:pPr>
              <w:spacing w:line="240" w:lineRule="exact"/>
              <w:ind w:right="170"/>
              <w:jc w:val="right"/>
              <w:rPr>
                <w:rFonts w:ascii="Calibri" w:hAnsi="Calibri" w:cs="Calibri"/>
                <w:sz w:val="22"/>
                <w:lang w:eastAsia="es-ES"/>
              </w:rPr>
            </w:pPr>
            <w:r w:rsidRPr="001E2F6E">
              <w:rPr>
                <w:rFonts w:ascii="Calibri" w:hAnsi="Calibri" w:cs="Calibri"/>
                <w:sz w:val="22"/>
                <w:lang w:eastAsia="es-ES"/>
              </w:rPr>
              <w:t> </w:t>
            </w:r>
          </w:p>
        </w:tc>
      </w:tr>
      <w:tr w:rsidR="00195BE7" w:rsidRPr="001E2F6E" w:rsidTr="00195BE7">
        <w:trPr>
          <w:jc w:val="center"/>
        </w:trPr>
        <w:tc>
          <w:tcPr>
            <w:tcW w:w="1000" w:type="pct"/>
            <w:tcBorders>
              <w:right w:val="single" w:sz="4" w:space="0" w:color="BFBFBF"/>
            </w:tcBorders>
            <w:vAlign w:val="bottom"/>
          </w:tcPr>
          <w:p w:rsidR="00195BE7" w:rsidRPr="001E2F6E" w:rsidRDefault="00195BE7" w:rsidP="00195BE7">
            <w:pPr>
              <w:spacing w:line="240" w:lineRule="exact"/>
              <w:rPr>
                <w:sz w:val="16"/>
                <w:szCs w:val="16"/>
                <w:lang w:eastAsia="es-ES"/>
              </w:rPr>
            </w:pPr>
            <w:r w:rsidRPr="001E2F6E">
              <w:rPr>
                <w:sz w:val="16"/>
                <w:szCs w:val="16"/>
                <w:lang w:eastAsia="es-ES"/>
              </w:rPr>
              <w:t>2006</w:t>
            </w:r>
          </w:p>
        </w:tc>
        <w:tc>
          <w:tcPr>
            <w:tcW w:w="1000" w:type="pct"/>
            <w:tcBorders>
              <w:left w:val="single" w:sz="4" w:space="0" w:color="BFBFBF"/>
              <w:right w:val="single" w:sz="4" w:space="0" w:color="BFBFBF"/>
            </w:tcBorders>
            <w:vAlign w:val="bottom"/>
          </w:tcPr>
          <w:p w:rsidR="00195BE7" w:rsidRPr="001E2F6E" w:rsidRDefault="00195BE7" w:rsidP="00195BE7">
            <w:pPr>
              <w:spacing w:line="240" w:lineRule="exact"/>
              <w:ind w:right="170"/>
              <w:jc w:val="right"/>
              <w:rPr>
                <w:sz w:val="16"/>
                <w:szCs w:val="16"/>
                <w:lang w:eastAsia="es-ES"/>
              </w:rPr>
            </w:pPr>
            <w:r w:rsidRPr="001E2F6E">
              <w:rPr>
                <w:sz w:val="16"/>
                <w:szCs w:val="16"/>
                <w:lang w:eastAsia="es-ES"/>
              </w:rPr>
              <w:t>4.142</w:t>
            </w:r>
          </w:p>
        </w:tc>
        <w:tc>
          <w:tcPr>
            <w:tcW w:w="1000" w:type="pct"/>
            <w:tcBorders>
              <w:left w:val="single" w:sz="4" w:space="0" w:color="BFBFBF"/>
              <w:right w:val="single" w:sz="4" w:space="0" w:color="BFBFBF"/>
            </w:tcBorders>
            <w:vAlign w:val="bottom"/>
          </w:tcPr>
          <w:p w:rsidR="00195BE7" w:rsidRPr="001E2F6E" w:rsidRDefault="00195BE7" w:rsidP="00195BE7">
            <w:pPr>
              <w:spacing w:line="240" w:lineRule="exact"/>
              <w:ind w:right="170"/>
              <w:jc w:val="right"/>
              <w:rPr>
                <w:sz w:val="16"/>
                <w:szCs w:val="16"/>
                <w:lang w:eastAsia="es-ES"/>
              </w:rPr>
            </w:pPr>
            <w:r w:rsidRPr="001E2F6E">
              <w:rPr>
                <w:sz w:val="16"/>
                <w:szCs w:val="16"/>
                <w:lang w:eastAsia="es-ES"/>
              </w:rPr>
              <w:t>4.088</w:t>
            </w:r>
          </w:p>
        </w:tc>
        <w:tc>
          <w:tcPr>
            <w:tcW w:w="1000" w:type="pct"/>
            <w:tcBorders>
              <w:left w:val="single" w:sz="4" w:space="0" w:color="BFBFBF"/>
              <w:right w:val="single" w:sz="4" w:space="0" w:color="BFBFBF"/>
            </w:tcBorders>
            <w:vAlign w:val="bottom"/>
          </w:tcPr>
          <w:p w:rsidR="00195BE7" w:rsidRPr="001E2F6E" w:rsidRDefault="00195BE7" w:rsidP="00195BE7">
            <w:pPr>
              <w:spacing w:line="240" w:lineRule="exact"/>
              <w:ind w:right="170"/>
              <w:jc w:val="right"/>
              <w:rPr>
                <w:sz w:val="16"/>
                <w:szCs w:val="16"/>
                <w:lang w:eastAsia="es-ES"/>
              </w:rPr>
            </w:pPr>
            <w:r w:rsidRPr="001E2F6E">
              <w:rPr>
                <w:sz w:val="16"/>
                <w:szCs w:val="16"/>
                <w:lang w:eastAsia="es-ES"/>
              </w:rPr>
              <w:t>1.966</w:t>
            </w:r>
          </w:p>
        </w:tc>
        <w:tc>
          <w:tcPr>
            <w:tcW w:w="1000" w:type="pct"/>
            <w:tcBorders>
              <w:left w:val="single" w:sz="4" w:space="0" w:color="BFBFBF"/>
            </w:tcBorders>
            <w:vAlign w:val="bottom"/>
          </w:tcPr>
          <w:p w:rsidR="00195BE7" w:rsidRPr="001E2F6E" w:rsidRDefault="00195BE7" w:rsidP="00195BE7">
            <w:pPr>
              <w:spacing w:line="240" w:lineRule="exact"/>
              <w:ind w:right="170"/>
              <w:jc w:val="right"/>
              <w:rPr>
                <w:sz w:val="16"/>
                <w:szCs w:val="16"/>
                <w:lang w:eastAsia="es-ES"/>
              </w:rPr>
            </w:pPr>
            <w:r w:rsidRPr="001E2F6E">
              <w:rPr>
                <w:sz w:val="16"/>
                <w:szCs w:val="16"/>
                <w:lang w:eastAsia="es-ES"/>
              </w:rPr>
              <w:t>2.122</w:t>
            </w:r>
          </w:p>
        </w:tc>
      </w:tr>
      <w:tr w:rsidR="00195BE7" w:rsidRPr="001E2F6E" w:rsidTr="00195BE7">
        <w:trPr>
          <w:jc w:val="center"/>
        </w:trPr>
        <w:tc>
          <w:tcPr>
            <w:tcW w:w="1000" w:type="pct"/>
            <w:tcBorders>
              <w:right w:val="single" w:sz="4" w:space="0" w:color="BFBFBF"/>
            </w:tcBorders>
            <w:vAlign w:val="bottom"/>
          </w:tcPr>
          <w:p w:rsidR="00195BE7" w:rsidRPr="001E2F6E" w:rsidRDefault="00195BE7" w:rsidP="00195BE7">
            <w:pPr>
              <w:spacing w:line="240" w:lineRule="exact"/>
              <w:rPr>
                <w:sz w:val="16"/>
                <w:szCs w:val="16"/>
                <w:lang w:eastAsia="es-ES"/>
              </w:rPr>
            </w:pPr>
            <w:r w:rsidRPr="001E2F6E">
              <w:rPr>
                <w:sz w:val="16"/>
                <w:szCs w:val="16"/>
                <w:lang w:eastAsia="es-ES"/>
              </w:rPr>
              <w:t>2008</w:t>
            </w:r>
          </w:p>
        </w:tc>
        <w:tc>
          <w:tcPr>
            <w:tcW w:w="1000" w:type="pct"/>
            <w:tcBorders>
              <w:left w:val="single" w:sz="4" w:space="0" w:color="BFBFBF"/>
              <w:right w:val="single" w:sz="4" w:space="0" w:color="BFBFBF"/>
            </w:tcBorders>
            <w:vAlign w:val="bottom"/>
          </w:tcPr>
          <w:p w:rsidR="00195BE7" w:rsidRPr="001E2F6E" w:rsidRDefault="00195BE7" w:rsidP="00195BE7">
            <w:pPr>
              <w:spacing w:line="240" w:lineRule="exact"/>
              <w:ind w:right="170"/>
              <w:jc w:val="right"/>
              <w:rPr>
                <w:sz w:val="16"/>
                <w:szCs w:val="16"/>
                <w:lang w:eastAsia="es-ES"/>
              </w:rPr>
            </w:pPr>
            <w:r w:rsidRPr="001E2F6E">
              <w:rPr>
                <w:sz w:val="16"/>
                <w:szCs w:val="16"/>
                <w:lang w:eastAsia="es-ES"/>
              </w:rPr>
              <w:t>4.441</w:t>
            </w:r>
          </w:p>
        </w:tc>
        <w:tc>
          <w:tcPr>
            <w:tcW w:w="1000" w:type="pct"/>
            <w:tcBorders>
              <w:left w:val="single" w:sz="4" w:space="0" w:color="BFBFBF"/>
              <w:right w:val="single" w:sz="4" w:space="0" w:color="BFBFBF"/>
            </w:tcBorders>
            <w:vAlign w:val="bottom"/>
          </w:tcPr>
          <w:p w:rsidR="00195BE7" w:rsidRPr="001E2F6E" w:rsidRDefault="00195BE7" w:rsidP="00195BE7">
            <w:pPr>
              <w:spacing w:line="240" w:lineRule="exact"/>
              <w:ind w:right="170"/>
              <w:jc w:val="right"/>
              <w:rPr>
                <w:sz w:val="16"/>
                <w:szCs w:val="16"/>
                <w:lang w:eastAsia="es-ES"/>
              </w:rPr>
            </w:pPr>
            <w:r w:rsidRPr="001E2F6E">
              <w:rPr>
                <w:sz w:val="16"/>
                <w:szCs w:val="16"/>
                <w:lang w:eastAsia="es-ES"/>
              </w:rPr>
              <w:t>3.010</w:t>
            </w:r>
          </w:p>
        </w:tc>
        <w:tc>
          <w:tcPr>
            <w:tcW w:w="1000" w:type="pct"/>
            <w:tcBorders>
              <w:left w:val="single" w:sz="4" w:space="0" w:color="BFBFBF"/>
              <w:right w:val="single" w:sz="4" w:space="0" w:color="BFBFBF"/>
            </w:tcBorders>
            <w:vAlign w:val="bottom"/>
          </w:tcPr>
          <w:p w:rsidR="00195BE7" w:rsidRPr="001E2F6E" w:rsidRDefault="00195BE7" w:rsidP="00195BE7">
            <w:pPr>
              <w:spacing w:line="240" w:lineRule="exact"/>
              <w:ind w:right="170"/>
              <w:jc w:val="right"/>
              <w:rPr>
                <w:sz w:val="16"/>
                <w:szCs w:val="16"/>
                <w:lang w:eastAsia="es-ES"/>
              </w:rPr>
            </w:pPr>
            <w:r w:rsidRPr="001E2F6E">
              <w:rPr>
                <w:sz w:val="16"/>
                <w:szCs w:val="16"/>
                <w:lang w:eastAsia="es-ES"/>
              </w:rPr>
              <w:t>2.288</w:t>
            </w:r>
          </w:p>
        </w:tc>
        <w:tc>
          <w:tcPr>
            <w:tcW w:w="1000" w:type="pct"/>
            <w:tcBorders>
              <w:left w:val="single" w:sz="4" w:space="0" w:color="BFBFBF"/>
            </w:tcBorders>
            <w:vAlign w:val="bottom"/>
          </w:tcPr>
          <w:p w:rsidR="00195BE7" w:rsidRPr="001E2F6E" w:rsidRDefault="00195BE7" w:rsidP="00195BE7">
            <w:pPr>
              <w:spacing w:line="240" w:lineRule="exact"/>
              <w:ind w:right="170"/>
              <w:jc w:val="right"/>
              <w:rPr>
                <w:sz w:val="16"/>
                <w:szCs w:val="16"/>
                <w:lang w:eastAsia="es-ES"/>
              </w:rPr>
            </w:pPr>
            <w:r w:rsidRPr="001E2F6E">
              <w:rPr>
                <w:sz w:val="16"/>
                <w:szCs w:val="16"/>
                <w:lang w:eastAsia="es-ES"/>
              </w:rPr>
              <w:t>722</w:t>
            </w:r>
          </w:p>
        </w:tc>
      </w:tr>
      <w:tr w:rsidR="00195BE7" w:rsidRPr="001E2F6E" w:rsidTr="00195BE7">
        <w:trPr>
          <w:jc w:val="center"/>
        </w:trPr>
        <w:tc>
          <w:tcPr>
            <w:tcW w:w="1000" w:type="pct"/>
            <w:tcBorders>
              <w:right w:val="single" w:sz="4" w:space="0" w:color="BFBFBF"/>
            </w:tcBorders>
            <w:vAlign w:val="bottom"/>
          </w:tcPr>
          <w:p w:rsidR="00195BE7" w:rsidRPr="001E2F6E" w:rsidRDefault="00195BE7" w:rsidP="00195BE7">
            <w:pPr>
              <w:spacing w:line="240" w:lineRule="exact"/>
              <w:rPr>
                <w:sz w:val="16"/>
                <w:szCs w:val="16"/>
                <w:lang w:eastAsia="es-ES"/>
              </w:rPr>
            </w:pPr>
            <w:r w:rsidRPr="001E2F6E">
              <w:rPr>
                <w:sz w:val="16"/>
                <w:szCs w:val="16"/>
                <w:lang w:eastAsia="es-ES"/>
              </w:rPr>
              <w:t>2010</w:t>
            </w:r>
          </w:p>
        </w:tc>
        <w:tc>
          <w:tcPr>
            <w:tcW w:w="1000" w:type="pct"/>
            <w:tcBorders>
              <w:left w:val="single" w:sz="4" w:space="0" w:color="BFBFBF"/>
              <w:right w:val="single" w:sz="4" w:space="0" w:color="BFBFBF"/>
            </w:tcBorders>
            <w:vAlign w:val="bottom"/>
          </w:tcPr>
          <w:p w:rsidR="00195BE7" w:rsidRPr="001E2F6E" w:rsidRDefault="00195BE7" w:rsidP="00195BE7">
            <w:pPr>
              <w:spacing w:line="240" w:lineRule="exact"/>
              <w:ind w:right="170"/>
              <w:jc w:val="right"/>
              <w:rPr>
                <w:sz w:val="16"/>
                <w:szCs w:val="16"/>
                <w:lang w:eastAsia="es-ES"/>
              </w:rPr>
            </w:pPr>
            <w:r w:rsidRPr="001E2F6E">
              <w:rPr>
                <w:sz w:val="16"/>
                <w:szCs w:val="16"/>
                <w:lang w:eastAsia="es-ES"/>
              </w:rPr>
              <w:t>2.592</w:t>
            </w:r>
          </w:p>
        </w:tc>
        <w:tc>
          <w:tcPr>
            <w:tcW w:w="1000" w:type="pct"/>
            <w:tcBorders>
              <w:left w:val="single" w:sz="4" w:space="0" w:color="BFBFBF"/>
              <w:right w:val="single" w:sz="4" w:space="0" w:color="BFBFBF"/>
            </w:tcBorders>
            <w:vAlign w:val="bottom"/>
          </w:tcPr>
          <w:p w:rsidR="00195BE7" w:rsidRPr="001E2F6E" w:rsidRDefault="00195BE7" w:rsidP="00195BE7">
            <w:pPr>
              <w:spacing w:line="240" w:lineRule="exact"/>
              <w:ind w:right="170"/>
              <w:jc w:val="right"/>
              <w:rPr>
                <w:sz w:val="16"/>
                <w:szCs w:val="16"/>
                <w:lang w:eastAsia="es-ES"/>
              </w:rPr>
            </w:pPr>
            <w:r w:rsidRPr="001E2F6E">
              <w:rPr>
                <w:sz w:val="16"/>
                <w:szCs w:val="16"/>
                <w:lang w:eastAsia="es-ES"/>
              </w:rPr>
              <w:t>4.828</w:t>
            </w:r>
          </w:p>
        </w:tc>
        <w:tc>
          <w:tcPr>
            <w:tcW w:w="1000" w:type="pct"/>
            <w:tcBorders>
              <w:left w:val="single" w:sz="4" w:space="0" w:color="BFBFBF"/>
              <w:right w:val="single" w:sz="4" w:space="0" w:color="BFBFBF"/>
            </w:tcBorders>
            <w:vAlign w:val="bottom"/>
          </w:tcPr>
          <w:p w:rsidR="00195BE7" w:rsidRPr="001E2F6E" w:rsidRDefault="00195BE7" w:rsidP="00195BE7">
            <w:pPr>
              <w:spacing w:line="240" w:lineRule="exact"/>
              <w:ind w:right="170"/>
              <w:jc w:val="right"/>
              <w:rPr>
                <w:sz w:val="16"/>
                <w:szCs w:val="16"/>
                <w:lang w:eastAsia="es-ES"/>
              </w:rPr>
            </w:pPr>
            <w:r w:rsidRPr="001E2F6E">
              <w:rPr>
                <w:sz w:val="16"/>
                <w:szCs w:val="16"/>
                <w:lang w:eastAsia="es-ES"/>
              </w:rPr>
              <w:t>3.060</w:t>
            </w:r>
          </w:p>
        </w:tc>
        <w:tc>
          <w:tcPr>
            <w:tcW w:w="1000" w:type="pct"/>
            <w:tcBorders>
              <w:left w:val="single" w:sz="4" w:space="0" w:color="BFBFBF"/>
            </w:tcBorders>
            <w:vAlign w:val="bottom"/>
          </w:tcPr>
          <w:p w:rsidR="00195BE7" w:rsidRPr="001E2F6E" w:rsidRDefault="00195BE7" w:rsidP="00195BE7">
            <w:pPr>
              <w:spacing w:line="240" w:lineRule="exact"/>
              <w:ind w:right="170"/>
              <w:jc w:val="right"/>
              <w:rPr>
                <w:sz w:val="16"/>
                <w:szCs w:val="16"/>
                <w:lang w:eastAsia="es-ES"/>
              </w:rPr>
            </w:pPr>
            <w:r w:rsidRPr="001E2F6E">
              <w:rPr>
                <w:sz w:val="16"/>
                <w:szCs w:val="16"/>
                <w:lang w:eastAsia="es-ES"/>
              </w:rPr>
              <w:t>1.768</w:t>
            </w:r>
          </w:p>
        </w:tc>
      </w:tr>
      <w:tr w:rsidR="00195BE7" w:rsidRPr="001E2F6E" w:rsidTr="00195BE7">
        <w:trPr>
          <w:jc w:val="center"/>
        </w:trPr>
        <w:tc>
          <w:tcPr>
            <w:tcW w:w="1000" w:type="pct"/>
            <w:tcBorders>
              <w:bottom w:val="single" w:sz="4" w:space="0" w:color="BFBFBF"/>
              <w:right w:val="single" w:sz="4" w:space="0" w:color="BFBFBF"/>
            </w:tcBorders>
            <w:vAlign w:val="bottom"/>
          </w:tcPr>
          <w:p w:rsidR="00195BE7" w:rsidRPr="001E2F6E" w:rsidRDefault="00195BE7" w:rsidP="00195BE7">
            <w:pPr>
              <w:spacing w:line="240" w:lineRule="exact"/>
              <w:rPr>
                <w:sz w:val="16"/>
                <w:szCs w:val="16"/>
                <w:lang w:eastAsia="es-ES"/>
              </w:rPr>
            </w:pPr>
            <w:r w:rsidRPr="001E2F6E">
              <w:rPr>
                <w:sz w:val="16"/>
                <w:szCs w:val="16"/>
                <w:lang w:eastAsia="es-ES"/>
              </w:rPr>
              <w:t>2012</w:t>
            </w:r>
          </w:p>
        </w:tc>
        <w:tc>
          <w:tcPr>
            <w:tcW w:w="1000" w:type="pct"/>
            <w:tcBorders>
              <w:left w:val="single" w:sz="4" w:space="0" w:color="BFBFBF"/>
              <w:bottom w:val="single" w:sz="4" w:space="0" w:color="BFBFBF"/>
              <w:right w:val="single" w:sz="4" w:space="0" w:color="BFBFBF"/>
            </w:tcBorders>
            <w:vAlign w:val="bottom"/>
          </w:tcPr>
          <w:p w:rsidR="00195BE7" w:rsidRPr="001E2F6E" w:rsidRDefault="00195BE7" w:rsidP="00195BE7">
            <w:pPr>
              <w:spacing w:line="240" w:lineRule="exact"/>
              <w:ind w:right="170"/>
              <w:jc w:val="right"/>
              <w:rPr>
                <w:sz w:val="16"/>
                <w:szCs w:val="16"/>
                <w:lang w:eastAsia="es-ES"/>
              </w:rPr>
            </w:pPr>
            <w:r w:rsidRPr="001E2F6E">
              <w:rPr>
                <w:sz w:val="16"/>
                <w:szCs w:val="16"/>
                <w:lang w:eastAsia="es-ES"/>
              </w:rPr>
              <w:t>2.387</w:t>
            </w:r>
          </w:p>
        </w:tc>
        <w:tc>
          <w:tcPr>
            <w:tcW w:w="1000" w:type="pct"/>
            <w:tcBorders>
              <w:left w:val="single" w:sz="4" w:space="0" w:color="BFBFBF"/>
              <w:bottom w:val="single" w:sz="4" w:space="0" w:color="BFBFBF"/>
              <w:right w:val="single" w:sz="4" w:space="0" w:color="BFBFBF"/>
            </w:tcBorders>
            <w:vAlign w:val="bottom"/>
          </w:tcPr>
          <w:p w:rsidR="00195BE7" w:rsidRPr="001E2F6E" w:rsidRDefault="00195BE7" w:rsidP="00195BE7">
            <w:pPr>
              <w:spacing w:line="240" w:lineRule="exact"/>
              <w:ind w:right="170"/>
              <w:jc w:val="right"/>
              <w:rPr>
                <w:sz w:val="16"/>
                <w:szCs w:val="16"/>
                <w:lang w:eastAsia="es-ES"/>
              </w:rPr>
            </w:pPr>
            <w:r w:rsidRPr="001E2F6E">
              <w:rPr>
                <w:sz w:val="16"/>
                <w:szCs w:val="16"/>
                <w:lang w:eastAsia="es-ES"/>
              </w:rPr>
              <w:t>1.638</w:t>
            </w:r>
          </w:p>
        </w:tc>
        <w:tc>
          <w:tcPr>
            <w:tcW w:w="1000" w:type="pct"/>
            <w:tcBorders>
              <w:left w:val="single" w:sz="4" w:space="0" w:color="BFBFBF"/>
              <w:bottom w:val="single" w:sz="4" w:space="0" w:color="BFBFBF"/>
              <w:right w:val="single" w:sz="4" w:space="0" w:color="BFBFBF"/>
            </w:tcBorders>
            <w:vAlign w:val="bottom"/>
          </w:tcPr>
          <w:p w:rsidR="00195BE7" w:rsidRPr="001E2F6E" w:rsidRDefault="00195BE7" w:rsidP="00195BE7">
            <w:pPr>
              <w:spacing w:line="240" w:lineRule="exact"/>
              <w:ind w:right="170"/>
              <w:jc w:val="right"/>
              <w:rPr>
                <w:sz w:val="16"/>
                <w:szCs w:val="16"/>
                <w:lang w:eastAsia="es-ES"/>
              </w:rPr>
            </w:pPr>
            <w:r w:rsidRPr="001E2F6E">
              <w:rPr>
                <w:sz w:val="16"/>
                <w:szCs w:val="16"/>
                <w:lang w:eastAsia="es-ES"/>
              </w:rPr>
              <w:t>1.096</w:t>
            </w:r>
          </w:p>
        </w:tc>
        <w:tc>
          <w:tcPr>
            <w:tcW w:w="1000" w:type="pct"/>
            <w:tcBorders>
              <w:left w:val="single" w:sz="4" w:space="0" w:color="BFBFBF"/>
              <w:bottom w:val="single" w:sz="4" w:space="0" w:color="BFBFBF"/>
            </w:tcBorders>
            <w:vAlign w:val="bottom"/>
          </w:tcPr>
          <w:p w:rsidR="00195BE7" w:rsidRPr="001E2F6E" w:rsidRDefault="00195BE7" w:rsidP="00195BE7">
            <w:pPr>
              <w:spacing w:line="240" w:lineRule="exact"/>
              <w:ind w:right="170"/>
              <w:jc w:val="right"/>
              <w:rPr>
                <w:sz w:val="16"/>
                <w:szCs w:val="16"/>
                <w:lang w:eastAsia="es-ES"/>
              </w:rPr>
            </w:pPr>
            <w:r w:rsidRPr="001E2F6E">
              <w:rPr>
                <w:sz w:val="16"/>
                <w:szCs w:val="16"/>
                <w:lang w:eastAsia="es-ES"/>
              </w:rPr>
              <w:t>542</w:t>
            </w:r>
          </w:p>
        </w:tc>
      </w:tr>
      <w:tr w:rsidR="00195BE7" w:rsidRPr="001E2F6E" w:rsidTr="00195BE7">
        <w:trPr>
          <w:jc w:val="center"/>
        </w:trPr>
        <w:tc>
          <w:tcPr>
            <w:tcW w:w="1000" w:type="pct"/>
            <w:tcBorders>
              <w:top w:val="single" w:sz="4" w:space="0" w:color="BFBFBF"/>
              <w:right w:val="single" w:sz="4" w:space="0" w:color="BFBFBF"/>
            </w:tcBorders>
            <w:vAlign w:val="bottom"/>
          </w:tcPr>
          <w:p w:rsidR="00195BE7" w:rsidRPr="001E2F6E" w:rsidRDefault="00195BE7" w:rsidP="00195BE7">
            <w:pPr>
              <w:spacing w:line="240" w:lineRule="exact"/>
              <w:rPr>
                <w:b/>
                <w:bCs/>
                <w:sz w:val="16"/>
                <w:szCs w:val="16"/>
                <w:lang w:eastAsia="es-ES"/>
              </w:rPr>
            </w:pPr>
            <w:r w:rsidRPr="001E2F6E">
              <w:rPr>
                <w:b/>
                <w:bCs/>
                <w:sz w:val="16"/>
                <w:szCs w:val="16"/>
                <w:lang w:val="eu-ES" w:eastAsia="es-ES"/>
              </w:rPr>
              <w:t>Lan-sozietate mugatuak</w:t>
            </w:r>
          </w:p>
        </w:tc>
        <w:tc>
          <w:tcPr>
            <w:tcW w:w="1000" w:type="pct"/>
            <w:tcBorders>
              <w:top w:val="single" w:sz="4" w:space="0" w:color="BFBFBF"/>
              <w:left w:val="single" w:sz="4" w:space="0" w:color="BFBFBF"/>
              <w:right w:val="single" w:sz="4" w:space="0" w:color="BFBFBF"/>
            </w:tcBorders>
            <w:vAlign w:val="bottom"/>
          </w:tcPr>
          <w:p w:rsidR="00195BE7" w:rsidRPr="001E2F6E" w:rsidRDefault="00195BE7" w:rsidP="00195BE7">
            <w:pPr>
              <w:spacing w:line="240" w:lineRule="exact"/>
              <w:ind w:right="170"/>
              <w:jc w:val="right"/>
              <w:rPr>
                <w:rFonts w:ascii="Calibri" w:hAnsi="Calibri" w:cs="Calibri"/>
                <w:sz w:val="22"/>
                <w:lang w:eastAsia="es-ES"/>
              </w:rPr>
            </w:pPr>
            <w:r w:rsidRPr="001E2F6E">
              <w:rPr>
                <w:rFonts w:ascii="Calibri" w:hAnsi="Calibri" w:cs="Calibri"/>
                <w:sz w:val="22"/>
                <w:lang w:eastAsia="es-ES"/>
              </w:rPr>
              <w:t> </w:t>
            </w:r>
          </w:p>
        </w:tc>
        <w:tc>
          <w:tcPr>
            <w:tcW w:w="1000" w:type="pct"/>
            <w:tcBorders>
              <w:top w:val="single" w:sz="4" w:space="0" w:color="BFBFBF"/>
              <w:left w:val="single" w:sz="4" w:space="0" w:color="BFBFBF"/>
              <w:right w:val="single" w:sz="4" w:space="0" w:color="BFBFBF"/>
            </w:tcBorders>
            <w:vAlign w:val="bottom"/>
          </w:tcPr>
          <w:p w:rsidR="00195BE7" w:rsidRPr="001E2F6E" w:rsidRDefault="00195BE7" w:rsidP="00195BE7">
            <w:pPr>
              <w:spacing w:line="240" w:lineRule="exact"/>
              <w:ind w:right="170"/>
              <w:jc w:val="right"/>
              <w:rPr>
                <w:rFonts w:ascii="Calibri" w:hAnsi="Calibri" w:cs="Calibri"/>
                <w:sz w:val="22"/>
                <w:lang w:eastAsia="es-ES"/>
              </w:rPr>
            </w:pPr>
            <w:r w:rsidRPr="001E2F6E">
              <w:rPr>
                <w:rFonts w:ascii="Calibri" w:hAnsi="Calibri" w:cs="Calibri"/>
                <w:sz w:val="22"/>
                <w:lang w:eastAsia="es-ES"/>
              </w:rPr>
              <w:t> </w:t>
            </w:r>
          </w:p>
        </w:tc>
        <w:tc>
          <w:tcPr>
            <w:tcW w:w="1000" w:type="pct"/>
            <w:tcBorders>
              <w:top w:val="single" w:sz="4" w:space="0" w:color="BFBFBF"/>
              <w:left w:val="single" w:sz="4" w:space="0" w:color="BFBFBF"/>
              <w:right w:val="single" w:sz="4" w:space="0" w:color="BFBFBF"/>
            </w:tcBorders>
            <w:vAlign w:val="bottom"/>
          </w:tcPr>
          <w:p w:rsidR="00195BE7" w:rsidRPr="001E2F6E" w:rsidRDefault="00195BE7" w:rsidP="00195BE7">
            <w:pPr>
              <w:spacing w:line="240" w:lineRule="exact"/>
              <w:ind w:right="170"/>
              <w:jc w:val="right"/>
              <w:rPr>
                <w:rFonts w:ascii="Calibri" w:hAnsi="Calibri" w:cs="Calibri"/>
                <w:sz w:val="22"/>
                <w:lang w:eastAsia="es-ES"/>
              </w:rPr>
            </w:pPr>
            <w:r w:rsidRPr="001E2F6E">
              <w:rPr>
                <w:rFonts w:ascii="Calibri" w:hAnsi="Calibri" w:cs="Calibri"/>
                <w:sz w:val="22"/>
                <w:lang w:eastAsia="es-ES"/>
              </w:rPr>
              <w:t> </w:t>
            </w:r>
          </w:p>
        </w:tc>
        <w:tc>
          <w:tcPr>
            <w:tcW w:w="1000" w:type="pct"/>
            <w:tcBorders>
              <w:top w:val="single" w:sz="4" w:space="0" w:color="BFBFBF"/>
              <w:left w:val="single" w:sz="4" w:space="0" w:color="BFBFBF"/>
            </w:tcBorders>
            <w:vAlign w:val="bottom"/>
          </w:tcPr>
          <w:p w:rsidR="00195BE7" w:rsidRPr="001E2F6E" w:rsidRDefault="00195BE7" w:rsidP="00195BE7">
            <w:pPr>
              <w:spacing w:line="240" w:lineRule="exact"/>
              <w:ind w:right="170"/>
              <w:jc w:val="right"/>
              <w:rPr>
                <w:rFonts w:ascii="Calibri" w:hAnsi="Calibri" w:cs="Calibri"/>
                <w:sz w:val="22"/>
                <w:lang w:eastAsia="es-ES"/>
              </w:rPr>
            </w:pPr>
            <w:r w:rsidRPr="001E2F6E">
              <w:rPr>
                <w:rFonts w:ascii="Calibri" w:hAnsi="Calibri" w:cs="Calibri"/>
                <w:sz w:val="22"/>
                <w:lang w:eastAsia="es-ES"/>
              </w:rPr>
              <w:t> </w:t>
            </w:r>
          </w:p>
        </w:tc>
      </w:tr>
      <w:tr w:rsidR="00195BE7" w:rsidRPr="001E2F6E" w:rsidTr="00195BE7">
        <w:trPr>
          <w:jc w:val="center"/>
        </w:trPr>
        <w:tc>
          <w:tcPr>
            <w:tcW w:w="1000" w:type="pct"/>
            <w:tcBorders>
              <w:right w:val="single" w:sz="4" w:space="0" w:color="BFBFBF"/>
            </w:tcBorders>
            <w:vAlign w:val="bottom"/>
          </w:tcPr>
          <w:p w:rsidR="00195BE7" w:rsidRPr="001E2F6E" w:rsidRDefault="00195BE7" w:rsidP="00195BE7">
            <w:pPr>
              <w:spacing w:line="240" w:lineRule="exact"/>
              <w:rPr>
                <w:sz w:val="16"/>
                <w:szCs w:val="16"/>
                <w:lang w:eastAsia="es-ES"/>
              </w:rPr>
            </w:pPr>
            <w:r w:rsidRPr="001E2F6E">
              <w:rPr>
                <w:sz w:val="16"/>
                <w:szCs w:val="16"/>
                <w:lang w:eastAsia="es-ES"/>
              </w:rPr>
              <w:t>2006</w:t>
            </w:r>
          </w:p>
        </w:tc>
        <w:tc>
          <w:tcPr>
            <w:tcW w:w="1000" w:type="pct"/>
            <w:tcBorders>
              <w:left w:val="single" w:sz="4" w:space="0" w:color="BFBFBF"/>
              <w:right w:val="single" w:sz="4" w:space="0" w:color="BFBFBF"/>
            </w:tcBorders>
            <w:vAlign w:val="bottom"/>
          </w:tcPr>
          <w:p w:rsidR="00195BE7" w:rsidRPr="001E2F6E" w:rsidRDefault="00195BE7" w:rsidP="00195BE7">
            <w:pPr>
              <w:spacing w:line="240" w:lineRule="exact"/>
              <w:ind w:right="170"/>
              <w:jc w:val="right"/>
              <w:rPr>
                <w:sz w:val="16"/>
                <w:szCs w:val="16"/>
                <w:lang w:eastAsia="es-ES"/>
              </w:rPr>
            </w:pPr>
            <w:r w:rsidRPr="001E2F6E">
              <w:rPr>
                <w:sz w:val="16"/>
                <w:szCs w:val="16"/>
                <w:lang w:eastAsia="es-ES"/>
              </w:rPr>
              <w:t>3.018</w:t>
            </w:r>
          </w:p>
        </w:tc>
        <w:tc>
          <w:tcPr>
            <w:tcW w:w="1000" w:type="pct"/>
            <w:tcBorders>
              <w:left w:val="single" w:sz="4" w:space="0" w:color="BFBFBF"/>
              <w:right w:val="single" w:sz="4" w:space="0" w:color="BFBFBF"/>
            </w:tcBorders>
            <w:vAlign w:val="bottom"/>
          </w:tcPr>
          <w:p w:rsidR="00195BE7" w:rsidRPr="001E2F6E" w:rsidRDefault="00195BE7" w:rsidP="00195BE7">
            <w:pPr>
              <w:spacing w:line="240" w:lineRule="exact"/>
              <w:ind w:right="170"/>
              <w:jc w:val="right"/>
              <w:rPr>
                <w:sz w:val="16"/>
                <w:szCs w:val="16"/>
                <w:lang w:eastAsia="es-ES"/>
              </w:rPr>
            </w:pPr>
            <w:r w:rsidRPr="001E2F6E">
              <w:rPr>
                <w:sz w:val="16"/>
                <w:szCs w:val="16"/>
                <w:lang w:eastAsia="es-ES"/>
              </w:rPr>
              <w:t>2.080</w:t>
            </w:r>
          </w:p>
        </w:tc>
        <w:tc>
          <w:tcPr>
            <w:tcW w:w="1000" w:type="pct"/>
            <w:tcBorders>
              <w:left w:val="single" w:sz="4" w:space="0" w:color="BFBFBF"/>
              <w:right w:val="single" w:sz="4" w:space="0" w:color="BFBFBF"/>
            </w:tcBorders>
            <w:vAlign w:val="bottom"/>
          </w:tcPr>
          <w:p w:rsidR="00195BE7" w:rsidRPr="001E2F6E" w:rsidRDefault="00195BE7" w:rsidP="00195BE7">
            <w:pPr>
              <w:spacing w:line="240" w:lineRule="exact"/>
              <w:ind w:right="170"/>
              <w:jc w:val="right"/>
              <w:rPr>
                <w:sz w:val="16"/>
                <w:szCs w:val="16"/>
                <w:lang w:eastAsia="es-ES"/>
              </w:rPr>
            </w:pPr>
            <w:r w:rsidRPr="001E2F6E">
              <w:rPr>
                <w:sz w:val="16"/>
                <w:szCs w:val="16"/>
                <w:lang w:eastAsia="es-ES"/>
              </w:rPr>
              <w:t>919</w:t>
            </w:r>
          </w:p>
        </w:tc>
        <w:tc>
          <w:tcPr>
            <w:tcW w:w="1000" w:type="pct"/>
            <w:tcBorders>
              <w:left w:val="single" w:sz="4" w:space="0" w:color="BFBFBF"/>
            </w:tcBorders>
            <w:vAlign w:val="bottom"/>
          </w:tcPr>
          <w:p w:rsidR="00195BE7" w:rsidRPr="001E2F6E" w:rsidRDefault="00195BE7" w:rsidP="00195BE7">
            <w:pPr>
              <w:spacing w:line="240" w:lineRule="exact"/>
              <w:ind w:right="170"/>
              <w:jc w:val="right"/>
              <w:rPr>
                <w:sz w:val="16"/>
                <w:szCs w:val="16"/>
                <w:lang w:eastAsia="es-ES"/>
              </w:rPr>
            </w:pPr>
            <w:r w:rsidRPr="001E2F6E">
              <w:rPr>
                <w:sz w:val="16"/>
                <w:szCs w:val="16"/>
                <w:lang w:eastAsia="es-ES"/>
              </w:rPr>
              <w:t>1.161</w:t>
            </w:r>
          </w:p>
        </w:tc>
      </w:tr>
      <w:tr w:rsidR="00195BE7" w:rsidRPr="001E2F6E" w:rsidTr="00195BE7">
        <w:trPr>
          <w:jc w:val="center"/>
        </w:trPr>
        <w:tc>
          <w:tcPr>
            <w:tcW w:w="1000" w:type="pct"/>
            <w:tcBorders>
              <w:right w:val="single" w:sz="4" w:space="0" w:color="BFBFBF"/>
            </w:tcBorders>
            <w:vAlign w:val="bottom"/>
          </w:tcPr>
          <w:p w:rsidR="00195BE7" w:rsidRPr="001E2F6E" w:rsidRDefault="00195BE7" w:rsidP="00195BE7">
            <w:pPr>
              <w:spacing w:line="240" w:lineRule="exact"/>
              <w:rPr>
                <w:sz w:val="16"/>
                <w:szCs w:val="16"/>
                <w:lang w:eastAsia="es-ES"/>
              </w:rPr>
            </w:pPr>
            <w:r w:rsidRPr="001E2F6E">
              <w:rPr>
                <w:sz w:val="16"/>
                <w:szCs w:val="16"/>
                <w:lang w:eastAsia="es-ES"/>
              </w:rPr>
              <w:t>2008</w:t>
            </w:r>
          </w:p>
        </w:tc>
        <w:tc>
          <w:tcPr>
            <w:tcW w:w="1000" w:type="pct"/>
            <w:tcBorders>
              <w:left w:val="single" w:sz="4" w:space="0" w:color="BFBFBF"/>
              <w:right w:val="single" w:sz="4" w:space="0" w:color="BFBFBF"/>
            </w:tcBorders>
            <w:vAlign w:val="bottom"/>
          </w:tcPr>
          <w:p w:rsidR="00195BE7" w:rsidRPr="001E2F6E" w:rsidRDefault="00195BE7" w:rsidP="00195BE7">
            <w:pPr>
              <w:spacing w:line="240" w:lineRule="exact"/>
              <w:ind w:right="170"/>
              <w:jc w:val="right"/>
              <w:rPr>
                <w:sz w:val="16"/>
                <w:szCs w:val="16"/>
                <w:lang w:eastAsia="es-ES"/>
              </w:rPr>
            </w:pPr>
            <w:r w:rsidRPr="001E2F6E">
              <w:rPr>
                <w:sz w:val="16"/>
                <w:szCs w:val="16"/>
                <w:lang w:eastAsia="es-ES"/>
              </w:rPr>
              <w:t>2.718</w:t>
            </w:r>
          </w:p>
        </w:tc>
        <w:tc>
          <w:tcPr>
            <w:tcW w:w="1000" w:type="pct"/>
            <w:tcBorders>
              <w:left w:val="single" w:sz="4" w:space="0" w:color="BFBFBF"/>
              <w:right w:val="single" w:sz="4" w:space="0" w:color="BFBFBF"/>
            </w:tcBorders>
            <w:vAlign w:val="bottom"/>
          </w:tcPr>
          <w:p w:rsidR="00195BE7" w:rsidRPr="001E2F6E" w:rsidRDefault="00195BE7" w:rsidP="00195BE7">
            <w:pPr>
              <w:spacing w:line="240" w:lineRule="exact"/>
              <w:ind w:right="170"/>
              <w:jc w:val="right"/>
              <w:rPr>
                <w:sz w:val="16"/>
                <w:szCs w:val="16"/>
                <w:lang w:eastAsia="es-ES"/>
              </w:rPr>
            </w:pPr>
            <w:r w:rsidRPr="001E2F6E">
              <w:rPr>
                <w:sz w:val="16"/>
                <w:szCs w:val="16"/>
                <w:lang w:eastAsia="es-ES"/>
              </w:rPr>
              <w:t>2.088</w:t>
            </w:r>
          </w:p>
        </w:tc>
        <w:tc>
          <w:tcPr>
            <w:tcW w:w="1000" w:type="pct"/>
            <w:tcBorders>
              <w:left w:val="single" w:sz="4" w:space="0" w:color="BFBFBF"/>
              <w:right w:val="single" w:sz="4" w:space="0" w:color="BFBFBF"/>
            </w:tcBorders>
            <w:vAlign w:val="bottom"/>
          </w:tcPr>
          <w:p w:rsidR="00195BE7" w:rsidRPr="001E2F6E" w:rsidRDefault="00195BE7" w:rsidP="00195BE7">
            <w:pPr>
              <w:spacing w:line="240" w:lineRule="exact"/>
              <w:ind w:right="170"/>
              <w:jc w:val="right"/>
              <w:rPr>
                <w:sz w:val="16"/>
                <w:szCs w:val="16"/>
                <w:lang w:eastAsia="es-ES"/>
              </w:rPr>
            </w:pPr>
            <w:r w:rsidRPr="001E2F6E">
              <w:rPr>
                <w:sz w:val="16"/>
                <w:szCs w:val="16"/>
                <w:lang w:eastAsia="es-ES"/>
              </w:rPr>
              <w:t>1.076</w:t>
            </w:r>
          </w:p>
        </w:tc>
        <w:tc>
          <w:tcPr>
            <w:tcW w:w="1000" w:type="pct"/>
            <w:tcBorders>
              <w:left w:val="single" w:sz="4" w:space="0" w:color="BFBFBF"/>
            </w:tcBorders>
            <w:vAlign w:val="bottom"/>
          </w:tcPr>
          <w:p w:rsidR="00195BE7" w:rsidRPr="001E2F6E" w:rsidRDefault="00195BE7" w:rsidP="00195BE7">
            <w:pPr>
              <w:spacing w:line="240" w:lineRule="exact"/>
              <w:ind w:right="170"/>
              <w:jc w:val="right"/>
              <w:rPr>
                <w:sz w:val="16"/>
                <w:szCs w:val="16"/>
                <w:lang w:eastAsia="es-ES"/>
              </w:rPr>
            </w:pPr>
            <w:r w:rsidRPr="001E2F6E">
              <w:rPr>
                <w:sz w:val="16"/>
                <w:szCs w:val="16"/>
                <w:lang w:eastAsia="es-ES"/>
              </w:rPr>
              <w:t>1.012</w:t>
            </w:r>
          </w:p>
        </w:tc>
      </w:tr>
      <w:tr w:rsidR="00195BE7" w:rsidRPr="001E2F6E" w:rsidTr="00195BE7">
        <w:trPr>
          <w:jc w:val="center"/>
        </w:trPr>
        <w:tc>
          <w:tcPr>
            <w:tcW w:w="1000" w:type="pct"/>
            <w:tcBorders>
              <w:right w:val="single" w:sz="4" w:space="0" w:color="BFBFBF"/>
            </w:tcBorders>
            <w:vAlign w:val="bottom"/>
          </w:tcPr>
          <w:p w:rsidR="00195BE7" w:rsidRPr="001E2F6E" w:rsidRDefault="00195BE7" w:rsidP="00195BE7">
            <w:pPr>
              <w:spacing w:line="240" w:lineRule="exact"/>
              <w:rPr>
                <w:sz w:val="16"/>
                <w:szCs w:val="16"/>
                <w:lang w:eastAsia="es-ES"/>
              </w:rPr>
            </w:pPr>
            <w:r w:rsidRPr="001E2F6E">
              <w:rPr>
                <w:sz w:val="16"/>
                <w:szCs w:val="16"/>
                <w:lang w:eastAsia="es-ES"/>
              </w:rPr>
              <w:t>2010</w:t>
            </w:r>
          </w:p>
        </w:tc>
        <w:tc>
          <w:tcPr>
            <w:tcW w:w="1000" w:type="pct"/>
            <w:tcBorders>
              <w:left w:val="single" w:sz="4" w:space="0" w:color="BFBFBF"/>
              <w:right w:val="single" w:sz="4" w:space="0" w:color="BFBFBF"/>
            </w:tcBorders>
            <w:vAlign w:val="bottom"/>
          </w:tcPr>
          <w:p w:rsidR="00195BE7" w:rsidRPr="001E2F6E" w:rsidRDefault="00195BE7" w:rsidP="00195BE7">
            <w:pPr>
              <w:spacing w:line="240" w:lineRule="exact"/>
              <w:ind w:right="170"/>
              <w:jc w:val="right"/>
              <w:rPr>
                <w:sz w:val="16"/>
                <w:szCs w:val="16"/>
                <w:lang w:eastAsia="es-ES"/>
              </w:rPr>
            </w:pPr>
            <w:r w:rsidRPr="001E2F6E">
              <w:rPr>
                <w:sz w:val="16"/>
                <w:szCs w:val="16"/>
                <w:lang w:eastAsia="es-ES"/>
              </w:rPr>
              <w:t>2.879</w:t>
            </w:r>
          </w:p>
        </w:tc>
        <w:tc>
          <w:tcPr>
            <w:tcW w:w="1000" w:type="pct"/>
            <w:tcBorders>
              <w:left w:val="single" w:sz="4" w:space="0" w:color="BFBFBF"/>
              <w:right w:val="single" w:sz="4" w:space="0" w:color="BFBFBF"/>
            </w:tcBorders>
            <w:vAlign w:val="bottom"/>
          </w:tcPr>
          <w:p w:rsidR="00195BE7" w:rsidRPr="001E2F6E" w:rsidRDefault="00195BE7" w:rsidP="00195BE7">
            <w:pPr>
              <w:spacing w:line="240" w:lineRule="exact"/>
              <w:ind w:right="170"/>
              <w:jc w:val="right"/>
              <w:rPr>
                <w:sz w:val="16"/>
                <w:szCs w:val="16"/>
                <w:lang w:eastAsia="es-ES"/>
              </w:rPr>
            </w:pPr>
            <w:r w:rsidRPr="001E2F6E">
              <w:rPr>
                <w:sz w:val="16"/>
                <w:szCs w:val="16"/>
                <w:lang w:eastAsia="es-ES"/>
              </w:rPr>
              <w:t>1.525</w:t>
            </w:r>
          </w:p>
        </w:tc>
        <w:tc>
          <w:tcPr>
            <w:tcW w:w="1000" w:type="pct"/>
            <w:tcBorders>
              <w:left w:val="single" w:sz="4" w:space="0" w:color="BFBFBF"/>
              <w:right w:val="single" w:sz="4" w:space="0" w:color="BFBFBF"/>
            </w:tcBorders>
            <w:vAlign w:val="bottom"/>
          </w:tcPr>
          <w:p w:rsidR="00195BE7" w:rsidRPr="001E2F6E" w:rsidRDefault="00195BE7" w:rsidP="00195BE7">
            <w:pPr>
              <w:spacing w:line="240" w:lineRule="exact"/>
              <w:ind w:right="170"/>
              <w:jc w:val="right"/>
              <w:rPr>
                <w:sz w:val="16"/>
                <w:szCs w:val="16"/>
                <w:lang w:eastAsia="es-ES"/>
              </w:rPr>
            </w:pPr>
            <w:r w:rsidRPr="001E2F6E">
              <w:rPr>
                <w:sz w:val="16"/>
                <w:szCs w:val="16"/>
                <w:lang w:eastAsia="es-ES"/>
              </w:rPr>
              <w:t>925</w:t>
            </w:r>
          </w:p>
        </w:tc>
        <w:tc>
          <w:tcPr>
            <w:tcW w:w="1000" w:type="pct"/>
            <w:tcBorders>
              <w:left w:val="single" w:sz="4" w:space="0" w:color="BFBFBF"/>
            </w:tcBorders>
            <w:vAlign w:val="bottom"/>
          </w:tcPr>
          <w:p w:rsidR="00195BE7" w:rsidRPr="001E2F6E" w:rsidRDefault="00195BE7" w:rsidP="00195BE7">
            <w:pPr>
              <w:spacing w:line="240" w:lineRule="exact"/>
              <w:ind w:right="170"/>
              <w:jc w:val="right"/>
              <w:rPr>
                <w:sz w:val="16"/>
                <w:szCs w:val="16"/>
                <w:lang w:eastAsia="es-ES"/>
              </w:rPr>
            </w:pPr>
            <w:r w:rsidRPr="001E2F6E">
              <w:rPr>
                <w:sz w:val="16"/>
                <w:szCs w:val="16"/>
                <w:lang w:eastAsia="es-ES"/>
              </w:rPr>
              <w:t>600</w:t>
            </w:r>
          </w:p>
        </w:tc>
      </w:tr>
      <w:tr w:rsidR="00195BE7" w:rsidRPr="001E2F6E" w:rsidTr="00195BE7">
        <w:trPr>
          <w:jc w:val="center"/>
        </w:trPr>
        <w:tc>
          <w:tcPr>
            <w:tcW w:w="1000" w:type="pct"/>
            <w:tcBorders>
              <w:bottom w:val="single" w:sz="4" w:space="0" w:color="BFBFBF"/>
              <w:right w:val="single" w:sz="4" w:space="0" w:color="BFBFBF"/>
            </w:tcBorders>
            <w:vAlign w:val="bottom"/>
          </w:tcPr>
          <w:p w:rsidR="00195BE7" w:rsidRPr="001E2F6E" w:rsidRDefault="00195BE7" w:rsidP="00195BE7">
            <w:pPr>
              <w:spacing w:line="240" w:lineRule="exact"/>
              <w:rPr>
                <w:sz w:val="16"/>
                <w:szCs w:val="16"/>
                <w:lang w:eastAsia="es-ES"/>
              </w:rPr>
            </w:pPr>
            <w:r w:rsidRPr="001E2F6E">
              <w:rPr>
                <w:sz w:val="16"/>
                <w:szCs w:val="16"/>
                <w:lang w:eastAsia="es-ES"/>
              </w:rPr>
              <w:t>2012</w:t>
            </w:r>
          </w:p>
        </w:tc>
        <w:tc>
          <w:tcPr>
            <w:tcW w:w="1000" w:type="pct"/>
            <w:tcBorders>
              <w:left w:val="single" w:sz="4" w:space="0" w:color="BFBFBF"/>
              <w:bottom w:val="single" w:sz="4" w:space="0" w:color="BFBFBF"/>
              <w:right w:val="single" w:sz="4" w:space="0" w:color="BFBFBF"/>
            </w:tcBorders>
            <w:vAlign w:val="bottom"/>
          </w:tcPr>
          <w:p w:rsidR="00195BE7" w:rsidRPr="001E2F6E" w:rsidRDefault="00195BE7" w:rsidP="00195BE7">
            <w:pPr>
              <w:spacing w:line="240" w:lineRule="exact"/>
              <w:ind w:right="170"/>
              <w:jc w:val="right"/>
              <w:rPr>
                <w:sz w:val="16"/>
                <w:szCs w:val="16"/>
                <w:lang w:eastAsia="es-ES"/>
              </w:rPr>
            </w:pPr>
            <w:r w:rsidRPr="001E2F6E">
              <w:rPr>
                <w:sz w:val="16"/>
                <w:szCs w:val="16"/>
                <w:lang w:eastAsia="es-ES"/>
              </w:rPr>
              <w:t>2.614</w:t>
            </w:r>
          </w:p>
        </w:tc>
        <w:tc>
          <w:tcPr>
            <w:tcW w:w="1000" w:type="pct"/>
            <w:tcBorders>
              <w:left w:val="single" w:sz="4" w:space="0" w:color="BFBFBF"/>
              <w:bottom w:val="single" w:sz="4" w:space="0" w:color="BFBFBF"/>
              <w:right w:val="single" w:sz="4" w:space="0" w:color="BFBFBF"/>
            </w:tcBorders>
            <w:vAlign w:val="bottom"/>
          </w:tcPr>
          <w:p w:rsidR="00195BE7" w:rsidRPr="001E2F6E" w:rsidRDefault="00195BE7" w:rsidP="00195BE7">
            <w:pPr>
              <w:spacing w:line="240" w:lineRule="exact"/>
              <w:ind w:right="170"/>
              <w:jc w:val="right"/>
              <w:rPr>
                <w:sz w:val="16"/>
                <w:szCs w:val="16"/>
                <w:lang w:eastAsia="es-ES"/>
              </w:rPr>
            </w:pPr>
            <w:r w:rsidRPr="001E2F6E">
              <w:rPr>
                <w:sz w:val="16"/>
                <w:szCs w:val="16"/>
                <w:lang w:eastAsia="es-ES"/>
              </w:rPr>
              <w:t>1.227</w:t>
            </w:r>
          </w:p>
        </w:tc>
        <w:tc>
          <w:tcPr>
            <w:tcW w:w="1000" w:type="pct"/>
            <w:tcBorders>
              <w:left w:val="single" w:sz="4" w:space="0" w:color="BFBFBF"/>
              <w:bottom w:val="single" w:sz="4" w:space="0" w:color="BFBFBF"/>
              <w:right w:val="single" w:sz="4" w:space="0" w:color="BFBFBF"/>
            </w:tcBorders>
            <w:vAlign w:val="bottom"/>
          </w:tcPr>
          <w:p w:rsidR="00195BE7" w:rsidRPr="001E2F6E" w:rsidRDefault="00195BE7" w:rsidP="00195BE7">
            <w:pPr>
              <w:spacing w:line="240" w:lineRule="exact"/>
              <w:ind w:right="170"/>
              <w:jc w:val="right"/>
              <w:rPr>
                <w:sz w:val="16"/>
                <w:szCs w:val="16"/>
                <w:lang w:eastAsia="es-ES"/>
              </w:rPr>
            </w:pPr>
            <w:r w:rsidRPr="001E2F6E">
              <w:rPr>
                <w:sz w:val="16"/>
                <w:szCs w:val="16"/>
                <w:lang w:eastAsia="es-ES"/>
              </w:rPr>
              <w:t>671</w:t>
            </w:r>
          </w:p>
        </w:tc>
        <w:tc>
          <w:tcPr>
            <w:tcW w:w="1000" w:type="pct"/>
            <w:tcBorders>
              <w:left w:val="single" w:sz="4" w:space="0" w:color="BFBFBF"/>
              <w:bottom w:val="single" w:sz="4" w:space="0" w:color="BFBFBF"/>
            </w:tcBorders>
            <w:vAlign w:val="bottom"/>
          </w:tcPr>
          <w:p w:rsidR="00195BE7" w:rsidRPr="001E2F6E" w:rsidRDefault="00195BE7" w:rsidP="00195BE7">
            <w:pPr>
              <w:spacing w:line="240" w:lineRule="exact"/>
              <w:ind w:right="170"/>
              <w:jc w:val="right"/>
              <w:rPr>
                <w:sz w:val="16"/>
                <w:szCs w:val="16"/>
                <w:lang w:eastAsia="es-ES"/>
              </w:rPr>
            </w:pPr>
            <w:r w:rsidRPr="001E2F6E">
              <w:rPr>
                <w:sz w:val="16"/>
                <w:szCs w:val="16"/>
                <w:lang w:eastAsia="es-ES"/>
              </w:rPr>
              <w:t>556</w:t>
            </w:r>
          </w:p>
        </w:tc>
      </w:tr>
      <w:tr w:rsidR="00195BE7" w:rsidRPr="001E2F6E" w:rsidTr="00195BE7">
        <w:trPr>
          <w:jc w:val="center"/>
        </w:trPr>
        <w:tc>
          <w:tcPr>
            <w:tcW w:w="1000" w:type="pct"/>
            <w:tcBorders>
              <w:top w:val="single" w:sz="4" w:space="0" w:color="BFBFBF"/>
              <w:right w:val="single" w:sz="4" w:space="0" w:color="BFBFBF"/>
            </w:tcBorders>
            <w:vAlign w:val="bottom"/>
          </w:tcPr>
          <w:p w:rsidR="00195BE7" w:rsidRPr="001E2F6E" w:rsidRDefault="00195BE7" w:rsidP="00195BE7">
            <w:pPr>
              <w:spacing w:line="240" w:lineRule="exact"/>
              <w:rPr>
                <w:b/>
                <w:bCs/>
                <w:sz w:val="16"/>
                <w:szCs w:val="16"/>
                <w:lang w:eastAsia="es-ES"/>
              </w:rPr>
            </w:pPr>
            <w:r w:rsidRPr="001E2F6E">
              <w:rPr>
                <w:b/>
                <w:bCs/>
                <w:sz w:val="16"/>
                <w:szCs w:val="16"/>
                <w:lang w:val="eu-ES" w:eastAsia="es-ES"/>
              </w:rPr>
              <w:t>GUZTIRA</w:t>
            </w:r>
          </w:p>
        </w:tc>
        <w:tc>
          <w:tcPr>
            <w:tcW w:w="1000" w:type="pct"/>
            <w:tcBorders>
              <w:top w:val="single" w:sz="4" w:space="0" w:color="BFBFBF"/>
              <w:left w:val="single" w:sz="4" w:space="0" w:color="BFBFBF"/>
              <w:right w:val="single" w:sz="4" w:space="0" w:color="BFBFBF"/>
            </w:tcBorders>
            <w:vAlign w:val="bottom"/>
          </w:tcPr>
          <w:p w:rsidR="00195BE7" w:rsidRPr="001E2F6E" w:rsidRDefault="00195BE7" w:rsidP="00195BE7">
            <w:pPr>
              <w:spacing w:line="240" w:lineRule="exact"/>
              <w:ind w:right="170"/>
              <w:jc w:val="right"/>
              <w:rPr>
                <w:sz w:val="16"/>
                <w:szCs w:val="16"/>
                <w:lang w:eastAsia="es-ES"/>
              </w:rPr>
            </w:pPr>
            <w:r w:rsidRPr="001E2F6E">
              <w:rPr>
                <w:sz w:val="16"/>
                <w:szCs w:val="16"/>
                <w:lang w:eastAsia="es-ES"/>
              </w:rPr>
              <w:t> </w:t>
            </w:r>
          </w:p>
        </w:tc>
        <w:tc>
          <w:tcPr>
            <w:tcW w:w="1000" w:type="pct"/>
            <w:tcBorders>
              <w:top w:val="single" w:sz="4" w:space="0" w:color="BFBFBF"/>
              <w:left w:val="single" w:sz="4" w:space="0" w:color="BFBFBF"/>
              <w:right w:val="single" w:sz="4" w:space="0" w:color="BFBFBF"/>
            </w:tcBorders>
            <w:vAlign w:val="bottom"/>
          </w:tcPr>
          <w:p w:rsidR="00195BE7" w:rsidRPr="001E2F6E" w:rsidRDefault="00195BE7" w:rsidP="00195BE7">
            <w:pPr>
              <w:spacing w:line="240" w:lineRule="exact"/>
              <w:ind w:right="170"/>
              <w:jc w:val="right"/>
              <w:rPr>
                <w:sz w:val="16"/>
                <w:szCs w:val="16"/>
                <w:lang w:eastAsia="es-ES"/>
              </w:rPr>
            </w:pPr>
            <w:r w:rsidRPr="001E2F6E">
              <w:rPr>
                <w:sz w:val="16"/>
                <w:szCs w:val="16"/>
                <w:lang w:eastAsia="es-ES"/>
              </w:rPr>
              <w:t> </w:t>
            </w:r>
          </w:p>
        </w:tc>
        <w:tc>
          <w:tcPr>
            <w:tcW w:w="1000" w:type="pct"/>
            <w:tcBorders>
              <w:top w:val="single" w:sz="4" w:space="0" w:color="BFBFBF"/>
              <w:left w:val="single" w:sz="4" w:space="0" w:color="BFBFBF"/>
              <w:right w:val="single" w:sz="4" w:space="0" w:color="BFBFBF"/>
            </w:tcBorders>
            <w:vAlign w:val="bottom"/>
          </w:tcPr>
          <w:p w:rsidR="00195BE7" w:rsidRPr="001E2F6E" w:rsidRDefault="00195BE7" w:rsidP="00195BE7">
            <w:pPr>
              <w:spacing w:line="240" w:lineRule="exact"/>
              <w:ind w:right="170"/>
              <w:jc w:val="right"/>
              <w:rPr>
                <w:sz w:val="16"/>
                <w:szCs w:val="16"/>
                <w:lang w:eastAsia="es-ES"/>
              </w:rPr>
            </w:pPr>
            <w:r w:rsidRPr="001E2F6E">
              <w:rPr>
                <w:sz w:val="16"/>
                <w:szCs w:val="16"/>
                <w:lang w:eastAsia="es-ES"/>
              </w:rPr>
              <w:t> </w:t>
            </w:r>
          </w:p>
        </w:tc>
        <w:tc>
          <w:tcPr>
            <w:tcW w:w="1000" w:type="pct"/>
            <w:tcBorders>
              <w:top w:val="single" w:sz="4" w:space="0" w:color="BFBFBF"/>
              <w:left w:val="single" w:sz="4" w:space="0" w:color="BFBFBF"/>
            </w:tcBorders>
            <w:vAlign w:val="bottom"/>
          </w:tcPr>
          <w:p w:rsidR="00195BE7" w:rsidRPr="001E2F6E" w:rsidRDefault="00195BE7" w:rsidP="00195BE7">
            <w:pPr>
              <w:spacing w:line="240" w:lineRule="exact"/>
              <w:ind w:right="170"/>
              <w:jc w:val="right"/>
              <w:rPr>
                <w:sz w:val="16"/>
                <w:szCs w:val="16"/>
                <w:lang w:eastAsia="es-ES"/>
              </w:rPr>
            </w:pPr>
            <w:r w:rsidRPr="001E2F6E">
              <w:rPr>
                <w:sz w:val="16"/>
                <w:szCs w:val="16"/>
                <w:lang w:eastAsia="es-ES"/>
              </w:rPr>
              <w:t> </w:t>
            </w:r>
          </w:p>
        </w:tc>
      </w:tr>
      <w:tr w:rsidR="00195BE7" w:rsidRPr="001E2F6E" w:rsidTr="00195BE7">
        <w:trPr>
          <w:jc w:val="center"/>
        </w:trPr>
        <w:tc>
          <w:tcPr>
            <w:tcW w:w="1000" w:type="pct"/>
            <w:tcBorders>
              <w:right w:val="single" w:sz="4" w:space="0" w:color="BFBFBF"/>
            </w:tcBorders>
            <w:vAlign w:val="bottom"/>
          </w:tcPr>
          <w:p w:rsidR="00195BE7" w:rsidRPr="001E2F6E" w:rsidRDefault="00195BE7" w:rsidP="00195BE7">
            <w:pPr>
              <w:spacing w:line="240" w:lineRule="exact"/>
              <w:rPr>
                <w:sz w:val="16"/>
                <w:szCs w:val="16"/>
                <w:lang w:eastAsia="es-ES"/>
              </w:rPr>
            </w:pPr>
            <w:r w:rsidRPr="001E2F6E">
              <w:rPr>
                <w:sz w:val="16"/>
                <w:szCs w:val="16"/>
                <w:lang w:eastAsia="es-ES"/>
              </w:rPr>
              <w:t>2006</w:t>
            </w:r>
          </w:p>
        </w:tc>
        <w:tc>
          <w:tcPr>
            <w:tcW w:w="1000" w:type="pct"/>
            <w:tcBorders>
              <w:left w:val="single" w:sz="4" w:space="0" w:color="BFBFBF"/>
              <w:right w:val="single" w:sz="4" w:space="0" w:color="BFBFBF"/>
            </w:tcBorders>
            <w:vAlign w:val="bottom"/>
          </w:tcPr>
          <w:p w:rsidR="00195BE7" w:rsidRPr="001E2F6E" w:rsidRDefault="00195BE7" w:rsidP="00195BE7">
            <w:pPr>
              <w:spacing w:line="240" w:lineRule="exact"/>
              <w:ind w:right="170"/>
              <w:jc w:val="right"/>
              <w:rPr>
                <w:b/>
                <w:bCs/>
                <w:sz w:val="16"/>
                <w:szCs w:val="16"/>
                <w:lang w:eastAsia="es-ES"/>
              </w:rPr>
            </w:pPr>
            <w:r w:rsidRPr="001E2F6E">
              <w:rPr>
                <w:b/>
                <w:bCs/>
                <w:sz w:val="16"/>
                <w:szCs w:val="16"/>
                <w:lang w:eastAsia="es-ES"/>
              </w:rPr>
              <w:t>41.906</w:t>
            </w:r>
          </w:p>
        </w:tc>
        <w:tc>
          <w:tcPr>
            <w:tcW w:w="1000" w:type="pct"/>
            <w:tcBorders>
              <w:left w:val="single" w:sz="4" w:space="0" w:color="BFBFBF"/>
              <w:right w:val="single" w:sz="4" w:space="0" w:color="BFBFBF"/>
            </w:tcBorders>
            <w:vAlign w:val="bottom"/>
          </w:tcPr>
          <w:p w:rsidR="00195BE7" w:rsidRPr="001E2F6E" w:rsidRDefault="00195BE7" w:rsidP="00195BE7">
            <w:pPr>
              <w:spacing w:line="240" w:lineRule="exact"/>
              <w:ind w:right="170"/>
              <w:jc w:val="right"/>
              <w:rPr>
                <w:b/>
                <w:bCs/>
                <w:sz w:val="16"/>
                <w:szCs w:val="16"/>
                <w:lang w:eastAsia="es-ES"/>
              </w:rPr>
            </w:pPr>
            <w:r w:rsidRPr="001E2F6E">
              <w:rPr>
                <w:b/>
                <w:bCs/>
                <w:sz w:val="16"/>
                <w:szCs w:val="16"/>
                <w:lang w:eastAsia="es-ES"/>
              </w:rPr>
              <w:t>21.573</w:t>
            </w:r>
          </w:p>
        </w:tc>
        <w:tc>
          <w:tcPr>
            <w:tcW w:w="1000" w:type="pct"/>
            <w:tcBorders>
              <w:left w:val="single" w:sz="4" w:space="0" w:color="BFBFBF"/>
              <w:right w:val="single" w:sz="4" w:space="0" w:color="BFBFBF"/>
            </w:tcBorders>
            <w:vAlign w:val="bottom"/>
          </w:tcPr>
          <w:p w:rsidR="00195BE7" w:rsidRPr="001E2F6E" w:rsidRDefault="00195BE7" w:rsidP="00195BE7">
            <w:pPr>
              <w:spacing w:line="240" w:lineRule="exact"/>
              <w:ind w:right="170"/>
              <w:jc w:val="right"/>
              <w:rPr>
                <w:b/>
                <w:bCs/>
                <w:sz w:val="16"/>
                <w:szCs w:val="16"/>
                <w:lang w:eastAsia="es-ES"/>
              </w:rPr>
            </w:pPr>
            <w:r w:rsidRPr="001E2F6E">
              <w:rPr>
                <w:b/>
                <w:bCs/>
                <w:sz w:val="16"/>
                <w:szCs w:val="16"/>
                <w:lang w:eastAsia="es-ES"/>
              </w:rPr>
              <w:t>7.884</w:t>
            </w:r>
          </w:p>
        </w:tc>
        <w:tc>
          <w:tcPr>
            <w:tcW w:w="1000" w:type="pct"/>
            <w:tcBorders>
              <w:left w:val="single" w:sz="4" w:space="0" w:color="BFBFBF"/>
            </w:tcBorders>
            <w:vAlign w:val="bottom"/>
          </w:tcPr>
          <w:p w:rsidR="00195BE7" w:rsidRPr="001E2F6E" w:rsidRDefault="00195BE7" w:rsidP="00195BE7">
            <w:pPr>
              <w:spacing w:line="240" w:lineRule="exact"/>
              <w:ind w:right="170"/>
              <w:jc w:val="right"/>
              <w:rPr>
                <w:b/>
                <w:bCs/>
                <w:sz w:val="16"/>
                <w:szCs w:val="16"/>
                <w:lang w:eastAsia="es-ES"/>
              </w:rPr>
            </w:pPr>
            <w:r w:rsidRPr="001E2F6E">
              <w:rPr>
                <w:b/>
                <w:bCs/>
                <w:sz w:val="16"/>
                <w:szCs w:val="16"/>
                <w:lang w:eastAsia="es-ES"/>
              </w:rPr>
              <w:t>13.689</w:t>
            </w:r>
          </w:p>
        </w:tc>
      </w:tr>
      <w:tr w:rsidR="00195BE7" w:rsidRPr="001E2F6E" w:rsidTr="00195BE7">
        <w:trPr>
          <w:jc w:val="center"/>
        </w:trPr>
        <w:tc>
          <w:tcPr>
            <w:tcW w:w="1000" w:type="pct"/>
            <w:tcBorders>
              <w:right w:val="single" w:sz="4" w:space="0" w:color="BFBFBF"/>
            </w:tcBorders>
            <w:vAlign w:val="bottom"/>
          </w:tcPr>
          <w:p w:rsidR="00195BE7" w:rsidRPr="001E2F6E" w:rsidRDefault="00195BE7" w:rsidP="00195BE7">
            <w:pPr>
              <w:spacing w:line="240" w:lineRule="exact"/>
              <w:rPr>
                <w:sz w:val="16"/>
                <w:szCs w:val="16"/>
                <w:lang w:eastAsia="es-ES"/>
              </w:rPr>
            </w:pPr>
            <w:r w:rsidRPr="001E2F6E">
              <w:rPr>
                <w:sz w:val="16"/>
                <w:szCs w:val="16"/>
                <w:lang w:eastAsia="es-ES"/>
              </w:rPr>
              <w:t>2008</w:t>
            </w:r>
          </w:p>
        </w:tc>
        <w:tc>
          <w:tcPr>
            <w:tcW w:w="1000" w:type="pct"/>
            <w:tcBorders>
              <w:left w:val="single" w:sz="4" w:space="0" w:color="BFBFBF"/>
              <w:right w:val="single" w:sz="4" w:space="0" w:color="BFBFBF"/>
            </w:tcBorders>
            <w:vAlign w:val="bottom"/>
          </w:tcPr>
          <w:p w:rsidR="00195BE7" w:rsidRPr="001E2F6E" w:rsidRDefault="00195BE7" w:rsidP="00195BE7">
            <w:pPr>
              <w:spacing w:line="240" w:lineRule="exact"/>
              <w:ind w:right="170"/>
              <w:jc w:val="right"/>
              <w:rPr>
                <w:b/>
                <w:bCs/>
                <w:sz w:val="16"/>
                <w:szCs w:val="16"/>
                <w:lang w:eastAsia="es-ES"/>
              </w:rPr>
            </w:pPr>
            <w:r w:rsidRPr="001E2F6E">
              <w:rPr>
                <w:b/>
                <w:bCs/>
                <w:sz w:val="16"/>
                <w:szCs w:val="16"/>
                <w:lang w:eastAsia="es-ES"/>
              </w:rPr>
              <w:t>41.869</w:t>
            </w:r>
          </w:p>
        </w:tc>
        <w:tc>
          <w:tcPr>
            <w:tcW w:w="1000" w:type="pct"/>
            <w:tcBorders>
              <w:left w:val="single" w:sz="4" w:space="0" w:color="BFBFBF"/>
              <w:right w:val="single" w:sz="4" w:space="0" w:color="BFBFBF"/>
            </w:tcBorders>
            <w:vAlign w:val="bottom"/>
          </w:tcPr>
          <w:p w:rsidR="00195BE7" w:rsidRPr="001E2F6E" w:rsidRDefault="00195BE7" w:rsidP="00195BE7">
            <w:pPr>
              <w:spacing w:line="240" w:lineRule="exact"/>
              <w:ind w:right="170"/>
              <w:jc w:val="right"/>
              <w:rPr>
                <w:b/>
                <w:bCs/>
                <w:sz w:val="16"/>
                <w:szCs w:val="16"/>
                <w:lang w:eastAsia="es-ES"/>
              </w:rPr>
            </w:pPr>
            <w:r w:rsidRPr="001E2F6E">
              <w:rPr>
                <w:b/>
                <w:bCs/>
                <w:sz w:val="16"/>
                <w:szCs w:val="16"/>
                <w:lang w:eastAsia="es-ES"/>
              </w:rPr>
              <w:t>20.747</w:t>
            </w:r>
          </w:p>
        </w:tc>
        <w:tc>
          <w:tcPr>
            <w:tcW w:w="1000" w:type="pct"/>
            <w:tcBorders>
              <w:left w:val="single" w:sz="4" w:space="0" w:color="BFBFBF"/>
              <w:right w:val="single" w:sz="4" w:space="0" w:color="BFBFBF"/>
            </w:tcBorders>
            <w:vAlign w:val="bottom"/>
          </w:tcPr>
          <w:p w:rsidR="00195BE7" w:rsidRPr="001E2F6E" w:rsidRDefault="00195BE7" w:rsidP="00195BE7">
            <w:pPr>
              <w:spacing w:line="240" w:lineRule="exact"/>
              <w:ind w:right="170"/>
              <w:jc w:val="right"/>
              <w:rPr>
                <w:b/>
                <w:bCs/>
                <w:sz w:val="16"/>
                <w:szCs w:val="16"/>
                <w:lang w:eastAsia="es-ES"/>
              </w:rPr>
            </w:pPr>
            <w:r w:rsidRPr="001E2F6E">
              <w:rPr>
                <w:b/>
                <w:bCs/>
                <w:sz w:val="16"/>
                <w:szCs w:val="16"/>
                <w:lang w:eastAsia="es-ES"/>
              </w:rPr>
              <w:t>9.898</w:t>
            </w:r>
          </w:p>
        </w:tc>
        <w:tc>
          <w:tcPr>
            <w:tcW w:w="1000" w:type="pct"/>
            <w:tcBorders>
              <w:left w:val="single" w:sz="4" w:space="0" w:color="BFBFBF"/>
            </w:tcBorders>
            <w:vAlign w:val="bottom"/>
          </w:tcPr>
          <w:p w:rsidR="00195BE7" w:rsidRPr="001E2F6E" w:rsidRDefault="00195BE7" w:rsidP="00195BE7">
            <w:pPr>
              <w:spacing w:line="240" w:lineRule="exact"/>
              <w:ind w:right="170"/>
              <w:jc w:val="right"/>
              <w:rPr>
                <w:b/>
                <w:bCs/>
                <w:sz w:val="16"/>
                <w:szCs w:val="16"/>
                <w:lang w:eastAsia="es-ES"/>
              </w:rPr>
            </w:pPr>
            <w:r w:rsidRPr="001E2F6E">
              <w:rPr>
                <w:b/>
                <w:bCs/>
                <w:sz w:val="16"/>
                <w:szCs w:val="16"/>
                <w:lang w:eastAsia="es-ES"/>
              </w:rPr>
              <w:t>10.849</w:t>
            </w:r>
          </w:p>
        </w:tc>
      </w:tr>
      <w:tr w:rsidR="00195BE7" w:rsidRPr="001E2F6E" w:rsidTr="00195BE7">
        <w:trPr>
          <w:jc w:val="center"/>
        </w:trPr>
        <w:tc>
          <w:tcPr>
            <w:tcW w:w="1000" w:type="pct"/>
            <w:tcBorders>
              <w:right w:val="single" w:sz="4" w:space="0" w:color="BFBFBF"/>
            </w:tcBorders>
            <w:vAlign w:val="bottom"/>
          </w:tcPr>
          <w:p w:rsidR="00195BE7" w:rsidRPr="001E2F6E" w:rsidRDefault="00195BE7" w:rsidP="00195BE7">
            <w:pPr>
              <w:spacing w:line="240" w:lineRule="exact"/>
              <w:rPr>
                <w:sz w:val="16"/>
                <w:szCs w:val="16"/>
                <w:lang w:eastAsia="es-ES"/>
              </w:rPr>
            </w:pPr>
            <w:r w:rsidRPr="001E2F6E">
              <w:rPr>
                <w:sz w:val="16"/>
                <w:szCs w:val="16"/>
                <w:lang w:eastAsia="es-ES"/>
              </w:rPr>
              <w:t>2010</w:t>
            </w:r>
          </w:p>
        </w:tc>
        <w:tc>
          <w:tcPr>
            <w:tcW w:w="1000" w:type="pct"/>
            <w:tcBorders>
              <w:left w:val="single" w:sz="4" w:space="0" w:color="BFBFBF"/>
              <w:right w:val="single" w:sz="4" w:space="0" w:color="BFBFBF"/>
            </w:tcBorders>
            <w:vAlign w:val="bottom"/>
          </w:tcPr>
          <w:p w:rsidR="00195BE7" w:rsidRPr="001E2F6E" w:rsidRDefault="00195BE7" w:rsidP="00195BE7">
            <w:pPr>
              <w:spacing w:line="240" w:lineRule="exact"/>
              <w:ind w:right="170"/>
              <w:jc w:val="right"/>
              <w:rPr>
                <w:b/>
                <w:bCs/>
                <w:sz w:val="16"/>
                <w:szCs w:val="16"/>
                <w:lang w:eastAsia="es-ES"/>
              </w:rPr>
            </w:pPr>
            <w:r w:rsidRPr="001E2F6E">
              <w:rPr>
                <w:b/>
                <w:bCs/>
                <w:sz w:val="16"/>
                <w:szCs w:val="16"/>
                <w:lang w:eastAsia="es-ES"/>
              </w:rPr>
              <w:t>39.366</w:t>
            </w:r>
          </w:p>
        </w:tc>
        <w:tc>
          <w:tcPr>
            <w:tcW w:w="1000" w:type="pct"/>
            <w:tcBorders>
              <w:left w:val="single" w:sz="4" w:space="0" w:color="BFBFBF"/>
              <w:right w:val="single" w:sz="4" w:space="0" w:color="BFBFBF"/>
            </w:tcBorders>
            <w:vAlign w:val="bottom"/>
          </w:tcPr>
          <w:p w:rsidR="00195BE7" w:rsidRPr="001E2F6E" w:rsidRDefault="00195BE7" w:rsidP="00195BE7">
            <w:pPr>
              <w:spacing w:line="240" w:lineRule="exact"/>
              <w:ind w:right="170"/>
              <w:jc w:val="right"/>
              <w:rPr>
                <w:b/>
                <w:bCs/>
                <w:sz w:val="16"/>
                <w:szCs w:val="16"/>
                <w:lang w:eastAsia="es-ES"/>
              </w:rPr>
            </w:pPr>
            <w:r w:rsidRPr="001E2F6E">
              <w:rPr>
                <w:b/>
                <w:bCs/>
                <w:sz w:val="16"/>
                <w:szCs w:val="16"/>
                <w:lang w:eastAsia="es-ES"/>
              </w:rPr>
              <w:t>20.550</w:t>
            </w:r>
          </w:p>
        </w:tc>
        <w:tc>
          <w:tcPr>
            <w:tcW w:w="1000" w:type="pct"/>
            <w:tcBorders>
              <w:left w:val="single" w:sz="4" w:space="0" w:color="BFBFBF"/>
              <w:right w:val="single" w:sz="4" w:space="0" w:color="BFBFBF"/>
            </w:tcBorders>
            <w:vAlign w:val="bottom"/>
          </w:tcPr>
          <w:p w:rsidR="00195BE7" w:rsidRPr="001E2F6E" w:rsidRDefault="00195BE7" w:rsidP="00195BE7">
            <w:pPr>
              <w:spacing w:line="240" w:lineRule="exact"/>
              <w:ind w:right="170"/>
              <w:jc w:val="right"/>
              <w:rPr>
                <w:b/>
                <w:bCs/>
                <w:sz w:val="16"/>
                <w:szCs w:val="16"/>
                <w:lang w:eastAsia="es-ES"/>
              </w:rPr>
            </w:pPr>
            <w:r w:rsidRPr="001E2F6E">
              <w:rPr>
                <w:b/>
                <w:bCs/>
                <w:sz w:val="16"/>
                <w:szCs w:val="16"/>
                <w:lang w:eastAsia="es-ES"/>
              </w:rPr>
              <w:t>12.241</w:t>
            </w:r>
          </w:p>
        </w:tc>
        <w:tc>
          <w:tcPr>
            <w:tcW w:w="1000" w:type="pct"/>
            <w:tcBorders>
              <w:left w:val="single" w:sz="4" w:space="0" w:color="BFBFBF"/>
            </w:tcBorders>
            <w:vAlign w:val="bottom"/>
          </w:tcPr>
          <w:p w:rsidR="00195BE7" w:rsidRPr="001E2F6E" w:rsidRDefault="00195BE7" w:rsidP="00195BE7">
            <w:pPr>
              <w:spacing w:line="240" w:lineRule="exact"/>
              <w:ind w:right="170"/>
              <w:jc w:val="right"/>
              <w:rPr>
                <w:b/>
                <w:bCs/>
                <w:sz w:val="16"/>
                <w:szCs w:val="16"/>
                <w:lang w:eastAsia="es-ES"/>
              </w:rPr>
            </w:pPr>
            <w:r w:rsidRPr="001E2F6E">
              <w:rPr>
                <w:b/>
                <w:bCs/>
                <w:sz w:val="16"/>
                <w:szCs w:val="16"/>
                <w:lang w:eastAsia="es-ES"/>
              </w:rPr>
              <w:t>8.309</w:t>
            </w:r>
          </w:p>
        </w:tc>
      </w:tr>
      <w:tr w:rsidR="00195BE7" w:rsidRPr="001E2F6E" w:rsidTr="00195BE7">
        <w:trPr>
          <w:jc w:val="center"/>
        </w:trPr>
        <w:tc>
          <w:tcPr>
            <w:tcW w:w="1000" w:type="pct"/>
            <w:tcBorders>
              <w:bottom w:val="single" w:sz="4" w:space="0" w:color="BFBFBF"/>
              <w:right w:val="single" w:sz="4" w:space="0" w:color="BFBFBF"/>
            </w:tcBorders>
            <w:vAlign w:val="bottom"/>
          </w:tcPr>
          <w:p w:rsidR="00195BE7" w:rsidRPr="001E2F6E" w:rsidRDefault="00195BE7" w:rsidP="00195BE7">
            <w:pPr>
              <w:spacing w:line="240" w:lineRule="exact"/>
              <w:rPr>
                <w:sz w:val="16"/>
                <w:szCs w:val="16"/>
                <w:lang w:eastAsia="es-ES"/>
              </w:rPr>
            </w:pPr>
            <w:r w:rsidRPr="001E2F6E">
              <w:rPr>
                <w:sz w:val="16"/>
                <w:szCs w:val="16"/>
                <w:lang w:eastAsia="es-ES"/>
              </w:rPr>
              <w:t>2012</w:t>
            </w:r>
          </w:p>
        </w:tc>
        <w:tc>
          <w:tcPr>
            <w:tcW w:w="1000" w:type="pct"/>
            <w:tcBorders>
              <w:left w:val="single" w:sz="4" w:space="0" w:color="BFBFBF"/>
              <w:bottom w:val="single" w:sz="4" w:space="0" w:color="BFBFBF"/>
              <w:right w:val="single" w:sz="4" w:space="0" w:color="BFBFBF"/>
            </w:tcBorders>
            <w:vAlign w:val="bottom"/>
          </w:tcPr>
          <w:p w:rsidR="00195BE7" w:rsidRPr="001E2F6E" w:rsidRDefault="00195BE7" w:rsidP="00195BE7">
            <w:pPr>
              <w:spacing w:line="240" w:lineRule="exact"/>
              <w:ind w:right="170"/>
              <w:jc w:val="right"/>
              <w:rPr>
                <w:b/>
                <w:bCs/>
                <w:sz w:val="16"/>
                <w:szCs w:val="16"/>
                <w:lang w:eastAsia="es-ES"/>
              </w:rPr>
            </w:pPr>
            <w:r w:rsidRPr="001E2F6E">
              <w:rPr>
                <w:b/>
                <w:bCs/>
                <w:sz w:val="16"/>
                <w:szCs w:val="16"/>
                <w:lang w:eastAsia="es-ES"/>
              </w:rPr>
              <w:t>39.242</w:t>
            </w:r>
          </w:p>
        </w:tc>
        <w:tc>
          <w:tcPr>
            <w:tcW w:w="1000" w:type="pct"/>
            <w:tcBorders>
              <w:left w:val="single" w:sz="4" w:space="0" w:color="BFBFBF"/>
              <w:bottom w:val="single" w:sz="4" w:space="0" w:color="BFBFBF"/>
              <w:right w:val="single" w:sz="4" w:space="0" w:color="BFBFBF"/>
            </w:tcBorders>
            <w:vAlign w:val="bottom"/>
          </w:tcPr>
          <w:p w:rsidR="00195BE7" w:rsidRPr="001E2F6E" w:rsidRDefault="00195BE7" w:rsidP="00195BE7">
            <w:pPr>
              <w:spacing w:line="240" w:lineRule="exact"/>
              <w:ind w:right="170"/>
              <w:jc w:val="right"/>
              <w:rPr>
                <w:b/>
                <w:bCs/>
                <w:sz w:val="16"/>
                <w:szCs w:val="16"/>
                <w:lang w:eastAsia="es-ES"/>
              </w:rPr>
            </w:pPr>
            <w:r w:rsidRPr="001E2F6E">
              <w:rPr>
                <w:b/>
                <w:bCs/>
                <w:sz w:val="16"/>
                <w:szCs w:val="16"/>
                <w:lang w:eastAsia="es-ES"/>
              </w:rPr>
              <w:t>16.568</w:t>
            </w:r>
          </w:p>
        </w:tc>
        <w:tc>
          <w:tcPr>
            <w:tcW w:w="1000" w:type="pct"/>
            <w:tcBorders>
              <w:left w:val="single" w:sz="4" w:space="0" w:color="BFBFBF"/>
              <w:bottom w:val="single" w:sz="4" w:space="0" w:color="BFBFBF"/>
              <w:right w:val="single" w:sz="4" w:space="0" w:color="BFBFBF"/>
            </w:tcBorders>
            <w:vAlign w:val="bottom"/>
          </w:tcPr>
          <w:p w:rsidR="00195BE7" w:rsidRPr="001E2F6E" w:rsidRDefault="00195BE7" w:rsidP="00195BE7">
            <w:pPr>
              <w:spacing w:line="240" w:lineRule="exact"/>
              <w:ind w:right="170"/>
              <w:jc w:val="right"/>
              <w:rPr>
                <w:b/>
                <w:bCs/>
                <w:sz w:val="16"/>
                <w:szCs w:val="16"/>
                <w:lang w:eastAsia="es-ES"/>
              </w:rPr>
            </w:pPr>
            <w:r w:rsidRPr="001E2F6E">
              <w:rPr>
                <w:b/>
                <w:bCs/>
                <w:sz w:val="16"/>
                <w:szCs w:val="16"/>
                <w:lang w:eastAsia="es-ES"/>
              </w:rPr>
              <w:t>8.018</w:t>
            </w:r>
          </w:p>
        </w:tc>
        <w:tc>
          <w:tcPr>
            <w:tcW w:w="1000" w:type="pct"/>
            <w:tcBorders>
              <w:left w:val="single" w:sz="4" w:space="0" w:color="BFBFBF"/>
              <w:bottom w:val="single" w:sz="4" w:space="0" w:color="BFBFBF"/>
            </w:tcBorders>
            <w:vAlign w:val="bottom"/>
          </w:tcPr>
          <w:p w:rsidR="00195BE7" w:rsidRPr="001E2F6E" w:rsidRDefault="00195BE7" w:rsidP="00195BE7">
            <w:pPr>
              <w:spacing w:line="240" w:lineRule="exact"/>
              <w:ind w:right="170"/>
              <w:jc w:val="right"/>
              <w:rPr>
                <w:b/>
                <w:bCs/>
                <w:sz w:val="16"/>
                <w:szCs w:val="16"/>
                <w:lang w:eastAsia="es-ES"/>
              </w:rPr>
            </w:pPr>
            <w:r w:rsidRPr="001E2F6E">
              <w:rPr>
                <w:b/>
                <w:bCs/>
                <w:sz w:val="16"/>
                <w:szCs w:val="16"/>
                <w:lang w:eastAsia="es-ES"/>
              </w:rPr>
              <w:t>8.549</w:t>
            </w:r>
          </w:p>
        </w:tc>
      </w:tr>
    </w:tbl>
    <w:p w:rsidR="00195BE7" w:rsidRPr="001E2F6E" w:rsidRDefault="00195BE7" w:rsidP="00195BE7">
      <w:pPr>
        <w:pStyle w:val="ARIALNARROW"/>
      </w:pPr>
    </w:p>
    <w:p w:rsidR="00195BE7" w:rsidRPr="001E2F6E" w:rsidRDefault="00195BE7" w:rsidP="00195BE7">
      <w:pPr>
        <w:pStyle w:val="ARIALNARROW"/>
        <w:rPr>
          <w:sz w:val="2"/>
          <w:szCs w:val="2"/>
        </w:rPr>
      </w:pPr>
    </w:p>
    <w:p w:rsidR="00195BE7" w:rsidRPr="001E2F6E" w:rsidRDefault="00195BE7" w:rsidP="00195BE7">
      <w:pPr>
        <w:spacing w:line="240" w:lineRule="auto"/>
        <w:jc w:val="center"/>
        <w:rPr>
          <w:b/>
          <w:color w:val="1F497D" w:themeColor="text2"/>
          <w:sz w:val="18"/>
          <w:szCs w:val="18"/>
        </w:rPr>
      </w:pPr>
      <w:bookmarkStart w:id="73" w:name="_Toc392585753"/>
      <w:bookmarkStart w:id="74" w:name="_Toc391989088"/>
      <w:r w:rsidRPr="001E2F6E">
        <w:rPr>
          <w:b/>
          <w:color w:val="1F497D" w:themeColor="text2"/>
          <w:sz w:val="18"/>
          <w:szCs w:val="18"/>
        </w:rPr>
        <w:t>1.</w:t>
      </w:r>
      <w:r w:rsidR="00EB6BA6" w:rsidRPr="001E2F6E">
        <w:rPr>
          <w:b/>
          <w:color w:val="1F497D" w:themeColor="text2"/>
          <w:sz w:val="18"/>
          <w:szCs w:val="18"/>
        </w:rPr>
        <w:fldChar w:fldCharType="begin"/>
      </w:r>
      <w:r w:rsidRPr="001E2F6E">
        <w:rPr>
          <w:b/>
          <w:color w:val="1F497D" w:themeColor="text2"/>
          <w:sz w:val="18"/>
          <w:szCs w:val="18"/>
        </w:rPr>
        <w:instrText xml:space="preserve"> SEQ Cuadro_1. \* ARABIC </w:instrText>
      </w:r>
      <w:r w:rsidR="00EB6BA6" w:rsidRPr="001E2F6E">
        <w:rPr>
          <w:b/>
          <w:color w:val="1F497D" w:themeColor="text2"/>
          <w:sz w:val="18"/>
          <w:szCs w:val="18"/>
        </w:rPr>
        <w:fldChar w:fldCharType="separate"/>
      </w:r>
      <w:r w:rsidR="00A327D4">
        <w:rPr>
          <w:b/>
          <w:noProof/>
          <w:color w:val="1F497D" w:themeColor="text2"/>
          <w:sz w:val="18"/>
          <w:szCs w:val="18"/>
        </w:rPr>
        <w:t>18</w:t>
      </w:r>
      <w:r w:rsidR="00EB6BA6" w:rsidRPr="001E2F6E">
        <w:rPr>
          <w:b/>
          <w:color w:val="1F497D" w:themeColor="text2"/>
          <w:sz w:val="18"/>
          <w:szCs w:val="18"/>
        </w:rPr>
        <w:fldChar w:fldCharType="end"/>
      </w:r>
      <w:r w:rsidRPr="001E2F6E">
        <w:rPr>
          <w:b/>
          <w:color w:val="1F497D" w:themeColor="text2"/>
          <w:sz w:val="18"/>
          <w:szCs w:val="18"/>
        </w:rPr>
        <w:t xml:space="preserve"> Taula EAE-ko GIZARTE-EKONOMIAKO ENPLEGUAREN BANAKETA FORMA JURIDIKOA ETA KONTRATU MOTAREN ARABERA</w:t>
      </w:r>
      <w:bookmarkEnd w:id="73"/>
      <w:r w:rsidRPr="001E2F6E">
        <w:rPr>
          <w:b/>
          <w:color w:val="1F497D" w:themeColor="text2"/>
          <w:sz w:val="18"/>
          <w:szCs w:val="18"/>
        </w:rPr>
        <w:t xml:space="preserve"> </w:t>
      </w:r>
      <w:bookmarkEnd w:id="74"/>
    </w:p>
    <w:tbl>
      <w:tblPr>
        <w:tblW w:w="5000" w:type="pct"/>
        <w:jc w:val="center"/>
        <w:tblCellMar>
          <w:left w:w="0" w:type="dxa"/>
          <w:right w:w="0" w:type="dxa"/>
        </w:tblCellMar>
        <w:tblLook w:val="04A0" w:firstRow="1" w:lastRow="0" w:firstColumn="1" w:lastColumn="0" w:noHBand="0" w:noVBand="1"/>
      </w:tblPr>
      <w:tblGrid>
        <w:gridCol w:w="1792"/>
        <w:gridCol w:w="1749"/>
        <w:gridCol w:w="1749"/>
        <w:gridCol w:w="1749"/>
        <w:gridCol w:w="1749"/>
      </w:tblGrid>
      <w:tr w:rsidR="00195BE7" w:rsidRPr="001E2F6E" w:rsidTr="00195BE7">
        <w:trPr>
          <w:jc w:val="center"/>
        </w:trPr>
        <w:tc>
          <w:tcPr>
            <w:tcW w:w="1020" w:type="pct"/>
            <w:tcBorders>
              <w:top w:val="single" w:sz="8" w:space="0" w:color="BFBFBF"/>
              <w:left w:val="nil"/>
              <w:bottom w:val="single" w:sz="8" w:space="0" w:color="BFBFBF"/>
              <w:right w:val="single" w:sz="8" w:space="0" w:color="BFBFBF"/>
            </w:tcBorders>
            <w:shd w:val="clear" w:color="auto" w:fill="DBE5F1"/>
            <w:vAlign w:val="center"/>
            <w:hideMark/>
          </w:tcPr>
          <w:p w:rsidR="00195BE7" w:rsidRPr="001E2F6E" w:rsidRDefault="00195BE7" w:rsidP="00195BE7">
            <w:pPr>
              <w:spacing w:line="240" w:lineRule="exact"/>
              <w:rPr>
                <w:rFonts w:ascii="Times New Roman" w:hAnsi="Times New Roman"/>
                <w:sz w:val="16"/>
                <w:szCs w:val="16"/>
              </w:rPr>
            </w:pPr>
          </w:p>
        </w:tc>
        <w:tc>
          <w:tcPr>
            <w:tcW w:w="995" w:type="pct"/>
            <w:tcBorders>
              <w:top w:val="single" w:sz="8" w:space="0" w:color="BFBFBF"/>
              <w:left w:val="nil"/>
              <w:bottom w:val="single" w:sz="8" w:space="0" w:color="BFBFBF"/>
              <w:right w:val="single" w:sz="8" w:space="0" w:color="BFBFBF"/>
            </w:tcBorders>
            <w:shd w:val="clear" w:color="auto" w:fill="DBE5F1"/>
            <w:vAlign w:val="center"/>
            <w:hideMark/>
          </w:tcPr>
          <w:p w:rsidR="00195BE7" w:rsidRPr="001E2F6E" w:rsidRDefault="00195BE7" w:rsidP="00195BE7">
            <w:pPr>
              <w:spacing w:line="240" w:lineRule="auto"/>
              <w:jc w:val="center"/>
              <w:rPr>
                <w:b/>
                <w:bCs/>
                <w:sz w:val="16"/>
                <w:szCs w:val="16"/>
                <w:lang w:val="eu-ES"/>
              </w:rPr>
            </w:pPr>
            <w:r w:rsidRPr="001E2F6E">
              <w:rPr>
                <w:b/>
                <w:bCs/>
                <w:sz w:val="16"/>
                <w:szCs w:val="16"/>
                <w:lang w:val="eu-ES"/>
              </w:rPr>
              <w:t>Kideak</w:t>
            </w:r>
          </w:p>
        </w:tc>
        <w:tc>
          <w:tcPr>
            <w:tcW w:w="995" w:type="pct"/>
            <w:tcBorders>
              <w:top w:val="single" w:sz="8" w:space="0" w:color="BFBFBF"/>
              <w:left w:val="nil"/>
              <w:bottom w:val="single" w:sz="8" w:space="0" w:color="BFBFBF"/>
              <w:right w:val="single" w:sz="8" w:space="0" w:color="BFBFBF"/>
            </w:tcBorders>
            <w:shd w:val="clear" w:color="auto" w:fill="DBE5F1"/>
            <w:vAlign w:val="center"/>
            <w:hideMark/>
          </w:tcPr>
          <w:p w:rsidR="00195BE7" w:rsidRPr="001E2F6E" w:rsidRDefault="00195BE7" w:rsidP="00195BE7">
            <w:pPr>
              <w:spacing w:line="240" w:lineRule="auto"/>
              <w:jc w:val="center"/>
              <w:rPr>
                <w:b/>
                <w:bCs/>
                <w:sz w:val="16"/>
                <w:szCs w:val="16"/>
                <w:lang w:val="eu-ES"/>
              </w:rPr>
            </w:pPr>
            <w:r w:rsidRPr="001E2F6E">
              <w:rPr>
                <w:b/>
                <w:bCs/>
                <w:sz w:val="16"/>
                <w:szCs w:val="16"/>
                <w:lang w:val="eu-ES"/>
              </w:rPr>
              <w:t>Soldatapekoak</w:t>
            </w:r>
          </w:p>
        </w:tc>
        <w:tc>
          <w:tcPr>
            <w:tcW w:w="995" w:type="pct"/>
            <w:tcBorders>
              <w:top w:val="single" w:sz="8" w:space="0" w:color="BFBFBF"/>
              <w:left w:val="nil"/>
              <w:bottom w:val="single" w:sz="8" w:space="0" w:color="BFBFBF"/>
              <w:right w:val="single" w:sz="8" w:space="0" w:color="BFBFBF"/>
            </w:tcBorders>
            <w:shd w:val="clear" w:color="auto" w:fill="DBE5F1"/>
            <w:vAlign w:val="center"/>
            <w:hideMark/>
          </w:tcPr>
          <w:p w:rsidR="00195BE7" w:rsidRPr="001E2F6E" w:rsidRDefault="00195BE7" w:rsidP="00195BE7">
            <w:pPr>
              <w:spacing w:line="240" w:lineRule="auto"/>
              <w:jc w:val="center"/>
              <w:rPr>
                <w:b/>
                <w:bCs/>
                <w:sz w:val="16"/>
                <w:szCs w:val="16"/>
                <w:lang w:val="eu-ES"/>
              </w:rPr>
            </w:pPr>
            <w:r w:rsidRPr="001E2F6E">
              <w:rPr>
                <w:b/>
                <w:bCs/>
                <w:sz w:val="16"/>
                <w:szCs w:val="16"/>
                <w:lang w:val="eu-ES"/>
              </w:rPr>
              <w:t>Finkoak</w:t>
            </w:r>
          </w:p>
        </w:tc>
        <w:tc>
          <w:tcPr>
            <w:tcW w:w="995" w:type="pct"/>
            <w:tcBorders>
              <w:top w:val="single" w:sz="8" w:space="0" w:color="BFBFBF"/>
              <w:left w:val="nil"/>
              <w:bottom w:val="single" w:sz="8" w:space="0" w:color="BFBFBF"/>
              <w:right w:val="nil"/>
            </w:tcBorders>
            <w:shd w:val="clear" w:color="auto" w:fill="DBE5F1"/>
            <w:vAlign w:val="center"/>
            <w:hideMark/>
          </w:tcPr>
          <w:p w:rsidR="00195BE7" w:rsidRPr="001E2F6E" w:rsidRDefault="00195BE7" w:rsidP="00195BE7">
            <w:pPr>
              <w:spacing w:line="240" w:lineRule="auto"/>
              <w:jc w:val="center"/>
              <w:rPr>
                <w:b/>
                <w:bCs/>
                <w:sz w:val="16"/>
                <w:szCs w:val="16"/>
                <w:lang w:val="eu-ES"/>
              </w:rPr>
            </w:pPr>
            <w:r w:rsidRPr="001E2F6E">
              <w:rPr>
                <w:b/>
                <w:bCs/>
                <w:sz w:val="16"/>
                <w:szCs w:val="16"/>
                <w:lang w:val="eu-ES"/>
              </w:rPr>
              <w:t>Behin-behinekoak</w:t>
            </w:r>
          </w:p>
        </w:tc>
      </w:tr>
      <w:tr w:rsidR="00195BE7" w:rsidRPr="001E2F6E" w:rsidTr="00195BE7">
        <w:trPr>
          <w:jc w:val="center"/>
        </w:trPr>
        <w:tc>
          <w:tcPr>
            <w:tcW w:w="1020" w:type="pct"/>
            <w:tcBorders>
              <w:top w:val="nil"/>
              <w:left w:val="nil"/>
              <w:bottom w:val="nil"/>
              <w:right w:val="single" w:sz="8" w:space="0" w:color="BFBFBF"/>
            </w:tcBorders>
            <w:shd w:val="clear" w:color="auto" w:fill="auto"/>
            <w:vAlign w:val="bottom"/>
            <w:hideMark/>
          </w:tcPr>
          <w:p w:rsidR="00195BE7" w:rsidRPr="001E2F6E" w:rsidRDefault="00195BE7" w:rsidP="00195BE7">
            <w:pPr>
              <w:spacing w:line="240" w:lineRule="auto"/>
              <w:rPr>
                <w:sz w:val="16"/>
                <w:szCs w:val="16"/>
                <w:lang w:val="eu-ES"/>
              </w:rPr>
            </w:pPr>
            <w:r w:rsidRPr="001E2F6E">
              <w:rPr>
                <w:sz w:val="16"/>
                <w:szCs w:val="16"/>
                <w:lang w:val="eu-ES"/>
              </w:rPr>
              <w:t>KOOP</w:t>
            </w:r>
          </w:p>
        </w:tc>
        <w:tc>
          <w:tcPr>
            <w:tcW w:w="995" w:type="pct"/>
            <w:tcBorders>
              <w:top w:val="nil"/>
              <w:left w:val="nil"/>
              <w:bottom w:val="nil"/>
              <w:right w:val="single" w:sz="8" w:space="0" w:color="BFBFBF"/>
            </w:tcBorders>
            <w:shd w:val="clear" w:color="auto" w:fill="auto"/>
            <w:vAlign w:val="center"/>
            <w:hideMark/>
          </w:tcPr>
          <w:p w:rsidR="00195BE7" w:rsidRPr="001E2F6E" w:rsidRDefault="00195BE7" w:rsidP="00195BE7">
            <w:pPr>
              <w:spacing w:line="240" w:lineRule="exact"/>
              <w:ind w:right="170"/>
              <w:jc w:val="right"/>
              <w:rPr>
                <w:rFonts w:ascii="Times New Roman" w:hAnsi="Times New Roman"/>
                <w:sz w:val="16"/>
                <w:szCs w:val="16"/>
              </w:rPr>
            </w:pPr>
            <w:r w:rsidRPr="001E2F6E">
              <w:rPr>
                <w:sz w:val="16"/>
                <w:szCs w:val="16"/>
              </w:rPr>
              <w:t>34.241</w:t>
            </w:r>
          </w:p>
        </w:tc>
        <w:tc>
          <w:tcPr>
            <w:tcW w:w="995" w:type="pct"/>
            <w:tcBorders>
              <w:top w:val="nil"/>
              <w:left w:val="nil"/>
              <w:bottom w:val="nil"/>
              <w:right w:val="single" w:sz="8" w:space="0" w:color="BFBFBF"/>
            </w:tcBorders>
            <w:shd w:val="clear" w:color="auto" w:fill="auto"/>
            <w:vAlign w:val="center"/>
            <w:hideMark/>
          </w:tcPr>
          <w:p w:rsidR="00195BE7" w:rsidRPr="001E2F6E" w:rsidRDefault="00195BE7" w:rsidP="00195BE7">
            <w:pPr>
              <w:spacing w:line="240" w:lineRule="exact"/>
              <w:ind w:right="170"/>
              <w:jc w:val="right"/>
              <w:rPr>
                <w:rFonts w:ascii="Times New Roman" w:hAnsi="Times New Roman"/>
                <w:sz w:val="16"/>
                <w:szCs w:val="16"/>
              </w:rPr>
            </w:pPr>
            <w:r w:rsidRPr="001E2F6E">
              <w:rPr>
                <w:sz w:val="16"/>
                <w:szCs w:val="16"/>
              </w:rPr>
              <w:t>13.703</w:t>
            </w:r>
          </w:p>
        </w:tc>
        <w:tc>
          <w:tcPr>
            <w:tcW w:w="995" w:type="pct"/>
            <w:tcBorders>
              <w:top w:val="nil"/>
              <w:left w:val="nil"/>
              <w:bottom w:val="nil"/>
              <w:right w:val="single" w:sz="8" w:space="0" w:color="BFBFBF"/>
            </w:tcBorders>
            <w:shd w:val="clear" w:color="auto" w:fill="auto"/>
            <w:vAlign w:val="center"/>
            <w:hideMark/>
          </w:tcPr>
          <w:p w:rsidR="00195BE7" w:rsidRPr="001E2F6E" w:rsidRDefault="00195BE7" w:rsidP="00195BE7">
            <w:pPr>
              <w:spacing w:line="240" w:lineRule="exact"/>
              <w:ind w:right="170"/>
              <w:jc w:val="right"/>
              <w:rPr>
                <w:rFonts w:ascii="Times New Roman" w:hAnsi="Times New Roman"/>
                <w:sz w:val="16"/>
                <w:szCs w:val="16"/>
              </w:rPr>
            </w:pPr>
            <w:r w:rsidRPr="001E2F6E">
              <w:rPr>
                <w:sz w:val="16"/>
                <w:szCs w:val="16"/>
              </w:rPr>
              <w:t>6.251</w:t>
            </w:r>
          </w:p>
        </w:tc>
        <w:tc>
          <w:tcPr>
            <w:tcW w:w="995" w:type="pct"/>
            <w:tcBorders>
              <w:top w:val="nil"/>
              <w:left w:val="nil"/>
              <w:bottom w:val="nil"/>
              <w:right w:val="single" w:sz="8" w:space="0" w:color="BFBFBF"/>
            </w:tcBorders>
            <w:shd w:val="clear" w:color="auto" w:fill="auto"/>
            <w:vAlign w:val="center"/>
            <w:hideMark/>
          </w:tcPr>
          <w:p w:rsidR="00195BE7" w:rsidRPr="001E2F6E" w:rsidRDefault="00195BE7" w:rsidP="00195BE7">
            <w:pPr>
              <w:spacing w:line="240" w:lineRule="exact"/>
              <w:ind w:right="170"/>
              <w:jc w:val="right"/>
              <w:rPr>
                <w:rFonts w:ascii="Times New Roman" w:hAnsi="Times New Roman"/>
                <w:sz w:val="16"/>
                <w:szCs w:val="16"/>
              </w:rPr>
            </w:pPr>
            <w:r w:rsidRPr="001E2F6E">
              <w:rPr>
                <w:sz w:val="16"/>
                <w:szCs w:val="16"/>
              </w:rPr>
              <w:t>7.451</w:t>
            </w:r>
          </w:p>
        </w:tc>
      </w:tr>
      <w:tr w:rsidR="00195BE7" w:rsidRPr="001E2F6E" w:rsidTr="00195BE7">
        <w:trPr>
          <w:jc w:val="center"/>
        </w:trPr>
        <w:tc>
          <w:tcPr>
            <w:tcW w:w="1020" w:type="pct"/>
            <w:tcBorders>
              <w:top w:val="nil"/>
              <w:left w:val="nil"/>
              <w:bottom w:val="nil"/>
              <w:right w:val="single" w:sz="8" w:space="0" w:color="BFBFBF"/>
            </w:tcBorders>
            <w:shd w:val="clear" w:color="auto" w:fill="auto"/>
            <w:vAlign w:val="bottom"/>
            <w:hideMark/>
          </w:tcPr>
          <w:p w:rsidR="00195BE7" w:rsidRPr="001E2F6E" w:rsidRDefault="00195BE7" w:rsidP="00195BE7">
            <w:pPr>
              <w:spacing w:line="240" w:lineRule="auto"/>
              <w:rPr>
                <w:sz w:val="16"/>
                <w:szCs w:val="16"/>
                <w:lang w:val="eu-ES"/>
              </w:rPr>
            </w:pPr>
            <w:r w:rsidRPr="001E2F6E">
              <w:rPr>
                <w:sz w:val="16"/>
                <w:szCs w:val="16"/>
                <w:lang w:val="eu-ES"/>
              </w:rPr>
              <w:t>LSAak</w:t>
            </w:r>
          </w:p>
        </w:tc>
        <w:tc>
          <w:tcPr>
            <w:tcW w:w="995" w:type="pct"/>
            <w:tcBorders>
              <w:top w:val="nil"/>
              <w:left w:val="nil"/>
              <w:bottom w:val="nil"/>
              <w:right w:val="single" w:sz="8" w:space="0" w:color="BFBFBF"/>
            </w:tcBorders>
            <w:shd w:val="clear" w:color="auto" w:fill="auto"/>
            <w:vAlign w:val="center"/>
            <w:hideMark/>
          </w:tcPr>
          <w:p w:rsidR="00195BE7" w:rsidRPr="001E2F6E" w:rsidRDefault="00195BE7" w:rsidP="00195BE7">
            <w:pPr>
              <w:spacing w:line="240" w:lineRule="exact"/>
              <w:ind w:right="170"/>
              <w:jc w:val="right"/>
              <w:rPr>
                <w:rFonts w:ascii="Times New Roman" w:hAnsi="Times New Roman"/>
                <w:sz w:val="16"/>
                <w:szCs w:val="16"/>
              </w:rPr>
            </w:pPr>
            <w:r w:rsidRPr="001E2F6E">
              <w:rPr>
                <w:sz w:val="16"/>
                <w:szCs w:val="16"/>
              </w:rPr>
              <w:t>2.387</w:t>
            </w:r>
          </w:p>
        </w:tc>
        <w:tc>
          <w:tcPr>
            <w:tcW w:w="995" w:type="pct"/>
            <w:tcBorders>
              <w:top w:val="nil"/>
              <w:left w:val="nil"/>
              <w:bottom w:val="nil"/>
              <w:right w:val="single" w:sz="8" w:space="0" w:color="BFBFBF"/>
            </w:tcBorders>
            <w:shd w:val="clear" w:color="auto" w:fill="auto"/>
            <w:vAlign w:val="center"/>
            <w:hideMark/>
          </w:tcPr>
          <w:p w:rsidR="00195BE7" w:rsidRPr="001E2F6E" w:rsidRDefault="00195BE7" w:rsidP="00195BE7">
            <w:pPr>
              <w:spacing w:line="240" w:lineRule="exact"/>
              <w:ind w:right="170"/>
              <w:jc w:val="right"/>
              <w:rPr>
                <w:rFonts w:ascii="Times New Roman" w:hAnsi="Times New Roman"/>
                <w:sz w:val="16"/>
                <w:szCs w:val="16"/>
              </w:rPr>
            </w:pPr>
            <w:r w:rsidRPr="001E2F6E">
              <w:rPr>
                <w:sz w:val="16"/>
                <w:szCs w:val="16"/>
              </w:rPr>
              <w:t>1.638</w:t>
            </w:r>
          </w:p>
        </w:tc>
        <w:tc>
          <w:tcPr>
            <w:tcW w:w="995" w:type="pct"/>
            <w:tcBorders>
              <w:top w:val="nil"/>
              <w:left w:val="nil"/>
              <w:bottom w:val="nil"/>
              <w:right w:val="single" w:sz="8" w:space="0" w:color="BFBFBF"/>
            </w:tcBorders>
            <w:shd w:val="clear" w:color="auto" w:fill="auto"/>
            <w:vAlign w:val="center"/>
            <w:hideMark/>
          </w:tcPr>
          <w:p w:rsidR="00195BE7" w:rsidRPr="001E2F6E" w:rsidRDefault="00195BE7" w:rsidP="00195BE7">
            <w:pPr>
              <w:spacing w:line="240" w:lineRule="exact"/>
              <w:ind w:right="170"/>
              <w:jc w:val="right"/>
              <w:rPr>
                <w:rFonts w:ascii="Times New Roman" w:hAnsi="Times New Roman"/>
                <w:sz w:val="16"/>
                <w:szCs w:val="16"/>
              </w:rPr>
            </w:pPr>
            <w:r w:rsidRPr="001E2F6E">
              <w:rPr>
                <w:sz w:val="16"/>
                <w:szCs w:val="16"/>
              </w:rPr>
              <w:t>1.096</w:t>
            </w:r>
          </w:p>
        </w:tc>
        <w:tc>
          <w:tcPr>
            <w:tcW w:w="995" w:type="pct"/>
            <w:tcBorders>
              <w:top w:val="nil"/>
              <w:left w:val="nil"/>
              <w:bottom w:val="nil"/>
              <w:right w:val="single" w:sz="8" w:space="0" w:color="BFBFBF"/>
            </w:tcBorders>
            <w:shd w:val="clear" w:color="auto" w:fill="auto"/>
            <w:vAlign w:val="center"/>
            <w:hideMark/>
          </w:tcPr>
          <w:p w:rsidR="00195BE7" w:rsidRPr="001E2F6E" w:rsidRDefault="00195BE7" w:rsidP="00195BE7">
            <w:pPr>
              <w:spacing w:line="240" w:lineRule="exact"/>
              <w:ind w:right="170"/>
              <w:jc w:val="right"/>
              <w:rPr>
                <w:rFonts w:ascii="Times New Roman" w:hAnsi="Times New Roman"/>
                <w:sz w:val="16"/>
                <w:szCs w:val="16"/>
              </w:rPr>
            </w:pPr>
            <w:r w:rsidRPr="001E2F6E">
              <w:rPr>
                <w:sz w:val="16"/>
                <w:szCs w:val="16"/>
              </w:rPr>
              <w:t>542</w:t>
            </w:r>
          </w:p>
        </w:tc>
      </w:tr>
      <w:tr w:rsidR="00195BE7" w:rsidRPr="001E2F6E" w:rsidTr="00195BE7">
        <w:trPr>
          <w:jc w:val="center"/>
        </w:trPr>
        <w:tc>
          <w:tcPr>
            <w:tcW w:w="1020" w:type="pct"/>
            <w:tcBorders>
              <w:top w:val="nil"/>
              <w:left w:val="nil"/>
              <w:bottom w:val="single" w:sz="8" w:space="0" w:color="BFBFBF"/>
              <w:right w:val="single" w:sz="8" w:space="0" w:color="BFBFBF"/>
            </w:tcBorders>
            <w:shd w:val="clear" w:color="auto" w:fill="auto"/>
            <w:vAlign w:val="bottom"/>
            <w:hideMark/>
          </w:tcPr>
          <w:p w:rsidR="00195BE7" w:rsidRPr="001E2F6E" w:rsidRDefault="00195BE7" w:rsidP="00195BE7">
            <w:pPr>
              <w:spacing w:line="240" w:lineRule="auto"/>
              <w:rPr>
                <w:sz w:val="16"/>
                <w:szCs w:val="16"/>
                <w:lang w:val="eu-ES"/>
              </w:rPr>
            </w:pPr>
            <w:r w:rsidRPr="001E2F6E">
              <w:rPr>
                <w:sz w:val="16"/>
                <w:szCs w:val="16"/>
                <w:lang w:val="eu-ES"/>
              </w:rPr>
              <w:t>LSMak</w:t>
            </w:r>
          </w:p>
        </w:tc>
        <w:tc>
          <w:tcPr>
            <w:tcW w:w="995" w:type="pct"/>
            <w:tcBorders>
              <w:top w:val="nil"/>
              <w:left w:val="nil"/>
              <w:bottom w:val="single" w:sz="8" w:space="0" w:color="BFBFBF"/>
              <w:right w:val="single" w:sz="8" w:space="0" w:color="BFBFBF"/>
            </w:tcBorders>
            <w:shd w:val="clear" w:color="auto" w:fill="auto"/>
            <w:vAlign w:val="center"/>
            <w:hideMark/>
          </w:tcPr>
          <w:p w:rsidR="00195BE7" w:rsidRPr="001E2F6E" w:rsidRDefault="00195BE7" w:rsidP="00195BE7">
            <w:pPr>
              <w:spacing w:line="240" w:lineRule="exact"/>
              <w:ind w:right="170"/>
              <w:jc w:val="right"/>
              <w:rPr>
                <w:rFonts w:ascii="Times New Roman" w:hAnsi="Times New Roman"/>
                <w:sz w:val="16"/>
                <w:szCs w:val="16"/>
              </w:rPr>
            </w:pPr>
            <w:r w:rsidRPr="001E2F6E">
              <w:rPr>
                <w:sz w:val="16"/>
                <w:szCs w:val="16"/>
              </w:rPr>
              <w:t>2.614</w:t>
            </w:r>
          </w:p>
        </w:tc>
        <w:tc>
          <w:tcPr>
            <w:tcW w:w="995" w:type="pct"/>
            <w:tcBorders>
              <w:top w:val="nil"/>
              <w:left w:val="nil"/>
              <w:bottom w:val="single" w:sz="8" w:space="0" w:color="BFBFBF"/>
              <w:right w:val="single" w:sz="8" w:space="0" w:color="BFBFBF"/>
            </w:tcBorders>
            <w:shd w:val="clear" w:color="auto" w:fill="auto"/>
            <w:vAlign w:val="center"/>
            <w:hideMark/>
          </w:tcPr>
          <w:p w:rsidR="00195BE7" w:rsidRPr="001E2F6E" w:rsidRDefault="00195BE7" w:rsidP="00195BE7">
            <w:pPr>
              <w:spacing w:line="240" w:lineRule="exact"/>
              <w:ind w:right="170"/>
              <w:jc w:val="right"/>
              <w:rPr>
                <w:rFonts w:ascii="Times New Roman" w:hAnsi="Times New Roman"/>
                <w:sz w:val="16"/>
                <w:szCs w:val="16"/>
              </w:rPr>
            </w:pPr>
            <w:r w:rsidRPr="001E2F6E">
              <w:rPr>
                <w:sz w:val="16"/>
                <w:szCs w:val="16"/>
              </w:rPr>
              <w:t>1.227</w:t>
            </w:r>
          </w:p>
        </w:tc>
        <w:tc>
          <w:tcPr>
            <w:tcW w:w="995" w:type="pct"/>
            <w:tcBorders>
              <w:top w:val="nil"/>
              <w:left w:val="nil"/>
              <w:bottom w:val="single" w:sz="8" w:space="0" w:color="BFBFBF"/>
              <w:right w:val="single" w:sz="8" w:space="0" w:color="BFBFBF"/>
            </w:tcBorders>
            <w:shd w:val="clear" w:color="auto" w:fill="auto"/>
            <w:vAlign w:val="center"/>
            <w:hideMark/>
          </w:tcPr>
          <w:p w:rsidR="00195BE7" w:rsidRPr="001E2F6E" w:rsidRDefault="00195BE7" w:rsidP="00195BE7">
            <w:pPr>
              <w:spacing w:line="240" w:lineRule="exact"/>
              <w:ind w:right="170"/>
              <w:jc w:val="right"/>
              <w:rPr>
                <w:rFonts w:ascii="Times New Roman" w:hAnsi="Times New Roman"/>
                <w:sz w:val="16"/>
                <w:szCs w:val="16"/>
              </w:rPr>
            </w:pPr>
            <w:r w:rsidRPr="001E2F6E">
              <w:rPr>
                <w:sz w:val="16"/>
                <w:szCs w:val="16"/>
              </w:rPr>
              <w:t>671</w:t>
            </w:r>
          </w:p>
        </w:tc>
        <w:tc>
          <w:tcPr>
            <w:tcW w:w="995" w:type="pct"/>
            <w:tcBorders>
              <w:top w:val="nil"/>
              <w:left w:val="nil"/>
              <w:bottom w:val="single" w:sz="8" w:space="0" w:color="BFBFBF"/>
              <w:right w:val="single" w:sz="8" w:space="0" w:color="BFBFBF"/>
            </w:tcBorders>
            <w:shd w:val="clear" w:color="auto" w:fill="auto"/>
            <w:vAlign w:val="center"/>
            <w:hideMark/>
          </w:tcPr>
          <w:p w:rsidR="00195BE7" w:rsidRPr="001E2F6E" w:rsidRDefault="00195BE7" w:rsidP="00195BE7">
            <w:pPr>
              <w:spacing w:line="240" w:lineRule="exact"/>
              <w:ind w:right="170"/>
              <w:jc w:val="right"/>
              <w:rPr>
                <w:rFonts w:ascii="Times New Roman" w:hAnsi="Times New Roman"/>
                <w:sz w:val="16"/>
                <w:szCs w:val="16"/>
              </w:rPr>
            </w:pPr>
            <w:r w:rsidRPr="001E2F6E">
              <w:rPr>
                <w:sz w:val="16"/>
                <w:szCs w:val="16"/>
              </w:rPr>
              <w:t>556</w:t>
            </w:r>
          </w:p>
        </w:tc>
      </w:tr>
    </w:tbl>
    <w:p w:rsidR="00195BE7" w:rsidRPr="001E2F6E" w:rsidRDefault="00195BE7" w:rsidP="00195BE7">
      <w:pPr>
        <w:rPr>
          <w:snapToGrid w:val="0"/>
          <w:lang w:val="es-ES_tradnl"/>
        </w:rPr>
      </w:pPr>
    </w:p>
    <w:p w:rsidR="00195BE7" w:rsidRPr="001E2F6E" w:rsidRDefault="00195BE7" w:rsidP="00195BE7">
      <w:pPr>
        <w:rPr>
          <w:snapToGrid w:val="0"/>
          <w:lang w:val="es-ES_tradnl"/>
        </w:rPr>
      </w:pPr>
    </w:p>
    <w:p w:rsidR="00195BE7" w:rsidRPr="001E2F6E" w:rsidRDefault="00195BE7" w:rsidP="00195BE7">
      <w:pPr>
        <w:pStyle w:val="Piedepgina"/>
        <w:widowControl w:val="0"/>
        <w:tabs>
          <w:tab w:val="clear" w:pos="4252"/>
          <w:tab w:val="clear" w:pos="8504"/>
        </w:tabs>
        <w:jc w:val="center"/>
        <w:rPr>
          <w:b/>
          <w:snapToGrid w:val="0"/>
          <w:color w:val="1F497D" w:themeColor="text2"/>
          <w:sz w:val="18"/>
          <w:szCs w:val="18"/>
          <w:lang w:val="es-ES_tradnl"/>
        </w:rPr>
      </w:pPr>
      <w:bookmarkStart w:id="75" w:name="_Toc391989151"/>
      <w:bookmarkStart w:id="76" w:name="_Toc392585816"/>
      <w:r w:rsidRPr="001E2F6E">
        <w:rPr>
          <w:b/>
          <w:color w:val="1F497D" w:themeColor="text2"/>
          <w:sz w:val="18"/>
          <w:szCs w:val="18"/>
        </w:rPr>
        <w:t>1.</w:t>
      </w:r>
      <w:r w:rsidR="00EB6BA6" w:rsidRPr="001E2F6E">
        <w:rPr>
          <w:b/>
          <w:color w:val="1F497D" w:themeColor="text2"/>
          <w:sz w:val="18"/>
          <w:szCs w:val="18"/>
        </w:rPr>
        <w:fldChar w:fldCharType="begin"/>
      </w:r>
      <w:r w:rsidRPr="001E2F6E">
        <w:rPr>
          <w:b/>
          <w:color w:val="1F497D" w:themeColor="text2"/>
          <w:sz w:val="18"/>
          <w:szCs w:val="18"/>
        </w:rPr>
        <w:instrText xml:space="preserve"> SEQ Gráfico_1. \* ARABIC </w:instrText>
      </w:r>
      <w:r w:rsidR="00EB6BA6" w:rsidRPr="001E2F6E">
        <w:rPr>
          <w:b/>
          <w:color w:val="1F497D" w:themeColor="text2"/>
          <w:sz w:val="18"/>
          <w:szCs w:val="18"/>
        </w:rPr>
        <w:fldChar w:fldCharType="separate"/>
      </w:r>
      <w:r w:rsidR="00A327D4">
        <w:rPr>
          <w:b/>
          <w:noProof/>
          <w:color w:val="1F497D" w:themeColor="text2"/>
          <w:sz w:val="18"/>
          <w:szCs w:val="18"/>
        </w:rPr>
        <w:t>6</w:t>
      </w:r>
      <w:r w:rsidR="00EB6BA6" w:rsidRPr="001E2F6E">
        <w:rPr>
          <w:b/>
          <w:color w:val="1F497D" w:themeColor="text2"/>
          <w:sz w:val="18"/>
          <w:szCs w:val="18"/>
        </w:rPr>
        <w:fldChar w:fldCharType="end"/>
      </w:r>
      <w:r w:rsidRPr="001E2F6E">
        <w:rPr>
          <w:b/>
          <w:color w:val="1F497D" w:themeColor="text2"/>
          <w:sz w:val="18"/>
          <w:szCs w:val="18"/>
        </w:rPr>
        <w:t xml:space="preserve"> Irudia </w:t>
      </w:r>
      <w:r w:rsidRPr="001E2F6E">
        <w:rPr>
          <w:b/>
          <w:snapToGrid w:val="0"/>
          <w:color w:val="1F497D" w:themeColor="text2"/>
          <w:sz w:val="18"/>
          <w:szCs w:val="18"/>
          <w:lang w:val="eu-ES"/>
        </w:rPr>
        <w:t>BAZKIDE-KOLEKTIBOAREN PISU ERLATIBOA (Portzentajea enplegu osoarekiko). 1996-2012</w:t>
      </w:r>
      <w:bookmarkEnd w:id="75"/>
      <w:bookmarkEnd w:id="76"/>
    </w:p>
    <w:p w:rsidR="00195BE7" w:rsidRPr="001E2F6E" w:rsidRDefault="00195BE7" w:rsidP="00195BE7">
      <w:pPr>
        <w:rPr>
          <w:rFonts w:ascii="Tahoma" w:hAnsi="Tahoma"/>
          <w:b/>
          <w:i/>
          <w:sz w:val="16"/>
          <w:szCs w:val="16"/>
        </w:rPr>
      </w:pPr>
      <w:r w:rsidRPr="001E2F6E">
        <w:rPr>
          <w:rFonts w:ascii="Tahoma" w:hAnsi="Tahoma"/>
          <w:b/>
          <w:i/>
          <w:noProof/>
          <w:sz w:val="16"/>
          <w:szCs w:val="16"/>
          <w:lang w:eastAsia="es-ES"/>
        </w:rPr>
        <w:drawing>
          <wp:anchor distT="0" distB="0" distL="114300" distR="114300" simplePos="0" relativeHeight="251692032" behindDoc="0" locked="0" layoutInCell="1" allowOverlap="1" wp14:anchorId="31786047" wp14:editId="72126067">
            <wp:simplePos x="0" y="0"/>
            <wp:positionH relativeFrom="column">
              <wp:posOffset>-224790</wp:posOffset>
            </wp:positionH>
            <wp:positionV relativeFrom="paragraph">
              <wp:posOffset>128270</wp:posOffset>
            </wp:positionV>
            <wp:extent cx="6257925" cy="2257425"/>
            <wp:effectExtent l="0" t="0" r="0" b="0"/>
            <wp:wrapNone/>
            <wp:docPr id="462" name="Objeto 46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anchor>
        </w:drawing>
      </w:r>
    </w:p>
    <w:p w:rsidR="00195BE7" w:rsidRPr="001E2F6E" w:rsidRDefault="00195BE7" w:rsidP="00195BE7">
      <w:pPr>
        <w:rPr>
          <w:rFonts w:ascii="Tahoma" w:hAnsi="Tahoma"/>
          <w:b/>
          <w:i/>
          <w:sz w:val="16"/>
          <w:szCs w:val="16"/>
        </w:rPr>
      </w:pPr>
    </w:p>
    <w:p w:rsidR="00195BE7" w:rsidRPr="001E2F6E" w:rsidRDefault="00195BE7" w:rsidP="00195BE7">
      <w:pPr>
        <w:rPr>
          <w:rFonts w:ascii="Tahoma" w:hAnsi="Tahoma"/>
          <w:b/>
          <w:i/>
          <w:sz w:val="16"/>
          <w:szCs w:val="16"/>
        </w:rPr>
      </w:pPr>
    </w:p>
    <w:p w:rsidR="00195BE7" w:rsidRPr="001E2F6E" w:rsidRDefault="00195BE7" w:rsidP="00195BE7">
      <w:pPr>
        <w:rPr>
          <w:rFonts w:ascii="Tahoma" w:hAnsi="Tahoma"/>
          <w:b/>
          <w:i/>
          <w:sz w:val="16"/>
          <w:szCs w:val="16"/>
        </w:rPr>
      </w:pPr>
    </w:p>
    <w:p w:rsidR="00195BE7" w:rsidRPr="001E2F6E" w:rsidRDefault="00195BE7" w:rsidP="00195BE7">
      <w:pPr>
        <w:rPr>
          <w:rFonts w:ascii="Tahoma" w:hAnsi="Tahoma"/>
          <w:b/>
          <w:i/>
          <w:sz w:val="16"/>
          <w:szCs w:val="16"/>
        </w:rPr>
      </w:pPr>
    </w:p>
    <w:p w:rsidR="00195BE7" w:rsidRPr="001E2F6E" w:rsidRDefault="00195BE7" w:rsidP="00195BE7">
      <w:pPr>
        <w:rPr>
          <w:rFonts w:ascii="Tahoma" w:hAnsi="Tahoma"/>
          <w:b/>
          <w:i/>
          <w:sz w:val="16"/>
          <w:szCs w:val="16"/>
        </w:rPr>
      </w:pPr>
    </w:p>
    <w:p w:rsidR="00195BE7" w:rsidRPr="001E2F6E" w:rsidRDefault="00195BE7" w:rsidP="00195BE7">
      <w:pPr>
        <w:rPr>
          <w:rFonts w:ascii="Tahoma" w:hAnsi="Tahoma"/>
          <w:b/>
          <w:i/>
          <w:sz w:val="16"/>
          <w:szCs w:val="16"/>
        </w:rPr>
      </w:pPr>
    </w:p>
    <w:p w:rsidR="00195BE7" w:rsidRPr="001E2F6E" w:rsidRDefault="00195BE7" w:rsidP="00195BE7">
      <w:pPr>
        <w:rPr>
          <w:rFonts w:ascii="Tahoma" w:hAnsi="Tahoma"/>
          <w:b/>
          <w:i/>
          <w:sz w:val="16"/>
          <w:szCs w:val="16"/>
        </w:rPr>
      </w:pPr>
    </w:p>
    <w:p w:rsidR="00195BE7" w:rsidRPr="001E2F6E" w:rsidRDefault="00195BE7" w:rsidP="00195BE7">
      <w:pPr>
        <w:rPr>
          <w:rFonts w:ascii="Tahoma" w:hAnsi="Tahoma"/>
          <w:b/>
          <w:i/>
          <w:sz w:val="16"/>
          <w:szCs w:val="16"/>
        </w:rPr>
      </w:pPr>
    </w:p>
    <w:p w:rsidR="00195BE7" w:rsidRPr="001E2F6E" w:rsidRDefault="00195BE7" w:rsidP="00195BE7"/>
    <w:p w:rsidR="00195BE7" w:rsidRPr="001E2F6E" w:rsidRDefault="00195BE7" w:rsidP="00195BE7"/>
    <w:p w:rsidR="00195BE7" w:rsidRPr="001E2F6E" w:rsidRDefault="00195BE7" w:rsidP="00195BE7">
      <w:pPr>
        <w:pStyle w:val="Piedepgina"/>
        <w:widowControl w:val="0"/>
        <w:tabs>
          <w:tab w:val="clear" w:pos="4252"/>
          <w:tab w:val="clear" w:pos="8504"/>
        </w:tabs>
        <w:jc w:val="center"/>
        <w:rPr>
          <w:b/>
          <w:snapToGrid w:val="0"/>
          <w:color w:val="1F497D" w:themeColor="text2"/>
          <w:sz w:val="18"/>
          <w:szCs w:val="18"/>
          <w:lang w:val="eu-ES"/>
        </w:rPr>
      </w:pPr>
    </w:p>
    <w:p w:rsidR="00195BE7" w:rsidRPr="001E2F6E" w:rsidRDefault="00195BE7" w:rsidP="00195BE7">
      <w:pPr>
        <w:pStyle w:val="Piedepgina"/>
        <w:widowControl w:val="0"/>
        <w:tabs>
          <w:tab w:val="clear" w:pos="4252"/>
          <w:tab w:val="clear" w:pos="8504"/>
        </w:tabs>
        <w:jc w:val="center"/>
        <w:rPr>
          <w:b/>
          <w:snapToGrid w:val="0"/>
          <w:color w:val="1F497D" w:themeColor="text2"/>
          <w:sz w:val="18"/>
          <w:szCs w:val="18"/>
          <w:lang w:val="eu-ES"/>
        </w:rPr>
      </w:pPr>
    </w:p>
    <w:p w:rsidR="00195BE7" w:rsidRPr="001E2F6E" w:rsidRDefault="00195BE7" w:rsidP="00195BE7">
      <w:pPr>
        <w:rPr>
          <w:rFonts w:ascii="Tahoma" w:hAnsi="Tahoma"/>
          <w:b/>
          <w:i/>
          <w:sz w:val="16"/>
          <w:szCs w:val="16"/>
          <w:lang w:val="eu-ES"/>
        </w:rPr>
      </w:pPr>
    </w:p>
    <w:p w:rsidR="00195BE7" w:rsidRPr="001E2F6E" w:rsidRDefault="00195BE7" w:rsidP="00195BE7">
      <w:pPr>
        <w:pStyle w:val="Textoindependiente2"/>
        <w:spacing w:after="0" w:line="240" w:lineRule="auto"/>
        <w:jc w:val="center"/>
        <w:rPr>
          <w:b/>
          <w:color w:val="1F497D" w:themeColor="text2"/>
          <w:sz w:val="18"/>
          <w:szCs w:val="18"/>
        </w:rPr>
      </w:pPr>
      <w:bookmarkStart w:id="77" w:name="_Toc391989089"/>
      <w:bookmarkStart w:id="78" w:name="_Toc392585754"/>
      <w:r w:rsidRPr="001E2F6E">
        <w:rPr>
          <w:b/>
          <w:color w:val="1F497D" w:themeColor="text2"/>
          <w:sz w:val="18"/>
          <w:szCs w:val="18"/>
        </w:rPr>
        <w:lastRenderedPageBreak/>
        <w:t>1.</w:t>
      </w:r>
      <w:r w:rsidR="00EB6BA6" w:rsidRPr="001E2F6E">
        <w:rPr>
          <w:b/>
          <w:color w:val="1F497D" w:themeColor="text2"/>
          <w:sz w:val="18"/>
          <w:szCs w:val="18"/>
        </w:rPr>
        <w:fldChar w:fldCharType="begin"/>
      </w:r>
      <w:r w:rsidRPr="001E2F6E">
        <w:rPr>
          <w:b/>
          <w:color w:val="1F497D" w:themeColor="text2"/>
          <w:sz w:val="18"/>
          <w:szCs w:val="18"/>
        </w:rPr>
        <w:instrText xml:space="preserve"> SEQ Cuadro_1. \* ARABIC </w:instrText>
      </w:r>
      <w:r w:rsidR="00EB6BA6" w:rsidRPr="001E2F6E">
        <w:rPr>
          <w:b/>
          <w:color w:val="1F497D" w:themeColor="text2"/>
          <w:sz w:val="18"/>
          <w:szCs w:val="18"/>
        </w:rPr>
        <w:fldChar w:fldCharType="separate"/>
      </w:r>
      <w:r w:rsidR="00A327D4">
        <w:rPr>
          <w:b/>
          <w:noProof/>
          <w:color w:val="1F497D" w:themeColor="text2"/>
          <w:sz w:val="18"/>
          <w:szCs w:val="18"/>
        </w:rPr>
        <w:t>19</w:t>
      </w:r>
      <w:r w:rsidR="00EB6BA6" w:rsidRPr="001E2F6E">
        <w:rPr>
          <w:b/>
          <w:color w:val="1F497D" w:themeColor="text2"/>
          <w:sz w:val="18"/>
          <w:szCs w:val="18"/>
        </w:rPr>
        <w:fldChar w:fldCharType="end"/>
      </w:r>
      <w:r w:rsidRPr="001E2F6E">
        <w:rPr>
          <w:b/>
          <w:color w:val="1F497D" w:themeColor="text2"/>
          <w:sz w:val="18"/>
          <w:szCs w:val="18"/>
        </w:rPr>
        <w:t xml:space="preserve"> Taula </w:t>
      </w:r>
      <w:r w:rsidRPr="001E2F6E">
        <w:rPr>
          <w:b/>
          <w:color w:val="1F497D" w:themeColor="text2"/>
          <w:sz w:val="18"/>
          <w:szCs w:val="18"/>
          <w:lang w:val="eu-ES"/>
        </w:rPr>
        <w:t xml:space="preserve">ENPLEGUAREN BANAKETA KONTRATU BIDEZKO HARREMANETAN ETA ESTABLEZIMENDUAREN JARDUERA-SEKTOREAREN ARABERA. 2012 </w:t>
      </w:r>
      <w:bookmarkEnd w:id="77"/>
      <w:r w:rsidRPr="001E2F6E">
        <w:rPr>
          <w:b/>
          <w:color w:val="1F497D" w:themeColor="text2"/>
          <w:sz w:val="18"/>
          <w:szCs w:val="18"/>
          <w:lang w:val="eu-ES"/>
        </w:rPr>
        <w:t>(% horizontalak)</w:t>
      </w:r>
      <w:bookmarkEnd w:id="78"/>
    </w:p>
    <w:tbl>
      <w:tblPr>
        <w:tblW w:w="5000" w:type="pct"/>
        <w:jc w:val="center"/>
        <w:tblLook w:val="04A0" w:firstRow="1" w:lastRow="0" w:firstColumn="1" w:lastColumn="0" w:noHBand="0" w:noVBand="1"/>
      </w:tblPr>
      <w:tblGrid>
        <w:gridCol w:w="1670"/>
        <w:gridCol w:w="1470"/>
        <w:gridCol w:w="1469"/>
        <w:gridCol w:w="1462"/>
        <w:gridCol w:w="1469"/>
        <w:gridCol w:w="1464"/>
      </w:tblGrid>
      <w:tr w:rsidR="00195BE7" w:rsidRPr="001E2F6E" w:rsidTr="00195BE7">
        <w:trPr>
          <w:jc w:val="center"/>
        </w:trPr>
        <w:tc>
          <w:tcPr>
            <w:tcW w:w="927"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tcPr>
          <w:p w:rsidR="00195BE7" w:rsidRPr="001E2F6E" w:rsidRDefault="00195BE7" w:rsidP="00195BE7">
            <w:pPr>
              <w:widowControl w:val="0"/>
              <w:spacing w:line="240" w:lineRule="exact"/>
              <w:rPr>
                <w:bCs/>
                <w:sz w:val="16"/>
                <w:szCs w:val="16"/>
              </w:rPr>
            </w:pPr>
            <w:r w:rsidRPr="001E2F6E">
              <w:rPr>
                <w:bCs/>
                <w:sz w:val="16"/>
                <w:szCs w:val="16"/>
                <w:lang w:val="es-ES_tradnl"/>
              </w:rPr>
              <w:t> </w:t>
            </w:r>
          </w:p>
        </w:tc>
        <w:tc>
          <w:tcPr>
            <w:tcW w:w="81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tcPr>
          <w:p w:rsidR="00195BE7" w:rsidRPr="001E2F6E" w:rsidRDefault="00195BE7" w:rsidP="00195BE7">
            <w:pPr>
              <w:widowControl w:val="0"/>
              <w:spacing w:line="240" w:lineRule="auto"/>
              <w:jc w:val="center"/>
              <w:rPr>
                <w:b/>
                <w:bCs/>
                <w:sz w:val="16"/>
                <w:szCs w:val="16"/>
                <w:lang w:val="eu-ES"/>
              </w:rPr>
            </w:pPr>
            <w:r w:rsidRPr="001E2F6E">
              <w:rPr>
                <w:b/>
                <w:bCs/>
                <w:sz w:val="16"/>
                <w:szCs w:val="16"/>
                <w:lang w:val="eu-ES"/>
              </w:rPr>
              <w:t>GUZTIRA</w:t>
            </w:r>
          </w:p>
        </w:tc>
        <w:tc>
          <w:tcPr>
            <w:tcW w:w="81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tcPr>
          <w:p w:rsidR="00195BE7" w:rsidRPr="001E2F6E" w:rsidRDefault="00195BE7" w:rsidP="00195BE7">
            <w:pPr>
              <w:widowControl w:val="0"/>
              <w:spacing w:line="240" w:lineRule="auto"/>
              <w:jc w:val="center"/>
              <w:rPr>
                <w:b/>
                <w:bCs/>
                <w:sz w:val="16"/>
                <w:szCs w:val="16"/>
                <w:lang w:val="eu-ES"/>
              </w:rPr>
            </w:pPr>
            <w:r w:rsidRPr="001E2F6E">
              <w:rPr>
                <w:b/>
                <w:bCs/>
                <w:sz w:val="16"/>
                <w:szCs w:val="16"/>
                <w:lang w:val="eu-ES"/>
              </w:rPr>
              <w:t>Kideak</w:t>
            </w:r>
          </w:p>
        </w:tc>
        <w:tc>
          <w:tcPr>
            <w:tcW w:w="81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tcPr>
          <w:p w:rsidR="00195BE7" w:rsidRPr="001E2F6E" w:rsidRDefault="00195BE7" w:rsidP="00195BE7">
            <w:pPr>
              <w:widowControl w:val="0"/>
              <w:spacing w:line="240" w:lineRule="auto"/>
              <w:jc w:val="center"/>
              <w:rPr>
                <w:b/>
                <w:bCs/>
                <w:sz w:val="16"/>
                <w:szCs w:val="16"/>
                <w:lang w:val="eu-ES"/>
              </w:rPr>
            </w:pPr>
            <w:r w:rsidRPr="001E2F6E">
              <w:rPr>
                <w:b/>
                <w:bCs/>
                <w:sz w:val="16"/>
                <w:szCs w:val="16"/>
                <w:lang w:val="eu-ES"/>
              </w:rPr>
              <w:t>Soldatapekoak</w:t>
            </w:r>
          </w:p>
        </w:tc>
        <w:tc>
          <w:tcPr>
            <w:tcW w:w="81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tcPr>
          <w:p w:rsidR="00195BE7" w:rsidRPr="001E2F6E" w:rsidRDefault="00195BE7" w:rsidP="00195BE7">
            <w:pPr>
              <w:widowControl w:val="0"/>
              <w:spacing w:line="240" w:lineRule="auto"/>
              <w:jc w:val="center"/>
              <w:rPr>
                <w:b/>
                <w:bCs/>
                <w:sz w:val="16"/>
                <w:szCs w:val="16"/>
                <w:lang w:val="eu-ES"/>
              </w:rPr>
            </w:pPr>
            <w:r w:rsidRPr="001E2F6E">
              <w:rPr>
                <w:b/>
                <w:bCs/>
                <w:sz w:val="16"/>
                <w:szCs w:val="16"/>
                <w:lang w:val="eu-ES"/>
              </w:rPr>
              <w:t>Finkoak</w:t>
            </w:r>
          </w:p>
        </w:tc>
        <w:tc>
          <w:tcPr>
            <w:tcW w:w="814"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vAlign w:val="center"/>
          </w:tcPr>
          <w:p w:rsidR="00195BE7" w:rsidRPr="001E2F6E" w:rsidRDefault="00195BE7" w:rsidP="00195BE7">
            <w:pPr>
              <w:widowControl w:val="0"/>
              <w:spacing w:line="240" w:lineRule="auto"/>
              <w:jc w:val="center"/>
              <w:rPr>
                <w:b/>
                <w:bCs/>
                <w:sz w:val="16"/>
                <w:szCs w:val="16"/>
                <w:lang w:val="eu-ES"/>
              </w:rPr>
            </w:pPr>
            <w:r w:rsidRPr="001E2F6E">
              <w:rPr>
                <w:b/>
                <w:bCs/>
                <w:sz w:val="16"/>
                <w:szCs w:val="16"/>
                <w:lang w:val="eu-ES"/>
              </w:rPr>
              <w:t>Behin-behinekoak</w:t>
            </w:r>
          </w:p>
        </w:tc>
      </w:tr>
      <w:tr w:rsidR="00195BE7" w:rsidRPr="001E2F6E" w:rsidTr="00195BE7">
        <w:trPr>
          <w:jc w:val="center"/>
        </w:trPr>
        <w:tc>
          <w:tcPr>
            <w:tcW w:w="927" w:type="pct"/>
            <w:tcBorders>
              <w:top w:val="single" w:sz="4" w:space="0" w:color="BFBFBF" w:themeColor="background1" w:themeShade="BF"/>
              <w:right w:val="single" w:sz="4" w:space="0" w:color="BFBFBF" w:themeColor="background1" w:themeShade="BF"/>
            </w:tcBorders>
            <w:vAlign w:val="bottom"/>
          </w:tcPr>
          <w:p w:rsidR="00195BE7" w:rsidRPr="001E2F6E" w:rsidRDefault="00195BE7" w:rsidP="00195BE7">
            <w:pPr>
              <w:widowControl w:val="0"/>
              <w:spacing w:line="240" w:lineRule="auto"/>
              <w:rPr>
                <w:sz w:val="16"/>
                <w:szCs w:val="16"/>
                <w:lang w:val="eu-ES"/>
              </w:rPr>
            </w:pPr>
            <w:r w:rsidRPr="001E2F6E">
              <w:rPr>
                <w:sz w:val="16"/>
                <w:szCs w:val="16"/>
                <w:lang w:val="eu-ES"/>
              </w:rPr>
              <w:t>Lehen sektorea</w:t>
            </w:r>
          </w:p>
        </w:tc>
        <w:tc>
          <w:tcPr>
            <w:tcW w:w="816" w:type="pct"/>
            <w:tcBorders>
              <w:top w:val="single" w:sz="4" w:space="0" w:color="BFBFBF" w:themeColor="background1" w:themeShade="BF"/>
              <w:left w:val="single" w:sz="4" w:space="0" w:color="BFBFBF" w:themeColor="background1" w:themeShade="BF"/>
              <w:right w:val="single" w:sz="4" w:space="0" w:color="BFBFBF" w:themeColor="background1" w:themeShade="BF"/>
            </w:tcBorders>
            <w:vAlign w:val="bottom"/>
          </w:tcPr>
          <w:p w:rsidR="00195BE7" w:rsidRPr="001E2F6E" w:rsidRDefault="00195BE7" w:rsidP="00195BE7">
            <w:pPr>
              <w:widowControl w:val="0"/>
              <w:spacing w:line="240" w:lineRule="exact"/>
              <w:ind w:right="170"/>
              <w:jc w:val="right"/>
              <w:rPr>
                <w:sz w:val="16"/>
                <w:szCs w:val="16"/>
              </w:rPr>
            </w:pPr>
            <w:r w:rsidRPr="001E2F6E">
              <w:rPr>
                <w:sz w:val="16"/>
                <w:szCs w:val="16"/>
                <w:lang w:val="es-ES_tradnl"/>
              </w:rPr>
              <w:t>100</w:t>
            </w:r>
          </w:p>
        </w:tc>
        <w:tc>
          <w:tcPr>
            <w:tcW w:w="816" w:type="pct"/>
            <w:tcBorders>
              <w:top w:val="single" w:sz="4" w:space="0" w:color="BFBFBF" w:themeColor="background1" w:themeShade="BF"/>
              <w:left w:val="single" w:sz="4" w:space="0" w:color="BFBFBF" w:themeColor="background1" w:themeShade="BF"/>
              <w:right w:val="single" w:sz="4" w:space="0" w:color="BFBFBF" w:themeColor="background1" w:themeShade="BF"/>
            </w:tcBorders>
            <w:vAlign w:val="bottom"/>
          </w:tcPr>
          <w:p w:rsidR="00195BE7" w:rsidRPr="001E2F6E" w:rsidRDefault="00195BE7" w:rsidP="00195BE7">
            <w:pPr>
              <w:widowControl w:val="0"/>
              <w:spacing w:line="240" w:lineRule="exact"/>
              <w:ind w:right="170"/>
              <w:jc w:val="right"/>
              <w:rPr>
                <w:sz w:val="16"/>
                <w:szCs w:val="16"/>
              </w:rPr>
            </w:pPr>
            <w:r w:rsidRPr="001E2F6E">
              <w:rPr>
                <w:sz w:val="16"/>
                <w:szCs w:val="16"/>
              </w:rPr>
              <w:t>71,3</w:t>
            </w:r>
          </w:p>
        </w:tc>
        <w:tc>
          <w:tcPr>
            <w:tcW w:w="812" w:type="pct"/>
            <w:tcBorders>
              <w:top w:val="single" w:sz="4" w:space="0" w:color="BFBFBF" w:themeColor="background1" w:themeShade="BF"/>
              <w:left w:val="single" w:sz="4" w:space="0" w:color="BFBFBF" w:themeColor="background1" w:themeShade="BF"/>
              <w:right w:val="single" w:sz="4" w:space="0" w:color="BFBFBF" w:themeColor="background1" w:themeShade="BF"/>
            </w:tcBorders>
            <w:vAlign w:val="bottom"/>
          </w:tcPr>
          <w:p w:rsidR="00195BE7" w:rsidRPr="001E2F6E" w:rsidRDefault="00195BE7" w:rsidP="00195BE7">
            <w:pPr>
              <w:widowControl w:val="0"/>
              <w:spacing w:line="240" w:lineRule="exact"/>
              <w:ind w:right="170"/>
              <w:jc w:val="right"/>
              <w:rPr>
                <w:sz w:val="16"/>
                <w:szCs w:val="16"/>
              </w:rPr>
            </w:pPr>
            <w:r w:rsidRPr="001E2F6E">
              <w:rPr>
                <w:sz w:val="16"/>
                <w:szCs w:val="16"/>
              </w:rPr>
              <w:t>27,0</w:t>
            </w:r>
          </w:p>
        </w:tc>
        <w:tc>
          <w:tcPr>
            <w:tcW w:w="816" w:type="pct"/>
            <w:tcBorders>
              <w:top w:val="single" w:sz="4" w:space="0" w:color="BFBFBF" w:themeColor="background1" w:themeShade="BF"/>
              <w:left w:val="single" w:sz="4" w:space="0" w:color="BFBFBF" w:themeColor="background1" w:themeShade="BF"/>
              <w:right w:val="single" w:sz="4" w:space="0" w:color="BFBFBF" w:themeColor="background1" w:themeShade="BF"/>
            </w:tcBorders>
            <w:vAlign w:val="bottom"/>
          </w:tcPr>
          <w:p w:rsidR="00195BE7" w:rsidRPr="001E2F6E" w:rsidRDefault="00195BE7" w:rsidP="00195BE7">
            <w:pPr>
              <w:widowControl w:val="0"/>
              <w:spacing w:line="240" w:lineRule="exact"/>
              <w:ind w:right="170"/>
              <w:jc w:val="right"/>
              <w:rPr>
                <w:sz w:val="16"/>
                <w:szCs w:val="16"/>
              </w:rPr>
            </w:pPr>
            <w:r w:rsidRPr="001E2F6E">
              <w:rPr>
                <w:sz w:val="16"/>
                <w:szCs w:val="16"/>
              </w:rPr>
              <w:t>13,2</w:t>
            </w:r>
          </w:p>
        </w:tc>
        <w:tc>
          <w:tcPr>
            <w:tcW w:w="814" w:type="pct"/>
            <w:tcBorders>
              <w:top w:val="single" w:sz="4" w:space="0" w:color="BFBFBF" w:themeColor="background1" w:themeShade="BF"/>
              <w:left w:val="single" w:sz="4" w:space="0" w:color="BFBFBF" w:themeColor="background1" w:themeShade="BF"/>
            </w:tcBorders>
            <w:vAlign w:val="bottom"/>
          </w:tcPr>
          <w:p w:rsidR="00195BE7" w:rsidRPr="001E2F6E" w:rsidRDefault="00195BE7" w:rsidP="00195BE7">
            <w:pPr>
              <w:widowControl w:val="0"/>
              <w:spacing w:line="240" w:lineRule="exact"/>
              <w:ind w:right="170"/>
              <w:jc w:val="right"/>
              <w:rPr>
                <w:sz w:val="16"/>
                <w:szCs w:val="16"/>
              </w:rPr>
            </w:pPr>
            <w:r w:rsidRPr="001E2F6E">
              <w:rPr>
                <w:sz w:val="16"/>
                <w:szCs w:val="16"/>
              </w:rPr>
              <w:t>13,8</w:t>
            </w:r>
          </w:p>
        </w:tc>
      </w:tr>
      <w:tr w:rsidR="00195BE7" w:rsidRPr="001E2F6E" w:rsidTr="00195BE7">
        <w:trPr>
          <w:jc w:val="center"/>
        </w:trPr>
        <w:tc>
          <w:tcPr>
            <w:tcW w:w="927" w:type="pct"/>
            <w:tcBorders>
              <w:right w:val="single" w:sz="4" w:space="0" w:color="BFBFBF" w:themeColor="background1" w:themeShade="BF"/>
            </w:tcBorders>
            <w:vAlign w:val="bottom"/>
          </w:tcPr>
          <w:p w:rsidR="00195BE7" w:rsidRPr="001E2F6E" w:rsidRDefault="00195BE7" w:rsidP="00195BE7">
            <w:pPr>
              <w:widowControl w:val="0"/>
              <w:spacing w:line="240" w:lineRule="auto"/>
              <w:rPr>
                <w:sz w:val="16"/>
                <w:szCs w:val="16"/>
                <w:lang w:val="eu-ES"/>
              </w:rPr>
            </w:pPr>
            <w:r w:rsidRPr="001E2F6E">
              <w:rPr>
                <w:sz w:val="16"/>
                <w:szCs w:val="16"/>
                <w:lang w:val="eu-ES"/>
              </w:rPr>
              <w:t>Industria</w:t>
            </w:r>
          </w:p>
        </w:tc>
        <w:tc>
          <w:tcPr>
            <w:tcW w:w="816" w:type="pct"/>
            <w:tcBorders>
              <w:left w:val="single" w:sz="4" w:space="0" w:color="BFBFBF" w:themeColor="background1" w:themeShade="BF"/>
              <w:right w:val="single" w:sz="4" w:space="0" w:color="BFBFBF" w:themeColor="background1" w:themeShade="BF"/>
            </w:tcBorders>
            <w:vAlign w:val="bottom"/>
          </w:tcPr>
          <w:p w:rsidR="00195BE7" w:rsidRPr="001E2F6E" w:rsidRDefault="00195BE7" w:rsidP="00195BE7">
            <w:pPr>
              <w:widowControl w:val="0"/>
              <w:spacing w:line="240" w:lineRule="exact"/>
              <w:ind w:right="170"/>
              <w:jc w:val="right"/>
              <w:rPr>
                <w:sz w:val="16"/>
                <w:szCs w:val="16"/>
              </w:rPr>
            </w:pPr>
            <w:r w:rsidRPr="001E2F6E">
              <w:rPr>
                <w:sz w:val="16"/>
                <w:szCs w:val="16"/>
                <w:lang w:val="es-ES_tradnl"/>
              </w:rPr>
              <w:t>100</w:t>
            </w:r>
          </w:p>
        </w:tc>
        <w:tc>
          <w:tcPr>
            <w:tcW w:w="816" w:type="pct"/>
            <w:tcBorders>
              <w:left w:val="single" w:sz="4" w:space="0" w:color="BFBFBF" w:themeColor="background1" w:themeShade="BF"/>
              <w:right w:val="single" w:sz="4" w:space="0" w:color="BFBFBF" w:themeColor="background1" w:themeShade="BF"/>
            </w:tcBorders>
            <w:vAlign w:val="bottom"/>
          </w:tcPr>
          <w:p w:rsidR="00195BE7" w:rsidRPr="001E2F6E" w:rsidRDefault="00195BE7" w:rsidP="00195BE7">
            <w:pPr>
              <w:widowControl w:val="0"/>
              <w:spacing w:line="240" w:lineRule="exact"/>
              <w:ind w:right="170"/>
              <w:jc w:val="right"/>
              <w:rPr>
                <w:sz w:val="16"/>
                <w:szCs w:val="16"/>
              </w:rPr>
            </w:pPr>
            <w:r w:rsidRPr="001E2F6E">
              <w:rPr>
                <w:sz w:val="16"/>
                <w:szCs w:val="16"/>
              </w:rPr>
              <w:t>78,0</w:t>
            </w:r>
          </w:p>
        </w:tc>
        <w:tc>
          <w:tcPr>
            <w:tcW w:w="812" w:type="pct"/>
            <w:tcBorders>
              <w:left w:val="single" w:sz="4" w:space="0" w:color="BFBFBF" w:themeColor="background1" w:themeShade="BF"/>
              <w:right w:val="single" w:sz="4" w:space="0" w:color="BFBFBF" w:themeColor="background1" w:themeShade="BF"/>
            </w:tcBorders>
            <w:vAlign w:val="bottom"/>
          </w:tcPr>
          <w:p w:rsidR="00195BE7" w:rsidRPr="001E2F6E" w:rsidRDefault="00195BE7" w:rsidP="00195BE7">
            <w:pPr>
              <w:widowControl w:val="0"/>
              <w:spacing w:line="240" w:lineRule="exact"/>
              <w:ind w:right="170"/>
              <w:jc w:val="right"/>
              <w:rPr>
                <w:sz w:val="16"/>
                <w:szCs w:val="16"/>
              </w:rPr>
            </w:pPr>
            <w:r w:rsidRPr="001E2F6E">
              <w:rPr>
                <w:sz w:val="16"/>
                <w:szCs w:val="16"/>
              </w:rPr>
              <w:t>25,2</w:t>
            </w:r>
          </w:p>
        </w:tc>
        <w:tc>
          <w:tcPr>
            <w:tcW w:w="816" w:type="pct"/>
            <w:tcBorders>
              <w:left w:val="single" w:sz="4" w:space="0" w:color="BFBFBF" w:themeColor="background1" w:themeShade="BF"/>
              <w:right w:val="single" w:sz="4" w:space="0" w:color="BFBFBF" w:themeColor="background1" w:themeShade="BF"/>
            </w:tcBorders>
            <w:vAlign w:val="bottom"/>
          </w:tcPr>
          <w:p w:rsidR="00195BE7" w:rsidRPr="001E2F6E" w:rsidRDefault="00195BE7" w:rsidP="00195BE7">
            <w:pPr>
              <w:widowControl w:val="0"/>
              <w:spacing w:line="240" w:lineRule="exact"/>
              <w:ind w:right="170"/>
              <w:jc w:val="right"/>
              <w:rPr>
                <w:sz w:val="16"/>
                <w:szCs w:val="16"/>
              </w:rPr>
            </w:pPr>
            <w:r w:rsidRPr="001E2F6E">
              <w:rPr>
                <w:sz w:val="16"/>
                <w:szCs w:val="16"/>
              </w:rPr>
              <w:t>9,6</w:t>
            </w:r>
          </w:p>
        </w:tc>
        <w:tc>
          <w:tcPr>
            <w:tcW w:w="814" w:type="pct"/>
            <w:tcBorders>
              <w:left w:val="single" w:sz="4" w:space="0" w:color="BFBFBF" w:themeColor="background1" w:themeShade="BF"/>
            </w:tcBorders>
            <w:vAlign w:val="bottom"/>
          </w:tcPr>
          <w:p w:rsidR="00195BE7" w:rsidRPr="001E2F6E" w:rsidRDefault="00195BE7" w:rsidP="00195BE7">
            <w:pPr>
              <w:widowControl w:val="0"/>
              <w:spacing w:line="240" w:lineRule="exact"/>
              <w:ind w:right="170"/>
              <w:jc w:val="right"/>
              <w:rPr>
                <w:sz w:val="16"/>
                <w:szCs w:val="16"/>
              </w:rPr>
            </w:pPr>
            <w:r w:rsidRPr="001E2F6E">
              <w:rPr>
                <w:sz w:val="16"/>
                <w:szCs w:val="16"/>
              </w:rPr>
              <w:t>15,6</w:t>
            </w:r>
          </w:p>
        </w:tc>
      </w:tr>
      <w:tr w:rsidR="00195BE7" w:rsidRPr="001E2F6E" w:rsidTr="00195BE7">
        <w:trPr>
          <w:jc w:val="center"/>
        </w:trPr>
        <w:tc>
          <w:tcPr>
            <w:tcW w:w="927" w:type="pct"/>
            <w:tcBorders>
              <w:right w:val="single" w:sz="4" w:space="0" w:color="BFBFBF" w:themeColor="background1" w:themeShade="BF"/>
            </w:tcBorders>
            <w:vAlign w:val="bottom"/>
          </w:tcPr>
          <w:p w:rsidR="00195BE7" w:rsidRPr="001E2F6E" w:rsidRDefault="00195BE7" w:rsidP="00195BE7">
            <w:pPr>
              <w:widowControl w:val="0"/>
              <w:spacing w:line="240" w:lineRule="auto"/>
              <w:rPr>
                <w:sz w:val="16"/>
                <w:szCs w:val="16"/>
                <w:lang w:val="eu-ES"/>
              </w:rPr>
            </w:pPr>
            <w:r w:rsidRPr="001E2F6E">
              <w:rPr>
                <w:sz w:val="16"/>
                <w:szCs w:val="16"/>
                <w:lang w:val="eu-ES"/>
              </w:rPr>
              <w:t>Eraikuntza</w:t>
            </w:r>
          </w:p>
        </w:tc>
        <w:tc>
          <w:tcPr>
            <w:tcW w:w="816" w:type="pct"/>
            <w:tcBorders>
              <w:left w:val="single" w:sz="4" w:space="0" w:color="BFBFBF" w:themeColor="background1" w:themeShade="BF"/>
              <w:right w:val="single" w:sz="4" w:space="0" w:color="BFBFBF" w:themeColor="background1" w:themeShade="BF"/>
            </w:tcBorders>
            <w:vAlign w:val="bottom"/>
          </w:tcPr>
          <w:p w:rsidR="00195BE7" w:rsidRPr="001E2F6E" w:rsidRDefault="00195BE7" w:rsidP="00195BE7">
            <w:pPr>
              <w:widowControl w:val="0"/>
              <w:spacing w:line="240" w:lineRule="exact"/>
              <w:ind w:right="170"/>
              <w:jc w:val="right"/>
              <w:rPr>
                <w:sz w:val="16"/>
                <w:szCs w:val="16"/>
              </w:rPr>
            </w:pPr>
            <w:r w:rsidRPr="001E2F6E">
              <w:rPr>
                <w:sz w:val="16"/>
                <w:szCs w:val="16"/>
                <w:lang w:val="es-ES_tradnl"/>
              </w:rPr>
              <w:t>100</w:t>
            </w:r>
          </w:p>
        </w:tc>
        <w:tc>
          <w:tcPr>
            <w:tcW w:w="816" w:type="pct"/>
            <w:tcBorders>
              <w:left w:val="single" w:sz="4" w:space="0" w:color="BFBFBF" w:themeColor="background1" w:themeShade="BF"/>
              <w:right w:val="single" w:sz="4" w:space="0" w:color="BFBFBF" w:themeColor="background1" w:themeShade="BF"/>
            </w:tcBorders>
            <w:vAlign w:val="bottom"/>
          </w:tcPr>
          <w:p w:rsidR="00195BE7" w:rsidRPr="001E2F6E" w:rsidRDefault="00195BE7" w:rsidP="00195BE7">
            <w:pPr>
              <w:widowControl w:val="0"/>
              <w:spacing w:line="240" w:lineRule="exact"/>
              <w:ind w:right="170"/>
              <w:jc w:val="right"/>
              <w:rPr>
                <w:sz w:val="16"/>
                <w:szCs w:val="16"/>
              </w:rPr>
            </w:pPr>
            <w:r w:rsidRPr="001E2F6E">
              <w:rPr>
                <w:sz w:val="16"/>
                <w:szCs w:val="16"/>
              </w:rPr>
              <w:t>68,9</w:t>
            </w:r>
          </w:p>
        </w:tc>
        <w:tc>
          <w:tcPr>
            <w:tcW w:w="812" w:type="pct"/>
            <w:tcBorders>
              <w:left w:val="single" w:sz="4" w:space="0" w:color="BFBFBF" w:themeColor="background1" w:themeShade="BF"/>
              <w:right w:val="single" w:sz="4" w:space="0" w:color="BFBFBF" w:themeColor="background1" w:themeShade="BF"/>
            </w:tcBorders>
            <w:vAlign w:val="bottom"/>
          </w:tcPr>
          <w:p w:rsidR="00195BE7" w:rsidRPr="001E2F6E" w:rsidRDefault="00195BE7" w:rsidP="00195BE7">
            <w:pPr>
              <w:widowControl w:val="0"/>
              <w:spacing w:line="240" w:lineRule="exact"/>
              <w:ind w:right="170"/>
              <w:jc w:val="right"/>
              <w:rPr>
                <w:sz w:val="16"/>
                <w:szCs w:val="16"/>
              </w:rPr>
            </w:pPr>
            <w:r w:rsidRPr="001E2F6E">
              <w:rPr>
                <w:sz w:val="16"/>
                <w:szCs w:val="16"/>
              </w:rPr>
              <w:t>30,6</w:t>
            </w:r>
          </w:p>
        </w:tc>
        <w:tc>
          <w:tcPr>
            <w:tcW w:w="816" w:type="pct"/>
            <w:tcBorders>
              <w:left w:val="single" w:sz="4" w:space="0" w:color="BFBFBF" w:themeColor="background1" w:themeShade="BF"/>
              <w:right w:val="single" w:sz="4" w:space="0" w:color="BFBFBF" w:themeColor="background1" w:themeShade="BF"/>
            </w:tcBorders>
            <w:vAlign w:val="bottom"/>
          </w:tcPr>
          <w:p w:rsidR="00195BE7" w:rsidRPr="001E2F6E" w:rsidRDefault="00195BE7" w:rsidP="00195BE7">
            <w:pPr>
              <w:widowControl w:val="0"/>
              <w:spacing w:line="240" w:lineRule="exact"/>
              <w:ind w:right="170"/>
              <w:jc w:val="right"/>
              <w:rPr>
                <w:sz w:val="16"/>
                <w:szCs w:val="16"/>
              </w:rPr>
            </w:pPr>
            <w:r w:rsidRPr="001E2F6E">
              <w:rPr>
                <w:sz w:val="16"/>
                <w:szCs w:val="16"/>
              </w:rPr>
              <w:t>18,2</w:t>
            </w:r>
          </w:p>
        </w:tc>
        <w:tc>
          <w:tcPr>
            <w:tcW w:w="814" w:type="pct"/>
            <w:tcBorders>
              <w:left w:val="single" w:sz="4" w:space="0" w:color="BFBFBF" w:themeColor="background1" w:themeShade="BF"/>
            </w:tcBorders>
            <w:vAlign w:val="bottom"/>
          </w:tcPr>
          <w:p w:rsidR="00195BE7" w:rsidRPr="001E2F6E" w:rsidRDefault="00195BE7" w:rsidP="00195BE7">
            <w:pPr>
              <w:widowControl w:val="0"/>
              <w:spacing w:line="240" w:lineRule="exact"/>
              <w:ind w:right="170"/>
              <w:jc w:val="right"/>
              <w:rPr>
                <w:sz w:val="16"/>
                <w:szCs w:val="16"/>
              </w:rPr>
            </w:pPr>
            <w:r w:rsidRPr="001E2F6E">
              <w:rPr>
                <w:sz w:val="16"/>
                <w:szCs w:val="16"/>
              </w:rPr>
              <w:t>12,4</w:t>
            </w:r>
          </w:p>
        </w:tc>
      </w:tr>
      <w:tr w:rsidR="00195BE7" w:rsidRPr="001E2F6E" w:rsidTr="00195BE7">
        <w:trPr>
          <w:jc w:val="center"/>
        </w:trPr>
        <w:tc>
          <w:tcPr>
            <w:tcW w:w="927" w:type="pct"/>
            <w:tcBorders>
              <w:bottom w:val="single" w:sz="4" w:space="0" w:color="BFBFBF" w:themeColor="background1" w:themeShade="BF"/>
              <w:right w:val="single" w:sz="4" w:space="0" w:color="BFBFBF" w:themeColor="background1" w:themeShade="BF"/>
            </w:tcBorders>
            <w:vAlign w:val="bottom"/>
          </w:tcPr>
          <w:p w:rsidR="00195BE7" w:rsidRPr="001E2F6E" w:rsidRDefault="00195BE7" w:rsidP="00195BE7">
            <w:pPr>
              <w:widowControl w:val="0"/>
              <w:spacing w:line="240" w:lineRule="auto"/>
              <w:rPr>
                <w:sz w:val="16"/>
                <w:szCs w:val="16"/>
                <w:lang w:val="eu-ES"/>
              </w:rPr>
            </w:pPr>
            <w:r w:rsidRPr="001E2F6E">
              <w:rPr>
                <w:sz w:val="16"/>
                <w:szCs w:val="16"/>
                <w:lang w:val="eu-ES"/>
              </w:rPr>
              <w:t>Zerbitzuak</w:t>
            </w:r>
          </w:p>
        </w:tc>
        <w:tc>
          <w:tcPr>
            <w:tcW w:w="816" w:type="pct"/>
            <w:tcBorders>
              <w:left w:val="single" w:sz="4" w:space="0" w:color="BFBFBF" w:themeColor="background1" w:themeShade="BF"/>
              <w:bottom w:val="single" w:sz="4" w:space="0" w:color="BFBFBF" w:themeColor="background1" w:themeShade="BF"/>
              <w:right w:val="single" w:sz="4" w:space="0" w:color="BFBFBF" w:themeColor="background1" w:themeShade="BF"/>
            </w:tcBorders>
            <w:vAlign w:val="bottom"/>
          </w:tcPr>
          <w:p w:rsidR="00195BE7" w:rsidRPr="001E2F6E" w:rsidRDefault="00195BE7" w:rsidP="00195BE7">
            <w:pPr>
              <w:widowControl w:val="0"/>
              <w:spacing w:line="240" w:lineRule="exact"/>
              <w:ind w:right="170"/>
              <w:jc w:val="right"/>
              <w:rPr>
                <w:sz w:val="16"/>
                <w:szCs w:val="16"/>
              </w:rPr>
            </w:pPr>
            <w:r w:rsidRPr="001E2F6E">
              <w:rPr>
                <w:sz w:val="16"/>
                <w:szCs w:val="16"/>
                <w:lang w:val="es-ES_tradnl"/>
              </w:rPr>
              <w:t>100</w:t>
            </w:r>
          </w:p>
        </w:tc>
        <w:tc>
          <w:tcPr>
            <w:tcW w:w="816" w:type="pct"/>
            <w:tcBorders>
              <w:left w:val="single" w:sz="4" w:space="0" w:color="BFBFBF" w:themeColor="background1" w:themeShade="BF"/>
              <w:bottom w:val="single" w:sz="4" w:space="0" w:color="BFBFBF" w:themeColor="background1" w:themeShade="BF"/>
              <w:right w:val="single" w:sz="4" w:space="0" w:color="BFBFBF" w:themeColor="background1" w:themeShade="BF"/>
            </w:tcBorders>
            <w:vAlign w:val="bottom"/>
          </w:tcPr>
          <w:p w:rsidR="00195BE7" w:rsidRPr="001E2F6E" w:rsidRDefault="00195BE7" w:rsidP="00195BE7">
            <w:pPr>
              <w:widowControl w:val="0"/>
              <w:spacing w:line="240" w:lineRule="exact"/>
              <w:ind w:right="170"/>
              <w:jc w:val="right"/>
              <w:rPr>
                <w:sz w:val="16"/>
                <w:szCs w:val="16"/>
              </w:rPr>
            </w:pPr>
            <w:r w:rsidRPr="001E2F6E">
              <w:rPr>
                <w:sz w:val="16"/>
                <w:szCs w:val="16"/>
              </w:rPr>
              <w:t>63,6</w:t>
            </w:r>
          </w:p>
        </w:tc>
        <w:tc>
          <w:tcPr>
            <w:tcW w:w="812" w:type="pct"/>
            <w:tcBorders>
              <w:left w:val="single" w:sz="4" w:space="0" w:color="BFBFBF" w:themeColor="background1" w:themeShade="BF"/>
              <w:bottom w:val="single" w:sz="4" w:space="0" w:color="BFBFBF" w:themeColor="background1" w:themeShade="BF"/>
              <w:right w:val="single" w:sz="4" w:space="0" w:color="BFBFBF" w:themeColor="background1" w:themeShade="BF"/>
            </w:tcBorders>
            <w:vAlign w:val="bottom"/>
          </w:tcPr>
          <w:p w:rsidR="00195BE7" w:rsidRPr="001E2F6E" w:rsidRDefault="00195BE7" w:rsidP="00195BE7">
            <w:pPr>
              <w:widowControl w:val="0"/>
              <w:spacing w:line="240" w:lineRule="exact"/>
              <w:ind w:right="170"/>
              <w:jc w:val="right"/>
              <w:rPr>
                <w:sz w:val="16"/>
                <w:szCs w:val="16"/>
              </w:rPr>
            </w:pPr>
            <w:r w:rsidRPr="001E2F6E">
              <w:rPr>
                <w:sz w:val="16"/>
                <w:szCs w:val="16"/>
              </w:rPr>
              <w:t>31,2</w:t>
            </w:r>
          </w:p>
        </w:tc>
        <w:tc>
          <w:tcPr>
            <w:tcW w:w="816" w:type="pct"/>
            <w:tcBorders>
              <w:left w:val="single" w:sz="4" w:space="0" w:color="BFBFBF" w:themeColor="background1" w:themeShade="BF"/>
              <w:bottom w:val="single" w:sz="4" w:space="0" w:color="BFBFBF" w:themeColor="background1" w:themeShade="BF"/>
              <w:right w:val="single" w:sz="4" w:space="0" w:color="BFBFBF" w:themeColor="background1" w:themeShade="BF"/>
            </w:tcBorders>
            <w:vAlign w:val="bottom"/>
          </w:tcPr>
          <w:p w:rsidR="00195BE7" w:rsidRPr="001E2F6E" w:rsidRDefault="00195BE7" w:rsidP="00195BE7">
            <w:pPr>
              <w:widowControl w:val="0"/>
              <w:spacing w:line="240" w:lineRule="exact"/>
              <w:ind w:right="170"/>
              <w:jc w:val="right"/>
              <w:rPr>
                <w:sz w:val="16"/>
                <w:szCs w:val="16"/>
              </w:rPr>
            </w:pPr>
            <w:r w:rsidRPr="001E2F6E">
              <w:rPr>
                <w:sz w:val="16"/>
                <w:szCs w:val="16"/>
              </w:rPr>
              <w:t>18,3</w:t>
            </w:r>
          </w:p>
        </w:tc>
        <w:tc>
          <w:tcPr>
            <w:tcW w:w="814" w:type="pct"/>
            <w:tcBorders>
              <w:left w:val="single" w:sz="4" w:space="0" w:color="BFBFBF" w:themeColor="background1" w:themeShade="BF"/>
              <w:bottom w:val="single" w:sz="4" w:space="0" w:color="BFBFBF" w:themeColor="background1" w:themeShade="BF"/>
            </w:tcBorders>
            <w:vAlign w:val="bottom"/>
          </w:tcPr>
          <w:p w:rsidR="00195BE7" w:rsidRPr="001E2F6E" w:rsidRDefault="00195BE7" w:rsidP="00195BE7">
            <w:pPr>
              <w:widowControl w:val="0"/>
              <w:spacing w:line="240" w:lineRule="exact"/>
              <w:ind w:right="170"/>
              <w:jc w:val="right"/>
              <w:rPr>
                <w:sz w:val="16"/>
                <w:szCs w:val="16"/>
              </w:rPr>
            </w:pPr>
            <w:r w:rsidRPr="001E2F6E">
              <w:rPr>
                <w:sz w:val="16"/>
                <w:szCs w:val="16"/>
              </w:rPr>
              <w:t>12,9</w:t>
            </w:r>
          </w:p>
        </w:tc>
      </w:tr>
      <w:tr w:rsidR="00195BE7" w:rsidRPr="001E2F6E" w:rsidTr="00195BE7">
        <w:trPr>
          <w:jc w:val="center"/>
        </w:trPr>
        <w:tc>
          <w:tcPr>
            <w:tcW w:w="927" w:type="pct"/>
            <w:tcBorders>
              <w:top w:val="single" w:sz="4" w:space="0" w:color="BFBFBF" w:themeColor="background1" w:themeShade="BF"/>
              <w:bottom w:val="single" w:sz="4" w:space="0" w:color="BFBFBF" w:themeColor="background1" w:themeShade="BF"/>
              <w:right w:val="single" w:sz="4" w:space="0" w:color="BFBFBF" w:themeColor="background1" w:themeShade="BF"/>
            </w:tcBorders>
            <w:vAlign w:val="bottom"/>
          </w:tcPr>
          <w:p w:rsidR="00195BE7" w:rsidRPr="001E2F6E" w:rsidRDefault="00195BE7" w:rsidP="00195BE7">
            <w:pPr>
              <w:spacing w:line="240" w:lineRule="exact"/>
              <w:rPr>
                <w:b/>
                <w:sz w:val="16"/>
                <w:szCs w:val="16"/>
              </w:rPr>
            </w:pPr>
            <w:r w:rsidRPr="001E2F6E">
              <w:rPr>
                <w:b/>
                <w:sz w:val="16"/>
                <w:szCs w:val="16"/>
              </w:rPr>
              <w:t>GUZTIRA</w:t>
            </w:r>
          </w:p>
        </w:tc>
        <w:tc>
          <w:tcPr>
            <w:tcW w:w="81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bottom"/>
          </w:tcPr>
          <w:p w:rsidR="00195BE7" w:rsidRPr="001E2F6E" w:rsidRDefault="00195BE7" w:rsidP="00195BE7">
            <w:pPr>
              <w:spacing w:line="240" w:lineRule="exact"/>
              <w:ind w:right="170"/>
              <w:jc w:val="right"/>
              <w:rPr>
                <w:b/>
                <w:sz w:val="16"/>
                <w:szCs w:val="16"/>
              </w:rPr>
            </w:pPr>
            <w:r w:rsidRPr="001E2F6E">
              <w:rPr>
                <w:b/>
                <w:sz w:val="16"/>
                <w:szCs w:val="16"/>
              </w:rPr>
              <w:t>100</w:t>
            </w:r>
          </w:p>
        </w:tc>
        <w:tc>
          <w:tcPr>
            <w:tcW w:w="81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bottom"/>
          </w:tcPr>
          <w:p w:rsidR="00195BE7" w:rsidRPr="001E2F6E" w:rsidRDefault="00195BE7" w:rsidP="00195BE7">
            <w:pPr>
              <w:spacing w:line="240" w:lineRule="exact"/>
              <w:ind w:right="170"/>
              <w:jc w:val="right"/>
              <w:rPr>
                <w:b/>
                <w:sz w:val="16"/>
                <w:szCs w:val="16"/>
              </w:rPr>
            </w:pPr>
            <w:r w:rsidRPr="001E2F6E">
              <w:rPr>
                <w:b/>
                <w:sz w:val="16"/>
                <w:szCs w:val="16"/>
              </w:rPr>
              <w:t>70,4</w:t>
            </w:r>
          </w:p>
        </w:tc>
        <w:tc>
          <w:tcPr>
            <w:tcW w:w="81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bottom"/>
          </w:tcPr>
          <w:p w:rsidR="00195BE7" w:rsidRPr="001E2F6E" w:rsidRDefault="00195BE7" w:rsidP="00195BE7">
            <w:pPr>
              <w:spacing w:line="240" w:lineRule="exact"/>
              <w:ind w:right="170"/>
              <w:jc w:val="right"/>
              <w:rPr>
                <w:b/>
                <w:sz w:val="16"/>
                <w:szCs w:val="16"/>
              </w:rPr>
            </w:pPr>
            <w:r w:rsidRPr="001E2F6E">
              <w:rPr>
                <w:b/>
                <w:sz w:val="16"/>
                <w:szCs w:val="16"/>
              </w:rPr>
              <w:t>29,6</w:t>
            </w:r>
          </w:p>
        </w:tc>
        <w:tc>
          <w:tcPr>
            <w:tcW w:w="81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bottom"/>
          </w:tcPr>
          <w:p w:rsidR="00195BE7" w:rsidRPr="001E2F6E" w:rsidRDefault="00195BE7" w:rsidP="00195BE7">
            <w:pPr>
              <w:spacing w:line="240" w:lineRule="exact"/>
              <w:ind w:right="170"/>
              <w:jc w:val="right"/>
              <w:rPr>
                <w:b/>
                <w:sz w:val="16"/>
                <w:szCs w:val="16"/>
              </w:rPr>
            </w:pPr>
            <w:r w:rsidRPr="001E2F6E">
              <w:rPr>
                <w:b/>
                <w:sz w:val="16"/>
                <w:szCs w:val="16"/>
              </w:rPr>
              <w:t>14,3</w:t>
            </w:r>
          </w:p>
        </w:tc>
        <w:tc>
          <w:tcPr>
            <w:tcW w:w="814" w:type="pct"/>
            <w:tcBorders>
              <w:top w:val="single" w:sz="4" w:space="0" w:color="BFBFBF" w:themeColor="background1" w:themeShade="BF"/>
              <w:left w:val="single" w:sz="4" w:space="0" w:color="BFBFBF" w:themeColor="background1" w:themeShade="BF"/>
              <w:bottom w:val="single" w:sz="4" w:space="0" w:color="BFBFBF" w:themeColor="background1" w:themeShade="BF"/>
            </w:tcBorders>
            <w:vAlign w:val="bottom"/>
          </w:tcPr>
          <w:p w:rsidR="00195BE7" w:rsidRPr="001E2F6E" w:rsidRDefault="00195BE7" w:rsidP="00195BE7">
            <w:pPr>
              <w:spacing w:line="240" w:lineRule="exact"/>
              <w:ind w:right="170"/>
              <w:jc w:val="right"/>
              <w:rPr>
                <w:b/>
                <w:sz w:val="16"/>
                <w:szCs w:val="16"/>
              </w:rPr>
            </w:pPr>
            <w:r w:rsidRPr="001E2F6E">
              <w:rPr>
                <w:b/>
                <w:sz w:val="16"/>
                <w:szCs w:val="16"/>
              </w:rPr>
              <w:t>15,3</w:t>
            </w:r>
          </w:p>
        </w:tc>
      </w:tr>
    </w:tbl>
    <w:p w:rsidR="00195BE7" w:rsidRPr="001E2F6E" w:rsidRDefault="00195BE7" w:rsidP="00195BE7">
      <w:pPr>
        <w:widowControl w:val="0"/>
      </w:pPr>
    </w:p>
    <w:p w:rsidR="00195BE7" w:rsidRPr="001E2F6E" w:rsidRDefault="00195BE7" w:rsidP="00195BE7">
      <w:pPr>
        <w:pStyle w:val="Ttulo1"/>
        <w:ind w:left="708" w:hanging="708"/>
        <w:rPr>
          <w:color w:val="1F497D" w:themeColor="text2"/>
          <w:sz w:val="22"/>
          <w:szCs w:val="22"/>
        </w:rPr>
      </w:pPr>
      <w:bookmarkStart w:id="79" w:name="_Toc391989009"/>
      <w:bookmarkStart w:id="80" w:name="_Toc392585672"/>
      <w:r w:rsidRPr="001E2F6E">
        <w:rPr>
          <w:color w:val="1F497D" w:themeColor="text2"/>
          <w:sz w:val="22"/>
          <w:szCs w:val="22"/>
        </w:rPr>
        <w:t xml:space="preserve">1.3.- </w:t>
      </w:r>
      <w:r w:rsidRPr="001E2F6E">
        <w:rPr>
          <w:color w:val="1F497D" w:themeColor="text2"/>
          <w:sz w:val="22"/>
          <w:szCs w:val="22"/>
        </w:rPr>
        <w:tab/>
      </w:r>
      <w:r w:rsidRPr="001E2F6E">
        <w:rPr>
          <w:color w:val="1F497D" w:themeColor="text2"/>
          <w:sz w:val="22"/>
          <w:szCs w:val="22"/>
          <w:lang w:val="eu-ES"/>
        </w:rPr>
        <w:t>GIZARTE-EKONOMIAK SORTUTAKO BALIO ERANTSI GORDINA (BEGd) BALIOA ETA PRODUKTIBITATE ANTZEMANGARRIA</w:t>
      </w:r>
      <w:bookmarkEnd w:id="79"/>
      <w:bookmarkEnd w:id="80"/>
    </w:p>
    <w:p w:rsidR="00195BE7" w:rsidRPr="001E2F6E" w:rsidRDefault="00195BE7" w:rsidP="00195BE7">
      <w:pPr>
        <w:spacing w:line="240" w:lineRule="auto"/>
        <w:rPr>
          <w:color w:val="1F497D" w:themeColor="text2"/>
        </w:rPr>
      </w:pPr>
    </w:p>
    <w:p w:rsidR="00195BE7" w:rsidRPr="001E2F6E" w:rsidRDefault="00195BE7" w:rsidP="00195BE7">
      <w:pPr>
        <w:pStyle w:val="Ttulo1"/>
        <w:ind w:left="708" w:hanging="708"/>
        <w:rPr>
          <w:color w:val="1F497D" w:themeColor="text2"/>
          <w:sz w:val="22"/>
          <w:szCs w:val="22"/>
        </w:rPr>
      </w:pPr>
      <w:bookmarkStart w:id="81" w:name="_Toc391565481"/>
      <w:bookmarkStart w:id="82" w:name="_Toc391989010"/>
      <w:bookmarkStart w:id="83" w:name="_Toc392585673"/>
      <w:r w:rsidRPr="001E2F6E">
        <w:rPr>
          <w:color w:val="1F497D" w:themeColor="text2"/>
          <w:sz w:val="22"/>
          <w:szCs w:val="22"/>
        </w:rPr>
        <w:t xml:space="preserve">1.3.1.- </w:t>
      </w:r>
      <w:bookmarkEnd w:id="81"/>
      <w:r w:rsidRPr="001E2F6E">
        <w:rPr>
          <w:color w:val="1F497D" w:themeColor="text2"/>
          <w:sz w:val="22"/>
          <w:szCs w:val="22"/>
          <w:lang w:val="eu-ES"/>
        </w:rPr>
        <w:t>BEGd-aren dinamika 2010-2012 biurtekoan</w:t>
      </w:r>
      <w:bookmarkEnd w:id="82"/>
      <w:bookmarkEnd w:id="83"/>
    </w:p>
    <w:p w:rsidR="00195BE7" w:rsidRPr="001E2F6E" w:rsidRDefault="00195BE7" w:rsidP="00195BE7"/>
    <w:p w:rsidR="00195BE7" w:rsidRPr="001E2F6E" w:rsidRDefault="00195BE7" w:rsidP="00195BE7">
      <w:pPr>
        <w:spacing w:line="240" w:lineRule="auto"/>
        <w:jc w:val="center"/>
        <w:rPr>
          <w:b/>
          <w:color w:val="1F497D" w:themeColor="text2"/>
          <w:sz w:val="18"/>
          <w:szCs w:val="18"/>
        </w:rPr>
      </w:pPr>
      <w:bookmarkStart w:id="84" w:name="_Toc391989090"/>
      <w:bookmarkStart w:id="85" w:name="_Toc392585755"/>
      <w:r w:rsidRPr="001E2F6E">
        <w:rPr>
          <w:b/>
          <w:color w:val="1F497D" w:themeColor="text2"/>
          <w:sz w:val="18"/>
          <w:szCs w:val="18"/>
        </w:rPr>
        <w:t>1.</w:t>
      </w:r>
      <w:r w:rsidR="00EB6BA6" w:rsidRPr="001E2F6E">
        <w:rPr>
          <w:b/>
          <w:color w:val="1F497D" w:themeColor="text2"/>
          <w:sz w:val="18"/>
          <w:szCs w:val="18"/>
        </w:rPr>
        <w:fldChar w:fldCharType="begin"/>
      </w:r>
      <w:r w:rsidRPr="001E2F6E">
        <w:rPr>
          <w:b/>
          <w:color w:val="1F497D" w:themeColor="text2"/>
          <w:sz w:val="18"/>
          <w:szCs w:val="18"/>
        </w:rPr>
        <w:instrText xml:space="preserve"> SEQ Cuadro_1. \* ARABIC </w:instrText>
      </w:r>
      <w:r w:rsidR="00EB6BA6" w:rsidRPr="001E2F6E">
        <w:rPr>
          <w:b/>
          <w:color w:val="1F497D" w:themeColor="text2"/>
          <w:sz w:val="18"/>
          <w:szCs w:val="18"/>
        </w:rPr>
        <w:fldChar w:fldCharType="separate"/>
      </w:r>
      <w:r w:rsidR="00A327D4">
        <w:rPr>
          <w:b/>
          <w:noProof/>
          <w:color w:val="1F497D" w:themeColor="text2"/>
          <w:sz w:val="18"/>
          <w:szCs w:val="18"/>
        </w:rPr>
        <w:t>20</w:t>
      </w:r>
      <w:r w:rsidR="00EB6BA6" w:rsidRPr="001E2F6E">
        <w:rPr>
          <w:b/>
          <w:color w:val="1F497D" w:themeColor="text2"/>
          <w:sz w:val="18"/>
          <w:szCs w:val="18"/>
        </w:rPr>
        <w:fldChar w:fldCharType="end"/>
      </w:r>
      <w:r w:rsidRPr="001E2F6E">
        <w:rPr>
          <w:b/>
          <w:color w:val="1F497D" w:themeColor="text2"/>
          <w:sz w:val="18"/>
          <w:szCs w:val="18"/>
        </w:rPr>
        <w:t xml:space="preserve"> Taula BEGd-aren ARLOZ ARLOKO HAZKUNDEA 2010-2012 epean (Ohiko prezioak)</w:t>
      </w:r>
      <w:bookmarkEnd w:id="84"/>
      <w:bookmarkEnd w:id="85"/>
    </w:p>
    <w:tbl>
      <w:tblPr>
        <w:tblW w:w="5000" w:type="pct"/>
        <w:jc w:val="center"/>
        <w:tblLook w:val="04A0" w:firstRow="1" w:lastRow="0" w:firstColumn="1" w:lastColumn="0" w:noHBand="0" w:noVBand="1"/>
      </w:tblPr>
      <w:tblGrid>
        <w:gridCol w:w="5595"/>
        <w:gridCol w:w="3409"/>
      </w:tblGrid>
      <w:tr w:rsidR="00195BE7" w:rsidRPr="001E2F6E" w:rsidTr="00195BE7">
        <w:trPr>
          <w:jc w:val="center"/>
        </w:trPr>
        <w:tc>
          <w:tcPr>
            <w:tcW w:w="3107"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bottom"/>
          </w:tcPr>
          <w:p w:rsidR="00195BE7" w:rsidRPr="001E2F6E" w:rsidRDefault="00195BE7" w:rsidP="00195BE7">
            <w:pPr>
              <w:spacing w:line="240" w:lineRule="exact"/>
              <w:jc w:val="center"/>
              <w:rPr>
                <w:b/>
                <w:sz w:val="16"/>
                <w:szCs w:val="16"/>
              </w:rPr>
            </w:pPr>
            <w:r w:rsidRPr="001E2F6E">
              <w:rPr>
                <w:b/>
                <w:sz w:val="16"/>
                <w:szCs w:val="16"/>
              </w:rPr>
              <w:t>Sektorea</w:t>
            </w:r>
          </w:p>
        </w:tc>
        <w:tc>
          <w:tcPr>
            <w:tcW w:w="1893"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vAlign w:val="bottom"/>
          </w:tcPr>
          <w:p w:rsidR="00195BE7" w:rsidRPr="001E2F6E" w:rsidRDefault="00195BE7" w:rsidP="00195BE7">
            <w:pPr>
              <w:spacing w:line="240" w:lineRule="exact"/>
              <w:jc w:val="center"/>
              <w:rPr>
                <w:b/>
                <w:sz w:val="16"/>
                <w:szCs w:val="16"/>
              </w:rPr>
            </w:pPr>
            <w:r w:rsidRPr="001E2F6E">
              <w:rPr>
                <w:b/>
                <w:sz w:val="16"/>
                <w:szCs w:val="16"/>
              </w:rPr>
              <w:t>Hazkunde-tasa</w:t>
            </w:r>
          </w:p>
        </w:tc>
      </w:tr>
      <w:tr w:rsidR="00195BE7" w:rsidRPr="001E2F6E" w:rsidTr="00195BE7">
        <w:trPr>
          <w:jc w:val="center"/>
        </w:trPr>
        <w:tc>
          <w:tcPr>
            <w:tcW w:w="3107" w:type="pct"/>
            <w:tcBorders>
              <w:top w:val="single" w:sz="4" w:space="0" w:color="BFBFBF" w:themeColor="background1" w:themeShade="BF"/>
              <w:right w:val="single" w:sz="4" w:space="0" w:color="BFBFBF" w:themeColor="background1" w:themeShade="BF"/>
            </w:tcBorders>
          </w:tcPr>
          <w:p w:rsidR="00195BE7" w:rsidRPr="001E2F6E" w:rsidRDefault="00195BE7" w:rsidP="00195BE7">
            <w:pPr>
              <w:spacing w:line="240" w:lineRule="exact"/>
              <w:rPr>
                <w:sz w:val="16"/>
                <w:szCs w:val="16"/>
              </w:rPr>
            </w:pPr>
            <w:r w:rsidRPr="001E2F6E">
              <w:rPr>
                <w:sz w:val="16"/>
                <w:szCs w:val="16"/>
              </w:rPr>
              <w:t>Lehen sektorea</w:t>
            </w:r>
          </w:p>
        </w:tc>
        <w:tc>
          <w:tcPr>
            <w:tcW w:w="1893" w:type="pct"/>
            <w:tcBorders>
              <w:top w:val="single" w:sz="4" w:space="0" w:color="BFBFBF" w:themeColor="background1" w:themeShade="BF"/>
              <w:left w:val="single" w:sz="4" w:space="0" w:color="BFBFBF" w:themeColor="background1" w:themeShade="BF"/>
            </w:tcBorders>
          </w:tcPr>
          <w:p w:rsidR="00195BE7" w:rsidRPr="001E2F6E" w:rsidRDefault="00195BE7" w:rsidP="00195BE7">
            <w:pPr>
              <w:spacing w:line="240" w:lineRule="exact"/>
              <w:ind w:right="170"/>
              <w:jc w:val="right"/>
              <w:rPr>
                <w:sz w:val="16"/>
                <w:szCs w:val="16"/>
              </w:rPr>
            </w:pPr>
            <w:r w:rsidRPr="001E2F6E">
              <w:rPr>
                <w:sz w:val="16"/>
                <w:szCs w:val="16"/>
              </w:rPr>
              <w:t>-57,5%</w:t>
            </w:r>
          </w:p>
        </w:tc>
      </w:tr>
      <w:tr w:rsidR="00195BE7" w:rsidRPr="001E2F6E" w:rsidTr="00195BE7">
        <w:trPr>
          <w:trHeight w:val="130"/>
          <w:jc w:val="center"/>
        </w:trPr>
        <w:tc>
          <w:tcPr>
            <w:tcW w:w="3107" w:type="pct"/>
            <w:tcBorders>
              <w:right w:val="single" w:sz="4" w:space="0" w:color="BFBFBF" w:themeColor="background1" w:themeShade="BF"/>
            </w:tcBorders>
            <w:vAlign w:val="bottom"/>
          </w:tcPr>
          <w:p w:rsidR="00195BE7" w:rsidRPr="001E2F6E" w:rsidRDefault="00195BE7" w:rsidP="00195BE7">
            <w:pPr>
              <w:spacing w:line="240" w:lineRule="exact"/>
              <w:rPr>
                <w:sz w:val="16"/>
                <w:szCs w:val="16"/>
              </w:rPr>
            </w:pPr>
            <w:r w:rsidRPr="001E2F6E">
              <w:rPr>
                <w:sz w:val="16"/>
                <w:szCs w:val="16"/>
              </w:rPr>
              <w:t>Industria</w:t>
            </w:r>
          </w:p>
        </w:tc>
        <w:tc>
          <w:tcPr>
            <w:tcW w:w="1893" w:type="pct"/>
            <w:tcBorders>
              <w:left w:val="single" w:sz="4" w:space="0" w:color="BFBFBF" w:themeColor="background1" w:themeShade="BF"/>
            </w:tcBorders>
          </w:tcPr>
          <w:p w:rsidR="00195BE7" w:rsidRPr="001E2F6E" w:rsidRDefault="00195BE7" w:rsidP="00195BE7">
            <w:pPr>
              <w:spacing w:line="240" w:lineRule="exact"/>
              <w:ind w:right="170"/>
              <w:jc w:val="right"/>
              <w:rPr>
                <w:sz w:val="16"/>
                <w:szCs w:val="16"/>
              </w:rPr>
            </w:pPr>
            <w:r w:rsidRPr="001E2F6E">
              <w:rPr>
                <w:sz w:val="16"/>
                <w:szCs w:val="16"/>
              </w:rPr>
              <w:t>-6,1%</w:t>
            </w:r>
          </w:p>
        </w:tc>
      </w:tr>
      <w:tr w:rsidR="00195BE7" w:rsidRPr="001E2F6E" w:rsidTr="00195BE7">
        <w:trPr>
          <w:jc w:val="center"/>
        </w:trPr>
        <w:tc>
          <w:tcPr>
            <w:tcW w:w="3107" w:type="pct"/>
            <w:tcBorders>
              <w:right w:val="single" w:sz="4" w:space="0" w:color="BFBFBF" w:themeColor="background1" w:themeShade="BF"/>
            </w:tcBorders>
            <w:vAlign w:val="bottom"/>
          </w:tcPr>
          <w:p w:rsidR="00195BE7" w:rsidRPr="001E2F6E" w:rsidRDefault="00195BE7" w:rsidP="00195BE7">
            <w:pPr>
              <w:spacing w:line="240" w:lineRule="exact"/>
              <w:rPr>
                <w:sz w:val="16"/>
                <w:szCs w:val="16"/>
              </w:rPr>
            </w:pPr>
            <w:r w:rsidRPr="001E2F6E">
              <w:rPr>
                <w:sz w:val="16"/>
                <w:szCs w:val="16"/>
              </w:rPr>
              <w:t>Eraikuntza</w:t>
            </w:r>
          </w:p>
        </w:tc>
        <w:tc>
          <w:tcPr>
            <w:tcW w:w="1893" w:type="pct"/>
            <w:tcBorders>
              <w:left w:val="single" w:sz="4" w:space="0" w:color="BFBFBF" w:themeColor="background1" w:themeShade="BF"/>
            </w:tcBorders>
          </w:tcPr>
          <w:p w:rsidR="00195BE7" w:rsidRPr="001E2F6E" w:rsidRDefault="00195BE7" w:rsidP="00195BE7">
            <w:pPr>
              <w:spacing w:line="240" w:lineRule="exact"/>
              <w:ind w:right="170"/>
              <w:jc w:val="right"/>
              <w:rPr>
                <w:sz w:val="16"/>
                <w:szCs w:val="16"/>
              </w:rPr>
            </w:pPr>
            <w:r w:rsidRPr="001E2F6E">
              <w:rPr>
                <w:sz w:val="16"/>
                <w:szCs w:val="16"/>
              </w:rPr>
              <w:t>-16,1%</w:t>
            </w:r>
          </w:p>
        </w:tc>
      </w:tr>
      <w:tr w:rsidR="00195BE7" w:rsidRPr="001E2F6E" w:rsidTr="00195BE7">
        <w:trPr>
          <w:jc w:val="center"/>
        </w:trPr>
        <w:tc>
          <w:tcPr>
            <w:tcW w:w="3107" w:type="pct"/>
            <w:tcBorders>
              <w:bottom w:val="single" w:sz="4" w:space="0" w:color="BFBFBF" w:themeColor="background1" w:themeShade="BF"/>
              <w:right w:val="single" w:sz="4" w:space="0" w:color="BFBFBF" w:themeColor="background1" w:themeShade="BF"/>
            </w:tcBorders>
            <w:vAlign w:val="bottom"/>
          </w:tcPr>
          <w:p w:rsidR="00195BE7" w:rsidRPr="001E2F6E" w:rsidRDefault="00195BE7" w:rsidP="00195BE7">
            <w:pPr>
              <w:spacing w:line="240" w:lineRule="exact"/>
              <w:rPr>
                <w:sz w:val="16"/>
                <w:szCs w:val="16"/>
              </w:rPr>
            </w:pPr>
            <w:r w:rsidRPr="001E2F6E">
              <w:rPr>
                <w:sz w:val="16"/>
                <w:szCs w:val="16"/>
              </w:rPr>
              <w:t>Zerbitzuak</w:t>
            </w:r>
          </w:p>
        </w:tc>
        <w:tc>
          <w:tcPr>
            <w:tcW w:w="1893" w:type="pct"/>
            <w:tcBorders>
              <w:left w:val="single" w:sz="4" w:space="0" w:color="BFBFBF" w:themeColor="background1" w:themeShade="BF"/>
              <w:bottom w:val="single" w:sz="4" w:space="0" w:color="BFBFBF" w:themeColor="background1" w:themeShade="BF"/>
            </w:tcBorders>
          </w:tcPr>
          <w:p w:rsidR="00195BE7" w:rsidRPr="001E2F6E" w:rsidRDefault="00195BE7" w:rsidP="00195BE7">
            <w:pPr>
              <w:spacing w:line="240" w:lineRule="exact"/>
              <w:ind w:right="170"/>
              <w:jc w:val="right"/>
              <w:rPr>
                <w:sz w:val="16"/>
                <w:szCs w:val="16"/>
              </w:rPr>
            </w:pPr>
            <w:r w:rsidRPr="001E2F6E">
              <w:rPr>
                <w:sz w:val="16"/>
                <w:szCs w:val="16"/>
              </w:rPr>
              <w:t>-6,0%</w:t>
            </w:r>
          </w:p>
        </w:tc>
      </w:tr>
      <w:tr w:rsidR="00195BE7" w:rsidRPr="001E2F6E" w:rsidTr="00195BE7">
        <w:trPr>
          <w:jc w:val="center"/>
        </w:trPr>
        <w:tc>
          <w:tcPr>
            <w:tcW w:w="3107" w:type="pct"/>
            <w:tcBorders>
              <w:top w:val="single" w:sz="4" w:space="0" w:color="BFBFBF" w:themeColor="background1" w:themeShade="BF"/>
              <w:bottom w:val="single" w:sz="4" w:space="0" w:color="BFBFBF" w:themeColor="background1" w:themeShade="BF"/>
              <w:right w:val="single" w:sz="4" w:space="0" w:color="BFBFBF" w:themeColor="background1" w:themeShade="BF"/>
            </w:tcBorders>
            <w:vAlign w:val="bottom"/>
          </w:tcPr>
          <w:p w:rsidR="00195BE7" w:rsidRPr="001E2F6E" w:rsidRDefault="00195BE7" w:rsidP="00195BE7">
            <w:pPr>
              <w:spacing w:line="240" w:lineRule="exact"/>
              <w:rPr>
                <w:b/>
                <w:sz w:val="16"/>
                <w:szCs w:val="16"/>
              </w:rPr>
            </w:pPr>
            <w:r w:rsidRPr="001E2F6E">
              <w:rPr>
                <w:b/>
                <w:sz w:val="16"/>
                <w:szCs w:val="16"/>
              </w:rPr>
              <w:t>GUZTIRA</w:t>
            </w:r>
          </w:p>
        </w:tc>
        <w:tc>
          <w:tcPr>
            <w:tcW w:w="1893" w:type="pct"/>
            <w:tcBorders>
              <w:top w:val="single" w:sz="4" w:space="0" w:color="BFBFBF" w:themeColor="background1" w:themeShade="BF"/>
              <w:left w:val="single" w:sz="4" w:space="0" w:color="BFBFBF" w:themeColor="background1" w:themeShade="BF"/>
              <w:bottom w:val="single" w:sz="4" w:space="0" w:color="BFBFBF" w:themeColor="background1" w:themeShade="BF"/>
            </w:tcBorders>
          </w:tcPr>
          <w:p w:rsidR="00195BE7" w:rsidRPr="001E2F6E" w:rsidRDefault="00195BE7" w:rsidP="00195BE7">
            <w:pPr>
              <w:spacing w:line="240" w:lineRule="exact"/>
              <w:ind w:right="170"/>
              <w:jc w:val="right"/>
              <w:rPr>
                <w:b/>
                <w:sz w:val="16"/>
                <w:szCs w:val="16"/>
              </w:rPr>
            </w:pPr>
            <w:r w:rsidRPr="001E2F6E">
              <w:rPr>
                <w:b/>
                <w:sz w:val="16"/>
                <w:szCs w:val="16"/>
              </w:rPr>
              <w:t>-6,4%</w:t>
            </w:r>
          </w:p>
        </w:tc>
      </w:tr>
    </w:tbl>
    <w:p w:rsidR="00195BE7" w:rsidRPr="001E2F6E" w:rsidRDefault="00195BE7" w:rsidP="00195BE7"/>
    <w:p w:rsidR="00195BE7" w:rsidRPr="001E2F6E" w:rsidRDefault="00195BE7" w:rsidP="00195BE7">
      <w:pPr>
        <w:spacing w:line="240" w:lineRule="auto"/>
        <w:jc w:val="center"/>
        <w:rPr>
          <w:b/>
          <w:color w:val="1F497D" w:themeColor="text2"/>
          <w:sz w:val="18"/>
          <w:szCs w:val="18"/>
        </w:rPr>
      </w:pPr>
      <w:bookmarkStart w:id="86" w:name="_Toc391989091"/>
      <w:bookmarkStart w:id="87" w:name="_Toc392585756"/>
      <w:r w:rsidRPr="001E2F6E">
        <w:rPr>
          <w:b/>
          <w:color w:val="1F497D" w:themeColor="text2"/>
          <w:sz w:val="18"/>
          <w:szCs w:val="18"/>
        </w:rPr>
        <w:t>1.</w:t>
      </w:r>
      <w:r w:rsidR="00EB6BA6" w:rsidRPr="001E2F6E">
        <w:rPr>
          <w:b/>
          <w:color w:val="1F497D" w:themeColor="text2"/>
          <w:sz w:val="18"/>
          <w:szCs w:val="18"/>
        </w:rPr>
        <w:fldChar w:fldCharType="begin"/>
      </w:r>
      <w:r w:rsidRPr="001E2F6E">
        <w:rPr>
          <w:b/>
          <w:color w:val="1F497D" w:themeColor="text2"/>
          <w:sz w:val="18"/>
          <w:szCs w:val="18"/>
        </w:rPr>
        <w:instrText xml:space="preserve"> SEQ Cuadro_1. \* ARABIC </w:instrText>
      </w:r>
      <w:r w:rsidR="00EB6BA6" w:rsidRPr="001E2F6E">
        <w:rPr>
          <w:b/>
          <w:color w:val="1F497D" w:themeColor="text2"/>
          <w:sz w:val="18"/>
          <w:szCs w:val="18"/>
        </w:rPr>
        <w:fldChar w:fldCharType="separate"/>
      </w:r>
      <w:r w:rsidR="00A327D4">
        <w:rPr>
          <w:b/>
          <w:noProof/>
          <w:color w:val="1F497D" w:themeColor="text2"/>
          <w:sz w:val="18"/>
          <w:szCs w:val="18"/>
        </w:rPr>
        <w:t>21</w:t>
      </w:r>
      <w:r w:rsidR="00EB6BA6" w:rsidRPr="001E2F6E">
        <w:rPr>
          <w:b/>
          <w:color w:val="1F497D" w:themeColor="text2"/>
          <w:sz w:val="18"/>
          <w:szCs w:val="18"/>
        </w:rPr>
        <w:fldChar w:fldCharType="end"/>
      </w:r>
      <w:r w:rsidRPr="001E2F6E">
        <w:rPr>
          <w:b/>
          <w:color w:val="1F497D" w:themeColor="text2"/>
          <w:sz w:val="18"/>
          <w:szCs w:val="18"/>
        </w:rPr>
        <w:t xml:space="preserve"> Taula GIZARTE-EKONOMIAK SORTUTAKO BALIO ERANTSI GORDINAREN (BEGd) ARLOZ ARLOKO HAZKUNDEA. 2010 eta 2012 URTEETAKO KONPARAZIOZKO ERREFERENTZIA (zifra absolutuak euro kopurua, milakoan, %bertikalak) (Ohiko prezioak)</w:t>
      </w:r>
      <w:bookmarkEnd w:id="86"/>
      <w:bookmarkEnd w:id="87"/>
    </w:p>
    <w:tbl>
      <w:tblPr>
        <w:tblW w:w="5000" w:type="pct"/>
        <w:jc w:val="center"/>
        <w:tblCellMar>
          <w:left w:w="70" w:type="dxa"/>
          <w:right w:w="70" w:type="dxa"/>
        </w:tblCellMar>
        <w:tblLook w:val="04A0" w:firstRow="1" w:lastRow="0" w:firstColumn="1" w:lastColumn="0" w:noHBand="0" w:noVBand="1"/>
      </w:tblPr>
      <w:tblGrid>
        <w:gridCol w:w="2094"/>
        <w:gridCol w:w="1768"/>
        <w:gridCol w:w="1636"/>
        <w:gridCol w:w="1866"/>
        <w:gridCol w:w="1564"/>
      </w:tblGrid>
      <w:tr w:rsidR="00195BE7" w:rsidRPr="001E2F6E" w:rsidTr="00195BE7">
        <w:trPr>
          <w:jc w:val="center"/>
        </w:trPr>
        <w:tc>
          <w:tcPr>
            <w:tcW w:w="1173" w:type="pct"/>
            <w:tcBorders>
              <w:top w:val="single" w:sz="8" w:space="0" w:color="BFBFBF"/>
              <w:left w:val="nil"/>
              <w:bottom w:val="nil"/>
              <w:right w:val="single" w:sz="8" w:space="0" w:color="BFBFBF"/>
            </w:tcBorders>
            <w:shd w:val="clear" w:color="000000" w:fill="DBE5F1"/>
            <w:hideMark/>
          </w:tcPr>
          <w:p w:rsidR="00195BE7" w:rsidRPr="001E2F6E" w:rsidRDefault="00195BE7" w:rsidP="00195BE7">
            <w:pPr>
              <w:spacing w:line="240" w:lineRule="exact"/>
              <w:jc w:val="center"/>
              <w:rPr>
                <w:b/>
                <w:sz w:val="16"/>
                <w:szCs w:val="16"/>
              </w:rPr>
            </w:pPr>
          </w:p>
        </w:tc>
        <w:tc>
          <w:tcPr>
            <w:tcW w:w="1906" w:type="pct"/>
            <w:gridSpan w:val="2"/>
            <w:tcBorders>
              <w:top w:val="single" w:sz="8" w:space="0" w:color="BFBFBF"/>
              <w:left w:val="nil"/>
              <w:bottom w:val="single" w:sz="8" w:space="0" w:color="BFBFBF"/>
              <w:right w:val="single" w:sz="8" w:space="0" w:color="BFBFBF"/>
            </w:tcBorders>
            <w:shd w:val="clear" w:color="000000" w:fill="DBE5F1"/>
            <w:hideMark/>
          </w:tcPr>
          <w:p w:rsidR="00195BE7" w:rsidRPr="001E2F6E" w:rsidRDefault="00195BE7" w:rsidP="00195BE7">
            <w:pPr>
              <w:spacing w:line="240" w:lineRule="exact"/>
              <w:jc w:val="center"/>
              <w:rPr>
                <w:b/>
                <w:sz w:val="16"/>
                <w:szCs w:val="16"/>
              </w:rPr>
            </w:pPr>
            <w:r w:rsidRPr="001E2F6E">
              <w:rPr>
                <w:b/>
                <w:sz w:val="16"/>
                <w:szCs w:val="16"/>
              </w:rPr>
              <w:t>2010</w:t>
            </w:r>
          </w:p>
        </w:tc>
        <w:tc>
          <w:tcPr>
            <w:tcW w:w="1921" w:type="pct"/>
            <w:gridSpan w:val="2"/>
            <w:tcBorders>
              <w:top w:val="single" w:sz="8" w:space="0" w:color="BFBFBF"/>
              <w:left w:val="nil"/>
              <w:bottom w:val="single" w:sz="8" w:space="0" w:color="BFBFBF"/>
              <w:right w:val="nil"/>
            </w:tcBorders>
            <w:shd w:val="clear" w:color="000000" w:fill="DBE5F1"/>
            <w:hideMark/>
          </w:tcPr>
          <w:p w:rsidR="00195BE7" w:rsidRPr="001E2F6E" w:rsidRDefault="00195BE7" w:rsidP="00195BE7">
            <w:pPr>
              <w:spacing w:line="240" w:lineRule="exact"/>
              <w:jc w:val="center"/>
              <w:rPr>
                <w:b/>
                <w:sz w:val="16"/>
                <w:szCs w:val="16"/>
              </w:rPr>
            </w:pPr>
            <w:r w:rsidRPr="001E2F6E">
              <w:rPr>
                <w:b/>
                <w:sz w:val="16"/>
                <w:szCs w:val="16"/>
              </w:rPr>
              <w:t>2012</w:t>
            </w:r>
          </w:p>
        </w:tc>
      </w:tr>
      <w:tr w:rsidR="00195BE7" w:rsidRPr="001E2F6E" w:rsidTr="00195BE7">
        <w:trPr>
          <w:jc w:val="center"/>
        </w:trPr>
        <w:tc>
          <w:tcPr>
            <w:tcW w:w="1173" w:type="pct"/>
            <w:tcBorders>
              <w:top w:val="nil"/>
              <w:left w:val="nil"/>
              <w:bottom w:val="single" w:sz="8" w:space="0" w:color="BFBFBF"/>
              <w:right w:val="single" w:sz="8" w:space="0" w:color="BFBFBF"/>
            </w:tcBorders>
            <w:shd w:val="clear" w:color="000000" w:fill="DBE5F1"/>
            <w:hideMark/>
          </w:tcPr>
          <w:p w:rsidR="00195BE7" w:rsidRPr="001E2F6E" w:rsidRDefault="00195BE7" w:rsidP="00195BE7">
            <w:pPr>
              <w:spacing w:line="240" w:lineRule="exact"/>
              <w:jc w:val="center"/>
              <w:rPr>
                <w:b/>
                <w:sz w:val="16"/>
                <w:szCs w:val="16"/>
              </w:rPr>
            </w:pPr>
          </w:p>
        </w:tc>
        <w:tc>
          <w:tcPr>
            <w:tcW w:w="990" w:type="pct"/>
            <w:tcBorders>
              <w:top w:val="nil"/>
              <w:left w:val="nil"/>
              <w:bottom w:val="single" w:sz="8" w:space="0" w:color="BFBFBF"/>
              <w:right w:val="nil"/>
            </w:tcBorders>
            <w:shd w:val="clear" w:color="000000" w:fill="DBE5F1"/>
            <w:hideMark/>
          </w:tcPr>
          <w:p w:rsidR="00195BE7" w:rsidRPr="001E2F6E" w:rsidRDefault="00195BE7" w:rsidP="00195BE7">
            <w:pPr>
              <w:spacing w:line="240" w:lineRule="exact"/>
              <w:jc w:val="center"/>
              <w:rPr>
                <w:b/>
                <w:sz w:val="16"/>
                <w:szCs w:val="16"/>
              </w:rPr>
            </w:pPr>
            <w:r w:rsidRPr="001E2F6E">
              <w:rPr>
                <w:b/>
                <w:sz w:val="16"/>
                <w:szCs w:val="16"/>
              </w:rPr>
              <w:t>z.a.</w:t>
            </w:r>
          </w:p>
        </w:tc>
        <w:tc>
          <w:tcPr>
            <w:tcW w:w="916" w:type="pct"/>
            <w:tcBorders>
              <w:top w:val="nil"/>
              <w:left w:val="nil"/>
              <w:bottom w:val="single" w:sz="8" w:space="0" w:color="BFBFBF"/>
              <w:right w:val="single" w:sz="8" w:space="0" w:color="BFBFBF"/>
            </w:tcBorders>
            <w:shd w:val="clear" w:color="000000" w:fill="DBE5F1"/>
            <w:hideMark/>
          </w:tcPr>
          <w:p w:rsidR="00195BE7" w:rsidRPr="001E2F6E" w:rsidRDefault="00195BE7" w:rsidP="00195BE7">
            <w:pPr>
              <w:spacing w:line="240" w:lineRule="exact"/>
              <w:jc w:val="center"/>
              <w:rPr>
                <w:b/>
                <w:sz w:val="16"/>
                <w:szCs w:val="16"/>
              </w:rPr>
            </w:pPr>
            <w:r w:rsidRPr="001E2F6E">
              <w:rPr>
                <w:b/>
                <w:sz w:val="16"/>
                <w:szCs w:val="16"/>
              </w:rPr>
              <w:t>%ber.</w:t>
            </w:r>
          </w:p>
        </w:tc>
        <w:tc>
          <w:tcPr>
            <w:tcW w:w="1045" w:type="pct"/>
            <w:tcBorders>
              <w:top w:val="nil"/>
              <w:left w:val="nil"/>
              <w:bottom w:val="single" w:sz="8" w:space="0" w:color="BFBFBF"/>
              <w:right w:val="nil"/>
            </w:tcBorders>
            <w:shd w:val="clear" w:color="000000" w:fill="DBE5F1"/>
            <w:hideMark/>
          </w:tcPr>
          <w:p w:rsidR="00195BE7" w:rsidRPr="001E2F6E" w:rsidRDefault="00195BE7" w:rsidP="00195BE7">
            <w:pPr>
              <w:spacing w:line="240" w:lineRule="exact"/>
              <w:jc w:val="center"/>
              <w:rPr>
                <w:b/>
                <w:sz w:val="16"/>
                <w:szCs w:val="16"/>
              </w:rPr>
            </w:pPr>
            <w:r w:rsidRPr="001E2F6E">
              <w:rPr>
                <w:b/>
                <w:sz w:val="16"/>
                <w:szCs w:val="16"/>
              </w:rPr>
              <w:t>z.a.</w:t>
            </w:r>
          </w:p>
        </w:tc>
        <w:tc>
          <w:tcPr>
            <w:tcW w:w="876" w:type="pct"/>
            <w:tcBorders>
              <w:top w:val="nil"/>
              <w:left w:val="nil"/>
              <w:bottom w:val="single" w:sz="8" w:space="0" w:color="BFBFBF"/>
              <w:right w:val="nil"/>
            </w:tcBorders>
            <w:shd w:val="clear" w:color="000000" w:fill="DBE5F1"/>
            <w:hideMark/>
          </w:tcPr>
          <w:p w:rsidR="00195BE7" w:rsidRPr="001E2F6E" w:rsidRDefault="00195BE7" w:rsidP="00195BE7">
            <w:pPr>
              <w:spacing w:line="240" w:lineRule="exact"/>
              <w:jc w:val="center"/>
              <w:rPr>
                <w:b/>
                <w:sz w:val="16"/>
                <w:szCs w:val="16"/>
              </w:rPr>
            </w:pPr>
            <w:r w:rsidRPr="001E2F6E">
              <w:rPr>
                <w:b/>
                <w:sz w:val="16"/>
                <w:szCs w:val="16"/>
              </w:rPr>
              <w:t>%ber.</w:t>
            </w:r>
          </w:p>
        </w:tc>
      </w:tr>
      <w:tr w:rsidR="00195BE7" w:rsidRPr="001E2F6E" w:rsidTr="00195BE7">
        <w:trPr>
          <w:jc w:val="center"/>
        </w:trPr>
        <w:tc>
          <w:tcPr>
            <w:tcW w:w="1173" w:type="pct"/>
            <w:tcBorders>
              <w:top w:val="nil"/>
              <w:left w:val="nil"/>
              <w:bottom w:val="nil"/>
              <w:right w:val="single" w:sz="8" w:space="0" w:color="BFBFBF"/>
            </w:tcBorders>
            <w:shd w:val="clear" w:color="auto" w:fill="auto"/>
            <w:hideMark/>
          </w:tcPr>
          <w:p w:rsidR="00195BE7" w:rsidRPr="001E2F6E" w:rsidRDefault="00195BE7" w:rsidP="00195BE7">
            <w:pPr>
              <w:spacing w:line="240" w:lineRule="exact"/>
              <w:rPr>
                <w:sz w:val="16"/>
                <w:szCs w:val="16"/>
              </w:rPr>
            </w:pPr>
            <w:r w:rsidRPr="001E2F6E">
              <w:rPr>
                <w:sz w:val="16"/>
                <w:szCs w:val="16"/>
              </w:rPr>
              <w:t>Lehen sektorea</w:t>
            </w:r>
          </w:p>
        </w:tc>
        <w:tc>
          <w:tcPr>
            <w:tcW w:w="990" w:type="pct"/>
            <w:tcBorders>
              <w:top w:val="nil"/>
              <w:left w:val="nil"/>
              <w:bottom w:val="nil"/>
              <w:right w:val="nil"/>
            </w:tcBorders>
            <w:shd w:val="clear" w:color="auto" w:fill="auto"/>
            <w:hideMark/>
          </w:tcPr>
          <w:p w:rsidR="00195BE7" w:rsidRPr="001E2F6E" w:rsidRDefault="00195BE7" w:rsidP="00195BE7">
            <w:pPr>
              <w:spacing w:line="240" w:lineRule="exact"/>
              <w:ind w:right="170"/>
              <w:jc w:val="right"/>
              <w:rPr>
                <w:sz w:val="16"/>
                <w:szCs w:val="16"/>
              </w:rPr>
            </w:pPr>
            <w:r w:rsidRPr="001E2F6E">
              <w:rPr>
                <w:sz w:val="16"/>
                <w:szCs w:val="16"/>
              </w:rPr>
              <w:t>3.666</w:t>
            </w:r>
          </w:p>
        </w:tc>
        <w:tc>
          <w:tcPr>
            <w:tcW w:w="916" w:type="pct"/>
            <w:tcBorders>
              <w:top w:val="nil"/>
              <w:left w:val="nil"/>
              <w:bottom w:val="nil"/>
              <w:right w:val="single" w:sz="8" w:space="0" w:color="BFBFBF"/>
            </w:tcBorders>
            <w:shd w:val="clear" w:color="auto" w:fill="auto"/>
            <w:hideMark/>
          </w:tcPr>
          <w:p w:rsidR="00195BE7" w:rsidRPr="001E2F6E" w:rsidRDefault="00195BE7" w:rsidP="00195BE7">
            <w:pPr>
              <w:spacing w:line="240" w:lineRule="exact"/>
              <w:ind w:right="170"/>
              <w:jc w:val="right"/>
              <w:rPr>
                <w:sz w:val="16"/>
                <w:szCs w:val="16"/>
              </w:rPr>
            </w:pPr>
            <w:r w:rsidRPr="001E2F6E">
              <w:rPr>
                <w:sz w:val="16"/>
                <w:szCs w:val="16"/>
              </w:rPr>
              <w:t>0,1</w:t>
            </w:r>
          </w:p>
        </w:tc>
        <w:tc>
          <w:tcPr>
            <w:tcW w:w="1045" w:type="pct"/>
            <w:tcBorders>
              <w:top w:val="nil"/>
              <w:left w:val="nil"/>
              <w:bottom w:val="nil"/>
              <w:right w:val="nil"/>
            </w:tcBorders>
            <w:shd w:val="clear" w:color="auto" w:fill="auto"/>
            <w:hideMark/>
          </w:tcPr>
          <w:p w:rsidR="00195BE7" w:rsidRPr="001E2F6E" w:rsidRDefault="00195BE7" w:rsidP="00195BE7">
            <w:pPr>
              <w:spacing w:line="240" w:lineRule="exact"/>
              <w:ind w:right="170"/>
              <w:jc w:val="right"/>
              <w:rPr>
                <w:sz w:val="16"/>
                <w:szCs w:val="16"/>
              </w:rPr>
            </w:pPr>
            <w:r w:rsidRPr="001E2F6E">
              <w:rPr>
                <w:sz w:val="16"/>
                <w:szCs w:val="16"/>
              </w:rPr>
              <w:t>1.558</w:t>
            </w:r>
          </w:p>
        </w:tc>
        <w:tc>
          <w:tcPr>
            <w:tcW w:w="876" w:type="pct"/>
            <w:tcBorders>
              <w:top w:val="nil"/>
              <w:left w:val="nil"/>
              <w:bottom w:val="nil"/>
              <w:right w:val="single" w:sz="8" w:space="0" w:color="BFBFBF"/>
            </w:tcBorders>
            <w:shd w:val="clear" w:color="auto" w:fill="auto"/>
            <w:hideMark/>
          </w:tcPr>
          <w:p w:rsidR="00195BE7" w:rsidRPr="001E2F6E" w:rsidRDefault="00195BE7" w:rsidP="00195BE7">
            <w:pPr>
              <w:spacing w:line="240" w:lineRule="exact"/>
              <w:ind w:right="170"/>
              <w:jc w:val="right"/>
              <w:rPr>
                <w:sz w:val="16"/>
                <w:szCs w:val="16"/>
              </w:rPr>
            </w:pPr>
            <w:r w:rsidRPr="001E2F6E">
              <w:rPr>
                <w:sz w:val="16"/>
                <w:szCs w:val="16"/>
              </w:rPr>
              <w:t>0,1</w:t>
            </w:r>
          </w:p>
        </w:tc>
      </w:tr>
      <w:tr w:rsidR="00195BE7" w:rsidRPr="001E2F6E" w:rsidTr="00195BE7">
        <w:trPr>
          <w:jc w:val="center"/>
        </w:trPr>
        <w:tc>
          <w:tcPr>
            <w:tcW w:w="1173" w:type="pct"/>
            <w:tcBorders>
              <w:top w:val="nil"/>
              <w:left w:val="nil"/>
              <w:bottom w:val="nil"/>
              <w:right w:val="single" w:sz="8" w:space="0" w:color="BFBFBF"/>
            </w:tcBorders>
            <w:shd w:val="clear" w:color="auto" w:fill="auto"/>
            <w:vAlign w:val="bottom"/>
            <w:hideMark/>
          </w:tcPr>
          <w:p w:rsidR="00195BE7" w:rsidRPr="001E2F6E" w:rsidRDefault="00195BE7" w:rsidP="00195BE7">
            <w:pPr>
              <w:spacing w:line="240" w:lineRule="exact"/>
              <w:rPr>
                <w:sz w:val="16"/>
                <w:szCs w:val="16"/>
              </w:rPr>
            </w:pPr>
            <w:r w:rsidRPr="001E2F6E">
              <w:rPr>
                <w:sz w:val="16"/>
                <w:szCs w:val="16"/>
              </w:rPr>
              <w:t>Industria</w:t>
            </w:r>
          </w:p>
        </w:tc>
        <w:tc>
          <w:tcPr>
            <w:tcW w:w="990" w:type="pct"/>
            <w:tcBorders>
              <w:top w:val="nil"/>
              <w:left w:val="nil"/>
              <w:bottom w:val="nil"/>
              <w:right w:val="nil"/>
            </w:tcBorders>
            <w:shd w:val="clear" w:color="auto" w:fill="auto"/>
            <w:hideMark/>
          </w:tcPr>
          <w:p w:rsidR="00195BE7" w:rsidRPr="001E2F6E" w:rsidRDefault="00195BE7" w:rsidP="00195BE7">
            <w:pPr>
              <w:spacing w:line="240" w:lineRule="exact"/>
              <w:ind w:right="170"/>
              <w:jc w:val="right"/>
              <w:rPr>
                <w:sz w:val="16"/>
                <w:szCs w:val="16"/>
              </w:rPr>
            </w:pPr>
            <w:r w:rsidRPr="001E2F6E">
              <w:rPr>
                <w:sz w:val="16"/>
                <w:szCs w:val="16"/>
              </w:rPr>
              <w:t>1.452.024</w:t>
            </w:r>
          </w:p>
        </w:tc>
        <w:tc>
          <w:tcPr>
            <w:tcW w:w="916" w:type="pct"/>
            <w:tcBorders>
              <w:top w:val="nil"/>
              <w:left w:val="nil"/>
              <w:bottom w:val="nil"/>
              <w:right w:val="single" w:sz="8" w:space="0" w:color="BFBFBF"/>
            </w:tcBorders>
            <w:shd w:val="clear" w:color="auto" w:fill="auto"/>
            <w:hideMark/>
          </w:tcPr>
          <w:p w:rsidR="00195BE7" w:rsidRPr="001E2F6E" w:rsidRDefault="00195BE7" w:rsidP="00195BE7">
            <w:pPr>
              <w:spacing w:line="240" w:lineRule="exact"/>
              <w:ind w:right="170"/>
              <w:jc w:val="right"/>
              <w:rPr>
                <w:sz w:val="16"/>
                <w:szCs w:val="16"/>
              </w:rPr>
            </w:pPr>
            <w:r w:rsidRPr="001E2F6E">
              <w:rPr>
                <w:sz w:val="16"/>
                <w:szCs w:val="16"/>
              </w:rPr>
              <w:t>51,4</w:t>
            </w:r>
          </w:p>
        </w:tc>
        <w:tc>
          <w:tcPr>
            <w:tcW w:w="1045" w:type="pct"/>
            <w:tcBorders>
              <w:top w:val="nil"/>
              <w:left w:val="nil"/>
              <w:bottom w:val="nil"/>
              <w:right w:val="nil"/>
            </w:tcBorders>
            <w:shd w:val="clear" w:color="auto" w:fill="auto"/>
            <w:hideMark/>
          </w:tcPr>
          <w:p w:rsidR="00195BE7" w:rsidRPr="001E2F6E" w:rsidRDefault="00195BE7" w:rsidP="00195BE7">
            <w:pPr>
              <w:spacing w:line="240" w:lineRule="exact"/>
              <w:ind w:right="170"/>
              <w:jc w:val="right"/>
              <w:rPr>
                <w:sz w:val="16"/>
                <w:szCs w:val="16"/>
              </w:rPr>
            </w:pPr>
            <w:r w:rsidRPr="001E2F6E">
              <w:rPr>
                <w:sz w:val="16"/>
                <w:szCs w:val="16"/>
              </w:rPr>
              <w:t>1.363.525</w:t>
            </w:r>
          </w:p>
        </w:tc>
        <w:tc>
          <w:tcPr>
            <w:tcW w:w="876" w:type="pct"/>
            <w:tcBorders>
              <w:top w:val="nil"/>
              <w:left w:val="nil"/>
              <w:bottom w:val="nil"/>
              <w:right w:val="single" w:sz="8" w:space="0" w:color="BFBFBF"/>
            </w:tcBorders>
            <w:shd w:val="clear" w:color="auto" w:fill="auto"/>
            <w:hideMark/>
          </w:tcPr>
          <w:p w:rsidR="00195BE7" w:rsidRPr="001E2F6E" w:rsidRDefault="00195BE7" w:rsidP="00195BE7">
            <w:pPr>
              <w:spacing w:line="240" w:lineRule="exact"/>
              <w:ind w:right="170"/>
              <w:jc w:val="right"/>
              <w:rPr>
                <w:sz w:val="16"/>
                <w:szCs w:val="16"/>
              </w:rPr>
            </w:pPr>
            <w:r w:rsidRPr="001E2F6E">
              <w:rPr>
                <w:sz w:val="16"/>
                <w:szCs w:val="16"/>
              </w:rPr>
              <w:t>51,6</w:t>
            </w:r>
          </w:p>
        </w:tc>
      </w:tr>
      <w:tr w:rsidR="00195BE7" w:rsidRPr="001E2F6E" w:rsidTr="00195BE7">
        <w:trPr>
          <w:jc w:val="center"/>
        </w:trPr>
        <w:tc>
          <w:tcPr>
            <w:tcW w:w="1173" w:type="pct"/>
            <w:tcBorders>
              <w:top w:val="nil"/>
              <w:left w:val="nil"/>
              <w:bottom w:val="nil"/>
              <w:right w:val="single" w:sz="8" w:space="0" w:color="BFBFBF"/>
            </w:tcBorders>
            <w:shd w:val="clear" w:color="auto" w:fill="auto"/>
            <w:vAlign w:val="bottom"/>
            <w:hideMark/>
          </w:tcPr>
          <w:p w:rsidR="00195BE7" w:rsidRPr="001E2F6E" w:rsidRDefault="00195BE7" w:rsidP="00195BE7">
            <w:pPr>
              <w:spacing w:line="240" w:lineRule="exact"/>
              <w:rPr>
                <w:sz w:val="16"/>
                <w:szCs w:val="16"/>
              </w:rPr>
            </w:pPr>
            <w:r w:rsidRPr="001E2F6E">
              <w:rPr>
                <w:sz w:val="16"/>
                <w:szCs w:val="16"/>
              </w:rPr>
              <w:t>Eraikuntza</w:t>
            </w:r>
          </w:p>
        </w:tc>
        <w:tc>
          <w:tcPr>
            <w:tcW w:w="990" w:type="pct"/>
            <w:tcBorders>
              <w:top w:val="nil"/>
              <w:left w:val="nil"/>
              <w:bottom w:val="nil"/>
              <w:right w:val="nil"/>
            </w:tcBorders>
            <w:shd w:val="clear" w:color="auto" w:fill="auto"/>
            <w:hideMark/>
          </w:tcPr>
          <w:p w:rsidR="00195BE7" w:rsidRPr="001E2F6E" w:rsidRDefault="00195BE7" w:rsidP="00195BE7">
            <w:pPr>
              <w:spacing w:line="240" w:lineRule="exact"/>
              <w:ind w:right="170"/>
              <w:jc w:val="right"/>
              <w:rPr>
                <w:sz w:val="16"/>
                <w:szCs w:val="16"/>
              </w:rPr>
            </w:pPr>
            <w:r w:rsidRPr="001E2F6E">
              <w:rPr>
                <w:sz w:val="16"/>
                <w:szCs w:val="16"/>
              </w:rPr>
              <w:t>69.654</w:t>
            </w:r>
          </w:p>
        </w:tc>
        <w:tc>
          <w:tcPr>
            <w:tcW w:w="916" w:type="pct"/>
            <w:tcBorders>
              <w:top w:val="nil"/>
              <w:left w:val="nil"/>
              <w:bottom w:val="nil"/>
              <w:right w:val="single" w:sz="8" w:space="0" w:color="BFBFBF"/>
            </w:tcBorders>
            <w:shd w:val="clear" w:color="auto" w:fill="auto"/>
            <w:hideMark/>
          </w:tcPr>
          <w:p w:rsidR="00195BE7" w:rsidRPr="001E2F6E" w:rsidRDefault="00195BE7" w:rsidP="00195BE7">
            <w:pPr>
              <w:spacing w:line="240" w:lineRule="exact"/>
              <w:ind w:right="170"/>
              <w:jc w:val="right"/>
              <w:rPr>
                <w:sz w:val="16"/>
                <w:szCs w:val="16"/>
              </w:rPr>
            </w:pPr>
            <w:r w:rsidRPr="001E2F6E">
              <w:rPr>
                <w:sz w:val="16"/>
                <w:szCs w:val="16"/>
              </w:rPr>
              <w:t>2,5</w:t>
            </w:r>
          </w:p>
        </w:tc>
        <w:tc>
          <w:tcPr>
            <w:tcW w:w="1045" w:type="pct"/>
            <w:tcBorders>
              <w:top w:val="nil"/>
              <w:left w:val="nil"/>
              <w:bottom w:val="nil"/>
              <w:right w:val="nil"/>
            </w:tcBorders>
            <w:shd w:val="clear" w:color="auto" w:fill="auto"/>
            <w:hideMark/>
          </w:tcPr>
          <w:p w:rsidR="00195BE7" w:rsidRPr="001E2F6E" w:rsidRDefault="00195BE7" w:rsidP="00195BE7">
            <w:pPr>
              <w:spacing w:line="240" w:lineRule="exact"/>
              <w:ind w:right="170"/>
              <w:jc w:val="right"/>
              <w:rPr>
                <w:sz w:val="16"/>
                <w:szCs w:val="16"/>
              </w:rPr>
            </w:pPr>
            <w:r w:rsidRPr="001E2F6E">
              <w:rPr>
                <w:sz w:val="16"/>
                <w:szCs w:val="16"/>
              </w:rPr>
              <w:t>58.440</w:t>
            </w:r>
          </w:p>
        </w:tc>
        <w:tc>
          <w:tcPr>
            <w:tcW w:w="876" w:type="pct"/>
            <w:tcBorders>
              <w:top w:val="nil"/>
              <w:left w:val="nil"/>
              <w:bottom w:val="nil"/>
              <w:right w:val="single" w:sz="8" w:space="0" w:color="BFBFBF"/>
            </w:tcBorders>
            <w:shd w:val="clear" w:color="auto" w:fill="auto"/>
            <w:hideMark/>
          </w:tcPr>
          <w:p w:rsidR="00195BE7" w:rsidRPr="001E2F6E" w:rsidRDefault="00195BE7" w:rsidP="00195BE7">
            <w:pPr>
              <w:spacing w:line="240" w:lineRule="exact"/>
              <w:ind w:right="170"/>
              <w:jc w:val="right"/>
              <w:rPr>
                <w:sz w:val="16"/>
                <w:szCs w:val="16"/>
              </w:rPr>
            </w:pPr>
            <w:r w:rsidRPr="001E2F6E">
              <w:rPr>
                <w:sz w:val="16"/>
                <w:szCs w:val="16"/>
              </w:rPr>
              <w:t>2,2</w:t>
            </w:r>
          </w:p>
        </w:tc>
      </w:tr>
      <w:tr w:rsidR="00195BE7" w:rsidRPr="001E2F6E" w:rsidTr="00195BE7">
        <w:trPr>
          <w:jc w:val="center"/>
        </w:trPr>
        <w:tc>
          <w:tcPr>
            <w:tcW w:w="1173" w:type="pct"/>
            <w:tcBorders>
              <w:top w:val="nil"/>
              <w:left w:val="nil"/>
              <w:bottom w:val="single" w:sz="8" w:space="0" w:color="BFBFBF"/>
              <w:right w:val="single" w:sz="8" w:space="0" w:color="BFBFBF"/>
            </w:tcBorders>
            <w:shd w:val="clear" w:color="auto" w:fill="auto"/>
            <w:vAlign w:val="bottom"/>
            <w:hideMark/>
          </w:tcPr>
          <w:p w:rsidR="00195BE7" w:rsidRPr="001E2F6E" w:rsidRDefault="00195BE7" w:rsidP="00195BE7">
            <w:pPr>
              <w:spacing w:line="240" w:lineRule="exact"/>
              <w:rPr>
                <w:sz w:val="16"/>
                <w:szCs w:val="16"/>
              </w:rPr>
            </w:pPr>
            <w:r w:rsidRPr="001E2F6E">
              <w:rPr>
                <w:sz w:val="16"/>
                <w:szCs w:val="16"/>
              </w:rPr>
              <w:t>Zerbitzuak</w:t>
            </w:r>
          </w:p>
        </w:tc>
        <w:tc>
          <w:tcPr>
            <w:tcW w:w="990" w:type="pct"/>
            <w:tcBorders>
              <w:top w:val="nil"/>
              <w:left w:val="nil"/>
              <w:bottom w:val="single" w:sz="8" w:space="0" w:color="BFBFBF"/>
              <w:right w:val="nil"/>
            </w:tcBorders>
            <w:shd w:val="clear" w:color="auto" w:fill="auto"/>
            <w:hideMark/>
          </w:tcPr>
          <w:p w:rsidR="00195BE7" w:rsidRPr="001E2F6E" w:rsidRDefault="00195BE7" w:rsidP="00195BE7">
            <w:pPr>
              <w:spacing w:line="240" w:lineRule="exact"/>
              <w:ind w:right="170"/>
              <w:jc w:val="right"/>
              <w:rPr>
                <w:sz w:val="16"/>
                <w:szCs w:val="16"/>
              </w:rPr>
            </w:pPr>
            <w:r w:rsidRPr="001E2F6E">
              <w:rPr>
                <w:sz w:val="16"/>
                <w:szCs w:val="16"/>
              </w:rPr>
              <w:t>1.298.212</w:t>
            </w:r>
          </w:p>
        </w:tc>
        <w:tc>
          <w:tcPr>
            <w:tcW w:w="916" w:type="pct"/>
            <w:tcBorders>
              <w:top w:val="nil"/>
              <w:left w:val="nil"/>
              <w:bottom w:val="single" w:sz="8" w:space="0" w:color="BFBFBF"/>
              <w:right w:val="single" w:sz="8" w:space="0" w:color="BFBFBF"/>
            </w:tcBorders>
            <w:shd w:val="clear" w:color="auto" w:fill="auto"/>
            <w:hideMark/>
          </w:tcPr>
          <w:p w:rsidR="00195BE7" w:rsidRPr="001E2F6E" w:rsidRDefault="00195BE7" w:rsidP="00195BE7">
            <w:pPr>
              <w:spacing w:line="240" w:lineRule="exact"/>
              <w:ind w:right="170"/>
              <w:jc w:val="right"/>
              <w:rPr>
                <w:sz w:val="16"/>
                <w:szCs w:val="16"/>
              </w:rPr>
            </w:pPr>
            <w:r w:rsidRPr="001E2F6E">
              <w:rPr>
                <w:sz w:val="16"/>
                <w:szCs w:val="16"/>
              </w:rPr>
              <w:t>46</w:t>
            </w:r>
          </w:p>
        </w:tc>
        <w:tc>
          <w:tcPr>
            <w:tcW w:w="1045" w:type="pct"/>
            <w:tcBorders>
              <w:top w:val="nil"/>
              <w:left w:val="nil"/>
              <w:bottom w:val="single" w:sz="8" w:space="0" w:color="BFBFBF"/>
              <w:right w:val="nil"/>
            </w:tcBorders>
            <w:shd w:val="clear" w:color="auto" w:fill="auto"/>
            <w:hideMark/>
          </w:tcPr>
          <w:p w:rsidR="00195BE7" w:rsidRPr="001E2F6E" w:rsidRDefault="00195BE7" w:rsidP="00195BE7">
            <w:pPr>
              <w:spacing w:line="240" w:lineRule="exact"/>
              <w:ind w:right="170"/>
              <w:jc w:val="right"/>
              <w:rPr>
                <w:sz w:val="16"/>
                <w:szCs w:val="16"/>
              </w:rPr>
            </w:pPr>
            <w:r w:rsidRPr="001E2F6E">
              <w:rPr>
                <w:sz w:val="16"/>
                <w:szCs w:val="16"/>
              </w:rPr>
              <w:t>1.219.851</w:t>
            </w:r>
          </w:p>
        </w:tc>
        <w:tc>
          <w:tcPr>
            <w:tcW w:w="876" w:type="pct"/>
            <w:tcBorders>
              <w:top w:val="nil"/>
              <w:left w:val="nil"/>
              <w:bottom w:val="single" w:sz="8" w:space="0" w:color="BFBFBF"/>
              <w:right w:val="single" w:sz="8" w:space="0" w:color="BFBFBF"/>
            </w:tcBorders>
            <w:shd w:val="clear" w:color="auto" w:fill="auto"/>
            <w:hideMark/>
          </w:tcPr>
          <w:p w:rsidR="00195BE7" w:rsidRPr="001E2F6E" w:rsidRDefault="00195BE7" w:rsidP="00195BE7">
            <w:pPr>
              <w:spacing w:line="240" w:lineRule="exact"/>
              <w:ind w:right="170"/>
              <w:jc w:val="right"/>
              <w:rPr>
                <w:sz w:val="16"/>
                <w:szCs w:val="16"/>
              </w:rPr>
            </w:pPr>
            <w:r w:rsidRPr="001E2F6E">
              <w:rPr>
                <w:sz w:val="16"/>
                <w:szCs w:val="16"/>
              </w:rPr>
              <w:t>46,1</w:t>
            </w:r>
          </w:p>
        </w:tc>
      </w:tr>
      <w:tr w:rsidR="00195BE7" w:rsidRPr="001E2F6E" w:rsidTr="00195BE7">
        <w:trPr>
          <w:jc w:val="center"/>
        </w:trPr>
        <w:tc>
          <w:tcPr>
            <w:tcW w:w="1173" w:type="pct"/>
            <w:tcBorders>
              <w:top w:val="nil"/>
              <w:left w:val="nil"/>
              <w:bottom w:val="single" w:sz="8" w:space="0" w:color="BFBFBF"/>
              <w:right w:val="single" w:sz="8" w:space="0" w:color="BFBFBF"/>
            </w:tcBorders>
            <w:shd w:val="clear" w:color="auto" w:fill="auto"/>
            <w:vAlign w:val="bottom"/>
            <w:hideMark/>
          </w:tcPr>
          <w:p w:rsidR="00195BE7" w:rsidRPr="001E2F6E" w:rsidRDefault="00195BE7" w:rsidP="00195BE7">
            <w:pPr>
              <w:spacing w:line="240" w:lineRule="exact"/>
              <w:rPr>
                <w:b/>
                <w:sz w:val="16"/>
                <w:szCs w:val="16"/>
              </w:rPr>
            </w:pPr>
            <w:r w:rsidRPr="001E2F6E">
              <w:rPr>
                <w:b/>
                <w:sz w:val="16"/>
                <w:szCs w:val="16"/>
              </w:rPr>
              <w:t>GUZTIRA</w:t>
            </w:r>
          </w:p>
        </w:tc>
        <w:tc>
          <w:tcPr>
            <w:tcW w:w="990" w:type="pct"/>
            <w:tcBorders>
              <w:top w:val="nil"/>
              <w:left w:val="nil"/>
              <w:bottom w:val="single" w:sz="8" w:space="0" w:color="BFBFBF"/>
              <w:right w:val="nil"/>
            </w:tcBorders>
            <w:shd w:val="clear" w:color="auto" w:fill="auto"/>
            <w:hideMark/>
          </w:tcPr>
          <w:p w:rsidR="00195BE7" w:rsidRPr="001E2F6E" w:rsidRDefault="00195BE7" w:rsidP="00195BE7">
            <w:pPr>
              <w:spacing w:line="240" w:lineRule="exact"/>
              <w:ind w:right="170"/>
              <w:jc w:val="right"/>
              <w:rPr>
                <w:b/>
                <w:sz w:val="16"/>
                <w:szCs w:val="16"/>
              </w:rPr>
            </w:pPr>
            <w:r w:rsidRPr="001E2F6E">
              <w:rPr>
                <w:b/>
                <w:sz w:val="16"/>
                <w:szCs w:val="16"/>
              </w:rPr>
              <w:t>2.823.557</w:t>
            </w:r>
          </w:p>
        </w:tc>
        <w:tc>
          <w:tcPr>
            <w:tcW w:w="916" w:type="pct"/>
            <w:tcBorders>
              <w:top w:val="nil"/>
              <w:left w:val="nil"/>
              <w:bottom w:val="single" w:sz="8" w:space="0" w:color="BFBFBF"/>
              <w:right w:val="single" w:sz="8" w:space="0" w:color="BFBFBF"/>
            </w:tcBorders>
            <w:shd w:val="clear" w:color="auto" w:fill="auto"/>
            <w:hideMark/>
          </w:tcPr>
          <w:p w:rsidR="00195BE7" w:rsidRPr="001E2F6E" w:rsidRDefault="00195BE7" w:rsidP="00195BE7">
            <w:pPr>
              <w:spacing w:line="240" w:lineRule="exact"/>
              <w:ind w:right="170"/>
              <w:jc w:val="right"/>
              <w:rPr>
                <w:b/>
                <w:sz w:val="16"/>
                <w:szCs w:val="16"/>
              </w:rPr>
            </w:pPr>
            <w:r w:rsidRPr="001E2F6E">
              <w:rPr>
                <w:b/>
                <w:sz w:val="16"/>
                <w:szCs w:val="16"/>
              </w:rPr>
              <w:t>100</w:t>
            </w:r>
          </w:p>
        </w:tc>
        <w:tc>
          <w:tcPr>
            <w:tcW w:w="1045" w:type="pct"/>
            <w:tcBorders>
              <w:top w:val="nil"/>
              <w:left w:val="nil"/>
              <w:bottom w:val="single" w:sz="8" w:space="0" w:color="BFBFBF"/>
              <w:right w:val="nil"/>
            </w:tcBorders>
            <w:shd w:val="clear" w:color="auto" w:fill="auto"/>
            <w:hideMark/>
          </w:tcPr>
          <w:p w:rsidR="00195BE7" w:rsidRPr="001E2F6E" w:rsidRDefault="00195BE7" w:rsidP="00195BE7">
            <w:pPr>
              <w:spacing w:line="240" w:lineRule="exact"/>
              <w:ind w:right="170"/>
              <w:jc w:val="right"/>
              <w:rPr>
                <w:b/>
                <w:sz w:val="16"/>
                <w:szCs w:val="16"/>
              </w:rPr>
            </w:pPr>
            <w:r w:rsidRPr="001E2F6E">
              <w:rPr>
                <w:b/>
                <w:sz w:val="16"/>
                <w:szCs w:val="16"/>
              </w:rPr>
              <w:t>2.643.375</w:t>
            </w:r>
          </w:p>
        </w:tc>
        <w:tc>
          <w:tcPr>
            <w:tcW w:w="876" w:type="pct"/>
            <w:tcBorders>
              <w:top w:val="nil"/>
              <w:left w:val="nil"/>
              <w:bottom w:val="single" w:sz="8" w:space="0" w:color="BFBFBF"/>
              <w:right w:val="single" w:sz="8" w:space="0" w:color="BFBFBF"/>
            </w:tcBorders>
            <w:shd w:val="clear" w:color="auto" w:fill="auto"/>
            <w:hideMark/>
          </w:tcPr>
          <w:p w:rsidR="00195BE7" w:rsidRPr="001E2F6E" w:rsidRDefault="00195BE7" w:rsidP="00195BE7">
            <w:pPr>
              <w:spacing w:line="240" w:lineRule="exact"/>
              <w:ind w:right="170"/>
              <w:jc w:val="right"/>
              <w:rPr>
                <w:b/>
                <w:sz w:val="16"/>
                <w:szCs w:val="16"/>
              </w:rPr>
            </w:pPr>
            <w:r w:rsidRPr="001E2F6E">
              <w:rPr>
                <w:b/>
                <w:sz w:val="16"/>
                <w:szCs w:val="16"/>
              </w:rPr>
              <w:t>100</w:t>
            </w:r>
          </w:p>
        </w:tc>
      </w:tr>
    </w:tbl>
    <w:p w:rsidR="00195BE7" w:rsidRPr="001E2F6E" w:rsidRDefault="00195BE7" w:rsidP="00195BE7"/>
    <w:p w:rsidR="00195BE7" w:rsidRPr="001E2F6E" w:rsidRDefault="00195BE7" w:rsidP="00195BE7">
      <w:pPr>
        <w:spacing w:line="240" w:lineRule="auto"/>
        <w:jc w:val="center"/>
        <w:rPr>
          <w:b/>
          <w:color w:val="1F497D" w:themeColor="text2"/>
          <w:sz w:val="18"/>
          <w:szCs w:val="18"/>
        </w:rPr>
      </w:pPr>
      <w:bookmarkStart w:id="88" w:name="_Toc391989092"/>
      <w:bookmarkStart w:id="89" w:name="_Toc392585757"/>
      <w:r w:rsidRPr="001E2F6E">
        <w:rPr>
          <w:b/>
          <w:color w:val="1F497D" w:themeColor="text2"/>
          <w:sz w:val="18"/>
          <w:szCs w:val="18"/>
        </w:rPr>
        <w:t>1.</w:t>
      </w:r>
      <w:r w:rsidR="00EB6BA6" w:rsidRPr="001E2F6E">
        <w:rPr>
          <w:b/>
          <w:color w:val="1F497D" w:themeColor="text2"/>
          <w:sz w:val="18"/>
          <w:szCs w:val="18"/>
        </w:rPr>
        <w:fldChar w:fldCharType="begin"/>
      </w:r>
      <w:r w:rsidRPr="001E2F6E">
        <w:rPr>
          <w:b/>
          <w:color w:val="1F497D" w:themeColor="text2"/>
          <w:sz w:val="18"/>
          <w:szCs w:val="18"/>
        </w:rPr>
        <w:instrText xml:space="preserve"> SEQ Cuadro_1. \* ARABIC </w:instrText>
      </w:r>
      <w:r w:rsidR="00EB6BA6" w:rsidRPr="001E2F6E">
        <w:rPr>
          <w:b/>
          <w:color w:val="1F497D" w:themeColor="text2"/>
          <w:sz w:val="18"/>
          <w:szCs w:val="18"/>
        </w:rPr>
        <w:fldChar w:fldCharType="separate"/>
      </w:r>
      <w:r w:rsidR="00A327D4">
        <w:rPr>
          <w:b/>
          <w:noProof/>
          <w:color w:val="1F497D" w:themeColor="text2"/>
          <w:sz w:val="18"/>
          <w:szCs w:val="18"/>
        </w:rPr>
        <w:t>22</w:t>
      </w:r>
      <w:r w:rsidR="00EB6BA6" w:rsidRPr="001E2F6E">
        <w:rPr>
          <w:b/>
          <w:color w:val="1F497D" w:themeColor="text2"/>
          <w:sz w:val="18"/>
          <w:szCs w:val="18"/>
        </w:rPr>
        <w:fldChar w:fldCharType="end"/>
      </w:r>
      <w:r w:rsidRPr="001E2F6E">
        <w:rPr>
          <w:b/>
          <w:color w:val="1F497D" w:themeColor="text2"/>
          <w:sz w:val="18"/>
          <w:szCs w:val="18"/>
        </w:rPr>
        <w:t xml:space="preserve"> Taula GIZARTE-EKONOMIAREN PARTE HARTZEA ARLOZ ARLOKO BARNE PRODUKTU GORDINEAN. 2010-2012ko KONPARAZIOZKO ERREFERENTZIA</w:t>
      </w:r>
      <w:bookmarkEnd w:id="88"/>
      <w:bookmarkEnd w:id="89"/>
    </w:p>
    <w:tbl>
      <w:tblPr>
        <w:tblW w:w="5000" w:type="pct"/>
        <w:jc w:val="center"/>
        <w:tblLook w:val="04A0" w:firstRow="1" w:lastRow="0" w:firstColumn="1" w:lastColumn="0" w:noHBand="0" w:noVBand="1"/>
      </w:tblPr>
      <w:tblGrid>
        <w:gridCol w:w="4187"/>
        <w:gridCol w:w="2409"/>
        <w:gridCol w:w="2408"/>
      </w:tblGrid>
      <w:tr w:rsidR="00195BE7" w:rsidRPr="001E2F6E" w:rsidTr="00195BE7">
        <w:trPr>
          <w:jc w:val="center"/>
        </w:trPr>
        <w:tc>
          <w:tcPr>
            <w:tcW w:w="2325"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tcPr>
          <w:p w:rsidR="00195BE7" w:rsidRPr="001E2F6E" w:rsidRDefault="00195BE7" w:rsidP="00195BE7">
            <w:pPr>
              <w:spacing w:line="240" w:lineRule="exact"/>
              <w:jc w:val="center"/>
              <w:rPr>
                <w:b/>
                <w:sz w:val="16"/>
                <w:szCs w:val="16"/>
              </w:rPr>
            </w:pPr>
          </w:p>
        </w:tc>
        <w:tc>
          <w:tcPr>
            <w:tcW w:w="133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tcPr>
          <w:p w:rsidR="00195BE7" w:rsidRPr="001E2F6E" w:rsidRDefault="00195BE7" w:rsidP="00195BE7">
            <w:pPr>
              <w:spacing w:line="240" w:lineRule="exact"/>
              <w:jc w:val="center"/>
              <w:rPr>
                <w:b/>
                <w:sz w:val="16"/>
                <w:szCs w:val="16"/>
              </w:rPr>
            </w:pPr>
            <w:r w:rsidRPr="001E2F6E">
              <w:rPr>
                <w:b/>
                <w:sz w:val="16"/>
                <w:szCs w:val="16"/>
              </w:rPr>
              <w:t>2010</w:t>
            </w:r>
          </w:p>
        </w:tc>
        <w:tc>
          <w:tcPr>
            <w:tcW w:w="1337"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tcPr>
          <w:p w:rsidR="00195BE7" w:rsidRPr="001E2F6E" w:rsidRDefault="00195BE7" w:rsidP="00195BE7">
            <w:pPr>
              <w:spacing w:line="240" w:lineRule="exact"/>
              <w:jc w:val="center"/>
              <w:rPr>
                <w:b/>
                <w:sz w:val="16"/>
                <w:szCs w:val="16"/>
              </w:rPr>
            </w:pPr>
            <w:r w:rsidRPr="001E2F6E">
              <w:rPr>
                <w:b/>
                <w:sz w:val="16"/>
                <w:szCs w:val="16"/>
              </w:rPr>
              <w:t>2012</w:t>
            </w:r>
          </w:p>
        </w:tc>
      </w:tr>
      <w:tr w:rsidR="00195BE7" w:rsidRPr="001E2F6E" w:rsidTr="00195BE7">
        <w:trPr>
          <w:jc w:val="center"/>
        </w:trPr>
        <w:tc>
          <w:tcPr>
            <w:tcW w:w="2325" w:type="pct"/>
            <w:tcBorders>
              <w:top w:val="single" w:sz="4" w:space="0" w:color="BFBFBF" w:themeColor="background1" w:themeShade="BF"/>
              <w:right w:val="single" w:sz="4" w:space="0" w:color="BFBFBF" w:themeColor="background1" w:themeShade="BF"/>
            </w:tcBorders>
            <w:vAlign w:val="bottom"/>
          </w:tcPr>
          <w:p w:rsidR="00195BE7" w:rsidRPr="001E2F6E" w:rsidRDefault="00195BE7" w:rsidP="00195BE7">
            <w:pPr>
              <w:spacing w:line="240" w:lineRule="exact"/>
              <w:rPr>
                <w:sz w:val="16"/>
                <w:szCs w:val="16"/>
              </w:rPr>
            </w:pPr>
            <w:r w:rsidRPr="001E2F6E">
              <w:rPr>
                <w:sz w:val="16"/>
                <w:szCs w:val="16"/>
              </w:rPr>
              <w:t>Industria</w:t>
            </w:r>
          </w:p>
        </w:tc>
        <w:tc>
          <w:tcPr>
            <w:tcW w:w="1338" w:type="pct"/>
            <w:tcBorders>
              <w:top w:val="single" w:sz="4" w:space="0" w:color="BFBFBF" w:themeColor="background1" w:themeShade="BF"/>
              <w:left w:val="single" w:sz="4" w:space="0" w:color="BFBFBF" w:themeColor="background1" w:themeShade="BF"/>
              <w:right w:val="single" w:sz="4" w:space="0" w:color="BFBFBF" w:themeColor="background1" w:themeShade="BF"/>
            </w:tcBorders>
          </w:tcPr>
          <w:p w:rsidR="00195BE7" w:rsidRPr="001E2F6E" w:rsidRDefault="00195BE7" w:rsidP="00195BE7">
            <w:pPr>
              <w:spacing w:line="240" w:lineRule="exact"/>
              <w:ind w:right="170"/>
              <w:jc w:val="right"/>
              <w:rPr>
                <w:sz w:val="16"/>
                <w:szCs w:val="16"/>
              </w:rPr>
            </w:pPr>
            <w:r w:rsidRPr="001E2F6E">
              <w:rPr>
                <w:sz w:val="16"/>
                <w:szCs w:val="16"/>
              </w:rPr>
              <w:t>10,0</w:t>
            </w:r>
          </w:p>
        </w:tc>
        <w:tc>
          <w:tcPr>
            <w:tcW w:w="1337" w:type="pct"/>
            <w:tcBorders>
              <w:top w:val="single" w:sz="4" w:space="0" w:color="BFBFBF" w:themeColor="background1" w:themeShade="BF"/>
              <w:left w:val="single" w:sz="4" w:space="0" w:color="BFBFBF" w:themeColor="background1" w:themeShade="BF"/>
            </w:tcBorders>
          </w:tcPr>
          <w:p w:rsidR="00195BE7" w:rsidRPr="001E2F6E" w:rsidRDefault="00195BE7" w:rsidP="00195BE7">
            <w:pPr>
              <w:spacing w:line="240" w:lineRule="exact"/>
              <w:ind w:right="170"/>
              <w:jc w:val="right"/>
              <w:rPr>
                <w:sz w:val="16"/>
                <w:szCs w:val="16"/>
              </w:rPr>
            </w:pPr>
            <w:r w:rsidRPr="001E2F6E">
              <w:rPr>
                <w:sz w:val="16"/>
                <w:szCs w:val="16"/>
              </w:rPr>
              <w:t>9,9</w:t>
            </w:r>
          </w:p>
        </w:tc>
      </w:tr>
      <w:tr w:rsidR="00195BE7" w:rsidRPr="001E2F6E" w:rsidTr="00195BE7">
        <w:trPr>
          <w:jc w:val="center"/>
        </w:trPr>
        <w:tc>
          <w:tcPr>
            <w:tcW w:w="2325" w:type="pct"/>
            <w:tcBorders>
              <w:right w:val="single" w:sz="4" w:space="0" w:color="BFBFBF" w:themeColor="background1" w:themeShade="BF"/>
            </w:tcBorders>
            <w:vAlign w:val="bottom"/>
          </w:tcPr>
          <w:p w:rsidR="00195BE7" w:rsidRPr="001E2F6E" w:rsidRDefault="00195BE7" w:rsidP="00195BE7">
            <w:pPr>
              <w:spacing w:line="240" w:lineRule="exact"/>
              <w:rPr>
                <w:sz w:val="16"/>
                <w:szCs w:val="16"/>
              </w:rPr>
            </w:pPr>
            <w:r w:rsidRPr="001E2F6E">
              <w:rPr>
                <w:sz w:val="16"/>
                <w:szCs w:val="16"/>
              </w:rPr>
              <w:t>Eraikuntza</w:t>
            </w:r>
          </w:p>
        </w:tc>
        <w:tc>
          <w:tcPr>
            <w:tcW w:w="1338" w:type="pct"/>
            <w:tcBorders>
              <w:left w:val="single" w:sz="4" w:space="0" w:color="BFBFBF" w:themeColor="background1" w:themeShade="BF"/>
              <w:right w:val="single" w:sz="4" w:space="0" w:color="BFBFBF" w:themeColor="background1" w:themeShade="BF"/>
            </w:tcBorders>
          </w:tcPr>
          <w:p w:rsidR="00195BE7" w:rsidRPr="001E2F6E" w:rsidRDefault="00195BE7" w:rsidP="00195BE7">
            <w:pPr>
              <w:spacing w:line="240" w:lineRule="exact"/>
              <w:ind w:right="170"/>
              <w:jc w:val="right"/>
              <w:rPr>
                <w:sz w:val="16"/>
                <w:szCs w:val="16"/>
              </w:rPr>
            </w:pPr>
            <w:r w:rsidRPr="001E2F6E">
              <w:rPr>
                <w:sz w:val="16"/>
                <w:szCs w:val="16"/>
              </w:rPr>
              <w:t>1,5</w:t>
            </w:r>
          </w:p>
        </w:tc>
        <w:tc>
          <w:tcPr>
            <w:tcW w:w="1337" w:type="pct"/>
            <w:tcBorders>
              <w:left w:val="single" w:sz="4" w:space="0" w:color="BFBFBF" w:themeColor="background1" w:themeShade="BF"/>
            </w:tcBorders>
          </w:tcPr>
          <w:p w:rsidR="00195BE7" w:rsidRPr="001E2F6E" w:rsidRDefault="00195BE7" w:rsidP="00195BE7">
            <w:pPr>
              <w:spacing w:line="240" w:lineRule="exact"/>
              <w:ind w:right="170"/>
              <w:jc w:val="right"/>
              <w:rPr>
                <w:sz w:val="16"/>
                <w:szCs w:val="16"/>
              </w:rPr>
            </w:pPr>
            <w:r w:rsidRPr="001E2F6E">
              <w:rPr>
                <w:sz w:val="16"/>
                <w:szCs w:val="16"/>
              </w:rPr>
              <w:t>1,4</w:t>
            </w:r>
          </w:p>
        </w:tc>
      </w:tr>
      <w:tr w:rsidR="00195BE7" w:rsidRPr="001E2F6E" w:rsidTr="00195BE7">
        <w:trPr>
          <w:jc w:val="center"/>
        </w:trPr>
        <w:tc>
          <w:tcPr>
            <w:tcW w:w="2325" w:type="pct"/>
            <w:tcBorders>
              <w:bottom w:val="single" w:sz="4" w:space="0" w:color="BFBFBF" w:themeColor="background1" w:themeShade="BF"/>
              <w:right w:val="single" w:sz="4" w:space="0" w:color="BFBFBF" w:themeColor="background1" w:themeShade="BF"/>
            </w:tcBorders>
            <w:vAlign w:val="bottom"/>
          </w:tcPr>
          <w:p w:rsidR="00195BE7" w:rsidRPr="001E2F6E" w:rsidRDefault="00195BE7" w:rsidP="00195BE7">
            <w:pPr>
              <w:spacing w:line="240" w:lineRule="exact"/>
              <w:rPr>
                <w:sz w:val="16"/>
                <w:szCs w:val="16"/>
              </w:rPr>
            </w:pPr>
            <w:r w:rsidRPr="001E2F6E">
              <w:rPr>
                <w:sz w:val="16"/>
                <w:szCs w:val="16"/>
              </w:rPr>
              <w:t>Zerbitzuak</w:t>
            </w:r>
          </w:p>
        </w:tc>
        <w:tc>
          <w:tcPr>
            <w:tcW w:w="1338" w:type="pct"/>
            <w:tcBorders>
              <w:left w:val="single" w:sz="4" w:space="0" w:color="BFBFBF" w:themeColor="background1" w:themeShade="BF"/>
              <w:bottom w:val="single" w:sz="4" w:space="0" w:color="BFBFBF" w:themeColor="background1" w:themeShade="BF"/>
              <w:right w:val="single" w:sz="4" w:space="0" w:color="BFBFBF" w:themeColor="background1" w:themeShade="BF"/>
            </w:tcBorders>
          </w:tcPr>
          <w:p w:rsidR="00195BE7" w:rsidRPr="001E2F6E" w:rsidRDefault="00195BE7" w:rsidP="00195BE7">
            <w:pPr>
              <w:spacing w:line="240" w:lineRule="exact"/>
              <w:ind w:right="170"/>
              <w:jc w:val="right"/>
              <w:rPr>
                <w:sz w:val="16"/>
                <w:szCs w:val="16"/>
              </w:rPr>
            </w:pPr>
            <w:r w:rsidRPr="001E2F6E">
              <w:rPr>
                <w:sz w:val="16"/>
                <w:szCs w:val="16"/>
              </w:rPr>
              <w:t>3,3</w:t>
            </w:r>
          </w:p>
        </w:tc>
        <w:tc>
          <w:tcPr>
            <w:tcW w:w="1337" w:type="pct"/>
            <w:tcBorders>
              <w:left w:val="single" w:sz="4" w:space="0" w:color="BFBFBF" w:themeColor="background1" w:themeShade="BF"/>
              <w:bottom w:val="single" w:sz="4" w:space="0" w:color="BFBFBF" w:themeColor="background1" w:themeShade="BF"/>
            </w:tcBorders>
          </w:tcPr>
          <w:p w:rsidR="00195BE7" w:rsidRPr="001E2F6E" w:rsidRDefault="00195BE7" w:rsidP="00195BE7">
            <w:pPr>
              <w:spacing w:line="240" w:lineRule="exact"/>
              <w:ind w:right="170"/>
              <w:jc w:val="right"/>
              <w:rPr>
                <w:sz w:val="16"/>
                <w:szCs w:val="16"/>
              </w:rPr>
            </w:pPr>
            <w:r w:rsidRPr="001E2F6E">
              <w:rPr>
                <w:sz w:val="16"/>
                <w:szCs w:val="16"/>
              </w:rPr>
              <w:t>3,0</w:t>
            </w:r>
          </w:p>
        </w:tc>
      </w:tr>
      <w:tr w:rsidR="00195BE7" w:rsidRPr="001E2F6E" w:rsidTr="00195BE7">
        <w:trPr>
          <w:jc w:val="center"/>
        </w:trPr>
        <w:tc>
          <w:tcPr>
            <w:tcW w:w="2325" w:type="pct"/>
            <w:tcBorders>
              <w:top w:val="single" w:sz="4" w:space="0" w:color="BFBFBF" w:themeColor="background1" w:themeShade="BF"/>
              <w:bottom w:val="single" w:sz="4" w:space="0" w:color="BFBFBF" w:themeColor="background1" w:themeShade="BF"/>
              <w:right w:val="single" w:sz="4" w:space="0" w:color="BFBFBF" w:themeColor="background1" w:themeShade="BF"/>
            </w:tcBorders>
            <w:vAlign w:val="bottom"/>
          </w:tcPr>
          <w:p w:rsidR="00195BE7" w:rsidRPr="001E2F6E" w:rsidRDefault="00195BE7" w:rsidP="00195BE7">
            <w:pPr>
              <w:spacing w:line="240" w:lineRule="exact"/>
              <w:rPr>
                <w:b/>
                <w:sz w:val="16"/>
                <w:szCs w:val="16"/>
              </w:rPr>
            </w:pPr>
            <w:r w:rsidRPr="001E2F6E">
              <w:rPr>
                <w:b/>
                <w:sz w:val="16"/>
                <w:szCs w:val="16"/>
              </w:rPr>
              <w:t>GUZTIRA</w:t>
            </w:r>
          </w:p>
        </w:tc>
        <w:tc>
          <w:tcPr>
            <w:tcW w:w="133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195BE7" w:rsidRPr="001E2F6E" w:rsidRDefault="00195BE7" w:rsidP="00195BE7">
            <w:pPr>
              <w:spacing w:line="240" w:lineRule="exact"/>
              <w:ind w:right="170"/>
              <w:jc w:val="right"/>
              <w:rPr>
                <w:b/>
                <w:sz w:val="16"/>
                <w:szCs w:val="16"/>
              </w:rPr>
            </w:pPr>
            <w:r w:rsidRPr="001E2F6E">
              <w:rPr>
                <w:b/>
                <w:sz w:val="16"/>
                <w:szCs w:val="16"/>
              </w:rPr>
              <w:t>4,8</w:t>
            </w:r>
          </w:p>
        </w:tc>
        <w:tc>
          <w:tcPr>
            <w:tcW w:w="1337" w:type="pct"/>
            <w:tcBorders>
              <w:top w:val="single" w:sz="4" w:space="0" w:color="BFBFBF" w:themeColor="background1" w:themeShade="BF"/>
              <w:left w:val="single" w:sz="4" w:space="0" w:color="BFBFBF" w:themeColor="background1" w:themeShade="BF"/>
              <w:bottom w:val="single" w:sz="4" w:space="0" w:color="BFBFBF" w:themeColor="background1" w:themeShade="BF"/>
            </w:tcBorders>
          </w:tcPr>
          <w:p w:rsidR="00195BE7" w:rsidRPr="001E2F6E" w:rsidRDefault="00195BE7" w:rsidP="00195BE7">
            <w:pPr>
              <w:spacing w:line="240" w:lineRule="exact"/>
              <w:ind w:right="170"/>
              <w:jc w:val="right"/>
              <w:rPr>
                <w:b/>
                <w:sz w:val="16"/>
                <w:szCs w:val="16"/>
              </w:rPr>
            </w:pPr>
            <w:r w:rsidRPr="001E2F6E">
              <w:rPr>
                <w:b/>
                <w:sz w:val="16"/>
                <w:szCs w:val="16"/>
              </w:rPr>
              <w:t>4,5</w:t>
            </w:r>
          </w:p>
        </w:tc>
      </w:tr>
    </w:tbl>
    <w:p w:rsidR="00195BE7" w:rsidRPr="001E2F6E" w:rsidRDefault="00195BE7" w:rsidP="00195BE7">
      <w:pPr>
        <w:jc w:val="center"/>
        <w:rPr>
          <w:i/>
          <w:color w:val="000000"/>
          <w:sz w:val="16"/>
          <w:szCs w:val="16"/>
        </w:rPr>
      </w:pPr>
      <w:r w:rsidRPr="001E2F6E">
        <w:rPr>
          <w:i/>
          <w:color w:val="000000"/>
          <w:sz w:val="16"/>
          <w:szCs w:val="16"/>
          <w:lang w:val="eu-ES"/>
        </w:rPr>
        <w:t>Konparaziorako iturria: Kontu Ekonomikoak,</w:t>
      </w:r>
      <w:r w:rsidRPr="001E2F6E">
        <w:rPr>
          <w:i/>
          <w:color w:val="000080"/>
          <w:sz w:val="16"/>
          <w:szCs w:val="16"/>
          <w:lang w:val="eu-ES"/>
        </w:rPr>
        <w:t xml:space="preserve"> </w:t>
      </w:r>
      <w:r w:rsidRPr="001E2F6E">
        <w:rPr>
          <w:i/>
          <w:color w:val="000000"/>
          <w:sz w:val="16"/>
          <w:szCs w:val="16"/>
          <w:lang w:val="eu-ES"/>
        </w:rPr>
        <w:t>2012 Eustat</w:t>
      </w:r>
      <w:r w:rsidRPr="001E2F6E">
        <w:rPr>
          <w:i/>
          <w:color w:val="000000"/>
          <w:sz w:val="16"/>
          <w:szCs w:val="16"/>
        </w:rPr>
        <w:t xml:space="preserve"> </w:t>
      </w:r>
    </w:p>
    <w:p w:rsidR="00195BE7" w:rsidRPr="001E2F6E" w:rsidRDefault="00195BE7" w:rsidP="00195BE7"/>
    <w:p w:rsidR="00195BE7" w:rsidRPr="001E2F6E" w:rsidRDefault="00195BE7" w:rsidP="00195BE7">
      <w:pPr>
        <w:spacing w:line="240" w:lineRule="auto"/>
        <w:jc w:val="center"/>
        <w:rPr>
          <w:b/>
          <w:color w:val="1F497D" w:themeColor="text2"/>
          <w:sz w:val="18"/>
          <w:szCs w:val="18"/>
        </w:rPr>
      </w:pPr>
      <w:bookmarkStart w:id="90" w:name="_Toc391989093"/>
      <w:bookmarkStart w:id="91" w:name="_Toc392585758"/>
      <w:r w:rsidRPr="001E2F6E">
        <w:rPr>
          <w:b/>
          <w:color w:val="1F497D" w:themeColor="text2"/>
          <w:sz w:val="18"/>
          <w:szCs w:val="18"/>
        </w:rPr>
        <w:t>1.</w:t>
      </w:r>
      <w:r w:rsidR="00EB6BA6" w:rsidRPr="001E2F6E">
        <w:rPr>
          <w:b/>
          <w:color w:val="1F497D" w:themeColor="text2"/>
          <w:sz w:val="18"/>
          <w:szCs w:val="18"/>
        </w:rPr>
        <w:fldChar w:fldCharType="begin"/>
      </w:r>
      <w:r w:rsidRPr="001E2F6E">
        <w:rPr>
          <w:b/>
          <w:color w:val="1F497D" w:themeColor="text2"/>
          <w:sz w:val="18"/>
          <w:szCs w:val="18"/>
        </w:rPr>
        <w:instrText xml:space="preserve"> SEQ Cuadro_1. \* ARABIC </w:instrText>
      </w:r>
      <w:r w:rsidR="00EB6BA6" w:rsidRPr="001E2F6E">
        <w:rPr>
          <w:b/>
          <w:color w:val="1F497D" w:themeColor="text2"/>
          <w:sz w:val="18"/>
          <w:szCs w:val="18"/>
        </w:rPr>
        <w:fldChar w:fldCharType="separate"/>
      </w:r>
      <w:r w:rsidR="00A327D4">
        <w:rPr>
          <w:b/>
          <w:noProof/>
          <w:color w:val="1F497D" w:themeColor="text2"/>
          <w:sz w:val="18"/>
          <w:szCs w:val="18"/>
        </w:rPr>
        <w:t>23</w:t>
      </w:r>
      <w:r w:rsidR="00EB6BA6" w:rsidRPr="001E2F6E">
        <w:rPr>
          <w:b/>
          <w:color w:val="1F497D" w:themeColor="text2"/>
          <w:sz w:val="18"/>
          <w:szCs w:val="18"/>
        </w:rPr>
        <w:fldChar w:fldCharType="end"/>
      </w:r>
      <w:r w:rsidRPr="001E2F6E">
        <w:rPr>
          <w:b/>
          <w:color w:val="1F497D" w:themeColor="text2"/>
          <w:sz w:val="18"/>
          <w:szCs w:val="18"/>
        </w:rPr>
        <w:t xml:space="preserve"> Taula EAEko EKONOMIA: BARNE PRODUKTU GORDINA ETA HORREN OSAGAIAK URTEAREN ARABERA EAEn. ESKAINTZA ETA ESKAERA. OHIKO PREZIOAK. URTEEN ARTEKO ALDAKETA-TASAK (%) 2010-2012 (a)</w:t>
      </w:r>
      <w:bookmarkEnd w:id="90"/>
      <w:bookmarkEnd w:id="91"/>
    </w:p>
    <w:tbl>
      <w:tblPr>
        <w:tblW w:w="5000" w:type="pct"/>
        <w:jc w:val="center"/>
        <w:tblLook w:val="04A0" w:firstRow="1" w:lastRow="0" w:firstColumn="1" w:lastColumn="0" w:noHBand="0" w:noVBand="1"/>
      </w:tblPr>
      <w:tblGrid>
        <w:gridCol w:w="5437"/>
        <w:gridCol w:w="3567"/>
      </w:tblGrid>
      <w:tr w:rsidR="00195BE7" w:rsidRPr="001E2F6E" w:rsidTr="00195BE7">
        <w:trPr>
          <w:jc w:val="center"/>
        </w:trPr>
        <w:tc>
          <w:tcPr>
            <w:tcW w:w="3019"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tcPr>
          <w:p w:rsidR="00195BE7" w:rsidRPr="001E2F6E" w:rsidRDefault="00195BE7" w:rsidP="00195BE7">
            <w:pPr>
              <w:spacing w:line="240" w:lineRule="exact"/>
              <w:jc w:val="center"/>
              <w:rPr>
                <w:b/>
                <w:sz w:val="16"/>
                <w:szCs w:val="16"/>
              </w:rPr>
            </w:pPr>
          </w:p>
        </w:tc>
        <w:tc>
          <w:tcPr>
            <w:tcW w:w="1981"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vAlign w:val="center"/>
          </w:tcPr>
          <w:p w:rsidR="00195BE7" w:rsidRPr="001E2F6E" w:rsidRDefault="00195BE7" w:rsidP="00195BE7">
            <w:pPr>
              <w:spacing w:line="240" w:lineRule="exact"/>
              <w:jc w:val="center"/>
              <w:rPr>
                <w:b/>
                <w:sz w:val="16"/>
                <w:szCs w:val="16"/>
              </w:rPr>
            </w:pPr>
            <w:bookmarkStart w:id="92" w:name="_Toc391565485"/>
            <w:r w:rsidRPr="001E2F6E">
              <w:rPr>
                <w:b/>
                <w:sz w:val="16"/>
                <w:szCs w:val="16"/>
              </w:rPr>
              <w:t>2010/2012</w:t>
            </w:r>
            <w:bookmarkEnd w:id="92"/>
          </w:p>
        </w:tc>
      </w:tr>
      <w:tr w:rsidR="00195BE7" w:rsidRPr="001E2F6E" w:rsidTr="00195BE7">
        <w:trPr>
          <w:jc w:val="center"/>
        </w:trPr>
        <w:tc>
          <w:tcPr>
            <w:tcW w:w="3019" w:type="pct"/>
            <w:tcBorders>
              <w:top w:val="single" w:sz="4" w:space="0" w:color="BFBFBF" w:themeColor="background1" w:themeShade="BF"/>
              <w:right w:val="single" w:sz="4" w:space="0" w:color="BFBFBF" w:themeColor="background1" w:themeShade="BF"/>
            </w:tcBorders>
            <w:vAlign w:val="center"/>
          </w:tcPr>
          <w:p w:rsidR="00195BE7" w:rsidRPr="001E2F6E" w:rsidRDefault="00195BE7" w:rsidP="00195BE7">
            <w:pPr>
              <w:spacing w:line="240" w:lineRule="exact"/>
              <w:rPr>
                <w:sz w:val="16"/>
                <w:szCs w:val="16"/>
              </w:rPr>
            </w:pPr>
            <w:r w:rsidRPr="001E2F6E">
              <w:rPr>
                <w:sz w:val="16"/>
                <w:szCs w:val="16"/>
              </w:rPr>
              <w:t>Nekazaritza</w:t>
            </w:r>
          </w:p>
        </w:tc>
        <w:tc>
          <w:tcPr>
            <w:tcW w:w="1981" w:type="pct"/>
            <w:tcBorders>
              <w:top w:val="single" w:sz="4" w:space="0" w:color="BFBFBF" w:themeColor="background1" w:themeShade="BF"/>
              <w:left w:val="single" w:sz="4" w:space="0" w:color="BFBFBF" w:themeColor="background1" w:themeShade="BF"/>
            </w:tcBorders>
            <w:vAlign w:val="bottom"/>
          </w:tcPr>
          <w:p w:rsidR="00195BE7" w:rsidRPr="001E2F6E" w:rsidRDefault="00195BE7" w:rsidP="00195BE7">
            <w:pPr>
              <w:spacing w:line="240" w:lineRule="exact"/>
              <w:ind w:right="170"/>
              <w:jc w:val="right"/>
              <w:rPr>
                <w:sz w:val="16"/>
                <w:szCs w:val="16"/>
              </w:rPr>
            </w:pPr>
            <w:r w:rsidRPr="001E2F6E">
              <w:rPr>
                <w:sz w:val="16"/>
                <w:szCs w:val="16"/>
              </w:rPr>
              <w:t>20,6</w:t>
            </w:r>
          </w:p>
        </w:tc>
      </w:tr>
      <w:tr w:rsidR="00195BE7" w:rsidRPr="001E2F6E" w:rsidTr="00195BE7">
        <w:trPr>
          <w:trHeight w:val="130"/>
          <w:jc w:val="center"/>
        </w:trPr>
        <w:tc>
          <w:tcPr>
            <w:tcW w:w="3019" w:type="pct"/>
            <w:tcBorders>
              <w:right w:val="single" w:sz="4" w:space="0" w:color="BFBFBF" w:themeColor="background1" w:themeShade="BF"/>
            </w:tcBorders>
            <w:vAlign w:val="center"/>
          </w:tcPr>
          <w:p w:rsidR="00195BE7" w:rsidRPr="001E2F6E" w:rsidRDefault="00195BE7" w:rsidP="00195BE7">
            <w:pPr>
              <w:spacing w:line="240" w:lineRule="exact"/>
              <w:rPr>
                <w:sz w:val="16"/>
                <w:szCs w:val="16"/>
              </w:rPr>
            </w:pPr>
            <w:r w:rsidRPr="001E2F6E">
              <w:rPr>
                <w:sz w:val="16"/>
                <w:szCs w:val="16"/>
              </w:rPr>
              <w:t>Industria</w:t>
            </w:r>
          </w:p>
        </w:tc>
        <w:tc>
          <w:tcPr>
            <w:tcW w:w="1981" w:type="pct"/>
            <w:tcBorders>
              <w:left w:val="single" w:sz="4" w:space="0" w:color="BFBFBF" w:themeColor="background1" w:themeShade="BF"/>
            </w:tcBorders>
            <w:vAlign w:val="bottom"/>
          </w:tcPr>
          <w:p w:rsidR="00195BE7" w:rsidRPr="001E2F6E" w:rsidRDefault="00195BE7" w:rsidP="00195BE7">
            <w:pPr>
              <w:spacing w:line="240" w:lineRule="exact"/>
              <w:ind w:right="170"/>
              <w:jc w:val="right"/>
              <w:rPr>
                <w:sz w:val="16"/>
                <w:szCs w:val="16"/>
              </w:rPr>
            </w:pPr>
            <w:r w:rsidRPr="001E2F6E">
              <w:rPr>
                <w:sz w:val="16"/>
                <w:szCs w:val="16"/>
              </w:rPr>
              <w:t>-1,7</w:t>
            </w:r>
          </w:p>
        </w:tc>
      </w:tr>
      <w:tr w:rsidR="00195BE7" w:rsidRPr="001E2F6E" w:rsidTr="00195BE7">
        <w:trPr>
          <w:jc w:val="center"/>
        </w:trPr>
        <w:tc>
          <w:tcPr>
            <w:tcW w:w="3019" w:type="pct"/>
            <w:tcBorders>
              <w:right w:val="single" w:sz="4" w:space="0" w:color="BFBFBF" w:themeColor="background1" w:themeShade="BF"/>
            </w:tcBorders>
            <w:vAlign w:val="center"/>
          </w:tcPr>
          <w:p w:rsidR="00195BE7" w:rsidRPr="001E2F6E" w:rsidRDefault="00195BE7" w:rsidP="00195BE7">
            <w:pPr>
              <w:spacing w:line="240" w:lineRule="exact"/>
              <w:rPr>
                <w:sz w:val="16"/>
                <w:szCs w:val="16"/>
              </w:rPr>
            </w:pPr>
            <w:r w:rsidRPr="001E2F6E">
              <w:rPr>
                <w:sz w:val="16"/>
                <w:szCs w:val="16"/>
              </w:rPr>
              <w:t xml:space="preserve">Eraikuntza </w:t>
            </w:r>
          </w:p>
        </w:tc>
        <w:tc>
          <w:tcPr>
            <w:tcW w:w="1981" w:type="pct"/>
            <w:tcBorders>
              <w:left w:val="single" w:sz="4" w:space="0" w:color="BFBFBF" w:themeColor="background1" w:themeShade="BF"/>
            </w:tcBorders>
            <w:vAlign w:val="bottom"/>
          </w:tcPr>
          <w:p w:rsidR="00195BE7" w:rsidRPr="001E2F6E" w:rsidRDefault="00195BE7" w:rsidP="00195BE7">
            <w:pPr>
              <w:spacing w:line="240" w:lineRule="exact"/>
              <w:ind w:right="170"/>
              <w:jc w:val="right"/>
              <w:rPr>
                <w:sz w:val="16"/>
                <w:szCs w:val="16"/>
              </w:rPr>
            </w:pPr>
            <w:r w:rsidRPr="001E2F6E">
              <w:rPr>
                <w:sz w:val="16"/>
                <w:szCs w:val="16"/>
              </w:rPr>
              <w:t>-19,1</w:t>
            </w:r>
          </w:p>
        </w:tc>
      </w:tr>
      <w:tr w:rsidR="00195BE7" w:rsidRPr="001E2F6E" w:rsidTr="00195BE7">
        <w:trPr>
          <w:jc w:val="center"/>
        </w:trPr>
        <w:tc>
          <w:tcPr>
            <w:tcW w:w="3019" w:type="pct"/>
            <w:tcBorders>
              <w:bottom w:val="single" w:sz="4" w:space="0" w:color="BFBFBF" w:themeColor="background1" w:themeShade="BF"/>
              <w:right w:val="single" w:sz="4" w:space="0" w:color="BFBFBF" w:themeColor="background1" w:themeShade="BF"/>
            </w:tcBorders>
            <w:vAlign w:val="center"/>
          </w:tcPr>
          <w:p w:rsidR="00195BE7" w:rsidRPr="001E2F6E" w:rsidRDefault="00195BE7" w:rsidP="00195BE7">
            <w:pPr>
              <w:spacing w:line="240" w:lineRule="exact"/>
              <w:rPr>
                <w:sz w:val="16"/>
                <w:szCs w:val="16"/>
              </w:rPr>
            </w:pPr>
            <w:r w:rsidRPr="001E2F6E">
              <w:rPr>
                <w:sz w:val="16"/>
                <w:szCs w:val="16"/>
              </w:rPr>
              <w:t>Zerbitzuak</w:t>
            </w:r>
          </w:p>
        </w:tc>
        <w:tc>
          <w:tcPr>
            <w:tcW w:w="1981" w:type="pct"/>
            <w:tcBorders>
              <w:left w:val="single" w:sz="4" w:space="0" w:color="BFBFBF" w:themeColor="background1" w:themeShade="BF"/>
              <w:bottom w:val="single" w:sz="4" w:space="0" w:color="BFBFBF" w:themeColor="background1" w:themeShade="BF"/>
            </w:tcBorders>
            <w:vAlign w:val="bottom"/>
          </w:tcPr>
          <w:p w:rsidR="00195BE7" w:rsidRPr="001E2F6E" w:rsidRDefault="00195BE7" w:rsidP="00195BE7">
            <w:pPr>
              <w:spacing w:line="240" w:lineRule="exact"/>
              <w:ind w:right="170"/>
              <w:jc w:val="right"/>
              <w:rPr>
                <w:sz w:val="16"/>
                <w:szCs w:val="16"/>
              </w:rPr>
            </w:pPr>
            <w:r w:rsidRPr="001E2F6E">
              <w:rPr>
                <w:sz w:val="16"/>
                <w:szCs w:val="16"/>
              </w:rPr>
              <w:t>2,8</w:t>
            </w:r>
          </w:p>
        </w:tc>
      </w:tr>
      <w:tr w:rsidR="00195BE7" w:rsidRPr="001E2F6E" w:rsidTr="00195BE7">
        <w:trPr>
          <w:jc w:val="center"/>
        </w:trPr>
        <w:tc>
          <w:tcPr>
            <w:tcW w:w="3019" w:type="pct"/>
            <w:tcBorders>
              <w:top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195BE7" w:rsidRPr="001E2F6E" w:rsidRDefault="00195BE7" w:rsidP="00195BE7">
            <w:pPr>
              <w:spacing w:line="240" w:lineRule="exact"/>
              <w:rPr>
                <w:b/>
                <w:sz w:val="16"/>
                <w:szCs w:val="16"/>
              </w:rPr>
            </w:pPr>
            <w:r w:rsidRPr="001E2F6E">
              <w:rPr>
                <w:b/>
                <w:sz w:val="16"/>
                <w:szCs w:val="16"/>
              </w:rPr>
              <w:t>BEGd ohiko prezioei</w:t>
            </w:r>
          </w:p>
        </w:tc>
        <w:tc>
          <w:tcPr>
            <w:tcW w:w="1981" w:type="pct"/>
            <w:tcBorders>
              <w:top w:val="single" w:sz="4" w:space="0" w:color="BFBFBF" w:themeColor="background1" w:themeShade="BF"/>
              <w:left w:val="single" w:sz="4" w:space="0" w:color="BFBFBF" w:themeColor="background1" w:themeShade="BF"/>
              <w:bottom w:val="single" w:sz="4" w:space="0" w:color="BFBFBF" w:themeColor="background1" w:themeShade="BF"/>
            </w:tcBorders>
            <w:vAlign w:val="bottom"/>
          </w:tcPr>
          <w:p w:rsidR="00195BE7" w:rsidRPr="001E2F6E" w:rsidRDefault="00195BE7" w:rsidP="00195BE7">
            <w:pPr>
              <w:spacing w:line="240" w:lineRule="exact"/>
              <w:ind w:right="170"/>
              <w:jc w:val="right"/>
              <w:rPr>
                <w:b/>
                <w:sz w:val="16"/>
                <w:szCs w:val="16"/>
              </w:rPr>
            </w:pPr>
            <w:r w:rsidRPr="001E2F6E">
              <w:rPr>
                <w:b/>
                <w:sz w:val="16"/>
                <w:szCs w:val="16"/>
              </w:rPr>
              <w:t>-0,1</w:t>
            </w:r>
          </w:p>
        </w:tc>
      </w:tr>
    </w:tbl>
    <w:p w:rsidR="00195BE7" w:rsidRPr="001E2F6E" w:rsidRDefault="00195BE7" w:rsidP="00195BE7">
      <w:pPr>
        <w:jc w:val="center"/>
        <w:rPr>
          <w:i/>
          <w:color w:val="000000"/>
          <w:sz w:val="16"/>
          <w:szCs w:val="16"/>
        </w:rPr>
      </w:pPr>
      <w:bookmarkStart w:id="93" w:name="_Toc391565487"/>
      <w:r w:rsidRPr="001E2F6E">
        <w:rPr>
          <w:i/>
          <w:color w:val="000000"/>
          <w:sz w:val="16"/>
          <w:szCs w:val="16"/>
          <w:lang w:val="eu-ES"/>
        </w:rPr>
        <w:t>Konparaziorako iturria: Kontu Ekonomikoak,</w:t>
      </w:r>
      <w:r w:rsidRPr="001E2F6E">
        <w:rPr>
          <w:i/>
          <w:color w:val="000080"/>
          <w:sz w:val="16"/>
          <w:szCs w:val="16"/>
          <w:lang w:val="eu-ES"/>
        </w:rPr>
        <w:t xml:space="preserve"> </w:t>
      </w:r>
      <w:r w:rsidRPr="001E2F6E">
        <w:rPr>
          <w:i/>
          <w:color w:val="000000"/>
          <w:sz w:val="16"/>
          <w:szCs w:val="16"/>
          <w:lang w:val="eu-ES"/>
        </w:rPr>
        <w:t>2012 Eustat</w:t>
      </w:r>
      <w:r w:rsidRPr="001E2F6E">
        <w:rPr>
          <w:i/>
          <w:color w:val="000000"/>
          <w:sz w:val="16"/>
          <w:szCs w:val="16"/>
        </w:rPr>
        <w:t xml:space="preserve"> </w:t>
      </w:r>
    </w:p>
    <w:p w:rsidR="00195BE7" w:rsidRPr="001E2F6E" w:rsidRDefault="00195BE7" w:rsidP="00195BE7">
      <w:pPr>
        <w:spacing w:after="200" w:line="276" w:lineRule="auto"/>
        <w:jc w:val="left"/>
      </w:pPr>
      <w:r w:rsidRPr="001E2F6E">
        <w:br w:type="page"/>
      </w:r>
    </w:p>
    <w:p w:rsidR="00195BE7" w:rsidRPr="001E2F6E" w:rsidRDefault="00195BE7" w:rsidP="00195BE7">
      <w:pPr>
        <w:pStyle w:val="Ttulo1"/>
        <w:ind w:left="708" w:hanging="708"/>
        <w:rPr>
          <w:color w:val="1F497D" w:themeColor="text2"/>
          <w:sz w:val="22"/>
          <w:szCs w:val="22"/>
        </w:rPr>
      </w:pPr>
      <w:bookmarkStart w:id="94" w:name="_Toc391989011"/>
      <w:bookmarkStart w:id="95" w:name="_Toc392585674"/>
      <w:r w:rsidRPr="001E2F6E">
        <w:rPr>
          <w:color w:val="1F497D" w:themeColor="text2"/>
          <w:sz w:val="22"/>
          <w:szCs w:val="22"/>
        </w:rPr>
        <w:lastRenderedPageBreak/>
        <w:t xml:space="preserve">1.3.2.- </w:t>
      </w:r>
      <w:bookmarkEnd w:id="93"/>
      <w:r w:rsidRPr="001E2F6E">
        <w:rPr>
          <w:color w:val="1F497D" w:themeColor="text2"/>
          <w:sz w:val="22"/>
          <w:szCs w:val="22"/>
          <w:lang w:val="eu-ES"/>
        </w:rPr>
        <w:t>Produktibitate antzemangarriaren bilakaera 2010-2012 biurtekoan</w:t>
      </w:r>
      <w:bookmarkEnd w:id="94"/>
      <w:bookmarkEnd w:id="95"/>
    </w:p>
    <w:p w:rsidR="00195BE7" w:rsidRPr="001E2F6E" w:rsidRDefault="00195BE7" w:rsidP="00195BE7">
      <w:pPr>
        <w:spacing w:line="240" w:lineRule="auto"/>
        <w:ind w:left="851" w:hanging="851"/>
        <w:rPr>
          <w:b/>
          <w:color w:val="1F497D" w:themeColor="text2"/>
          <w:sz w:val="22"/>
        </w:rPr>
      </w:pPr>
    </w:p>
    <w:p w:rsidR="00195BE7" w:rsidRPr="001E2F6E" w:rsidRDefault="00195BE7" w:rsidP="00195BE7">
      <w:pPr>
        <w:spacing w:line="240" w:lineRule="auto"/>
        <w:ind w:left="360"/>
        <w:rPr>
          <w:color w:val="1F497D" w:themeColor="text2"/>
          <w:sz w:val="2"/>
          <w:szCs w:val="2"/>
        </w:rPr>
      </w:pPr>
    </w:p>
    <w:p w:rsidR="00195BE7" w:rsidRPr="001E2F6E" w:rsidRDefault="00195BE7" w:rsidP="00195BE7">
      <w:pPr>
        <w:spacing w:line="240" w:lineRule="auto"/>
        <w:jc w:val="center"/>
        <w:rPr>
          <w:b/>
          <w:color w:val="1F497D" w:themeColor="text2"/>
          <w:sz w:val="18"/>
          <w:szCs w:val="18"/>
        </w:rPr>
      </w:pPr>
      <w:bookmarkStart w:id="96" w:name="_Toc391989094"/>
      <w:bookmarkStart w:id="97" w:name="_Toc392585759"/>
      <w:r w:rsidRPr="001E2F6E">
        <w:rPr>
          <w:b/>
          <w:color w:val="1F497D" w:themeColor="text2"/>
          <w:sz w:val="18"/>
          <w:szCs w:val="18"/>
        </w:rPr>
        <w:t>1.</w:t>
      </w:r>
      <w:r w:rsidR="00EB6BA6" w:rsidRPr="001E2F6E">
        <w:rPr>
          <w:b/>
          <w:color w:val="1F497D" w:themeColor="text2"/>
          <w:sz w:val="18"/>
          <w:szCs w:val="18"/>
        </w:rPr>
        <w:fldChar w:fldCharType="begin"/>
      </w:r>
      <w:r w:rsidRPr="001E2F6E">
        <w:rPr>
          <w:b/>
          <w:color w:val="1F497D" w:themeColor="text2"/>
          <w:sz w:val="18"/>
          <w:szCs w:val="18"/>
        </w:rPr>
        <w:instrText xml:space="preserve"> SEQ Cuadro_1. \* ARABIC </w:instrText>
      </w:r>
      <w:r w:rsidR="00EB6BA6" w:rsidRPr="001E2F6E">
        <w:rPr>
          <w:b/>
          <w:color w:val="1F497D" w:themeColor="text2"/>
          <w:sz w:val="18"/>
          <w:szCs w:val="18"/>
        </w:rPr>
        <w:fldChar w:fldCharType="separate"/>
      </w:r>
      <w:r w:rsidR="00A327D4">
        <w:rPr>
          <w:b/>
          <w:noProof/>
          <w:color w:val="1F497D" w:themeColor="text2"/>
          <w:sz w:val="18"/>
          <w:szCs w:val="18"/>
        </w:rPr>
        <w:t>24</w:t>
      </w:r>
      <w:r w:rsidR="00EB6BA6" w:rsidRPr="001E2F6E">
        <w:rPr>
          <w:b/>
          <w:color w:val="1F497D" w:themeColor="text2"/>
          <w:sz w:val="18"/>
          <w:szCs w:val="18"/>
        </w:rPr>
        <w:fldChar w:fldCharType="end"/>
      </w:r>
      <w:r w:rsidRPr="001E2F6E">
        <w:rPr>
          <w:b/>
          <w:color w:val="1F497D" w:themeColor="text2"/>
          <w:sz w:val="18"/>
          <w:szCs w:val="18"/>
        </w:rPr>
        <w:t xml:space="preserve"> Taula GIZARTE-EKONOMIAREN ALORREKO SEKTOREEN PRODUKTIBITATE ANTZEMANGARRIAREN BILAKAERA 2010-2012 epean. (BEGd euroak/enplegatua. Ohiko prezioak)</w:t>
      </w:r>
      <w:bookmarkEnd w:id="96"/>
      <w:bookmarkEnd w:id="97"/>
    </w:p>
    <w:tbl>
      <w:tblPr>
        <w:tblW w:w="5000" w:type="pct"/>
        <w:jc w:val="center"/>
        <w:tblLook w:val="04A0" w:firstRow="1" w:lastRow="0" w:firstColumn="1" w:lastColumn="0" w:noHBand="0" w:noVBand="1"/>
      </w:tblPr>
      <w:tblGrid>
        <w:gridCol w:w="3414"/>
        <w:gridCol w:w="2795"/>
        <w:gridCol w:w="2795"/>
      </w:tblGrid>
      <w:tr w:rsidR="00195BE7" w:rsidRPr="001E2F6E" w:rsidTr="00195BE7">
        <w:trPr>
          <w:jc w:val="center"/>
        </w:trPr>
        <w:tc>
          <w:tcPr>
            <w:tcW w:w="1896"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tcPr>
          <w:p w:rsidR="00195BE7" w:rsidRPr="001E2F6E" w:rsidRDefault="00195BE7" w:rsidP="00195BE7">
            <w:pPr>
              <w:spacing w:line="240" w:lineRule="exact"/>
              <w:jc w:val="center"/>
              <w:rPr>
                <w:b/>
                <w:sz w:val="16"/>
                <w:szCs w:val="16"/>
              </w:rPr>
            </w:pPr>
          </w:p>
        </w:tc>
        <w:tc>
          <w:tcPr>
            <w:tcW w:w="1552"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vAlign w:val="center"/>
          </w:tcPr>
          <w:p w:rsidR="00195BE7" w:rsidRPr="001E2F6E" w:rsidRDefault="00195BE7" w:rsidP="00195BE7">
            <w:pPr>
              <w:spacing w:line="240" w:lineRule="exact"/>
              <w:jc w:val="center"/>
              <w:rPr>
                <w:b/>
                <w:sz w:val="16"/>
                <w:szCs w:val="16"/>
              </w:rPr>
            </w:pPr>
            <w:bookmarkStart w:id="98" w:name="_Toc391565488"/>
            <w:r w:rsidRPr="001E2F6E">
              <w:rPr>
                <w:b/>
                <w:sz w:val="16"/>
                <w:szCs w:val="16"/>
              </w:rPr>
              <w:t>2010</w:t>
            </w:r>
            <w:bookmarkEnd w:id="98"/>
          </w:p>
        </w:tc>
        <w:tc>
          <w:tcPr>
            <w:tcW w:w="1552"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vAlign w:val="center"/>
          </w:tcPr>
          <w:p w:rsidR="00195BE7" w:rsidRPr="001E2F6E" w:rsidRDefault="00195BE7" w:rsidP="00195BE7">
            <w:pPr>
              <w:spacing w:line="240" w:lineRule="exact"/>
              <w:jc w:val="center"/>
              <w:rPr>
                <w:b/>
                <w:sz w:val="16"/>
                <w:szCs w:val="16"/>
              </w:rPr>
            </w:pPr>
            <w:bookmarkStart w:id="99" w:name="_Toc391565489"/>
            <w:r w:rsidRPr="001E2F6E">
              <w:rPr>
                <w:b/>
                <w:sz w:val="16"/>
                <w:szCs w:val="16"/>
              </w:rPr>
              <w:t>2012</w:t>
            </w:r>
            <w:bookmarkEnd w:id="99"/>
          </w:p>
        </w:tc>
      </w:tr>
      <w:tr w:rsidR="00195BE7" w:rsidRPr="001E2F6E" w:rsidTr="00195BE7">
        <w:trPr>
          <w:trHeight w:val="70"/>
          <w:jc w:val="center"/>
        </w:trPr>
        <w:tc>
          <w:tcPr>
            <w:tcW w:w="1896" w:type="pct"/>
            <w:tcBorders>
              <w:right w:val="single" w:sz="4" w:space="0" w:color="BFBFBF" w:themeColor="background1" w:themeShade="BF"/>
            </w:tcBorders>
            <w:vAlign w:val="bottom"/>
          </w:tcPr>
          <w:p w:rsidR="00195BE7" w:rsidRPr="001E2F6E" w:rsidRDefault="00195BE7" w:rsidP="00195BE7">
            <w:pPr>
              <w:spacing w:line="240" w:lineRule="exact"/>
              <w:rPr>
                <w:sz w:val="16"/>
                <w:szCs w:val="16"/>
              </w:rPr>
            </w:pPr>
            <w:r w:rsidRPr="001E2F6E">
              <w:rPr>
                <w:sz w:val="16"/>
                <w:szCs w:val="16"/>
              </w:rPr>
              <w:t>Industria</w:t>
            </w:r>
          </w:p>
        </w:tc>
        <w:tc>
          <w:tcPr>
            <w:tcW w:w="1552" w:type="pct"/>
            <w:tcBorders>
              <w:left w:val="single" w:sz="4" w:space="0" w:color="BFBFBF" w:themeColor="background1" w:themeShade="BF"/>
            </w:tcBorders>
            <w:vAlign w:val="bottom"/>
          </w:tcPr>
          <w:p w:rsidR="00195BE7" w:rsidRPr="001E2F6E" w:rsidRDefault="00195BE7" w:rsidP="00195BE7">
            <w:pPr>
              <w:spacing w:line="240" w:lineRule="exact"/>
              <w:ind w:right="170"/>
              <w:jc w:val="right"/>
              <w:rPr>
                <w:sz w:val="16"/>
                <w:szCs w:val="16"/>
              </w:rPr>
            </w:pPr>
            <w:r w:rsidRPr="001E2F6E">
              <w:rPr>
                <w:sz w:val="16"/>
                <w:szCs w:val="16"/>
              </w:rPr>
              <w:t>54.773</w:t>
            </w:r>
          </w:p>
        </w:tc>
        <w:tc>
          <w:tcPr>
            <w:tcW w:w="1552" w:type="pct"/>
            <w:tcBorders>
              <w:left w:val="single" w:sz="4" w:space="0" w:color="BFBFBF" w:themeColor="background1" w:themeShade="BF"/>
            </w:tcBorders>
            <w:vAlign w:val="bottom"/>
          </w:tcPr>
          <w:p w:rsidR="00195BE7" w:rsidRPr="001E2F6E" w:rsidRDefault="00195BE7" w:rsidP="00195BE7">
            <w:pPr>
              <w:spacing w:line="240" w:lineRule="exact"/>
              <w:ind w:right="170"/>
              <w:jc w:val="right"/>
              <w:rPr>
                <w:sz w:val="16"/>
                <w:szCs w:val="16"/>
              </w:rPr>
            </w:pPr>
            <w:r w:rsidRPr="001E2F6E">
              <w:rPr>
                <w:sz w:val="16"/>
                <w:szCs w:val="16"/>
              </w:rPr>
              <w:t>53.001</w:t>
            </w:r>
          </w:p>
        </w:tc>
      </w:tr>
      <w:tr w:rsidR="00195BE7" w:rsidRPr="001E2F6E" w:rsidTr="00195BE7">
        <w:trPr>
          <w:jc w:val="center"/>
        </w:trPr>
        <w:tc>
          <w:tcPr>
            <w:tcW w:w="1896" w:type="pct"/>
            <w:tcBorders>
              <w:right w:val="single" w:sz="4" w:space="0" w:color="BFBFBF" w:themeColor="background1" w:themeShade="BF"/>
            </w:tcBorders>
            <w:vAlign w:val="bottom"/>
          </w:tcPr>
          <w:p w:rsidR="00195BE7" w:rsidRPr="001E2F6E" w:rsidRDefault="00195BE7" w:rsidP="00195BE7">
            <w:pPr>
              <w:spacing w:line="240" w:lineRule="exact"/>
              <w:rPr>
                <w:sz w:val="16"/>
                <w:szCs w:val="16"/>
              </w:rPr>
            </w:pPr>
            <w:r w:rsidRPr="001E2F6E">
              <w:rPr>
                <w:sz w:val="16"/>
                <w:szCs w:val="16"/>
              </w:rPr>
              <w:t>Eraikuntza</w:t>
            </w:r>
          </w:p>
        </w:tc>
        <w:tc>
          <w:tcPr>
            <w:tcW w:w="1552" w:type="pct"/>
            <w:tcBorders>
              <w:left w:val="single" w:sz="4" w:space="0" w:color="BFBFBF" w:themeColor="background1" w:themeShade="BF"/>
            </w:tcBorders>
            <w:vAlign w:val="bottom"/>
          </w:tcPr>
          <w:p w:rsidR="00195BE7" w:rsidRPr="001E2F6E" w:rsidRDefault="00195BE7" w:rsidP="00195BE7">
            <w:pPr>
              <w:spacing w:line="240" w:lineRule="exact"/>
              <w:ind w:right="170"/>
              <w:jc w:val="right"/>
              <w:rPr>
                <w:sz w:val="16"/>
                <w:szCs w:val="16"/>
              </w:rPr>
            </w:pPr>
            <w:r w:rsidRPr="001E2F6E">
              <w:rPr>
                <w:sz w:val="16"/>
                <w:szCs w:val="16"/>
              </w:rPr>
              <w:t>33.895</w:t>
            </w:r>
          </w:p>
        </w:tc>
        <w:tc>
          <w:tcPr>
            <w:tcW w:w="1552" w:type="pct"/>
            <w:tcBorders>
              <w:left w:val="single" w:sz="4" w:space="0" w:color="BFBFBF" w:themeColor="background1" w:themeShade="BF"/>
            </w:tcBorders>
            <w:vAlign w:val="bottom"/>
          </w:tcPr>
          <w:p w:rsidR="00195BE7" w:rsidRPr="001E2F6E" w:rsidRDefault="00195BE7" w:rsidP="00195BE7">
            <w:pPr>
              <w:spacing w:line="240" w:lineRule="exact"/>
              <w:ind w:right="170"/>
              <w:jc w:val="right"/>
              <w:rPr>
                <w:sz w:val="16"/>
                <w:szCs w:val="16"/>
              </w:rPr>
            </w:pPr>
            <w:r w:rsidRPr="001E2F6E">
              <w:rPr>
                <w:sz w:val="16"/>
                <w:szCs w:val="16"/>
              </w:rPr>
              <w:t>29.220</w:t>
            </w:r>
          </w:p>
        </w:tc>
      </w:tr>
      <w:tr w:rsidR="00195BE7" w:rsidRPr="001E2F6E" w:rsidTr="00195BE7">
        <w:trPr>
          <w:jc w:val="center"/>
        </w:trPr>
        <w:tc>
          <w:tcPr>
            <w:tcW w:w="1896" w:type="pct"/>
            <w:tcBorders>
              <w:bottom w:val="single" w:sz="4" w:space="0" w:color="BFBFBF" w:themeColor="background1" w:themeShade="BF"/>
              <w:right w:val="single" w:sz="4" w:space="0" w:color="BFBFBF" w:themeColor="background1" w:themeShade="BF"/>
            </w:tcBorders>
            <w:vAlign w:val="bottom"/>
          </w:tcPr>
          <w:p w:rsidR="00195BE7" w:rsidRPr="001E2F6E" w:rsidRDefault="00195BE7" w:rsidP="00195BE7">
            <w:pPr>
              <w:spacing w:line="240" w:lineRule="exact"/>
              <w:rPr>
                <w:sz w:val="16"/>
                <w:szCs w:val="16"/>
              </w:rPr>
            </w:pPr>
            <w:r w:rsidRPr="001E2F6E">
              <w:rPr>
                <w:sz w:val="16"/>
                <w:szCs w:val="16"/>
              </w:rPr>
              <w:t>Zerbitzuak</w:t>
            </w:r>
          </w:p>
        </w:tc>
        <w:tc>
          <w:tcPr>
            <w:tcW w:w="1552" w:type="pct"/>
            <w:tcBorders>
              <w:left w:val="single" w:sz="4" w:space="0" w:color="BFBFBF" w:themeColor="background1" w:themeShade="BF"/>
              <w:bottom w:val="single" w:sz="4" w:space="0" w:color="BFBFBF" w:themeColor="background1" w:themeShade="BF"/>
            </w:tcBorders>
            <w:vAlign w:val="bottom"/>
          </w:tcPr>
          <w:p w:rsidR="00195BE7" w:rsidRPr="001E2F6E" w:rsidRDefault="00195BE7" w:rsidP="00195BE7">
            <w:pPr>
              <w:spacing w:line="240" w:lineRule="exact"/>
              <w:ind w:right="170"/>
              <w:jc w:val="right"/>
              <w:rPr>
                <w:sz w:val="16"/>
                <w:szCs w:val="16"/>
              </w:rPr>
            </w:pPr>
            <w:r w:rsidRPr="001E2F6E">
              <w:rPr>
                <w:sz w:val="16"/>
                <w:szCs w:val="16"/>
              </w:rPr>
              <w:t>41.648</w:t>
            </w:r>
          </w:p>
        </w:tc>
        <w:tc>
          <w:tcPr>
            <w:tcW w:w="1552" w:type="pct"/>
            <w:tcBorders>
              <w:left w:val="single" w:sz="4" w:space="0" w:color="BFBFBF" w:themeColor="background1" w:themeShade="BF"/>
              <w:bottom w:val="single" w:sz="4" w:space="0" w:color="BFBFBF" w:themeColor="background1" w:themeShade="BF"/>
            </w:tcBorders>
            <w:vAlign w:val="bottom"/>
          </w:tcPr>
          <w:p w:rsidR="00195BE7" w:rsidRPr="001E2F6E" w:rsidRDefault="00195BE7" w:rsidP="00195BE7">
            <w:pPr>
              <w:spacing w:line="240" w:lineRule="exact"/>
              <w:ind w:right="170"/>
              <w:jc w:val="right"/>
              <w:rPr>
                <w:sz w:val="16"/>
                <w:szCs w:val="16"/>
              </w:rPr>
            </w:pPr>
            <w:r w:rsidRPr="001E2F6E">
              <w:rPr>
                <w:sz w:val="16"/>
                <w:szCs w:val="16"/>
              </w:rPr>
              <w:t>43.620</w:t>
            </w:r>
          </w:p>
        </w:tc>
      </w:tr>
      <w:tr w:rsidR="00195BE7" w:rsidRPr="001E2F6E" w:rsidTr="00195BE7">
        <w:trPr>
          <w:jc w:val="center"/>
        </w:trPr>
        <w:tc>
          <w:tcPr>
            <w:tcW w:w="1896" w:type="pct"/>
            <w:tcBorders>
              <w:top w:val="single" w:sz="4" w:space="0" w:color="BFBFBF" w:themeColor="background1" w:themeShade="BF"/>
              <w:bottom w:val="single" w:sz="4" w:space="0" w:color="BFBFBF" w:themeColor="background1" w:themeShade="BF"/>
              <w:right w:val="single" w:sz="4" w:space="0" w:color="BFBFBF" w:themeColor="background1" w:themeShade="BF"/>
            </w:tcBorders>
            <w:vAlign w:val="bottom"/>
          </w:tcPr>
          <w:p w:rsidR="00195BE7" w:rsidRPr="001E2F6E" w:rsidRDefault="00195BE7" w:rsidP="00195BE7">
            <w:pPr>
              <w:spacing w:line="240" w:lineRule="exact"/>
              <w:rPr>
                <w:b/>
                <w:sz w:val="16"/>
                <w:szCs w:val="16"/>
              </w:rPr>
            </w:pPr>
            <w:r w:rsidRPr="001E2F6E">
              <w:rPr>
                <w:b/>
                <w:sz w:val="16"/>
                <w:szCs w:val="16"/>
              </w:rPr>
              <w:t>GUZTIRA</w:t>
            </w:r>
          </w:p>
        </w:tc>
        <w:tc>
          <w:tcPr>
            <w:tcW w:w="1552" w:type="pct"/>
            <w:tcBorders>
              <w:top w:val="single" w:sz="4" w:space="0" w:color="BFBFBF" w:themeColor="background1" w:themeShade="BF"/>
              <w:left w:val="single" w:sz="4" w:space="0" w:color="BFBFBF" w:themeColor="background1" w:themeShade="BF"/>
              <w:bottom w:val="single" w:sz="4" w:space="0" w:color="BFBFBF" w:themeColor="background1" w:themeShade="BF"/>
            </w:tcBorders>
            <w:vAlign w:val="bottom"/>
          </w:tcPr>
          <w:p w:rsidR="00195BE7" w:rsidRPr="001E2F6E" w:rsidRDefault="00195BE7" w:rsidP="00195BE7">
            <w:pPr>
              <w:spacing w:line="240" w:lineRule="exact"/>
              <w:ind w:right="170"/>
              <w:jc w:val="right"/>
              <w:rPr>
                <w:b/>
                <w:sz w:val="16"/>
                <w:szCs w:val="16"/>
              </w:rPr>
            </w:pPr>
            <w:r w:rsidRPr="001E2F6E">
              <w:rPr>
                <w:b/>
                <w:sz w:val="16"/>
                <w:szCs w:val="16"/>
              </w:rPr>
              <w:t>47.126</w:t>
            </w:r>
          </w:p>
        </w:tc>
        <w:tc>
          <w:tcPr>
            <w:tcW w:w="1552" w:type="pct"/>
            <w:tcBorders>
              <w:top w:val="single" w:sz="4" w:space="0" w:color="BFBFBF" w:themeColor="background1" w:themeShade="BF"/>
              <w:left w:val="single" w:sz="4" w:space="0" w:color="BFBFBF" w:themeColor="background1" w:themeShade="BF"/>
              <w:bottom w:val="single" w:sz="4" w:space="0" w:color="BFBFBF" w:themeColor="background1" w:themeShade="BF"/>
            </w:tcBorders>
            <w:vAlign w:val="bottom"/>
          </w:tcPr>
          <w:p w:rsidR="00195BE7" w:rsidRPr="001E2F6E" w:rsidRDefault="00195BE7" w:rsidP="00195BE7">
            <w:pPr>
              <w:spacing w:line="240" w:lineRule="exact"/>
              <w:ind w:right="170"/>
              <w:jc w:val="right"/>
              <w:rPr>
                <w:b/>
                <w:sz w:val="16"/>
                <w:szCs w:val="16"/>
              </w:rPr>
            </w:pPr>
            <w:r w:rsidRPr="001E2F6E">
              <w:rPr>
                <w:b/>
                <w:sz w:val="16"/>
                <w:szCs w:val="16"/>
              </w:rPr>
              <w:t>47.364</w:t>
            </w:r>
          </w:p>
        </w:tc>
      </w:tr>
    </w:tbl>
    <w:p w:rsidR="00195BE7" w:rsidRPr="001E2F6E" w:rsidRDefault="00195BE7" w:rsidP="00195BE7"/>
    <w:p w:rsidR="00195BE7" w:rsidRPr="001E2F6E" w:rsidRDefault="00195BE7" w:rsidP="00195BE7">
      <w:pPr>
        <w:jc w:val="left"/>
        <w:rPr>
          <w:b/>
          <w:color w:val="1F497D" w:themeColor="text2"/>
        </w:rPr>
      </w:pPr>
    </w:p>
    <w:p w:rsidR="00195BE7" w:rsidRPr="001E2F6E" w:rsidRDefault="00195BE7" w:rsidP="00195BE7">
      <w:pPr>
        <w:pStyle w:val="Ttulo1"/>
        <w:ind w:left="708" w:hanging="708"/>
        <w:rPr>
          <w:color w:val="1F497D" w:themeColor="text2"/>
          <w:sz w:val="22"/>
          <w:szCs w:val="22"/>
        </w:rPr>
      </w:pPr>
      <w:bookmarkStart w:id="100" w:name="_Toc391989012"/>
      <w:bookmarkStart w:id="101" w:name="_Toc392585675"/>
      <w:r w:rsidRPr="001E2F6E">
        <w:rPr>
          <w:color w:val="1F497D" w:themeColor="text2"/>
          <w:sz w:val="22"/>
          <w:szCs w:val="22"/>
        </w:rPr>
        <w:t>1.4.-</w:t>
      </w:r>
      <w:r w:rsidRPr="001E2F6E">
        <w:rPr>
          <w:color w:val="1F497D" w:themeColor="text2"/>
          <w:sz w:val="22"/>
          <w:szCs w:val="22"/>
        </w:rPr>
        <w:tab/>
      </w:r>
      <w:r w:rsidRPr="001E2F6E">
        <w:rPr>
          <w:color w:val="1F497D" w:themeColor="text2"/>
          <w:sz w:val="22"/>
          <w:szCs w:val="22"/>
          <w:lang w:val="eu-ES"/>
        </w:rPr>
        <w:t>GIZARTE-EKONOMIAREN EMAITZEN KONTUAK</w:t>
      </w:r>
      <w:bookmarkEnd w:id="100"/>
      <w:bookmarkEnd w:id="101"/>
    </w:p>
    <w:p w:rsidR="00195BE7" w:rsidRPr="001E2F6E" w:rsidRDefault="00195BE7" w:rsidP="00195BE7"/>
    <w:p w:rsidR="00195BE7" w:rsidRPr="001E2F6E" w:rsidRDefault="00195BE7" w:rsidP="00195BE7">
      <w:pPr>
        <w:spacing w:line="240" w:lineRule="auto"/>
        <w:rPr>
          <w:color w:val="1F497D" w:themeColor="text2"/>
          <w:sz w:val="2"/>
          <w:szCs w:val="2"/>
        </w:rPr>
      </w:pPr>
    </w:p>
    <w:p w:rsidR="00195BE7" w:rsidRPr="001E2F6E" w:rsidRDefault="00195BE7" w:rsidP="00195BE7">
      <w:pPr>
        <w:spacing w:line="240" w:lineRule="auto"/>
        <w:jc w:val="center"/>
        <w:rPr>
          <w:b/>
          <w:color w:val="1F497D" w:themeColor="text2"/>
          <w:sz w:val="18"/>
          <w:szCs w:val="18"/>
        </w:rPr>
      </w:pPr>
      <w:bookmarkStart w:id="102" w:name="_Toc391989152"/>
      <w:bookmarkStart w:id="103" w:name="_Toc392585817"/>
      <w:r w:rsidRPr="001E2F6E">
        <w:rPr>
          <w:b/>
          <w:color w:val="1F497D" w:themeColor="text2"/>
          <w:sz w:val="18"/>
          <w:szCs w:val="18"/>
        </w:rPr>
        <w:t>1.</w:t>
      </w:r>
      <w:r w:rsidR="00EB6BA6" w:rsidRPr="001E2F6E">
        <w:rPr>
          <w:b/>
          <w:color w:val="1F497D" w:themeColor="text2"/>
          <w:sz w:val="18"/>
          <w:szCs w:val="18"/>
        </w:rPr>
        <w:fldChar w:fldCharType="begin"/>
      </w:r>
      <w:r w:rsidRPr="001E2F6E">
        <w:rPr>
          <w:b/>
          <w:color w:val="1F497D" w:themeColor="text2"/>
          <w:sz w:val="18"/>
          <w:szCs w:val="18"/>
        </w:rPr>
        <w:instrText xml:space="preserve"> SEQ Gráfico_1. \* ARABIC </w:instrText>
      </w:r>
      <w:r w:rsidR="00EB6BA6" w:rsidRPr="001E2F6E">
        <w:rPr>
          <w:b/>
          <w:color w:val="1F497D" w:themeColor="text2"/>
          <w:sz w:val="18"/>
          <w:szCs w:val="18"/>
        </w:rPr>
        <w:fldChar w:fldCharType="separate"/>
      </w:r>
      <w:r w:rsidR="00A327D4">
        <w:rPr>
          <w:b/>
          <w:noProof/>
          <w:color w:val="1F497D" w:themeColor="text2"/>
          <w:sz w:val="18"/>
          <w:szCs w:val="18"/>
        </w:rPr>
        <w:t>7</w:t>
      </w:r>
      <w:r w:rsidR="00EB6BA6" w:rsidRPr="001E2F6E">
        <w:rPr>
          <w:b/>
          <w:color w:val="1F497D" w:themeColor="text2"/>
          <w:sz w:val="18"/>
          <w:szCs w:val="18"/>
        </w:rPr>
        <w:fldChar w:fldCharType="end"/>
      </w:r>
      <w:r w:rsidRPr="001E2F6E">
        <w:rPr>
          <w:b/>
          <w:color w:val="1F497D" w:themeColor="text2"/>
          <w:sz w:val="18"/>
          <w:szCs w:val="18"/>
        </w:rPr>
        <w:t xml:space="preserve"> Irudia GIZARTE-EKONOMIAREN EMAITZA EKONOMIKOEN (MOZKINAK) ETA CASH FLOWaren BILAKAERA. 2002-2012 (zifra absolutuak euro kopurua, milakoan)</w:t>
      </w:r>
      <w:bookmarkEnd w:id="102"/>
      <w:bookmarkEnd w:id="103"/>
    </w:p>
    <w:p w:rsidR="00195BE7" w:rsidRPr="001E2F6E" w:rsidRDefault="00195BE7" w:rsidP="00195BE7">
      <w:pPr>
        <w:spacing w:line="240" w:lineRule="auto"/>
        <w:jc w:val="center"/>
        <w:rPr>
          <w:b/>
          <w:color w:val="1F497D" w:themeColor="text2"/>
          <w:sz w:val="18"/>
          <w:szCs w:val="18"/>
        </w:rPr>
      </w:pPr>
    </w:p>
    <w:p w:rsidR="00195BE7" w:rsidRPr="001E2F6E" w:rsidRDefault="00195BE7" w:rsidP="00195BE7">
      <w:pPr>
        <w:jc w:val="center"/>
        <w:rPr>
          <w:b/>
          <w:color w:val="000080"/>
          <w:sz w:val="16"/>
          <w:szCs w:val="16"/>
        </w:rPr>
      </w:pPr>
      <w:r w:rsidRPr="001E2F6E">
        <w:rPr>
          <w:b/>
          <w:noProof/>
          <w:color w:val="000080"/>
          <w:sz w:val="16"/>
          <w:szCs w:val="16"/>
          <w:lang w:eastAsia="es-ES"/>
        </w:rPr>
        <w:drawing>
          <wp:anchor distT="103632" distB="78613" distL="547116" distR="556260" simplePos="0" relativeHeight="251688960" behindDoc="0" locked="0" layoutInCell="1" allowOverlap="1" wp14:anchorId="46093CBD" wp14:editId="6B6BF919">
            <wp:simplePos x="0" y="0"/>
            <wp:positionH relativeFrom="column">
              <wp:posOffset>37437</wp:posOffset>
            </wp:positionH>
            <wp:positionV relativeFrom="paragraph">
              <wp:posOffset>133074</wp:posOffset>
            </wp:positionV>
            <wp:extent cx="5526157" cy="1486894"/>
            <wp:effectExtent l="0" t="0" r="0" b="0"/>
            <wp:wrapNone/>
            <wp:docPr id="65" name="Objeto 50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anchor>
        </w:drawing>
      </w:r>
    </w:p>
    <w:p w:rsidR="00195BE7" w:rsidRPr="001E2F6E" w:rsidRDefault="00195BE7" w:rsidP="00195BE7">
      <w:pPr>
        <w:jc w:val="center"/>
        <w:rPr>
          <w:b/>
          <w:color w:val="000080"/>
          <w:sz w:val="16"/>
          <w:szCs w:val="16"/>
        </w:rPr>
      </w:pPr>
    </w:p>
    <w:p w:rsidR="00195BE7" w:rsidRPr="001E2F6E" w:rsidRDefault="00195BE7" w:rsidP="00195BE7">
      <w:pPr>
        <w:jc w:val="center"/>
        <w:rPr>
          <w:b/>
          <w:color w:val="000080"/>
          <w:sz w:val="16"/>
          <w:szCs w:val="16"/>
        </w:rPr>
      </w:pPr>
    </w:p>
    <w:p w:rsidR="00195BE7" w:rsidRPr="001E2F6E" w:rsidRDefault="00195BE7" w:rsidP="00195BE7">
      <w:pPr>
        <w:jc w:val="center"/>
        <w:rPr>
          <w:b/>
          <w:color w:val="000080"/>
          <w:sz w:val="16"/>
          <w:szCs w:val="16"/>
        </w:rPr>
      </w:pPr>
    </w:p>
    <w:p w:rsidR="00195BE7" w:rsidRPr="001E2F6E" w:rsidRDefault="00195BE7" w:rsidP="00195BE7">
      <w:pPr>
        <w:jc w:val="center"/>
        <w:rPr>
          <w:b/>
          <w:color w:val="000080"/>
          <w:sz w:val="16"/>
          <w:szCs w:val="16"/>
        </w:rPr>
      </w:pPr>
    </w:p>
    <w:p w:rsidR="00195BE7" w:rsidRPr="001E2F6E" w:rsidRDefault="00195BE7" w:rsidP="00195BE7">
      <w:pPr>
        <w:jc w:val="center"/>
        <w:rPr>
          <w:b/>
          <w:color w:val="000080"/>
          <w:sz w:val="16"/>
          <w:szCs w:val="16"/>
        </w:rPr>
      </w:pPr>
    </w:p>
    <w:p w:rsidR="00195BE7" w:rsidRPr="001E2F6E" w:rsidRDefault="00195BE7" w:rsidP="00195BE7">
      <w:pPr>
        <w:jc w:val="center"/>
        <w:rPr>
          <w:b/>
          <w:color w:val="000080"/>
          <w:sz w:val="16"/>
          <w:szCs w:val="16"/>
        </w:rPr>
      </w:pPr>
    </w:p>
    <w:p w:rsidR="00195BE7" w:rsidRPr="001E2F6E" w:rsidRDefault="00195BE7" w:rsidP="00195BE7">
      <w:pPr>
        <w:ind w:firstLine="709"/>
        <w:jc w:val="center"/>
        <w:rPr>
          <w:rFonts w:ascii="Tahoma" w:hAnsi="Tahoma"/>
          <w:b/>
          <w:i/>
          <w:sz w:val="16"/>
          <w:szCs w:val="16"/>
        </w:rPr>
      </w:pPr>
    </w:p>
    <w:p w:rsidR="00195BE7" w:rsidRPr="001E2F6E" w:rsidRDefault="00195BE7" w:rsidP="00195BE7">
      <w:pPr>
        <w:ind w:firstLine="709"/>
        <w:jc w:val="center"/>
        <w:rPr>
          <w:rFonts w:ascii="Tahoma" w:hAnsi="Tahoma"/>
          <w:b/>
          <w:i/>
          <w:sz w:val="16"/>
          <w:szCs w:val="16"/>
        </w:rPr>
      </w:pPr>
    </w:p>
    <w:p w:rsidR="00195BE7" w:rsidRPr="001E2F6E" w:rsidRDefault="00195BE7" w:rsidP="00195BE7"/>
    <w:p w:rsidR="00195BE7" w:rsidRPr="001E2F6E" w:rsidRDefault="00195BE7" w:rsidP="00195BE7">
      <w:pPr>
        <w:spacing w:line="240" w:lineRule="auto"/>
        <w:jc w:val="center"/>
        <w:rPr>
          <w:b/>
          <w:color w:val="1F497D" w:themeColor="text2"/>
          <w:sz w:val="18"/>
          <w:szCs w:val="18"/>
        </w:rPr>
      </w:pPr>
      <w:bookmarkStart w:id="104" w:name="_Toc391989095"/>
      <w:bookmarkStart w:id="105" w:name="_Toc392585760"/>
      <w:r w:rsidRPr="001E2F6E">
        <w:rPr>
          <w:b/>
          <w:color w:val="1F497D" w:themeColor="text2"/>
          <w:sz w:val="18"/>
          <w:szCs w:val="18"/>
        </w:rPr>
        <w:t>1.</w:t>
      </w:r>
      <w:r w:rsidR="00EB6BA6" w:rsidRPr="001E2F6E">
        <w:rPr>
          <w:b/>
          <w:color w:val="1F497D" w:themeColor="text2"/>
          <w:sz w:val="18"/>
          <w:szCs w:val="18"/>
        </w:rPr>
        <w:fldChar w:fldCharType="begin"/>
      </w:r>
      <w:r w:rsidRPr="001E2F6E">
        <w:rPr>
          <w:b/>
          <w:color w:val="1F497D" w:themeColor="text2"/>
          <w:sz w:val="18"/>
          <w:szCs w:val="18"/>
        </w:rPr>
        <w:instrText xml:space="preserve"> SEQ Cuadro_1. \* ARABIC </w:instrText>
      </w:r>
      <w:r w:rsidR="00EB6BA6" w:rsidRPr="001E2F6E">
        <w:rPr>
          <w:b/>
          <w:color w:val="1F497D" w:themeColor="text2"/>
          <w:sz w:val="18"/>
          <w:szCs w:val="18"/>
        </w:rPr>
        <w:fldChar w:fldCharType="separate"/>
      </w:r>
      <w:r w:rsidR="00A327D4">
        <w:rPr>
          <w:b/>
          <w:noProof/>
          <w:color w:val="1F497D" w:themeColor="text2"/>
          <w:sz w:val="18"/>
          <w:szCs w:val="18"/>
        </w:rPr>
        <w:t>25</w:t>
      </w:r>
      <w:r w:rsidR="00EB6BA6" w:rsidRPr="001E2F6E">
        <w:rPr>
          <w:b/>
          <w:color w:val="1F497D" w:themeColor="text2"/>
          <w:sz w:val="18"/>
          <w:szCs w:val="18"/>
        </w:rPr>
        <w:fldChar w:fldCharType="end"/>
      </w:r>
      <w:r w:rsidRPr="001E2F6E">
        <w:rPr>
          <w:b/>
          <w:color w:val="1F497D" w:themeColor="text2"/>
          <w:sz w:val="18"/>
          <w:szCs w:val="18"/>
        </w:rPr>
        <w:t xml:space="preserve"> Taula MOOZKINEN ETA CASH FLOWAREN BANAKETA JARDUERA SEKTOREEN ARABERA 2012 (% bertikalak)</w:t>
      </w:r>
      <w:bookmarkEnd w:id="104"/>
      <w:bookmarkEnd w:id="105"/>
    </w:p>
    <w:tbl>
      <w:tblPr>
        <w:tblW w:w="5000" w:type="pct"/>
        <w:jc w:val="center"/>
        <w:tblCellMar>
          <w:left w:w="70" w:type="dxa"/>
          <w:right w:w="70" w:type="dxa"/>
        </w:tblCellMar>
        <w:tblLook w:val="04A0" w:firstRow="1" w:lastRow="0" w:firstColumn="1" w:lastColumn="0" w:noHBand="0" w:noVBand="1"/>
      </w:tblPr>
      <w:tblGrid>
        <w:gridCol w:w="3428"/>
        <w:gridCol w:w="2966"/>
        <w:gridCol w:w="2534"/>
      </w:tblGrid>
      <w:tr w:rsidR="00195BE7" w:rsidRPr="001E2F6E" w:rsidTr="00195BE7">
        <w:trPr>
          <w:jc w:val="center"/>
        </w:trPr>
        <w:tc>
          <w:tcPr>
            <w:tcW w:w="1920" w:type="pct"/>
            <w:tcBorders>
              <w:top w:val="single" w:sz="8" w:space="0" w:color="BFBFBF"/>
              <w:left w:val="nil"/>
              <w:bottom w:val="single" w:sz="8" w:space="0" w:color="BFBFBF"/>
              <w:right w:val="single" w:sz="8" w:space="0" w:color="BFBFBF"/>
            </w:tcBorders>
            <w:shd w:val="clear" w:color="000000" w:fill="DBE5F1"/>
            <w:vAlign w:val="bottom"/>
            <w:hideMark/>
          </w:tcPr>
          <w:p w:rsidR="00195BE7" w:rsidRPr="001E2F6E" w:rsidRDefault="00195BE7" w:rsidP="00195BE7">
            <w:pPr>
              <w:spacing w:line="240" w:lineRule="exact"/>
              <w:jc w:val="center"/>
              <w:rPr>
                <w:b/>
                <w:bCs/>
                <w:color w:val="000000"/>
                <w:sz w:val="16"/>
                <w:szCs w:val="16"/>
              </w:rPr>
            </w:pPr>
            <w:r w:rsidRPr="001E2F6E">
              <w:rPr>
                <w:b/>
                <w:bCs/>
                <w:color w:val="000000"/>
                <w:sz w:val="16"/>
                <w:szCs w:val="16"/>
              </w:rPr>
              <w:t> </w:t>
            </w:r>
          </w:p>
        </w:tc>
        <w:tc>
          <w:tcPr>
            <w:tcW w:w="1661" w:type="pct"/>
            <w:tcBorders>
              <w:top w:val="single" w:sz="8" w:space="0" w:color="BFBFBF"/>
              <w:left w:val="nil"/>
              <w:bottom w:val="single" w:sz="8" w:space="0" w:color="BFBFBF"/>
              <w:right w:val="nil"/>
            </w:tcBorders>
            <w:shd w:val="clear" w:color="000000" w:fill="DBE5F1"/>
            <w:vAlign w:val="bottom"/>
            <w:hideMark/>
          </w:tcPr>
          <w:p w:rsidR="00195BE7" w:rsidRPr="001E2F6E" w:rsidRDefault="00195BE7" w:rsidP="00195BE7">
            <w:pPr>
              <w:spacing w:line="240" w:lineRule="exact"/>
              <w:jc w:val="center"/>
              <w:rPr>
                <w:rFonts w:eastAsia="Times New Roman"/>
                <w:b/>
                <w:bCs/>
                <w:color w:val="000000"/>
                <w:sz w:val="16"/>
                <w:szCs w:val="16"/>
                <w:lang w:eastAsia="es-ES"/>
              </w:rPr>
            </w:pPr>
            <w:r w:rsidRPr="001E2F6E">
              <w:rPr>
                <w:rFonts w:eastAsia="Times New Roman"/>
                <w:b/>
                <w:bCs/>
                <w:color w:val="000000"/>
                <w:sz w:val="16"/>
                <w:szCs w:val="16"/>
                <w:lang w:eastAsia="es-ES"/>
              </w:rPr>
              <w:t>Emaitzak</w:t>
            </w:r>
          </w:p>
        </w:tc>
        <w:tc>
          <w:tcPr>
            <w:tcW w:w="1419" w:type="pct"/>
            <w:tcBorders>
              <w:top w:val="single" w:sz="8" w:space="0" w:color="BFBFBF"/>
              <w:left w:val="single" w:sz="8" w:space="0" w:color="BFBFBF"/>
              <w:bottom w:val="single" w:sz="8" w:space="0" w:color="BFBFBF"/>
              <w:right w:val="nil"/>
            </w:tcBorders>
            <w:shd w:val="clear" w:color="000000" w:fill="DBE5F1"/>
            <w:vAlign w:val="bottom"/>
            <w:hideMark/>
          </w:tcPr>
          <w:p w:rsidR="00195BE7" w:rsidRPr="001E2F6E" w:rsidRDefault="00195BE7" w:rsidP="00195BE7">
            <w:pPr>
              <w:spacing w:line="240" w:lineRule="exact"/>
              <w:jc w:val="center"/>
              <w:rPr>
                <w:rFonts w:eastAsia="Times New Roman"/>
                <w:b/>
                <w:bCs/>
                <w:color w:val="000000"/>
                <w:sz w:val="16"/>
                <w:szCs w:val="16"/>
                <w:lang w:eastAsia="es-ES"/>
              </w:rPr>
            </w:pPr>
            <w:r w:rsidRPr="001E2F6E">
              <w:rPr>
                <w:rFonts w:eastAsia="Times New Roman"/>
                <w:b/>
                <w:bCs/>
                <w:color w:val="000000"/>
                <w:sz w:val="16"/>
                <w:szCs w:val="16"/>
                <w:lang w:eastAsia="es-ES"/>
              </w:rPr>
              <w:t>Cash-Flow</w:t>
            </w:r>
          </w:p>
        </w:tc>
      </w:tr>
      <w:tr w:rsidR="00195BE7" w:rsidRPr="001E2F6E" w:rsidTr="00195BE7">
        <w:trPr>
          <w:jc w:val="center"/>
        </w:trPr>
        <w:tc>
          <w:tcPr>
            <w:tcW w:w="1920" w:type="pct"/>
            <w:tcBorders>
              <w:top w:val="nil"/>
              <w:left w:val="nil"/>
              <w:bottom w:val="nil"/>
              <w:right w:val="single" w:sz="8" w:space="0" w:color="BFBFBF"/>
            </w:tcBorders>
            <w:shd w:val="clear" w:color="auto" w:fill="auto"/>
            <w:hideMark/>
          </w:tcPr>
          <w:p w:rsidR="00195BE7" w:rsidRPr="001E2F6E" w:rsidRDefault="00195BE7" w:rsidP="00195BE7">
            <w:pPr>
              <w:widowControl w:val="0"/>
              <w:spacing w:line="240" w:lineRule="exact"/>
              <w:rPr>
                <w:sz w:val="16"/>
                <w:szCs w:val="16"/>
              </w:rPr>
            </w:pPr>
            <w:r w:rsidRPr="001E2F6E">
              <w:rPr>
                <w:sz w:val="16"/>
                <w:szCs w:val="16"/>
                <w:lang w:val="eu-ES"/>
              </w:rPr>
              <w:t>Lehen sektorea</w:t>
            </w:r>
          </w:p>
        </w:tc>
        <w:tc>
          <w:tcPr>
            <w:tcW w:w="1661" w:type="pct"/>
            <w:tcBorders>
              <w:top w:val="nil"/>
              <w:left w:val="nil"/>
              <w:bottom w:val="nil"/>
              <w:right w:val="nil"/>
            </w:tcBorders>
            <w:shd w:val="clear" w:color="auto" w:fill="auto"/>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-0,1</w:t>
            </w:r>
          </w:p>
        </w:tc>
        <w:tc>
          <w:tcPr>
            <w:tcW w:w="1419" w:type="pct"/>
            <w:tcBorders>
              <w:top w:val="nil"/>
              <w:left w:val="single" w:sz="8" w:space="0" w:color="BFBFBF"/>
              <w:bottom w:val="nil"/>
              <w:right w:val="nil"/>
            </w:tcBorders>
            <w:shd w:val="clear" w:color="auto" w:fill="auto"/>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0,1</w:t>
            </w:r>
          </w:p>
        </w:tc>
      </w:tr>
      <w:tr w:rsidR="00195BE7" w:rsidRPr="001E2F6E" w:rsidTr="00195BE7">
        <w:trPr>
          <w:jc w:val="center"/>
        </w:trPr>
        <w:tc>
          <w:tcPr>
            <w:tcW w:w="1920" w:type="pct"/>
            <w:tcBorders>
              <w:top w:val="nil"/>
              <w:left w:val="nil"/>
              <w:bottom w:val="nil"/>
              <w:right w:val="single" w:sz="8" w:space="0" w:color="BFBFBF"/>
            </w:tcBorders>
            <w:shd w:val="clear" w:color="auto" w:fill="auto"/>
            <w:vAlign w:val="bottom"/>
            <w:hideMark/>
          </w:tcPr>
          <w:p w:rsidR="00195BE7" w:rsidRPr="001E2F6E" w:rsidRDefault="00195BE7" w:rsidP="00195BE7">
            <w:pPr>
              <w:widowControl w:val="0"/>
              <w:spacing w:line="240" w:lineRule="exact"/>
              <w:rPr>
                <w:sz w:val="16"/>
                <w:szCs w:val="16"/>
                <w:lang w:val="eu-ES"/>
              </w:rPr>
            </w:pPr>
            <w:r w:rsidRPr="001E2F6E">
              <w:rPr>
                <w:sz w:val="16"/>
                <w:szCs w:val="16"/>
                <w:lang w:val="eu-ES"/>
              </w:rPr>
              <w:t>Industria</w:t>
            </w:r>
          </w:p>
        </w:tc>
        <w:tc>
          <w:tcPr>
            <w:tcW w:w="1661" w:type="pct"/>
            <w:tcBorders>
              <w:top w:val="nil"/>
              <w:left w:val="nil"/>
              <w:bottom w:val="nil"/>
              <w:right w:val="nil"/>
            </w:tcBorders>
            <w:shd w:val="clear" w:color="auto" w:fill="auto"/>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102</w:t>
            </w:r>
          </w:p>
        </w:tc>
        <w:tc>
          <w:tcPr>
            <w:tcW w:w="1419" w:type="pct"/>
            <w:tcBorders>
              <w:top w:val="nil"/>
              <w:left w:val="single" w:sz="8" w:space="0" w:color="BFBFBF"/>
              <w:bottom w:val="nil"/>
              <w:right w:val="nil"/>
            </w:tcBorders>
            <w:shd w:val="clear" w:color="auto" w:fill="auto"/>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44,4</w:t>
            </w:r>
          </w:p>
        </w:tc>
      </w:tr>
      <w:tr w:rsidR="00195BE7" w:rsidRPr="001E2F6E" w:rsidTr="00195BE7">
        <w:trPr>
          <w:jc w:val="center"/>
        </w:trPr>
        <w:tc>
          <w:tcPr>
            <w:tcW w:w="1920" w:type="pct"/>
            <w:tcBorders>
              <w:top w:val="nil"/>
              <w:left w:val="nil"/>
              <w:bottom w:val="nil"/>
              <w:right w:val="single" w:sz="8" w:space="0" w:color="BFBFBF"/>
            </w:tcBorders>
            <w:shd w:val="clear" w:color="auto" w:fill="auto"/>
            <w:vAlign w:val="bottom"/>
            <w:hideMark/>
          </w:tcPr>
          <w:p w:rsidR="00195BE7" w:rsidRPr="001E2F6E" w:rsidRDefault="00195BE7" w:rsidP="00195BE7">
            <w:pPr>
              <w:widowControl w:val="0"/>
              <w:spacing w:line="240" w:lineRule="exact"/>
              <w:rPr>
                <w:sz w:val="16"/>
                <w:szCs w:val="16"/>
                <w:lang w:val="eu-ES"/>
              </w:rPr>
            </w:pPr>
            <w:r w:rsidRPr="001E2F6E">
              <w:rPr>
                <w:sz w:val="16"/>
                <w:szCs w:val="16"/>
                <w:lang w:val="eu-ES"/>
              </w:rPr>
              <w:t>Eraikuntza</w:t>
            </w:r>
          </w:p>
        </w:tc>
        <w:tc>
          <w:tcPr>
            <w:tcW w:w="1661" w:type="pct"/>
            <w:tcBorders>
              <w:top w:val="nil"/>
              <w:left w:val="nil"/>
              <w:bottom w:val="nil"/>
              <w:right w:val="nil"/>
            </w:tcBorders>
            <w:shd w:val="clear" w:color="auto" w:fill="auto"/>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-5,3</w:t>
            </w:r>
          </w:p>
        </w:tc>
        <w:tc>
          <w:tcPr>
            <w:tcW w:w="1419" w:type="pct"/>
            <w:tcBorders>
              <w:top w:val="nil"/>
              <w:left w:val="single" w:sz="8" w:space="0" w:color="BFBFBF"/>
              <w:bottom w:val="nil"/>
              <w:right w:val="nil"/>
            </w:tcBorders>
            <w:shd w:val="clear" w:color="auto" w:fill="auto"/>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-0,1</w:t>
            </w:r>
          </w:p>
        </w:tc>
      </w:tr>
      <w:tr w:rsidR="00195BE7" w:rsidRPr="001E2F6E" w:rsidTr="00195BE7">
        <w:trPr>
          <w:jc w:val="center"/>
        </w:trPr>
        <w:tc>
          <w:tcPr>
            <w:tcW w:w="1920" w:type="pct"/>
            <w:tcBorders>
              <w:top w:val="nil"/>
              <w:left w:val="nil"/>
              <w:bottom w:val="single" w:sz="8" w:space="0" w:color="BFBFBF"/>
              <w:right w:val="single" w:sz="8" w:space="0" w:color="BFBFBF"/>
            </w:tcBorders>
            <w:shd w:val="clear" w:color="auto" w:fill="auto"/>
            <w:vAlign w:val="bottom"/>
            <w:hideMark/>
          </w:tcPr>
          <w:p w:rsidR="00195BE7" w:rsidRPr="001E2F6E" w:rsidRDefault="00195BE7" w:rsidP="00195BE7">
            <w:pPr>
              <w:widowControl w:val="0"/>
              <w:spacing w:line="240" w:lineRule="exact"/>
              <w:rPr>
                <w:sz w:val="16"/>
                <w:szCs w:val="16"/>
                <w:lang w:val="eu-ES"/>
              </w:rPr>
            </w:pPr>
            <w:r w:rsidRPr="001E2F6E">
              <w:rPr>
                <w:sz w:val="16"/>
                <w:szCs w:val="16"/>
                <w:lang w:val="eu-ES"/>
              </w:rPr>
              <w:t>Zerbitzuak</w:t>
            </w:r>
          </w:p>
        </w:tc>
        <w:tc>
          <w:tcPr>
            <w:tcW w:w="1661" w:type="pct"/>
            <w:tcBorders>
              <w:top w:val="nil"/>
              <w:left w:val="nil"/>
              <w:bottom w:val="single" w:sz="8" w:space="0" w:color="BFBFBF"/>
              <w:right w:val="nil"/>
            </w:tcBorders>
            <w:shd w:val="clear" w:color="auto" w:fill="auto"/>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3,5</w:t>
            </w:r>
          </w:p>
        </w:tc>
        <w:tc>
          <w:tcPr>
            <w:tcW w:w="1419" w:type="pct"/>
            <w:tcBorders>
              <w:top w:val="nil"/>
              <w:left w:val="single" w:sz="8" w:space="0" w:color="BFBFBF"/>
              <w:bottom w:val="single" w:sz="8" w:space="0" w:color="BFBFBF"/>
              <w:right w:val="nil"/>
            </w:tcBorders>
            <w:shd w:val="clear" w:color="auto" w:fill="auto"/>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55,6</w:t>
            </w:r>
          </w:p>
        </w:tc>
      </w:tr>
      <w:tr w:rsidR="00195BE7" w:rsidRPr="001E2F6E" w:rsidTr="00195BE7">
        <w:trPr>
          <w:jc w:val="center"/>
        </w:trPr>
        <w:tc>
          <w:tcPr>
            <w:tcW w:w="1920" w:type="pct"/>
            <w:tcBorders>
              <w:top w:val="nil"/>
              <w:left w:val="nil"/>
              <w:bottom w:val="single" w:sz="8" w:space="0" w:color="BFBFBF"/>
              <w:right w:val="single" w:sz="8" w:space="0" w:color="BFBFBF"/>
            </w:tcBorders>
            <w:shd w:val="clear" w:color="auto" w:fill="auto"/>
            <w:vAlign w:val="bottom"/>
            <w:hideMark/>
          </w:tcPr>
          <w:p w:rsidR="00195BE7" w:rsidRPr="001E2F6E" w:rsidRDefault="00195BE7" w:rsidP="00195BE7">
            <w:pPr>
              <w:spacing w:line="240" w:lineRule="exact"/>
              <w:rPr>
                <w:b/>
                <w:sz w:val="16"/>
                <w:szCs w:val="16"/>
              </w:rPr>
            </w:pPr>
            <w:r w:rsidRPr="001E2F6E">
              <w:rPr>
                <w:b/>
                <w:sz w:val="16"/>
                <w:szCs w:val="16"/>
              </w:rPr>
              <w:t>GUZTIRA</w:t>
            </w:r>
          </w:p>
        </w:tc>
        <w:tc>
          <w:tcPr>
            <w:tcW w:w="1661" w:type="pct"/>
            <w:tcBorders>
              <w:top w:val="nil"/>
              <w:left w:val="nil"/>
              <w:bottom w:val="single" w:sz="8" w:space="0" w:color="BFBFBF"/>
              <w:right w:val="nil"/>
            </w:tcBorders>
            <w:shd w:val="clear" w:color="auto" w:fill="auto"/>
            <w:hideMark/>
          </w:tcPr>
          <w:p w:rsidR="00195BE7" w:rsidRPr="001E2F6E" w:rsidRDefault="00195BE7" w:rsidP="00195BE7">
            <w:pPr>
              <w:spacing w:line="240" w:lineRule="exact"/>
              <w:ind w:right="170"/>
              <w:jc w:val="right"/>
              <w:rPr>
                <w:b/>
                <w:sz w:val="16"/>
                <w:szCs w:val="16"/>
              </w:rPr>
            </w:pPr>
            <w:r w:rsidRPr="001E2F6E">
              <w:rPr>
                <w:b/>
                <w:sz w:val="16"/>
                <w:szCs w:val="16"/>
              </w:rPr>
              <w:t>100</w:t>
            </w:r>
          </w:p>
        </w:tc>
        <w:tc>
          <w:tcPr>
            <w:tcW w:w="1419" w:type="pct"/>
            <w:tcBorders>
              <w:top w:val="nil"/>
              <w:left w:val="single" w:sz="8" w:space="0" w:color="BFBFBF"/>
              <w:bottom w:val="single" w:sz="8" w:space="0" w:color="BFBFBF"/>
              <w:right w:val="nil"/>
            </w:tcBorders>
            <w:shd w:val="clear" w:color="auto" w:fill="auto"/>
            <w:hideMark/>
          </w:tcPr>
          <w:p w:rsidR="00195BE7" w:rsidRPr="001E2F6E" w:rsidRDefault="00195BE7" w:rsidP="00195BE7">
            <w:pPr>
              <w:spacing w:line="240" w:lineRule="exact"/>
              <w:ind w:right="170"/>
              <w:jc w:val="right"/>
              <w:rPr>
                <w:b/>
                <w:sz w:val="16"/>
                <w:szCs w:val="16"/>
              </w:rPr>
            </w:pPr>
            <w:r w:rsidRPr="001E2F6E">
              <w:rPr>
                <w:b/>
                <w:sz w:val="16"/>
                <w:szCs w:val="16"/>
              </w:rPr>
              <w:t>100</w:t>
            </w:r>
          </w:p>
        </w:tc>
      </w:tr>
    </w:tbl>
    <w:p w:rsidR="00195BE7" w:rsidRPr="001E2F6E" w:rsidRDefault="00195BE7" w:rsidP="00195BE7"/>
    <w:p w:rsidR="00195BE7" w:rsidRPr="001E2F6E" w:rsidRDefault="00195BE7" w:rsidP="00195BE7">
      <w:pPr>
        <w:spacing w:after="200" w:line="276" w:lineRule="auto"/>
        <w:jc w:val="left"/>
        <w:rPr>
          <w:b/>
          <w:color w:val="1F497D" w:themeColor="text2"/>
          <w:sz w:val="18"/>
          <w:szCs w:val="18"/>
        </w:rPr>
      </w:pPr>
      <w:bookmarkStart w:id="106" w:name="_Toc391989096"/>
      <w:r w:rsidRPr="001E2F6E">
        <w:rPr>
          <w:b/>
          <w:color w:val="1F497D" w:themeColor="text2"/>
          <w:sz w:val="18"/>
          <w:szCs w:val="18"/>
        </w:rPr>
        <w:br w:type="page"/>
      </w:r>
    </w:p>
    <w:p w:rsidR="00195BE7" w:rsidRPr="00A253D5" w:rsidRDefault="00195BE7" w:rsidP="00195BE7">
      <w:pPr>
        <w:spacing w:line="240" w:lineRule="auto"/>
        <w:jc w:val="center"/>
        <w:rPr>
          <w:b/>
          <w:color w:val="1F497D" w:themeColor="text2"/>
          <w:sz w:val="18"/>
          <w:szCs w:val="18"/>
          <w:lang w:val="de-DE"/>
        </w:rPr>
      </w:pPr>
      <w:bookmarkStart w:id="107" w:name="_Toc392585761"/>
      <w:r w:rsidRPr="00A253D5">
        <w:rPr>
          <w:b/>
          <w:color w:val="1F497D" w:themeColor="text2"/>
          <w:sz w:val="18"/>
          <w:szCs w:val="18"/>
          <w:lang w:val="de-DE"/>
        </w:rPr>
        <w:lastRenderedPageBreak/>
        <w:t>1.</w:t>
      </w:r>
      <w:r w:rsidR="00EB6BA6" w:rsidRPr="001E2F6E">
        <w:rPr>
          <w:b/>
          <w:color w:val="1F497D" w:themeColor="text2"/>
          <w:sz w:val="18"/>
          <w:szCs w:val="18"/>
        </w:rPr>
        <w:fldChar w:fldCharType="begin"/>
      </w:r>
      <w:r w:rsidRPr="00A253D5">
        <w:rPr>
          <w:b/>
          <w:color w:val="1F497D" w:themeColor="text2"/>
          <w:sz w:val="18"/>
          <w:szCs w:val="18"/>
          <w:lang w:val="de-DE"/>
        </w:rPr>
        <w:instrText xml:space="preserve"> SEQ Cuadro_1. \* ARABIC </w:instrText>
      </w:r>
      <w:r w:rsidR="00EB6BA6" w:rsidRPr="001E2F6E">
        <w:rPr>
          <w:b/>
          <w:color w:val="1F497D" w:themeColor="text2"/>
          <w:sz w:val="18"/>
          <w:szCs w:val="18"/>
        </w:rPr>
        <w:fldChar w:fldCharType="separate"/>
      </w:r>
      <w:r w:rsidR="00A327D4">
        <w:rPr>
          <w:b/>
          <w:noProof/>
          <w:color w:val="1F497D" w:themeColor="text2"/>
          <w:sz w:val="18"/>
          <w:szCs w:val="18"/>
          <w:lang w:val="de-DE"/>
        </w:rPr>
        <w:t>26</w:t>
      </w:r>
      <w:r w:rsidR="00EB6BA6" w:rsidRPr="001E2F6E">
        <w:rPr>
          <w:b/>
          <w:color w:val="1F497D" w:themeColor="text2"/>
          <w:sz w:val="18"/>
          <w:szCs w:val="18"/>
        </w:rPr>
        <w:fldChar w:fldCharType="end"/>
      </w:r>
      <w:r w:rsidRPr="00A253D5">
        <w:rPr>
          <w:b/>
          <w:color w:val="1F497D" w:themeColor="text2"/>
          <w:sz w:val="18"/>
          <w:szCs w:val="18"/>
          <w:lang w:val="de-DE"/>
        </w:rPr>
        <w:t xml:space="preserve"> Taula </w:t>
      </w:r>
      <w:r w:rsidRPr="001E2F6E">
        <w:rPr>
          <w:b/>
          <w:color w:val="1F497D" w:themeColor="text2"/>
          <w:sz w:val="18"/>
          <w:szCs w:val="18"/>
          <w:lang w:val="eu-ES"/>
        </w:rPr>
        <w:t>GIZARTE-EKONOMIAREN SARREREN ETA GASTUEN KONTUAK 2010-2012 (%bertikalak eta bilakaera)</w:t>
      </w:r>
      <w:bookmarkEnd w:id="106"/>
      <w:bookmarkEnd w:id="107"/>
    </w:p>
    <w:tbl>
      <w:tblPr>
        <w:tblW w:w="10317" w:type="dxa"/>
        <w:jc w:val="center"/>
        <w:tblInd w:w="55" w:type="dxa"/>
        <w:tblCellMar>
          <w:left w:w="70" w:type="dxa"/>
          <w:right w:w="70" w:type="dxa"/>
        </w:tblCellMar>
        <w:tblLook w:val="04A0" w:firstRow="1" w:lastRow="0" w:firstColumn="1" w:lastColumn="0" w:noHBand="0" w:noVBand="1"/>
      </w:tblPr>
      <w:tblGrid>
        <w:gridCol w:w="318"/>
        <w:gridCol w:w="6455"/>
        <w:gridCol w:w="1423"/>
        <w:gridCol w:w="892"/>
        <w:gridCol w:w="1229"/>
      </w:tblGrid>
      <w:tr w:rsidR="00195BE7" w:rsidRPr="001E2F6E" w:rsidTr="00195BE7">
        <w:trPr>
          <w:jc w:val="center"/>
        </w:trPr>
        <w:tc>
          <w:tcPr>
            <w:tcW w:w="6773" w:type="dxa"/>
            <w:gridSpan w:val="2"/>
            <w:tcBorders>
              <w:top w:val="single" w:sz="8" w:space="0" w:color="BFBFBF"/>
              <w:left w:val="nil"/>
              <w:bottom w:val="nil"/>
              <w:right w:val="single" w:sz="8" w:space="0" w:color="BFBFBF"/>
            </w:tcBorders>
            <w:shd w:val="clear" w:color="000000" w:fill="DBE5F1"/>
            <w:noWrap/>
            <w:vAlign w:val="bottom"/>
            <w:hideMark/>
          </w:tcPr>
          <w:p w:rsidR="00195BE7" w:rsidRPr="00A253D5" w:rsidRDefault="00195BE7" w:rsidP="00195BE7">
            <w:pPr>
              <w:spacing w:line="240" w:lineRule="exact"/>
              <w:rPr>
                <w:rFonts w:ascii="Calibri" w:eastAsia="Times New Roman" w:hAnsi="Calibri" w:cs="Times New Roman"/>
                <w:color w:val="000000"/>
                <w:lang w:val="de-DE" w:eastAsia="es-ES"/>
              </w:rPr>
            </w:pPr>
            <w:r w:rsidRPr="00A253D5">
              <w:rPr>
                <w:rFonts w:ascii="Calibri" w:eastAsia="Times New Roman" w:hAnsi="Calibri" w:cs="Times New Roman"/>
                <w:color w:val="000000"/>
                <w:lang w:val="de-DE" w:eastAsia="es-ES"/>
              </w:rPr>
              <w:t> </w:t>
            </w:r>
          </w:p>
        </w:tc>
        <w:tc>
          <w:tcPr>
            <w:tcW w:w="1423" w:type="dxa"/>
            <w:tcBorders>
              <w:top w:val="single" w:sz="8" w:space="0" w:color="BFBFBF"/>
              <w:left w:val="nil"/>
              <w:bottom w:val="nil"/>
              <w:right w:val="single" w:sz="8" w:space="0" w:color="BFBFBF"/>
            </w:tcBorders>
            <w:shd w:val="clear" w:color="000000" w:fill="DBE5F1"/>
            <w:noWrap/>
            <w:vAlign w:val="center"/>
            <w:hideMark/>
          </w:tcPr>
          <w:p w:rsidR="00195BE7" w:rsidRPr="001E2F6E" w:rsidRDefault="00195BE7" w:rsidP="00195BE7">
            <w:pPr>
              <w:spacing w:line="240" w:lineRule="exact"/>
              <w:jc w:val="center"/>
              <w:rPr>
                <w:b/>
                <w:sz w:val="16"/>
                <w:szCs w:val="16"/>
                <w:lang w:val="eu-ES"/>
              </w:rPr>
            </w:pPr>
            <w:r w:rsidRPr="001E2F6E">
              <w:rPr>
                <w:b/>
                <w:sz w:val="16"/>
                <w:szCs w:val="16"/>
                <w:lang w:val="eu-ES"/>
              </w:rPr>
              <w:t>z.a.</w:t>
            </w:r>
          </w:p>
        </w:tc>
        <w:tc>
          <w:tcPr>
            <w:tcW w:w="892" w:type="dxa"/>
            <w:tcBorders>
              <w:top w:val="single" w:sz="8" w:space="0" w:color="BFBFBF"/>
              <w:left w:val="nil"/>
              <w:bottom w:val="nil"/>
              <w:right w:val="single" w:sz="8" w:space="0" w:color="BFBFBF"/>
            </w:tcBorders>
            <w:shd w:val="clear" w:color="000000" w:fill="DBE5F1"/>
            <w:noWrap/>
            <w:vAlign w:val="center"/>
            <w:hideMark/>
          </w:tcPr>
          <w:p w:rsidR="00195BE7" w:rsidRPr="001E2F6E" w:rsidRDefault="00195BE7" w:rsidP="00195BE7">
            <w:pPr>
              <w:spacing w:line="240" w:lineRule="exact"/>
              <w:jc w:val="center"/>
              <w:rPr>
                <w:b/>
                <w:sz w:val="16"/>
                <w:szCs w:val="16"/>
                <w:lang w:val="eu-ES"/>
              </w:rPr>
            </w:pPr>
            <w:r w:rsidRPr="001E2F6E">
              <w:rPr>
                <w:b/>
                <w:sz w:val="16"/>
                <w:szCs w:val="16"/>
                <w:lang w:val="eu-ES"/>
              </w:rPr>
              <w:t>%ber.</w:t>
            </w:r>
          </w:p>
        </w:tc>
        <w:tc>
          <w:tcPr>
            <w:tcW w:w="1229" w:type="dxa"/>
            <w:tcBorders>
              <w:top w:val="single" w:sz="8" w:space="0" w:color="BFBFBF"/>
              <w:left w:val="nil"/>
              <w:bottom w:val="nil"/>
              <w:right w:val="nil"/>
            </w:tcBorders>
            <w:shd w:val="clear" w:color="000000" w:fill="DBE5F1"/>
            <w:noWrap/>
            <w:vAlign w:val="center"/>
            <w:hideMark/>
          </w:tcPr>
          <w:p w:rsidR="00195BE7" w:rsidRPr="001E2F6E" w:rsidRDefault="00195BE7" w:rsidP="00195BE7">
            <w:pPr>
              <w:spacing w:line="240" w:lineRule="exact"/>
              <w:jc w:val="center"/>
              <w:rPr>
                <w:b/>
                <w:sz w:val="16"/>
                <w:szCs w:val="16"/>
                <w:lang w:val="eu-ES"/>
              </w:rPr>
            </w:pPr>
            <w:r w:rsidRPr="001E2F6E">
              <w:rPr>
                <w:b/>
                <w:sz w:val="16"/>
                <w:szCs w:val="16"/>
                <w:lang w:val="eu-ES"/>
              </w:rPr>
              <w:t>2010-2012ko bilakaera</w:t>
            </w:r>
          </w:p>
        </w:tc>
      </w:tr>
      <w:tr w:rsidR="00195BE7" w:rsidRPr="001E2F6E" w:rsidTr="00195BE7">
        <w:trPr>
          <w:jc w:val="center"/>
        </w:trPr>
        <w:tc>
          <w:tcPr>
            <w:tcW w:w="6773" w:type="dxa"/>
            <w:gridSpan w:val="2"/>
            <w:tcBorders>
              <w:top w:val="nil"/>
              <w:left w:val="nil"/>
              <w:bottom w:val="nil"/>
              <w:right w:val="single" w:sz="8" w:space="0" w:color="BFBFBF"/>
            </w:tcBorders>
            <w:shd w:val="clear" w:color="auto" w:fill="auto"/>
            <w:noWrap/>
            <w:hideMark/>
          </w:tcPr>
          <w:p w:rsidR="00195BE7" w:rsidRPr="001E2F6E" w:rsidRDefault="00195BE7" w:rsidP="00195BE7">
            <w:pPr>
              <w:spacing w:line="240" w:lineRule="exact"/>
              <w:rPr>
                <w:rFonts w:eastAsia="Times New Roman"/>
                <w:b/>
                <w:bCs/>
                <w:color w:val="000000"/>
                <w:sz w:val="16"/>
                <w:szCs w:val="16"/>
                <w:lang w:eastAsia="es-ES"/>
              </w:rPr>
            </w:pPr>
            <w:r w:rsidRPr="001E2F6E">
              <w:rPr>
                <w:b/>
                <w:sz w:val="16"/>
                <w:szCs w:val="16"/>
                <w:lang w:val="eu-ES"/>
              </w:rPr>
              <w:t>DIRU-SARRERAK</w:t>
            </w:r>
          </w:p>
        </w:tc>
        <w:tc>
          <w:tcPr>
            <w:tcW w:w="1423" w:type="dxa"/>
            <w:tcBorders>
              <w:top w:val="nil"/>
              <w:left w:val="nil"/>
              <w:bottom w:val="nil"/>
              <w:right w:val="single" w:sz="8" w:space="0" w:color="BFBFBF"/>
            </w:tcBorders>
            <w:shd w:val="clear" w:color="auto" w:fill="auto"/>
            <w:noWrap/>
            <w:hideMark/>
          </w:tcPr>
          <w:p w:rsidR="00195BE7" w:rsidRPr="001E2F6E" w:rsidRDefault="00195BE7" w:rsidP="00195BE7">
            <w:pPr>
              <w:spacing w:line="240" w:lineRule="exact"/>
              <w:rPr>
                <w:rFonts w:ascii="Calibri" w:eastAsia="Times New Roman" w:hAnsi="Calibri" w:cs="Times New Roman"/>
                <w:color w:val="000000"/>
                <w:lang w:eastAsia="es-ES"/>
              </w:rPr>
            </w:pPr>
          </w:p>
        </w:tc>
        <w:tc>
          <w:tcPr>
            <w:tcW w:w="892" w:type="dxa"/>
            <w:tcBorders>
              <w:top w:val="nil"/>
              <w:left w:val="nil"/>
              <w:bottom w:val="nil"/>
              <w:right w:val="single" w:sz="8" w:space="0" w:color="BFBFBF"/>
            </w:tcBorders>
            <w:shd w:val="clear" w:color="auto" w:fill="auto"/>
            <w:noWrap/>
            <w:hideMark/>
          </w:tcPr>
          <w:p w:rsidR="00195BE7" w:rsidRPr="001E2F6E" w:rsidRDefault="00195BE7" w:rsidP="00195BE7">
            <w:pPr>
              <w:spacing w:line="240" w:lineRule="exact"/>
              <w:rPr>
                <w:rFonts w:ascii="Calibri" w:eastAsia="Times New Roman" w:hAnsi="Calibri" w:cs="Times New Roman"/>
                <w:color w:val="000000"/>
                <w:lang w:eastAsia="es-ES"/>
              </w:rPr>
            </w:pPr>
          </w:p>
        </w:tc>
        <w:tc>
          <w:tcPr>
            <w:tcW w:w="1229" w:type="dxa"/>
            <w:tcBorders>
              <w:top w:val="nil"/>
              <w:left w:val="nil"/>
              <w:bottom w:val="nil"/>
              <w:right w:val="nil"/>
            </w:tcBorders>
            <w:shd w:val="clear" w:color="auto" w:fill="auto"/>
            <w:noWrap/>
            <w:hideMark/>
          </w:tcPr>
          <w:p w:rsidR="00195BE7" w:rsidRPr="001E2F6E" w:rsidRDefault="00195BE7" w:rsidP="00195BE7">
            <w:pPr>
              <w:spacing w:line="240" w:lineRule="exact"/>
              <w:rPr>
                <w:rFonts w:ascii="Calibri" w:eastAsia="Times New Roman" w:hAnsi="Calibri" w:cs="Times New Roman"/>
                <w:color w:val="000000"/>
                <w:lang w:eastAsia="es-ES"/>
              </w:rPr>
            </w:pPr>
          </w:p>
        </w:tc>
      </w:tr>
      <w:tr w:rsidR="00195BE7" w:rsidRPr="001E2F6E" w:rsidTr="00195BE7">
        <w:trPr>
          <w:jc w:val="center"/>
        </w:trPr>
        <w:tc>
          <w:tcPr>
            <w:tcW w:w="318" w:type="dxa"/>
            <w:tcBorders>
              <w:top w:val="nil"/>
              <w:left w:val="nil"/>
              <w:bottom w:val="nil"/>
              <w:right w:val="nil"/>
            </w:tcBorders>
            <w:shd w:val="clear" w:color="auto" w:fill="auto"/>
            <w:noWrap/>
            <w:vAlign w:val="bottom"/>
            <w:hideMark/>
          </w:tcPr>
          <w:p w:rsidR="00195BE7" w:rsidRPr="001E2F6E" w:rsidRDefault="00195BE7" w:rsidP="00195BE7">
            <w:pPr>
              <w:spacing w:line="240" w:lineRule="exact"/>
              <w:rPr>
                <w:sz w:val="16"/>
                <w:szCs w:val="16"/>
                <w:lang w:val="eu-ES"/>
              </w:rPr>
            </w:pPr>
            <w:r w:rsidRPr="001E2F6E">
              <w:rPr>
                <w:snapToGrid w:val="0"/>
                <w:sz w:val="16"/>
                <w:szCs w:val="16"/>
                <w:lang w:val="eu-ES"/>
              </w:rPr>
              <w:t>70</w:t>
            </w:r>
          </w:p>
        </w:tc>
        <w:tc>
          <w:tcPr>
            <w:tcW w:w="6455" w:type="dxa"/>
            <w:tcBorders>
              <w:top w:val="nil"/>
              <w:left w:val="nil"/>
              <w:bottom w:val="nil"/>
              <w:right w:val="single" w:sz="8" w:space="0" w:color="BFBFBF"/>
            </w:tcBorders>
            <w:shd w:val="clear" w:color="auto" w:fill="auto"/>
            <w:noWrap/>
            <w:vAlign w:val="bottom"/>
            <w:hideMark/>
          </w:tcPr>
          <w:p w:rsidR="00195BE7" w:rsidRPr="001E2F6E" w:rsidRDefault="00195BE7" w:rsidP="00195BE7">
            <w:pPr>
              <w:spacing w:line="240" w:lineRule="exact"/>
              <w:rPr>
                <w:sz w:val="16"/>
                <w:szCs w:val="16"/>
                <w:lang w:val="eu-ES"/>
              </w:rPr>
            </w:pPr>
            <w:r w:rsidRPr="001E2F6E">
              <w:rPr>
                <w:snapToGrid w:val="0"/>
                <w:sz w:val="16"/>
                <w:szCs w:val="16"/>
                <w:lang w:val="eu-ES"/>
              </w:rPr>
              <w:t>Salmenta garbiak</w:t>
            </w:r>
          </w:p>
        </w:tc>
        <w:tc>
          <w:tcPr>
            <w:tcW w:w="1423" w:type="dxa"/>
            <w:tcBorders>
              <w:top w:val="nil"/>
              <w:left w:val="nil"/>
              <w:bottom w:val="nil"/>
              <w:right w:val="single" w:sz="8" w:space="0" w:color="BFBFBF"/>
            </w:tcBorders>
            <w:shd w:val="clear" w:color="auto" w:fill="auto"/>
            <w:noWrap/>
            <w:vAlign w:val="bottom"/>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8.283.006.345</w:t>
            </w:r>
          </w:p>
        </w:tc>
        <w:tc>
          <w:tcPr>
            <w:tcW w:w="892" w:type="dxa"/>
            <w:tcBorders>
              <w:top w:val="nil"/>
              <w:left w:val="nil"/>
              <w:bottom w:val="nil"/>
              <w:right w:val="single" w:sz="8" w:space="0" w:color="BFBFBF"/>
            </w:tcBorders>
            <w:shd w:val="clear" w:color="auto" w:fill="auto"/>
            <w:noWrap/>
            <w:vAlign w:val="bottom"/>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84,80%</w:t>
            </w:r>
          </w:p>
        </w:tc>
        <w:tc>
          <w:tcPr>
            <w:tcW w:w="1229" w:type="dxa"/>
            <w:tcBorders>
              <w:top w:val="nil"/>
              <w:left w:val="nil"/>
              <w:bottom w:val="nil"/>
              <w:right w:val="nil"/>
            </w:tcBorders>
            <w:shd w:val="clear" w:color="auto" w:fill="auto"/>
            <w:noWrap/>
            <w:vAlign w:val="bottom"/>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-3,3</w:t>
            </w:r>
          </w:p>
        </w:tc>
      </w:tr>
      <w:tr w:rsidR="00195BE7" w:rsidRPr="001E2F6E" w:rsidTr="00195BE7">
        <w:trPr>
          <w:jc w:val="center"/>
        </w:trPr>
        <w:tc>
          <w:tcPr>
            <w:tcW w:w="318" w:type="dxa"/>
            <w:tcBorders>
              <w:top w:val="nil"/>
              <w:left w:val="nil"/>
              <w:bottom w:val="nil"/>
              <w:right w:val="nil"/>
            </w:tcBorders>
            <w:shd w:val="clear" w:color="auto" w:fill="auto"/>
            <w:noWrap/>
            <w:vAlign w:val="center"/>
            <w:hideMark/>
          </w:tcPr>
          <w:p w:rsidR="00195BE7" w:rsidRPr="001E2F6E" w:rsidRDefault="00195BE7" w:rsidP="00195BE7">
            <w:pPr>
              <w:spacing w:line="240" w:lineRule="exact"/>
              <w:rPr>
                <w:sz w:val="16"/>
                <w:szCs w:val="16"/>
                <w:lang w:val="eu-ES"/>
              </w:rPr>
            </w:pPr>
            <w:r w:rsidRPr="001E2F6E">
              <w:rPr>
                <w:snapToGrid w:val="0"/>
                <w:sz w:val="16"/>
                <w:szCs w:val="16"/>
                <w:lang w:val="eu-ES"/>
              </w:rPr>
              <w:t>71</w:t>
            </w:r>
          </w:p>
        </w:tc>
        <w:tc>
          <w:tcPr>
            <w:tcW w:w="6455" w:type="dxa"/>
            <w:tcBorders>
              <w:top w:val="nil"/>
              <w:left w:val="nil"/>
              <w:bottom w:val="nil"/>
              <w:right w:val="single" w:sz="8" w:space="0" w:color="BFBFBF"/>
            </w:tcBorders>
            <w:shd w:val="clear" w:color="auto" w:fill="auto"/>
            <w:noWrap/>
            <w:vAlign w:val="bottom"/>
            <w:hideMark/>
          </w:tcPr>
          <w:p w:rsidR="00195BE7" w:rsidRPr="001E2F6E" w:rsidRDefault="00195BE7" w:rsidP="00195BE7">
            <w:pPr>
              <w:spacing w:line="240" w:lineRule="exact"/>
              <w:rPr>
                <w:sz w:val="16"/>
                <w:szCs w:val="16"/>
                <w:lang w:val="eu-ES"/>
              </w:rPr>
            </w:pPr>
            <w:r w:rsidRPr="001E2F6E">
              <w:rPr>
                <w:snapToGrid w:val="0"/>
                <w:sz w:val="16"/>
                <w:szCs w:val="16"/>
                <w:lang w:val="eu-ES"/>
              </w:rPr>
              <w:t xml:space="preserve">Obren eta produktu bukatuen eta fabrikazio prozesuan dauden produktuen izakinen aldaketa </w:t>
            </w:r>
          </w:p>
        </w:tc>
        <w:tc>
          <w:tcPr>
            <w:tcW w:w="1423" w:type="dxa"/>
            <w:tcBorders>
              <w:top w:val="nil"/>
              <w:left w:val="nil"/>
              <w:bottom w:val="nil"/>
              <w:right w:val="single" w:sz="8" w:space="0" w:color="BFBFBF"/>
            </w:tcBorders>
            <w:shd w:val="clear" w:color="auto" w:fill="auto"/>
            <w:noWrap/>
            <w:vAlign w:val="bottom"/>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26.610.576</w:t>
            </w:r>
          </w:p>
        </w:tc>
        <w:tc>
          <w:tcPr>
            <w:tcW w:w="892" w:type="dxa"/>
            <w:tcBorders>
              <w:top w:val="nil"/>
              <w:left w:val="nil"/>
              <w:bottom w:val="nil"/>
              <w:right w:val="single" w:sz="8" w:space="0" w:color="BFBFBF"/>
            </w:tcBorders>
            <w:shd w:val="clear" w:color="auto" w:fill="auto"/>
            <w:noWrap/>
            <w:vAlign w:val="bottom"/>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0,30%</w:t>
            </w:r>
          </w:p>
        </w:tc>
        <w:tc>
          <w:tcPr>
            <w:tcW w:w="1229" w:type="dxa"/>
            <w:tcBorders>
              <w:top w:val="nil"/>
              <w:left w:val="nil"/>
              <w:bottom w:val="nil"/>
              <w:right w:val="nil"/>
            </w:tcBorders>
            <w:shd w:val="clear" w:color="auto" w:fill="auto"/>
            <w:noWrap/>
            <w:vAlign w:val="bottom"/>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-65,7</w:t>
            </w:r>
          </w:p>
        </w:tc>
      </w:tr>
      <w:tr w:rsidR="00195BE7" w:rsidRPr="001E2F6E" w:rsidTr="00195BE7">
        <w:trPr>
          <w:jc w:val="center"/>
        </w:trPr>
        <w:tc>
          <w:tcPr>
            <w:tcW w:w="318" w:type="dxa"/>
            <w:tcBorders>
              <w:top w:val="nil"/>
              <w:left w:val="nil"/>
              <w:bottom w:val="nil"/>
              <w:right w:val="nil"/>
            </w:tcBorders>
            <w:shd w:val="clear" w:color="auto" w:fill="auto"/>
            <w:noWrap/>
            <w:vAlign w:val="bottom"/>
            <w:hideMark/>
          </w:tcPr>
          <w:p w:rsidR="00195BE7" w:rsidRPr="001E2F6E" w:rsidRDefault="00195BE7" w:rsidP="00195BE7">
            <w:pPr>
              <w:spacing w:line="240" w:lineRule="exact"/>
              <w:rPr>
                <w:sz w:val="16"/>
                <w:szCs w:val="16"/>
                <w:lang w:val="eu-ES"/>
              </w:rPr>
            </w:pPr>
            <w:r w:rsidRPr="001E2F6E">
              <w:rPr>
                <w:snapToGrid w:val="0"/>
                <w:sz w:val="16"/>
                <w:szCs w:val="16"/>
                <w:lang w:val="eu-ES"/>
              </w:rPr>
              <w:t>73</w:t>
            </w:r>
          </w:p>
        </w:tc>
        <w:tc>
          <w:tcPr>
            <w:tcW w:w="6455" w:type="dxa"/>
            <w:tcBorders>
              <w:top w:val="nil"/>
              <w:left w:val="nil"/>
              <w:bottom w:val="nil"/>
              <w:right w:val="single" w:sz="8" w:space="0" w:color="BFBFBF"/>
            </w:tcBorders>
            <w:shd w:val="clear" w:color="auto" w:fill="auto"/>
            <w:noWrap/>
            <w:vAlign w:val="bottom"/>
            <w:hideMark/>
          </w:tcPr>
          <w:p w:rsidR="00195BE7" w:rsidRPr="001E2F6E" w:rsidRDefault="00195BE7" w:rsidP="00195BE7">
            <w:pPr>
              <w:spacing w:line="240" w:lineRule="exact"/>
              <w:rPr>
                <w:sz w:val="16"/>
                <w:szCs w:val="16"/>
                <w:lang w:val="eu-ES"/>
              </w:rPr>
            </w:pPr>
            <w:r w:rsidRPr="001E2F6E">
              <w:rPr>
                <w:snapToGrid w:val="0"/>
                <w:sz w:val="16"/>
                <w:szCs w:val="16"/>
                <w:lang w:val="eu-ES"/>
              </w:rPr>
              <w:t>Enpresarentzat egindako lanak</w:t>
            </w:r>
          </w:p>
        </w:tc>
        <w:tc>
          <w:tcPr>
            <w:tcW w:w="1423" w:type="dxa"/>
            <w:tcBorders>
              <w:top w:val="nil"/>
              <w:left w:val="nil"/>
              <w:bottom w:val="nil"/>
              <w:right w:val="single" w:sz="8" w:space="0" w:color="BFBFBF"/>
            </w:tcBorders>
            <w:shd w:val="clear" w:color="auto" w:fill="auto"/>
            <w:noWrap/>
            <w:vAlign w:val="bottom"/>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24.443.882</w:t>
            </w:r>
          </w:p>
        </w:tc>
        <w:tc>
          <w:tcPr>
            <w:tcW w:w="892" w:type="dxa"/>
            <w:tcBorders>
              <w:top w:val="nil"/>
              <w:left w:val="nil"/>
              <w:bottom w:val="nil"/>
              <w:right w:val="single" w:sz="8" w:space="0" w:color="BFBFBF"/>
            </w:tcBorders>
            <w:shd w:val="clear" w:color="auto" w:fill="auto"/>
            <w:noWrap/>
            <w:vAlign w:val="bottom"/>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0,30%</w:t>
            </w:r>
          </w:p>
        </w:tc>
        <w:tc>
          <w:tcPr>
            <w:tcW w:w="1229" w:type="dxa"/>
            <w:tcBorders>
              <w:top w:val="nil"/>
              <w:left w:val="nil"/>
              <w:bottom w:val="nil"/>
              <w:right w:val="nil"/>
            </w:tcBorders>
            <w:shd w:val="clear" w:color="auto" w:fill="auto"/>
            <w:noWrap/>
            <w:vAlign w:val="bottom"/>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-18,2</w:t>
            </w:r>
          </w:p>
        </w:tc>
      </w:tr>
      <w:tr w:rsidR="00195BE7" w:rsidRPr="001E2F6E" w:rsidTr="00195BE7">
        <w:trPr>
          <w:jc w:val="center"/>
        </w:trPr>
        <w:tc>
          <w:tcPr>
            <w:tcW w:w="318" w:type="dxa"/>
            <w:tcBorders>
              <w:top w:val="nil"/>
              <w:left w:val="nil"/>
              <w:bottom w:val="nil"/>
              <w:right w:val="nil"/>
            </w:tcBorders>
            <w:shd w:val="clear" w:color="auto" w:fill="auto"/>
            <w:noWrap/>
            <w:vAlign w:val="bottom"/>
            <w:hideMark/>
          </w:tcPr>
          <w:p w:rsidR="00195BE7" w:rsidRPr="001E2F6E" w:rsidRDefault="00195BE7" w:rsidP="00195BE7">
            <w:pPr>
              <w:spacing w:line="240" w:lineRule="exact"/>
              <w:rPr>
                <w:sz w:val="16"/>
                <w:szCs w:val="16"/>
                <w:lang w:val="eu-ES"/>
              </w:rPr>
            </w:pPr>
            <w:r w:rsidRPr="001E2F6E">
              <w:rPr>
                <w:snapToGrid w:val="0"/>
                <w:sz w:val="16"/>
                <w:szCs w:val="16"/>
                <w:lang w:val="eu-ES"/>
              </w:rPr>
              <w:t>74</w:t>
            </w:r>
          </w:p>
        </w:tc>
        <w:tc>
          <w:tcPr>
            <w:tcW w:w="6455" w:type="dxa"/>
            <w:tcBorders>
              <w:top w:val="nil"/>
              <w:left w:val="nil"/>
              <w:bottom w:val="nil"/>
              <w:right w:val="single" w:sz="8" w:space="0" w:color="BFBFBF"/>
            </w:tcBorders>
            <w:shd w:val="clear" w:color="auto" w:fill="auto"/>
            <w:noWrap/>
            <w:vAlign w:val="bottom"/>
            <w:hideMark/>
          </w:tcPr>
          <w:p w:rsidR="00195BE7" w:rsidRPr="001E2F6E" w:rsidRDefault="00195BE7" w:rsidP="00195BE7">
            <w:pPr>
              <w:spacing w:line="240" w:lineRule="exact"/>
              <w:rPr>
                <w:sz w:val="16"/>
                <w:szCs w:val="16"/>
                <w:lang w:val="eu-ES"/>
              </w:rPr>
            </w:pPr>
            <w:r w:rsidRPr="001E2F6E">
              <w:rPr>
                <w:snapToGrid w:val="0"/>
                <w:sz w:val="16"/>
                <w:szCs w:val="16"/>
                <w:lang w:val="eu-ES"/>
              </w:rPr>
              <w:t>Ustiapenari ohiko diru-laguntzak</w:t>
            </w:r>
          </w:p>
        </w:tc>
        <w:tc>
          <w:tcPr>
            <w:tcW w:w="1423" w:type="dxa"/>
            <w:tcBorders>
              <w:top w:val="nil"/>
              <w:left w:val="nil"/>
              <w:bottom w:val="nil"/>
              <w:right w:val="single" w:sz="8" w:space="0" w:color="BFBFBF"/>
            </w:tcBorders>
            <w:shd w:val="clear" w:color="auto" w:fill="auto"/>
            <w:noWrap/>
            <w:vAlign w:val="bottom"/>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336.636.411</w:t>
            </w:r>
          </w:p>
        </w:tc>
        <w:tc>
          <w:tcPr>
            <w:tcW w:w="892" w:type="dxa"/>
            <w:tcBorders>
              <w:top w:val="nil"/>
              <w:left w:val="nil"/>
              <w:bottom w:val="nil"/>
              <w:right w:val="single" w:sz="8" w:space="0" w:color="BFBFBF"/>
            </w:tcBorders>
            <w:shd w:val="clear" w:color="auto" w:fill="auto"/>
            <w:noWrap/>
            <w:vAlign w:val="bottom"/>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3,40%</w:t>
            </w:r>
          </w:p>
        </w:tc>
        <w:tc>
          <w:tcPr>
            <w:tcW w:w="1229" w:type="dxa"/>
            <w:tcBorders>
              <w:top w:val="nil"/>
              <w:left w:val="nil"/>
              <w:bottom w:val="nil"/>
              <w:right w:val="nil"/>
            </w:tcBorders>
            <w:shd w:val="clear" w:color="auto" w:fill="auto"/>
            <w:noWrap/>
            <w:vAlign w:val="bottom"/>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8,6</w:t>
            </w:r>
          </w:p>
        </w:tc>
      </w:tr>
      <w:tr w:rsidR="00195BE7" w:rsidRPr="001E2F6E" w:rsidTr="00195BE7">
        <w:trPr>
          <w:jc w:val="center"/>
        </w:trPr>
        <w:tc>
          <w:tcPr>
            <w:tcW w:w="318" w:type="dxa"/>
            <w:tcBorders>
              <w:top w:val="nil"/>
              <w:left w:val="nil"/>
              <w:bottom w:val="nil"/>
              <w:right w:val="nil"/>
            </w:tcBorders>
            <w:shd w:val="clear" w:color="auto" w:fill="auto"/>
            <w:noWrap/>
            <w:vAlign w:val="bottom"/>
            <w:hideMark/>
          </w:tcPr>
          <w:p w:rsidR="00195BE7" w:rsidRPr="001E2F6E" w:rsidRDefault="00195BE7" w:rsidP="00195BE7">
            <w:pPr>
              <w:spacing w:line="240" w:lineRule="exact"/>
              <w:rPr>
                <w:sz w:val="16"/>
                <w:szCs w:val="16"/>
                <w:lang w:val="eu-ES"/>
              </w:rPr>
            </w:pPr>
            <w:r w:rsidRPr="001E2F6E">
              <w:rPr>
                <w:snapToGrid w:val="0"/>
                <w:sz w:val="16"/>
                <w:szCs w:val="16"/>
                <w:lang w:val="eu-ES"/>
              </w:rPr>
              <w:t>75</w:t>
            </w:r>
          </w:p>
        </w:tc>
        <w:tc>
          <w:tcPr>
            <w:tcW w:w="6455" w:type="dxa"/>
            <w:tcBorders>
              <w:top w:val="nil"/>
              <w:left w:val="nil"/>
              <w:bottom w:val="nil"/>
              <w:right w:val="single" w:sz="8" w:space="0" w:color="BFBFBF"/>
            </w:tcBorders>
            <w:shd w:val="clear" w:color="auto" w:fill="auto"/>
            <w:noWrap/>
            <w:vAlign w:val="bottom"/>
            <w:hideMark/>
          </w:tcPr>
          <w:p w:rsidR="00195BE7" w:rsidRPr="001E2F6E" w:rsidRDefault="00195BE7" w:rsidP="00195BE7">
            <w:pPr>
              <w:spacing w:line="240" w:lineRule="exact"/>
              <w:rPr>
                <w:sz w:val="16"/>
                <w:szCs w:val="16"/>
                <w:lang w:val="eu-ES"/>
              </w:rPr>
            </w:pPr>
            <w:r w:rsidRPr="001E2F6E">
              <w:rPr>
                <w:snapToGrid w:val="0"/>
                <w:sz w:val="16"/>
                <w:szCs w:val="16"/>
                <w:lang w:val="eu-ES"/>
              </w:rPr>
              <w:t>Bestelako Diru-sarrera osagarriak</w:t>
            </w:r>
          </w:p>
        </w:tc>
        <w:tc>
          <w:tcPr>
            <w:tcW w:w="1423" w:type="dxa"/>
            <w:tcBorders>
              <w:top w:val="nil"/>
              <w:left w:val="nil"/>
              <w:bottom w:val="nil"/>
              <w:right w:val="single" w:sz="8" w:space="0" w:color="BFBFBF"/>
            </w:tcBorders>
            <w:shd w:val="clear" w:color="auto" w:fill="auto"/>
            <w:noWrap/>
            <w:vAlign w:val="bottom"/>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697.599.080</w:t>
            </w:r>
          </w:p>
        </w:tc>
        <w:tc>
          <w:tcPr>
            <w:tcW w:w="892" w:type="dxa"/>
            <w:tcBorders>
              <w:top w:val="nil"/>
              <w:left w:val="nil"/>
              <w:bottom w:val="nil"/>
              <w:right w:val="single" w:sz="8" w:space="0" w:color="BFBFBF"/>
            </w:tcBorders>
            <w:shd w:val="clear" w:color="auto" w:fill="auto"/>
            <w:noWrap/>
            <w:vAlign w:val="bottom"/>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7,10%</w:t>
            </w:r>
          </w:p>
        </w:tc>
        <w:tc>
          <w:tcPr>
            <w:tcW w:w="1229" w:type="dxa"/>
            <w:tcBorders>
              <w:top w:val="nil"/>
              <w:left w:val="nil"/>
              <w:bottom w:val="nil"/>
              <w:right w:val="nil"/>
            </w:tcBorders>
            <w:shd w:val="clear" w:color="auto" w:fill="auto"/>
            <w:noWrap/>
            <w:vAlign w:val="bottom"/>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82,2</w:t>
            </w:r>
          </w:p>
        </w:tc>
      </w:tr>
      <w:tr w:rsidR="00195BE7" w:rsidRPr="001E2F6E" w:rsidTr="00195BE7">
        <w:trPr>
          <w:jc w:val="center"/>
        </w:trPr>
        <w:tc>
          <w:tcPr>
            <w:tcW w:w="318" w:type="dxa"/>
            <w:tcBorders>
              <w:top w:val="nil"/>
              <w:left w:val="nil"/>
              <w:bottom w:val="nil"/>
              <w:right w:val="nil"/>
            </w:tcBorders>
            <w:shd w:val="clear" w:color="auto" w:fill="auto"/>
            <w:noWrap/>
            <w:vAlign w:val="bottom"/>
            <w:hideMark/>
          </w:tcPr>
          <w:p w:rsidR="00195BE7" w:rsidRPr="001E2F6E" w:rsidRDefault="00195BE7" w:rsidP="00195BE7">
            <w:pPr>
              <w:spacing w:line="240" w:lineRule="exact"/>
              <w:rPr>
                <w:sz w:val="16"/>
                <w:szCs w:val="16"/>
                <w:lang w:val="eu-ES"/>
              </w:rPr>
            </w:pPr>
            <w:r w:rsidRPr="001E2F6E">
              <w:rPr>
                <w:snapToGrid w:val="0"/>
                <w:sz w:val="16"/>
                <w:szCs w:val="16"/>
                <w:lang w:val="eu-ES"/>
              </w:rPr>
              <w:t>76</w:t>
            </w:r>
          </w:p>
        </w:tc>
        <w:tc>
          <w:tcPr>
            <w:tcW w:w="6455" w:type="dxa"/>
            <w:tcBorders>
              <w:top w:val="nil"/>
              <w:left w:val="nil"/>
              <w:bottom w:val="nil"/>
              <w:right w:val="single" w:sz="8" w:space="0" w:color="BFBFBF"/>
            </w:tcBorders>
            <w:shd w:val="clear" w:color="auto" w:fill="auto"/>
            <w:noWrap/>
            <w:vAlign w:val="bottom"/>
            <w:hideMark/>
          </w:tcPr>
          <w:p w:rsidR="00195BE7" w:rsidRPr="001E2F6E" w:rsidRDefault="00195BE7" w:rsidP="00195BE7">
            <w:pPr>
              <w:spacing w:line="240" w:lineRule="exact"/>
              <w:rPr>
                <w:sz w:val="16"/>
                <w:szCs w:val="16"/>
                <w:lang w:val="eu-ES"/>
              </w:rPr>
            </w:pPr>
            <w:r w:rsidRPr="001E2F6E">
              <w:rPr>
                <w:snapToGrid w:val="0"/>
                <w:sz w:val="16"/>
                <w:szCs w:val="16"/>
                <w:lang w:val="eu-ES"/>
              </w:rPr>
              <w:t>Finantza-sarrerak</w:t>
            </w:r>
          </w:p>
        </w:tc>
        <w:tc>
          <w:tcPr>
            <w:tcW w:w="1423" w:type="dxa"/>
            <w:tcBorders>
              <w:top w:val="nil"/>
              <w:left w:val="nil"/>
              <w:bottom w:val="nil"/>
              <w:right w:val="single" w:sz="8" w:space="0" w:color="BFBFBF"/>
            </w:tcBorders>
            <w:shd w:val="clear" w:color="auto" w:fill="auto"/>
            <w:noWrap/>
            <w:vAlign w:val="bottom"/>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178.032.211</w:t>
            </w:r>
          </w:p>
        </w:tc>
        <w:tc>
          <w:tcPr>
            <w:tcW w:w="892" w:type="dxa"/>
            <w:tcBorders>
              <w:top w:val="nil"/>
              <w:left w:val="nil"/>
              <w:bottom w:val="nil"/>
              <w:right w:val="single" w:sz="8" w:space="0" w:color="BFBFBF"/>
            </w:tcBorders>
            <w:shd w:val="clear" w:color="auto" w:fill="auto"/>
            <w:noWrap/>
            <w:vAlign w:val="bottom"/>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1,80%</w:t>
            </w:r>
          </w:p>
        </w:tc>
        <w:tc>
          <w:tcPr>
            <w:tcW w:w="1229" w:type="dxa"/>
            <w:tcBorders>
              <w:top w:val="nil"/>
              <w:left w:val="nil"/>
              <w:bottom w:val="nil"/>
              <w:right w:val="nil"/>
            </w:tcBorders>
            <w:shd w:val="clear" w:color="auto" w:fill="auto"/>
            <w:noWrap/>
            <w:vAlign w:val="bottom"/>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22,3</w:t>
            </w:r>
          </w:p>
        </w:tc>
      </w:tr>
      <w:tr w:rsidR="00195BE7" w:rsidRPr="001E2F6E" w:rsidTr="00195BE7">
        <w:trPr>
          <w:jc w:val="center"/>
        </w:trPr>
        <w:tc>
          <w:tcPr>
            <w:tcW w:w="318" w:type="dxa"/>
            <w:tcBorders>
              <w:top w:val="nil"/>
              <w:left w:val="nil"/>
              <w:bottom w:val="nil"/>
              <w:right w:val="nil"/>
            </w:tcBorders>
            <w:shd w:val="clear" w:color="auto" w:fill="auto"/>
            <w:noWrap/>
            <w:vAlign w:val="bottom"/>
            <w:hideMark/>
          </w:tcPr>
          <w:p w:rsidR="00195BE7" w:rsidRPr="001E2F6E" w:rsidRDefault="00195BE7" w:rsidP="00195BE7">
            <w:pPr>
              <w:spacing w:line="240" w:lineRule="exact"/>
              <w:rPr>
                <w:sz w:val="16"/>
                <w:szCs w:val="16"/>
                <w:lang w:val="eu-ES"/>
              </w:rPr>
            </w:pPr>
            <w:r w:rsidRPr="001E2F6E">
              <w:rPr>
                <w:snapToGrid w:val="0"/>
                <w:sz w:val="16"/>
                <w:szCs w:val="16"/>
                <w:lang w:val="eu-ES"/>
              </w:rPr>
              <w:t>77</w:t>
            </w:r>
          </w:p>
        </w:tc>
        <w:tc>
          <w:tcPr>
            <w:tcW w:w="6455" w:type="dxa"/>
            <w:tcBorders>
              <w:top w:val="nil"/>
              <w:left w:val="nil"/>
              <w:bottom w:val="nil"/>
              <w:right w:val="single" w:sz="8" w:space="0" w:color="BFBFBF"/>
            </w:tcBorders>
            <w:shd w:val="clear" w:color="auto" w:fill="auto"/>
            <w:noWrap/>
            <w:vAlign w:val="bottom"/>
            <w:hideMark/>
          </w:tcPr>
          <w:p w:rsidR="00195BE7" w:rsidRPr="001E2F6E" w:rsidRDefault="00195BE7" w:rsidP="00195BE7">
            <w:pPr>
              <w:spacing w:line="240" w:lineRule="exact"/>
              <w:rPr>
                <w:sz w:val="16"/>
                <w:szCs w:val="16"/>
                <w:lang w:val="eu-ES"/>
              </w:rPr>
            </w:pPr>
            <w:r w:rsidRPr="001E2F6E">
              <w:rPr>
                <w:snapToGrid w:val="0"/>
                <w:sz w:val="16"/>
                <w:szCs w:val="16"/>
                <w:lang w:val="eu-ES"/>
              </w:rPr>
              <w:t>Ibilgetutik eratorritako etekinak eta ez ohiko sarrerak</w:t>
            </w:r>
          </w:p>
        </w:tc>
        <w:tc>
          <w:tcPr>
            <w:tcW w:w="1423" w:type="dxa"/>
            <w:tcBorders>
              <w:top w:val="nil"/>
              <w:left w:val="nil"/>
              <w:bottom w:val="nil"/>
              <w:right w:val="single" w:sz="8" w:space="0" w:color="BFBFBF"/>
            </w:tcBorders>
            <w:shd w:val="clear" w:color="auto" w:fill="auto"/>
            <w:noWrap/>
            <w:vAlign w:val="bottom"/>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94.533.753</w:t>
            </w:r>
          </w:p>
        </w:tc>
        <w:tc>
          <w:tcPr>
            <w:tcW w:w="892" w:type="dxa"/>
            <w:tcBorders>
              <w:top w:val="nil"/>
              <w:left w:val="nil"/>
              <w:bottom w:val="nil"/>
              <w:right w:val="single" w:sz="8" w:space="0" w:color="BFBFBF"/>
            </w:tcBorders>
            <w:shd w:val="clear" w:color="auto" w:fill="auto"/>
            <w:noWrap/>
            <w:vAlign w:val="bottom"/>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1,00%</w:t>
            </w:r>
          </w:p>
        </w:tc>
        <w:tc>
          <w:tcPr>
            <w:tcW w:w="1229" w:type="dxa"/>
            <w:tcBorders>
              <w:top w:val="nil"/>
              <w:left w:val="nil"/>
              <w:bottom w:val="nil"/>
              <w:right w:val="nil"/>
            </w:tcBorders>
            <w:shd w:val="clear" w:color="auto" w:fill="auto"/>
            <w:noWrap/>
            <w:vAlign w:val="bottom"/>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-34,8</w:t>
            </w:r>
          </w:p>
        </w:tc>
      </w:tr>
      <w:tr w:rsidR="00195BE7" w:rsidRPr="001E2F6E" w:rsidTr="00195BE7">
        <w:trPr>
          <w:jc w:val="center"/>
        </w:trPr>
        <w:tc>
          <w:tcPr>
            <w:tcW w:w="318" w:type="dxa"/>
            <w:tcBorders>
              <w:top w:val="nil"/>
              <w:left w:val="nil"/>
              <w:bottom w:val="single" w:sz="8" w:space="0" w:color="BFBFBF"/>
              <w:right w:val="nil"/>
            </w:tcBorders>
            <w:shd w:val="clear" w:color="auto" w:fill="auto"/>
            <w:noWrap/>
            <w:vAlign w:val="bottom"/>
            <w:hideMark/>
          </w:tcPr>
          <w:p w:rsidR="00195BE7" w:rsidRPr="001E2F6E" w:rsidRDefault="00195BE7" w:rsidP="00195BE7">
            <w:pPr>
              <w:spacing w:line="240" w:lineRule="exact"/>
              <w:rPr>
                <w:sz w:val="16"/>
                <w:szCs w:val="16"/>
                <w:lang w:val="eu-ES"/>
              </w:rPr>
            </w:pPr>
            <w:r w:rsidRPr="001E2F6E">
              <w:rPr>
                <w:snapToGrid w:val="0"/>
                <w:sz w:val="16"/>
                <w:szCs w:val="16"/>
                <w:lang w:val="eu-ES"/>
              </w:rPr>
              <w:t>79</w:t>
            </w:r>
          </w:p>
        </w:tc>
        <w:tc>
          <w:tcPr>
            <w:tcW w:w="6455" w:type="dxa"/>
            <w:tcBorders>
              <w:top w:val="nil"/>
              <w:left w:val="nil"/>
              <w:bottom w:val="single" w:sz="8" w:space="0" w:color="BFBFBF"/>
              <w:right w:val="single" w:sz="8" w:space="0" w:color="BFBFBF"/>
            </w:tcBorders>
            <w:shd w:val="clear" w:color="auto" w:fill="auto"/>
            <w:noWrap/>
            <w:vAlign w:val="bottom"/>
            <w:hideMark/>
          </w:tcPr>
          <w:p w:rsidR="00195BE7" w:rsidRPr="001E2F6E" w:rsidRDefault="00195BE7" w:rsidP="00195BE7">
            <w:pPr>
              <w:spacing w:line="240" w:lineRule="exact"/>
              <w:rPr>
                <w:sz w:val="16"/>
                <w:szCs w:val="16"/>
                <w:lang w:val="eu-ES"/>
              </w:rPr>
            </w:pPr>
            <w:r w:rsidRPr="001E2F6E">
              <w:rPr>
                <w:snapToGrid w:val="0"/>
                <w:sz w:val="16"/>
                <w:szCs w:val="16"/>
                <w:lang w:val="eu-ES"/>
              </w:rPr>
              <w:t>Gehiegizko hornidurak eta aplikazioak</w:t>
            </w:r>
          </w:p>
        </w:tc>
        <w:tc>
          <w:tcPr>
            <w:tcW w:w="1423" w:type="dxa"/>
            <w:tcBorders>
              <w:top w:val="nil"/>
              <w:left w:val="nil"/>
              <w:bottom w:val="single" w:sz="8" w:space="0" w:color="BFBFBF"/>
              <w:right w:val="single" w:sz="8" w:space="0" w:color="BFBFBF"/>
            </w:tcBorders>
            <w:shd w:val="clear" w:color="auto" w:fill="auto"/>
            <w:noWrap/>
            <w:vAlign w:val="bottom"/>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125.833.098</w:t>
            </w:r>
          </w:p>
        </w:tc>
        <w:tc>
          <w:tcPr>
            <w:tcW w:w="892" w:type="dxa"/>
            <w:tcBorders>
              <w:top w:val="nil"/>
              <w:left w:val="nil"/>
              <w:bottom w:val="single" w:sz="8" w:space="0" w:color="BFBFBF"/>
              <w:right w:val="single" w:sz="8" w:space="0" w:color="BFBFBF"/>
            </w:tcBorders>
            <w:shd w:val="clear" w:color="auto" w:fill="auto"/>
            <w:noWrap/>
            <w:vAlign w:val="bottom"/>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1,30%</w:t>
            </w:r>
          </w:p>
        </w:tc>
        <w:tc>
          <w:tcPr>
            <w:tcW w:w="1229" w:type="dxa"/>
            <w:tcBorders>
              <w:top w:val="nil"/>
              <w:left w:val="nil"/>
              <w:bottom w:val="single" w:sz="8" w:space="0" w:color="BFBFBF"/>
              <w:right w:val="nil"/>
            </w:tcBorders>
            <w:shd w:val="clear" w:color="auto" w:fill="auto"/>
            <w:noWrap/>
            <w:vAlign w:val="bottom"/>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114,2</w:t>
            </w:r>
          </w:p>
        </w:tc>
      </w:tr>
      <w:tr w:rsidR="00195BE7" w:rsidRPr="001E2F6E" w:rsidTr="00195BE7">
        <w:trPr>
          <w:jc w:val="center"/>
        </w:trPr>
        <w:tc>
          <w:tcPr>
            <w:tcW w:w="0" w:type="auto"/>
            <w:tcBorders>
              <w:top w:val="nil"/>
              <w:left w:val="nil"/>
              <w:bottom w:val="single" w:sz="8" w:space="0" w:color="BFBFBF"/>
              <w:right w:val="nil"/>
            </w:tcBorders>
            <w:shd w:val="clear" w:color="auto" w:fill="auto"/>
            <w:noWrap/>
            <w:hideMark/>
          </w:tcPr>
          <w:p w:rsidR="00195BE7" w:rsidRPr="001E2F6E" w:rsidRDefault="00195BE7" w:rsidP="00195BE7">
            <w:pPr>
              <w:spacing w:line="240" w:lineRule="exact"/>
              <w:rPr>
                <w:rFonts w:eastAsia="Times New Roman"/>
                <w:color w:val="000000"/>
                <w:sz w:val="16"/>
                <w:szCs w:val="16"/>
                <w:lang w:eastAsia="es-ES"/>
              </w:rPr>
            </w:pPr>
            <w:r w:rsidRPr="001E2F6E">
              <w:rPr>
                <w:rFonts w:eastAsia="Times New Roman"/>
                <w:color w:val="000000"/>
                <w:sz w:val="16"/>
                <w:szCs w:val="16"/>
                <w:lang w:eastAsia="es-ES"/>
              </w:rPr>
              <w:t> </w:t>
            </w:r>
          </w:p>
        </w:tc>
        <w:tc>
          <w:tcPr>
            <w:tcW w:w="6455" w:type="dxa"/>
            <w:tcBorders>
              <w:top w:val="nil"/>
              <w:left w:val="nil"/>
              <w:bottom w:val="single" w:sz="8" w:space="0" w:color="BFBFBF"/>
              <w:right w:val="single" w:sz="8" w:space="0" w:color="BFBFBF"/>
            </w:tcBorders>
            <w:shd w:val="clear" w:color="auto" w:fill="auto"/>
            <w:noWrap/>
            <w:hideMark/>
          </w:tcPr>
          <w:p w:rsidR="00195BE7" w:rsidRPr="001E2F6E" w:rsidRDefault="00195BE7" w:rsidP="00195BE7">
            <w:pPr>
              <w:spacing w:line="240" w:lineRule="exact"/>
              <w:rPr>
                <w:rFonts w:eastAsia="Times New Roman"/>
                <w:b/>
                <w:bCs/>
                <w:color w:val="000000"/>
                <w:sz w:val="16"/>
                <w:szCs w:val="16"/>
                <w:lang w:eastAsia="es-ES"/>
              </w:rPr>
            </w:pPr>
            <w:r w:rsidRPr="001E2F6E">
              <w:rPr>
                <w:b/>
                <w:sz w:val="16"/>
                <w:szCs w:val="16"/>
                <w:lang w:val="eu-ES"/>
              </w:rPr>
              <w:t>SARRERAK GUZTIRA</w:t>
            </w:r>
          </w:p>
        </w:tc>
        <w:tc>
          <w:tcPr>
            <w:tcW w:w="1423" w:type="dxa"/>
            <w:tcBorders>
              <w:top w:val="nil"/>
              <w:left w:val="nil"/>
              <w:bottom w:val="single" w:sz="8" w:space="0" w:color="BFBFBF"/>
              <w:right w:val="single" w:sz="8" w:space="0" w:color="BFBFBF"/>
            </w:tcBorders>
            <w:shd w:val="clear" w:color="auto" w:fill="auto"/>
            <w:noWrap/>
            <w:vAlign w:val="bottom"/>
            <w:hideMark/>
          </w:tcPr>
          <w:p w:rsidR="00195BE7" w:rsidRPr="001E2F6E" w:rsidRDefault="00195BE7" w:rsidP="00195BE7">
            <w:pPr>
              <w:spacing w:line="240" w:lineRule="exact"/>
              <w:ind w:right="170"/>
              <w:jc w:val="right"/>
              <w:rPr>
                <w:b/>
                <w:bCs/>
                <w:color w:val="000000"/>
                <w:sz w:val="16"/>
                <w:szCs w:val="16"/>
              </w:rPr>
            </w:pPr>
            <w:r w:rsidRPr="001E2F6E">
              <w:rPr>
                <w:b/>
                <w:bCs/>
                <w:color w:val="000000"/>
                <w:sz w:val="16"/>
                <w:szCs w:val="16"/>
              </w:rPr>
              <w:t>9.766.695.356</w:t>
            </w:r>
          </w:p>
        </w:tc>
        <w:tc>
          <w:tcPr>
            <w:tcW w:w="892" w:type="dxa"/>
            <w:tcBorders>
              <w:top w:val="nil"/>
              <w:left w:val="nil"/>
              <w:bottom w:val="single" w:sz="8" w:space="0" w:color="BFBFBF"/>
              <w:right w:val="single" w:sz="8" w:space="0" w:color="BFBFBF"/>
            </w:tcBorders>
            <w:shd w:val="clear" w:color="auto" w:fill="auto"/>
            <w:noWrap/>
            <w:vAlign w:val="bottom"/>
            <w:hideMark/>
          </w:tcPr>
          <w:p w:rsidR="00195BE7" w:rsidRPr="001E2F6E" w:rsidRDefault="00195BE7" w:rsidP="00195BE7">
            <w:pPr>
              <w:spacing w:line="240" w:lineRule="exact"/>
              <w:ind w:right="170"/>
              <w:jc w:val="right"/>
              <w:rPr>
                <w:b/>
                <w:bCs/>
                <w:color w:val="000000"/>
                <w:sz w:val="16"/>
                <w:szCs w:val="16"/>
              </w:rPr>
            </w:pPr>
            <w:r w:rsidRPr="001E2F6E">
              <w:rPr>
                <w:b/>
                <w:bCs/>
                <w:color w:val="000000"/>
                <w:sz w:val="16"/>
                <w:szCs w:val="16"/>
              </w:rPr>
              <w:t>100</w:t>
            </w:r>
          </w:p>
        </w:tc>
        <w:tc>
          <w:tcPr>
            <w:tcW w:w="1229" w:type="dxa"/>
            <w:tcBorders>
              <w:top w:val="nil"/>
              <w:left w:val="nil"/>
              <w:bottom w:val="single" w:sz="8" w:space="0" w:color="BFBFBF"/>
              <w:right w:val="nil"/>
            </w:tcBorders>
            <w:shd w:val="clear" w:color="auto" w:fill="auto"/>
            <w:noWrap/>
            <w:vAlign w:val="bottom"/>
            <w:hideMark/>
          </w:tcPr>
          <w:p w:rsidR="00195BE7" w:rsidRPr="001E2F6E" w:rsidRDefault="00195BE7" w:rsidP="00195BE7">
            <w:pPr>
              <w:spacing w:line="240" w:lineRule="exact"/>
              <w:ind w:right="170"/>
              <w:jc w:val="right"/>
              <w:rPr>
                <w:b/>
                <w:bCs/>
                <w:color w:val="000000"/>
                <w:sz w:val="16"/>
                <w:szCs w:val="16"/>
              </w:rPr>
            </w:pPr>
            <w:r w:rsidRPr="001E2F6E">
              <w:rPr>
                <w:b/>
                <w:bCs/>
                <w:color w:val="000000"/>
                <w:sz w:val="16"/>
                <w:szCs w:val="16"/>
              </w:rPr>
              <w:t>0,55</w:t>
            </w:r>
          </w:p>
        </w:tc>
      </w:tr>
      <w:tr w:rsidR="00195BE7" w:rsidRPr="001E2F6E" w:rsidTr="00195BE7">
        <w:trPr>
          <w:jc w:val="center"/>
        </w:trPr>
        <w:tc>
          <w:tcPr>
            <w:tcW w:w="6773" w:type="dxa"/>
            <w:gridSpan w:val="2"/>
            <w:tcBorders>
              <w:top w:val="single" w:sz="8" w:space="0" w:color="BFBFBF"/>
              <w:left w:val="nil"/>
              <w:bottom w:val="nil"/>
              <w:right w:val="single" w:sz="8" w:space="0" w:color="BFBFBF"/>
            </w:tcBorders>
            <w:shd w:val="clear" w:color="auto" w:fill="auto"/>
            <w:noWrap/>
            <w:hideMark/>
          </w:tcPr>
          <w:p w:rsidR="00195BE7" w:rsidRPr="001E2F6E" w:rsidRDefault="00195BE7" w:rsidP="00195BE7">
            <w:pPr>
              <w:spacing w:line="240" w:lineRule="exact"/>
              <w:rPr>
                <w:rFonts w:eastAsia="Times New Roman"/>
                <w:b/>
                <w:bCs/>
                <w:color w:val="000000"/>
                <w:sz w:val="16"/>
                <w:szCs w:val="16"/>
                <w:lang w:eastAsia="es-ES"/>
              </w:rPr>
            </w:pPr>
            <w:r w:rsidRPr="001E2F6E">
              <w:rPr>
                <w:rFonts w:eastAsia="Times New Roman"/>
                <w:b/>
                <w:bCs/>
                <w:color w:val="000000"/>
                <w:sz w:val="16"/>
                <w:szCs w:val="16"/>
                <w:lang w:eastAsia="es-ES"/>
              </w:rPr>
              <w:t>GASTUAK</w:t>
            </w:r>
          </w:p>
        </w:tc>
        <w:tc>
          <w:tcPr>
            <w:tcW w:w="1423" w:type="dxa"/>
            <w:tcBorders>
              <w:top w:val="nil"/>
              <w:left w:val="nil"/>
              <w:bottom w:val="nil"/>
              <w:right w:val="single" w:sz="8" w:space="0" w:color="BFBFBF"/>
            </w:tcBorders>
            <w:shd w:val="clear" w:color="auto" w:fill="auto"/>
            <w:noWrap/>
            <w:hideMark/>
          </w:tcPr>
          <w:p w:rsidR="00195BE7" w:rsidRPr="001E2F6E" w:rsidRDefault="00195BE7" w:rsidP="00195BE7">
            <w:pPr>
              <w:spacing w:line="240" w:lineRule="exact"/>
              <w:ind w:right="170"/>
              <w:rPr>
                <w:rFonts w:ascii="Calibri" w:eastAsia="Times New Roman" w:hAnsi="Calibri" w:cs="Times New Roman"/>
                <w:color w:val="000000"/>
                <w:lang w:eastAsia="es-ES"/>
              </w:rPr>
            </w:pPr>
          </w:p>
        </w:tc>
        <w:tc>
          <w:tcPr>
            <w:tcW w:w="892" w:type="dxa"/>
            <w:tcBorders>
              <w:top w:val="nil"/>
              <w:left w:val="nil"/>
              <w:bottom w:val="nil"/>
              <w:right w:val="single" w:sz="8" w:space="0" w:color="BFBFBF"/>
            </w:tcBorders>
            <w:shd w:val="clear" w:color="auto" w:fill="auto"/>
            <w:noWrap/>
            <w:vAlign w:val="bottom"/>
            <w:hideMark/>
          </w:tcPr>
          <w:p w:rsidR="00195BE7" w:rsidRPr="001E2F6E" w:rsidRDefault="00195BE7" w:rsidP="00195BE7">
            <w:pPr>
              <w:spacing w:line="240" w:lineRule="exact"/>
              <w:ind w:right="170"/>
              <w:jc w:val="right"/>
              <w:rPr>
                <w:rFonts w:ascii="Calibri" w:hAnsi="Calibri"/>
                <w:color w:val="000000"/>
                <w:sz w:val="22"/>
              </w:rPr>
            </w:pPr>
            <w:r w:rsidRPr="001E2F6E">
              <w:rPr>
                <w:rFonts w:ascii="Calibri" w:hAnsi="Calibri"/>
                <w:color w:val="000000"/>
                <w:sz w:val="22"/>
              </w:rPr>
              <w:t> </w:t>
            </w:r>
          </w:p>
        </w:tc>
        <w:tc>
          <w:tcPr>
            <w:tcW w:w="1229" w:type="dxa"/>
            <w:tcBorders>
              <w:top w:val="nil"/>
              <w:left w:val="nil"/>
              <w:bottom w:val="nil"/>
              <w:right w:val="nil"/>
            </w:tcBorders>
            <w:shd w:val="clear" w:color="auto" w:fill="auto"/>
            <w:noWrap/>
            <w:vAlign w:val="bottom"/>
            <w:hideMark/>
          </w:tcPr>
          <w:p w:rsidR="00195BE7" w:rsidRPr="001E2F6E" w:rsidRDefault="00195BE7" w:rsidP="00195BE7">
            <w:pPr>
              <w:spacing w:line="240" w:lineRule="exact"/>
              <w:ind w:right="170"/>
              <w:jc w:val="right"/>
              <w:rPr>
                <w:rFonts w:ascii="Calibri" w:hAnsi="Calibri"/>
                <w:color w:val="000000"/>
                <w:sz w:val="22"/>
              </w:rPr>
            </w:pPr>
            <w:r w:rsidRPr="001E2F6E">
              <w:rPr>
                <w:rFonts w:ascii="Calibri" w:hAnsi="Calibri"/>
                <w:color w:val="000000"/>
                <w:sz w:val="22"/>
              </w:rPr>
              <w:t> </w:t>
            </w:r>
          </w:p>
        </w:tc>
      </w:tr>
      <w:tr w:rsidR="00195BE7" w:rsidRPr="001E2F6E" w:rsidTr="00195BE7">
        <w:trPr>
          <w:jc w:val="center"/>
        </w:trPr>
        <w:tc>
          <w:tcPr>
            <w:tcW w:w="0" w:type="auto"/>
            <w:tcBorders>
              <w:top w:val="nil"/>
              <w:left w:val="nil"/>
              <w:bottom w:val="nil"/>
              <w:right w:val="nil"/>
            </w:tcBorders>
            <w:shd w:val="clear" w:color="auto" w:fill="auto"/>
            <w:noWrap/>
            <w:vAlign w:val="bottom"/>
            <w:hideMark/>
          </w:tcPr>
          <w:p w:rsidR="00195BE7" w:rsidRPr="001E2F6E" w:rsidRDefault="00195BE7" w:rsidP="00195BE7">
            <w:pPr>
              <w:spacing w:line="240" w:lineRule="exact"/>
              <w:rPr>
                <w:sz w:val="16"/>
                <w:szCs w:val="16"/>
                <w:lang w:val="eu-ES"/>
              </w:rPr>
            </w:pPr>
            <w:r w:rsidRPr="001E2F6E">
              <w:rPr>
                <w:snapToGrid w:val="0"/>
                <w:sz w:val="16"/>
                <w:szCs w:val="16"/>
                <w:lang w:val="eu-ES"/>
              </w:rPr>
              <w:t>60</w:t>
            </w:r>
          </w:p>
        </w:tc>
        <w:tc>
          <w:tcPr>
            <w:tcW w:w="6455" w:type="dxa"/>
            <w:tcBorders>
              <w:top w:val="nil"/>
              <w:left w:val="nil"/>
              <w:bottom w:val="nil"/>
              <w:right w:val="single" w:sz="8" w:space="0" w:color="BFBFBF"/>
            </w:tcBorders>
            <w:shd w:val="clear" w:color="auto" w:fill="auto"/>
            <w:noWrap/>
            <w:vAlign w:val="bottom"/>
            <w:hideMark/>
          </w:tcPr>
          <w:p w:rsidR="00195BE7" w:rsidRPr="001E2F6E" w:rsidRDefault="00195BE7" w:rsidP="00195BE7">
            <w:pPr>
              <w:spacing w:line="240" w:lineRule="exact"/>
              <w:rPr>
                <w:sz w:val="16"/>
                <w:szCs w:val="16"/>
                <w:lang w:val="eu-ES"/>
              </w:rPr>
            </w:pPr>
            <w:r w:rsidRPr="001E2F6E">
              <w:rPr>
                <w:snapToGrid w:val="0"/>
                <w:sz w:val="16"/>
                <w:szCs w:val="16"/>
                <w:lang w:val="eu-ES"/>
              </w:rPr>
              <w:t>Erosketa garbiak</w:t>
            </w:r>
          </w:p>
        </w:tc>
        <w:tc>
          <w:tcPr>
            <w:tcW w:w="1423" w:type="dxa"/>
            <w:tcBorders>
              <w:top w:val="nil"/>
              <w:left w:val="nil"/>
              <w:bottom w:val="nil"/>
              <w:right w:val="single" w:sz="8" w:space="0" w:color="BFBFBF"/>
            </w:tcBorders>
            <w:shd w:val="clear" w:color="auto" w:fill="auto"/>
            <w:noWrap/>
            <w:vAlign w:val="bottom"/>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4.825.458.075</w:t>
            </w:r>
          </w:p>
        </w:tc>
        <w:tc>
          <w:tcPr>
            <w:tcW w:w="892" w:type="dxa"/>
            <w:tcBorders>
              <w:top w:val="nil"/>
              <w:left w:val="nil"/>
              <w:bottom w:val="nil"/>
              <w:right w:val="single" w:sz="8" w:space="0" w:color="BFBFBF"/>
            </w:tcBorders>
            <w:shd w:val="clear" w:color="auto" w:fill="auto"/>
            <w:noWrap/>
            <w:vAlign w:val="bottom"/>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49,81%</w:t>
            </w:r>
          </w:p>
        </w:tc>
        <w:tc>
          <w:tcPr>
            <w:tcW w:w="1229" w:type="dxa"/>
            <w:tcBorders>
              <w:top w:val="nil"/>
              <w:left w:val="nil"/>
              <w:bottom w:val="nil"/>
              <w:right w:val="nil"/>
            </w:tcBorders>
            <w:shd w:val="clear" w:color="auto" w:fill="auto"/>
            <w:noWrap/>
            <w:vAlign w:val="bottom"/>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-4,4</w:t>
            </w:r>
          </w:p>
        </w:tc>
      </w:tr>
      <w:tr w:rsidR="00195BE7" w:rsidRPr="001E2F6E" w:rsidTr="00195BE7">
        <w:trPr>
          <w:jc w:val="center"/>
        </w:trPr>
        <w:tc>
          <w:tcPr>
            <w:tcW w:w="0" w:type="auto"/>
            <w:tcBorders>
              <w:top w:val="nil"/>
              <w:left w:val="nil"/>
              <w:bottom w:val="nil"/>
              <w:right w:val="nil"/>
            </w:tcBorders>
            <w:shd w:val="clear" w:color="auto" w:fill="auto"/>
            <w:noWrap/>
            <w:vAlign w:val="bottom"/>
            <w:hideMark/>
          </w:tcPr>
          <w:p w:rsidR="00195BE7" w:rsidRPr="001E2F6E" w:rsidRDefault="00195BE7" w:rsidP="00195BE7">
            <w:pPr>
              <w:spacing w:line="240" w:lineRule="exact"/>
              <w:rPr>
                <w:sz w:val="16"/>
                <w:szCs w:val="16"/>
                <w:lang w:val="eu-ES"/>
              </w:rPr>
            </w:pPr>
            <w:r w:rsidRPr="001E2F6E">
              <w:rPr>
                <w:snapToGrid w:val="0"/>
                <w:sz w:val="16"/>
                <w:szCs w:val="16"/>
                <w:lang w:val="eu-ES"/>
              </w:rPr>
              <w:t>61</w:t>
            </w:r>
          </w:p>
        </w:tc>
        <w:tc>
          <w:tcPr>
            <w:tcW w:w="6455" w:type="dxa"/>
            <w:tcBorders>
              <w:top w:val="nil"/>
              <w:left w:val="nil"/>
              <w:bottom w:val="nil"/>
              <w:right w:val="single" w:sz="8" w:space="0" w:color="BFBFBF"/>
            </w:tcBorders>
            <w:shd w:val="clear" w:color="auto" w:fill="auto"/>
            <w:noWrap/>
            <w:vAlign w:val="bottom"/>
            <w:hideMark/>
          </w:tcPr>
          <w:p w:rsidR="00195BE7" w:rsidRPr="001E2F6E" w:rsidRDefault="00195BE7" w:rsidP="00195BE7">
            <w:pPr>
              <w:spacing w:line="240" w:lineRule="exact"/>
              <w:rPr>
                <w:sz w:val="16"/>
                <w:szCs w:val="16"/>
                <w:lang w:val="eu-ES"/>
              </w:rPr>
            </w:pPr>
            <w:r w:rsidRPr="001E2F6E">
              <w:rPr>
                <w:snapToGrid w:val="0"/>
                <w:sz w:val="16"/>
                <w:szCs w:val="16"/>
                <w:lang w:val="eu-ES"/>
              </w:rPr>
              <w:t>Salgaien eta lehen gaien izakinen aldaketa</w:t>
            </w:r>
          </w:p>
        </w:tc>
        <w:tc>
          <w:tcPr>
            <w:tcW w:w="1423" w:type="dxa"/>
            <w:tcBorders>
              <w:top w:val="nil"/>
              <w:left w:val="nil"/>
              <w:bottom w:val="nil"/>
              <w:right w:val="single" w:sz="8" w:space="0" w:color="BFBFBF"/>
            </w:tcBorders>
            <w:shd w:val="clear" w:color="auto" w:fill="auto"/>
            <w:noWrap/>
            <w:vAlign w:val="bottom"/>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29.722.326</w:t>
            </w:r>
          </w:p>
        </w:tc>
        <w:tc>
          <w:tcPr>
            <w:tcW w:w="892" w:type="dxa"/>
            <w:tcBorders>
              <w:top w:val="nil"/>
              <w:left w:val="nil"/>
              <w:bottom w:val="nil"/>
              <w:right w:val="single" w:sz="8" w:space="0" w:color="BFBFBF"/>
            </w:tcBorders>
            <w:shd w:val="clear" w:color="auto" w:fill="auto"/>
            <w:noWrap/>
            <w:vAlign w:val="bottom"/>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0,31%</w:t>
            </w:r>
          </w:p>
        </w:tc>
        <w:tc>
          <w:tcPr>
            <w:tcW w:w="1229" w:type="dxa"/>
            <w:tcBorders>
              <w:top w:val="nil"/>
              <w:left w:val="nil"/>
              <w:bottom w:val="nil"/>
              <w:right w:val="nil"/>
            </w:tcBorders>
            <w:shd w:val="clear" w:color="auto" w:fill="auto"/>
            <w:noWrap/>
            <w:vAlign w:val="bottom"/>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56,5</w:t>
            </w:r>
          </w:p>
        </w:tc>
      </w:tr>
      <w:tr w:rsidR="00195BE7" w:rsidRPr="001E2F6E" w:rsidTr="00195BE7">
        <w:trPr>
          <w:jc w:val="center"/>
        </w:trPr>
        <w:tc>
          <w:tcPr>
            <w:tcW w:w="0" w:type="auto"/>
            <w:tcBorders>
              <w:top w:val="nil"/>
              <w:left w:val="nil"/>
              <w:bottom w:val="nil"/>
              <w:right w:val="nil"/>
            </w:tcBorders>
            <w:shd w:val="clear" w:color="auto" w:fill="auto"/>
            <w:noWrap/>
            <w:vAlign w:val="bottom"/>
            <w:hideMark/>
          </w:tcPr>
          <w:p w:rsidR="00195BE7" w:rsidRPr="001E2F6E" w:rsidRDefault="00195BE7" w:rsidP="00195BE7">
            <w:pPr>
              <w:spacing w:line="240" w:lineRule="exact"/>
              <w:rPr>
                <w:sz w:val="16"/>
                <w:szCs w:val="16"/>
                <w:lang w:val="eu-ES"/>
              </w:rPr>
            </w:pPr>
            <w:r w:rsidRPr="001E2F6E">
              <w:rPr>
                <w:snapToGrid w:val="0"/>
                <w:sz w:val="16"/>
                <w:szCs w:val="16"/>
                <w:lang w:val="eu-ES"/>
              </w:rPr>
              <w:t>62</w:t>
            </w:r>
          </w:p>
        </w:tc>
        <w:tc>
          <w:tcPr>
            <w:tcW w:w="6455" w:type="dxa"/>
            <w:tcBorders>
              <w:top w:val="nil"/>
              <w:left w:val="nil"/>
              <w:bottom w:val="nil"/>
              <w:right w:val="single" w:sz="8" w:space="0" w:color="BFBFBF"/>
            </w:tcBorders>
            <w:shd w:val="clear" w:color="auto" w:fill="auto"/>
            <w:noWrap/>
            <w:vAlign w:val="bottom"/>
            <w:hideMark/>
          </w:tcPr>
          <w:p w:rsidR="00195BE7" w:rsidRPr="001E2F6E" w:rsidRDefault="00195BE7" w:rsidP="00195BE7">
            <w:pPr>
              <w:spacing w:line="240" w:lineRule="exact"/>
              <w:rPr>
                <w:sz w:val="16"/>
                <w:szCs w:val="16"/>
                <w:lang w:val="eu-ES"/>
              </w:rPr>
            </w:pPr>
            <w:r w:rsidRPr="001E2F6E">
              <w:rPr>
                <w:snapToGrid w:val="0"/>
                <w:sz w:val="16"/>
                <w:szCs w:val="16"/>
                <w:lang w:val="eu-ES"/>
              </w:rPr>
              <w:t>Kanpoko zerbitzuak</w:t>
            </w:r>
          </w:p>
        </w:tc>
        <w:tc>
          <w:tcPr>
            <w:tcW w:w="1423" w:type="dxa"/>
            <w:tcBorders>
              <w:top w:val="nil"/>
              <w:left w:val="nil"/>
              <w:bottom w:val="nil"/>
              <w:right w:val="single" w:sz="8" w:space="0" w:color="BFBFBF"/>
            </w:tcBorders>
            <w:shd w:val="clear" w:color="auto" w:fill="auto"/>
            <w:noWrap/>
            <w:vAlign w:val="bottom"/>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1.165.775.279</w:t>
            </w:r>
          </w:p>
        </w:tc>
        <w:tc>
          <w:tcPr>
            <w:tcW w:w="892" w:type="dxa"/>
            <w:tcBorders>
              <w:top w:val="nil"/>
              <w:left w:val="nil"/>
              <w:bottom w:val="nil"/>
              <w:right w:val="single" w:sz="8" w:space="0" w:color="BFBFBF"/>
            </w:tcBorders>
            <w:shd w:val="clear" w:color="auto" w:fill="auto"/>
            <w:noWrap/>
            <w:vAlign w:val="bottom"/>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12,03%</w:t>
            </w:r>
          </w:p>
        </w:tc>
        <w:tc>
          <w:tcPr>
            <w:tcW w:w="1229" w:type="dxa"/>
            <w:tcBorders>
              <w:top w:val="nil"/>
              <w:left w:val="nil"/>
              <w:bottom w:val="nil"/>
              <w:right w:val="nil"/>
            </w:tcBorders>
            <w:shd w:val="clear" w:color="auto" w:fill="auto"/>
            <w:noWrap/>
            <w:vAlign w:val="bottom"/>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0,3</w:t>
            </w:r>
          </w:p>
        </w:tc>
      </w:tr>
      <w:tr w:rsidR="00195BE7" w:rsidRPr="001E2F6E" w:rsidTr="00195BE7">
        <w:trPr>
          <w:jc w:val="center"/>
        </w:trPr>
        <w:tc>
          <w:tcPr>
            <w:tcW w:w="0" w:type="auto"/>
            <w:tcBorders>
              <w:top w:val="nil"/>
              <w:left w:val="nil"/>
              <w:bottom w:val="nil"/>
              <w:right w:val="nil"/>
            </w:tcBorders>
            <w:shd w:val="clear" w:color="auto" w:fill="auto"/>
            <w:noWrap/>
            <w:vAlign w:val="bottom"/>
            <w:hideMark/>
          </w:tcPr>
          <w:p w:rsidR="00195BE7" w:rsidRPr="001E2F6E" w:rsidRDefault="00195BE7" w:rsidP="00195BE7">
            <w:pPr>
              <w:spacing w:line="240" w:lineRule="exact"/>
              <w:rPr>
                <w:sz w:val="16"/>
                <w:szCs w:val="16"/>
                <w:lang w:val="eu-ES"/>
              </w:rPr>
            </w:pPr>
            <w:r w:rsidRPr="001E2F6E">
              <w:rPr>
                <w:snapToGrid w:val="0"/>
                <w:sz w:val="16"/>
                <w:szCs w:val="16"/>
                <w:lang w:val="eu-ES"/>
              </w:rPr>
              <w:t>63</w:t>
            </w:r>
          </w:p>
        </w:tc>
        <w:tc>
          <w:tcPr>
            <w:tcW w:w="6455" w:type="dxa"/>
            <w:tcBorders>
              <w:top w:val="nil"/>
              <w:left w:val="nil"/>
              <w:bottom w:val="nil"/>
              <w:right w:val="single" w:sz="8" w:space="0" w:color="BFBFBF"/>
            </w:tcBorders>
            <w:shd w:val="clear" w:color="auto" w:fill="auto"/>
            <w:noWrap/>
            <w:vAlign w:val="bottom"/>
            <w:hideMark/>
          </w:tcPr>
          <w:p w:rsidR="00195BE7" w:rsidRPr="001E2F6E" w:rsidRDefault="00195BE7" w:rsidP="00195BE7">
            <w:pPr>
              <w:spacing w:line="240" w:lineRule="exact"/>
              <w:rPr>
                <w:sz w:val="16"/>
                <w:szCs w:val="16"/>
                <w:lang w:val="eu-ES"/>
              </w:rPr>
            </w:pPr>
            <w:r w:rsidRPr="001E2F6E">
              <w:rPr>
                <w:snapToGrid w:val="0"/>
                <w:sz w:val="16"/>
                <w:szCs w:val="16"/>
                <w:lang w:val="eu-ES"/>
              </w:rPr>
              <w:t>Jarduerari lotutako zergak</w:t>
            </w:r>
          </w:p>
        </w:tc>
        <w:tc>
          <w:tcPr>
            <w:tcW w:w="1423" w:type="dxa"/>
            <w:tcBorders>
              <w:top w:val="nil"/>
              <w:left w:val="nil"/>
              <w:bottom w:val="nil"/>
              <w:right w:val="single" w:sz="8" w:space="0" w:color="BFBFBF"/>
            </w:tcBorders>
            <w:shd w:val="clear" w:color="auto" w:fill="auto"/>
            <w:noWrap/>
            <w:vAlign w:val="bottom"/>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-48.064.613</w:t>
            </w:r>
          </w:p>
        </w:tc>
        <w:tc>
          <w:tcPr>
            <w:tcW w:w="892" w:type="dxa"/>
            <w:tcBorders>
              <w:top w:val="nil"/>
              <w:left w:val="nil"/>
              <w:bottom w:val="nil"/>
              <w:right w:val="single" w:sz="8" w:space="0" w:color="BFBFBF"/>
            </w:tcBorders>
            <w:shd w:val="clear" w:color="auto" w:fill="auto"/>
            <w:noWrap/>
            <w:vAlign w:val="bottom"/>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-0,50%</w:t>
            </w:r>
          </w:p>
        </w:tc>
        <w:tc>
          <w:tcPr>
            <w:tcW w:w="1229" w:type="dxa"/>
            <w:tcBorders>
              <w:top w:val="nil"/>
              <w:left w:val="nil"/>
              <w:bottom w:val="nil"/>
              <w:right w:val="nil"/>
            </w:tcBorders>
            <w:shd w:val="clear" w:color="auto" w:fill="auto"/>
            <w:noWrap/>
            <w:vAlign w:val="bottom"/>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-405,1</w:t>
            </w:r>
          </w:p>
        </w:tc>
      </w:tr>
      <w:tr w:rsidR="00195BE7" w:rsidRPr="001E2F6E" w:rsidTr="00195BE7">
        <w:trPr>
          <w:jc w:val="center"/>
        </w:trPr>
        <w:tc>
          <w:tcPr>
            <w:tcW w:w="0" w:type="auto"/>
            <w:tcBorders>
              <w:top w:val="nil"/>
              <w:left w:val="nil"/>
              <w:bottom w:val="nil"/>
              <w:right w:val="nil"/>
            </w:tcBorders>
            <w:shd w:val="clear" w:color="auto" w:fill="auto"/>
            <w:noWrap/>
            <w:vAlign w:val="bottom"/>
            <w:hideMark/>
          </w:tcPr>
          <w:p w:rsidR="00195BE7" w:rsidRPr="001E2F6E" w:rsidRDefault="00195BE7" w:rsidP="00195BE7">
            <w:pPr>
              <w:spacing w:line="240" w:lineRule="exact"/>
              <w:rPr>
                <w:sz w:val="16"/>
                <w:szCs w:val="16"/>
                <w:lang w:val="eu-ES"/>
              </w:rPr>
            </w:pPr>
            <w:r w:rsidRPr="001E2F6E">
              <w:rPr>
                <w:snapToGrid w:val="0"/>
                <w:sz w:val="16"/>
                <w:szCs w:val="16"/>
                <w:lang w:val="eu-ES"/>
              </w:rPr>
              <w:t>64</w:t>
            </w:r>
          </w:p>
        </w:tc>
        <w:tc>
          <w:tcPr>
            <w:tcW w:w="6455" w:type="dxa"/>
            <w:tcBorders>
              <w:top w:val="nil"/>
              <w:left w:val="nil"/>
              <w:bottom w:val="nil"/>
              <w:right w:val="single" w:sz="8" w:space="0" w:color="BFBFBF"/>
            </w:tcBorders>
            <w:shd w:val="clear" w:color="auto" w:fill="auto"/>
            <w:noWrap/>
            <w:vAlign w:val="bottom"/>
            <w:hideMark/>
          </w:tcPr>
          <w:p w:rsidR="00195BE7" w:rsidRPr="001E2F6E" w:rsidRDefault="00195BE7" w:rsidP="00195BE7">
            <w:pPr>
              <w:spacing w:line="240" w:lineRule="exact"/>
              <w:rPr>
                <w:sz w:val="16"/>
                <w:szCs w:val="16"/>
                <w:lang w:val="eu-ES"/>
              </w:rPr>
            </w:pPr>
            <w:r w:rsidRPr="001E2F6E">
              <w:rPr>
                <w:snapToGrid w:val="0"/>
                <w:sz w:val="16"/>
                <w:szCs w:val="16"/>
                <w:lang w:val="eu-ES"/>
              </w:rPr>
              <w:t>Langileen gastuak</w:t>
            </w:r>
          </w:p>
        </w:tc>
        <w:tc>
          <w:tcPr>
            <w:tcW w:w="1423" w:type="dxa"/>
            <w:tcBorders>
              <w:top w:val="nil"/>
              <w:left w:val="nil"/>
              <w:bottom w:val="nil"/>
              <w:right w:val="single" w:sz="8" w:space="0" w:color="BFBFBF"/>
            </w:tcBorders>
            <w:shd w:val="clear" w:color="auto" w:fill="auto"/>
            <w:noWrap/>
            <w:vAlign w:val="bottom"/>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2.046.598.345</w:t>
            </w:r>
          </w:p>
        </w:tc>
        <w:tc>
          <w:tcPr>
            <w:tcW w:w="892" w:type="dxa"/>
            <w:tcBorders>
              <w:top w:val="nil"/>
              <w:left w:val="nil"/>
              <w:bottom w:val="nil"/>
              <w:right w:val="single" w:sz="8" w:space="0" w:color="BFBFBF"/>
            </w:tcBorders>
            <w:shd w:val="clear" w:color="auto" w:fill="auto"/>
            <w:noWrap/>
            <w:vAlign w:val="bottom"/>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21,13%</w:t>
            </w:r>
          </w:p>
        </w:tc>
        <w:tc>
          <w:tcPr>
            <w:tcW w:w="1229" w:type="dxa"/>
            <w:tcBorders>
              <w:top w:val="nil"/>
              <w:left w:val="nil"/>
              <w:bottom w:val="nil"/>
              <w:right w:val="nil"/>
            </w:tcBorders>
            <w:shd w:val="clear" w:color="auto" w:fill="auto"/>
            <w:noWrap/>
            <w:vAlign w:val="bottom"/>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-2,7</w:t>
            </w:r>
          </w:p>
        </w:tc>
      </w:tr>
      <w:tr w:rsidR="00195BE7" w:rsidRPr="001E2F6E" w:rsidTr="00195BE7">
        <w:trPr>
          <w:jc w:val="center"/>
        </w:trPr>
        <w:tc>
          <w:tcPr>
            <w:tcW w:w="0" w:type="auto"/>
            <w:tcBorders>
              <w:top w:val="nil"/>
              <w:left w:val="nil"/>
              <w:bottom w:val="nil"/>
              <w:right w:val="nil"/>
            </w:tcBorders>
            <w:shd w:val="clear" w:color="auto" w:fill="auto"/>
            <w:noWrap/>
            <w:vAlign w:val="bottom"/>
            <w:hideMark/>
          </w:tcPr>
          <w:p w:rsidR="00195BE7" w:rsidRPr="001E2F6E" w:rsidRDefault="00195BE7" w:rsidP="00195BE7">
            <w:pPr>
              <w:spacing w:line="240" w:lineRule="exact"/>
              <w:rPr>
                <w:sz w:val="16"/>
                <w:szCs w:val="16"/>
                <w:lang w:val="eu-ES"/>
              </w:rPr>
            </w:pPr>
            <w:r w:rsidRPr="001E2F6E">
              <w:rPr>
                <w:snapToGrid w:val="0"/>
                <w:sz w:val="16"/>
                <w:szCs w:val="16"/>
                <w:lang w:val="eu-ES"/>
              </w:rPr>
              <w:t>65</w:t>
            </w:r>
          </w:p>
        </w:tc>
        <w:tc>
          <w:tcPr>
            <w:tcW w:w="6455" w:type="dxa"/>
            <w:tcBorders>
              <w:top w:val="nil"/>
              <w:left w:val="nil"/>
              <w:bottom w:val="nil"/>
              <w:right w:val="single" w:sz="8" w:space="0" w:color="BFBFBF"/>
            </w:tcBorders>
            <w:shd w:val="clear" w:color="auto" w:fill="auto"/>
            <w:noWrap/>
            <w:vAlign w:val="bottom"/>
            <w:hideMark/>
          </w:tcPr>
          <w:p w:rsidR="00195BE7" w:rsidRPr="001E2F6E" w:rsidRDefault="00195BE7" w:rsidP="00195BE7">
            <w:pPr>
              <w:spacing w:line="240" w:lineRule="exact"/>
              <w:rPr>
                <w:sz w:val="16"/>
                <w:szCs w:val="16"/>
                <w:lang w:val="eu-ES"/>
              </w:rPr>
            </w:pPr>
            <w:r w:rsidRPr="001E2F6E">
              <w:rPr>
                <w:snapToGrid w:val="0"/>
                <w:sz w:val="16"/>
                <w:szCs w:val="16"/>
                <w:lang w:val="eu-ES"/>
              </w:rPr>
              <w:t>Bestelako kudeaketa-gastuak</w:t>
            </w:r>
          </w:p>
        </w:tc>
        <w:tc>
          <w:tcPr>
            <w:tcW w:w="1423" w:type="dxa"/>
            <w:tcBorders>
              <w:top w:val="nil"/>
              <w:left w:val="nil"/>
              <w:bottom w:val="nil"/>
              <w:right w:val="single" w:sz="8" w:space="0" w:color="BFBFBF"/>
            </w:tcBorders>
            <w:shd w:val="clear" w:color="auto" w:fill="auto"/>
            <w:noWrap/>
            <w:vAlign w:val="bottom"/>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533.153.461</w:t>
            </w:r>
          </w:p>
        </w:tc>
        <w:tc>
          <w:tcPr>
            <w:tcW w:w="892" w:type="dxa"/>
            <w:tcBorders>
              <w:top w:val="nil"/>
              <w:left w:val="nil"/>
              <w:bottom w:val="nil"/>
              <w:right w:val="single" w:sz="8" w:space="0" w:color="BFBFBF"/>
            </w:tcBorders>
            <w:shd w:val="clear" w:color="auto" w:fill="auto"/>
            <w:noWrap/>
            <w:vAlign w:val="bottom"/>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5,50%</w:t>
            </w:r>
          </w:p>
        </w:tc>
        <w:tc>
          <w:tcPr>
            <w:tcW w:w="1229" w:type="dxa"/>
            <w:tcBorders>
              <w:top w:val="nil"/>
              <w:left w:val="nil"/>
              <w:bottom w:val="nil"/>
              <w:right w:val="nil"/>
            </w:tcBorders>
            <w:shd w:val="clear" w:color="auto" w:fill="auto"/>
            <w:noWrap/>
            <w:vAlign w:val="bottom"/>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-255,9%</w:t>
            </w:r>
          </w:p>
        </w:tc>
      </w:tr>
      <w:tr w:rsidR="00195BE7" w:rsidRPr="001E2F6E" w:rsidTr="00195BE7">
        <w:trPr>
          <w:jc w:val="center"/>
        </w:trPr>
        <w:tc>
          <w:tcPr>
            <w:tcW w:w="0" w:type="auto"/>
            <w:tcBorders>
              <w:top w:val="nil"/>
              <w:left w:val="nil"/>
              <w:bottom w:val="nil"/>
              <w:right w:val="nil"/>
            </w:tcBorders>
            <w:shd w:val="clear" w:color="auto" w:fill="auto"/>
            <w:noWrap/>
            <w:vAlign w:val="bottom"/>
            <w:hideMark/>
          </w:tcPr>
          <w:p w:rsidR="00195BE7" w:rsidRPr="001E2F6E" w:rsidRDefault="00195BE7" w:rsidP="00195BE7">
            <w:pPr>
              <w:spacing w:line="240" w:lineRule="exact"/>
              <w:rPr>
                <w:sz w:val="16"/>
                <w:szCs w:val="16"/>
                <w:lang w:val="eu-ES"/>
              </w:rPr>
            </w:pPr>
            <w:r w:rsidRPr="001E2F6E">
              <w:rPr>
                <w:snapToGrid w:val="0"/>
                <w:sz w:val="16"/>
                <w:szCs w:val="16"/>
                <w:lang w:val="eu-ES"/>
              </w:rPr>
              <w:t>66</w:t>
            </w:r>
          </w:p>
        </w:tc>
        <w:tc>
          <w:tcPr>
            <w:tcW w:w="6455" w:type="dxa"/>
            <w:tcBorders>
              <w:top w:val="nil"/>
              <w:left w:val="nil"/>
              <w:bottom w:val="nil"/>
              <w:right w:val="single" w:sz="8" w:space="0" w:color="BFBFBF"/>
            </w:tcBorders>
            <w:shd w:val="clear" w:color="auto" w:fill="auto"/>
            <w:noWrap/>
            <w:vAlign w:val="bottom"/>
            <w:hideMark/>
          </w:tcPr>
          <w:p w:rsidR="00195BE7" w:rsidRPr="001E2F6E" w:rsidRDefault="00195BE7" w:rsidP="00195BE7">
            <w:pPr>
              <w:spacing w:line="240" w:lineRule="exact"/>
              <w:rPr>
                <w:sz w:val="16"/>
                <w:szCs w:val="16"/>
                <w:lang w:val="eu-ES"/>
              </w:rPr>
            </w:pPr>
            <w:r w:rsidRPr="001E2F6E">
              <w:rPr>
                <w:snapToGrid w:val="0"/>
                <w:sz w:val="16"/>
                <w:szCs w:val="16"/>
                <w:lang w:val="eu-ES"/>
              </w:rPr>
              <w:t>Finantza-gastuak</w:t>
            </w:r>
          </w:p>
        </w:tc>
        <w:tc>
          <w:tcPr>
            <w:tcW w:w="1423" w:type="dxa"/>
            <w:tcBorders>
              <w:top w:val="nil"/>
              <w:left w:val="nil"/>
              <w:bottom w:val="nil"/>
              <w:right w:val="single" w:sz="8" w:space="0" w:color="BFBFBF"/>
            </w:tcBorders>
            <w:shd w:val="clear" w:color="auto" w:fill="auto"/>
            <w:noWrap/>
            <w:vAlign w:val="bottom"/>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191.913.236</w:t>
            </w:r>
          </w:p>
        </w:tc>
        <w:tc>
          <w:tcPr>
            <w:tcW w:w="892" w:type="dxa"/>
            <w:tcBorders>
              <w:top w:val="nil"/>
              <w:left w:val="nil"/>
              <w:bottom w:val="nil"/>
              <w:right w:val="single" w:sz="8" w:space="0" w:color="BFBFBF"/>
            </w:tcBorders>
            <w:shd w:val="clear" w:color="auto" w:fill="auto"/>
            <w:noWrap/>
            <w:vAlign w:val="bottom"/>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1,98%</w:t>
            </w:r>
          </w:p>
        </w:tc>
        <w:tc>
          <w:tcPr>
            <w:tcW w:w="1229" w:type="dxa"/>
            <w:tcBorders>
              <w:top w:val="nil"/>
              <w:left w:val="nil"/>
              <w:bottom w:val="nil"/>
              <w:right w:val="nil"/>
            </w:tcBorders>
            <w:shd w:val="clear" w:color="auto" w:fill="auto"/>
            <w:noWrap/>
            <w:vAlign w:val="bottom"/>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-15,4</w:t>
            </w:r>
          </w:p>
        </w:tc>
      </w:tr>
      <w:tr w:rsidR="00195BE7" w:rsidRPr="001E2F6E" w:rsidTr="00195BE7">
        <w:trPr>
          <w:jc w:val="center"/>
        </w:trPr>
        <w:tc>
          <w:tcPr>
            <w:tcW w:w="0" w:type="auto"/>
            <w:tcBorders>
              <w:top w:val="nil"/>
              <w:left w:val="nil"/>
              <w:bottom w:val="nil"/>
              <w:right w:val="nil"/>
            </w:tcBorders>
            <w:shd w:val="clear" w:color="auto" w:fill="auto"/>
            <w:noWrap/>
            <w:vAlign w:val="bottom"/>
            <w:hideMark/>
          </w:tcPr>
          <w:p w:rsidR="00195BE7" w:rsidRPr="001E2F6E" w:rsidRDefault="00195BE7" w:rsidP="00195BE7">
            <w:pPr>
              <w:spacing w:line="240" w:lineRule="exact"/>
              <w:rPr>
                <w:sz w:val="16"/>
                <w:szCs w:val="16"/>
                <w:lang w:val="eu-ES"/>
              </w:rPr>
            </w:pPr>
            <w:r w:rsidRPr="001E2F6E">
              <w:rPr>
                <w:snapToGrid w:val="0"/>
                <w:sz w:val="16"/>
                <w:szCs w:val="16"/>
                <w:lang w:val="eu-ES"/>
              </w:rPr>
              <w:t>67</w:t>
            </w:r>
          </w:p>
        </w:tc>
        <w:tc>
          <w:tcPr>
            <w:tcW w:w="6455" w:type="dxa"/>
            <w:tcBorders>
              <w:top w:val="nil"/>
              <w:left w:val="nil"/>
              <w:bottom w:val="nil"/>
              <w:right w:val="single" w:sz="8" w:space="0" w:color="BFBFBF"/>
            </w:tcBorders>
            <w:shd w:val="clear" w:color="auto" w:fill="auto"/>
            <w:noWrap/>
            <w:vAlign w:val="bottom"/>
            <w:hideMark/>
          </w:tcPr>
          <w:p w:rsidR="00195BE7" w:rsidRPr="001E2F6E" w:rsidRDefault="00195BE7" w:rsidP="00195BE7">
            <w:pPr>
              <w:spacing w:line="240" w:lineRule="exact"/>
              <w:rPr>
                <w:sz w:val="16"/>
                <w:szCs w:val="16"/>
                <w:lang w:val="eu-ES"/>
              </w:rPr>
            </w:pPr>
            <w:r w:rsidRPr="001E2F6E">
              <w:rPr>
                <w:snapToGrid w:val="0"/>
                <w:sz w:val="16"/>
                <w:szCs w:val="16"/>
                <w:lang w:val="eu-ES"/>
              </w:rPr>
              <w:t>Ibilgetutik eratorritako galerak eta ez ohiko gastuak</w:t>
            </w:r>
          </w:p>
        </w:tc>
        <w:tc>
          <w:tcPr>
            <w:tcW w:w="1423" w:type="dxa"/>
            <w:tcBorders>
              <w:top w:val="nil"/>
              <w:left w:val="nil"/>
              <w:bottom w:val="nil"/>
              <w:right w:val="single" w:sz="8" w:space="0" w:color="BFBFBF"/>
            </w:tcBorders>
            <w:shd w:val="clear" w:color="auto" w:fill="auto"/>
            <w:noWrap/>
            <w:vAlign w:val="bottom"/>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89.846.278</w:t>
            </w:r>
          </w:p>
        </w:tc>
        <w:tc>
          <w:tcPr>
            <w:tcW w:w="892" w:type="dxa"/>
            <w:tcBorders>
              <w:top w:val="nil"/>
              <w:left w:val="nil"/>
              <w:bottom w:val="nil"/>
              <w:right w:val="single" w:sz="8" w:space="0" w:color="BFBFBF"/>
            </w:tcBorders>
            <w:shd w:val="clear" w:color="auto" w:fill="auto"/>
            <w:noWrap/>
            <w:vAlign w:val="bottom"/>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0,93%</w:t>
            </w:r>
          </w:p>
        </w:tc>
        <w:tc>
          <w:tcPr>
            <w:tcW w:w="1229" w:type="dxa"/>
            <w:tcBorders>
              <w:top w:val="nil"/>
              <w:left w:val="nil"/>
              <w:bottom w:val="nil"/>
              <w:right w:val="nil"/>
            </w:tcBorders>
            <w:shd w:val="clear" w:color="auto" w:fill="auto"/>
            <w:noWrap/>
            <w:vAlign w:val="bottom"/>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225,3</w:t>
            </w:r>
          </w:p>
        </w:tc>
      </w:tr>
      <w:tr w:rsidR="00195BE7" w:rsidRPr="001E2F6E" w:rsidTr="00195BE7">
        <w:trPr>
          <w:jc w:val="center"/>
        </w:trPr>
        <w:tc>
          <w:tcPr>
            <w:tcW w:w="0" w:type="auto"/>
            <w:tcBorders>
              <w:top w:val="nil"/>
              <w:left w:val="nil"/>
              <w:bottom w:val="nil"/>
              <w:right w:val="nil"/>
            </w:tcBorders>
            <w:shd w:val="clear" w:color="auto" w:fill="auto"/>
            <w:noWrap/>
            <w:vAlign w:val="bottom"/>
            <w:hideMark/>
          </w:tcPr>
          <w:p w:rsidR="00195BE7" w:rsidRPr="001E2F6E" w:rsidRDefault="00195BE7" w:rsidP="00195BE7">
            <w:pPr>
              <w:spacing w:line="240" w:lineRule="exact"/>
              <w:rPr>
                <w:sz w:val="16"/>
                <w:szCs w:val="16"/>
                <w:lang w:val="eu-ES"/>
              </w:rPr>
            </w:pPr>
            <w:r w:rsidRPr="001E2F6E">
              <w:rPr>
                <w:snapToGrid w:val="0"/>
                <w:sz w:val="16"/>
                <w:szCs w:val="16"/>
                <w:lang w:val="eu-ES"/>
              </w:rPr>
              <w:t>68</w:t>
            </w:r>
          </w:p>
        </w:tc>
        <w:tc>
          <w:tcPr>
            <w:tcW w:w="6455" w:type="dxa"/>
            <w:tcBorders>
              <w:top w:val="nil"/>
              <w:left w:val="nil"/>
              <w:bottom w:val="nil"/>
              <w:right w:val="single" w:sz="8" w:space="0" w:color="BFBFBF"/>
            </w:tcBorders>
            <w:shd w:val="clear" w:color="auto" w:fill="auto"/>
            <w:noWrap/>
            <w:vAlign w:val="bottom"/>
            <w:hideMark/>
          </w:tcPr>
          <w:p w:rsidR="00195BE7" w:rsidRPr="001E2F6E" w:rsidRDefault="00195BE7" w:rsidP="00195BE7">
            <w:pPr>
              <w:spacing w:line="240" w:lineRule="exact"/>
              <w:rPr>
                <w:sz w:val="16"/>
                <w:szCs w:val="16"/>
                <w:lang w:val="eu-ES"/>
              </w:rPr>
            </w:pPr>
            <w:r w:rsidRPr="001E2F6E">
              <w:rPr>
                <w:snapToGrid w:val="0"/>
                <w:sz w:val="16"/>
                <w:szCs w:val="16"/>
                <w:lang w:val="eu-ES"/>
              </w:rPr>
              <w:t>Ekitaldiko amortizazioak</w:t>
            </w:r>
          </w:p>
        </w:tc>
        <w:tc>
          <w:tcPr>
            <w:tcW w:w="1423" w:type="dxa"/>
            <w:tcBorders>
              <w:top w:val="nil"/>
              <w:left w:val="nil"/>
              <w:bottom w:val="nil"/>
              <w:right w:val="single" w:sz="8" w:space="0" w:color="BFBFBF"/>
            </w:tcBorders>
            <w:shd w:val="clear" w:color="auto" w:fill="auto"/>
            <w:noWrap/>
            <w:vAlign w:val="bottom"/>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280.323.006</w:t>
            </w:r>
          </w:p>
        </w:tc>
        <w:tc>
          <w:tcPr>
            <w:tcW w:w="892" w:type="dxa"/>
            <w:tcBorders>
              <w:top w:val="nil"/>
              <w:left w:val="nil"/>
              <w:bottom w:val="nil"/>
              <w:right w:val="single" w:sz="8" w:space="0" w:color="BFBFBF"/>
            </w:tcBorders>
            <w:shd w:val="clear" w:color="auto" w:fill="auto"/>
            <w:noWrap/>
            <w:vAlign w:val="bottom"/>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2,89%</w:t>
            </w:r>
          </w:p>
        </w:tc>
        <w:tc>
          <w:tcPr>
            <w:tcW w:w="1229" w:type="dxa"/>
            <w:tcBorders>
              <w:top w:val="nil"/>
              <w:left w:val="nil"/>
              <w:bottom w:val="nil"/>
              <w:right w:val="nil"/>
            </w:tcBorders>
            <w:shd w:val="clear" w:color="auto" w:fill="auto"/>
            <w:noWrap/>
            <w:vAlign w:val="bottom"/>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-22,5</w:t>
            </w:r>
          </w:p>
        </w:tc>
      </w:tr>
      <w:tr w:rsidR="00195BE7" w:rsidRPr="001E2F6E" w:rsidTr="00195BE7">
        <w:trPr>
          <w:jc w:val="center"/>
        </w:trPr>
        <w:tc>
          <w:tcPr>
            <w:tcW w:w="0" w:type="auto"/>
            <w:tcBorders>
              <w:top w:val="nil"/>
              <w:left w:val="nil"/>
              <w:bottom w:val="single" w:sz="8" w:space="0" w:color="BFBFBF"/>
              <w:right w:val="nil"/>
            </w:tcBorders>
            <w:shd w:val="clear" w:color="auto" w:fill="auto"/>
            <w:noWrap/>
            <w:vAlign w:val="bottom"/>
            <w:hideMark/>
          </w:tcPr>
          <w:p w:rsidR="00195BE7" w:rsidRPr="001E2F6E" w:rsidRDefault="00195BE7" w:rsidP="00195BE7">
            <w:pPr>
              <w:spacing w:line="240" w:lineRule="exact"/>
              <w:rPr>
                <w:sz w:val="16"/>
                <w:szCs w:val="16"/>
                <w:lang w:val="eu-ES"/>
              </w:rPr>
            </w:pPr>
            <w:r w:rsidRPr="001E2F6E">
              <w:rPr>
                <w:snapToGrid w:val="0"/>
                <w:sz w:val="16"/>
                <w:szCs w:val="16"/>
                <w:lang w:val="eu-ES"/>
              </w:rPr>
              <w:t>69</w:t>
            </w:r>
          </w:p>
        </w:tc>
        <w:tc>
          <w:tcPr>
            <w:tcW w:w="6455" w:type="dxa"/>
            <w:tcBorders>
              <w:top w:val="nil"/>
              <w:left w:val="nil"/>
              <w:bottom w:val="single" w:sz="8" w:space="0" w:color="BFBFBF"/>
              <w:right w:val="single" w:sz="8" w:space="0" w:color="BFBFBF"/>
            </w:tcBorders>
            <w:shd w:val="clear" w:color="auto" w:fill="auto"/>
            <w:noWrap/>
            <w:vAlign w:val="bottom"/>
            <w:hideMark/>
          </w:tcPr>
          <w:p w:rsidR="00195BE7" w:rsidRPr="001E2F6E" w:rsidRDefault="00195BE7" w:rsidP="00195BE7">
            <w:pPr>
              <w:spacing w:line="240" w:lineRule="exact"/>
              <w:rPr>
                <w:sz w:val="16"/>
                <w:szCs w:val="16"/>
                <w:lang w:val="eu-ES"/>
              </w:rPr>
            </w:pPr>
            <w:r w:rsidRPr="001E2F6E">
              <w:rPr>
                <w:snapToGrid w:val="0"/>
                <w:sz w:val="16"/>
                <w:szCs w:val="16"/>
                <w:lang w:val="eu-ES"/>
              </w:rPr>
              <w:t>Hornidura-zuzkidurak</w:t>
            </w:r>
          </w:p>
        </w:tc>
        <w:tc>
          <w:tcPr>
            <w:tcW w:w="1423" w:type="dxa"/>
            <w:tcBorders>
              <w:top w:val="nil"/>
              <w:left w:val="nil"/>
              <w:bottom w:val="single" w:sz="8" w:space="0" w:color="BFBFBF"/>
              <w:right w:val="single" w:sz="8" w:space="0" w:color="BFBFBF"/>
            </w:tcBorders>
            <w:shd w:val="clear" w:color="auto" w:fill="auto"/>
            <w:noWrap/>
            <w:vAlign w:val="bottom"/>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572.650.066</w:t>
            </w:r>
          </w:p>
        </w:tc>
        <w:tc>
          <w:tcPr>
            <w:tcW w:w="892" w:type="dxa"/>
            <w:tcBorders>
              <w:top w:val="nil"/>
              <w:left w:val="nil"/>
              <w:bottom w:val="single" w:sz="8" w:space="0" w:color="BFBFBF"/>
              <w:right w:val="single" w:sz="8" w:space="0" w:color="BFBFBF"/>
            </w:tcBorders>
            <w:shd w:val="clear" w:color="auto" w:fill="auto"/>
            <w:noWrap/>
            <w:vAlign w:val="bottom"/>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5,91%</w:t>
            </w:r>
          </w:p>
        </w:tc>
        <w:tc>
          <w:tcPr>
            <w:tcW w:w="1229" w:type="dxa"/>
            <w:tcBorders>
              <w:top w:val="nil"/>
              <w:left w:val="nil"/>
              <w:bottom w:val="single" w:sz="8" w:space="0" w:color="BFBFBF"/>
              <w:right w:val="nil"/>
            </w:tcBorders>
            <w:shd w:val="clear" w:color="auto" w:fill="auto"/>
            <w:noWrap/>
            <w:vAlign w:val="bottom"/>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46,6</w:t>
            </w:r>
          </w:p>
        </w:tc>
      </w:tr>
      <w:tr w:rsidR="00195BE7" w:rsidRPr="001E2F6E" w:rsidTr="00195BE7">
        <w:trPr>
          <w:jc w:val="center"/>
        </w:trPr>
        <w:tc>
          <w:tcPr>
            <w:tcW w:w="0" w:type="auto"/>
            <w:tcBorders>
              <w:top w:val="nil"/>
              <w:left w:val="nil"/>
              <w:bottom w:val="single" w:sz="8" w:space="0" w:color="BFBFBF"/>
              <w:right w:val="nil"/>
            </w:tcBorders>
            <w:shd w:val="clear" w:color="auto" w:fill="auto"/>
            <w:noWrap/>
            <w:hideMark/>
          </w:tcPr>
          <w:p w:rsidR="00195BE7" w:rsidRPr="001E2F6E" w:rsidRDefault="00195BE7" w:rsidP="00195BE7">
            <w:pPr>
              <w:spacing w:line="240" w:lineRule="exact"/>
              <w:rPr>
                <w:rFonts w:eastAsia="Times New Roman"/>
                <w:color w:val="000000"/>
                <w:sz w:val="16"/>
                <w:szCs w:val="16"/>
                <w:lang w:eastAsia="es-ES"/>
              </w:rPr>
            </w:pPr>
            <w:r w:rsidRPr="001E2F6E">
              <w:rPr>
                <w:rFonts w:eastAsia="Times New Roman"/>
                <w:color w:val="000000"/>
                <w:sz w:val="16"/>
                <w:szCs w:val="16"/>
                <w:lang w:eastAsia="es-ES"/>
              </w:rPr>
              <w:t> </w:t>
            </w:r>
          </w:p>
        </w:tc>
        <w:tc>
          <w:tcPr>
            <w:tcW w:w="6455" w:type="dxa"/>
            <w:tcBorders>
              <w:top w:val="nil"/>
              <w:left w:val="nil"/>
              <w:bottom w:val="single" w:sz="8" w:space="0" w:color="BFBFBF"/>
              <w:right w:val="single" w:sz="8" w:space="0" w:color="BFBFBF"/>
            </w:tcBorders>
            <w:shd w:val="clear" w:color="auto" w:fill="auto"/>
            <w:noWrap/>
            <w:hideMark/>
          </w:tcPr>
          <w:p w:rsidR="00195BE7" w:rsidRPr="001E2F6E" w:rsidRDefault="00195BE7" w:rsidP="00195BE7">
            <w:pPr>
              <w:spacing w:line="240" w:lineRule="exact"/>
              <w:rPr>
                <w:rFonts w:eastAsia="Times New Roman"/>
                <w:b/>
                <w:bCs/>
                <w:color w:val="000000"/>
                <w:sz w:val="16"/>
                <w:szCs w:val="16"/>
                <w:lang w:eastAsia="es-ES"/>
              </w:rPr>
            </w:pPr>
            <w:r w:rsidRPr="001E2F6E">
              <w:rPr>
                <w:rFonts w:eastAsia="Times New Roman"/>
                <w:b/>
                <w:bCs/>
                <w:color w:val="000000"/>
                <w:sz w:val="16"/>
                <w:szCs w:val="16"/>
                <w:lang w:eastAsia="es-ES"/>
              </w:rPr>
              <w:t>GASTUAK GUZTIRA</w:t>
            </w:r>
          </w:p>
        </w:tc>
        <w:tc>
          <w:tcPr>
            <w:tcW w:w="1423" w:type="dxa"/>
            <w:tcBorders>
              <w:top w:val="nil"/>
              <w:left w:val="nil"/>
              <w:bottom w:val="single" w:sz="8" w:space="0" w:color="BFBFBF"/>
              <w:right w:val="single" w:sz="8" w:space="0" w:color="BFBFBF"/>
            </w:tcBorders>
            <w:shd w:val="clear" w:color="auto" w:fill="auto"/>
            <w:noWrap/>
            <w:vAlign w:val="bottom"/>
            <w:hideMark/>
          </w:tcPr>
          <w:p w:rsidR="00195BE7" w:rsidRPr="001E2F6E" w:rsidRDefault="00195BE7" w:rsidP="00195BE7">
            <w:pPr>
              <w:spacing w:line="240" w:lineRule="exact"/>
              <w:ind w:right="170"/>
              <w:jc w:val="right"/>
              <w:rPr>
                <w:b/>
                <w:bCs/>
                <w:color w:val="000000"/>
                <w:sz w:val="16"/>
                <w:szCs w:val="16"/>
              </w:rPr>
            </w:pPr>
            <w:r w:rsidRPr="001E2F6E">
              <w:rPr>
                <w:b/>
                <w:bCs/>
                <w:color w:val="000000"/>
                <w:sz w:val="16"/>
                <w:szCs w:val="16"/>
              </w:rPr>
              <w:t>9.687.375.460</w:t>
            </w:r>
          </w:p>
        </w:tc>
        <w:tc>
          <w:tcPr>
            <w:tcW w:w="892" w:type="dxa"/>
            <w:tcBorders>
              <w:top w:val="nil"/>
              <w:left w:val="nil"/>
              <w:bottom w:val="single" w:sz="8" w:space="0" w:color="BFBFBF"/>
              <w:right w:val="nil"/>
            </w:tcBorders>
            <w:shd w:val="clear" w:color="auto" w:fill="auto"/>
            <w:noWrap/>
            <w:vAlign w:val="bottom"/>
            <w:hideMark/>
          </w:tcPr>
          <w:p w:rsidR="00195BE7" w:rsidRPr="001E2F6E" w:rsidRDefault="00195BE7" w:rsidP="00195BE7">
            <w:pPr>
              <w:spacing w:line="240" w:lineRule="exact"/>
              <w:ind w:right="170"/>
              <w:jc w:val="right"/>
              <w:rPr>
                <w:b/>
                <w:bCs/>
                <w:color w:val="000000"/>
                <w:sz w:val="16"/>
                <w:szCs w:val="16"/>
              </w:rPr>
            </w:pPr>
            <w:r w:rsidRPr="001E2F6E">
              <w:rPr>
                <w:b/>
                <w:bCs/>
                <w:color w:val="000000"/>
                <w:sz w:val="16"/>
                <w:szCs w:val="16"/>
              </w:rPr>
              <w:t>100</w:t>
            </w:r>
          </w:p>
        </w:tc>
        <w:tc>
          <w:tcPr>
            <w:tcW w:w="1229" w:type="dxa"/>
            <w:tcBorders>
              <w:top w:val="nil"/>
              <w:left w:val="nil"/>
              <w:bottom w:val="single" w:sz="8" w:space="0" w:color="BFBFBF"/>
              <w:right w:val="nil"/>
            </w:tcBorders>
            <w:shd w:val="clear" w:color="auto" w:fill="auto"/>
            <w:noWrap/>
            <w:vAlign w:val="bottom"/>
            <w:hideMark/>
          </w:tcPr>
          <w:p w:rsidR="00195BE7" w:rsidRPr="001E2F6E" w:rsidRDefault="00195BE7" w:rsidP="00195BE7">
            <w:pPr>
              <w:spacing w:line="240" w:lineRule="exact"/>
              <w:ind w:right="170"/>
              <w:jc w:val="right"/>
              <w:rPr>
                <w:b/>
                <w:bCs/>
                <w:color w:val="000000"/>
                <w:sz w:val="16"/>
                <w:szCs w:val="16"/>
              </w:rPr>
            </w:pPr>
            <w:r w:rsidRPr="001E2F6E">
              <w:rPr>
                <w:b/>
                <w:bCs/>
                <w:color w:val="000000"/>
                <w:sz w:val="16"/>
                <w:szCs w:val="16"/>
              </w:rPr>
              <w:t>-1,6</w:t>
            </w:r>
          </w:p>
        </w:tc>
      </w:tr>
    </w:tbl>
    <w:p w:rsidR="00195BE7" w:rsidRPr="001E2F6E" w:rsidRDefault="00195BE7" w:rsidP="00195BE7">
      <w:pPr>
        <w:spacing w:line="240" w:lineRule="auto"/>
        <w:rPr>
          <w:b/>
          <w:i/>
        </w:rPr>
      </w:pPr>
    </w:p>
    <w:p w:rsidR="00195BE7" w:rsidRPr="001E2F6E" w:rsidRDefault="00195BE7" w:rsidP="00195BE7">
      <w:pPr>
        <w:rPr>
          <w:b/>
          <w:color w:val="1F497D" w:themeColor="text2"/>
          <w:sz w:val="18"/>
          <w:szCs w:val="18"/>
        </w:rPr>
      </w:pPr>
    </w:p>
    <w:p w:rsidR="00195BE7" w:rsidRPr="001E2F6E" w:rsidRDefault="00195BE7" w:rsidP="00195BE7">
      <w:pPr>
        <w:spacing w:line="240" w:lineRule="auto"/>
        <w:jc w:val="center"/>
        <w:rPr>
          <w:b/>
          <w:color w:val="1F497D" w:themeColor="text2"/>
          <w:sz w:val="18"/>
          <w:szCs w:val="18"/>
        </w:rPr>
      </w:pPr>
      <w:bookmarkStart w:id="108" w:name="_Toc391989097"/>
      <w:bookmarkStart w:id="109" w:name="_Toc392585762"/>
      <w:r w:rsidRPr="001E2F6E">
        <w:rPr>
          <w:b/>
          <w:color w:val="1F497D" w:themeColor="text2"/>
          <w:sz w:val="18"/>
          <w:szCs w:val="18"/>
        </w:rPr>
        <w:t>1.</w:t>
      </w:r>
      <w:r w:rsidR="00EB6BA6" w:rsidRPr="001E2F6E">
        <w:rPr>
          <w:b/>
          <w:color w:val="1F497D" w:themeColor="text2"/>
          <w:sz w:val="18"/>
          <w:szCs w:val="18"/>
        </w:rPr>
        <w:fldChar w:fldCharType="begin"/>
      </w:r>
      <w:r w:rsidRPr="001E2F6E">
        <w:rPr>
          <w:b/>
          <w:color w:val="1F497D" w:themeColor="text2"/>
          <w:sz w:val="18"/>
          <w:szCs w:val="18"/>
        </w:rPr>
        <w:instrText xml:space="preserve"> SEQ Cuadro_1. \* ARABIC </w:instrText>
      </w:r>
      <w:r w:rsidR="00EB6BA6" w:rsidRPr="001E2F6E">
        <w:rPr>
          <w:b/>
          <w:color w:val="1F497D" w:themeColor="text2"/>
          <w:sz w:val="18"/>
          <w:szCs w:val="18"/>
        </w:rPr>
        <w:fldChar w:fldCharType="separate"/>
      </w:r>
      <w:r w:rsidR="00A327D4">
        <w:rPr>
          <w:b/>
          <w:noProof/>
          <w:color w:val="1F497D" w:themeColor="text2"/>
          <w:sz w:val="18"/>
          <w:szCs w:val="18"/>
        </w:rPr>
        <w:t>27</w:t>
      </w:r>
      <w:r w:rsidR="00EB6BA6" w:rsidRPr="001E2F6E">
        <w:rPr>
          <w:b/>
          <w:color w:val="1F497D" w:themeColor="text2"/>
          <w:sz w:val="18"/>
          <w:szCs w:val="18"/>
        </w:rPr>
        <w:fldChar w:fldCharType="end"/>
      </w:r>
      <w:r w:rsidRPr="001E2F6E">
        <w:rPr>
          <w:b/>
          <w:color w:val="1F497D" w:themeColor="text2"/>
          <w:sz w:val="18"/>
          <w:szCs w:val="18"/>
        </w:rPr>
        <w:t xml:space="preserve"> Taula BAZKIDEEK KOOPERATIBETAN EGINDAKO EKARPENEN INTERESAK ETA FINANTZA-GASTUEN GAINEKO PISU ERLATIBOA (66 KONTUA) (zifra absolutuak eurotan eta % horizontalak). 2012</w:t>
      </w:r>
      <w:bookmarkEnd w:id="108"/>
      <w:bookmarkEnd w:id="109"/>
    </w:p>
    <w:tbl>
      <w:tblPr>
        <w:tblW w:w="5000" w:type="pct"/>
        <w:jc w:val="center"/>
        <w:tblLook w:val="04A0" w:firstRow="1" w:lastRow="0" w:firstColumn="1" w:lastColumn="0" w:noHBand="0" w:noVBand="1"/>
      </w:tblPr>
      <w:tblGrid>
        <w:gridCol w:w="2577"/>
        <w:gridCol w:w="1677"/>
        <w:gridCol w:w="1397"/>
        <w:gridCol w:w="1959"/>
        <w:gridCol w:w="1394"/>
      </w:tblGrid>
      <w:tr w:rsidR="00195BE7" w:rsidRPr="001E2F6E" w:rsidTr="00195BE7">
        <w:trPr>
          <w:jc w:val="center"/>
        </w:trPr>
        <w:tc>
          <w:tcPr>
            <w:tcW w:w="1431" w:type="pct"/>
            <w:vMerge w:val="restart"/>
            <w:tcBorders>
              <w:top w:val="single" w:sz="4" w:space="0" w:color="BFBFBF" w:themeColor="background1" w:themeShade="BF"/>
              <w:right w:val="single" w:sz="4" w:space="0" w:color="BFBFBF" w:themeColor="background1" w:themeShade="BF"/>
            </w:tcBorders>
            <w:shd w:val="clear" w:color="auto" w:fill="DBE5F1" w:themeFill="accent1" w:themeFillTint="33"/>
          </w:tcPr>
          <w:p w:rsidR="00195BE7" w:rsidRPr="001E2F6E" w:rsidRDefault="00195BE7" w:rsidP="00195BE7">
            <w:pPr>
              <w:spacing w:line="240" w:lineRule="exact"/>
              <w:jc w:val="center"/>
              <w:rPr>
                <w:b/>
                <w:sz w:val="16"/>
                <w:szCs w:val="16"/>
                <w:lang w:val="eu-ES"/>
              </w:rPr>
            </w:pPr>
            <w:r w:rsidRPr="001E2F6E">
              <w:rPr>
                <w:b/>
                <w:bCs/>
                <w:sz w:val="16"/>
                <w:szCs w:val="16"/>
                <w:lang w:val="eu-ES"/>
              </w:rPr>
              <w:t>Jarduera-sektorea</w:t>
            </w:r>
          </w:p>
        </w:tc>
        <w:tc>
          <w:tcPr>
            <w:tcW w:w="1707"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tcPr>
          <w:p w:rsidR="00195BE7" w:rsidRPr="001E2F6E" w:rsidRDefault="00195BE7" w:rsidP="00195BE7">
            <w:pPr>
              <w:spacing w:line="240" w:lineRule="exact"/>
              <w:jc w:val="center"/>
              <w:rPr>
                <w:b/>
                <w:bCs/>
                <w:sz w:val="16"/>
                <w:szCs w:val="16"/>
                <w:lang w:val="eu-ES"/>
              </w:rPr>
            </w:pPr>
            <w:r w:rsidRPr="001E2F6E">
              <w:rPr>
                <w:b/>
                <w:bCs/>
                <w:sz w:val="16"/>
                <w:szCs w:val="16"/>
                <w:lang w:val="eu-ES"/>
              </w:rPr>
              <w:t>Finantza-gastuak guztira</w:t>
            </w:r>
          </w:p>
        </w:tc>
        <w:tc>
          <w:tcPr>
            <w:tcW w:w="1862" w:type="pct"/>
            <w:gridSpan w:val="2"/>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tcPr>
          <w:p w:rsidR="00195BE7" w:rsidRPr="001E2F6E" w:rsidRDefault="00195BE7" w:rsidP="00195BE7">
            <w:pPr>
              <w:spacing w:line="240" w:lineRule="exact"/>
              <w:jc w:val="center"/>
              <w:rPr>
                <w:b/>
                <w:bCs/>
                <w:sz w:val="16"/>
                <w:szCs w:val="16"/>
                <w:lang w:val="eu-ES"/>
              </w:rPr>
            </w:pPr>
            <w:r w:rsidRPr="001E2F6E">
              <w:rPr>
                <w:b/>
                <w:bCs/>
                <w:sz w:val="16"/>
                <w:szCs w:val="16"/>
                <w:lang w:val="eu-ES"/>
              </w:rPr>
              <w:t>Ekarpenen interesak</w:t>
            </w:r>
          </w:p>
        </w:tc>
      </w:tr>
      <w:tr w:rsidR="00195BE7" w:rsidRPr="001E2F6E" w:rsidTr="00195BE7">
        <w:trPr>
          <w:jc w:val="center"/>
        </w:trPr>
        <w:tc>
          <w:tcPr>
            <w:tcW w:w="1431" w:type="pct"/>
            <w:vMerge/>
            <w:tcBorders>
              <w:bottom w:val="single" w:sz="4" w:space="0" w:color="BFBFBF" w:themeColor="background1" w:themeShade="BF"/>
              <w:right w:val="single" w:sz="4" w:space="0" w:color="BFBFBF" w:themeColor="background1" w:themeShade="BF"/>
            </w:tcBorders>
            <w:shd w:val="clear" w:color="auto" w:fill="DBE5F1" w:themeFill="accent1" w:themeFillTint="33"/>
          </w:tcPr>
          <w:p w:rsidR="00195BE7" w:rsidRPr="001E2F6E" w:rsidRDefault="00195BE7" w:rsidP="00195BE7">
            <w:pPr>
              <w:spacing w:line="240" w:lineRule="exact"/>
              <w:jc w:val="center"/>
              <w:rPr>
                <w:b/>
                <w:bCs/>
                <w:sz w:val="16"/>
                <w:szCs w:val="16"/>
              </w:rPr>
            </w:pPr>
          </w:p>
        </w:tc>
        <w:tc>
          <w:tcPr>
            <w:tcW w:w="931"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tcPr>
          <w:p w:rsidR="00195BE7" w:rsidRPr="001E2F6E" w:rsidRDefault="00195BE7" w:rsidP="00195BE7">
            <w:pPr>
              <w:spacing w:line="240" w:lineRule="exact"/>
              <w:jc w:val="center"/>
              <w:rPr>
                <w:b/>
                <w:bCs/>
                <w:sz w:val="16"/>
                <w:szCs w:val="16"/>
                <w:lang w:val="en-GB"/>
              </w:rPr>
            </w:pPr>
            <w:r w:rsidRPr="001E2F6E">
              <w:rPr>
                <w:b/>
                <w:bCs/>
                <w:sz w:val="16"/>
                <w:szCs w:val="16"/>
                <w:lang w:val="eu-ES"/>
              </w:rPr>
              <w:t>z.a.</w:t>
            </w:r>
          </w:p>
        </w:tc>
        <w:tc>
          <w:tcPr>
            <w:tcW w:w="776"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tcPr>
          <w:p w:rsidR="00195BE7" w:rsidRPr="001E2F6E" w:rsidRDefault="00195BE7" w:rsidP="00195BE7">
            <w:pPr>
              <w:spacing w:line="240" w:lineRule="exact"/>
              <w:jc w:val="center"/>
              <w:rPr>
                <w:b/>
                <w:bCs/>
                <w:sz w:val="16"/>
                <w:szCs w:val="16"/>
                <w:lang w:val="en-GB"/>
              </w:rPr>
            </w:pPr>
            <w:r w:rsidRPr="001E2F6E">
              <w:rPr>
                <w:b/>
                <w:bCs/>
                <w:sz w:val="16"/>
                <w:szCs w:val="16"/>
                <w:lang w:val="eu-ES"/>
              </w:rPr>
              <w:t>%hor.</w:t>
            </w:r>
          </w:p>
        </w:tc>
        <w:tc>
          <w:tcPr>
            <w:tcW w:w="1088"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tcPr>
          <w:p w:rsidR="00195BE7" w:rsidRPr="001E2F6E" w:rsidRDefault="00195BE7" w:rsidP="00195BE7">
            <w:pPr>
              <w:spacing w:line="240" w:lineRule="exact"/>
              <w:jc w:val="center"/>
              <w:rPr>
                <w:b/>
                <w:bCs/>
                <w:sz w:val="16"/>
                <w:szCs w:val="16"/>
                <w:lang w:val="en-GB"/>
              </w:rPr>
            </w:pPr>
            <w:r w:rsidRPr="001E2F6E">
              <w:rPr>
                <w:b/>
                <w:bCs/>
                <w:sz w:val="16"/>
                <w:szCs w:val="16"/>
                <w:lang w:val="eu-ES"/>
              </w:rPr>
              <w:t>z.a.</w:t>
            </w:r>
          </w:p>
        </w:tc>
        <w:tc>
          <w:tcPr>
            <w:tcW w:w="774" w:type="pct"/>
            <w:tcBorders>
              <w:top w:val="single" w:sz="4" w:space="0" w:color="BFBFBF" w:themeColor="background1" w:themeShade="BF"/>
              <w:bottom w:val="single" w:sz="4" w:space="0" w:color="BFBFBF" w:themeColor="background1" w:themeShade="BF"/>
            </w:tcBorders>
            <w:shd w:val="clear" w:color="auto" w:fill="DBE5F1" w:themeFill="accent1" w:themeFillTint="33"/>
          </w:tcPr>
          <w:p w:rsidR="00195BE7" w:rsidRPr="001E2F6E" w:rsidRDefault="00195BE7" w:rsidP="00195BE7">
            <w:pPr>
              <w:spacing w:line="240" w:lineRule="exact"/>
              <w:jc w:val="center"/>
              <w:rPr>
                <w:b/>
                <w:bCs/>
                <w:sz w:val="16"/>
                <w:szCs w:val="16"/>
                <w:lang w:val="en-GB"/>
              </w:rPr>
            </w:pPr>
            <w:r w:rsidRPr="001E2F6E">
              <w:rPr>
                <w:b/>
                <w:bCs/>
                <w:sz w:val="16"/>
                <w:szCs w:val="16"/>
                <w:lang w:val="eu-ES"/>
              </w:rPr>
              <w:t>%hor.</w:t>
            </w:r>
          </w:p>
        </w:tc>
      </w:tr>
      <w:tr w:rsidR="00195BE7" w:rsidRPr="001E2F6E" w:rsidTr="00195BE7">
        <w:trPr>
          <w:jc w:val="center"/>
        </w:trPr>
        <w:tc>
          <w:tcPr>
            <w:tcW w:w="1431" w:type="pct"/>
            <w:tcBorders>
              <w:top w:val="single" w:sz="4" w:space="0" w:color="BFBFBF" w:themeColor="background1" w:themeShade="BF"/>
              <w:right w:val="single" w:sz="4" w:space="0" w:color="BFBFBF" w:themeColor="background1" w:themeShade="BF"/>
            </w:tcBorders>
          </w:tcPr>
          <w:p w:rsidR="00195BE7" w:rsidRPr="001E2F6E" w:rsidRDefault="00195BE7" w:rsidP="00195BE7">
            <w:pPr>
              <w:spacing w:line="240" w:lineRule="exact"/>
              <w:rPr>
                <w:sz w:val="16"/>
                <w:szCs w:val="16"/>
                <w:lang w:val="eu-ES"/>
              </w:rPr>
            </w:pPr>
            <w:r w:rsidRPr="001E2F6E">
              <w:rPr>
                <w:sz w:val="16"/>
                <w:szCs w:val="16"/>
                <w:lang w:val="eu-ES"/>
              </w:rPr>
              <w:t>Lehen sektorea</w:t>
            </w:r>
          </w:p>
        </w:tc>
        <w:tc>
          <w:tcPr>
            <w:tcW w:w="931" w:type="pct"/>
            <w:tcBorders>
              <w:top w:val="single" w:sz="4" w:space="0" w:color="BFBFBF" w:themeColor="background1" w:themeShade="BF"/>
              <w:left w:val="single" w:sz="4" w:space="0" w:color="BFBFBF" w:themeColor="background1" w:themeShade="BF"/>
            </w:tcBorders>
          </w:tcPr>
          <w:p w:rsidR="00195BE7" w:rsidRPr="001E2F6E" w:rsidRDefault="00195BE7" w:rsidP="00195BE7">
            <w:pPr>
              <w:spacing w:line="240" w:lineRule="exact"/>
              <w:ind w:right="284"/>
              <w:jc w:val="right"/>
              <w:rPr>
                <w:sz w:val="16"/>
                <w:szCs w:val="16"/>
              </w:rPr>
            </w:pPr>
            <w:r w:rsidRPr="001E2F6E">
              <w:rPr>
                <w:sz w:val="16"/>
                <w:szCs w:val="16"/>
              </w:rPr>
              <w:t>142.542</w:t>
            </w:r>
          </w:p>
        </w:tc>
        <w:tc>
          <w:tcPr>
            <w:tcW w:w="776" w:type="pct"/>
            <w:tcBorders>
              <w:top w:val="single" w:sz="4" w:space="0" w:color="BFBFBF" w:themeColor="background1" w:themeShade="BF"/>
              <w:right w:val="single" w:sz="4" w:space="0" w:color="BFBFBF" w:themeColor="background1" w:themeShade="BF"/>
            </w:tcBorders>
          </w:tcPr>
          <w:p w:rsidR="00195BE7" w:rsidRPr="001E2F6E" w:rsidRDefault="00195BE7" w:rsidP="00195BE7">
            <w:pPr>
              <w:spacing w:line="240" w:lineRule="exact"/>
              <w:ind w:right="284"/>
              <w:jc w:val="right"/>
              <w:rPr>
                <w:sz w:val="16"/>
                <w:szCs w:val="16"/>
              </w:rPr>
            </w:pPr>
            <w:r w:rsidRPr="001E2F6E">
              <w:rPr>
                <w:sz w:val="16"/>
                <w:szCs w:val="16"/>
              </w:rPr>
              <w:t>100</w:t>
            </w:r>
          </w:p>
        </w:tc>
        <w:tc>
          <w:tcPr>
            <w:tcW w:w="1088" w:type="pct"/>
            <w:tcBorders>
              <w:top w:val="single" w:sz="4" w:space="0" w:color="BFBFBF" w:themeColor="background1" w:themeShade="BF"/>
              <w:left w:val="single" w:sz="4" w:space="0" w:color="BFBFBF" w:themeColor="background1" w:themeShade="BF"/>
            </w:tcBorders>
          </w:tcPr>
          <w:p w:rsidR="00195BE7" w:rsidRPr="001E2F6E" w:rsidRDefault="00195BE7" w:rsidP="00195BE7">
            <w:pPr>
              <w:spacing w:line="240" w:lineRule="exact"/>
              <w:ind w:right="284"/>
              <w:jc w:val="right"/>
              <w:rPr>
                <w:sz w:val="16"/>
                <w:szCs w:val="16"/>
              </w:rPr>
            </w:pPr>
            <w:r w:rsidRPr="001E2F6E">
              <w:rPr>
                <w:sz w:val="16"/>
                <w:szCs w:val="16"/>
              </w:rPr>
              <w:t>55.985</w:t>
            </w:r>
          </w:p>
        </w:tc>
        <w:tc>
          <w:tcPr>
            <w:tcW w:w="774" w:type="pct"/>
            <w:tcBorders>
              <w:top w:val="single" w:sz="4" w:space="0" w:color="BFBFBF" w:themeColor="background1" w:themeShade="BF"/>
            </w:tcBorders>
          </w:tcPr>
          <w:p w:rsidR="00195BE7" w:rsidRPr="001E2F6E" w:rsidRDefault="00195BE7" w:rsidP="00195BE7">
            <w:pPr>
              <w:spacing w:line="240" w:lineRule="exact"/>
              <w:ind w:right="284"/>
              <w:jc w:val="right"/>
              <w:rPr>
                <w:sz w:val="16"/>
                <w:szCs w:val="16"/>
              </w:rPr>
            </w:pPr>
            <w:r w:rsidRPr="001E2F6E">
              <w:rPr>
                <w:sz w:val="16"/>
                <w:szCs w:val="16"/>
              </w:rPr>
              <w:t>39,3</w:t>
            </w:r>
          </w:p>
        </w:tc>
      </w:tr>
      <w:tr w:rsidR="00195BE7" w:rsidRPr="001E2F6E" w:rsidTr="00195BE7">
        <w:trPr>
          <w:jc w:val="center"/>
        </w:trPr>
        <w:tc>
          <w:tcPr>
            <w:tcW w:w="1431" w:type="pct"/>
            <w:tcBorders>
              <w:right w:val="single" w:sz="4" w:space="0" w:color="BFBFBF" w:themeColor="background1" w:themeShade="BF"/>
            </w:tcBorders>
          </w:tcPr>
          <w:p w:rsidR="00195BE7" w:rsidRPr="001E2F6E" w:rsidRDefault="00195BE7" w:rsidP="00195BE7">
            <w:pPr>
              <w:spacing w:line="240" w:lineRule="exact"/>
              <w:rPr>
                <w:sz w:val="16"/>
                <w:szCs w:val="16"/>
                <w:lang w:val="eu-ES"/>
              </w:rPr>
            </w:pPr>
            <w:r w:rsidRPr="001E2F6E">
              <w:rPr>
                <w:sz w:val="16"/>
                <w:szCs w:val="16"/>
                <w:lang w:val="eu-ES"/>
              </w:rPr>
              <w:t>Industria</w:t>
            </w:r>
          </w:p>
        </w:tc>
        <w:tc>
          <w:tcPr>
            <w:tcW w:w="931" w:type="pct"/>
            <w:tcBorders>
              <w:left w:val="single" w:sz="4" w:space="0" w:color="BFBFBF" w:themeColor="background1" w:themeShade="BF"/>
            </w:tcBorders>
          </w:tcPr>
          <w:p w:rsidR="00195BE7" w:rsidRPr="001E2F6E" w:rsidRDefault="00195BE7" w:rsidP="00195BE7">
            <w:pPr>
              <w:spacing w:line="240" w:lineRule="exact"/>
              <w:ind w:right="284"/>
              <w:jc w:val="right"/>
              <w:rPr>
                <w:sz w:val="16"/>
                <w:szCs w:val="16"/>
              </w:rPr>
            </w:pPr>
            <w:r w:rsidRPr="001E2F6E">
              <w:rPr>
                <w:sz w:val="16"/>
                <w:szCs w:val="16"/>
              </w:rPr>
              <w:t>99.411.363</w:t>
            </w:r>
          </w:p>
        </w:tc>
        <w:tc>
          <w:tcPr>
            <w:tcW w:w="776" w:type="pct"/>
            <w:tcBorders>
              <w:right w:val="single" w:sz="4" w:space="0" w:color="BFBFBF" w:themeColor="background1" w:themeShade="BF"/>
            </w:tcBorders>
          </w:tcPr>
          <w:p w:rsidR="00195BE7" w:rsidRPr="001E2F6E" w:rsidRDefault="00195BE7" w:rsidP="00195BE7">
            <w:pPr>
              <w:spacing w:line="240" w:lineRule="exact"/>
              <w:ind w:right="284"/>
              <w:jc w:val="right"/>
              <w:rPr>
                <w:sz w:val="16"/>
                <w:szCs w:val="16"/>
              </w:rPr>
            </w:pPr>
            <w:r w:rsidRPr="001E2F6E">
              <w:rPr>
                <w:sz w:val="16"/>
                <w:szCs w:val="16"/>
              </w:rPr>
              <w:t>100</w:t>
            </w:r>
          </w:p>
        </w:tc>
        <w:tc>
          <w:tcPr>
            <w:tcW w:w="1088" w:type="pct"/>
            <w:tcBorders>
              <w:left w:val="single" w:sz="4" w:space="0" w:color="BFBFBF" w:themeColor="background1" w:themeShade="BF"/>
            </w:tcBorders>
            <w:noWrap/>
          </w:tcPr>
          <w:p w:rsidR="00195BE7" w:rsidRPr="001E2F6E" w:rsidRDefault="00195BE7" w:rsidP="00195BE7">
            <w:pPr>
              <w:spacing w:line="240" w:lineRule="exact"/>
              <w:ind w:right="284"/>
              <w:jc w:val="right"/>
              <w:rPr>
                <w:sz w:val="16"/>
                <w:szCs w:val="16"/>
              </w:rPr>
            </w:pPr>
            <w:r w:rsidRPr="001E2F6E">
              <w:rPr>
                <w:sz w:val="16"/>
                <w:szCs w:val="16"/>
              </w:rPr>
              <w:t>19.357.613</w:t>
            </w:r>
          </w:p>
        </w:tc>
        <w:tc>
          <w:tcPr>
            <w:tcW w:w="774" w:type="pct"/>
          </w:tcPr>
          <w:p w:rsidR="00195BE7" w:rsidRPr="001E2F6E" w:rsidRDefault="00195BE7" w:rsidP="00195BE7">
            <w:pPr>
              <w:spacing w:line="240" w:lineRule="exact"/>
              <w:ind w:right="284"/>
              <w:jc w:val="right"/>
              <w:rPr>
                <w:sz w:val="16"/>
                <w:szCs w:val="16"/>
              </w:rPr>
            </w:pPr>
            <w:r w:rsidRPr="001E2F6E">
              <w:rPr>
                <w:sz w:val="16"/>
                <w:szCs w:val="16"/>
              </w:rPr>
              <w:t>19,5</w:t>
            </w:r>
          </w:p>
        </w:tc>
      </w:tr>
      <w:tr w:rsidR="00195BE7" w:rsidRPr="001E2F6E" w:rsidTr="00195BE7">
        <w:trPr>
          <w:jc w:val="center"/>
        </w:trPr>
        <w:tc>
          <w:tcPr>
            <w:tcW w:w="1431" w:type="pct"/>
            <w:tcBorders>
              <w:right w:val="single" w:sz="4" w:space="0" w:color="BFBFBF" w:themeColor="background1" w:themeShade="BF"/>
            </w:tcBorders>
          </w:tcPr>
          <w:p w:rsidR="00195BE7" w:rsidRPr="001E2F6E" w:rsidRDefault="00195BE7" w:rsidP="00195BE7">
            <w:pPr>
              <w:spacing w:line="240" w:lineRule="exact"/>
              <w:rPr>
                <w:sz w:val="16"/>
                <w:szCs w:val="16"/>
                <w:lang w:val="eu-ES"/>
              </w:rPr>
            </w:pPr>
            <w:r w:rsidRPr="001E2F6E">
              <w:rPr>
                <w:sz w:val="16"/>
                <w:szCs w:val="16"/>
                <w:lang w:val="eu-ES"/>
              </w:rPr>
              <w:t>Eraikuntza</w:t>
            </w:r>
          </w:p>
        </w:tc>
        <w:tc>
          <w:tcPr>
            <w:tcW w:w="931" w:type="pct"/>
            <w:tcBorders>
              <w:left w:val="single" w:sz="4" w:space="0" w:color="BFBFBF" w:themeColor="background1" w:themeShade="BF"/>
            </w:tcBorders>
          </w:tcPr>
          <w:p w:rsidR="00195BE7" w:rsidRPr="001E2F6E" w:rsidRDefault="00195BE7" w:rsidP="00195BE7">
            <w:pPr>
              <w:spacing w:line="240" w:lineRule="exact"/>
              <w:ind w:right="284"/>
              <w:jc w:val="right"/>
              <w:rPr>
                <w:sz w:val="16"/>
                <w:szCs w:val="16"/>
              </w:rPr>
            </w:pPr>
            <w:r w:rsidRPr="001E2F6E">
              <w:rPr>
                <w:sz w:val="16"/>
                <w:szCs w:val="16"/>
              </w:rPr>
              <w:t>1.890.588</w:t>
            </w:r>
          </w:p>
        </w:tc>
        <w:tc>
          <w:tcPr>
            <w:tcW w:w="776" w:type="pct"/>
            <w:tcBorders>
              <w:right w:val="single" w:sz="4" w:space="0" w:color="BFBFBF" w:themeColor="background1" w:themeShade="BF"/>
            </w:tcBorders>
          </w:tcPr>
          <w:p w:rsidR="00195BE7" w:rsidRPr="001E2F6E" w:rsidRDefault="00195BE7" w:rsidP="00195BE7">
            <w:pPr>
              <w:spacing w:line="240" w:lineRule="exact"/>
              <w:ind w:right="284"/>
              <w:jc w:val="right"/>
              <w:rPr>
                <w:sz w:val="16"/>
                <w:szCs w:val="16"/>
              </w:rPr>
            </w:pPr>
            <w:r w:rsidRPr="001E2F6E">
              <w:rPr>
                <w:sz w:val="16"/>
                <w:szCs w:val="16"/>
              </w:rPr>
              <w:t>100</w:t>
            </w:r>
          </w:p>
        </w:tc>
        <w:tc>
          <w:tcPr>
            <w:tcW w:w="1088" w:type="pct"/>
            <w:tcBorders>
              <w:left w:val="single" w:sz="4" w:space="0" w:color="BFBFBF" w:themeColor="background1" w:themeShade="BF"/>
            </w:tcBorders>
          </w:tcPr>
          <w:p w:rsidR="00195BE7" w:rsidRPr="001E2F6E" w:rsidRDefault="00195BE7" w:rsidP="00195BE7">
            <w:pPr>
              <w:spacing w:line="240" w:lineRule="exact"/>
              <w:ind w:right="284"/>
              <w:jc w:val="right"/>
              <w:rPr>
                <w:sz w:val="16"/>
                <w:szCs w:val="16"/>
              </w:rPr>
            </w:pPr>
            <w:r w:rsidRPr="001E2F6E">
              <w:rPr>
                <w:sz w:val="16"/>
                <w:szCs w:val="16"/>
              </w:rPr>
              <w:t>142.202</w:t>
            </w:r>
          </w:p>
        </w:tc>
        <w:tc>
          <w:tcPr>
            <w:tcW w:w="774" w:type="pct"/>
          </w:tcPr>
          <w:p w:rsidR="00195BE7" w:rsidRPr="001E2F6E" w:rsidRDefault="00195BE7" w:rsidP="00195BE7">
            <w:pPr>
              <w:spacing w:line="240" w:lineRule="exact"/>
              <w:ind w:right="284"/>
              <w:jc w:val="right"/>
              <w:rPr>
                <w:sz w:val="16"/>
                <w:szCs w:val="16"/>
              </w:rPr>
            </w:pPr>
            <w:r w:rsidRPr="001E2F6E">
              <w:rPr>
                <w:sz w:val="16"/>
                <w:szCs w:val="16"/>
              </w:rPr>
              <w:t>7,5</w:t>
            </w:r>
          </w:p>
        </w:tc>
      </w:tr>
      <w:tr w:rsidR="00195BE7" w:rsidRPr="001E2F6E" w:rsidTr="00195BE7">
        <w:trPr>
          <w:jc w:val="center"/>
        </w:trPr>
        <w:tc>
          <w:tcPr>
            <w:tcW w:w="1431" w:type="pct"/>
            <w:tcBorders>
              <w:bottom w:val="single" w:sz="4" w:space="0" w:color="BFBFBF" w:themeColor="background1" w:themeShade="BF"/>
              <w:right w:val="single" w:sz="4" w:space="0" w:color="BFBFBF" w:themeColor="background1" w:themeShade="BF"/>
            </w:tcBorders>
          </w:tcPr>
          <w:p w:rsidR="00195BE7" w:rsidRPr="001E2F6E" w:rsidRDefault="00195BE7" w:rsidP="00195BE7">
            <w:pPr>
              <w:spacing w:line="240" w:lineRule="exact"/>
              <w:rPr>
                <w:sz w:val="16"/>
                <w:szCs w:val="16"/>
                <w:lang w:val="eu-ES"/>
              </w:rPr>
            </w:pPr>
            <w:r w:rsidRPr="001E2F6E">
              <w:rPr>
                <w:sz w:val="16"/>
                <w:szCs w:val="16"/>
                <w:lang w:val="eu-ES"/>
              </w:rPr>
              <w:t>Zerbitzuak</w:t>
            </w:r>
          </w:p>
        </w:tc>
        <w:tc>
          <w:tcPr>
            <w:tcW w:w="931" w:type="pct"/>
            <w:tcBorders>
              <w:left w:val="single" w:sz="4" w:space="0" w:color="BFBFBF" w:themeColor="background1" w:themeShade="BF"/>
              <w:bottom w:val="single" w:sz="4" w:space="0" w:color="BFBFBF" w:themeColor="background1" w:themeShade="BF"/>
            </w:tcBorders>
          </w:tcPr>
          <w:p w:rsidR="00195BE7" w:rsidRPr="001E2F6E" w:rsidRDefault="00195BE7" w:rsidP="00195BE7">
            <w:pPr>
              <w:spacing w:line="240" w:lineRule="exact"/>
              <w:ind w:right="284"/>
              <w:jc w:val="right"/>
              <w:rPr>
                <w:sz w:val="16"/>
                <w:szCs w:val="16"/>
              </w:rPr>
            </w:pPr>
            <w:r w:rsidRPr="001E2F6E">
              <w:rPr>
                <w:sz w:val="16"/>
                <w:szCs w:val="16"/>
              </w:rPr>
              <w:t>90.468.743</w:t>
            </w:r>
          </w:p>
        </w:tc>
        <w:tc>
          <w:tcPr>
            <w:tcW w:w="776" w:type="pct"/>
            <w:tcBorders>
              <w:bottom w:val="single" w:sz="4" w:space="0" w:color="BFBFBF" w:themeColor="background1" w:themeShade="BF"/>
              <w:right w:val="single" w:sz="4" w:space="0" w:color="BFBFBF" w:themeColor="background1" w:themeShade="BF"/>
            </w:tcBorders>
          </w:tcPr>
          <w:p w:rsidR="00195BE7" w:rsidRPr="001E2F6E" w:rsidRDefault="00195BE7" w:rsidP="00195BE7">
            <w:pPr>
              <w:spacing w:line="240" w:lineRule="exact"/>
              <w:ind w:right="284"/>
              <w:jc w:val="right"/>
              <w:rPr>
                <w:sz w:val="16"/>
                <w:szCs w:val="16"/>
              </w:rPr>
            </w:pPr>
            <w:r w:rsidRPr="001E2F6E">
              <w:rPr>
                <w:sz w:val="16"/>
                <w:szCs w:val="16"/>
              </w:rPr>
              <w:t>100</w:t>
            </w:r>
          </w:p>
        </w:tc>
        <w:tc>
          <w:tcPr>
            <w:tcW w:w="1088" w:type="pct"/>
            <w:tcBorders>
              <w:left w:val="single" w:sz="4" w:space="0" w:color="BFBFBF" w:themeColor="background1" w:themeShade="BF"/>
              <w:bottom w:val="single" w:sz="4" w:space="0" w:color="BFBFBF" w:themeColor="background1" w:themeShade="BF"/>
            </w:tcBorders>
          </w:tcPr>
          <w:p w:rsidR="00195BE7" w:rsidRPr="001E2F6E" w:rsidRDefault="00195BE7" w:rsidP="00195BE7">
            <w:pPr>
              <w:spacing w:line="240" w:lineRule="exact"/>
              <w:ind w:right="284"/>
              <w:jc w:val="right"/>
              <w:rPr>
                <w:sz w:val="16"/>
                <w:szCs w:val="16"/>
              </w:rPr>
            </w:pPr>
            <w:r w:rsidRPr="001E2F6E">
              <w:rPr>
                <w:sz w:val="16"/>
                <w:szCs w:val="16"/>
              </w:rPr>
              <w:t>21.107.989</w:t>
            </w:r>
          </w:p>
        </w:tc>
        <w:tc>
          <w:tcPr>
            <w:tcW w:w="774" w:type="pct"/>
            <w:tcBorders>
              <w:bottom w:val="single" w:sz="4" w:space="0" w:color="BFBFBF" w:themeColor="background1" w:themeShade="BF"/>
            </w:tcBorders>
          </w:tcPr>
          <w:p w:rsidR="00195BE7" w:rsidRPr="001E2F6E" w:rsidRDefault="00195BE7" w:rsidP="00195BE7">
            <w:pPr>
              <w:spacing w:line="240" w:lineRule="exact"/>
              <w:ind w:right="284"/>
              <w:jc w:val="right"/>
              <w:rPr>
                <w:sz w:val="16"/>
                <w:szCs w:val="16"/>
              </w:rPr>
            </w:pPr>
            <w:r w:rsidRPr="001E2F6E">
              <w:rPr>
                <w:sz w:val="16"/>
                <w:szCs w:val="16"/>
              </w:rPr>
              <w:t>23,3</w:t>
            </w:r>
          </w:p>
        </w:tc>
      </w:tr>
      <w:tr w:rsidR="00195BE7" w:rsidRPr="001E2F6E" w:rsidTr="00195BE7">
        <w:trPr>
          <w:jc w:val="center"/>
        </w:trPr>
        <w:tc>
          <w:tcPr>
            <w:tcW w:w="1431" w:type="pct"/>
            <w:tcBorders>
              <w:top w:val="single" w:sz="4" w:space="0" w:color="BFBFBF" w:themeColor="background1" w:themeShade="BF"/>
              <w:bottom w:val="single" w:sz="4" w:space="0" w:color="BFBFBF" w:themeColor="background1" w:themeShade="BF"/>
              <w:right w:val="single" w:sz="4" w:space="0" w:color="BFBFBF" w:themeColor="background1" w:themeShade="BF"/>
            </w:tcBorders>
          </w:tcPr>
          <w:p w:rsidR="00195BE7" w:rsidRPr="001E2F6E" w:rsidRDefault="00195BE7" w:rsidP="00195BE7">
            <w:pPr>
              <w:spacing w:line="240" w:lineRule="exact"/>
              <w:rPr>
                <w:b/>
                <w:bCs/>
                <w:sz w:val="16"/>
                <w:szCs w:val="16"/>
                <w:lang w:val="eu-ES"/>
              </w:rPr>
            </w:pPr>
            <w:r w:rsidRPr="001E2F6E">
              <w:rPr>
                <w:b/>
                <w:bCs/>
                <w:sz w:val="16"/>
                <w:szCs w:val="16"/>
                <w:lang w:val="eu-ES"/>
              </w:rPr>
              <w:t>GUZTIRA</w:t>
            </w:r>
          </w:p>
        </w:tc>
        <w:tc>
          <w:tcPr>
            <w:tcW w:w="931" w:type="pct"/>
            <w:tcBorders>
              <w:top w:val="single" w:sz="4" w:space="0" w:color="BFBFBF" w:themeColor="background1" w:themeShade="BF"/>
              <w:left w:val="single" w:sz="4" w:space="0" w:color="BFBFBF" w:themeColor="background1" w:themeShade="BF"/>
              <w:bottom w:val="single" w:sz="4" w:space="0" w:color="BFBFBF" w:themeColor="background1" w:themeShade="BF"/>
            </w:tcBorders>
            <w:noWrap/>
          </w:tcPr>
          <w:p w:rsidR="00195BE7" w:rsidRPr="001E2F6E" w:rsidRDefault="00195BE7" w:rsidP="00195BE7">
            <w:pPr>
              <w:spacing w:line="240" w:lineRule="exact"/>
              <w:ind w:right="284"/>
              <w:jc w:val="right"/>
              <w:rPr>
                <w:b/>
                <w:sz w:val="16"/>
                <w:szCs w:val="16"/>
              </w:rPr>
            </w:pPr>
            <w:r w:rsidRPr="001E2F6E">
              <w:rPr>
                <w:b/>
                <w:sz w:val="16"/>
                <w:szCs w:val="16"/>
              </w:rPr>
              <w:t>191.913.236</w:t>
            </w:r>
          </w:p>
        </w:tc>
        <w:tc>
          <w:tcPr>
            <w:tcW w:w="776" w:type="pct"/>
            <w:tcBorders>
              <w:top w:val="single" w:sz="4" w:space="0" w:color="BFBFBF" w:themeColor="background1" w:themeShade="BF"/>
              <w:bottom w:val="single" w:sz="4" w:space="0" w:color="BFBFBF" w:themeColor="background1" w:themeShade="BF"/>
              <w:right w:val="single" w:sz="4" w:space="0" w:color="BFBFBF" w:themeColor="background1" w:themeShade="BF"/>
            </w:tcBorders>
          </w:tcPr>
          <w:p w:rsidR="00195BE7" w:rsidRPr="001E2F6E" w:rsidRDefault="00195BE7" w:rsidP="00195BE7">
            <w:pPr>
              <w:spacing w:line="240" w:lineRule="exact"/>
              <w:ind w:right="284"/>
              <w:jc w:val="right"/>
              <w:rPr>
                <w:b/>
                <w:bCs/>
                <w:sz w:val="16"/>
                <w:szCs w:val="16"/>
              </w:rPr>
            </w:pPr>
            <w:r w:rsidRPr="001E2F6E">
              <w:rPr>
                <w:b/>
                <w:bCs/>
                <w:sz w:val="16"/>
                <w:szCs w:val="16"/>
              </w:rPr>
              <w:t>100</w:t>
            </w:r>
          </w:p>
        </w:tc>
        <w:tc>
          <w:tcPr>
            <w:tcW w:w="1088" w:type="pct"/>
            <w:tcBorders>
              <w:top w:val="single" w:sz="4" w:space="0" w:color="BFBFBF" w:themeColor="background1" w:themeShade="BF"/>
              <w:left w:val="single" w:sz="4" w:space="0" w:color="BFBFBF" w:themeColor="background1" w:themeShade="BF"/>
              <w:bottom w:val="single" w:sz="4" w:space="0" w:color="BFBFBF" w:themeColor="background1" w:themeShade="BF"/>
            </w:tcBorders>
            <w:noWrap/>
          </w:tcPr>
          <w:p w:rsidR="00195BE7" w:rsidRPr="001E2F6E" w:rsidRDefault="00195BE7" w:rsidP="00195BE7">
            <w:pPr>
              <w:spacing w:line="240" w:lineRule="exact"/>
              <w:ind w:right="284"/>
              <w:jc w:val="right"/>
              <w:rPr>
                <w:sz w:val="16"/>
                <w:szCs w:val="16"/>
              </w:rPr>
            </w:pPr>
            <w:r w:rsidRPr="001E2F6E">
              <w:rPr>
                <w:b/>
                <w:sz w:val="16"/>
                <w:szCs w:val="16"/>
              </w:rPr>
              <w:t>40.663.788</w:t>
            </w:r>
          </w:p>
        </w:tc>
        <w:tc>
          <w:tcPr>
            <w:tcW w:w="774" w:type="pct"/>
            <w:tcBorders>
              <w:top w:val="single" w:sz="4" w:space="0" w:color="BFBFBF" w:themeColor="background1" w:themeShade="BF"/>
              <w:bottom w:val="single" w:sz="4" w:space="0" w:color="BFBFBF" w:themeColor="background1" w:themeShade="BF"/>
            </w:tcBorders>
          </w:tcPr>
          <w:p w:rsidR="00195BE7" w:rsidRPr="001E2F6E" w:rsidRDefault="00195BE7" w:rsidP="00195BE7">
            <w:pPr>
              <w:spacing w:line="240" w:lineRule="exact"/>
              <w:ind w:right="284"/>
              <w:jc w:val="right"/>
              <w:rPr>
                <w:b/>
                <w:sz w:val="16"/>
                <w:szCs w:val="16"/>
              </w:rPr>
            </w:pPr>
            <w:r w:rsidRPr="001E2F6E">
              <w:rPr>
                <w:b/>
                <w:sz w:val="16"/>
                <w:szCs w:val="16"/>
              </w:rPr>
              <w:t>21,2</w:t>
            </w:r>
          </w:p>
        </w:tc>
      </w:tr>
    </w:tbl>
    <w:p w:rsidR="00195BE7" w:rsidRPr="001E2F6E" w:rsidRDefault="00195BE7" w:rsidP="00195BE7"/>
    <w:p w:rsidR="00195BE7" w:rsidRPr="001E2F6E" w:rsidRDefault="00195BE7" w:rsidP="00195BE7"/>
    <w:p w:rsidR="00195BE7" w:rsidRPr="001E2F6E" w:rsidRDefault="00195BE7" w:rsidP="00195BE7"/>
    <w:p w:rsidR="00195BE7" w:rsidRPr="001E2F6E" w:rsidRDefault="00195BE7" w:rsidP="00195BE7">
      <w:pPr>
        <w:spacing w:after="200" w:line="276" w:lineRule="auto"/>
        <w:jc w:val="left"/>
        <w:rPr>
          <w:rFonts w:eastAsia="Times New Roman" w:cs="Times New Roman"/>
          <w:b/>
          <w:snapToGrid w:val="0"/>
          <w:color w:val="1F497D" w:themeColor="text2"/>
          <w:sz w:val="26"/>
          <w:szCs w:val="26"/>
          <w:lang w:eastAsia="es-ES"/>
        </w:rPr>
      </w:pPr>
      <w:r w:rsidRPr="001E2F6E">
        <w:rPr>
          <w:color w:val="1F497D" w:themeColor="text2"/>
          <w:sz w:val="26"/>
          <w:szCs w:val="26"/>
        </w:rPr>
        <w:br w:type="page"/>
      </w:r>
    </w:p>
    <w:p w:rsidR="00195BE7" w:rsidRPr="001E2F6E" w:rsidRDefault="00195BE7" w:rsidP="00195BE7">
      <w:pPr>
        <w:pStyle w:val="Ttulo1"/>
        <w:ind w:left="708" w:hanging="708"/>
        <w:rPr>
          <w:color w:val="1F497D" w:themeColor="text2"/>
          <w:sz w:val="26"/>
          <w:szCs w:val="26"/>
        </w:rPr>
      </w:pPr>
      <w:bookmarkStart w:id="110" w:name="_Toc391989013"/>
      <w:bookmarkStart w:id="111" w:name="_Toc392585676"/>
      <w:r w:rsidRPr="001E2F6E">
        <w:rPr>
          <w:color w:val="1F497D" w:themeColor="text2"/>
          <w:sz w:val="26"/>
          <w:szCs w:val="26"/>
        </w:rPr>
        <w:lastRenderedPageBreak/>
        <w:t>2.-</w:t>
      </w:r>
      <w:r w:rsidRPr="001E2F6E">
        <w:rPr>
          <w:color w:val="1F497D" w:themeColor="text2"/>
          <w:sz w:val="26"/>
          <w:szCs w:val="26"/>
        </w:rPr>
        <w:tab/>
      </w:r>
      <w:r w:rsidRPr="001E2F6E">
        <w:rPr>
          <w:color w:val="1F497D" w:themeColor="text2"/>
          <w:sz w:val="26"/>
          <w:szCs w:val="26"/>
          <w:lang w:val="eu-ES"/>
        </w:rPr>
        <w:t>GIZARTE-EKONOMIAREN PROFIL JURIDIKOA</w:t>
      </w:r>
      <w:bookmarkEnd w:id="110"/>
      <w:bookmarkEnd w:id="111"/>
    </w:p>
    <w:p w:rsidR="00195BE7" w:rsidRPr="001E2F6E" w:rsidRDefault="00195BE7" w:rsidP="00195BE7"/>
    <w:p w:rsidR="00195BE7" w:rsidRPr="001E2F6E" w:rsidRDefault="00195BE7" w:rsidP="00195BE7"/>
    <w:p w:rsidR="00195BE7" w:rsidRPr="001E2F6E" w:rsidRDefault="00195BE7" w:rsidP="00195BE7">
      <w:pPr>
        <w:pStyle w:val="Ttulo1"/>
        <w:ind w:left="708" w:hanging="708"/>
        <w:rPr>
          <w:color w:val="1F497D" w:themeColor="text2"/>
          <w:sz w:val="22"/>
          <w:szCs w:val="22"/>
        </w:rPr>
      </w:pPr>
      <w:bookmarkStart w:id="112" w:name="_Toc391989014"/>
      <w:bookmarkStart w:id="113" w:name="_Toc392585677"/>
      <w:r w:rsidRPr="001E2F6E">
        <w:rPr>
          <w:color w:val="1F497D" w:themeColor="text2"/>
          <w:sz w:val="22"/>
          <w:szCs w:val="22"/>
        </w:rPr>
        <w:t>2.1.-</w:t>
      </w:r>
      <w:r w:rsidRPr="001E2F6E">
        <w:rPr>
          <w:color w:val="1F497D" w:themeColor="text2"/>
          <w:sz w:val="22"/>
          <w:szCs w:val="22"/>
        </w:rPr>
        <w:tab/>
      </w:r>
      <w:r w:rsidRPr="001E2F6E">
        <w:rPr>
          <w:color w:val="1F497D" w:themeColor="text2"/>
          <w:sz w:val="22"/>
          <w:szCs w:val="22"/>
          <w:lang w:val="eu-ES"/>
        </w:rPr>
        <w:t>ESTABLEZIMENDUAK ETA ENPLEGUAK</w:t>
      </w:r>
      <w:bookmarkEnd w:id="112"/>
      <w:bookmarkEnd w:id="113"/>
    </w:p>
    <w:p w:rsidR="00195BE7" w:rsidRDefault="00195BE7" w:rsidP="00195BE7"/>
    <w:p w:rsidR="00067A2F" w:rsidRPr="001E2F6E" w:rsidRDefault="00067A2F" w:rsidP="00195BE7"/>
    <w:p w:rsidR="00195BE7" w:rsidRPr="001E2F6E" w:rsidRDefault="00195BE7" w:rsidP="00195BE7">
      <w:pPr>
        <w:spacing w:line="240" w:lineRule="auto"/>
        <w:jc w:val="center"/>
        <w:rPr>
          <w:b/>
          <w:color w:val="1F497D" w:themeColor="text2"/>
          <w:sz w:val="18"/>
          <w:szCs w:val="18"/>
        </w:rPr>
      </w:pPr>
      <w:bookmarkStart w:id="114" w:name="_Toc391989098"/>
      <w:bookmarkStart w:id="115" w:name="_Toc392585763"/>
      <w:r w:rsidRPr="001E2F6E">
        <w:rPr>
          <w:b/>
          <w:color w:val="1F497D" w:themeColor="text2"/>
          <w:sz w:val="18"/>
          <w:szCs w:val="18"/>
        </w:rPr>
        <w:t>1.</w:t>
      </w:r>
      <w:r w:rsidR="00EB6BA6" w:rsidRPr="001E2F6E">
        <w:rPr>
          <w:b/>
          <w:color w:val="1F497D" w:themeColor="text2"/>
          <w:sz w:val="18"/>
          <w:szCs w:val="18"/>
        </w:rPr>
        <w:fldChar w:fldCharType="begin"/>
      </w:r>
      <w:r w:rsidRPr="001E2F6E">
        <w:rPr>
          <w:b/>
          <w:color w:val="1F497D" w:themeColor="text2"/>
          <w:sz w:val="18"/>
          <w:szCs w:val="18"/>
        </w:rPr>
        <w:instrText xml:space="preserve"> SEQ Cuadro_1. \* ARABIC </w:instrText>
      </w:r>
      <w:r w:rsidR="00EB6BA6" w:rsidRPr="001E2F6E">
        <w:rPr>
          <w:b/>
          <w:color w:val="1F497D" w:themeColor="text2"/>
          <w:sz w:val="18"/>
          <w:szCs w:val="18"/>
        </w:rPr>
        <w:fldChar w:fldCharType="separate"/>
      </w:r>
      <w:r w:rsidR="00A327D4">
        <w:rPr>
          <w:b/>
          <w:noProof/>
          <w:color w:val="1F497D" w:themeColor="text2"/>
          <w:sz w:val="18"/>
          <w:szCs w:val="18"/>
        </w:rPr>
        <w:t>28</w:t>
      </w:r>
      <w:r w:rsidR="00EB6BA6" w:rsidRPr="001E2F6E">
        <w:rPr>
          <w:b/>
          <w:color w:val="1F497D" w:themeColor="text2"/>
          <w:sz w:val="18"/>
          <w:szCs w:val="18"/>
        </w:rPr>
        <w:fldChar w:fldCharType="end"/>
      </w:r>
      <w:r w:rsidRPr="001E2F6E">
        <w:rPr>
          <w:b/>
          <w:color w:val="1F497D" w:themeColor="text2"/>
          <w:sz w:val="18"/>
          <w:szCs w:val="18"/>
        </w:rPr>
        <w:t xml:space="preserve"> Taula -2012ean GIZARTE-EKONOMIAREN ESTABLEZIMENDUEK IZANDAKO BILAKAERA, FORMA JURIDIKOAREN ARABERA 2010-2012 (zifra absolutuak, % bertikalak)</w:t>
      </w:r>
      <w:bookmarkEnd w:id="114"/>
      <w:bookmarkEnd w:id="115"/>
    </w:p>
    <w:tbl>
      <w:tblPr>
        <w:tblW w:w="5000" w:type="pct"/>
        <w:jc w:val="center"/>
        <w:tblLook w:val="04A0" w:firstRow="1" w:lastRow="0" w:firstColumn="1" w:lastColumn="0" w:noHBand="0" w:noVBand="1"/>
      </w:tblPr>
      <w:tblGrid>
        <w:gridCol w:w="1893"/>
        <w:gridCol w:w="1315"/>
        <w:gridCol w:w="1243"/>
        <w:gridCol w:w="1315"/>
        <w:gridCol w:w="1450"/>
        <w:gridCol w:w="1788"/>
      </w:tblGrid>
      <w:tr w:rsidR="00195BE7" w:rsidRPr="001E2F6E" w:rsidTr="00195BE7">
        <w:trPr>
          <w:jc w:val="center"/>
        </w:trPr>
        <w:tc>
          <w:tcPr>
            <w:tcW w:w="1051" w:type="pct"/>
            <w:tcBorders>
              <w:top w:val="single" w:sz="4" w:space="0" w:color="BFBFBF" w:themeColor="background1" w:themeShade="BF"/>
              <w:right w:val="single" w:sz="4" w:space="0" w:color="BFBFBF" w:themeColor="background1" w:themeShade="BF"/>
            </w:tcBorders>
            <w:shd w:val="clear" w:color="auto" w:fill="DBE5F1" w:themeFill="accent1" w:themeFillTint="33"/>
            <w:vAlign w:val="center"/>
            <w:hideMark/>
          </w:tcPr>
          <w:p w:rsidR="00195BE7" w:rsidRPr="001E2F6E" w:rsidRDefault="00195BE7" w:rsidP="00195BE7">
            <w:pPr>
              <w:spacing w:line="240" w:lineRule="exact"/>
              <w:jc w:val="center"/>
              <w:rPr>
                <w:b/>
                <w:bCs/>
                <w:sz w:val="16"/>
                <w:szCs w:val="16"/>
              </w:rPr>
            </w:pPr>
          </w:p>
        </w:tc>
        <w:tc>
          <w:tcPr>
            <w:tcW w:w="1420"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hideMark/>
          </w:tcPr>
          <w:p w:rsidR="00195BE7" w:rsidRPr="001E2F6E" w:rsidRDefault="00195BE7" w:rsidP="00195BE7">
            <w:pPr>
              <w:spacing w:line="240" w:lineRule="exact"/>
              <w:jc w:val="center"/>
              <w:rPr>
                <w:b/>
                <w:bCs/>
                <w:sz w:val="16"/>
                <w:szCs w:val="16"/>
              </w:rPr>
            </w:pPr>
            <w:r w:rsidRPr="001E2F6E">
              <w:rPr>
                <w:b/>
                <w:bCs/>
                <w:sz w:val="16"/>
                <w:szCs w:val="16"/>
                <w:lang w:val="pt-BR"/>
              </w:rPr>
              <w:t>2010</w:t>
            </w:r>
          </w:p>
        </w:tc>
        <w:tc>
          <w:tcPr>
            <w:tcW w:w="1535"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hideMark/>
          </w:tcPr>
          <w:p w:rsidR="00195BE7" w:rsidRPr="001E2F6E" w:rsidRDefault="00195BE7" w:rsidP="00195BE7">
            <w:pPr>
              <w:spacing w:line="240" w:lineRule="exact"/>
              <w:jc w:val="center"/>
              <w:rPr>
                <w:b/>
                <w:bCs/>
                <w:sz w:val="16"/>
                <w:szCs w:val="16"/>
              </w:rPr>
            </w:pPr>
            <w:r w:rsidRPr="001E2F6E">
              <w:rPr>
                <w:b/>
                <w:bCs/>
                <w:sz w:val="16"/>
                <w:szCs w:val="16"/>
                <w:lang w:val="pt-BR"/>
              </w:rPr>
              <w:t>2012</w:t>
            </w:r>
          </w:p>
        </w:tc>
        <w:tc>
          <w:tcPr>
            <w:tcW w:w="993" w:type="pct"/>
            <w:vMerge w:val="restart"/>
            <w:tcBorders>
              <w:top w:val="single" w:sz="4" w:space="0" w:color="BFBFBF" w:themeColor="background1" w:themeShade="BF"/>
              <w:left w:val="single" w:sz="4" w:space="0" w:color="BFBFBF" w:themeColor="background1" w:themeShade="BF"/>
            </w:tcBorders>
            <w:shd w:val="clear" w:color="auto" w:fill="DBE5F1" w:themeFill="accent1" w:themeFillTint="33"/>
            <w:vAlign w:val="center"/>
            <w:hideMark/>
          </w:tcPr>
          <w:p w:rsidR="00195BE7" w:rsidRPr="001E2F6E" w:rsidRDefault="00195BE7" w:rsidP="00195BE7">
            <w:pPr>
              <w:spacing w:line="240" w:lineRule="exact"/>
              <w:jc w:val="center"/>
              <w:rPr>
                <w:b/>
                <w:bCs/>
                <w:sz w:val="16"/>
                <w:szCs w:val="16"/>
              </w:rPr>
            </w:pPr>
            <w:r w:rsidRPr="001E2F6E">
              <w:rPr>
                <w:b/>
                <w:bCs/>
                <w:sz w:val="16"/>
                <w:szCs w:val="16"/>
                <w:lang w:val="pt-BR"/>
              </w:rPr>
              <w:t>%∆12/10 (1)</w:t>
            </w:r>
          </w:p>
        </w:tc>
      </w:tr>
      <w:tr w:rsidR="00195BE7" w:rsidRPr="001E2F6E" w:rsidTr="00195BE7">
        <w:trPr>
          <w:jc w:val="center"/>
        </w:trPr>
        <w:tc>
          <w:tcPr>
            <w:tcW w:w="1051" w:type="pct"/>
            <w:tcBorders>
              <w:bottom w:val="single" w:sz="4" w:space="0" w:color="BFBFBF" w:themeColor="background1" w:themeShade="BF"/>
              <w:right w:val="single" w:sz="4" w:space="0" w:color="BFBFBF" w:themeColor="background1" w:themeShade="BF"/>
            </w:tcBorders>
            <w:shd w:val="clear" w:color="auto" w:fill="DBE5F1" w:themeFill="accent1" w:themeFillTint="33"/>
            <w:vAlign w:val="center"/>
            <w:hideMark/>
          </w:tcPr>
          <w:p w:rsidR="00195BE7" w:rsidRPr="001E2F6E" w:rsidRDefault="00195BE7" w:rsidP="00195BE7">
            <w:pPr>
              <w:spacing w:line="240" w:lineRule="exact"/>
              <w:jc w:val="center"/>
              <w:rPr>
                <w:sz w:val="16"/>
                <w:szCs w:val="16"/>
              </w:rPr>
            </w:pPr>
          </w:p>
        </w:tc>
        <w:tc>
          <w:tcPr>
            <w:tcW w:w="730"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vAlign w:val="center"/>
            <w:hideMark/>
          </w:tcPr>
          <w:p w:rsidR="00195BE7" w:rsidRPr="001E2F6E" w:rsidRDefault="00195BE7" w:rsidP="00195BE7">
            <w:pPr>
              <w:spacing w:line="240" w:lineRule="exact"/>
              <w:jc w:val="center"/>
              <w:rPr>
                <w:b/>
                <w:bCs/>
                <w:sz w:val="16"/>
                <w:szCs w:val="16"/>
              </w:rPr>
            </w:pPr>
            <w:r w:rsidRPr="001E2F6E">
              <w:rPr>
                <w:b/>
                <w:bCs/>
                <w:sz w:val="16"/>
                <w:szCs w:val="16"/>
                <w:lang w:val="pt-BR"/>
              </w:rPr>
              <w:t>z.a.</w:t>
            </w:r>
          </w:p>
        </w:tc>
        <w:tc>
          <w:tcPr>
            <w:tcW w:w="690"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hideMark/>
          </w:tcPr>
          <w:p w:rsidR="00195BE7" w:rsidRPr="001E2F6E" w:rsidRDefault="00195BE7" w:rsidP="00195BE7">
            <w:pPr>
              <w:spacing w:line="240" w:lineRule="exact"/>
              <w:jc w:val="center"/>
              <w:rPr>
                <w:b/>
                <w:bCs/>
                <w:sz w:val="16"/>
                <w:szCs w:val="16"/>
              </w:rPr>
            </w:pPr>
            <w:r w:rsidRPr="001E2F6E">
              <w:rPr>
                <w:b/>
                <w:bCs/>
                <w:sz w:val="16"/>
                <w:szCs w:val="16"/>
                <w:lang w:val="pt-BR"/>
              </w:rPr>
              <w:t>%ber.</w:t>
            </w:r>
          </w:p>
        </w:tc>
        <w:tc>
          <w:tcPr>
            <w:tcW w:w="730"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vAlign w:val="center"/>
            <w:hideMark/>
          </w:tcPr>
          <w:p w:rsidR="00195BE7" w:rsidRPr="001E2F6E" w:rsidRDefault="00195BE7" w:rsidP="00195BE7">
            <w:pPr>
              <w:spacing w:line="240" w:lineRule="exact"/>
              <w:jc w:val="center"/>
              <w:rPr>
                <w:b/>
                <w:bCs/>
                <w:sz w:val="16"/>
                <w:szCs w:val="16"/>
              </w:rPr>
            </w:pPr>
            <w:r w:rsidRPr="001E2F6E">
              <w:rPr>
                <w:b/>
                <w:bCs/>
                <w:sz w:val="16"/>
                <w:szCs w:val="16"/>
                <w:lang w:val="pt-BR"/>
              </w:rPr>
              <w:t>z.a.</w:t>
            </w:r>
          </w:p>
        </w:tc>
        <w:tc>
          <w:tcPr>
            <w:tcW w:w="805"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hideMark/>
          </w:tcPr>
          <w:p w:rsidR="00195BE7" w:rsidRPr="001E2F6E" w:rsidRDefault="00195BE7" w:rsidP="00195BE7">
            <w:pPr>
              <w:spacing w:line="240" w:lineRule="exact"/>
              <w:jc w:val="center"/>
              <w:rPr>
                <w:b/>
                <w:bCs/>
                <w:sz w:val="16"/>
                <w:szCs w:val="16"/>
              </w:rPr>
            </w:pPr>
            <w:r w:rsidRPr="001E2F6E">
              <w:rPr>
                <w:b/>
                <w:bCs/>
                <w:sz w:val="16"/>
                <w:szCs w:val="16"/>
                <w:lang w:val="pt-BR"/>
              </w:rPr>
              <w:t>%ber.</w:t>
            </w:r>
          </w:p>
        </w:tc>
        <w:tc>
          <w:tcPr>
            <w:tcW w:w="993" w:type="pct"/>
            <w:vMerge/>
            <w:tcBorders>
              <w:left w:val="single" w:sz="4" w:space="0" w:color="BFBFBF" w:themeColor="background1" w:themeShade="BF"/>
              <w:bottom w:val="single" w:sz="4" w:space="0" w:color="BFBFBF" w:themeColor="background1" w:themeShade="BF"/>
            </w:tcBorders>
            <w:shd w:val="clear" w:color="auto" w:fill="DBE5F1" w:themeFill="accent1" w:themeFillTint="33"/>
            <w:vAlign w:val="center"/>
            <w:hideMark/>
          </w:tcPr>
          <w:p w:rsidR="00195BE7" w:rsidRPr="001E2F6E" w:rsidRDefault="00195BE7" w:rsidP="00195BE7">
            <w:pPr>
              <w:spacing w:line="240" w:lineRule="exact"/>
              <w:jc w:val="center"/>
              <w:rPr>
                <w:b/>
                <w:bCs/>
                <w:sz w:val="16"/>
                <w:szCs w:val="16"/>
              </w:rPr>
            </w:pPr>
          </w:p>
        </w:tc>
      </w:tr>
      <w:tr w:rsidR="00195BE7" w:rsidRPr="001E2F6E" w:rsidTr="00195BE7">
        <w:trPr>
          <w:jc w:val="center"/>
        </w:trPr>
        <w:tc>
          <w:tcPr>
            <w:tcW w:w="1051" w:type="pct"/>
            <w:tcBorders>
              <w:top w:val="single" w:sz="4" w:space="0" w:color="BFBFBF" w:themeColor="background1" w:themeShade="BF"/>
              <w:right w:val="single" w:sz="4" w:space="0" w:color="BFBFBF" w:themeColor="background1" w:themeShade="BF"/>
            </w:tcBorders>
            <w:hideMark/>
          </w:tcPr>
          <w:p w:rsidR="00195BE7" w:rsidRPr="001E2F6E" w:rsidRDefault="00195BE7" w:rsidP="00195BE7">
            <w:pPr>
              <w:spacing w:line="240" w:lineRule="exact"/>
              <w:rPr>
                <w:sz w:val="16"/>
                <w:szCs w:val="16"/>
                <w:lang w:val="eu-ES"/>
              </w:rPr>
            </w:pPr>
            <w:r w:rsidRPr="001E2F6E">
              <w:rPr>
                <w:sz w:val="16"/>
                <w:szCs w:val="16"/>
                <w:lang w:val="eu-ES"/>
              </w:rPr>
              <w:t>Kooperatibak</w:t>
            </w:r>
          </w:p>
        </w:tc>
        <w:tc>
          <w:tcPr>
            <w:tcW w:w="730" w:type="pct"/>
            <w:tcBorders>
              <w:top w:val="single" w:sz="4" w:space="0" w:color="BFBFBF" w:themeColor="background1" w:themeShade="BF"/>
              <w:left w:val="single" w:sz="4" w:space="0" w:color="BFBFBF" w:themeColor="background1" w:themeShade="BF"/>
            </w:tcBorders>
            <w:vAlign w:val="center"/>
            <w:hideMark/>
          </w:tcPr>
          <w:p w:rsidR="00195BE7" w:rsidRPr="001E2F6E" w:rsidRDefault="00195BE7" w:rsidP="00195BE7">
            <w:pPr>
              <w:spacing w:line="240" w:lineRule="exact"/>
              <w:ind w:right="284"/>
              <w:jc w:val="right"/>
              <w:rPr>
                <w:sz w:val="16"/>
                <w:szCs w:val="16"/>
              </w:rPr>
            </w:pPr>
            <w:r w:rsidRPr="001E2F6E">
              <w:rPr>
                <w:sz w:val="16"/>
                <w:szCs w:val="16"/>
                <w:lang w:val="pt-BR"/>
              </w:rPr>
              <w:t>2.029</w:t>
            </w:r>
          </w:p>
        </w:tc>
        <w:tc>
          <w:tcPr>
            <w:tcW w:w="690" w:type="pct"/>
            <w:tcBorders>
              <w:top w:val="single" w:sz="4" w:space="0" w:color="BFBFBF" w:themeColor="background1" w:themeShade="BF"/>
              <w:right w:val="single" w:sz="4" w:space="0" w:color="BFBFBF" w:themeColor="background1" w:themeShade="BF"/>
            </w:tcBorders>
            <w:vAlign w:val="center"/>
            <w:hideMark/>
          </w:tcPr>
          <w:p w:rsidR="00195BE7" w:rsidRPr="001E2F6E" w:rsidRDefault="00195BE7" w:rsidP="00195BE7">
            <w:pPr>
              <w:spacing w:line="240" w:lineRule="exact"/>
              <w:ind w:right="284"/>
              <w:jc w:val="right"/>
              <w:rPr>
                <w:sz w:val="16"/>
                <w:szCs w:val="16"/>
              </w:rPr>
            </w:pPr>
            <w:r w:rsidRPr="001E2F6E">
              <w:rPr>
                <w:sz w:val="16"/>
                <w:szCs w:val="16"/>
                <w:lang w:val="pt-BR"/>
              </w:rPr>
              <w:t>67,7</w:t>
            </w:r>
          </w:p>
        </w:tc>
        <w:tc>
          <w:tcPr>
            <w:tcW w:w="730" w:type="pct"/>
            <w:tcBorders>
              <w:top w:val="single" w:sz="4" w:space="0" w:color="BFBFBF" w:themeColor="background1" w:themeShade="BF"/>
              <w:left w:val="single" w:sz="4" w:space="0" w:color="BFBFBF" w:themeColor="background1" w:themeShade="BF"/>
            </w:tcBorders>
            <w:vAlign w:val="center"/>
            <w:hideMark/>
          </w:tcPr>
          <w:p w:rsidR="00195BE7" w:rsidRPr="001E2F6E" w:rsidRDefault="00195BE7" w:rsidP="00195BE7">
            <w:pPr>
              <w:spacing w:line="240" w:lineRule="exact"/>
              <w:ind w:right="284"/>
              <w:jc w:val="right"/>
              <w:rPr>
                <w:sz w:val="16"/>
                <w:szCs w:val="16"/>
              </w:rPr>
            </w:pPr>
            <w:r w:rsidRPr="001E2F6E">
              <w:rPr>
                <w:sz w:val="16"/>
                <w:szCs w:val="16"/>
              </w:rPr>
              <w:t>2.194</w:t>
            </w:r>
          </w:p>
        </w:tc>
        <w:tc>
          <w:tcPr>
            <w:tcW w:w="805" w:type="pct"/>
            <w:tcBorders>
              <w:top w:val="single" w:sz="4" w:space="0" w:color="BFBFBF" w:themeColor="background1" w:themeShade="BF"/>
              <w:right w:val="single" w:sz="4" w:space="0" w:color="BFBFBF" w:themeColor="background1" w:themeShade="BF"/>
            </w:tcBorders>
            <w:vAlign w:val="center"/>
            <w:hideMark/>
          </w:tcPr>
          <w:p w:rsidR="00195BE7" w:rsidRPr="001E2F6E" w:rsidRDefault="00195BE7" w:rsidP="00195BE7">
            <w:pPr>
              <w:spacing w:line="240" w:lineRule="exact"/>
              <w:ind w:right="284"/>
              <w:jc w:val="right"/>
              <w:rPr>
                <w:sz w:val="16"/>
                <w:szCs w:val="16"/>
              </w:rPr>
            </w:pPr>
            <w:r w:rsidRPr="001E2F6E">
              <w:rPr>
                <w:sz w:val="16"/>
                <w:szCs w:val="16"/>
                <w:lang w:val="pt-BR"/>
              </w:rPr>
              <w:t>71,3</w:t>
            </w:r>
          </w:p>
        </w:tc>
        <w:tc>
          <w:tcPr>
            <w:tcW w:w="993" w:type="pct"/>
            <w:tcBorders>
              <w:top w:val="single" w:sz="4" w:space="0" w:color="BFBFBF" w:themeColor="background1" w:themeShade="BF"/>
              <w:left w:val="single" w:sz="4" w:space="0" w:color="BFBFBF" w:themeColor="background1" w:themeShade="BF"/>
            </w:tcBorders>
            <w:vAlign w:val="center"/>
            <w:hideMark/>
          </w:tcPr>
          <w:p w:rsidR="00195BE7" w:rsidRPr="001E2F6E" w:rsidRDefault="00195BE7" w:rsidP="00195BE7">
            <w:pPr>
              <w:spacing w:line="240" w:lineRule="exact"/>
              <w:ind w:right="284"/>
              <w:jc w:val="right"/>
              <w:rPr>
                <w:sz w:val="16"/>
                <w:szCs w:val="16"/>
              </w:rPr>
            </w:pPr>
            <w:r w:rsidRPr="001E2F6E">
              <w:rPr>
                <w:sz w:val="16"/>
                <w:szCs w:val="16"/>
                <w:lang w:val="pt-BR"/>
              </w:rPr>
              <w:t>8,1</w:t>
            </w:r>
          </w:p>
        </w:tc>
      </w:tr>
      <w:tr w:rsidR="00195BE7" w:rsidRPr="001E2F6E" w:rsidTr="00195BE7">
        <w:trPr>
          <w:jc w:val="center"/>
        </w:trPr>
        <w:tc>
          <w:tcPr>
            <w:tcW w:w="1051" w:type="pct"/>
            <w:tcBorders>
              <w:right w:val="single" w:sz="4" w:space="0" w:color="BFBFBF" w:themeColor="background1" w:themeShade="BF"/>
            </w:tcBorders>
            <w:hideMark/>
          </w:tcPr>
          <w:p w:rsidR="00195BE7" w:rsidRPr="001E2F6E" w:rsidRDefault="00195BE7" w:rsidP="00195BE7">
            <w:pPr>
              <w:spacing w:line="240" w:lineRule="exact"/>
              <w:rPr>
                <w:sz w:val="16"/>
                <w:szCs w:val="16"/>
                <w:lang w:val="eu-ES"/>
              </w:rPr>
            </w:pPr>
            <w:r w:rsidRPr="001E2F6E">
              <w:rPr>
                <w:sz w:val="16"/>
                <w:szCs w:val="16"/>
                <w:lang w:val="eu-ES"/>
              </w:rPr>
              <w:t>LS motakoak</w:t>
            </w:r>
          </w:p>
        </w:tc>
        <w:tc>
          <w:tcPr>
            <w:tcW w:w="730" w:type="pct"/>
            <w:tcBorders>
              <w:left w:val="single" w:sz="4" w:space="0" w:color="BFBFBF" w:themeColor="background1" w:themeShade="BF"/>
            </w:tcBorders>
            <w:vAlign w:val="center"/>
            <w:hideMark/>
          </w:tcPr>
          <w:p w:rsidR="00195BE7" w:rsidRPr="001E2F6E" w:rsidRDefault="00195BE7" w:rsidP="00195BE7">
            <w:pPr>
              <w:spacing w:line="240" w:lineRule="exact"/>
              <w:ind w:right="284"/>
              <w:jc w:val="right"/>
              <w:rPr>
                <w:sz w:val="16"/>
                <w:szCs w:val="16"/>
              </w:rPr>
            </w:pPr>
            <w:r w:rsidRPr="001E2F6E">
              <w:rPr>
                <w:sz w:val="16"/>
                <w:szCs w:val="16"/>
                <w:lang w:val="pt-BR"/>
              </w:rPr>
              <w:t>968</w:t>
            </w:r>
          </w:p>
        </w:tc>
        <w:tc>
          <w:tcPr>
            <w:tcW w:w="690" w:type="pct"/>
            <w:tcBorders>
              <w:right w:val="single" w:sz="4" w:space="0" w:color="BFBFBF" w:themeColor="background1" w:themeShade="BF"/>
            </w:tcBorders>
            <w:vAlign w:val="center"/>
            <w:hideMark/>
          </w:tcPr>
          <w:p w:rsidR="00195BE7" w:rsidRPr="001E2F6E" w:rsidRDefault="00195BE7" w:rsidP="00195BE7">
            <w:pPr>
              <w:spacing w:line="240" w:lineRule="exact"/>
              <w:ind w:right="284"/>
              <w:jc w:val="right"/>
              <w:rPr>
                <w:sz w:val="16"/>
                <w:szCs w:val="16"/>
              </w:rPr>
            </w:pPr>
            <w:r w:rsidRPr="001E2F6E">
              <w:rPr>
                <w:sz w:val="16"/>
                <w:szCs w:val="16"/>
                <w:lang w:val="pt-BR"/>
              </w:rPr>
              <w:t>32,3</w:t>
            </w:r>
          </w:p>
        </w:tc>
        <w:tc>
          <w:tcPr>
            <w:tcW w:w="730" w:type="pct"/>
            <w:tcBorders>
              <w:left w:val="single" w:sz="4" w:space="0" w:color="BFBFBF" w:themeColor="background1" w:themeShade="BF"/>
            </w:tcBorders>
            <w:vAlign w:val="center"/>
            <w:hideMark/>
          </w:tcPr>
          <w:p w:rsidR="00195BE7" w:rsidRPr="001E2F6E" w:rsidRDefault="00195BE7" w:rsidP="00195BE7">
            <w:pPr>
              <w:spacing w:line="240" w:lineRule="exact"/>
              <w:ind w:right="284"/>
              <w:jc w:val="right"/>
              <w:rPr>
                <w:sz w:val="16"/>
                <w:szCs w:val="16"/>
              </w:rPr>
            </w:pPr>
            <w:r w:rsidRPr="001E2F6E">
              <w:rPr>
                <w:sz w:val="16"/>
                <w:szCs w:val="16"/>
                <w:lang w:val="pt-BR"/>
              </w:rPr>
              <w:t>884</w:t>
            </w:r>
          </w:p>
        </w:tc>
        <w:tc>
          <w:tcPr>
            <w:tcW w:w="805" w:type="pct"/>
            <w:tcBorders>
              <w:right w:val="single" w:sz="4" w:space="0" w:color="BFBFBF" w:themeColor="background1" w:themeShade="BF"/>
            </w:tcBorders>
            <w:vAlign w:val="center"/>
            <w:hideMark/>
          </w:tcPr>
          <w:p w:rsidR="00195BE7" w:rsidRPr="001E2F6E" w:rsidRDefault="00195BE7" w:rsidP="00195BE7">
            <w:pPr>
              <w:spacing w:line="240" w:lineRule="exact"/>
              <w:ind w:right="284"/>
              <w:jc w:val="right"/>
              <w:rPr>
                <w:sz w:val="16"/>
                <w:szCs w:val="16"/>
              </w:rPr>
            </w:pPr>
            <w:r w:rsidRPr="001E2F6E">
              <w:rPr>
                <w:sz w:val="16"/>
                <w:szCs w:val="16"/>
                <w:lang w:val="pt-BR"/>
              </w:rPr>
              <w:t>28,7</w:t>
            </w:r>
          </w:p>
        </w:tc>
        <w:tc>
          <w:tcPr>
            <w:tcW w:w="993" w:type="pct"/>
            <w:tcBorders>
              <w:left w:val="single" w:sz="4" w:space="0" w:color="BFBFBF" w:themeColor="background1" w:themeShade="BF"/>
            </w:tcBorders>
            <w:vAlign w:val="center"/>
            <w:hideMark/>
          </w:tcPr>
          <w:p w:rsidR="00195BE7" w:rsidRPr="001E2F6E" w:rsidRDefault="00195BE7" w:rsidP="00195BE7">
            <w:pPr>
              <w:spacing w:line="240" w:lineRule="exact"/>
              <w:ind w:right="284"/>
              <w:jc w:val="right"/>
              <w:rPr>
                <w:sz w:val="16"/>
                <w:szCs w:val="16"/>
              </w:rPr>
            </w:pPr>
            <w:r w:rsidRPr="001E2F6E">
              <w:rPr>
                <w:sz w:val="16"/>
                <w:szCs w:val="16"/>
              </w:rPr>
              <w:t>-8,7</w:t>
            </w:r>
          </w:p>
        </w:tc>
      </w:tr>
      <w:tr w:rsidR="00195BE7" w:rsidRPr="001E2F6E" w:rsidTr="00195BE7">
        <w:trPr>
          <w:jc w:val="center"/>
        </w:trPr>
        <w:tc>
          <w:tcPr>
            <w:tcW w:w="1051" w:type="pct"/>
            <w:tcBorders>
              <w:right w:val="single" w:sz="4" w:space="0" w:color="BFBFBF" w:themeColor="background1" w:themeShade="BF"/>
            </w:tcBorders>
            <w:hideMark/>
          </w:tcPr>
          <w:p w:rsidR="00195BE7" w:rsidRPr="001E2F6E" w:rsidRDefault="00195BE7" w:rsidP="00195BE7">
            <w:pPr>
              <w:spacing w:line="240" w:lineRule="exact"/>
              <w:rPr>
                <w:sz w:val="16"/>
                <w:szCs w:val="16"/>
              </w:rPr>
            </w:pPr>
            <w:r w:rsidRPr="001E2F6E">
              <w:rPr>
                <w:sz w:val="16"/>
                <w:szCs w:val="16"/>
              </w:rPr>
              <w:t xml:space="preserve">  LSA</w:t>
            </w:r>
          </w:p>
        </w:tc>
        <w:tc>
          <w:tcPr>
            <w:tcW w:w="730" w:type="pct"/>
            <w:tcBorders>
              <w:left w:val="single" w:sz="4" w:space="0" w:color="BFBFBF" w:themeColor="background1" w:themeShade="BF"/>
            </w:tcBorders>
            <w:vAlign w:val="center"/>
            <w:hideMark/>
          </w:tcPr>
          <w:p w:rsidR="00195BE7" w:rsidRPr="001E2F6E" w:rsidRDefault="00195BE7" w:rsidP="00195BE7">
            <w:pPr>
              <w:spacing w:line="240" w:lineRule="exact"/>
              <w:ind w:right="284"/>
              <w:jc w:val="right"/>
              <w:rPr>
                <w:sz w:val="16"/>
                <w:szCs w:val="16"/>
              </w:rPr>
            </w:pPr>
            <w:r w:rsidRPr="001E2F6E">
              <w:rPr>
                <w:sz w:val="16"/>
                <w:szCs w:val="16"/>
                <w:lang w:val="pt-BR"/>
              </w:rPr>
              <w:t>319</w:t>
            </w:r>
          </w:p>
        </w:tc>
        <w:tc>
          <w:tcPr>
            <w:tcW w:w="690" w:type="pct"/>
            <w:tcBorders>
              <w:right w:val="single" w:sz="4" w:space="0" w:color="BFBFBF" w:themeColor="background1" w:themeShade="BF"/>
            </w:tcBorders>
            <w:vAlign w:val="center"/>
            <w:hideMark/>
          </w:tcPr>
          <w:p w:rsidR="00195BE7" w:rsidRPr="001E2F6E" w:rsidRDefault="00195BE7" w:rsidP="00195BE7">
            <w:pPr>
              <w:spacing w:line="240" w:lineRule="exact"/>
              <w:ind w:right="284"/>
              <w:jc w:val="right"/>
              <w:rPr>
                <w:sz w:val="16"/>
                <w:szCs w:val="16"/>
              </w:rPr>
            </w:pPr>
            <w:r w:rsidRPr="001E2F6E">
              <w:rPr>
                <w:sz w:val="16"/>
                <w:szCs w:val="16"/>
              </w:rPr>
              <w:t>10,7</w:t>
            </w:r>
          </w:p>
        </w:tc>
        <w:tc>
          <w:tcPr>
            <w:tcW w:w="730" w:type="pct"/>
            <w:tcBorders>
              <w:left w:val="single" w:sz="4" w:space="0" w:color="BFBFBF" w:themeColor="background1" w:themeShade="BF"/>
            </w:tcBorders>
            <w:vAlign w:val="center"/>
            <w:hideMark/>
          </w:tcPr>
          <w:p w:rsidR="00195BE7" w:rsidRPr="001E2F6E" w:rsidRDefault="00195BE7" w:rsidP="00195BE7">
            <w:pPr>
              <w:spacing w:line="240" w:lineRule="exact"/>
              <w:ind w:right="284"/>
              <w:jc w:val="right"/>
              <w:rPr>
                <w:sz w:val="16"/>
                <w:szCs w:val="16"/>
              </w:rPr>
            </w:pPr>
            <w:r w:rsidRPr="001E2F6E">
              <w:rPr>
                <w:sz w:val="16"/>
                <w:szCs w:val="16"/>
              </w:rPr>
              <w:t>268</w:t>
            </w:r>
          </w:p>
        </w:tc>
        <w:tc>
          <w:tcPr>
            <w:tcW w:w="805" w:type="pct"/>
            <w:tcBorders>
              <w:right w:val="single" w:sz="4" w:space="0" w:color="BFBFBF" w:themeColor="background1" w:themeShade="BF"/>
            </w:tcBorders>
            <w:vAlign w:val="center"/>
            <w:hideMark/>
          </w:tcPr>
          <w:p w:rsidR="00195BE7" w:rsidRPr="001E2F6E" w:rsidRDefault="00195BE7" w:rsidP="00195BE7">
            <w:pPr>
              <w:spacing w:line="240" w:lineRule="exact"/>
              <w:ind w:right="284"/>
              <w:jc w:val="right"/>
              <w:rPr>
                <w:sz w:val="16"/>
                <w:szCs w:val="16"/>
              </w:rPr>
            </w:pPr>
            <w:r w:rsidRPr="001E2F6E">
              <w:rPr>
                <w:sz w:val="16"/>
                <w:szCs w:val="16"/>
              </w:rPr>
              <w:t>8,7</w:t>
            </w:r>
          </w:p>
        </w:tc>
        <w:tc>
          <w:tcPr>
            <w:tcW w:w="993" w:type="pct"/>
            <w:tcBorders>
              <w:left w:val="single" w:sz="4" w:space="0" w:color="BFBFBF" w:themeColor="background1" w:themeShade="BF"/>
            </w:tcBorders>
            <w:vAlign w:val="center"/>
            <w:hideMark/>
          </w:tcPr>
          <w:p w:rsidR="00195BE7" w:rsidRPr="001E2F6E" w:rsidRDefault="00195BE7" w:rsidP="00195BE7">
            <w:pPr>
              <w:spacing w:line="240" w:lineRule="exact"/>
              <w:ind w:right="284"/>
              <w:jc w:val="right"/>
              <w:rPr>
                <w:sz w:val="16"/>
                <w:szCs w:val="16"/>
              </w:rPr>
            </w:pPr>
            <w:r w:rsidRPr="001E2F6E">
              <w:rPr>
                <w:sz w:val="16"/>
                <w:szCs w:val="16"/>
              </w:rPr>
              <w:t>-16,1</w:t>
            </w:r>
          </w:p>
        </w:tc>
      </w:tr>
      <w:tr w:rsidR="00195BE7" w:rsidRPr="001E2F6E" w:rsidTr="00195BE7">
        <w:trPr>
          <w:jc w:val="center"/>
        </w:trPr>
        <w:tc>
          <w:tcPr>
            <w:tcW w:w="1051" w:type="pct"/>
            <w:tcBorders>
              <w:bottom w:val="single" w:sz="4" w:space="0" w:color="BFBFBF" w:themeColor="background1" w:themeShade="BF"/>
              <w:right w:val="single" w:sz="4" w:space="0" w:color="BFBFBF" w:themeColor="background1" w:themeShade="BF"/>
            </w:tcBorders>
            <w:hideMark/>
          </w:tcPr>
          <w:p w:rsidR="00195BE7" w:rsidRPr="001E2F6E" w:rsidRDefault="00195BE7" w:rsidP="00195BE7">
            <w:pPr>
              <w:spacing w:line="240" w:lineRule="exact"/>
              <w:rPr>
                <w:sz w:val="16"/>
                <w:szCs w:val="16"/>
              </w:rPr>
            </w:pPr>
            <w:r w:rsidRPr="001E2F6E">
              <w:rPr>
                <w:sz w:val="16"/>
                <w:szCs w:val="16"/>
              </w:rPr>
              <w:t xml:space="preserve">  LSM</w:t>
            </w:r>
          </w:p>
        </w:tc>
        <w:tc>
          <w:tcPr>
            <w:tcW w:w="730" w:type="pct"/>
            <w:tcBorders>
              <w:left w:val="single" w:sz="4" w:space="0" w:color="BFBFBF" w:themeColor="background1" w:themeShade="BF"/>
              <w:bottom w:val="single" w:sz="4" w:space="0" w:color="BFBFBF" w:themeColor="background1" w:themeShade="BF"/>
            </w:tcBorders>
            <w:vAlign w:val="center"/>
            <w:hideMark/>
          </w:tcPr>
          <w:p w:rsidR="00195BE7" w:rsidRPr="001E2F6E" w:rsidRDefault="00195BE7" w:rsidP="00195BE7">
            <w:pPr>
              <w:spacing w:line="240" w:lineRule="exact"/>
              <w:ind w:right="284"/>
              <w:jc w:val="right"/>
              <w:rPr>
                <w:sz w:val="16"/>
                <w:szCs w:val="16"/>
              </w:rPr>
            </w:pPr>
            <w:r w:rsidRPr="001E2F6E">
              <w:rPr>
                <w:sz w:val="16"/>
                <w:szCs w:val="16"/>
                <w:lang w:val="pt-BR"/>
              </w:rPr>
              <w:t>649</w:t>
            </w:r>
          </w:p>
        </w:tc>
        <w:tc>
          <w:tcPr>
            <w:tcW w:w="690" w:type="pct"/>
            <w:tcBorders>
              <w:bottom w:val="single" w:sz="4" w:space="0" w:color="BFBFBF" w:themeColor="background1" w:themeShade="BF"/>
              <w:right w:val="single" w:sz="4" w:space="0" w:color="BFBFBF" w:themeColor="background1" w:themeShade="BF"/>
            </w:tcBorders>
            <w:vAlign w:val="center"/>
            <w:hideMark/>
          </w:tcPr>
          <w:p w:rsidR="00195BE7" w:rsidRPr="001E2F6E" w:rsidRDefault="00195BE7" w:rsidP="00195BE7">
            <w:pPr>
              <w:spacing w:line="240" w:lineRule="exact"/>
              <w:ind w:right="284"/>
              <w:jc w:val="right"/>
              <w:rPr>
                <w:sz w:val="16"/>
                <w:szCs w:val="16"/>
              </w:rPr>
            </w:pPr>
            <w:r w:rsidRPr="001E2F6E">
              <w:rPr>
                <w:sz w:val="16"/>
                <w:szCs w:val="16"/>
              </w:rPr>
              <w:t>21,6</w:t>
            </w:r>
          </w:p>
        </w:tc>
        <w:tc>
          <w:tcPr>
            <w:tcW w:w="730" w:type="pct"/>
            <w:tcBorders>
              <w:left w:val="single" w:sz="4" w:space="0" w:color="BFBFBF" w:themeColor="background1" w:themeShade="BF"/>
              <w:bottom w:val="single" w:sz="4" w:space="0" w:color="BFBFBF" w:themeColor="background1" w:themeShade="BF"/>
            </w:tcBorders>
            <w:vAlign w:val="center"/>
            <w:hideMark/>
          </w:tcPr>
          <w:p w:rsidR="00195BE7" w:rsidRPr="001E2F6E" w:rsidRDefault="00195BE7" w:rsidP="00195BE7">
            <w:pPr>
              <w:spacing w:line="240" w:lineRule="exact"/>
              <w:ind w:right="284"/>
              <w:jc w:val="right"/>
              <w:rPr>
                <w:sz w:val="16"/>
                <w:szCs w:val="16"/>
              </w:rPr>
            </w:pPr>
            <w:r w:rsidRPr="001E2F6E">
              <w:rPr>
                <w:sz w:val="16"/>
                <w:szCs w:val="16"/>
              </w:rPr>
              <w:t>616</w:t>
            </w:r>
          </w:p>
        </w:tc>
        <w:tc>
          <w:tcPr>
            <w:tcW w:w="805" w:type="pct"/>
            <w:tcBorders>
              <w:bottom w:val="single" w:sz="4" w:space="0" w:color="BFBFBF" w:themeColor="background1" w:themeShade="BF"/>
              <w:right w:val="single" w:sz="4" w:space="0" w:color="BFBFBF" w:themeColor="background1" w:themeShade="BF"/>
            </w:tcBorders>
            <w:vAlign w:val="center"/>
            <w:hideMark/>
          </w:tcPr>
          <w:p w:rsidR="00195BE7" w:rsidRPr="001E2F6E" w:rsidRDefault="00195BE7" w:rsidP="00195BE7">
            <w:pPr>
              <w:spacing w:line="240" w:lineRule="exact"/>
              <w:ind w:right="284"/>
              <w:jc w:val="right"/>
              <w:rPr>
                <w:sz w:val="16"/>
                <w:szCs w:val="16"/>
              </w:rPr>
            </w:pPr>
            <w:r w:rsidRPr="001E2F6E">
              <w:rPr>
                <w:sz w:val="16"/>
                <w:szCs w:val="16"/>
              </w:rPr>
              <w:t>20,0</w:t>
            </w:r>
          </w:p>
        </w:tc>
        <w:tc>
          <w:tcPr>
            <w:tcW w:w="993" w:type="pct"/>
            <w:tcBorders>
              <w:left w:val="single" w:sz="4" w:space="0" w:color="BFBFBF" w:themeColor="background1" w:themeShade="BF"/>
              <w:bottom w:val="single" w:sz="4" w:space="0" w:color="BFBFBF" w:themeColor="background1" w:themeShade="BF"/>
            </w:tcBorders>
            <w:vAlign w:val="center"/>
            <w:hideMark/>
          </w:tcPr>
          <w:p w:rsidR="00195BE7" w:rsidRPr="001E2F6E" w:rsidRDefault="00195BE7" w:rsidP="00195BE7">
            <w:pPr>
              <w:spacing w:line="240" w:lineRule="exact"/>
              <w:ind w:right="284"/>
              <w:jc w:val="right"/>
              <w:rPr>
                <w:sz w:val="16"/>
                <w:szCs w:val="16"/>
              </w:rPr>
            </w:pPr>
            <w:r w:rsidRPr="001E2F6E">
              <w:rPr>
                <w:sz w:val="16"/>
                <w:szCs w:val="16"/>
              </w:rPr>
              <w:t>-5,0</w:t>
            </w:r>
          </w:p>
        </w:tc>
      </w:tr>
      <w:tr w:rsidR="00195BE7" w:rsidRPr="001E2F6E" w:rsidTr="00195BE7">
        <w:trPr>
          <w:jc w:val="center"/>
        </w:trPr>
        <w:tc>
          <w:tcPr>
            <w:tcW w:w="1051" w:type="pct"/>
            <w:tcBorders>
              <w:top w:val="single" w:sz="4" w:space="0" w:color="BFBFBF" w:themeColor="background1" w:themeShade="BF"/>
              <w:bottom w:val="single" w:sz="4" w:space="0" w:color="BFBFBF" w:themeColor="background1" w:themeShade="BF"/>
              <w:right w:val="single" w:sz="4" w:space="0" w:color="BFBFBF" w:themeColor="background1" w:themeShade="BF"/>
            </w:tcBorders>
            <w:hideMark/>
          </w:tcPr>
          <w:p w:rsidR="00195BE7" w:rsidRPr="001E2F6E" w:rsidRDefault="00195BE7" w:rsidP="00195BE7">
            <w:pPr>
              <w:spacing w:line="240" w:lineRule="exact"/>
              <w:rPr>
                <w:b/>
                <w:sz w:val="16"/>
                <w:szCs w:val="16"/>
                <w:lang w:val="eu-ES"/>
              </w:rPr>
            </w:pPr>
            <w:r w:rsidRPr="001E2F6E">
              <w:rPr>
                <w:b/>
                <w:sz w:val="16"/>
                <w:szCs w:val="16"/>
                <w:lang w:val="eu-ES"/>
              </w:rPr>
              <w:t>GUZTIRA</w:t>
            </w:r>
          </w:p>
        </w:tc>
        <w:tc>
          <w:tcPr>
            <w:tcW w:w="730" w:type="pct"/>
            <w:tcBorders>
              <w:top w:val="single" w:sz="4" w:space="0" w:color="BFBFBF" w:themeColor="background1" w:themeShade="BF"/>
              <w:left w:val="single" w:sz="4" w:space="0" w:color="BFBFBF" w:themeColor="background1" w:themeShade="BF"/>
              <w:bottom w:val="single" w:sz="4" w:space="0" w:color="BFBFBF" w:themeColor="background1" w:themeShade="BF"/>
            </w:tcBorders>
            <w:vAlign w:val="center"/>
            <w:hideMark/>
          </w:tcPr>
          <w:p w:rsidR="00195BE7" w:rsidRPr="001E2F6E" w:rsidRDefault="00195BE7" w:rsidP="00195BE7">
            <w:pPr>
              <w:spacing w:line="240" w:lineRule="exact"/>
              <w:ind w:right="284"/>
              <w:jc w:val="right"/>
              <w:rPr>
                <w:b/>
                <w:bCs/>
                <w:sz w:val="16"/>
                <w:szCs w:val="16"/>
              </w:rPr>
            </w:pPr>
            <w:r w:rsidRPr="001E2F6E">
              <w:rPr>
                <w:b/>
                <w:bCs/>
                <w:sz w:val="16"/>
                <w:szCs w:val="16"/>
              </w:rPr>
              <w:t>2.997</w:t>
            </w:r>
          </w:p>
        </w:tc>
        <w:tc>
          <w:tcPr>
            <w:tcW w:w="690" w:type="pct"/>
            <w:tcBorders>
              <w:top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rsidR="00195BE7" w:rsidRPr="001E2F6E" w:rsidRDefault="00195BE7" w:rsidP="00195BE7">
            <w:pPr>
              <w:spacing w:line="240" w:lineRule="exact"/>
              <w:ind w:right="284"/>
              <w:jc w:val="right"/>
              <w:rPr>
                <w:b/>
                <w:bCs/>
                <w:sz w:val="16"/>
                <w:szCs w:val="16"/>
              </w:rPr>
            </w:pPr>
            <w:r w:rsidRPr="001E2F6E">
              <w:rPr>
                <w:b/>
                <w:bCs/>
                <w:sz w:val="16"/>
                <w:szCs w:val="16"/>
              </w:rPr>
              <w:t>100</w:t>
            </w:r>
          </w:p>
        </w:tc>
        <w:tc>
          <w:tcPr>
            <w:tcW w:w="730" w:type="pct"/>
            <w:tcBorders>
              <w:top w:val="single" w:sz="4" w:space="0" w:color="BFBFBF" w:themeColor="background1" w:themeShade="BF"/>
              <w:left w:val="single" w:sz="4" w:space="0" w:color="BFBFBF" w:themeColor="background1" w:themeShade="BF"/>
              <w:bottom w:val="single" w:sz="4" w:space="0" w:color="BFBFBF" w:themeColor="background1" w:themeShade="BF"/>
            </w:tcBorders>
            <w:vAlign w:val="center"/>
            <w:hideMark/>
          </w:tcPr>
          <w:p w:rsidR="00195BE7" w:rsidRPr="001E2F6E" w:rsidRDefault="00195BE7" w:rsidP="00195BE7">
            <w:pPr>
              <w:spacing w:line="240" w:lineRule="exact"/>
              <w:ind w:right="284"/>
              <w:jc w:val="right"/>
              <w:rPr>
                <w:b/>
                <w:bCs/>
                <w:sz w:val="16"/>
                <w:szCs w:val="16"/>
              </w:rPr>
            </w:pPr>
            <w:r w:rsidRPr="001E2F6E">
              <w:rPr>
                <w:b/>
                <w:bCs/>
                <w:sz w:val="16"/>
                <w:szCs w:val="16"/>
              </w:rPr>
              <w:t>3.078</w:t>
            </w:r>
          </w:p>
        </w:tc>
        <w:tc>
          <w:tcPr>
            <w:tcW w:w="805" w:type="pct"/>
            <w:tcBorders>
              <w:top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rsidR="00195BE7" w:rsidRPr="001E2F6E" w:rsidRDefault="00195BE7" w:rsidP="00195BE7">
            <w:pPr>
              <w:spacing w:line="240" w:lineRule="exact"/>
              <w:ind w:right="284"/>
              <w:jc w:val="right"/>
              <w:rPr>
                <w:b/>
                <w:bCs/>
                <w:sz w:val="16"/>
                <w:szCs w:val="16"/>
              </w:rPr>
            </w:pPr>
            <w:r w:rsidRPr="001E2F6E">
              <w:rPr>
                <w:b/>
                <w:bCs/>
                <w:sz w:val="16"/>
                <w:szCs w:val="16"/>
              </w:rPr>
              <w:t>100</w:t>
            </w:r>
          </w:p>
        </w:tc>
        <w:tc>
          <w:tcPr>
            <w:tcW w:w="993" w:type="pct"/>
            <w:tcBorders>
              <w:top w:val="single" w:sz="4" w:space="0" w:color="BFBFBF" w:themeColor="background1" w:themeShade="BF"/>
              <w:left w:val="single" w:sz="4" w:space="0" w:color="BFBFBF" w:themeColor="background1" w:themeShade="BF"/>
              <w:bottom w:val="single" w:sz="4" w:space="0" w:color="BFBFBF" w:themeColor="background1" w:themeShade="BF"/>
            </w:tcBorders>
            <w:vAlign w:val="center"/>
            <w:hideMark/>
          </w:tcPr>
          <w:p w:rsidR="00195BE7" w:rsidRPr="001E2F6E" w:rsidRDefault="00195BE7" w:rsidP="00195BE7">
            <w:pPr>
              <w:spacing w:line="240" w:lineRule="exact"/>
              <w:ind w:right="284"/>
              <w:jc w:val="right"/>
              <w:rPr>
                <w:b/>
                <w:bCs/>
                <w:sz w:val="16"/>
                <w:szCs w:val="16"/>
              </w:rPr>
            </w:pPr>
            <w:r w:rsidRPr="001E2F6E">
              <w:rPr>
                <w:b/>
                <w:bCs/>
                <w:sz w:val="16"/>
                <w:szCs w:val="16"/>
              </w:rPr>
              <w:t>2,7</w:t>
            </w:r>
          </w:p>
        </w:tc>
      </w:tr>
    </w:tbl>
    <w:p w:rsidR="00195BE7" w:rsidRPr="001E2F6E" w:rsidRDefault="00195BE7" w:rsidP="00195BE7">
      <w:pPr>
        <w:tabs>
          <w:tab w:val="left" w:pos="993"/>
        </w:tabs>
        <w:ind w:firstLine="709"/>
        <w:jc w:val="center"/>
        <w:rPr>
          <w:sz w:val="16"/>
          <w:szCs w:val="16"/>
        </w:rPr>
      </w:pPr>
      <w:r w:rsidRPr="001E2F6E">
        <w:rPr>
          <w:sz w:val="16"/>
          <w:szCs w:val="16"/>
        </w:rPr>
        <w:t xml:space="preserve">(1) </w:t>
      </w:r>
      <w:r w:rsidRPr="001E2F6E">
        <w:rPr>
          <w:sz w:val="16"/>
          <w:szCs w:val="16"/>
        </w:rPr>
        <w:tab/>
      </w:r>
      <w:r w:rsidRPr="001E2F6E">
        <w:rPr>
          <w:sz w:val="16"/>
          <w:szCs w:val="16"/>
          <w:lang w:val="eu-ES"/>
        </w:rPr>
        <w:t>Kopuru absolutuek erregistratutako hazkundea, ehunekotan adierazita</w:t>
      </w:r>
      <w:r w:rsidRPr="001E2F6E">
        <w:rPr>
          <w:sz w:val="16"/>
          <w:szCs w:val="16"/>
        </w:rPr>
        <w:t>.</w:t>
      </w:r>
    </w:p>
    <w:p w:rsidR="00195BE7" w:rsidRDefault="00195BE7" w:rsidP="00195BE7"/>
    <w:p w:rsidR="00067A2F" w:rsidRPr="001E2F6E" w:rsidRDefault="00067A2F" w:rsidP="00195BE7"/>
    <w:p w:rsidR="00195BE7" w:rsidRPr="001E2F6E" w:rsidRDefault="00195BE7" w:rsidP="00195BE7">
      <w:pPr>
        <w:spacing w:line="240" w:lineRule="auto"/>
        <w:jc w:val="center"/>
        <w:rPr>
          <w:b/>
          <w:color w:val="1F497D" w:themeColor="text2"/>
          <w:sz w:val="18"/>
          <w:szCs w:val="18"/>
        </w:rPr>
      </w:pPr>
      <w:bookmarkStart w:id="116" w:name="_Toc391989099"/>
      <w:bookmarkStart w:id="117" w:name="_Toc392585764"/>
      <w:r w:rsidRPr="001E2F6E">
        <w:rPr>
          <w:b/>
          <w:color w:val="1F497D" w:themeColor="text2"/>
          <w:sz w:val="18"/>
          <w:szCs w:val="18"/>
        </w:rPr>
        <w:t>1.</w:t>
      </w:r>
      <w:r w:rsidR="00EB6BA6" w:rsidRPr="001E2F6E">
        <w:rPr>
          <w:b/>
          <w:color w:val="1F497D" w:themeColor="text2"/>
          <w:sz w:val="18"/>
          <w:szCs w:val="18"/>
        </w:rPr>
        <w:fldChar w:fldCharType="begin"/>
      </w:r>
      <w:r w:rsidRPr="001E2F6E">
        <w:rPr>
          <w:b/>
          <w:color w:val="1F497D" w:themeColor="text2"/>
          <w:sz w:val="18"/>
          <w:szCs w:val="18"/>
        </w:rPr>
        <w:instrText xml:space="preserve"> SEQ Cuadro_1. \* ARABIC </w:instrText>
      </w:r>
      <w:r w:rsidR="00EB6BA6" w:rsidRPr="001E2F6E">
        <w:rPr>
          <w:b/>
          <w:color w:val="1F497D" w:themeColor="text2"/>
          <w:sz w:val="18"/>
          <w:szCs w:val="18"/>
        </w:rPr>
        <w:fldChar w:fldCharType="separate"/>
      </w:r>
      <w:r w:rsidR="00A327D4">
        <w:rPr>
          <w:b/>
          <w:noProof/>
          <w:color w:val="1F497D" w:themeColor="text2"/>
          <w:sz w:val="18"/>
          <w:szCs w:val="18"/>
        </w:rPr>
        <w:t>29</w:t>
      </w:r>
      <w:r w:rsidR="00EB6BA6" w:rsidRPr="001E2F6E">
        <w:rPr>
          <w:b/>
          <w:color w:val="1F497D" w:themeColor="text2"/>
          <w:sz w:val="18"/>
          <w:szCs w:val="18"/>
        </w:rPr>
        <w:fldChar w:fldCharType="end"/>
      </w:r>
      <w:r w:rsidRPr="001E2F6E">
        <w:rPr>
          <w:b/>
          <w:color w:val="1F497D" w:themeColor="text2"/>
          <w:sz w:val="18"/>
          <w:szCs w:val="18"/>
        </w:rPr>
        <w:t xml:space="preserve"> Taula 2010-2012ean GIZARTE-EKONOMIAREN ALORREKO ENPLEGUEK IZANDAKO BILAKAERA, FORMA JURIDIKOAREN ARABERA 2010-2012 (zifra absolutuak,% bertikalak)</w:t>
      </w:r>
      <w:bookmarkEnd w:id="116"/>
      <w:bookmarkEnd w:id="117"/>
    </w:p>
    <w:tbl>
      <w:tblPr>
        <w:tblW w:w="5000" w:type="pct"/>
        <w:jc w:val="center"/>
        <w:tblLook w:val="04A0" w:firstRow="1" w:lastRow="0" w:firstColumn="1" w:lastColumn="0" w:noHBand="0" w:noVBand="1"/>
      </w:tblPr>
      <w:tblGrid>
        <w:gridCol w:w="1825"/>
        <w:gridCol w:w="1394"/>
        <w:gridCol w:w="1198"/>
        <w:gridCol w:w="1394"/>
        <w:gridCol w:w="1396"/>
        <w:gridCol w:w="1797"/>
      </w:tblGrid>
      <w:tr w:rsidR="00195BE7" w:rsidRPr="001E2F6E" w:rsidTr="00195BE7">
        <w:trPr>
          <w:jc w:val="center"/>
        </w:trPr>
        <w:tc>
          <w:tcPr>
            <w:tcW w:w="1013" w:type="pct"/>
            <w:tcBorders>
              <w:top w:val="single" w:sz="4" w:space="0" w:color="BFBFBF" w:themeColor="background1" w:themeShade="BF"/>
              <w:right w:val="single" w:sz="4" w:space="0" w:color="BFBFBF" w:themeColor="background1" w:themeShade="BF"/>
            </w:tcBorders>
            <w:shd w:val="clear" w:color="auto" w:fill="DBE5F1" w:themeFill="accent1" w:themeFillTint="33"/>
            <w:vAlign w:val="center"/>
            <w:hideMark/>
          </w:tcPr>
          <w:p w:rsidR="00195BE7" w:rsidRPr="001E2F6E" w:rsidRDefault="00195BE7" w:rsidP="00195BE7">
            <w:pPr>
              <w:spacing w:line="240" w:lineRule="exact"/>
              <w:jc w:val="center"/>
              <w:rPr>
                <w:b/>
                <w:bCs/>
                <w:sz w:val="16"/>
                <w:szCs w:val="16"/>
              </w:rPr>
            </w:pPr>
          </w:p>
        </w:tc>
        <w:tc>
          <w:tcPr>
            <w:tcW w:w="1439"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hideMark/>
          </w:tcPr>
          <w:p w:rsidR="00195BE7" w:rsidRPr="001E2F6E" w:rsidRDefault="00195BE7" w:rsidP="00195BE7">
            <w:pPr>
              <w:spacing w:line="240" w:lineRule="exact"/>
              <w:jc w:val="center"/>
              <w:rPr>
                <w:b/>
                <w:bCs/>
                <w:sz w:val="16"/>
                <w:szCs w:val="16"/>
              </w:rPr>
            </w:pPr>
            <w:r w:rsidRPr="001E2F6E">
              <w:rPr>
                <w:b/>
                <w:bCs/>
                <w:sz w:val="16"/>
                <w:szCs w:val="16"/>
                <w:lang w:val="pt-BR"/>
              </w:rPr>
              <w:t>2010</w:t>
            </w:r>
          </w:p>
        </w:tc>
        <w:tc>
          <w:tcPr>
            <w:tcW w:w="1549"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hideMark/>
          </w:tcPr>
          <w:p w:rsidR="00195BE7" w:rsidRPr="001E2F6E" w:rsidRDefault="00195BE7" w:rsidP="00195BE7">
            <w:pPr>
              <w:spacing w:line="240" w:lineRule="exact"/>
              <w:jc w:val="center"/>
              <w:rPr>
                <w:b/>
                <w:bCs/>
                <w:sz w:val="16"/>
                <w:szCs w:val="16"/>
              </w:rPr>
            </w:pPr>
            <w:r w:rsidRPr="001E2F6E">
              <w:rPr>
                <w:b/>
                <w:bCs/>
                <w:sz w:val="16"/>
                <w:szCs w:val="16"/>
                <w:lang w:val="pt-BR"/>
              </w:rPr>
              <w:t>2012</w:t>
            </w:r>
          </w:p>
        </w:tc>
        <w:tc>
          <w:tcPr>
            <w:tcW w:w="998" w:type="pct"/>
            <w:vMerge w:val="restart"/>
            <w:tcBorders>
              <w:top w:val="single" w:sz="4" w:space="0" w:color="BFBFBF" w:themeColor="background1" w:themeShade="BF"/>
              <w:left w:val="single" w:sz="4" w:space="0" w:color="BFBFBF" w:themeColor="background1" w:themeShade="BF"/>
            </w:tcBorders>
            <w:shd w:val="clear" w:color="auto" w:fill="DBE5F1" w:themeFill="accent1" w:themeFillTint="33"/>
            <w:vAlign w:val="center"/>
            <w:hideMark/>
          </w:tcPr>
          <w:p w:rsidR="00195BE7" w:rsidRPr="001E2F6E" w:rsidRDefault="00195BE7" w:rsidP="00195BE7">
            <w:pPr>
              <w:spacing w:line="240" w:lineRule="exact"/>
              <w:jc w:val="center"/>
              <w:rPr>
                <w:b/>
                <w:bCs/>
                <w:sz w:val="16"/>
                <w:szCs w:val="16"/>
              </w:rPr>
            </w:pPr>
            <w:r w:rsidRPr="001E2F6E">
              <w:rPr>
                <w:b/>
                <w:bCs/>
                <w:sz w:val="16"/>
                <w:szCs w:val="16"/>
                <w:lang w:val="pt-BR"/>
              </w:rPr>
              <w:t>%∆12/10 (1)</w:t>
            </w:r>
          </w:p>
        </w:tc>
      </w:tr>
      <w:tr w:rsidR="00195BE7" w:rsidRPr="001E2F6E" w:rsidTr="00195BE7">
        <w:trPr>
          <w:jc w:val="center"/>
        </w:trPr>
        <w:tc>
          <w:tcPr>
            <w:tcW w:w="1013" w:type="pct"/>
            <w:tcBorders>
              <w:bottom w:val="single" w:sz="4" w:space="0" w:color="BFBFBF" w:themeColor="background1" w:themeShade="BF"/>
              <w:right w:val="single" w:sz="4" w:space="0" w:color="BFBFBF" w:themeColor="background1" w:themeShade="BF"/>
            </w:tcBorders>
            <w:shd w:val="clear" w:color="auto" w:fill="DBE5F1" w:themeFill="accent1" w:themeFillTint="33"/>
            <w:vAlign w:val="center"/>
            <w:hideMark/>
          </w:tcPr>
          <w:p w:rsidR="00195BE7" w:rsidRPr="001E2F6E" w:rsidRDefault="00195BE7" w:rsidP="00195BE7">
            <w:pPr>
              <w:spacing w:line="240" w:lineRule="exact"/>
              <w:jc w:val="center"/>
              <w:rPr>
                <w:sz w:val="16"/>
                <w:szCs w:val="16"/>
              </w:rPr>
            </w:pPr>
          </w:p>
        </w:tc>
        <w:tc>
          <w:tcPr>
            <w:tcW w:w="774"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vAlign w:val="center"/>
            <w:hideMark/>
          </w:tcPr>
          <w:p w:rsidR="00195BE7" w:rsidRPr="001E2F6E" w:rsidRDefault="00195BE7" w:rsidP="00195BE7">
            <w:pPr>
              <w:spacing w:line="240" w:lineRule="exact"/>
              <w:jc w:val="center"/>
              <w:rPr>
                <w:b/>
                <w:bCs/>
                <w:sz w:val="16"/>
                <w:szCs w:val="16"/>
              </w:rPr>
            </w:pPr>
            <w:r w:rsidRPr="001E2F6E">
              <w:rPr>
                <w:b/>
                <w:bCs/>
                <w:sz w:val="16"/>
                <w:szCs w:val="16"/>
                <w:lang w:val="pt-BR"/>
              </w:rPr>
              <w:t>z.a.</w:t>
            </w:r>
          </w:p>
        </w:tc>
        <w:tc>
          <w:tcPr>
            <w:tcW w:w="665"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hideMark/>
          </w:tcPr>
          <w:p w:rsidR="00195BE7" w:rsidRPr="001E2F6E" w:rsidRDefault="00195BE7" w:rsidP="00195BE7">
            <w:pPr>
              <w:spacing w:line="240" w:lineRule="exact"/>
              <w:jc w:val="center"/>
              <w:rPr>
                <w:b/>
                <w:bCs/>
                <w:sz w:val="16"/>
                <w:szCs w:val="16"/>
              </w:rPr>
            </w:pPr>
            <w:r w:rsidRPr="001E2F6E">
              <w:rPr>
                <w:b/>
                <w:bCs/>
                <w:sz w:val="16"/>
                <w:szCs w:val="16"/>
                <w:lang w:val="pt-BR"/>
              </w:rPr>
              <w:t>%ber.</w:t>
            </w:r>
          </w:p>
        </w:tc>
        <w:tc>
          <w:tcPr>
            <w:tcW w:w="774"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vAlign w:val="center"/>
            <w:hideMark/>
          </w:tcPr>
          <w:p w:rsidR="00195BE7" w:rsidRPr="001E2F6E" w:rsidRDefault="00195BE7" w:rsidP="00195BE7">
            <w:pPr>
              <w:spacing w:line="240" w:lineRule="exact"/>
              <w:jc w:val="center"/>
              <w:rPr>
                <w:b/>
                <w:bCs/>
                <w:sz w:val="16"/>
                <w:szCs w:val="16"/>
              </w:rPr>
            </w:pPr>
            <w:r w:rsidRPr="001E2F6E">
              <w:rPr>
                <w:b/>
                <w:bCs/>
                <w:sz w:val="16"/>
                <w:szCs w:val="16"/>
                <w:lang w:val="pt-BR"/>
              </w:rPr>
              <w:t>z.a.</w:t>
            </w:r>
          </w:p>
        </w:tc>
        <w:tc>
          <w:tcPr>
            <w:tcW w:w="775"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hideMark/>
          </w:tcPr>
          <w:p w:rsidR="00195BE7" w:rsidRPr="001E2F6E" w:rsidRDefault="00195BE7" w:rsidP="00195BE7">
            <w:pPr>
              <w:spacing w:line="240" w:lineRule="exact"/>
              <w:jc w:val="center"/>
              <w:rPr>
                <w:b/>
                <w:bCs/>
                <w:sz w:val="16"/>
                <w:szCs w:val="16"/>
              </w:rPr>
            </w:pPr>
            <w:r w:rsidRPr="001E2F6E">
              <w:rPr>
                <w:b/>
                <w:bCs/>
                <w:sz w:val="16"/>
                <w:szCs w:val="16"/>
                <w:lang w:val="pt-BR"/>
              </w:rPr>
              <w:t>%ber.</w:t>
            </w:r>
          </w:p>
        </w:tc>
        <w:tc>
          <w:tcPr>
            <w:tcW w:w="998" w:type="pct"/>
            <w:vMerge/>
            <w:tcBorders>
              <w:left w:val="single" w:sz="4" w:space="0" w:color="BFBFBF" w:themeColor="background1" w:themeShade="BF"/>
              <w:bottom w:val="single" w:sz="4" w:space="0" w:color="BFBFBF" w:themeColor="background1" w:themeShade="BF"/>
            </w:tcBorders>
            <w:shd w:val="clear" w:color="auto" w:fill="DBE5F1" w:themeFill="accent1" w:themeFillTint="33"/>
            <w:vAlign w:val="center"/>
            <w:hideMark/>
          </w:tcPr>
          <w:p w:rsidR="00195BE7" w:rsidRPr="001E2F6E" w:rsidRDefault="00195BE7" w:rsidP="00195BE7">
            <w:pPr>
              <w:spacing w:line="240" w:lineRule="exact"/>
              <w:jc w:val="center"/>
              <w:rPr>
                <w:b/>
                <w:bCs/>
                <w:sz w:val="16"/>
                <w:szCs w:val="16"/>
              </w:rPr>
            </w:pPr>
          </w:p>
        </w:tc>
      </w:tr>
      <w:tr w:rsidR="00195BE7" w:rsidRPr="001E2F6E" w:rsidTr="00195BE7">
        <w:trPr>
          <w:jc w:val="center"/>
        </w:trPr>
        <w:tc>
          <w:tcPr>
            <w:tcW w:w="1013" w:type="pct"/>
            <w:tcBorders>
              <w:top w:val="single" w:sz="4" w:space="0" w:color="BFBFBF" w:themeColor="background1" w:themeShade="BF"/>
              <w:right w:val="single" w:sz="4" w:space="0" w:color="BFBFBF" w:themeColor="background1" w:themeShade="BF"/>
            </w:tcBorders>
            <w:hideMark/>
          </w:tcPr>
          <w:p w:rsidR="00195BE7" w:rsidRPr="001E2F6E" w:rsidRDefault="00195BE7" w:rsidP="00195BE7">
            <w:pPr>
              <w:spacing w:line="240" w:lineRule="exact"/>
              <w:rPr>
                <w:sz w:val="16"/>
                <w:szCs w:val="16"/>
                <w:lang w:val="eu-ES"/>
              </w:rPr>
            </w:pPr>
            <w:r w:rsidRPr="001E2F6E">
              <w:rPr>
                <w:sz w:val="16"/>
                <w:szCs w:val="16"/>
                <w:lang w:val="eu-ES"/>
              </w:rPr>
              <w:t>Kooperatibak</w:t>
            </w:r>
          </w:p>
        </w:tc>
        <w:tc>
          <w:tcPr>
            <w:tcW w:w="774" w:type="pct"/>
            <w:tcBorders>
              <w:top w:val="single" w:sz="4" w:space="0" w:color="BFBFBF" w:themeColor="background1" w:themeShade="BF"/>
              <w:left w:val="single" w:sz="4" w:space="0" w:color="BFBFBF" w:themeColor="background1" w:themeShade="BF"/>
            </w:tcBorders>
            <w:hideMark/>
          </w:tcPr>
          <w:p w:rsidR="00195BE7" w:rsidRPr="001E2F6E" w:rsidRDefault="00195BE7" w:rsidP="00195BE7">
            <w:pPr>
              <w:spacing w:line="240" w:lineRule="exact"/>
              <w:ind w:right="284"/>
              <w:jc w:val="right"/>
              <w:rPr>
                <w:color w:val="000000"/>
                <w:sz w:val="16"/>
                <w:szCs w:val="16"/>
              </w:rPr>
            </w:pPr>
            <w:r w:rsidRPr="001E2F6E">
              <w:rPr>
                <w:color w:val="000000"/>
                <w:sz w:val="16"/>
                <w:szCs w:val="16"/>
              </w:rPr>
              <w:t>48.196</w:t>
            </w:r>
          </w:p>
        </w:tc>
        <w:tc>
          <w:tcPr>
            <w:tcW w:w="665" w:type="pct"/>
            <w:tcBorders>
              <w:top w:val="single" w:sz="4" w:space="0" w:color="BFBFBF" w:themeColor="background1" w:themeShade="BF"/>
              <w:right w:val="single" w:sz="4" w:space="0" w:color="BFBFBF" w:themeColor="background1" w:themeShade="BF"/>
            </w:tcBorders>
            <w:hideMark/>
          </w:tcPr>
          <w:p w:rsidR="00195BE7" w:rsidRPr="001E2F6E" w:rsidRDefault="00195BE7" w:rsidP="00195BE7">
            <w:pPr>
              <w:spacing w:line="240" w:lineRule="exact"/>
              <w:ind w:right="284"/>
              <w:jc w:val="right"/>
              <w:rPr>
                <w:color w:val="000000"/>
                <w:sz w:val="16"/>
                <w:szCs w:val="16"/>
              </w:rPr>
            </w:pPr>
            <w:r w:rsidRPr="001E2F6E">
              <w:rPr>
                <w:color w:val="000000"/>
                <w:sz w:val="16"/>
                <w:szCs w:val="16"/>
              </w:rPr>
              <w:t>80,5</w:t>
            </w:r>
          </w:p>
        </w:tc>
        <w:tc>
          <w:tcPr>
            <w:tcW w:w="774" w:type="pct"/>
            <w:tcBorders>
              <w:top w:val="single" w:sz="4" w:space="0" w:color="BFBFBF" w:themeColor="background1" w:themeShade="BF"/>
              <w:left w:val="single" w:sz="4" w:space="0" w:color="BFBFBF" w:themeColor="background1" w:themeShade="BF"/>
            </w:tcBorders>
            <w:hideMark/>
          </w:tcPr>
          <w:p w:rsidR="00195BE7" w:rsidRPr="001E2F6E" w:rsidRDefault="00195BE7" w:rsidP="00195BE7">
            <w:pPr>
              <w:spacing w:line="240" w:lineRule="exact"/>
              <w:ind w:right="284"/>
              <w:jc w:val="right"/>
              <w:rPr>
                <w:color w:val="000000"/>
                <w:sz w:val="16"/>
                <w:szCs w:val="16"/>
              </w:rPr>
            </w:pPr>
            <w:r w:rsidRPr="001E2F6E">
              <w:rPr>
                <w:color w:val="000000"/>
                <w:sz w:val="16"/>
                <w:szCs w:val="16"/>
              </w:rPr>
              <w:t>47.981</w:t>
            </w:r>
          </w:p>
        </w:tc>
        <w:tc>
          <w:tcPr>
            <w:tcW w:w="775" w:type="pct"/>
            <w:tcBorders>
              <w:top w:val="single" w:sz="4" w:space="0" w:color="BFBFBF" w:themeColor="background1" w:themeShade="BF"/>
              <w:right w:val="single" w:sz="4" w:space="0" w:color="BFBFBF" w:themeColor="background1" w:themeShade="BF"/>
            </w:tcBorders>
            <w:hideMark/>
          </w:tcPr>
          <w:p w:rsidR="00195BE7" w:rsidRPr="001E2F6E" w:rsidRDefault="00195BE7" w:rsidP="00195BE7">
            <w:pPr>
              <w:spacing w:line="240" w:lineRule="exact"/>
              <w:ind w:right="284"/>
              <w:jc w:val="right"/>
              <w:rPr>
                <w:color w:val="000000"/>
                <w:sz w:val="16"/>
                <w:szCs w:val="16"/>
              </w:rPr>
            </w:pPr>
            <w:r w:rsidRPr="001E2F6E">
              <w:rPr>
                <w:color w:val="000000"/>
                <w:sz w:val="16"/>
                <w:szCs w:val="16"/>
              </w:rPr>
              <w:t>86,0</w:t>
            </w:r>
          </w:p>
        </w:tc>
        <w:tc>
          <w:tcPr>
            <w:tcW w:w="998" w:type="pct"/>
            <w:tcBorders>
              <w:top w:val="single" w:sz="4" w:space="0" w:color="BFBFBF" w:themeColor="background1" w:themeShade="BF"/>
              <w:left w:val="single" w:sz="4" w:space="0" w:color="BFBFBF" w:themeColor="background1" w:themeShade="BF"/>
            </w:tcBorders>
            <w:hideMark/>
          </w:tcPr>
          <w:p w:rsidR="00195BE7" w:rsidRPr="001E2F6E" w:rsidRDefault="00195BE7" w:rsidP="00195BE7">
            <w:pPr>
              <w:spacing w:line="240" w:lineRule="exact"/>
              <w:ind w:right="284"/>
              <w:jc w:val="right"/>
              <w:rPr>
                <w:color w:val="000000"/>
                <w:sz w:val="16"/>
                <w:szCs w:val="16"/>
              </w:rPr>
            </w:pPr>
            <w:r w:rsidRPr="001E2F6E">
              <w:rPr>
                <w:color w:val="000000"/>
                <w:sz w:val="16"/>
                <w:szCs w:val="16"/>
              </w:rPr>
              <w:t>-0,4</w:t>
            </w:r>
          </w:p>
        </w:tc>
      </w:tr>
      <w:tr w:rsidR="00195BE7" w:rsidRPr="001E2F6E" w:rsidTr="00195BE7">
        <w:trPr>
          <w:jc w:val="center"/>
        </w:trPr>
        <w:tc>
          <w:tcPr>
            <w:tcW w:w="1013" w:type="pct"/>
            <w:tcBorders>
              <w:right w:val="single" w:sz="4" w:space="0" w:color="BFBFBF" w:themeColor="background1" w:themeShade="BF"/>
            </w:tcBorders>
            <w:hideMark/>
          </w:tcPr>
          <w:p w:rsidR="00195BE7" w:rsidRPr="001E2F6E" w:rsidRDefault="00195BE7" w:rsidP="00195BE7">
            <w:pPr>
              <w:spacing w:line="240" w:lineRule="exact"/>
              <w:rPr>
                <w:sz w:val="16"/>
                <w:szCs w:val="16"/>
                <w:lang w:val="eu-ES"/>
              </w:rPr>
            </w:pPr>
            <w:r w:rsidRPr="001E2F6E">
              <w:rPr>
                <w:sz w:val="16"/>
                <w:szCs w:val="16"/>
                <w:lang w:val="eu-ES"/>
              </w:rPr>
              <w:t>LS motakoak</w:t>
            </w:r>
          </w:p>
        </w:tc>
        <w:tc>
          <w:tcPr>
            <w:tcW w:w="774" w:type="pct"/>
            <w:tcBorders>
              <w:left w:val="single" w:sz="4" w:space="0" w:color="BFBFBF" w:themeColor="background1" w:themeShade="BF"/>
            </w:tcBorders>
            <w:hideMark/>
          </w:tcPr>
          <w:p w:rsidR="00195BE7" w:rsidRPr="001E2F6E" w:rsidRDefault="00195BE7" w:rsidP="00195BE7">
            <w:pPr>
              <w:spacing w:line="240" w:lineRule="exact"/>
              <w:ind w:right="284"/>
              <w:jc w:val="right"/>
              <w:rPr>
                <w:color w:val="000000"/>
                <w:sz w:val="16"/>
                <w:szCs w:val="16"/>
              </w:rPr>
            </w:pPr>
            <w:r w:rsidRPr="001E2F6E">
              <w:rPr>
                <w:color w:val="000000"/>
                <w:sz w:val="16"/>
                <w:szCs w:val="16"/>
              </w:rPr>
              <w:t>11.720</w:t>
            </w:r>
          </w:p>
        </w:tc>
        <w:tc>
          <w:tcPr>
            <w:tcW w:w="665" w:type="pct"/>
            <w:tcBorders>
              <w:right w:val="single" w:sz="4" w:space="0" w:color="BFBFBF" w:themeColor="background1" w:themeShade="BF"/>
            </w:tcBorders>
            <w:hideMark/>
          </w:tcPr>
          <w:p w:rsidR="00195BE7" w:rsidRPr="001E2F6E" w:rsidRDefault="00195BE7" w:rsidP="00195BE7">
            <w:pPr>
              <w:spacing w:line="240" w:lineRule="exact"/>
              <w:ind w:right="284"/>
              <w:jc w:val="right"/>
              <w:rPr>
                <w:color w:val="000000"/>
                <w:sz w:val="16"/>
                <w:szCs w:val="16"/>
              </w:rPr>
            </w:pPr>
            <w:r w:rsidRPr="001E2F6E">
              <w:rPr>
                <w:color w:val="000000"/>
                <w:sz w:val="16"/>
                <w:szCs w:val="16"/>
              </w:rPr>
              <w:t>19,6</w:t>
            </w:r>
          </w:p>
        </w:tc>
        <w:tc>
          <w:tcPr>
            <w:tcW w:w="774" w:type="pct"/>
            <w:tcBorders>
              <w:left w:val="single" w:sz="4" w:space="0" w:color="BFBFBF" w:themeColor="background1" w:themeShade="BF"/>
            </w:tcBorders>
            <w:hideMark/>
          </w:tcPr>
          <w:p w:rsidR="00195BE7" w:rsidRPr="001E2F6E" w:rsidRDefault="00195BE7" w:rsidP="00195BE7">
            <w:pPr>
              <w:spacing w:line="240" w:lineRule="exact"/>
              <w:ind w:right="284"/>
              <w:jc w:val="right"/>
              <w:rPr>
                <w:color w:val="000000"/>
                <w:sz w:val="16"/>
                <w:szCs w:val="16"/>
              </w:rPr>
            </w:pPr>
            <w:r w:rsidRPr="001E2F6E">
              <w:rPr>
                <w:color w:val="000000"/>
                <w:sz w:val="16"/>
                <w:szCs w:val="16"/>
              </w:rPr>
              <w:t>7.828</w:t>
            </w:r>
          </w:p>
        </w:tc>
        <w:tc>
          <w:tcPr>
            <w:tcW w:w="775" w:type="pct"/>
            <w:tcBorders>
              <w:right w:val="single" w:sz="4" w:space="0" w:color="BFBFBF" w:themeColor="background1" w:themeShade="BF"/>
            </w:tcBorders>
            <w:hideMark/>
          </w:tcPr>
          <w:p w:rsidR="00195BE7" w:rsidRPr="001E2F6E" w:rsidRDefault="00195BE7" w:rsidP="00195BE7">
            <w:pPr>
              <w:spacing w:line="240" w:lineRule="exact"/>
              <w:ind w:right="284"/>
              <w:jc w:val="right"/>
              <w:rPr>
                <w:color w:val="000000"/>
                <w:sz w:val="16"/>
                <w:szCs w:val="16"/>
              </w:rPr>
            </w:pPr>
            <w:r w:rsidRPr="001E2F6E">
              <w:rPr>
                <w:color w:val="000000"/>
                <w:sz w:val="16"/>
                <w:szCs w:val="16"/>
              </w:rPr>
              <w:t>14,0</w:t>
            </w:r>
          </w:p>
        </w:tc>
        <w:tc>
          <w:tcPr>
            <w:tcW w:w="998" w:type="pct"/>
            <w:tcBorders>
              <w:left w:val="single" w:sz="4" w:space="0" w:color="BFBFBF" w:themeColor="background1" w:themeShade="BF"/>
            </w:tcBorders>
            <w:hideMark/>
          </w:tcPr>
          <w:p w:rsidR="00195BE7" w:rsidRPr="001E2F6E" w:rsidRDefault="00195BE7" w:rsidP="00195BE7">
            <w:pPr>
              <w:spacing w:line="240" w:lineRule="exact"/>
              <w:ind w:right="284"/>
              <w:jc w:val="right"/>
              <w:rPr>
                <w:color w:val="000000"/>
                <w:sz w:val="16"/>
                <w:szCs w:val="16"/>
              </w:rPr>
            </w:pPr>
            <w:r w:rsidRPr="001E2F6E">
              <w:rPr>
                <w:color w:val="000000"/>
                <w:sz w:val="16"/>
                <w:szCs w:val="16"/>
              </w:rPr>
              <w:t>-33,2</w:t>
            </w:r>
          </w:p>
        </w:tc>
      </w:tr>
      <w:tr w:rsidR="00195BE7" w:rsidRPr="001E2F6E" w:rsidTr="00195BE7">
        <w:trPr>
          <w:jc w:val="center"/>
        </w:trPr>
        <w:tc>
          <w:tcPr>
            <w:tcW w:w="1013" w:type="pct"/>
            <w:tcBorders>
              <w:right w:val="single" w:sz="4" w:space="0" w:color="BFBFBF" w:themeColor="background1" w:themeShade="BF"/>
            </w:tcBorders>
            <w:hideMark/>
          </w:tcPr>
          <w:p w:rsidR="00195BE7" w:rsidRPr="001E2F6E" w:rsidRDefault="00195BE7" w:rsidP="00195BE7">
            <w:pPr>
              <w:spacing w:line="240" w:lineRule="exact"/>
              <w:rPr>
                <w:sz w:val="16"/>
                <w:szCs w:val="16"/>
              </w:rPr>
            </w:pPr>
            <w:r w:rsidRPr="001E2F6E">
              <w:rPr>
                <w:sz w:val="16"/>
                <w:szCs w:val="16"/>
              </w:rPr>
              <w:t xml:space="preserve">  LSA</w:t>
            </w:r>
          </w:p>
        </w:tc>
        <w:tc>
          <w:tcPr>
            <w:tcW w:w="774" w:type="pct"/>
            <w:tcBorders>
              <w:left w:val="single" w:sz="4" w:space="0" w:color="BFBFBF" w:themeColor="background1" w:themeShade="BF"/>
            </w:tcBorders>
            <w:hideMark/>
          </w:tcPr>
          <w:p w:rsidR="00195BE7" w:rsidRPr="001E2F6E" w:rsidRDefault="00195BE7" w:rsidP="00195BE7">
            <w:pPr>
              <w:spacing w:line="240" w:lineRule="exact"/>
              <w:ind w:right="284"/>
              <w:jc w:val="right"/>
              <w:rPr>
                <w:color w:val="000000"/>
                <w:sz w:val="16"/>
                <w:szCs w:val="16"/>
              </w:rPr>
            </w:pPr>
            <w:r w:rsidRPr="001E2F6E">
              <w:rPr>
                <w:color w:val="000000"/>
                <w:sz w:val="16"/>
                <w:szCs w:val="16"/>
              </w:rPr>
              <w:t>7.355</w:t>
            </w:r>
          </w:p>
        </w:tc>
        <w:tc>
          <w:tcPr>
            <w:tcW w:w="665" w:type="pct"/>
            <w:tcBorders>
              <w:right w:val="single" w:sz="4" w:space="0" w:color="BFBFBF" w:themeColor="background1" w:themeShade="BF"/>
            </w:tcBorders>
            <w:hideMark/>
          </w:tcPr>
          <w:p w:rsidR="00195BE7" w:rsidRPr="001E2F6E" w:rsidRDefault="00195BE7" w:rsidP="00195BE7">
            <w:pPr>
              <w:spacing w:line="240" w:lineRule="exact"/>
              <w:ind w:right="284"/>
              <w:jc w:val="right"/>
              <w:rPr>
                <w:color w:val="000000"/>
                <w:sz w:val="16"/>
                <w:szCs w:val="16"/>
              </w:rPr>
            </w:pPr>
            <w:r w:rsidRPr="001E2F6E">
              <w:rPr>
                <w:color w:val="000000"/>
                <w:sz w:val="16"/>
                <w:szCs w:val="16"/>
              </w:rPr>
              <w:t>12,3</w:t>
            </w:r>
          </w:p>
        </w:tc>
        <w:tc>
          <w:tcPr>
            <w:tcW w:w="774" w:type="pct"/>
            <w:tcBorders>
              <w:left w:val="single" w:sz="4" w:space="0" w:color="BFBFBF" w:themeColor="background1" w:themeShade="BF"/>
            </w:tcBorders>
            <w:hideMark/>
          </w:tcPr>
          <w:p w:rsidR="00195BE7" w:rsidRPr="001E2F6E" w:rsidRDefault="00195BE7" w:rsidP="00195BE7">
            <w:pPr>
              <w:spacing w:line="240" w:lineRule="exact"/>
              <w:ind w:right="284"/>
              <w:jc w:val="right"/>
              <w:rPr>
                <w:color w:val="000000"/>
                <w:sz w:val="16"/>
                <w:szCs w:val="16"/>
              </w:rPr>
            </w:pPr>
            <w:r w:rsidRPr="001E2F6E">
              <w:rPr>
                <w:color w:val="000000"/>
                <w:sz w:val="16"/>
                <w:szCs w:val="16"/>
              </w:rPr>
              <w:t>4.005</w:t>
            </w:r>
          </w:p>
        </w:tc>
        <w:tc>
          <w:tcPr>
            <w:tcW w:w="775" w:type="pct"/>
            <w:tcBorders>
              <w:right w:val="single" w:sz="4" w:space="0" w:color="BFBFBF" w:themeColor="background1" w:themeShade="BF"/>
            </w:tcBorders>
            <w:hideMark/>
          </w:tcPr>
          <w:p w:rsidR="00195BE7" w:rsidRPr="001E2F6E" w:rsidRDefault="00195BE7" w:rsidP="00195BE7">
            <w:pPr>
              <w:spacing w:line="240" w:lineRule="exact"/>
              <w:ind w:right="284"/>
              <w:jc w:val="right"/>
              <w:rPr>
                <w:color w:val="000000"/>
                <w:sz w:val="16"/>
                <w:szCs w:val="16"/>
              </w:rPr>
            </w:pPr>
            <w:r w:rsidRPr="001E2F6E">
              <w:rPr>
                <w:color w:val="000000"/>
                <w:sz w:val="16"/>
                <w:szCs w:val="16"/>
              </w:rPr>
              <w:t>7,2</w:t>
            </w:r>
          </w:p>
        </w:tc>
        <w:tc>
          <w:tcPr>
            <w:tcW w:w="998" w:type="pct"/>
            <w:tcBorders>
              <w:left w:val="single" w:sz="4" w:space="0" w:color="BFBFBF" w:themeColor="background1" w:themeShade="BF"/>
            </w:tcBorders>
            <w:hideMark/>
          </w:tcPr>
          <w:p w:rsidR="00195BE7" w:rsidRPr="001E2F6E" w:rsidRDefault="00195BE7" w:rsidP="00195BE7">
            <w:pPr>
              <w:spacing w:line="240" w:lineRule="exact"/>
              <w:ind w:right="284"/>
              <w:jc w:val="right"/>
              <w:rPr>
                <w:color w:val="000000"/>
                <w:sz w:val="16"/>
                <w:szCs w:val="16"/>
              </w:rPr>
            </w:pPr>
            <w:r w:rsidRPr="001E2F6E">
              <w:rPr>
                <w:color w:val="000000"/>
                <w:sz w:val="16"/>
                <w:szCs w:val="16"/>
              </w:rPr>
              <w:t>-45,5</w:t>
            </w:r>
          </w:p>
        </w:tc>
      </w:tr>
      <w:tr w:rsidR="00195BE7" w:rsidRPr="001E2F6E" w:rsidTr="00195BE7">
        <w:trPr>
          <w:jc w:val="center"/>
        </w:trPr>
        <w:tc>
          <w:tcPr>
            <w:tcW w:w="1013" w:type="pct"/>
            <w:tcBorders>
              <w:bottom w:val="single" w:sz="4" w:space="0" w:color="BFBFBF" w:themeColor="background1" w:themeShade="BF"/>
              <w:right w:val="single" w:sz="4" w:space="0" w:color="BFBFBF" w:themeColor="background1" w:themeShade="BF"/>
            </w:tcBorders>
            <w:hideMark/>
          </w:tcPr>
          <w:p w:rsidR="00195BE7" w:rsidRPr="001E2F6E" w:rsidRDefault="00195BE7" w:rsidP="00195BE7">
            <w:pPr>
              <w:spacing w:line="240" w:lineRule="exact"/>
              <w:rPr>
                <w:sz w:val="16"/>
                <w:szCs w:val="16"/>
              </w:rPr>
            </w:pPr>
            <w:r w:rsidRPr="001E2F6E">
              <w:rPr>
                <w:sz w:val="16"/>
                <w:szCs w:val="16"/>
              </w:rPr>
              <w:t xml:space="preserve">  LSM</w:t>
            </w:r>
          </w:p>
        </w:tc>
        <w:tc>
          <w:tcPr>
            <w:tcW w:w="774" w:type="pct"/>
            <w:tcBorders>
              <w:left w:val="single" w:sz="4" w:space="0" w:color="BFBFBF" w:themeColor="background1" w:themeShade="BF"/>
              <w:bottom w:val="single" w:sz="4" w:space="0" w:color="BFBFBF" w:themeColor="background1" w:themeShade="BF"/>
            </w:tcBorders>
            <w:hideMark/>
          </w:tcPr>
          <w:p w:rsidR="00195BE7" w:rsidRPr="001E2F6E" w:rsidRDefault="00195BE7" w:rsidP="00195BE7">
            <w:pPr>
              <w:spacing w:line="240" w:lineRule="exact"/>
              <w:ind w:right="284"/>
              <w:jc w:val="right"/>
              <w:rPr>
                <w:color w:val="000000"/>
                <w:sz w:val="16"/>
                <w:szCs w:val="16"/>
              </w:rPr>
            </w:pPr>
            <w:r w:rsidRPr="001E2F6E">
              <w:rPr>
                <w:color w:val="000000"/>
                <w:sz w:val="16"/>
                <w:szCs w:val="16"/>
              </w:rPr>
              <w:t>4.365</w:t>
            </w:r>
          </w:p>
        </w:tc>
        <w:tc>
          <w:tcPr>
            <w:tcW w:w="665" w:type="pct"/>
            <w:tcBorders>
              <w:bottom w:val="single" w:sz="4" w:space="0" w:color="BFBFBF" w:themeColor="background1" w:themeShade="BF"/>
              <w:right w:val="single" w:sz="4" w:space="0" w:color="BFBFBF" w:themeColor="background1" w:themeShade="BF"/>
            </w:tcBorders>
            <w:hideMark/>
          </w:tcPr>
          <w:p w:rsidR="00195BE7" w:rsidRPr="001E2F6E" w:rsidRDefault="00195BE7" w:rsidP="00195BE7">
            <w:pPr>
              <w:spacing w:line="240" w:lineRule="exact"/>
              <w:ind w:right="284"/>
              <w:jc w:val="right"/>
              <w:rPr>
                <w:color w:val="000000"/>
                <w:sz w:val="16"/>
                <w:szCs w:val="16"/>
              </w:rPr>
            </w:pPr>
            <w:r w:rsidRPr="001E2F6E">
              <w:rPr>
                <w:color w:val="000000"/>
                <w:sz w:val="16"/>
                <w:szCs w:val="16"/>
              </w:rPr>
              <w:t>7,3</w:t>
            </w:r>
          </w:p>
        </w:tc>
        <w:tc>
          <w:tcPr>
            <w:tcW w:w="774" w:type="pct"/>
            <w:tcBorders>
              <w:left w:val="single" w:sz="4" w:space="0" w:color="BFBFBF" w:themeColor="background1" w:themeShade="BF"/>
              <w:bottom w:val="single" w:sz="4" w:space="0" w:color="BFBFBF" w:themeColor="background1" w:themeShade="BF"/>
            </w:tcBorders>
            <w:hideMark/>
          </w:tcPr>
          <w:p w:rsidR="00195BE7" w:rsidRPr="001E2F6E" w:rsidRDefault="00195BE7" w:rsidP="00195BE7">
            <w:pPr>
              <w:spacing w:line="240" w:lineRule="exact"/>
              <w:ind w:right="284"/>
              <w:jc w:val="right"/>
              <w:rPr>
                <w:color w:val="000000"/>
                <w:sz w:val="16"/>
                <w:szCs w:val="16"/>
              </w:rPr>
            </w:pPr>
            <w:r w:rsidRPr="001E2F6E">
              <w:rPr>
                <w:color w:val="000000"/>
                <w:sz w:val="16"/>
                <w:szCs w:val="16"/>
              </w:rPr>
              <w:t>3.823</w:t>
            </w:r>
          </w:p>
        </w:tc>
        <w:tc>
          <w:tcPr>
            <w:tcW w:w="775" w:type="pct"/>
            <w:tcBorders>
              <w:bottom w:val="single" w:sz="4" w:space="0" w:color="BFBFBF" w:themeColor="background1" w:themeShade="BF"/>
              <w:right w:val="single" w:sz="4" w:space="0" w:color="BFBFBF" w:themeColor="background1" w:themeShade="BF"/>
            </w:tcBorders>
            <w:hideMark/>
          </w:tcPr>
          <w:p w:rsidR="00195BE7" w:rsidRPr="001E2F6E" w:rsidRDefault="00195BE7" w:rsidP="00195BE7">
            <w:pPr>
              <w:spacing w:line="240" w:lineRule="exact"/>
              <w:ind w:right="284"/>
              <w:jc w:val="right"/>
              <w:rPr>
                <w:color w:val="000000"/>
                <w:sz w:val="16"/>
                <w:szCs w:val="16"/>
              </w:rPr>
            </w:pPr>
            <w:r w:rsidRPr="001E2F6E">
              <w:rPr>
                <w:color w:val="000000"/>
                <w:sz w:val="16"/>
                <w:szCs w:val="16"/>
              </w:rPr>
              <w:t>6,8</w:t>
            </w:r>
          </w:p>
        </w:tc>
        <w:tc>
          <w:tcPr>
            <w:tcW w:w="998" w:type="pct"/>
            <w:tcBorders>
              <w:left w:val="single" w:sz="4" w:space="0" w:color="BFBFBF" w:themeColor="background1" w:themeShade="BF"/>
              <w:bottom w:val="single" w:sz="4" w:space="0" w:color="BFBFBF" w:themeColor="background1" w:themeShade="BF"/>
            </w:tcBorders>
            <w:hideMark/>
          </w:tcPr>
          <w:p w:rsidR="00195BE7" w:rsidRPr="001E2F6E" w:rsidRDefault="00195BE7" w:rsidP="00195BE7">
            <w:pPr>
              <w:spacing w:line="240" w:lineRule="exact"/>
              <w:ind w:right="284"/>
              <w:jc w:val="right"/>
              <w:rPr>
                <w:color w:val="000000"/>
                <w:sz w:val="16"/>
                <w:szCs w:val="16"/>
              </w:rPr>
            </w:pPr>
            <w:r w:rsidRPr="001E2F6E">
              <w:rPr>
                <w:color w:val="000000"/>
                <w:sz w:val="16"/>
                <w:szCs w:val="16"/>
              </w:rPr>
              <w:t>-12,4</w:t>
            </w:r>
          </w:p>
        </w:tc>
      </w:tr>
      <w:tr w:rsidR="00195BE7" w:rsidRPr="001E2F6E" w:rsidTr="00195BE7">
        <w:trPr>
          <w:jc w:val="center"/>
        </w:trPr>
        <w:tc>
          <w:tcPr>
            <w:tcW w:w="1013" w:type="pct"/>
            <w:tcBorders>
              <w:top w:val="single" w:sz="4" w:space="0" w:color="BFBFBF" w:themeColor="background1" w:themeShade="BF"/>
              <w:bottom w:val="single" w:sz="4" w:space="0" w:color="BFBFBF" w:themeColor="background1" w:themeShade="BF"/>
              <w:right w:val="single" w:sz="4" w:space="0" w:color="BFBFBF" w:themeColor="background1" w:themeShade="BF"/>
            </w:tcBorders>
            <w:hideMark/>
          </w:tcPr>
          <w:p w:rsidR="00195BE7" w:rsidRPr="001E2F6E" w:rsidRDefault="00195BE7" w:rsidP="00195BE7">
            <w:pPr>
              <w:spacing w:line="240" w:lineRule="exact"/>
              <w:rPr>
                <w:b/>
                <w:sz w:val="16"/>
                <w:szCs w:val="16"/>
                <w:lang w:val="eu-ES"/>
              </w:rPr>
            </w:pPr>
            <w:r w:rsidRPr="001E2F6E">
              <w:rPr>
                <w:b/>
                <w:sz w:val="16"/>
                <w:szCs w:val="16"/>
                <w:lang w:val="eu-ES"/>
              </w:rPr>
              <w:t>GUZTIRA</w:t>
            </w:r>
          </w:p>
        </w:tc>
        <w:tc>
          <w:tcPr>
            <w:tcW w:w="774" w:type="pct"/>
            <w:tcBorders>
              <w:top w:val="single" w:sz="4" w:space="0" w:color="BFBFBF" w:themeColor="background1" w:themeShade="BF"/>
              <w:left w:val="single" w:sz="4" w:space="0" w:color="BFBFBF" w:themeColor="background1" w:themeShade="BF"/>
              <w:bottom w:val="single" w:sz="4" w:space="0" w:color="BFBFBF" w:themeColor="background1" w:themeShade="BF"/>
            </w:tcBorders>
            <w:hideMark/>
          </w:tcPr>
          <w:p w:rsidR="00195BE7" w:rsidRPr="001E2F6E" w:rsidRDefault="00195BE7" w:rsidP="00195BE7">
            <w:pPr>
              <w:spacing w:line="240" w:lineRule="exact"/>
              <w:ind w:right="284"/>
              <w:jc w:val="right"/>
              <w:rPr>
                <w:b/>
                <w:bCs/>
                <w:color w:val="000000"/>
                <w:sz w:val="16"/>
                <w:szCs w:val="16"/>
              </w:rPr>
            </w:pPr>
            <w:r w:rsidRPr="001E2F6E">
              <w:rPr>
                <w:b/>
                <w:bCs/>
                <w:color w:val="000000"/>
                <w:sz w:val="16"/>
                <w:szCs w:val="16"/>
              </w:rPr>
              <w:t>59.915</w:t>
            </w:r>
          </w:p>
        </w:tc>
        <w:tc>
          <w:tcPr>
            <w:tcW w:w="665" w:type="pct"/>
            <w:tcBorders>
              <w:top w:val="single" w:sz="4" w:space="0" w:color="BFBFBF" w:themeColor="background1" w:themeShade="BF"/>
              <w:bottom w:val="single" w:sz="4" w:space="0" w:color="BFBFBF" w:themeColor="background1" w:themeShade="BF"/>
              <w:right w:val="single" w:sz="4" w:space="0" w:color="BFBFBF" w:themeColor="background1" w:themeShade="BF"/>
            </w:tcBorders>
            <w:hideMark/>
          </w:tcPr>
          <w:p w:rsidR="00195BE7" w:rsidRPr="001E2F6E" w:rsidRDefault="00195BE7" w:rsidP="00195BE7">
            <w:pPr>
              <w:spacing w:line="240" w:lineRule="exact"/>
              <w:ind w:right="284"/>
              <w:jc w:val="right"/>
              <w:rPr>
                <w:b/>
                <w:bCs/>
                <w:color w:val="000000"/>
                <w:sz w:val="16"/>
                <w:szCs w:val="16"/>
              </w:rPr>
            </w:pPr>
            <w:r w:rsidRPr="001E2F6E">
              <w:rPr>
                <w:b/>
                <w:bCs/>
                <w:color w:val="000000"/>
                <w:sz w:val="16"/>
                <w:szCs w:val="16"/>
              </w:rPr>
              <w:t>100</w:t>
            </w:r>
          </w:p>
        </w:tc>
        <w:tc>
          <w:tcPr>
            <w:tcW w:w="774" w:type="pct"/>
            <w:tcBorders>
              <w:top w:val="single" w:sz="4" w:space="0" w:color="BFBFBF" w:themeColor="background1" w:themeShade="BF"/>
              <w:left w:val="single" w:sz="4" w:space="0" w:color="BFBFBF" w:themeColor="background1" w:themeShade="BF"/>
              <w:bottom w:val="single" w:sz="4" w:space="0" w:color="BFBFBF" w:themeColor="background1" w:themeShade="BF"/>
            </w:tcBorders>
            <w:hideMark/>
          </w:tcPr>
          <w:p w:rsidR="00195BE7" w:rsidRPr="001E2F6E" w:rsidRDefault="00195BE7" w:rsidP="00195BE7">
            <w:pPr>
              <w:spacing w:line="240" w:lineRule="exact"/>
              <w:ind w:right="284"/>
              <w:jc w:val="right"/>
              <w:rPr>
                <w:b/>
                <w:bCs/>
                <w:color w:val="000000"/>
                <w:sz w:val="16"/>
                <w:szCs w:val="16"/>
              </w:rPr>
            </w:pPr>
            <w:r w:rsidRPr="001E2F6E">
              <w:rPr>
                <w:b/>
                <w:bCs/>
                <w:color w:val="000000"/>
                <w:sz w:val="16"/>
                <w:szCs w:val="16"/>
              </w:rPr>
              <w:t>55.809</w:t>
            </w:r>
          </w:p>
        </w:tc>
        <w:tc>
          <w:tcPr>
            <w:tcW w:w="775" w:type="pct"/>
            <w:tcBorders>
              <w:top w:val="single" w:sz="4" w:space="0" w:color="BFBFBF" w:themeColor="background1" w:themeShade="BF"/>
              <w:bottom w:val="single" w:sz="4" w:space="0" w:color="BFBFBF" w:themeColor="background1" w:themeShade="BF"/>
              <w:right w:val="single" w:sz="4" w:space="0" w:color="BFBFBF" w:themeColor="background1" w:themeShade="BF"/>
            </w:tcBorders>
            <w:hideMark/>
          </w:tcPr>
          <w:p w:rsidR="00195BE7" w:rsidRPr="001E2F6E" w:rsidRDefault="00195BE7" w:rsidP="00195BE7">
            <w:pPr>
              <w:spacing w:line="240" w:lineRule="exact"/>
              <w:ind w:right="284"/>
              <w:jc w:val="right"/>
              <w:rPr>
                <w:b/>
                <w:bCs/>
                <w:color w:val="000000"/>
                <w:sz w:val="16"/>
                <w:szCs w:val="16"/>
              </w:rPr>
            </w:pPr>
            <w:r w:rsidRPr="001E2F6E">
              <w:rPr>
                <w:b/>
                <w:bCs/>
                <w:color w:val="000000"/>
                <w:sz w:val="16"/>
                <w:szCs w:val="16"/>
              </w:rPr>
              <w:t>100</w:t>
            </w:r>
          </w:p>
        </w:tc>
        <w:tc>
          <w:tcPr>
            <w:tcW w:w="998" w:type="pct"/>
            <w:tcBorders>
              <w:top w:val="single" w:sz="4" w:space="0" w:color="BFBFBF" w:themeColor="background1" w:themeShade="BF"/>
              <w:left w:val="single" w:sz="4" w:space="0" w:color="BFBFBF" w:themeColor="background1" w:themeShade="BF"/>
              <w:bottom w:val="single" w:sz="4" w:space="0" w:color="BFBFBF" w:themeColor="background1" w:themeShade="BF"/>
            </w:tcBorders>
            <w:hideMark/>
          </w:tcPr>
          <w:p w:rsidR="00195BE7" w:rsidRPr="001E2F6E" w:rsidRDefault="00195BE7" w:rsidP="00195BE7">
            <w:pPr>
              <w:spacing w:line="240" w:lineRule="exact"/>
              <w:ind w:right="284"/>
              <w:jc w:val="right"/>
              <w:rPr>
                <w:b/>
                <w:bCs/>
                <w:color w:val="000000"/>
                <w:sz w:val="16"/>
                <w:szCs w:val="16"/>
              </w:rPr>
            </w:pPr>
            <w:r w:rsidRPr="001E2F6E">
              <w:rPr>
                <w:b/>
                <w:bCs/>
                <w:color w:val="000000"/>
                <w:sz w:val="16"/>
                <w:szCs w:val="16"/>
              </w:rPr>
              <w:t>-6,9</w:t>
            </w:r>
          </w:p>
        </w:tc>
      </w:tr>
    </w:tbl>
    <w:p w:rsidR="00195BE7" w:rsidRPr="001E2F6E" w:rsidRDefault="00195BE7" w:rsidP="00195BE7">
      <w:pPr>
        <w:tabs>
          <w:tab w:val="left" w:pos="993"/>
        </w:tabs>
        <w:ind w:firstLine="709"/>
        <w:jc w:val="center"/>
        <w:rPr>
          <w:sz w:val="16"/>
          <w:szCs w:val="16"/>
        </w:rPr>
      </w:pPr>
      <w:r w:rsidRPr="001E2F6E">
        <w:rPr>
          <w:sz w:val="16"/>
          <w:szCs w:val="16"/>
        </w:rPr>
        <w:t xml:space="preserve">(1) </w:t>
      </w:r>
      <w:r w:rsidRPr="001E2F6E">
        <w:rPr>
          <w:sz w:val="16"/>
          <w:szCs w:val="16"/>
        </w:rPr>
        <w:tab/>
      </w:r>
      <w:r w:rsidRPr="001E2F6E">
        <w:rPr>
          <w:sz w:val="16"/>
          <w:szCs w:val="16"/>
          <w:lang w:val="eu-ES"/>
        </w:rPr>
        <w:t>Kopuru absolutuek erregistratutako hazkundea, ehunekotan adierazita</w:t>
      </w:r>
      <w:r w:rsidRPr="001E2F6E">
        <w:rPr>
          <w:sz w:val="16"/>
          <w:szCs w:val="16"/>
        </w:rPr>
        <w:t>.</w:t>
      </w:r>
    </w:p>
    <w:p w:rsidR="00195BE7" w:rsidRDefault="00195BE7" w:rsidP="00195BE7"/>
    <w:p w:rsidR="00067A2F" w:rsidRPr="001E2F6E" w:rsidRDefault="00067A2F" w:rsidP="00195BE7"/>
    <w:p w:rsidR="00195BE7" w:rsidRPr="001E2F6E" w:rsidRDefault="00195BE7" w:rsidP="00195BE7">
      <w:pPr>
        <w:spacing w:line="240" w:lineRule="auto"/>
        <w:jc w:val="center"/>
        <w:rPr>
          <w:b/>
          <w:noProof/>
          <w:color w:val="1F497D" w:themeColor="text2"/>
          <w:sz w:val="18"/>
          <w:szCs w:val="18"/>
        </w:rPr>
      </w:pPr>
      <w:r w:rsidRPr="001E2F6E">
        <w:rPr>
          <w:b/>
          <w:noProof/>
          <w:color w:val="1F497D" w:themeColor="text2"/>
          <w:sz w:val="18"/>
          <w:szCs w:val="18"/>
          <w:lang w:eastAsia="es-ES"/>
        </w:rPr>
        <w:drawing>
          <wp:anchor distT="0" distB="0" distL="114300" distR="114300" simplePos="0" relativeHeight="251694080" behindDoc="0" locked="0" layoutInCell="1" allowOverlap="1" wp14:anchorId="28401724" wp14:editId="3DC47880">
            <wp:simplePos x="0" y="0"/>
            <wp:positionH relativeFrom="column">
              <wp:posOffset>3089910</wp:posOffset>
            </wp:positionH>
            <wp:positionV relativeFrom="paragraph">
              <wp:posOffset>150495</wp:posOffset>
            </wp:positionV>
            <wp:extent cx="3114675" cy="2066925"/>
            <wp:effectExtent l="0" t="0" r="0" b="0"/>
            <wp:wrapNone/>
            <wp:docPr id="455" name="Objeto 46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anchor>
        </w:drawing>
      </w:r>
      <w:r w:rsidRPr="001E2F6E">
        <w:rPr>
          <w:b/>
          <w:noProof/>
          <w:color w:val="1F497D" w:themeColor="text2"/>
          <w:sz w:val="18"/>
          <w:szCs w:val="18"/>
          <w:lang w:eastAsia="es-ES"/>
        </w:rPr>
        <w:drawing>
          <wp:anchor distT="0" distB="0" distL="114300" distR="114300" simplePos="0" relativeHeight="251693056" behindDoc="0" locked="0" layoutInCell="1" allowOverlap="1" wp14:anchorId="354F97B9" wp14:editId="497C6A26">
            <wp:simplePos x="0" y="0"/>
            <wp:positionH relativeFrom="column">
              <wp:posOffset>-329565</wp:posOffset>
            </wp:positionH>
            <wp:positionV relativeFrom="paragraph">
              <wp:posOffset>198120</wp:posOffset>
            </wp:positionV>
            <wp:extent cx="3114675" cy="2066925"/>
            <wp:effectExtent l="0" t="0" r="0" b="0"/>
            <wp:wrapNone/>
            <wp:docPr id="456" name="Objeto 46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anchor>
        </w:drawing>
      </w:r>
      <w:bookmarkStart w:id="118" w:name="_Toc391989153"/>
      <w:bookmarkStart w:id="119" w:name="_Toc392585818"/>
      <w:r w:rsidRPr="001E2F6E">
        <w:rPr>
          <w:b/>
          <w:color w:val="1F497D" w:themeColor="text2"/>
          <w:sz w:val="18"/>
          <w:szCs w:val="18"/>
        </w:rPr>
        <w:t>1.</w:t>
      </w:r>
      <w:r w:rsidR="00EB6BA6" w:rsidRPr="001E2F6E">
        <w:rPr>
          <w:b/>
          <w:color w:val="1F497D" w:themeColor="text2"/>
          <w:sz w:val="18"/>
          <w:szCs w:val="18"/>
        </w:rPr>
        <w:fldChar w:fldCharType="begin"/>
      </w:r>
      <w:r w:rsidRPr="001E2F6E">
        <w:rPr>
          <w:b/>
          <w:color w:val="1F497D" w:themeColor="text2"/>
          <w:sz w:val="18"/>
          <w:szCs w:val="18"/>
        </w:rPr>
        <w:instrText xml:space="preserve"> SEQ Gráfico_1. \* ARABIC </w:instrText>
      </w:r>
      <w:r w:rsidR="00EB6BA6" w:rsidRPr="001E2F6E">
        <w:rPr>
          <w:b/>
          <w:color w:val="1F497D" w:themeColor="text2"/>
          <w:sz w:val="18"/>
          <w:szCs w:val="18"/>
        </w:rPr>
        <w:fldChar w:fldCharType="separate"/>
      </w:r>
      <w:r w:rsidR="00A327D4">
        <w:rPr>
          <w:b/>
          <w:noProof/>
          <w:color w:val="1F497D" w:themeColor="text2"/>
          <w:sz w:val="18"/>
          <w:szCs w:val="18"/>
        </w:rPr>
        <w:t>8</w:t>
      </w:r>
      <w:r w:rsidR="00EB6BA6" w:rsidRPr="001E2F6E">
        <w:rPr>
          <w:b/>
          <w:color w:val="1F497D" w:themeColor="text2"/>
          <w:sz w:val="18"/>
          <w:szCs w:val="18"/>
        </w:rPr>
        <w:fldChar w:fldCharType="end"/>
      </w:r>
      <w:r w:rsidRPr="001E2F6E">
        <w:rPr>
          <w:b/>
          <w:color w:val="1F497D" w:themeColor="text2"/>
          <w:sz w:val="18"/>
          <w:szCs w:val="18"/>
        </w:rPr>
        <w:t xml:space="preserve"> Irudia </w:t>
      </w:r>
      <w:r w:rsidRPr="001E2F6E">
        <w:rPr>
          <w:b/>
          <w:noProof/>
          <w:color w:val="1F497D" w:themeColor="text2"/>
          <w:sz w:val="18"/>
          <w:szCs w:val="18"/>
        </w:rPr>
        <w:t>ENPLEGUEN ETA ESTABLEZIMENDUEN BANAKETA, FORMA JURIDIKOAREN ARABERA. 2012.</w:t>
      </w:r>
      <w:bookmarkEnd w:id="118"/>
      <w:bookmarkEnd w:id="119"/>
      <w:r w:rsidRPr="001E2F6E">
        <w:rPr>
          <w:b/>
          <w:noProof/>
          <w:color w:val="1F497D" w:themeColor="text2"/>
          <w:sz w:val="18"/>
          <w:szCs w:val="18"/>
        </w:rPr>
        <w:t xml:space="preserve"> </w:t>
      </w:r>
    </w:p>
    <w:p w:rsidR="00195BE7" w:rsidRPr="001E2F6E" w:rsidRDefault="00195BE7" w:rsidP="00195BE7">
      <w:pPr>
        <w:jc w:val="center"/>
      </w:pPr>
    </w:p>
    <w:p w:rsidR="00195BE7" w:rsidRPr="001E2F6E" w:rsidRDefault="00195BE7" w:rsidP="00195BE7">
      <w:pPr>
        <w:jc w:val="center"/>
      </w:pPr>
    </w:p>
    <w:p w:rsidR="00195BE7" w:rsidRPr="001E2F6E" w:rsidRDefault="00195BE7" w:rsidP="00195BE7">
      <w:pPr>
        <w:jc w:val="center"/>
      </w:pPr>
    </w:p>
    <w:p w:rsidR="00195BE7" w:rsidRPr="001E2F6E" w:rsidRDefault="00195BE7" w:rsidP="00195BE7">
      <w:pPr>
        <w:jc w:val="center"/>
      </w:pPr>
    </w:p>
    <w:p w:rsidR="00195BE7" w:rsidRPr="001E2F6E" w:rsidRDefault="00195BE7" w:rsidP="00195BE7">
      <w:pPr>
        <w:jc w:val="center"/>
      </w:pPr>
    </w:p>
    <w:p w:rsidR="00195BE7" w:rsidRPr="001E2F6E" w:rsidRDefault="00195BE7" w:rsidP="00195BE7">
      <w:pPr>
        <w:jc w:val="center"/>
      </w:pPr>
    </w:p>
    <w:p w:rsidR="00195BE7" w:rsidRPr="001E2F6E" w:rsidRDefault="00195BE7" w:rsidP="00195BE7">
      <w:pPr>
        <w:jc w:val="center"/>
      </w:pPr>
    </w:p>
    <w:p w:rsidR="00195BE7" w:rsidRPr="001E2F6E" w:rsidRDefault="00195BE7" w:rsidP="00195BE7">
      <w:pPr>
        <w:jc w:val="center"/>
      </w:pPr>
    </w:p>
    <w:p w:rsidR="00195BE7" w:rsidRPr="001E2F6E" w:rsidRDefault="00195BE7" w:rsidP="00195BE7"/>
    <w:p w:rsidR="00195BE7" w:rsidRDefault="00195BE7" w:rsidP="00195BE7"/>
    <w:p w:rsidR="00067A2F" w:rsidRPr="001E2F6E" w:rsidRDefault="00067A2F" w:rsidP="00195BE7"/>
    <w:p w:rsidR="00067A2F" w:rsidRDefault="00067A2F">
      <w:pPr>
        <w:spacing w:line="240" w:lineRule="auto"/>
        <w:jc w:val="left"/>
        <w:rPr>
          <w:b/>
          <w:color w:val="1F497D" w:themeColor="text2"/>
          <w:sz w:val="18"/>
          <w:szCs w:val="18"/>
        </w:rPr>
      </w:pPr>
      <w:bookmarkStart w:id="120" w:name="_Toc391989100"/>
      <w:bookmarkStart w:id="121" w:name="_Toc392585765"/>
      <w:r>
        <w:rPr>
          <w:b/>
          <w:color w:val="1F497D" w:themeColor="text2"/>
          <w:sz w:val="18"/>
          <w:szCs w:val="18"/>
        </w:rPr>
        <w:br w:type="page"/>
      </w:r>
    </w:p>
    <w:p w:rsidR="00195BE7" w:rsidRPr="001E2F6E" w:rsidRDefault="00195BE7" w:rsidP="00195BE7">
      <w:pPr>
        <w:spacing w:line="240" w:lineRule="auto"/>
        <w:jc w:val="center"/>
        <w:rPr>
          <w:b/>
          <w:color w:val="1F497D" w:themeColor="text2"/>
          <w:sz w:val="18"/>
          <w:szCs w:val="18"/>
        </w:rPr>
      </w:pPr>
      <w:r w:rsidRPr="001E2F6E">
        <w:rPr>
          <w:b/>
          <w:color w:val="1F497D" w:themeColor="text2"/>
          <w:sz w:val="18"/>
          <w:szCs w:val="18"/>
        </w:rPr>
        <w:lastRenderedPageBreak/>
        <w:t>1.</w:t>
      </w:r>
      <w:r w:rsidR="00EB6BA6" w:rsidRPr="001E2F6E">
        <w:rPr>
          <w:b/>
          <w:color w:val="1F497D" w:themeColor="text2"/>
          <w:sz w:val="18"/>
          <w:szCs w:val="18"/>
        </w:rPr>
        <w:fldChar w:fldCharType="begin"/>
      </w:r>
      <w:r w:rsidRPr="001E2F6E">
        <w:rPr>
          <w:b/>
          <w:color w:val="1F497D" w:themeColor="text2"/>
          <w:sz w:val="18"/>
          <w:szCs w:val="18"/>
        </w:rPr>
        <w:instrText xml:space="preserve"> SEQ Cuadro_1. \* ARABIC </w:instrText>
      </w:r>
      <w:r w:rsidR="00EB6BA6" w:rsidRPr="001E2F6E">
        <w:rPr>
          <w:b/>
          <w:color w:val="1F497D" w:themeColor="text2"/>
          <w:sz w:val="18"/>
          <w:szCs w:val="18"/>
        </w:rPr>
        <w:fldChar w:fldCharType="separate"/>
      </w:r>
      <w:r w:rsidR="00A327D4">
        <w:rPr>
          <w:b/>
          <w:noProof/>
          <w:color w:val="1F497D" w:themeColor="text2"/>
          <w:sz w:val="18"/>
          <w:szCs w:val="18"/>
        </w:rPr>
        <w:t>30</w:t>
      </w:r>
      <w:r w:rsidR="00EB6BA6" w:rsidRPr="001E2F6E">
        <w:rPr>
          <w:b/>
          <w:color w:val="1F497D" w:themeColor="text2"/>
          <w:sz w:val="18"/>
          <w:szCs w:val="18"/>
        </w:rPr>
        <w:fldChar w:fldCharType="end"/>
      </w:r>
      <w:r w:rsidRPr="001E2F6E">
        <w:rPr>
          <w:b/>
          <w:color w:val="1F497D" w:themeColor="text2"/>
          <w:sz w:val="18"/>
          <w:szCs w:val="18"/>
        </w:rPr>
        <w:t xml:space="preserve"> Taula ESTABLEZIMENDUEN BATEZ BESTEKO TAMAINA, FORMA JURIDIKOAREN ARABERA (ENPLEGATUAK/ESTABLEZIMENDUAK) 2010-2012</w:t>
      </w:r>
      <w:bookmarkEnd w:id="120"/>
      <w:bookmarkEnd w:id="121"/>
    </w:p>
    <w:tbl>
      <w:tblPr>
        <w:tblW w:w="5000" w:type="pct"/>
        <w:jc w:val="center"/>
        <w:tblLook w:val="04A0" w:firstRow="1" w:lastRow="0" w:firstColumn="1" w:lastColumn="0" w:noHBand="0" w:noVBand="1"/>
      </w:tblPr>
      <w:tblGrid>
        <w:gridCol w:w="3414"/>
        <w:gridCol w:w="2795"/>
        <w:gridCol w:w="2795"/>
      </w:tblGrid>
      <w:tr w:rsidR="00195BE7" w:rsidRPr="001E2F6E" w:rsidTr="00195BE7">
        <w:trPr>
          <w:jc w:val="center"/>
        </w:trPr>
        <w:tc>
          <w:tcPr>
            <w:tcW w:w="1896"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tcPr>
          <w:p w:rsidR="00195BE7" w:rsidRPr="001E2F6E" w:rsidRDefault="00195BE7" w:rsidP="00195BE7">
            <w:pPr>
              <w:spacing w:line="240" w:lineRule="exact"/>
              <w:jc w:val="center"/>
              <w:rPr>
                <w:b/>
                <w:sz w:val="16"/>
                <w:szCs w:val="16"/>
              </w:rPr>
            </w:pPr>
          </w:p>
        </w:tc>
        <w:tc>
          <w:tcPr>
            <w:tcW w:w="1552"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vAlign w:val="center"/>
          </w:tcPr>
          <w:p w:rsidR="00195BE7" w:rsidRPr="001E2F6E" w:rsidRDefault="00195BE7" w:rsidP="00195BE7">
            <w:pPr>
              <w:spacing w:line="240" w:lineRule="exact"/>
              <w:jc w:val="center"/>
              <w:rPr>
                <w:b/>
                <w:sz w:val="16"/>
                <w:szCs w:val="16"/>
              </w:rPr>
            </w:pPr>
            <w:bookmarkStart w:id="122" w:name="_Toc391565494"/>
            <w:r w:rsidRPr="001E2F6E">
              <w:rPr>
                <w:b/>
                <w:sz w:val="16"/>
                <w:szCs w:val="16"/>
              </w:rPr>
              <w:t>2010</w:t>
            </w:r>
            <w:bookmarkEnd w:id="122"/>
          </w:p>
        </w:tc>
        <w:tc>
          <w:tcPr>
            <w:tcW w:w="1552"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vAlign w:val="center"/>
          </w:tcPr>
          <w:p w:rsidR="00195BE7" w:rsidRPr="001E2F6E" w:rsidRDefault="00195BE7" w:rsidP="00195BE7">
            <w:pPr>
              <w:spacing w:line="240" w:lineRule="exact"/>
              <w:jc w:val="center"/>
              <w:rPr>
                <w:b/>
                <w:sz w:val="16"/>
                <w:szCs w:val="16"/>
              </w:rPr>
            </w:pPr>
            <w:bookmarkStart w:id="123" w:name="_Toc391565495"/>
            <w:r w:rsidRPr="001E2F6E">
              <w:rPr>
                <w:b/>
                <w:sz w:val="16"/>
                <w:szCs w:val="16"/>
              </w:rPr>
              <w:t>2012</w:t>
            </w:r>
            <w:bookmarkEnd w:id="123"/>
          </w:p>
        </w:tc>
      </w:tr>
      <w:tr w:rsidR="00195BE7" w:rsidRPr="001E2F6E" w:rsidTr="00195BE7">
        <w:trPr>
          <w:jc w:val="center"/>
        </w:trPr>
        <w:tc>
          <w:tcPr>
            <w:tcW w:w="1896" w:type="pct"/>
            <w:tcBorders>
              <w:right w:val="single" w:sz="4" w:space="0" w:color="BFBFBF" w:themeColor="background1" w:themeShade="BF"/>
            </w:tcBorders>
          </w:tcPr>
          <w:p w:rsidR="00195BE7" w:rsidRPr="001E2F6E" w:rsidRDefault="00195BE7" w:rsidP="00195BE7">
            <w:pPr>
              <w:spacing w:line="240" w:lineRule="exact"/>
              <w:rPr>
                <w:sz w:val="16"/>
                <w:szCs w:val="16"/>
                <w:lang w:val="eu-ES"/>
              </w:rPr>
            </w:pPr>
            <w:r w:rsidRPr="001E2F6E">
              <w:rPr>
                <w:sz w:val="16"/>
                <w:szCs w:val="16"/>
                <w:lang w:val="eu-ES"/>
              </w:rPr>
              <w:t>Kooperatibak</w:t>
            </w:r>
          </w:p>
        </w:tc>
        <w:tc>
          <w:tcPr>
            <w:tcW w:w="1552" w:type="pct"/>
            <w:tcBorders>
              <w:left w:val="single" w:sz="4" w:space="0" w:color="BFBFBF" w:themeColor="background1" w:themeShade="BF"/>
            </w:tcBorders>
          </w:tcPr>
          <w:p w:rsidR="00195BE7" w:rsidRPr="001E2F6E" w:rsidRDefault="00195BE7" w:rsidP="00195BE7">
            <w:pPr>
              <w:spacing w:line="240" w:lineRule="exact"/>
              <w:ind w:right="284"/>
              <w:jc w:val="right"/>
              <w:rPr>
                <w:sz w:val="16"/>
                <w:szCs w:val="16"/>
              </w:rPr>
            </w:pPr>
            <w:r w:rsidRPr="001E2F6E">
              <w:rPr>
                <w:sz w:val="16"/>
                <w:szCs w:val="16"/>
              </w:rPr>
              <w:t>23,8</w:t>
            </w:r>
          </w:p>
        </w:tc>
        <w:tc>
          <w:tcPr>
            <w:tcW w:w="1552" w:type="pct"/>
            <w:tcBorders>
              <w:left w:val="single" w:sz="4" w:space="0" w:color="BFBFBF" w:themeColor="background1" w:themeShade="BF"/>
            </w:tcBorders>
          </w:tcPr>
          <w:p w:rsidR="00195BE7" w:rsidRPr="001E2F6E" w:rsidRDefault="00195BE7" w:rsidP="00195BE7">
            <w:pPr>
              <w:spacing w:line="240" w:lineRule="exact"/>
              <w:ind w:right="284"/>
              <w:jc w:val="right"/>
              <w:rPr>
                <w:sz w:val="16"/>
                <w:szCs w:val="16"/>
              </w:rPr>
            </w:pPr>
            <w:r w:rsidRPr="001E2F6E">
              <w:rPr>
                <w:sz w:val="16"/>
                <w:szCs w:val="16"/>
              </w:rPr>
              <w:t>21,9</w:t>
            </w:r>
          </w:p>
        </w:tc>
      </w:tr>
      <w:tr w:rsidR="00195BE7" w:rsidRPr="001E2F6E" w:rsidTr="00195BE7">
        <w:trPr>
          <w:jc w:val="center"/>
        </w:trPr>
        <w:tc>
          <w:tcPr>
            <w:tcW w:w="1896" w:type="pct"/>
            <w:tcBorders>
              <w:right w:val="single" w:sz="4" w:space="0" w:color="BFBFBF" w:themeColor="background1" w:themeShade="BF"/>
            </w:tcBorders>
          </w:tcPr>
          <w:p w:rsidR="00195BE7" w:rsidRPr="001E2F6E" w:rsidRDefault="00195BE7" w:rsidP="00195BE7">
            <w:pPr>
              <w:spacing w:line="240" w:lineRule="exact"/>
              <w:rPr>
                <w:sz w:val="16"/>
                <w:szCs w:val="16"/>
                <w:lang w:val="eu-ES"/>
              </w:rPr>
            </w:pPr>
            <w:r w:rsidRPr="001E2F6E">
              <w:rPr>
                <w:sz w:val="16"/>
                <w:szCs w:val="16"/>
                <w:lang w:val="eu-ES"/>
              </w:rPr>
              <w:t>LS motakoak</w:t>
            </w:r>
          </w:p>
        </w:tc>
        <w:tc>
          <w:tcPr>
            <w:tcW w:w="1552" w:type="pct"/>
            <w:tcBorders>
              <w:left w:val="single" w:sz="4" w:space="0" w:color="BFBFBF" w:themeColor="background1" w:themeShade="BF"/>
            </w:tcBorders>
          </w:tcPr>
          <w:p w:rsidR="00195BE7" w:rsidRPr="001E2F6E" w:rsidRDefault="00195BE7" w:rsidP="00195BE7">
            <w:pPr>
              <w:spacing w:line="240" w:lineRule="exact"/>
              <w:ind w:right="284"/>
              <w:jc w:val="right"/>
              <w:rPr>
                <w:sz w:val="16"/>
                <w:szCs w:val="16"/>
              </w:rPr>
            </w:pPr>
            <w:r w:rsidRPr="001E2F6E">
              <w:rPr>
                <w:sz w:val="16"/>
                <w:szCs w:val="16"/>
              </w:rPr>
              <w:t>12,1</w:t>
            </w:r>
          </w:p>
        </w:tc>
        <w:tc>
          <w:tcPr>
            <w:tcW w:w="1552" w:type="pct"/>
            <w:tcBorders>
              <w:left w:val="single" w:sz="4" w:space="0" w:color="BFBFBF" w:themeColor="background1" w:themeShade="BF"/>
            </w:tcBorders>
          </w:tcPr>
          <w:p w:rsidR="00195BE7" w:rsidRPr="001E2F6E" w:rsidRDefault="00195BE7" w:rsidP="00195BE7">
            <w:pPr>
              <w:spacing w:line="240" w:lineRule="exact"/>
              <w:ind w:right="284"/>
              <w:jc w:val="right"/>
              <w:rPr>
                <w:sz w:val="16"/>
                <w:szCs w:val="16"/>
              </w:rPr>
            </w:pPr>
            <w:r w:rsidRPr="001E2F6E">
              <w:rPr>
                <w:sz w:val="16"/>
                <w:szCs w:val="16"/>
              </w:rPr>
              <w:t>8,9</w:t>
            </w:r>
          </w:p>
        </w:tc>
      </w:tr>
      <w:tr w:rsidR="00195BE7" w:rsidRPr="001E2F6E" w:rsidTr="00195BE7">
        <w:trPr>
          <w:jc w:val="center"/>
        </w:trPr>
        <w:tc>
          <w:tcPr>
            <w:tcW w:w="1896" w:type="pct"/>
            <w:tcBorders>
              <w:right w:val="single" w:sz="4" w:space="0" w:color="BFBFBF" w:themeColor="background1" w:themeShade="BF"/>
            </w:tcBorders>
          </w:tcPr>
          <w:p w:rsidR="00195BE7" w:rsidRPr="001E2F6E" w:rsidRDefault="00195BE7" w:rsidP="00195BE7">
            <w:pPr>
              <w:spacing w:line="240" w:lineRule="exact"/>
              <w:rPr>
                <w:sz w:val="16"/>
                <w:szCs w:val="16"/>
              </w:rPr>
            </w:pPr>
            <w:r w:rsidRPr="001E2F6E">
              <w:rPr>
                <w:sz w:val="16"/>
                <w:szCs w:val="16"/>
              </w:rPr>
              <w:t xml:space="preserve">  LSA</w:t>
            </w:r>
          </w:p>
        </w:tc>
        <w:tc>
          <w:tcPr>
            <w:tcW w:w="1552" w:type="pct"/>
            <w:tcBorders>
              <w:left w:val="single" w:sz="4" w:space="0" w:color="BFBFBF" w:themeColor="background1" w:themeShade="BF"/>
            </w:tcBorders>
          </w:tcPr>
          <w:p w:rsidR="00195BE7" w:rsidRPr="001E2F6E" w:rsidRDefault="00195BE7" w:rsidP="00195BE7">
            <w:pPr>
              <w:spacing w:line="240" w:lineRule="exact"/>
              <w:ind w:right="284"/>
              <w:jc w:val="right"/>
              <w:rPr>
                <w:sz w:val="16"/>
                <w:szCs w:val="16"/>
              </w:rPr>
            </w:pPr>
            <w:r w:rsidRPr="001E2F6E">
              <w:rPr>
                <w:sz w:val="16"/>
                <w:szCs w:val="16"/>
              </w:rPr>
              <w:t>23,1</w:t>
            </w:r>
          </w:p>
        </w:tc>
        <w:tc>
          <w:tcPr>
            <w:tcW w:w="1552" w:type="pct"/>
            <w:tcBorders>
              <w:left w:val="single" w:sz="4" w:space="0" w:color="BFBFBF" w:themeColor="background1" w:themeShade="BF"/>
            </w:tcBorders>
          </w:tcPr>
          <w:p w:rsidR="00195BE7" w:rsidRPr="001E2F6E" w:rsidRDefault="00195BE7" w:rsidP="00195BE7">
            <w:pPr>
              <w:spacing w:line="240" w:lineRule="exact"/>
              <w:ind w:right="284"/>
              <w:jc w:val="right"/>
              <w:rPr>
                <w:sz w:val="16"/>
                <w:szCs w:val="16"/>
              </w:rPr>
            </w:pPr>
            <w:r w:rsidRPr="001E2F6E">
              <w:rPr>
                <w:sz w:val="16"/>
                <w:szCs w:val="16"/>
              </w:rPr>
              <w:t>14,9</w:t>
            </w:r>
          </w:p>
        </w:tc>
      </w:tr>
      <w:tr w:rsidR="00195BE7" w:rsidRPr="001E2F6E" w:rsidTr="00195BE7">
        <w:trPr>
          <w:jc w:val="center"/>
        </w:trPr>
        <w:tc>
          <w:tcPr>
            <w:tcW w:w="1896" w:type="pct"/>
            <w:tcBorders>
              <w:bottom w:val="single" w:sz="4" w:space="0" w:color="BFBFBF" w:themeColor="background1" w:themeShade="BF"/>
              <w:right w:val="single" w:sz="4" w:space="0" w:color="BFBFBF" w:themeColor="background1" w:themeShade="BF"/>
            </w:tcBorders>
          </w:tcPr>
          <w:p w:rsidR="00195BE7" w:rsidRPr="001E2F6E" w:rsidRDefault="00195BE7" w:rsidP="00195BE7">
            <w:pPr>
              <w:spacing w:line="240" w:lineRule="exact"/>
              <w:rPr>
                <w:sz w:val="16"/>
                <w:szCs w:val="16"/>
              </w:rPr>
            </w:pPr>
            <w:r w:rsidRPr="001E2F6E">
              <w:rPr>
                <w:sz w:val="16"/>
                <w:szCs w:val="16"/>
              </w:rPr>
              <w:t xml:space="preserve">  LSM</w:t>
            </w:r>
          </w:p>
        </w:tc>
        <w:tc>
          <w:tcPr>
            <w:tcW w:w="1552" w:type="pct"/>
            <w:tcBorders>
              <w:left w:val="single" w:sz="4" w:space="0" w:color="BFBFBF" w:themeColor="background1" w:themeShade="BF"/>
              <w:bottom w:val="single" w:sz="4" w:space="0" w:color="BFBFBF" w:themeColor="background1" w:themeShade="BF"/>
            </w:tcBorders>
          </w:tcPr>
          <w:p w:rsidR="00195BE7" w:rsidRPr="001E2F6E" w:rsidRDefault="00195BE7" w:rsidP="00195BE7">
            <w:pPr>
              <w:spacing w:line="240" w:lineRule="exact"/>
              <w:ind w:right="284"/>
              <w:jc w:val="right"/>
              <w:rPr>
                <w:sz w:val="16"/>
                <w:szCs w:val="16"/>
              </w:rPr>
            </w:pPr>
            <w:r w:rsidRPr="001E2F6E">
              <w:rPr>
                <w:sz w:val="16"/>
                <w:szCs w:val="16"/>
              </w:rPr>
              <w:t>6,7</w:t>
            </w:r>
          </w:p>
        </w:tc>
        <w:tc>
          <w:tcPr>
            <w:tcW w:w="1552" w:type="pct"/>
            <w:tcBorders>
              <w:left w:val="single" w:sz="4" w:space="0" w:color="BFBFBF" w:themeColor="background1" w:themeShade="BF"/>
              <w:bottom w:val="single" w:sz="4" w:space="0" w:color="BFBFBF" w:themeColor="background1" w:themeShade="BF"/>
            </w:tcBorders>
          </w:tcPr>
          <w:p w:rsidR="00195BE7" w:rsidRPr="001E2F6E" w:rsidRDefault="00195BE7" w:rsidP="00195BE7">
            <w:pPr>
              <w:spacing w:line="240" w:lineRule="exact"/>
              <w:ind w:right="284"/>
              <w:jc w:val="right"/>
              <w:rPr>
                <w:sz w:val="16"/>
                <w:szCs w:val="16"/>
              </w:rPr>
            </w:pPr>
            <w:r w:rsidRPr="001E2F6E">
              <w:rPr>
                <w:sz w:val="16"/>
                <w:szCs w:val="16"/>
              </w:rPr>
              <w:t>6,2</w:t>
            </w:r>
          </w:p>
        </w:tc>
      </w:tr>
    </w:tbl>
    <w:p w:rsidR="00195BE7" w:rsidRPr="001E2F6E" w:rsidRDefault="00195BE7" w:rsidP="00195BE7"/>
    <w:p w:rsidR="00195BE7" w:rsidRPr="001E2F6E" w:rsidRDefault="00195BE7" w:rsidP="00195BE7">
      <w:pPr>
        <w:spacing w:after="200" w:line="276" w:lineRule="auto"/>
        <w:jc w:val="left"/>
        <w:rPr>
          <w:b/>
          <w:color w:val="1F497D" w:themeColor="text2"/>
          <w:sz w:val="18"/>
          <w:szCs w:val="18"/>
        </w:rPr>
      </w:pPr>
    </w:p>
    <w:p w:rsidR="00195BE7" w:rsidRPr="001E2F6E" w:rsidRDefault="00195BE7" w:rsidP="00195BE7">
      <w:pPr>
        <w:spacing w:line="240" w:lineRule="auto"/>
        <w:jc w:val="center"/>
        <w:rPr>
          <w:b/>
          <w:color w:val="1F497D" w:themeColor="text2"/>
          <w:sz w:val="18"/>
          <w:szCs w:val="18"/>
        </w:rPr>
      </w:pPr>
      <w:bookmarkStart w:id="124" w:name="_Toc391989101"/>
      <w:bookmarkStart w:id="125" w:name="_Toc392585766"/>
      <w:r w:rsidRPr="001E2F6E">
        <w:rPr>
          <w:b/>
          <w:color w:val="1F497D" w:themeColor="text2"/>
          <w:sz w:val="18"/>
          <w:szCs w:val="18"/>
        </w:rPr>
        <w:t>1.</w:t>
      </w:r>
      <w:r w:rsidR="00EB6BA6" w:rsidRPr="001E2F6E">
        <w:rPr>
          <w:b/>
          <w:color w:val="1F497D" w:themeColor="text2"/>
          <w:sz w:val="18"/>
          <w:szCs w:val="18"/>
        </w:rPr>
        <w:fldChar w:fldCharType="begin"/>
      </w:r>
      <w:r w:rsidRPr="001E2F6E">
        <w:rPr>
          <w:b/>
          <w:color w:val="1F497D" w:themeColor="text2"/>
          <w:sz w:val="18"/>
          <w:szCs w:val="18"/>
        </w:rPr>
        <w:instrText xml:space="preserve"> SEQ Cuadro_1. \* ARABIC </w:instrText>
      </w:r>
      <w:r w:rsidR="00EB6BA6" w:rsidRPr="001E2F6E">
        <w:rPr>
          <w:b/>
          <w:color w:val="1F497D" w:themeColor="text2"/>
          <w:sz w:val="18"/>
          <w:szCs w:val="18"/>
        </w:rPr>
        <w:fldChar w:fldCharType="separate"/>
      </w:r>
      <w:r w:rsidR="00A327D4">
        <w:rPr>
          <w:b/>
          <w:noProof/>
          <w:color w:val="1F497D" w:themeColor="text2"/>
          <w:sz w:val="18"/>
          <w:szCs w:val="18"/>
        </w:rPr>
        <w:t>31</w:t>
      </w:r>
      <w:r w:rsidR="00EB6BA6" w:rsidRPr="001E2F6E">
        <w:rPr>
          <w:b/>
          <w:color w:val="1F497D" w:themeColor="text2"/>
          <w:sz w:val="18"/>
          <w:szCs w:val="18"/>
        </w:rPr>
        <w:fldChar w:fldCharType="end"/>
      </w:r>
      <w:r w:rsidRPr="001E2F6E">
        <w:rPr>
          <w:b/>
          <w:color w:val="1F497D" w:themeColor="text2"/>
          <w:sz w:val="18"/>
          <w:szCs w:val="18"/>
        </w:rPr>
        <w:t xml:space="preserve"> Taula KOOPERATIBEN ENPLEGUAREN ARLOZ ARLOKO EGITURA. 2010 eta 2012 URTEETAKO ERREFERENTZIA. (zifra absolutuak, %bertikalak)</w:t>
      </w:r>
      <w:bookmarkEnd w:id="124"/>
      <w:bookmarkEnd w:id="125"/>
    </w:p>
    <w:tbl>
      <w:tblPr>
        <w:tblW w:w="5000" w:type="pct"/>
        <w:jc w:val="center"/>
        <w:tblLook w:val="04A0" w:firstRow="1" w:lastRow="0" w:firstColumn="1" w:lastColumn="0" w:noHBand="0" w:noVBand="1"/>
      </w:tblPr>
      <w:tblGrid>
        <w:gridCol w:w="2284"/>
        <w:gridCol w:w="1742"/>
        <w:gridCol w:w="1496"/>
        <w:gridCol w:w="1741"/>
        <w:gridCol w:w="1741"/>
      </w:tblGrid>
      <w:tr w:rsidR="00195BE7" w:rsidRPr="001E2F6E" w:rsidTr="00195BE7">
        <w:trPr>
          <w:jc w:val="center"/>
        </w:trPr>
        <w:tc>
          <w:tcPr>
            <w:tcW w:w="1268" w:type="pct"/>
            <w:tcBorders>
              <w:top w:val="single" w:sz="4" w:space="0" w:color="BFBFBF" w:themeColor="background1" w:themeShade="BF"/>
              <w:right w:val="single" w:sz="4" w:space="0" w:color="BFBFBF" w:themeColor="background1" w:themeShade="BF"/>
            </w:tcBorders>
            <w:shd w:val="clear" w:color="auto" w:fill="DBE5F1" w:themeFill="accent1" w:themeFillTint="33"/>
            <w:vAlign w:val="center"/>
            <w:hideMark/>
          </w:tcPr>
          <w:p w:rsidR="00195BE7" w:rsidRPr="001E2F6E" w:rsidRDefault="00195BE7" w:rsidP="00195BE7">
            <w:pPr>
              <w:spacing w:line="240" w:lineRule="exact"/>
              <w:jc w:val="center"/>
              <w:rPr>
                <w:b/>
                <w:bCs/>
                <w:sz w:val="16"/>
                <w:szCs w:val="16"/>
              </w:rPr>
            </w:pPr>
          </w:p>
        </w:tc>
        <w:tc>
          <w:tcPr>
            <w:tcW w:w="1798"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hideMark/>
          </w:tcPr>
          <w:p w:rsidR="00195BE7" w:rsidRPr="001E2F6E" w:rsidRDefault="00195BE7" w:rsidP="00195BE7">
            <w:pPr>
              <w:spacing w:line="240" w:lineRule="exact"/>
              <w:jc w:val="center"/>
              <w:rPr>
                <w:b/>
                <w:bCs/>
                <w:sz w:val="16"/>
                <w:szCs w:val="16"/>
              </w:rPr>
            </w:pPr>
            <w:r w:rsidRPr="001E2F6E">
              <w:rPr>
                <w:b/>
                <w:bCs/>
                <w:sz w:val="16"/>
                <w:szCs w:val="16"/>
                <w:lang w:val="pt-BR"/>
              </w:rPr>
              <w:t>2010</w:t>
            </w:r>
          </w:p>
        </w:tc>
        <w:tc>
          <w:tcPr>
            <w:tcW w:w="1934"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hideMark/>
          </w:tcPr>
          <w:p w:rsidR="00195BE7" w:rsidRPr="001E2F6E" w:rsidRDefault="00195BE7" w:rsidP="00195BE7">
            <w:pPr>
              <w:spacing w:line="240" w:lineRule="exact"/>
              <w:jc w:val="center"/>
              <w:rPr>
                <w:b/>
                <w:bCs/>
                <w:sz w:val="16"/>
                <w:szCs w:val="16"/>
              </w:rPr>
            </w:pPr>
            <w:r w:rsidRPr="001E2F6E">
              <w:rPr>
                <w:b/>
                <w:bCs/>
                <w:sz w:val="16"/>
                <w:szCs w:val="16"/>
                <w:lang w:val="pt-BR"/>
              </w:rPr>
              <w:t>2012</w:t>
            </w:r>
          </w:p>
        </w:tc>
      </w:tr>
      <w:tr w:rsidR="00195BE7" w:rsidRPr="001E2F6E" w:rsidTr="00195BE7">
        <w:trPr>
          <w:jc w:val="center"/>
        </w:trPr>
        <w:tc>
          <w:tcPr>
            <w:tcW w:w="1268" w:type="pct"/>
            <w:tcBorders>
              <w:bottom w:val="single" w:sz="4" w:space="0" w:color="BFBFBF" w:themeColor="background1" w:themeShade="BF"/>
              <w:right w:val="single" w:sz="4" w:space="0" w:color="BFBFBF" w:themeColor="background1" w:themeShade="BF"/>
            </w:tcBorders>
            <w:shd w:val="clear" w:color="auto" w:fill="DBE5F1" w:themeFill="accent1" w:themeFillTint="33"/>
            <w:vAlign w:val="center"/>
            <w:hideMark/>
          </w:tcPr>
          <w:p w:rsidR="00195BE7" w:rsidRPr="001E2F6E" w:rsidRDefault="00195BE7" w:rsidP="00195BE7">
            <w:pPr>
              <w:spacing w:line="240" w:lineRule="exact"/>
              <w:jc w:val="center"/>
              <w:rPr>
                <w:sz w:val="16"/>
                <w:szCs w:val="16"/>
              </w:rPr>
            </w:pPr>
          </w:p>
        </w:tc>
        <w:tc>
          <w:tcPr>
            <w:tcW w:w="967"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vAlign w:val="center"/>
            <w:hideMark/>
          </w:tcPr>
          <w:p w:rsidR="00195BE7" w:rsidRPr="001E2F6E" w:rsidRDefault="00195BE7" w:rsidP="00195BE7">
            <w:pPr>
              <w:spacing w:line="240" w:lineRule="exact"/>
              <w:jc w:val="center"/>
              <w:rPr>
                <w:b/>
                <w:bCs/>
                <w:sz w:val="16"/>
                <w:szCs w:val="16"/>
              </w:rPr>
            </w:pPr>
            <w:r w:rsidRPr="001E2F6E">
              <w:rPr>
                <w:b/>
                <w:bCs/>
                <w:sz w:val="16"/>
                <w:szCs w:val="16"/>
                <w:lang w:val="pt-BR"/>
              </w:rPr>
              <w:t>z.a.</w:t>
            </w:r>
          </w:p>
        </w:tc>
        <w:tc>
          <w:tcPr>
            <w:tcW w:w="831"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hideMark/>
          </w:tcPr>
          <w:p w:rsidR="00195BE7" w:rsidRPr="001E2F6E" w:rsidRDefault="00195BE7" w:rsidP="00195BE7">
            <w:pPr>
              <w:spacing w:line="240" w:lineRule="exact"/>
              <w:jc w:val="center"/>
              <w:rPr>
                <w:b/>
                <w:bCs/>
                <w:sz w:val="16"/>
                <w:szCs w:val="16"/>
              </w:rPr>
            </w:pPr>
            <w:r w:rsidRPr="001E2F6E">
              <w:rPr>
                <w:b/>
                <w:bCs/>
                <w:sz w:val="16"/>
                <w:szCs w:val="16"/>
                <w:lang w:val="pt-BR"/>
              </w:rPr>
              <w:t>%ber.</w:t>
            </w:r>
          </w:p>
        </w:tc>
        <w:tc>
          <w:tcPr>
            <w:tcW w:w="967"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vAlign w:val="center"/>
            <w:hideMark/>
          </w:tcPr>
          <w:p w:rsidR="00195BE7" w:rsidRPr="001E2F6E" w:rsidRDefault="00195BE7" w:rsidP="00195BE7">
            <w:pPr>
              <w:spacing w:line="240" w:lineRule="exact"/>
              <w:jc w:val="center"/>
              <w:rPr>
                <w:b/>
                <w:bCs/>
                <w:sz w:val="16"/>
                <w:szCs w:val="16"/>
              </w:rPr>
            </w:pPr>
            <w:r w:rsidRPr="001E2F6E">
              <w:rPr>
                <w:b/>
                <w:bCs/>
                <w:sz w:val="16"/>
                <w:szCs w:val="16"/>
                <w:lang w:val="pt-BR"/>
              </w:rPr>
              <w:t>z.a.</w:t>
            </w:r>
          </w:p>
        </w:tc>
        <w:tc>
          <w:tcPr>
            <w:tcW w:w="967"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hideMark/>
          </w:tcPr>
          <w:p w:rsidR="00195BE7" w:rsidRPr="001E2F6E" w:rsidRDefault="00195BE7" w:rsidP="00195BE7">
            <w:pPr>
              <w:spacing w:line="240" w:lineRule="exact"/>
              <w:jc w:val="center"/>
              <w:rPr>
                <w:b/>
                <w:bCs/>
                <w:sz w:val="16"/>
                <w:szCs w:val="16"/>
              </w:rPr>
            </w:pPr>
            <w:r w:rsidRPr="001E2F6E">
              <w:rPr>
                <w:b/>
                <w:bCs/>
                <w:sz w:val="16"/>
                <w:szCs w:val="16"/>
                <w:lang w:val="pt-BR"/>
              </w:rPr>
              <w:t>%ber.</w:t>
            </w:r>
          </w:p>
        </w:tc>
      </w:tr>
      <w:tr w:rsidR="00195BE7" w:rsidRPr="001E2F6E" w:rsidTr="00195BE7">
        <w:trPr>
          <w:jc w:val="center"/>
        </w:trPr>
        <w:tc>
          <w:tcPr>
            <w:tcW w:w="1268" w:type="pct"/>
            <w:tcBorders>
              <w:top w:val="single" w:sz="4" w:space="0" w:color="BFBFBF" w:themeColor="background1" w:themeShade="BF"/>
              <w:right w:val="single" w:sz="4" w:space="0" w:color="BFBFBF" w:themeColor="background1" w:themeShade="BF"/>
            </w:tcBorders>
            <w:hideMark/>
          </w:tcPr>
          <w:p w:rsidR="00195BE7" w:rsidRPr="001E2F6E" w:rsidRDefault="00195BE7" w:rsidP="00195BE7">
            <w:pPr>
              <w:spacing w:line="240" w:lineRule="exact"/>
              <w:ind w:hanging="28"/>
              <w:rPr>
                <w:sz w:val="16"/>
                <w:szCs w:val="16"/>
                <w:lang w:val="eu-ES"/>
              </w:rPr>
            </w:pPr>
            <w:r w:rsidRPr="001E2F6E">
              <w:rPr>
                <w:sz w:val="16"/>
                <w:szCs w:val="16"/>
                <w:lang w:val="eu-ES"/>
              </w:rPr>
              <w:t>Lehen sektorea</w:t>
            </w:r>
          </w:p>
        </w:tc>
        <w:tc>
          <w:tcPr>
            <w:tcW w:w="967" w:type="pct"/>
            <w:tcBorders>
              <w:top w:val="single" w:sz="4" w:space="0" w:color="BFBFBF" w:themeColor="background1" w:themeShade="BF"/>
              <w:left w:val="single" w:sz="4" w:space="0" w:color="BFBFBF" w:themeColor="background1" w:themeShade="BF"/>
            </w:tcBorders>
            <w:hideMark/>
          </w:tcPr>
          <w:p w:rsidR="00195BE7" w:rsidRPr="001E2F6E" w:rsidRDefault="00195BE7" w:rsidP="00195BE7">
            <w:pPr>
              <w:spacing w:line="240" w:lineRule="exact"/>
              <w:ind w:right="284"/>
              <w:jc w:val="right"/>
              <w:rPr>
                <w:color w:val="000000"/>
                <w:sz w:val="16"/>
                <w:szCs w:val="16"/>
              </w:rPr>
            </w:pPr>
            <w:r w:rsidRPr="001E2F6E">
              <w:rPr>
                <w:color w:val="000000"/>
                <w:sz w:val="16"/>
                <w:szCs w:val="16"/>
              </w:rPr>
              <w:t>154</w:t>
            </w:r>
          </w:p>
        </w:tc>
        <w:tc>
          <w:tcPr>
            <w:tcW w:w="831" w:type="pct"/>
            <w:tcBorders>
              <w:top w:val="single" w:sz="4" w:space="0" w:color="BFBFBF" w:themeColor="background1" w:themeShade="BF"/>
              <w:right w:val="single" w:sz="4" w:space="0" w:color="BFBFBF" w:themeColor="background1" w:themeShade="BF"/>
            </w:tcBorders>
            <w:hideMark/>
          </w:tcPr>
          <w:p w:rsidR="00195BE7" w:rsidRPr="001E2F6E" w:rsidRDefault="00195BE7" w:rsidP="00195BE7">
            <w:pPr>
              <w:spacing w:line="240" w:lineRule="exact"/>
              <w:ind w:right="284"/>
              <w:jc w:val="right"/>
              <w:rPr>
                <w:color w:val="000000"/>
                <w:sz w:val="16"/>
                <w:szCs w:val="16"/>
              </w:rPr>
            </w:pPr>
            <w:r w:rsidRPr="001E2F6E">
              <w:rPr>
                <w:color w:val="000000"/>
                <w:sz w:val="16"/>
                <w:szCs w:val="16"/>
              </w:rPr>
              <w:t>0,3</w:t>
            </w:r>
          </w:p>
        </w:tc>
        <w:tc>
          <w:tcPr>
            <w:tcW w:w="967" w:type="pct"/>
            <w:tcBorders>
              <w:top w:val="single" w:sz="4" w:space="0" w:color="BFBFBF" w:themeColor="background1" w:themeShade="BF"/>
              <w:left w:val="single" w:sz="4" w:space="0" w:color="BFBFBF" w:themeColor="background1" w:themeShade="BF"/>
            </w:tcBorders>
            <w:hideMark/>
          </w:tcPr>
          <w:p w:rsidR="00195BE7" w:rsidRPr="001E2F6E" w:rsidRDefault="00195BE7" w:rsidP="00195BE7">
            <w:pPr>
              <w:spacing w:line="240" w:lineRule="exact"/>
              <w:ind w:right="284"/>
              <w:jc w:val="right"/>
              <w:rPr>
                <w:color w:val="000000"/>
                <w:sz w:val="16"/>
                <w:szCs w:val="16"/>
              </w:rPr>
            </w:pPr>
            <w:r w:rsidRPr="001E2F6E">
              <w:rPr>
                <w:color w:val="000000"/>
                <w:sz w:val="16"/>
                <w:szCs w:val="16"/>
              </w:rPr>
              <w:t>101</w:t>
            </w:r>
          </w:p>
        </w:tc>
        <w:tc>
          <w:tcPr>
            <w:tcW w:w="967" w:type="pct"/>
            <w:tcBorders>
              <w:top w:val="single" w:sz="4" w:space="0" w:color="BFBFBF" w:themeColor="background1" w:themeShade="BF"/>
              <w:right w:val="single" w:sz="4" w:space="0" w:color="BFBFBF" w:themeColor="background1" w:themeShade="BF"/>
            </w:tcBorders>
            <w:hideMark/>
          </w:tcPr>
          <w:p w:rsidR="00195BE7" w:rsidRPr="001E2F6E" w:rsidRDefault="00195BE7" w:rsidP="00195BE7">
            <w:pPr>
              <w:spacing w:line="240" w:lineRule="exact"/>
              <w:ind w:right="284"/>
              <w:jc w:val="right"/>
              <w:rPr>
                <w:color w:val="000000"/>
                <w:sz w:val="16"/>
                <w:szCs w:val="16"/>
              </w:rPr>
            </w:pPr>
            <w:r w:rsidRPr="001E2F6E">
              <w:rPr>
                <w:color w:val="000000"/>
                <w:sz w:val="16"/>
                <w:szCs w:val="16"/>
              </w:rPr>
              <w:t>0,2</w:t>
            </w:r>
          </w:p>
        </w:tc>
      </w:tr>
      <w:tr w:rsidR="00195BE7" w:rsidRPr="001E2F6E" w:rsidTr="00195BE7">
        <w:trPr>
          <w:jc w:val="center"/>
        </w:trPr>
        <w:tc>
          <w:tcPr>
            <w:tcW w:w="1268" w:type="pct"/>
            <w:tcBorders>
              <w:right w:val="single" w:sz="4" w:space="0" w:color="BFBFBF" w:themeColor="background1" w:themeShade="BF"/>
            </w:tcBorders>
            <w:hideMark/>
          </w:tcPr>
          <w:p w:rsidR="00195BE7" w:rsidRPr="001E2F6E" w:rsidRDefault="00195BE7" w:rsidP="00195BE7">
            <w:pPr>
              <w:spacing w:line="240" w:lineRule="exact"/>
              <w:ind w:hanging="28"/>
              <w:rPr>
                <w:sz w:val="16"/>
                <w:szCs w:val="16"/>
                <w:lang w:val="eu-ES"/>
              </w:rPr>
            </w:pPr>
            <w:r w:rsidRPr="001E2F6E">
              <w:rPr>
                <w:sz w:val="16"/>
                <w:szCs w:val="16"/>
                <w:lang w:val="eu-ES"/>
              </w:rPr>
              <w:t>Industria</w:t>
            </w:r>
          </w:p>
        </w:tc>
        <w:tc>
          <w:tcPr>
            <w:tcW w:w="967" w:type="pct"/>
            <w:tcBorders>
              <w:left w:val="single" w:sz="4" w:space="0" w:color="BFBFBF" w:themeColor="background1" w:themeShade="BF"/>
            </w:tcBorders>
            <w:hideMark/>
          </w:tcPr>
          <w:p w:rsidR="00195BE7" w:rsidRPr="001E2F6E" w:rsidRDefault="00195BE7" w:rsidP="00195BE7">
            <w:pPr>
              <w:spacing w:line="240" w:lineRule="exact"/>
              <w:ind w:right="284"/>
              <w:jc w:val="right"/>
              <w:rPr>
                <w:color w:val="000000"/>
                <w:sz w:val="16"/>
                <w:szCs w:val="16"/>
              </w:rPr>
            </w:pPr>
            <w:r w:rsidRPr="001E2F6E">
              <w:rPr>
                <w:color w:val="000000"/>
                <w:sz w:val="16"/>
                <w:szCs w:val="16"/>
              </w:rPr>
              <w:t>20.897</w:t>
            </w:r>
          </w:p>
        </w:tc>
        <w:tc>
          <w:tcPr>
            <w:tcW w:w="831" w:type="pct"/>
            <w:tcBorders>
              <w:right w:val="single" w:sz="4" w:space="0" w:color="BFBFBF" w:themeColor="background1" w:themeShade="BF"/>
            </w:tcBorders>
            <w:hideMark/>
          </w:tcPr>
          <w:p w:rsidR="00195BE7" w:rsidRPr="001E2F6E" w:rsidRDefault="00195BE7" w:rsidP="00195BE7">
            <w:pPr>
              <w:spacing w:line="240" w:lineRule="exact"/>
              <w:ind w:right="284"/>
              <w:jc w:val="right"/>
              <w:rPr>
                <w:color w:val="000000"/>
                <w:sz w:val="16"/>
                <w:szCs w:val="16"/>
              </w:rPr>
            </w:pPr>
            <w:r w:rsidRPr="001E2F6E">
              <w:rPr>
                <w:color w:val="000000"/>
                <w:sz w:val="16"/>
                <w:szCs w:val="16"/>
              </w:rPr>
              <w:t>43,4</w:t>
            </w:r>
          </w:p>
        </w:tc>
        <w:tc>
          <w:tcPr>
            <w:tcW w:w="967" w:type="pct"/>
            <w:tcBorders>
              <w:left w:val="single" w:sz="4" w:space="0" w:color="BFBFBF" w:themeColor="background1" w:themeShade="BF"/>
            </w:tcBorders>
            <w:hideMark/>
          </w:tcPr>
          <w:p w:rsidR="00195BE7" w:rsidRPr="001E2F6E" w:rsidRDefault="00195BE7" w:rsidP="00195BE7">
            <w:pPr>
              <w:spacing w:line="240" w:lineRule="exact"/>
              <w:ind w:right="284"/>
              <w:jc w:val="right"/>
              <w:rPr>
                <w:color w:val="000000"/>
                <w:sz w:val="16"/>
                <w:szCs w:val="16"/>
              </w:rPr>
            </w:pPr>
            <w:r w:rsidRPr="001E2F6E">
              <w:rPr>
                <w:color w:val="000000"/>
                <w:sz w:val="16"/>
                <w:szCs w:val="16"/>
              </w:rPr>
              <w:t>20.917</w:t>
            </w:r>
          </w:p>
        </w:tc>
        <w:tc>
          <w:tcPr>
            <w:tcW w:w="967" w:type="pct"/>
            <w:tcBorders>
              <w:right w:val="single" w:sz="4" w:space="0" w:color="BFBFBF" w:themeColor="background1" w:themeShade="BF"/>
            </w:tcBorders>
            <w:hideMark/>
          </w:tcPr>
          <w:p w:rsidR="00195BE7" w:rsidRPr="001E2F6E" w:rsidRDefault="00195BE7" w:rsidP="00195BE7">
            <w:pPr>
              <w:spacing w:line="240" w:lineRule="exact"/>
              <w:ind w:right="284"/>
              <w:jc w:val="right"/>
              <w:rPr>
                <w:color w:val="000000"/>
                <w:sz w:val="16"/>
                <w:szCs w:val="16"/>
              </w:rPr>
            </w:pPr>
            <w:r w:rsidRPr="001E2F6E">
              <w:rPr>
                <w:color w:val="000000"/>
                <w:sz w:val="16"/>
                <w:szCs w:val="16"/>
              </w:rPr>
              <w:t>43,6</w:t>
            </w:r>
          </w:p>
        </w:tc>
      </w:tr>
      <w:tr w:rsidR="00195BE7" w:rsidRPr="001E2F6E" w:rsidTr="00195BE7">
        <w:trPr>
          <w:jc w:val="center"/>
        </w:trPr>
        <w:tc>
          <w:tcPr>
            <w:tcW w:w="1268" w:type="pct"/>
            <w:tcBorders>
              <w:right w:val="single" w:sz="4" w:space="0" w:color="BFBFBF" w:themeColor="background1" w:themeShade="BF"/>
            </w:tcBorders>
            <w:hideMark/>
          </w:tcPr>
          <w:p w:rsidR="00195BE7" w:rsidRPr="001E2F6E" w:rsidRDefault="00195BE7" w:rsidP="00195BE7">
            <w:pPr>
              <w:spacing w:line="240" w:lineRule="exact"/>
              <w:ind w:hanging="28"/>
              <w:rPr>
                <w:sz w:val="16"/>
                <w:szCs w:val="16"/>
                <w:lang w:val="eu-ES"/>
              </w:rPr>
            </w:pPr>
            <w:r w:rsidRPr="001E2F6E">
              <w:rPr>
                <w:sz w:val="16"/>
                <w:szCs w:val="16"/>
                <w:lang w:val="eu-ES"/>
              </w:rPr>
              <w:t>Eraikuntza</w:t>
            </w:r>
          </w:p>
        </w:tc>
        <w:tc>
          <w:tcPr>
            <w:tcW w:w="967" w:type="pct"/>
            <w:tcBorders>
              <w:left w:val="single" w:sz="4" w:space="0" w:color="BFBFBF" w:themeColor="background1" w:themeShade="BF"/>
            </w:tcBorders>
            <w:hideMark/>
          </w:tcPr>
          <w:p w:rsidR="00195BE7" w:rsidRPr="001E2F6E" w:rsidRDefault="00195BE7" w:rsidP="00195BE7">
            <w:pPr>
              <w:spacing w:line="240" w:lineRule="exact"/>
              <w:ind w:right="284"/>
              <w:jc w:val="right"/>
              <w:rPr>
                <w:color w:val="000000"/>
                <w:sz w:val="16"/>
                <w:szCs w:val="16"/>
              </w:rPr>
            </w:pPr>
            <w:r w:rsidRPr="001E2F6E">
              <w:rPr>
                <w:color w:val="000000"/>
                <w:sz w:val="16"/>
                <w:szCs w:val="16"/>
              </w:rPr>
              <w:t>1.242</w:t>
            </w:r>
          </w:p>
        </w:tc>
        <w:tc>
          <w:tcPr>
            <w:tcW w:w="831" w:type="pct"/>
            <w:tcBorders>
              <w:right w:val="single" w:sz="4" w:space="0" w:color="BFBFBF" w:themeColor="background1" w:themeShade="BF"/>
            </w:tcBorders>
            <w:hideMark/>
          </w:tcPr>
          <w:p w:rsidR="00195BE7" w:rsidRPr="001E2F6E" w:rsidRDefault="00195BE7" w:rsidP="00195BE7">
            <w:pPr>
              <w:spacing w:line="240" w:lineRule="exact"/>
              <w:ind w:right="284"/>
              <w:jc w:val="right"/>
              <w:rPr>
                <w:color w:val="000000"/>
                <w:sz w:val="16"/>
                <w:szCs w:val="16"/>
              </w:rPr>
            </w:pPr>
            <w:r w:rsidRPr="001E2F6E">
              <w:rPr>
                <w:color w:val="000000"/>
                <w:sz w:val="16"/>
                <w:szCs w:val="16"/>
              </w:rPr>
              <w:t>2,6</w:t>
            </w:r>
          </w:p>
        </w:tc>
        <w:tc>
          <w:tcPr>
            <w:tcW w:w="967" w:type="pct"/>
            <w:tcBorders>
              <w:left w:val="single" w:sz="4" w:space="0" w:color="BFBFBF" w:themeColor="background1" w:themeShade="BF"/>
            </w:tcBorders>
            <w:hideMark/>
          </w:tcPr>
          <w:p w:rsidR="00195BE7" w:rsidRPr="001E2F6E" w:rsidRDefault="00195BE7" w:rsidP="00195BE7">
            <w:pPr>
              <w:spacing w:line="240" w:lineRule="exact"/>
              <w:ind w:right="284"/>
              <w:jc w:val="right"/>
              <w:rPr>
                <w:color w:val="000000"/>
                <w:sz w:val="16"/>
                <w:szCs w:val="16"/>
              </w:rPr>
            </w:pPr>
            <w:r w:rsidRPr="001E2F6E">
              <w:rPr>
                <w:color w:val="000000"/>
                <w:sz w:val="16"/>
                <w:szCs w:val="16"/>
              </w:rPr>
              <w:t>1.316</w:t>
            </w:r>
          </w:p>
        </w:tc>
        <w:tc>
          <w:tcPr>
            <w:tcW w:w="967" w:type="pct"/>
            <w:tcBorders>
              <w:right w:val="single" w:sz="4" w:space="0" w:color="BFBFBF" w:themeColor="background1" w:themeShade="BF"/>
            </w:tcBorders>
            <w:hideMark/>
          </w:tcPr>
          <w:p w:rsidR="00195BE7" w:rsidRPr="001E2F6E" w:rsidRDefault="00195BE7" w:rsidP="00195BE7">
            <w:pPr>
              <w:spacing w:line="240" w:lineRule="exact"/>
              <w:ind w:right="284"/>
              <w:jc w:val="right"/>
              <w:rPr>
                <w:color w:val="000000"/>
                <w:sz w:val="16"/>
                <w:szCs w:val="16"/>
              </w:rPr>
            </w:pPr>
            <w:r w:rsidRPr="001E2F6E">
              <w:rPr>
                <w:color w:val="000000"/>
                <w:sz w:val="16"/>
                <w:szCs w:val="16"/>
              </w:rPr>
              <w:t>2,7</w:t>
            </w:r>
          </w:p>
        </w:tc>
      </w:tr>
      <w:tr w:rsidR="00195BE7" w:rsidRPr="001E2F6E" w:rsidTr="00195BE7">
        <w:trPr>
          <w:jc w:val="center"/>
        </w:trPr>
        <w:tc>
          <w:tcPr>
            <w:tcW w:w="1268" w:type="pct"/>
            <w:tcBorders>
              <w:bottom w:val="single" w:sz="4" w:space="0" w:color="BFBFBF" w:themeColor="background1" w:themeShade="BF"/>
              <w:right w:val="single" w:sz="4" w:space="0" w:color="BFBFBF" w:themeColor="background1" w:themeShade="BF"/>
            </w:tcBorders>
            <w:hideMark/>
          </w:tcPr>
          <w:p w:rsidR="00195BE7" w:rsidRPr="001E2F6E" w:rsidRDefault="00195BE7" w:rsidP="00195BE7">
            <w:pPr>
              <w:spacing w:line="240" w:lineRule="exact"/>
              <w:ind w:hanging="28"/>
              <w:rPr>
                <w:sz w:val="16"/>
                <w:szCs w:val="16"/>
                <w:lang w:val="eu-ES"/>
              </w:rPr>
            </w:pPr>
            <w:r w:rsidRPr="001E2F6E">
              <w:rPr>
                <w:sz w:val="16"/>
                <w:szCs w:val="16"/>
                <w:lang w:val="eu-ES"/>
              </w:rPr>
              <w:t>Zerbitzuak</w:t>
            </w:r>
          </w:p>
        </w:tc>
        <w:tc>
          <w:tcPr>
            <w:tcW w:w="967" w:type="pct"/>
            <w:tcBorders>
              <w:left w:val="single" w:sz="4" w:space="0" w:color="BFBFBF" w:themeColor="background1" w:themeShade="BF"/>
              <w:bottom w:val="single" w:sz="4" w:space="0" w:color="BFBFBF" w:themeColor="background1" w:themeShade="BF"/>
            </w:tcBorders>
            <w:hideMark/>
          </w:tcPr>
          <w:p w:rsidR="00195BE7" w:rsidRPr="001E2F6E" w:rsidRDefault="00195BE7" w:rsidP="00195BE7">
            <w:pPr>
              <w:spacing w:line="240" w:lineRule="exact"/>
              <w:ind w:right="284"/>
              <w:jc w:val="right"/>
              <w:rPr>
                <w:color w:val="000000"/>
                <w:sz w:val="16"/>
                <w:szCs w:val="16"/>
              </w:rPr>
            </w:pPr>
            <w:r w:rsidRPr="001E2F6E">
              <w:rPr>
                <w:color w:val="000000"/>
                <w:sz w:val="16"/>
                <w:szCs w:val="16"/>
              </w:rPr>
              <w:t>25.903</w:t>
            </w:r>
          </w:p>
        </w:tc>
        <w:tc>
          <w:tcPr>
            <w:tcW w:w="831" w:type="pct"/>
            <w:tcBorders>
              <w:bottom w:val="single" w:sz="4" w:space="0" w:color="BFBFBF" w:themeColor="background1" w:themeShade="BF"/>
              <w:right w:val="single" w:sz="4" w:space="0" w:color="BFBFBF" w:themeColor="background1" w:themeShade="BF"/>
            </w:tcBorders>
            <w:hideMark/>
          </w:tcPr>
          <w:p w:rsidR="00195BE7" w:rsidRPr="001E2F6E" w:rsidRDefault="00195BE7" w:rsidP="00195BE7">
            <w:pPr>
              <w:spacing w:line="240" w:lineRule="exact"/>
              <w:ind w:right="284"/>
              <w:jc w:val="right"/>
              <w:rPr>
                <w:color w:val="000000"/>
                <w:sz w:val="16"/>
                <w:szCs w:val="16"/>
              </w:rPr>
            </w:pPr>
            <w:r w:rsidRPr="001E2F6E">
              <w:rPr>
                <w:color w:val="000000"/>
                <w:sz w:val="16"/>
                <w:szCs w:val="16"/>
              </w:rPr>
              <w:t>53,7</w:t>
            </w:r>
          </w:p>
        </w:tc>
        <w:tc>
          <w:tcPr>
            <w:tcW w:w="967" w:type="pct"/>
            <w:tcBorders>
              <w:left w:val="single" w:sz="4" w:space="0" w:color="BFBFBF" w:themeColor="background1" w:themeShade="BF"/>
              <w:bottom w:val="single" w:sz="4" w:space="0" w:color="BFBFBF" w:themeColor="background1" w:themeShade="BF"/>
            </w:tcBorders>
            <w:hideMark/>
          </w:tcPr>
          <w:p w:rsidR="00195BE7" w:rsidRPr="001E2F6E" w:rsidRDefault="00195BE7" w:rsidP="00195BE7">
            <w:pPr>
              <w:spacing w:line="240" w:lineRule="exact"/>
              <w:ind w:right="284"/>
              <w:jc w:val="right"/>
              <w:rPr>
                <w:color w:val="000000"/>
                <w:sz w:val="16"/>
                <w:szCs w:val="16"/>
              </w:rPr>
            </w:pPr>
            <w:r w:rsidRPr="001E2F6E">
              <w:rPr>
                <w:color w:val="000000"/>
                <w:sz w:val="16"/>
                <w:szCs w:val="16"/>
              </w:rPr>
              <w:t>25.647</w:t>
            </w:r>
          </w:p>
        </w:tc>
        <w:tc>
          <w:tcPr>
            <w:tcW w:w="967" w:type="pct"/>
            <w:tcBorders>
              <w:bottom w:val="single" w:sz="4" w:space="0" w:color="BFBFBF" w:themeColor="background1" w:themeShade="BF"/>
              <w:right w:val="single" w:sz="4" w:space="0" w:color="BFBFBF" w:themeColor="background1" w:themeShade="BF"/>
            </w:tcBorders>
            <w:hideMark/>
          </w:tcPr>
          <w:p w:rsidR="00195BE7" w:rsidRPr="001E2F6E" w:rsidRDefault="00195BE7" w:rsidP="00195BE7">
            <w:pPr>
              <w:spacing w:line="240" w:lineRule="exact"/>
              <w:ind w:right="284"/>
              <w:jc w:val="right"/>
              <w:rPr>
                <w:color w:val="000000"/>
                <w:sz w:val="16"/>
                <w:szCs w:val="16"/>
              </w:rPr>
            </w:pPr>
            <w:r w:rsidRPr="001E2F6E">
              <w:rPr>
                <w:color w:val="000000"/>
                <w:sz w:val="16"/>
                <w:szCs w:val="16"/>
              </w:rPr>
              <w:t>53,5</w:t>
            </w:r>
          </w:p>
        </w:tc>
      </w:tr>
      <w:tr w:rsidR="00195BE7" w:rsidRPr="001E2F6E" w:rsidTr="00195BE7">
        <w:trPr>
          <w:jc w:val="center"/>
        </w:trPr>
        <w:tc>
          <w:tcPr>
            <w:tcW w:w="1268" w:type="pct"/>
            <w:tcBorders>
              <w:top w:val="single" w:sz="4" w:space="0" w:color="BFBFBF" w:themeColor="background1" w:themeShade="BF"/>
              <w:bottom w:val="single" w:sz="4" w:space="0" w:color="BFBFBF" w:themeColor="background1" w:themeShade="BF"/>
              <w:right w:val="single" w:sz="4" w:space="0" w:color="BFBFBF" w:themeColor="background1" w:themeShade="BF"/>
            </w:tcBorders>
            <w:hideMark/>
          </w:tcPr>
          <w:p w:rsidR="00195BE7" w:rsidRPr="001E2F6E" w:rsidRDefault="00195BE7" w:rsidP="00195BE7">
            <w:pPr>
              <w:spacing w:line="240" w:lineRule="exact"/>
              <w:ind w:right="-133" w:hanging="28"/>
              <w:rPr>
                <w:b/>
                <w:bCs/>
                <w:sz w:val="16"/>
                <w:szCs w:val="16"/>
                <w:lang w:val="eu-ES"/>
              </w:rPr>
            </w:pPr>
            <w:r w:rsidRPr="001E2F6E">
              <w:rPr>
                <w:b/>
                <w:bCs/>
                <w:sz w:val="16"/>
                <w:szCs w:val="16"/>
                <w:lang w:val="eu-ES"/>
              </w:rPr>
              <w:t>GUZTIRA</w:t>
            </w:r>
          </w:p>
        </w:tc>
        <w:tc>
          <w:tcPr>
            <w:tcW w:w="967" w:type="pct"/>
            <w:tcBorders>
              <w:top w:val="single" w:sz="4" w:space="0" w:color="BFBFBF" w:themeColor="background1" w:themeShade="BF"/>
              <w:left w:val="single" w:sz="4" w:space="0" w:color="BFBFBF" w:themeColor="background1" w:themeShade="BF"/>
              <w:bottom w:val="single" w:sz="4" w:space="0" w:color="BFBFBF" w:themeColor="background1" w:themeShade="BF"/>
            </w:tcBorders>
            <w:hideMark/>
          </w:tcPr>
          <w:p w:rsidR="00195BE7" w:rsidRPr="001E2F6E" w:rsidRDefault="00195BE7" w:rsidP="00195BE7">
            <w:pPr>
              <w:spacing w:line="240" w:lineRule="exact"/>
              <w:ind w:right="284"/>
              <w:jc w:val="right"/>
              <w:rPr>
                <w:b/>
                <w:bCs/>
                <w:color w:val="000000"/>
                <w:sz w:val="16"/>
                <w:szCs w:val="16"/>
              </w:rPr>
            </w:pPr>
            <w:r w:rsidRPr="001E2F6E">
              <w:rPr>
                <w:b/>
                <w:bCs/>
                <w:color w:val="000000"/>
                <w:sz w:val="16"/>
                <w:szCs w:val="16"/>
              </w:rPr>
              <w:t>48.196</w:t>
            </w:r>
          </w:p>
        </w:tc>
        <w:tc>
          <w:tcPr>
            <w:tcW w:w="831" w:type="pct"/>
            <w:tcBorders>
              <w:top w:val="single" w:sz="4" w:space="0" w:color="BFBFBF" w:themeColor="background1" w:themeShade="BF"/>
              <w:bottom w:val="single" w:sz="4" w:space="0" w:color="BFBFBF" w:themeColor="background1" w:themeShade="BF"/>
              <w:right w:val="single" w:sz="4" w:space="0" w:color="BFBFBF" w:themeColor="background1" w:themeShade="BF"/>
            </w:tcBorders>
            <w:hideMark/>
          </w:tcPr>
          <w:p w:rsidR="00195BE7" w:rsidRPr="001E2F6E" w:rsidRDefault="00195BE7" w:rsidP="00195BE7">
            <w:pPr>
              <w:spacing w:line="240" w:lineRule="exact"/>
              <w:ind w:right="284"/>
              <w:jc w:val="right"/>
              <w:rPr>
                <w:b/>
                <w:bCs/>
                <w:color w:val="000000"/>
                <w:sz w:val="16"/>
                <w:szCs w:val="16"/>
              </w:rPr>
            </w:pPr>
            <w:r w:rsidRPr="001E2F6E">
              <w:rPr>
                <w:b/>
                <w:bCs/>
                <w:color w:val="000000"/>
                <w:sz w:val="16"/>
                <w:szCs w:val="16"/>
              </w:rPr>
              <w:t>100</w:t>
            </w:r>
          </w:p>
        </w:tc>
        <w:tc>
          <w:tcPr>
            <w:tcW w:w="967" w:type="pct"/>
            <w:tcBorders>
              <w:top w:val="single" w:sz="4" w:space="0" w:color="BFBFBF" w:themeColor="background1" w:themeShade="BF"/>
              <w:left w:val="single" w:sz="4" w:space="0" w:color="BFBFBF" w:themeColor="background1" w:themeShade="BF"/>
              <w:bottom w:val="single" w:sz="4" w:space="0" w:color="BFBFBF" w:themeColor="background1" w:themeShade="BF"/>
            </w:tcBorders>
            <w:hideMark/>
          </w:tcPr>
          <w:p w:rsidR="00195BE7" w:rsidRPr="001E2F6E" w:rsidRDefault="00195BE7" w:rsidP="00195BE7">
            <w:pPr>
              <w:spacing w:line="240" w:lineRule="exact"/>
              <w:ind w:right="284"/>
              <w:jc w:val="right"/>
              <w:rPr>
                <w:b/>
                <w:bCs/>
                <w:color w:val="000000"/>
                <w:sz w:val="16"/>
                <w:szCs w:val="16"/>
              </w:rPr>
            </w:pPr>
            <w:r w:rsidRPr="001E2F6E">
              <w:rPr>
                <w:b/>
                <w:bCs/>
                <w:color w:val="000000"/>
                <w:sz w:val="16"/>
                <w:szCs w:val="16"/>
              </w:rPr>
              <w:t>47.981</w:t>
            </w:r>
          </w:p>
        </w:tc>
        <w:tc>
          <w:tcPr>
            <w:tcW w:w="967" w:type="pct"/>
            <w:tcBorders>
              <w:top w:val="single" w:sz="4" w:space="0" w:color="BFBFBF" w:themeColor="background1" w:themeShade="BF"/>
              <w:bottom w:val="single" w:sz="4" w:space="0" w:color="BFBFBF" w:themeColor="background1" w:themeShade="BF"/>
              <w:right w:val="single" w:sz="4" w:space="0" w:color="BFBFBF" w:themeColor="background1" w:themeShade="BF"/>
            </w:tcBorders>
            <w:hideMark/>
          </w:tcPr>
          <w:p w:rsidR="00195BE7" w:rsidRPr="001E2F6E" w:rsidRDefault="00195BE7" w:rsidP="00195BE7">
            <w:pPr>
              <w:spacing w:line="240" w:lineRule="exact"/>
              <w:ind w:right="284"/>
              <w:jc w:val="right"/>
              <w:rPr>
                <w:b/>
                <w:bCs/>
                <w:color w:val="000000"/>
                <w:sz w:val="16"/>
                <w:szCs w:val="16"/>
              </w:rPr>
            </w:pPr>
            <w:r w:rsidRPr="001E2F6E">
              <w:rPr>
                <w:b/>
                <w:bCs/>
                <w:color w:val="000000"/>
                <w:sz w:val="16"/>
                <w:szCs w:val="16"/>
              </w:rPr>
              <w:t>100</w:t>
            </w:r>
          </w:p>
        </w:tc>
      </w:tr>
    </w:tbl>
    <w:p w:rsidR="00195BE7" w:rsidRDefault="00195BE7" w:rsidP="00195BE7"/>
    <w:p w:rsidR="00067A2F" w:rsidRPr="001E2F6E" w:rsidRDefault="00067A2F" w:rsidP="00195BE7"/>
    <w:p w:rsidR="00195BE7" w:rsidRPr="001E2F6E" w:rsidRDefault="00195BE7" w:rsidP="00195BE7">
      <w:pPr>
        <w:spacing w:line="240" w:lineRule="auto"/>
        <w:jc w:val="center"/>
        <w:rPr>
          <w:b/>
          <w:color w:val="1F497D" w:themeColor="text2"/>
          <w:sz w:val="18"/>
          <w:szCs w:val="18"/>
        </w:rPr>
      </w:pPr>
      <w:bookmarkStart w:id="126" w:name="_Toc391989102"/>
      <w:bookmarkStart w:id="127" w:name="_Toc392585767"/>
      <w:r w:rsidRPr="001E2F6E">
        <w:rPr>
          <w:b/>
          <w:color w:val="1F497D" w:themeColor="text2"/>
          <w:sz w:val="18"/>
          <w:szCs w:val="18"/>
        </w:rPr>
        <w:t>1.</w:t>
      </w:r>
      <w:r w:rsidR="00EB6BA6" w:rsidRPr="001E2F6E">
        <w:rPr>
          <w:b/>
          <w:color w:val="1F497D" w:themeColor="text2"/>
          <w:sz w:val="18"/>
          <w:szCs w:val="18"/>
        </w:rPr>
        <w:fldChar w:fldCharType="begin"/>
      </w:r>
      <w:r w:rsidRPr="001E2F6E">
        <w:rPr>
          <w:b/>
          <w:color w:val="1F497D" w:themeColor="text2"/>
          <w:sz w:val="18"/>
          <w:szCs w:val="18"/>
        </w:rPr>
        <w:instrText xml:space="preserve"> SEQ Cuadro_1. \* ARABIC </w:instrText>
      </w:r>
      <w:r w:rsidR="00EB6BA6" w:rsidRPr="001E2F6E">
        <w:rPr>
          <w:b/>
          <w:color w:val="1F497D" w:themeColor="text2"/>
          <w:sz w:val="18"/>
          <w:szCs w:val="18"/>
        </w:rPr>
        <w:fldChar w:fldCharType="separate"/>
      </w:r>
      <w:r w:rsidR="00A327D4">
        <w:rPr>
          <w:b/>
          <w:noProof/>
          <w:color w:val="1F497D" w:themeColor="text2"/>
          <w:sz w:val="18"/>
          <w:szCs w:val="18"/>
        </w:rPr>
        <w:t>32</w:t>
      </w:r>
      <w:r w:rsidR="00EB6BA6" w:rsidRPr="001E2F6E">
        <w:rPr>
          <w:b/>
          <w:color w:val="1F497D" w:themeColor="text2"/>
          <w:sz w:val="18"/>
          <w:szCs w:val="18"/>
        </w:rPr>
        <w:fldChar w:fldCharType="end"/>
      </w:r>
      <w:r w:rsidRPr="001E2F6E">
        <w:rPr>
          <w:b/>
          <w:color w:val="1F497D" w:themeColor="text2"/>
          <w:sz w:val="18"/>
          <w:szCs w:val="18"/>
        </w:rPr>
        <w:t xml:space="preserve"> Taula SOZIETATE LABORALEN EPLEGUAREN ARLOZ ARLOKO EGITURA. 2010 eta 2012 URTEETAKO ERREFERENTZIA. (zifra absolutuak, %bertikalak)</w:t>
      </w:r>
      <w:bookmarkEnd w:id="126"/>
      <w:bookmarkEnd w:id="127"/>
    </w:p>
    <w:tbl>
      <w:tblPr>
        <w:tblW w:w="5177" w:type="pct"/>
        <w:jc w:val="center"/>
        <w:tblInd w:w="-318" w:type="dxa"/>
        <w:tblLook w:val="04A0" w:firstRow="1" w:lastRow="0" w:firstColumn="1" w:lastColumn="0" w:noHBand="0" w:noVBand="1"/>
      </w:tblPr>
      <w:tblGrid>
        <w:gridCol w:w="1440"/>
        <w:gridCol w:w="617"/>
        <w:gridCol w:w="652"/>
        <w:gridCol w:w="617"/>
        <w:gridCol w:w="652"/>
        <w:gridCol w:w="617"/>
        <w:gridCol w:w="652"/>
        <w:gridCol w:w="706"/>
        <w:gridCol w:w="652"/>
        <w:gridCol w:w="706"/>
        <w:gridCol w:w="653"/>
        <w:gridCol w:w="707"/>
        <w:gridCol w:w="652"/>
      </w:tblGrid>
      <w:tr w:rsidR="00195BE7" w:rsidRPr="001E2F6E" w:rsidTr="00195BE7">
        <w:trPr>
          <w:jc w:val="center"/>
        </w:trPr>
        <w:tc>
          <w:tcPr>
            <w:tcW w:w="773" w:type="pct"/>
            <w:vMerge w:val="restart"/>
            <w:tcBorders>
              <w:top w:val="single" w:sz="4" w:space="0" w:color="BFBFBF" w:themeColor="background1" w:themeShade="BF"/>
              <w:right w:val="single" w:sz="4" w:space="0" w:color="BFBFBF" w:themeColor="background1" w:themeShade="BF"/>
            </w:tcBorders>
            <w:shd w:val="clear" w:color="auto" w:fill="DBE5F1" w:themeFill="accent1" w:themeFillTint="33"/>
            <w:hideMark/>
          </w:tcPr>
          <w:p w:rsidR="00195BE7" w:rsidRPr="001E2F6E" w:rsidRDefault="00195BE7" w:rsidP="00195BE7">
            <w:pPr>
              <w:spacing w:line="240" w:lineRule="exact"/>
              <w:jc w:val="center"/>
              <w:rPr>
                <w:sz w:val="16"/>
                <w:szCs w:val="16"/>
              </w:rPr>
            </w:pPr>
          </w:p>
        </w:tc>
        <w:tc>
          <w:tcPr>
            <w:tcW w:w="1361" w:type="pct"/>
            <w:gridSpan w:val="4"/>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hideMark/>
          </w:tcPr>
          <w:p w:rsidR="00195BE7" w:rsidRPr="001E2F6E" w:rsidRDefault="00195BE7" w:rsidP="00195BE7">
            <w:pPr>
              <w:spacing w:line="240" w:lineRule="exact"/>
              <w:jc w:val="center"/>
              <w:rPr>
                <w:b/>
                <w:bCs/>
                <w:sz w:val="16"/>
                <w:szCs w:val="16"/>
                <w:lang w:val="eu-ES"/>
              </w:rPr>
            </w:pPr>
            <w:r w:rsidRPr="001E2F6E">
              <w:rPr>
                <w:b/>
                <w:bCs/>
                <w:sz w:val="16"/>
                <w:szCs w:val="16"/>
                <w:lang w:val="eu-ES"/>
              </w:rPr>
              <w:t>LSA</w:t>
            </w:r>
          </w:p>
        </w:tc>
        <w:tc>
          <w:tcPr>
            <w:tcW w:w="1409" w:type="pct"/>
            <w:gridSpan w:val="4"/>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hideMark/>
          </w:tcPr>
          <w:p w:rsidR="00195BE7" w:rsidRPr="001E2F6E" w:rsidRDefault="00195BE7" w:rsidP="00195BE7">
            <w:pPr>
              <w:spacing w:line="240" w:lineRule="exact"/>
              <w:jc w:val="center"/>
              <w:rPr>
                <w:b/>
                <w:bCs/>
                <w:sz w:val="16"/>
                <w:szCs w:val="16"/>
                <w:lang w:val="eu-ES"/>
              </w:rPr>
            </w:pPr>
            <w:r w:rsidRPr="001E2F6E">
              <w:rPr>
                <w:b/>
                <w:bCs/>
                <w:sz w:val="16"/>
                <w:szCs w:val="16"/>
                <w:lang w:val="eu-ES"/>
              </w:rPr>
              <w:t>LSM</w:t>
            </w:r>
          </w:p>
        </w:tc>
        <w:tc>
          <w:tcPr>
            <w:tcW w:w="1457" w:type="pct"/>
            <w:gridSpan w:val="4"/>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hideMark/>
          </w:tcPr>
          <w:p w:rsidR="00195BE7" w:rsidRPr="001E2F6E" w:rsidRDefault="00195BE7" w:rsidP="00195BE7">
            <w:pPr>
              <w:spacing w:line="240" w:lineRule="exact"/>
              <w:jc w:val="center"/>
              <w:rPr>
                <w:b/>
                <w:bCs/>
                <w:sz w:val="16"/>
                <w:szCs w:val="16"/>
                <w:lang w:val="eu-ES"/>
              </w:rPr>
            </w:pPr>
            <w:r w:rsidRPr="001E2F6E">
              <w:rPr>
                <w:b/>
                <w:bCs/>
                <w:sz w:val="16"/>
                <w:szCs w:val="16"/>
                <w:lang w:val="eu-ES"/>
              </w:rPr>
              <w:t>Lan Sozietateak</w:t>
            </w:r>
          </w:p>
        </w:tc>
      </w:tr>
      <w:tr w:rsidR="00195BE7" w:rsidRPr="001E2F6E" w:rsidTr="00195BE7">
        <w:trPr>
          <w:jc w:val="center"/>
        </w:trPr>
        <w:tc>
          <w:tcPr>
            <w:tcW w:w="773" w:type="pct"/>
            <w:vMerge/>
            <w:tcBorders>
              <w:right w:val="single" w:sz="4" w:space="0" w:color="BFBFBF" w:themeColor="background1" w:themeShade="BF"/>
            </w:tcBorders>
            <w:shd w:val="clear" w:color="auto" w:fill="DBE5F1" w:themeFill="accent1" w:themeFillTint="33"/>
            <w:hideMark/>
          </w:tcPr>
          <w:p w:rsidR="00195BE7" w:rsidRPr="001E2F6E" w:rsidRDefault="00195BE7" w:rsidP="00195BE7">
            <w:pPr>
              <w:spacing w:line="240" w:lineRule="exact"/>
              <w:rPr>
                <w:sz w:val="16"/>
                <w:szCs w:val="16"/>
              </w:rPr>
            </w:pPr>
          </w:p>
        </w:tc>
        <w:tc>
          <w:tcPr>
            <w:tcW w:w="681"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hideMark/>
          </w:tcPr>
          <w:p w:rsidR="00195BE7" w:rsidRPr="001E2F6E" w:rsidRDefault="00195BE7" w:rsidP="00195BE7">
            <w:pPr>
              <w:spacing w:line="240" w:lineRule="exact"/>
              <w:jc w:val="center"/>
              <w:rPr>
                <w:b/>
                <w:bCs/>
                <w:sz w:val="16"/>
                <w:szCs w:val="16"/>
              </w:rPr>
            </w:pPr>
            <w:r w:rsidRPr="001E2F6E">
              <w:rPr>
                <w:b/>
                <w:bCs/>
                <w:sz w:val="16"/>
                <w:szCs w:val="16"/>
              </w:rPr>
              <w:t>2010</w:t>
            </w:r>
          </w:p>
        </w:tc>
        <w:tc>
          <w:tcPr>
            <w:tcW w:w="681"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hideMark/>
          </w:tcPr>
          <w:p w:rsidR="00195BE7" w:rsidRPr="001E2F6E" w:rsidRDefault="00195BE7" w:rsidP="00195BE7">
            <w:pPr>
              <w:spacing w:line="240" w:lineRule="exact"/>
              <w:jc w:val="center"/>
              <w:rPr>
                <w:b/>
                <w:bCs/>
                <w:sz w:val="16"/>
                <w:szCs w:val="16"/>
              </w:rPr>
            </w:pPr>
            <w:r w:rsidRPr="001E2F6E">
              <w:rPr>
                <w:b/>
                <w:bCs/>
                <w:sz w:val="16"/>
                <w:szCs w:val="16"/>
              </w:rPr>
              <w:t>2012</w:t>
            </w:r>
          </w:p>
        </w:tc>
        <w:tc>
          <w:tcPr>
            <w:tcW w:w="681"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hideMark/>
          </w:tcPr>
          <w:p w:rsidR="00195BE7" w:rsidRPr="001E2F6E" w:rsidRDefault="00195BE7" w:rsidP="00195BE7">
            <w:pPr>
              <w:spacing w:line="240" w:lineRule="exact"/>
              <w:jc w:val="center"/>
              <w:rPr>
                <w:b/>
                <w:bCs/>
                <w:sz w:val="16"/>
                <w:szCs w:val="16"/>
              </w:rPr>
            </w:pPr>
            <w:r w:rsidRPr="001E2F6E">
              <w:rPr>
                <w:b/>
                <w:bCs/>
                <w:sz w:val="16"/>
                <w:szCs w:val="16"/>
              </w:rPr>
              <w:t>2010</w:t>
            </w:r>
          </w:p>
        </w:tc>
        <w:tc>
          <w:tcPr>
            <w:tcW w:w="728"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hideMark/>
          </w:tcPr>
          <w:p w:rsidR="00195BE7" w:rsidRPr="001E2F6E" w:rsidRDefault="00195BE7" w:rsidP="00195BE7">
            <w:pPr>
              <w:spacing w:line="240" w:lineRule="exact"/>
              <w:jc w:val="center"/>
              <w:rPr>
                <w:b/>
                <w:bCs/>
                <w:sz w:val="16"/>
                <w:szCs w:val="16"/>
              </w:rPr>
            </w:pPr>
            <w:r w:rsidRPr="001E2F6E">
              <w:rPr>
                <w:b/>
                <w:bCs/>
                <w:sz w:val="16"/>
                <w:szCs w:val="16"/>
              </w:rPr>
              <w:t>2010</w:t>
            </w:r>
          </w:p>
        </w:tc>
        <w:tc>
          <w:tcPr>
            <w:tcW w:w="728"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hideMark/>
          </w:tcPr>
          <w:p w:rsidR="00195BE7" w:rsidRPr="001E2F6E" w:rsidRDefault="00195BE7" w:rsidP="00195BE7">
            <w:pPr>
              <w:spacing w:line="240" w:lineRule="exact"/>
              <w:jc w:val="center"/>
              <w:rPr>
                <w:b/>
                <w:bCs/>
                <w:sz w:val="16"/>
                <w:szCs w:val="16"/>
              </w:rPr>
            </w:pPr>
            <w:r w:rsidRPr="001E2F6E">
              <w:rPr>
                <w:b/>
                <w:bCs/>
                <w:sz w:val="16"/>
                <w:szCs w:val="16"/>
              </w:rPr>
              <w:t>2012</w:t>
            </w:r>
          </w:p>
        </w:tc>
        <w:tc>
          <w:tcPr>
            <w:tcW w:w="728" w:type="pct"/>
            <w:gridSpan w:val="2"/>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hideMark/>
          </w:tcPr>
          <w:p w:rsidR="00195BE7" w:rsidRPr="001E2F6E" w:rsidRDefault="00195BE7" w:rsidP="00195BE7">
            <w:pPr>
              <w:spacing w:line="240" w:lineRule="exact"/>
              <w:jc w:val="center"/>
              <w:rPr>
                <w:b/>
                <w:bCs/>
                <w:sz w:val="16"/>
                <w:szCs w:val="16"/>
              </w:rPr>
            </w:pPr>
            <w:r w:rsidRPr="001E2F6E">
              <w:rPr>
                <w:b/>
                <w:bCs/>
                <w:sz w:val="16"/>
                <w:szCs w:val="16"/>
              </w:rPr>
              <w:t>2010</w:t>
            </w:r>
          </w:p>
        </w:tc>
      </w:tr>
      <w:tr w:rsidR="00195BE7" w:rsidRPr="001E2F6E" w:rsidTr="00195BE7">
        <w:trPr>
          <w:jc w:val="center"/>
        </w:trPr>
        <w:tc>
          <w:tcPr>
            <w:tcW w:w="773" w:type="pct"/>
            <w:vMerge/>
            <w:tcBorders>
              <w:bottom w:val="single" w:sz="4" w:space="0" w:color="BFBFBF" w:themeColor="background1" w:themeShade="BF"/>
              <w:right w:val="single" w:sz="4" w:space="0" w:color="BFBFBF" w:themeColor="background1" w:themeShade="BF"/>
            </w:tcBorders>
            <w:shd w:val="clear" w:color="auto" w:fill="DBE5F1" w:themeFill="accent1" w:themeFillTint="33"/>
            <w:hideMark/>
          </w:tcPr>
          <w:p w:rsidR="00195BE7" w:rsidRPr="001E2F6E" w:rsidRDefault="00195BE7" w:rsidP="00195BE7">
            <w:pPr>
              <w:spacing w:line="240" w:lineRule="exact"/>
              <w:rPr>
                <w:sz w:val="16"/>
                <w:szCs w:val="16"/>
              </w:rPr>
            </w:pPr>
          </w:p>
        </w:tc>
        <w:tc>
          <w:tcPr>
            <w:tcW w:w="331"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hideMark/>
          </w:tcPr>
          <w:p w:rsidR="00195BE7" w:rsidRPr="001E2F6E" w:rsidRDefault="00195BE7" w:rsidP="00195BE7">
            <w:pPr>
              <w:spacing w:line="240" w:lineRule="exact"/>
              <w:jc w:val="center"/>
              <w:rPr>
                <w:b/>
                <w:bCs/>
                <w:sz w:val="16"/>
                <w:szCs w:val="16"/>
              </w:rPr>
            </w:pPr>
            <w:r w:rsidRPr="001E2F6E">
              <w:rPr>
                <w:b/>
                <w:bCs/>
                <w:sz w:val="16"/>
                <w:szCs w:val="16"/>
              </w:rPr>
              <w:t>z.a.</w:t>
            </w:r>
          </w:p>
        </w:tc>
        <w:tc>
          <w:tcPr>
            <w:tcW w:w="350"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hideMark/>
          </w:tcPr>
          <w:p w:rsidR="00195BE7" w:rsidRPr="001E2F6E" w:rsidRDefault="00195BE7" w:rsidP="00195BE7">
            <w:pPr>
              <w:spacing w:line="240" w:lineRule="exact"/>
              <w:jc w:val="center"/>
              <w:rPr>
                <w:b/>
                <w:bCs/>
                <w:sz w:val="16"/>
                <w:szCs w:val="16"/>
              </w:rPr>
            </w:pPr>
            <w:r w:rsidRPr="001E2F6E">
              <w:rPr>
                <w:b/>
                <w:bCs/>
                <w:sz w:val="16"/>
                <w:szCs w:val="16"/>
              </w:rPr>
              <w:t>%ber.</w:t>
            </w:r>
          </w:p>
        </w:tc>
        <w:tc>
          <w:tcPr>
            <w:tcW w:w="331"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hideMark/>
          </w:tcPr>
          <w:p w:rsidR="00195BE7" w:rsidRPr="001E2F6E" w:rsidRDefault="00195BE7" w:rsidP="00195BE7">
            <w:pPr>
              <w:spacing w:line="240" w:lineRule="exact"/>
              <w:jc w:val="center"/>
              <w:rPr>
                <w:b/>
                <w:bCs/>
                <w:sz w:val="16"/>
                <w:szCs w:val="16"/>
              </w:rPr>
            </w:pPr>
            <w:r w:rsidRPr="001E2F6E">
              <w:rPr>
                <w:b/>
                <w:bCs/>
                <w:sz w:val="16"/>
                <w:szCs w:val="16"/>
              </w:rPr>
              <w:t>z.a.</w:t>
            </w:r>
          </w:p>
        </w:tc>
        <w:tc>
          <w:tcPr>
            <w:tcW w:w="350"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hideMark/>
          </w:tcPr>
          <w:p w:rsidR="00195BE7" w:rsidRPr="001E2F6E" w:rsidRDefault="00195BE7" w:rsidP="00195BE7">
            <w:pPr>
              <w:spacing w:line="240" w:lineRule="exact"/>
              <w:jc w:val="center"/>
              <w:rPr>
                <w:b/>
                <w:bCs/>
                <w:sz w:val="16"/>
                <w:szCs w:val="16"/>
              </w:rPr>
            </w:pPr>
            <w:r w:rsidRPr="001E2F6E">
              <w:rPr>
                <w:b/>
                <w:bCs/>
                <w:sz w:val="16"/>
                <w:szCs w:val="16"/>
              </w:rPr>
              <w:t>%ber.</w:t>
            </w:r>
          </w:p>
        </w:tc>
        <w:tc>
          <w:tcPr>
            <w:tcW w:w="331"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hideMark/>
          </w:tcPr>
          <w:p w:rsidR="00195BE7" w:rsidRPr="001E2F6E" w:rsidRDefault="00195BE7" w:rsidP="00195BE7">
            <w:pPr>
              <w:spacing w:line="240" w:lineRule="exact"/>
              <w:jc w:val="center"/>
              <w:rPr>
                <w:b/>
                <w:bCs/>
                <w:sz w:val="16"/>
                <w:szCs w:val="16"/>
              </w:rPr>
            </w:pPr>
            <w:r w:rsidRPr="001E2F6E">
              <w:rPr>
                <w:b/>
                <w:bCs/>
                <w:sz w:val="16"/>
                <w:szCs w:val="16"/>
              </w:rPr>
              <w:t>z.a.</w:t>
            </w:r>
          </w:p>
        </w:tc>
        <w:tc>
          <w:tcPr>
            <w:tcW w:w="350"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hideMark/>
          </w:tcPr>
          <w:p w:rsidR="00195BE7" w:rsidRPr="001E2F6E" w:rsidRDefault="00195BE7" w:rsidP="00195BE7">
            <w:pPr>
              <w:spacing w:line="240" w:lineRule="exact"/>
              <w:jc w:val="center"/>
              <w:rPr>
                <w:b/>
                <w:bCs/>
                <w:sz w:val="16"/>
                <w:szCs w:val="16"/>
              </w:rPr>
            </w:pPr>
            <w:r w:rsidRPr="001E2F6E">
              <w:rPr>
                <w:b/>
                <w:bCs/>
                <w:sz w:val="16"/>
                <w:szCs w:val="16"/>
              </w:rPr>
              <w:t>%ber.</w:t>
            </w:r>
          </w:p>
        </w:tc>
        <w:tc>
          <w:tcPr>
            <w:tcW w:w="379"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hideMark/>
          </w:tcPr>
          <w:p w:rsidR="00195BE7" w:rsidRPr="001E2F6E" w:rsidRDefault="00195BE7" w:rsidP="00195BE7">
            <w:pPr>
              <w:spacing w:line="240" w:lineRule="exact"/>
              <w:jc w:val="center"/>
              <w:rPr>
                <w:b/>
                <w:bCs/>
                <w:sz w:val="16"/>
                <w:szCs w:val="16"/>
              </w:rPr>
            </w:pPr>
            <w:r w:rsidRPr="001E2F6E">
              <w:rPr>
                <w:b/>
                <w:bCs/>
                <w:sz w:val="16"/>
                <w:szCs w:val="16"/>
              </w:rPr>
              <w:t>z.a.</w:t>
            </w:r>
          </w:p>
        </w:tc>
        <w:tc>
          <w:tcPr>
            <w:tcW w:w="350"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hideMark/>
          </w:tcPr>
          <w:p w:rsidR="00195BE7" w:rsidRPr="001E2F6E" w:rsidRDefault="00195BE7" w:rsidP="00195BE7">
            <w:pPr>
              <w:spacing w:line="240" w:lineRule="exact"/>
              <w:jc w:val="center"/>
              <w:rPr>
                <w:b/>
                <w:bCs/>
                <w:sz w:val="16"/>
                <w:szCs w:val="16"/>
              </w:rPr>
            </w:pPr>
            <w:r w:rsidRPr="001E2F6E">
              <w:rPr>
                <w:b/>
                <w:bCs/>
                <w:sz w:val="16"/>
                <w:szCs w:val="16"/>
              </w:rPr>
              <w:t>%ber.</w:t>
            </w:r>
          </w:p>
        </w:tc>
        <w:tc>
          <w:tcPr>
            <w:tcW w:w="379"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hideMark/>
          </w:tcPr>
          <w:p w:rsidR="00195BE7" w:rsidRPr="001E2F6E" w:rsidRDefault="00195BE7" w:rsidP="00195BE7">
            <w:pPr>
              <w:spacing w:line="240" w:lineRule="exact"/>
              <w:jc w:val="center"/>
              <w:rPr>
                <w:b/>
                <w:bCs/>
                <w:sz w:val="16"/>
                <w:szCs w:val="16"/>
              </w:rPr>
            </w:pPr>
            <w:r w:rsidRPr="001E2F6E">
              <w:rPr>
                <w:b/>
                <w:bCs/>
                <w:sz w:val="16"/>
                <w:szCs w:val="16"/>
              </w:rPr>
              <w:t>z.a.</w:t>
            </w:r>
          </w:p>
        </w:tc>
        <w:tc>
          <w:tcPr>
            <w:tcW w:w="350"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hideMark/>
          </w:tcPr>
          <w:p w:rsidR="00195BE7" w:rsidRPr="001E2F6E" w:rsidRDefault="00195BE7" w:rsidP="00195BE7">
            <w:pPr>
              <w:spacing w:line="240" w:lineRule="exact"/>
              <w:jc w:val="center"/>
              <w:rPr>
                <w:b/>
                <w:bCs/>
                <w:sz w:val="16"/>
                <w:szCs w:val="16"/>
              </w:rPr>
            </w:pPr>
            <w:r w:rsidRPr="001E2F6E">
              <w:rPr>
                <w:b/>
                <w:bCs/>
                <w:sz w:val="16"/>
                <w:szCs w:val="16"/>
              </w:rPr>
              <w:t>%ber.</w:t>
            </w:r>
          </w:p>
        </w:tc>
        <w:tc>
          <w:tcPr>
            <w:tcW w:w="379"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hideMark/>
          </w:tcPr>
          <w:p w:rsidR="00195BE7" w:rsidRPr="001E2F6E" w:rsidRDefault="00195BE7" w:rsidP="00195BE7">
            <w:pPr>
              <w:spacing w:line="240" w:lineRule="exact"/>
              <w:jc w:val="center"/>
              <w:rPr>
                <w:b/>
                <w:bCs/>
                <w:sz w:val="16"/>
                <w:szCs w:val="16"/>
              </w:rPr>
            </w:pPr>
            <w:r w:rsidRPr="001E2F6E">
              <w:rPr>
                <w:b/>
                <w:bCs/>
                <w:sz w:val="16"/>
                <w:szCs w:val="16"/>
              </w:rPr>
              <w:t>z.a.</w:t>
            </w:r>
          </w:p>
        </w:tc>
        <w:tc>
          <w:tcPr>
            <w:tcW w:w="350" w:type="pct"/>
            <w:tcBorders>
              <w:top w:val="single" w:sz="4" w:space="0" w:color="BFBFBF" w:themeColor="background1" w:themeShade="BF"/>
              <w:bottom w:val="single" w:sz="4" w:space="0" w:color="BFBFBF" w:themeColor="background1" w:themeShade="BF"/>
            </w:tcBorders>
            <w:shd w:val="clear" w:color="auto" w:fill="DBE5F1" w:themeFill="accent1" w:themeFillTint="33"/>
            <w:hideMark/>
          </w:tcPr>
          <w:p w:rsidR="00195BE7" w:rsidRPr="001E2F6E" w:rsidRDefault="00195BE7" w:rsidP="00195BE7">
            <w:pPr>
              <w:spacing w:line="240" w:lineRule="exact"/>
              <w:jc w:val="center"/>
              <w:rPr>
                <w:b/>
                <w:bCs/>
                <w:sz w:val="16"/>
                <w:szCs w:val="16"/>
              </w:rPr>
            </w:pPr>
            <w:r w:rsidRPr="001E2F6E">
              <w:rPr>
                <w:b/>
                <w:bCs/>
                <w:sz w:val="16"/>
                <w:szCs w:val="16"/>
              </w:rPr>
              <w:t>%ber.</w:t>
            </w:r>
          </w:p>
        </w:tc>
      </w:tr>
      <w:tr w:rsidR="00195BE7" w:rsidRPr="001E2F6E" w:rsidTr="00195BE7">
        <w:trPr>
          <w:jc w:val="center"/>
        </w:trPr>
        <w:tc>
          <w:tcPr>
            <w:tcW w:w="773" w:type="pct"/>
            <w:tcBorders>
              <w:top w:val="single" w:sz="4" w:space="0" w:color="BFBFBF" w:themeColor="background1" w:themeShade="BF"/>
              <w:right w:val="single" w:sz="4" w:space="0" w:color="BFBFBF" w:themeColor="background1" w:themeShade="BF"/>
            </w:tcBorders>
            <w:hideMark/>
          </w:tcPr>
          <w:p w:rsidR="00195BE7" w:rsidRPr="001E2F6E" w:rsidRDefault="00195BE7" w:rsidP="00195BE7">
            <w:pPr>
              <w:spacing w:line="240" w:lineRule="exact"/>
              <w:ind w:hanging="28"/>
              <w:rPr>
                <w:sz w:val="16"/>
                <w:szCs w:val="16"/>
                <w:lang w:val="eu-ES"/>
              </w:rPr>
            </w:pPr>
            <w:r w:rsidRPr="001E2F6E">
              <w:rPr>
                <w:sz w:val="16"/>
                <w:szCs w:val="16"/>
                <w:lang w:val="eu-ES"/>
              </w:rPr>
              <w:t>Lehen sektorea</w:t>
            </w:r>
          </w:p>
        </w:tc>
        <w:tc>
          <w:tcPr>
            <w:tcW w:w="331" w:type="pct"/>
            <w:tcBorders>
              <w:top w:val="single" w:sz="4" w:space="0" w:color="BFBFBF" w:themeColor="background1" w:themeShade="BF"/>
              <w:left w:val="single" w:sz="4" w:space="0" w:color="BFBFBF" w:themeColor="background1" w:themeShade="BF"/>
            </w:tcBorders>
            <w:hideMark/>
          </w:tcPr>
          <w:p w:rsidR="00195BE7" w:rsidRPr="001E2F6E" w:rsidRDefault="00195BE7" w:rsidP="00195BE7">
            <w:pPr>
              <w:spacing w:line="240" w:lineRule="exact"/>
              <w:jc w:val="right"/>
              <w:rPr>
                <w:sz w:val="16"/>
                <w:szCs w:val="16"/>
              </w:rPr>
            </w:pPr>
            <w:r w:rsidRPr="001E2F6E">
              <w:rPr>
                <w:sz w:val="16"/>
                <w:szCs w:val="16"/>
              </w:rPr>
              <w:t>0</w:t>
            </w:r>
          </w:p>
        </w:tc>
        <w:tc>
          <w:tcPr>
            <w:tcW w:w="350" w:type="pct"/>
            <w:tcBorders>
              <w:top w:val="single" w:sz="4" w:space="0" w:color="BFBFBF" w:themeColor="background1" w:themeShade="BF"/>
              <w:right w:val="single" w:sz="4" w:space="0" w:color="BFBFBF" w:themeColor="background1" w:themeShade="BF"/>
            </w:tcBorders>
            <w:hideMark/>
          </w:tcPr>
          <w:p w:rsidR="00195BE7" w:rsidRPr="001E2F6E" w:rsidRDefault="00195BE7" w:rsidP="00195BE7">
            <w:pPr>
              <w:spacing w:line="240" w:lineRule="exact"/>
              <w:jc w:val="right"/>
              <w:rPr>
                <w:sz w:val="16"/>
                <w:szCs w:val="16"/>
              </w:rPr>
            </w:pPr>
            <w:r w:rsidRPr="001E2F6E">
              <w:rPr>
                <w:sz w:val="16"/>
                <w:szCs w:val="16"/>
              </w:rPr>
              <w:t>0</w:t>
            </w:r>
          </w:p>
        </w:tc>
        <w:tc>
          <w:tcPr>
            <w:tcW w:w="331" w:type="pct"/>
            <w:tcBorders>
              <w:top w:val="single" w:sz="4" w:space="0" w:color="BFBFBF" w:themeColor="background1" w:themeShade="BF"/>
              <w:left w:val="single" w:sz="4" w:space="0" w:color="BFBFBF" w:themeColor="background1" w:themeShade="BF"/>
            </w:tcBorders>
            <w:hideMark/>
          </w:tcPr>
          <w:p w:rsidR="00195BE7" w:rsidRPr="001E2F6E" w:rsidRDefault="00195BE7" w:rsidP="00195BE7">
            <w:pPr>
              <w:spacing w:line="240" w:lineRule="exact"/>
              <w:jc w:val="right"/>
              <w:rPr>
                <w:sz w:val="16"/>
                <w:szCs w:val="16"/>
              </w:rPr>
            </w:pPr>
            <w:r w:rsidRPr="001E2F6E">
              <w:rPr>
                <w:sz w:val="16"/>
                <w:szCs w:val="16"/>
              </w:rPr>
              <w:t>0</w:t>
            </w:r>
          </w:p>
        </w:tc>
        <w:tc>
          <w:tcPr>
            <w:tcW w:w="350" w:type="pct"/>
            <w:tcBorders>
              <w:top w:val="single" w:sz="4" w:space="0" w:color="BFBFBF" w:themeColor="background1" w:themeShade="BF"/>
              <w:right w:val="single" w:sz="4" w:space="0" w:color="BFBFBF" w:themeColor="background1" w:themeShade="BF"/>
            </w:tcBorders>
            <w:hideMark/>
          </w:tcPr>
          <w:p w:rsidR="00195BE7" w:rsidRPr="001E2F6E" w:rsidRDefault="00195BE7" w:rsidP="00195BE7">
            <w:pPr>
              <w:spacing w:line="240" w:lineRule="exact"/>
              <w:jc w:val="right"/>
              <w:rPr>
                <w:sz w:val="16"/>
                <w:szCs w:val="16"/>
              </w:rPr>
            </w:pPr>
            <w:r w:rsidRPr="001E2F6E">
              <w:rPr>
                <w:sz w:val="16"/>
                <w:szCs w:val="16"/>
              </w:rPr>
              <w:t>0,0</w:t>
            </w:r>
          </w:p>
        </w:tc>
        <w:tc>
          <w:tcPr>
            <w:tcW w:w="331" w:type="pct"/>
            <w:tcBorders>
              <w:top w:val="single" w:sz="4" w:space="0" w:color="BFBFBF" w:themeColor="background1" w:themeShade="BF"/>
              <w:left w:val="single" w:sz="4" w:space="0" w:color="BFBFBF" w:themeColor="background1" w:themeShade="BF"/>
            </w:tcBorders>
            <w:hideMark/>
          </w:tcPr>
          <w:p w:rsidR="00195BE7" w:rsidRPr="001E2F6E" w:rsidRDefault="00195BE7" w:rsidP="00195BE7">
            <w:pPr>
              <w:spacing w:line="240" w:lineRule="exact"/>
              <w:jc w:val="right"/>
              <w:rPr>
                <w:sz w:val="16"/>
                <w:szCs w:val="16"/>
              </w:rPr>
            </w:pPr>
            <w:r w:rsidRPr="001E2F6E">
              <w:rPr>
                <w:sz w:val="16"/>
                <w:szCs w:val="16"/>
              </w:rPr>
              <w:t>25</w:t>
            </w:r>
          </w:p>
        </w:tc>
        <w:tc>
          <w:tcPr>
            <w:tcW w:w="350" w:type="pct"/>
            <w:tcBorders>
              <w:top w:val="single" w:sz="4" w:space="0" w:color="BFBFBF" w:themeColor="background1" w:themeShade="BF"/>
              <w:right w:val="single" w:sz="4" w:space="0" w:color="BFBFBF" w:themeColor="background1" w:themeShade="BF"/>
            </w:tcBorders>
            <w:hideMark/>
          </w:tcPr>
          <w:p w:rsidR="00195BE7" w:rsidRPr="001E2F6E" w:rsidRDefault="00195BE7" w:rsidP="00195BE7">
            <w:pPr>
              <w:spacing w:line="240" w:lineRule="exact"/>
              <w:jc w:val="right"/>
              <w:rPr>
                <w:sz w:val="16"/>
                <w:szCs w:val="16"/>
              </w:rPr>
            </w:pPr>
            <w:r w:rsidRPr="001E2F6E">
              <w:rPr>
                <w:sz w:val="16"/>
                <w:szCs w:val="16"/>
              </w:rPr>
              <w:t>0,6</w:t>
            </w:r>
          </w:p>
        </w:tc>
        <w:tc>
          <w:tcPr>
            <w:tcW w:w="379" w:type="pct"/>
            <w:tcBorders>
              <w:top w:val="single" w:sz="4" w:space="0" w:color="BFBFBF" w:themeColor="background1" w:themeShade="BF"/>
              <w:left w:val="single" w:sz="4" w:space="0" w:color="BFBFBF" w:themeColor="background1" w:themeShade="BF"/>
            </w:tcBorders>
            <w:hideMark/>
          </w:tcPr>
          <w:p w:rsidR="00195BE7" w:rsidRPr="001E2F6E" w:rsidRDefault="00195BE7" w:rsidP="00195BE7">
            <w:pPr>
              <w:spacing w:line="240" w:lineRule="exact"/>
              <w:jc w:val="right"/>
              <w:rPr>
                <w:sz w:val="16"/>
                <w:szCs w:val="16"/>
              </w:rPr>
            </w:pPr>
            <w:r w:rsidRPr="001E2F6E">
              <w:rPr>
                <w:sz w:val="16"/>
                <w:szCs w:val="16"/>
              </w:rPr>
              <w:t>16</w:t>
            </w:r>
          </w:p>
        </w:tc>
        <w:tc>
          <w:tcPr>
            <w:tcW w:w="350" w:type="pct"/>
            <w:tcBorders>
              <w:top w:val="single" w:sz="4" w:space="0" w:color="BFBFBF" w:themeColor="background1" w:themeShade="BF"/>
              <w:right w:val="single" w:sz="4" w:space="0" w:color="BFBFBF" w:themeColor="background1" w:themeShade="BF"/>
            </w:tcBorders>
            <w:hideMark/>
          </w:tcPr>
          <w:p w:rsidR="00195BE7" w:rsidRPr="001E2F6E" w:rsidRDefault="00195BE7" w:rsidP="00195BE7">
            <w:pPr>
              <w:spacing w:line="240" w:lineRule="exact"/>
              <w:jc w:val="right"/>
              <w:rPr>
                <w:sz w:val="16"/>
                <w:szCs w:val="16"/>
              </w:rPr>
            </w:pPr>
            <w:r w:rsidRPr="001E2F6E">
              <w:rPr>
                <w:sz w:val="16"/>
                <w:szCs w:val="16"/>
              </w:rPr>
              <w:t>0,4</w:t>
            </w:r>
          </w:p>
        </w:tc>
        <w:tc>
          <w:tcPr>
            <w:tcW w:w="379" w:type="pct"/>
            <w:tcBorders>
              <w:top w:val="single" w:sz="4" w:space="0" w:color="BFBFBF" w:themeColor="background1" w:themeShade="BF"/>
              <w:left w:val="single" w:sz="4" w:space="0" w:color="BFBFBF" w:themeColor="background1" w:themeShade="BF"/>
            </w:tcBorders>
            <w:hideMark/>
          </w:tcPr>
          <w:p w:rsidR="00195BE7" w:rsidRPr="001E2F6E" w:rsidRDefault="00195BE7" w:rsidP="00195BE7">
            <w:pPr>
              <w:spacing w:line="240" w:lineRule="exact"/>
              <w:jc w:val="right"/>
              <w:rPr>
                <w:sz w:val="16"/>
                <w:szCs w:val="16"/>
              </w:rPr>
            </w:pPr>
            <w:r w:rsidRPr="001E2F6E">
              <w:rPr>
                <w:sz w:val="16"/>
                <w:szCs w:val="16"/>
              </w:rPr>
              <w:t>25</w:t>
            </w:r>
          </w:p>
        </w:tc>
        <w:tc>
          <w:tcPr>
            <w:tcW w:w="350" w:type="pct"/>
            <w:tcBorders>
              <w:top w:val="single" w:sz="4" w:space="0" w:color="BFBFBF" w:themeColor="background1" w:themeShade="BF"/>
              <w:right w:val="single" w:sz="4" w:space="0" w:color="BFBFBF" w:themeColor="background1" w:themeShade="BF"/>
            </w:tcBorders>
            <w:hideMark/>
          </w:tcPr>
          <w:p w:rsidR="00195BE7" w:rsidRPr="001E2F6E" w:rsidRDefault="00195BE7" w:rsidP="00195BE7">
            <w:pPr>
              <w:spacing w:line="240" w:lineRule="exact"/>
              <w:jc w:val="right"/>
              <w:rPr>
                <w:sz w:val="16"/>
                <w:szCs w:val="16"/>
              </w:rPr>
            </w:pPr>
            <w:r w:rsidRPr="001E2F6E">
              <w:rPr>
                <w:sz w:val="16"/>
                <w:szCs w:val="16"/>
              </w:rPr>
              <w:t>0,2</w:t>
            </w:r>
          </w:p>
        </w:tc>
        <w:tc>
          <w:tcPr>
            <w:tcW w:w="379" w:type="pct"/>
            <w:tcBorders>
              <w:top w:val="single" w:sz="4" w:space="0" w:color="BFBFBF" w:themeColor="background1" w:themeShade="BF"/>
              <w:left w:val="single" w:sz="4" w:space="0" w:color="BFBFBF" w:themeColor="background1" w:themeShade="BF"/>
            </w:tcBorders>
            <w:hideMark/>
          </w:tcPr>
          <w:p w:rsidR="00195BE7" w:rsidRPr="001E2F6E" w:rsidRDefault="00195BE7" w:rsidP="00195BE7">
            <w:pPr>
              <w:spacing w:line="240" w:lineRule="exact"/>
              <w:jc w:val="right"/>
              <w:rPr>
                <w:sz w:val="16"/>
                <w:szCs w:val="16"/>
              </w:rPr>
            </w:pPr>
            <w:r w:rsidRPr="001E2F6E">
              <w:rPr>
                <w:sz w:val="16"/>
                <w:szCs w:val="16"/>
              </w:rPr>
              <w:t>16</w:t>
            </w:r>
          </w:p>
        </w:tc>
        <w:tc>
          <w:tcPr>
            <w:tcW w:w="350" w:type="pct"/>
            <w:tcBorders>
              <w:top w:val="single" w:sz="4" w:space="0" w:color="BFBFBF" w:themeColor="background1" w:themeShade="BF"/>
            </w:tcBorders>
            <w:hideMark/>
          </w:tcPr>
          <w:p w:rsidR="00195BE7" w:rsidRPr="001E2F6E" w:rsidRDefault="00195BE7" w:rsidP="00195BE7">
            <w:pPr>
              <w:spacing w:line="240" w:lineRule="exact"/>
              <w:jc w:val="right"/>
              <w:rPr>
                <w:sz w:val="16"/>
                <w:szCs w:val="16"/>
              </w:rPr>
            </w:pPr>
            <w:r w:rsidRPr="001E2F6E">
              <w:rPr>
                <w:sz w:val="16"/>
                <w:szCs w:val="16"/>
              </w:rPr>
              <w:t>0,2</w:t>
            </w:r>
          </w:p>
        </w:tc>
      </w:tr>
      <w:tr w:rsidR="00195BE7" w:rsidRPr="001E2F6E" w:rsidTr="00195BE7">
        <w:trPr>
          <w:jc w:val="center"/>
        </w:trPr>
        <w:tc>
          <w:tcPr>
            <w:tcW w:w="773" w:type="pct"/>
            <w:tcBorders>
              <w:right w:val="single" w:sz="4" w:space="0" w:color="BFBFBF" w:themeColor="background1" w:themeShade="BF"/>
            </w:tcBorders>
            <w:hideMark/>
          </w:tcPr>
          <w:p w:rsidR="00195BE7" w:rsidRPr="001E2F6E" w:rsidRDefault="00195BE7" w:rsidP="00195BE7">
            <w:pPr>
              <w:spacing w:line="240" w:lineRule="exact"/>
              <w:ind w:hanging="28"/>
              <w:rPr>
                <w:sz w:val="16"/>
                <w:szCs w:val="16"/>
                <w:lang w:val="eu-ES"/>
              </w:rPr>
            </w:pPr>
            <w:r w:rsidRPr="001E2F6E">
              <w:rPr>
                <w:sz w:val="16"/>
                <w:szCs w:val="16"/>
                <w:lang w:val="eu-ES"/>
              </w:rPr>
              <w:t>Industria</w:t>
            </w:r>
          </w:p>
        </w:tc>
        <w:tc>
          <w:tcPr>
            <w:tcW w:w="331" w:type="pct"/>
            <w:tcBorders>
              <w:left w:val="single" w:sz="4" w:space="0" w:color="BFBFBF" w:themeColor="background1" w:themeShade="BF"/>
            </w:tcBorders>
            <w:hideMark/>
          </w:tcPr>
          <w:p w:rsidR="00195BE7" w:rsidRPr="001E2F6E" w:rsidRDefault="00195BE7" w:rsidP="00195BE7">
            <w:pPr>
              <w:spacing w:line="240" w:lineRule="exact"/>
              <w:jc w:val="right"/>
              <w:rPr>
                <w:sz w:val="16"/>
                <w:szCs w:val="16"/>
              </w:rPr>
            </w:pPr>
            <w:r w:rsidRPr="001E2F6E">
              <w:rPr>
                <w:sz w:val="16"/>
                <w:szCs w:val="16"/>
              </w:rPr>
              <w:t>3.487</w:t>
            </w:r>
          </w:p>
        </w:tc>
        <w:tc>
          <w:tcPr>
            <w:tcW w:w="350" w:type="pct"/>
            <w:tcBorders>
              <w:right w:val="single" w:sz="4" w:space="0" w:color="BFBFBF" w:themeColor="background1" w:themeShade="BF"/>
            </w:tcBorders>
            <w:hideMark/>
          </w:tcPr>
          <w:p w:rsidR="00195BE7" w:rsidRPr="001E2F6E" w:rsidRDefault="00195BE7" w:rsidP="00195BE7">
            <w:pPr>
              <w:spacing w:line="240" w:lineRule="exact"/>
              <w:jc w:val="right"/>
              <w:rPr>
                <w:sz w:val="16"/>
                <w:szCs w:val="16"/>
              </w:rPr>
            </w:pPr>
            <w:r w:rsidRPr="001E2F6E">
              <w:rPr>
                <w:sz w:val="16"/>
                <w:szCs w:val="16"/>
              </w:rPr>
              <w:t>47,4</w:t>
            </w:r>
          </w:p>
        </w:tc>
        <w:tc>
          <w:tcPr>
            <w:tcW w:w="331" w:type="pct"/>
            <w:tcBorders>
              <w:left w:val="single" w:sz="4" w:space="0" w:color="BFBFBF" w:themeColor="background1" w:themeShade="BF"/>
            </w:tcBorders>
            <w:hideMark/>
          </w:tcPr>
          <w:p w:rsidR="00195BE7" w:rsidRPr="001E2F6E" w:rsidRDefault="00195BE7" w:rsidP="00195BE7">
            <w:pPr>
              <w:spacing w:line="240" w:lineRule="exact"/>
              <w:jc w:val="right"/>
              <w:rPr>
                <w:sz w:val="16"/>
                <w:szCs w:val="16"/>
              </w:rPr>
            </w:pPr>
            <w:r w:rsidRPr="001E2F6E">
              <w:rPr>
                <w:sz w:val="16"/>
                <w:szCs w:val="16"/>
              </w:rPr>
              <w:t>3.033</w:t>
            </w:r>
          </w:p>
        </w:tc>
        <w:tc>
          <w:tcPr>
            <w:tcW w:w="350" w:type="pct"/>
            <w:tcBorders>
              <w:right w:val="single" w:sz="4" w:space="0" w:color="BFBFBF" w:themeColor="background1" w:themeShade="BF"/>
            </w:tcBorders>
            <w:hideMark/>
          </w:tcPr>
          <w:p w:rsidR="00195BE7" w:rsidRPr="001E2F6E" w:rsidRDefault="00195BE7" w:rsidP="00195BE7">
            <w:pPr>
              <w:spacing w:line="240" w:lineRule="exact"/>
              <w:jc w:val="right"/>
              <w:rPr>
                <w:sz w:val="16"/>
                <w:szCs w:val="16"/>
              </w:rPr>
            </w:pPr>
            <w:r w:rsidRPr="001E2F6E">
              <w:rPr>
                <w:sz w:val="16"/>
                <w:szCs w:val="16"/>
              </w:rPr>
              <w:t>75,7</w:t>
            </w:r>
          </w:p>
        </w:tc>
        <w:tc>
          <w:tcPr>
            <w:tcW w:w="331" w:type="pct"/>
            <w:tcBorders>
              <w:left w:val="single" w:sz="4" w:space="0" w:color="BFBFBF" w:themeColor="background1" w:themeShade="BF"/>
            </w:tcBorders>
            <w:hideMark/>
          </w:tcPr>
          <w:p w:rsidR="00195BE7" w:rsidRPr="001E2F6E" w:rsidRDefault="00195BE7" w:rsidP="00195BE7">
            <w:pPr>
              <w:spacing w:line="240" w:lineRule="exact"/>
              <w:jc w:val="right"/>
              <w:rPr>
                <w:sz w:val="16"/>
                <w:szCs w:val="16"/>
              </w:rPr>
            </w:pPr>
            <w:r w:rsidRPr="001E2F6E">
              <w:rPr>
                <w:sz w:val="16"/>
                <w:szCs w:val="16"/>
              </w:rPr>
              <w:t>2.126</w:t>
            </w:r>
          </w:p>
        </w:tc>
        <w:tc>
          <w:tcPr>
            <w:tcW w:w="350" w:type="pct"/>
            <w:tcBorders>
              <w:right w:val="single" w:sz="4" w:space="0" w:color="BFBFBF" w:themeColor="background1" w:themeShade="BF"/>
            </w:tcBorders>
            <w:hideMark/>
          </w:tcPr>
          <w:p w:rsidR="00195BE7" w:rsidRPr="001E2F6E" w:rsidRDefault="00195BE7" w:rsidP="00195BE7">
            <w:pPr>
              <w:spacing w:line="240" w:lineRule="exact"/>
              <w:jc w:val="right"/>
              <w:rPr>
                <w:sz w:val="16"/>
                <w:szCs w:val="16"/>
              </w:rPr>
            </w:pPr>
            <w:r w:rsidRPr="001E2F6E">
              <w:rPr>
                <w:sz w:val="16"/>
                <w:szCs w:val="16"/>
              </w:rPr>
              <w:t>48,7</w:t>
            </w:r>
          </w:p>
        </w:tc>
        <w:tc>
          <w:tcPr>
            <w:tcW w:w="379" w:type="pct"/>
            <w:tcBorders>
              <w:left w:val="single" w:sz="4" w:space="0" w:color="BFBFBF" w:themeColor="background1" w:themeShade="BF"/>
            </w:tcBorders>
            <w:hideMark/>
          </w:tcPr>
          <w:p w:rsidR="00195BE7" w:rsidRPr="001E2F6E" w:rsidRDefault="00195BE7" w:rsidP="00195BE7">
            <w:pPr>
              <w:spacing w:line="240" w:lineRule="exact"/>
              <w:jc w:val="right"/>
              <w:rPr>
                <w:sz w:val="16"/>
                <w:szCs w:val="16"/>
              </w:rPr>
            </w:pPr>
            <w:r w:rsidRPr="001E2F6E">
              <w:rPr>
                <w:sz w:val="16"/>
                <w:szCs w:val="16"/>
              </w:rPr>
              <w:t>1.777</w:t>
            </w:r>
          </w:p>
        </w:tc>
        <w:tc>
          <w:tcPr>
            <w:tcW w:w="350" w:type="pct"/>
            <w:tcBorders>
              <w:right w:val="single" w:sz="4" w:space="0" w:color="BFBFBF" w:themeColor="background1" w:themeShade="BF"/>
            </w:tcBorders>
            <w:hideMark/>
          </w:tcPr>
          <w:p w:rsidR="00195BE7" w:rsidRPr="001E2F6E" w:rsidRDefault="00195BE7" w:rsidP="00195BE7">
            <w:pPr>
              <w:spacing w:line="240" w:lineRule="exact"/>
              <w:jc w:val="right"/>
              <w:rPr>
                <w:sz w:val="16"/>
                <w:szCs w:val="16"/>
              </w:rPr>
            </w:pPr>
            <w:r w:rsidRPr="001E2F6E">
              <w:rPr>
                <w:sz w:val="16"/>
                <w:szCs w:val="16"/>
              </w:rPr>
              <w:t>46,5</w:t>
            </w:r>
          </w:p>
        </w:tc>
        <w:tc>
          <w:tcPr>
            <w:tcW w:w="379" w:type="pct"/>
            <w:tcBorders>
              <w:left w:val="single" w:sz="4" w:space="0" w:color="BFBFBF" w:themeColor="background1" w:themeShade="BF"/>
            </w:tcBorders>
            <w:hideMark/>
          </w:tcPr>
          <w:p w:rsidR="00195BE7" w:rsidRPr="001E2F6E" w:rsidRDefault="00195BE7" w:rsidP="00195BE7">
            <w:pPr>
              <w:spacing w:line="240" w:lineRule="exact"/>
              <w:jc w:val="right"/>
              <w:rPr>
                <w:sz w:val="16"/>
                <w:szCs w:val="16"/>
              </w:rPr>
            </w:pPr>
            <w:r w:rsidRPr="001E2F6E">
              <w:rPr>
                <w:sz w:val="16"/>
                <w:szCs w:val="16"/>
              </w:rPr>
              <w:t>5.613</w:t>
            </w:r>
          </w:p>
        </w:tc>
        <w:tc>
          <w:tcPr>
            <w:tcW w:w="350" w:type="pct"/>
            <w:tcBorders>
              <w:right w:val="single" w:sz="4" w:space="0" w:color="BFBFBF" w:themeColor="background1" w:themeShade="BF"/>
            </w:tcBorders>
            <w:hideMark/>
          </w:tcPr>
          <w:p w:rsidR="00195BE7" w:rsidRPr="001E2F6E" w:rsidRDefault="00195BE7" w:rsidP="00195BE7">
            <w:pPr>
              <w:spacing w:line="240" w:lineRule="exact"/>
              <w:jc w:val="right"/>
              <w:rPr>
                <w:sz w:val="16"/>
                <w:szCs w:val="16"/>
              </w:rPr>
            </w:pPr>
            <w:r w:rsidRPr="001E2F6E">
              <w:rPr>
                <w:sz w:val="16"/>
                <w:szCs w:val="16"/>
              </w:rPr>
              <w:t>47,9</w:t>
            </w:r>
          </w:p>
        </w:tc>
        <w:tc>
          <w:tcPr>
            <w:tcW w:w="379" w:type="pct"/>
            <w:tcBorders>
              <w:left w:val="single" w:sz="4" w:space="0" w:color="BFBFBF" w:themeColor="background1" w:themeShade="BF"/>
            </w:tcBorders>
            <w:hideMark/>
          </w:tcPr>
          <w:p w:rsidR="00195BE7" w:rsidRPr="001E2F6E" w:rsidRDefault="00195BE7" w:rsidP="00195BE7">
            <w:pPr>
              <w:spacing w:line="240" w:lineRule="exact"/>
              <w:jc w:val="right"/>
              <w:rPr>
                <w:sz w:val="16"/>
                <w:szCs w:val="16"/>
              </w:rPr>
            </w:pPr>
            <w:r w:rsidRPr="001E2F6E">
              <w:rPr>
                <w:sz w:val="16"/>
                <w:szCs w:val="16"/>
              </w:rPr>
              <w:t>4.810</w:t>
            </w:r>
          </w:p>
        </w:tc>
        <w:tc>
          <w:tcPr>
            <w:tcW w:w="350" w:type="pct"/>
            <w:hideMark/>
          </w:tcPr>
          <w:p w:rsidR="00195BE7" w:rsidRPr="001E2F6E" w:rsidRDefault="00195BE7" w:rsidP="00195BE7">
            <w:pPr>
              <w:spacing w:line="240" w:lineRule="exact"/>
              <w:jc w:val="right"/>
              <w:rPr>
                <w:sz w:val="16"/>
                <w:szCs w:val="16"/>
              </w:rPr>
            </w:pPr>
            <w:r w:rsidRPr="001E2F6E">
              <w:rPr>
                <w:sz w:val="16"/>
                <w:szCs w:val="16"/>
              </w:rPr>
              <w:t>61,4</w:t>
            </w:r>
          </w:p>
        </w:tc>
      </w:tr>
      <w:tr w:rsidR="00195BE7" w:rsidRPr="001E2F6E" w:rsidTr="00195BE7">
        <w:trPr>
          <w:jc w:val="center"/>
        </w:trPr>
        <w:tc>
          <w:tcPr>
            <w:tcW w:w="773" w:type="pct"/>
            <w:tcBorders>
              <w:right w:val="single" w:sz="4" w:space="0" w:color="BFBFBF" w:themeColor="background1" w:themeShade="BF"/>
            </w:tcBorders>
            <w:hideMark/>
          </w:tcPr>
          <w:p w:rsidR="00195BE7" w:rsidRPr="001E2F6E" w:rsidRDefault="00195BE7" w:rsidP="00195BE7">
            <w:pPr>
              <w:spacing w:line="240" w:lineRule="exact"/>
              <w:ind w:hanging="28"/>
              <w:rPr>
                <w:sz w:val="16"/>
                <w:szCs w:val="16"/>
                <w:lang w:val="eu-ES"/>
              </w:rPr>
            </w:pPr>
            <w:r w:rsidRPr="001E2F6E">
              <w:rPr>
                <w:sz w:val="16"/>
                <w:szCs w:val="16"/>
                <w:lang w:val="eu-ES"/>
              </w:rPr>
              <w:t>Eraikuntza</w:t>
            </w:r>
          </w:p>
        </w:tc>
        <w:tc>
          <w:tcPr>
            <w:tcW w:w="331" w:type="pct"/>
            <w:tcBorders>
              <w:left w:val="single" w:sz="4" w:space="0" w:color="BFBFBF" w:themeColor="background1" w:themeShade="BF"/>
            </w:tcBorders>
            <w:hideMark/>
          </w:tcPr>
          <w:p w:rsidR="00195BE7" w:rsidRPr="001E2F6E" w:rsidRDefault="00195BE7" w:rsidP="00195BE7">
            <w:pPr>
              <w:spacing w:line="240" w:lineRule="exact"/>
              <w:jc w:val="right"/>
              <w:rPr>
                <w:sz w:val="16"/>
                <w:szCs w:val="16"/>
              </w:rPr>
            </w:pPr>
            <w:r w:rsidRPr="001E2F6E">
              <w:rPr>
                <w:sz w:val="16"/>
                <w:szCs w:val="16"/>
              </w:rPr>
              <w:t>311</w:t>
            </w:r>
          </w:p>
        </w:tc>
        <w:tc>
          <w:tcPr>
            <w:tcW w:w="350" w:type="pct"/>
            <w:tcBorders>
              <w:right w:val="single" w:sz="4" w:space="0" w:color="BFBFBF" w:themeColor="background1" w:themeShade="BF"/>
            </w:tcBorders>
            <w:hideMark/>
          </w:tcPr>
          <w:p w:rsidR="00195BE7" w:rsidRPr="001E2F6E" w:rsidRDefault="00195BE7" w:rsidP="00195BE7">
            <w:pPr>
              <w:spacing w:line="240" w:lineRule="exact"/>
              <w:jc w:val="right"/>
              <w:rPr>
                <w:sz w:val="16"/>
                <w:szCs w:val="16"/>
              </w:rPr>
            </w:pPr>
            <w:r w:rsidRPr="001E2F6E">
              <w:rPr>
                <w:sz w:val="16"/>
                <w:szCs w:val="16"/>
              </w:rPr>
              <w:t>4,2</w:t>
            </w:r>
          </w:p>
        </w:tc>
        <w:tc>
          <w:tcPr>
            <w:tcW w:w="331" w:type="pct"/>
            <w:tcBorders>
              <w:left w:val="single" w:sz="4" w:space="0" w:color="BFBFBF" w:themeColor="background1" w:themeShade="BF"/>
            </w:tcBorders>
            <w:hideMark/>
          </w:tcPr>
          <w:p w:rsidR="00195BE7" w:rsidRPr="001E2F6E" w:rsidRDefault="00195BE7" w:rsidP="00195BE7">
            <w:pPr>
              <w:spacing w:line="240" w:lineRule="exact"/>
              <w:jc w:val="right"/>
              <w:rPr>
                <w:sz w:val="16"/>
                <w:szCs w:val="16"/>
              </w:rPr>
            </w:pPr>
            <w:r w:rsidRPr="001E2F6E">
              <w:rPr>
                <w:sz w:val="16"/>
                <w:szCs w:val="16"/>
              </w:rPr>
              <w:t>204</w:t>
            </w:r>
          </w:p>
        </w:tc>
        <w:tc>
          <w:tcPr>
            <w:tcW w:w="350" w:type="pct"/>
            <w:tcBorders>
              <w:right w:val="single" w:sz="4" w:space="0" w:color="BFBFBF" w:themeColor="background1" w:themeShade="BF"/>
            </w:tcBorders>
            <w:hideMark/>
          </w:tcPr>
          <w:p w:rsidR="00195BE7" w:rsidRPr="001E2F6E" w:rsidRDefault="00195BE7" w:rsidP="00195BE7">
            <w:pPr>
              <w:spacing w:line="240" w:lineRule="exact"/>
              <w:jc w:val="right"/>
              <w:rPr>
                <w:sz w:val="16"/>
                <w:szCs w:val="16"/>
              </w:rPr>
            </w:pPr>
            <w:r w:rsidRPr="001E2F6E">
              <w:rPr>
                <w:sz w:val="16"/>
                <w:szCs w:val="16"/>
              </w:rPr>
              <w:t>5,1</w:t>
            </w:r>
          </w:p>
        </w:tc>
        <w:tc>
          <w:tcPr>
            <w:tcW w:w="331" w:type="pct"/>
            <w:tcBorders>
              <w:left w:val="single" w:sz="4" w:space="0" w:color="BFBFBF" w:themeColor="background1" w:themeShade="BF"/>
            </w:tcBorders>
            <w:hideMark/>
          </w:tcPr>
          <w:p w:rsidR="00195BE7" w:rsidRPr="001E2F6E" w:rsidRDefault="00195BE7" w:rsidP="00195BE7">
            <w:pPr>
              <w:spacing w:line="240" w:lineRule="exact"/>
              <w:jc w:val="right"/>
              <w:rPr>
                <w:sz w:val="16"/>
                <w:szCs w:val="16"/>
              </w:rPr>
            </w:pPr>
            <w:r w:rsidRPr="001E2F6E">
              <w:rPr>
                <w:sz w:val="16"/>
                <w:szCs w:val="16"/>
              </w:rPr>
              <w:t>502</w:t>
            </w:r>
          </w:p>
        </w:tc>
        <w:tc>
          <w:tcPr>
            <w:tcW w:w="350" w:type="pct"/>
            <w:tcBorders>
              <w:right w:val="single" w:sz="4" w:space="0" w:color="BFBFBF" w:themeColor="background1" w:themeShade="BF"/>
            </w:tcBorders>
            <w:hideMark/>
          </w:tcPr>
          <w:p w:rsidR="00195BE7" w:rsidRPr="001E2F6E" w:rsidRDefault="00195BE7" w:rsidP="00195BE7">
            <w:pPr>
              <w:spacing w:line="240" w:lineRule="exact"/>
              <w:jc w:val="right"/>
              <w:rPr>
                <w:sz w:val="16"/>
                <w:szCs w:val="16"/>
              </w:rPr>
            </w:pPr>
            <w:r w:rsidRPr="001E2F6E">
              <w:rPr>
                <w:sz w:val="16"/>
                <w:szCs w:val="16"/>
              </w:rPr>
              <w:t>11,5</w:t>
            </w:r>
          </w:p>
        </w:tc>
        <w:tc>
          <w:tcPr>
            <w:tcW w:w="379" w:type="pct"/>
            <w:tcBorders>
              <w:left w:val="single" w:sz="4" w:space="0" w:color="BFBFBF" w:themeColor="background1" w:themeShade="BF"/>
            </w:tcBorders>
            <w:hideMark/>
          </w:tcPr>
          <w:p w:rsidR="00195BE7" w:rsidRPr="001E2F6E" w:rsidRDefault="00195BE7" w:rsidP="00195BE7">
            <w:pPr>
              <w:spacing w:line="240" w:lineRule="exact"/>
              <w:jc w:val="right"/>
              <w:rPr>
                <w:sz w:val="16"/>
                <w:szCs w:val="16"/>
              </w:rPr>
            </w:pPr>
            <w:r w:rsidRPr="001E2F6E">
              <w:rPr>
                <w:sz w:val="16"/>
                <w:szCs w:val="16"/>
              </w:rPr>
              <w:t>480,06</w:t>
            </w:r>
          </w:p>
        </w:tc>
        <w:tc>
          <w:tcPr>
            <w:tcW w:w="350" w:type="pct"/>
            <w:tcBorders>
              <w:right w:val="single" w:sz="4" w:space="0" w:color="BFBFBF" w:themeColor="background1" w:themeShade="BF"/>
            </w:tcBorders>
            <w:hideMark/>
          </w:tcPr>
          <w:p w:rsidR="00195BE7" w:rsidRPr="001E2F6E" w:rsidRDefault="00195BE7" w:rsidP="00195BE7">
            <w:pPr>
              <w:spacing w:line="240" w:lineRule="exact"/>
              <w:jc w:val="right"/>
              <w:rPr>
                <w:sz w:val="16"/>
                <w:szCs w:val="16"/>
              </w:rPr>
            </w:pPr>
            <w:r w:rsidRPr="001E2F6E">
              <w:rPr>
                <w:sz w:val="16"/>
                <w:szCs w:val="16"/>
              </w:rPr>
              <w:t>12,6</w:t>
            </w:r>
          </w:p>
        </w:tc>
        <w:tc>
          <w:tcPr>
            <w:tcW w:w="379" w:type="pct"/>
            <w:tcBorders>
              <w:left w:val="single" w:sz="4" w:space="0" w:color="BFBFBF" w:themeColor="background1" w:themeShade="BF"/>
            </w:tcBorders>
            <w:hideMark/>
          </w:tcPr>
          <w:p w:rsidR="00195BE7" w:rsidRPr="001E2F6E" w:rsidRDefault="00195BE7" w:rsidP="00195BE7">
            <w:pPr>
              <w:spacing w:line="240" w:lineRule="exact"/>
              <w:jc w:val="right"/>
              <w:rPr>
                <w:sz w:val="16"/>
                <w:szCs w:val="16"/>
              </w:rPr>
            </w:pPr>
            <w:r w:rsidRPr="001E2F6E">
              <w:rPr>
                <w:sz w:val="16"/>
                <w:szCs w:val="16"/>
              </w:rPr>
              <w:t>813</w:t>
            </w:r>
          </w:p>
        </w:tc>
        <w:tc>
          <w:tcPr>
            <w:tcW w:w="350" w:type="pct"/>
            <w:tcBorders>
              <w:right w:val="single" w:sz="4" w:space="0" w:color="BFBFBF" w:themeColor="background1" w:themeShade="BF"/>
            </w:tcBorders>
            <w:hideMark/>
          </w:tcPr>
          <w:p w:rsidR="00195BE7" w:rsidRPr="001E2F6E" w:rsidRDefault="00195BE7" w:rsidP="00195BE7">
            <w:pPr>
              <w:spacing w:line="240" w:lineRule="exact"/>
              <w:jc w:val="right"/>
              <w:rPr>
                <w:sz w:val="16"/>
                <w:szCs w:val="16"/>
              </w:rPr>
            </w:pPr>
            <w:r w:rsidRPr="001E2F6E">
              <w:rPr>
                <w:sz w:val="16"/>
                <w:szCs w:val="16"/>
              </w:rPr>
              <w:t>6,9</w:t>
            </w:r>
          </w:p>
        </w:tc>
        <w:tc>
          <w:tcPr>
            <w:tcW w:w="379" w:type="pct"/>
            <w:tcBorders>
              <w:left w:val="single" w:sz="4" w:space="0" w:color="BFBFBF" w:themeColor="background1" w:themeShade="BF"/>
            </w:tcBorders>
            <w:hideMark/>
          </w:tcPr>
          <w:p w:rsidR="00195BE7" w:rsidRPr="001E2F6E" w:rsidRDefault="00195BE7" w:rsidP="00195BE7">
            <w:pPr>
              <w:spacing w:line="240" w:lineRule="exact"/>
              <w:jc w:val="right"/>
              <w:rPr>
                <w:sz w:val="16"/>
                <w:szCs w:val="16"/>
              </w:rPr>
            </w:pPr>
            <w:r w:rsidRPr="001E2F6E">
              <w:rPr>
                <w:sz w:val="16"/>
                <w:szCs w:val="16"/>
              </w:rPr>
              <w:t>684,06</w:t>
            </w:r>
          </w:p>
        </w:tc>
        <w:tc>
          <w:tcPr>
            <w:tcW w:w="350" w:type="pct"/>
            <w:hideMark/>
          </w:tcPr>
          <w:p w:rsidR="00195BE7" w:rsidRPr="001E2F6E" w:rsidRDefault="00195BE7" w:rsidP="00195BE7">
            <w:pPr>
              <w:spacing w:line="240" w:lineRule="exact"/>
              <w:jc w:val="right"/>
              <w:rPr>
                <w:sz w:val="16"/>
                <w:szCs w:val="16"/>
              </w:rPr>
            </w:pPr>
            <w:r w:rsidRPr="001E2F6E">
              <w:rPr>
                <w:sz w:val="16"/>
                <w:szCs w:val="16"/>
              </w:rPr>
              <w:t>8,7</w:t>
            </w:r>
          </w:p>
        </w:tc>
      </w:tr>
      <w:tr w:rsidR="00195BE7" w:rsidRPr="001E2F6E" w:rsidTr="00195BE7">
        <w:trPr>
          <w:jc w:val="center"/>
        </w:trPr>
        <w:tc>
          <w:tcPr>
            <w:tcW w:w="773" w:type="pct"/>
            <w:tcBorders>
              <w:bottom w:val="single" w:sz="4" w:space="0" w:color="BFBFBF" w:themeColor="background1" w:themeShade="BF"/>
              <w:right w:val="single" w:sz="4" w:space="0" w:color="BFBFBF" w:themeColor="background1" w:themeShade="BF"/>
            </w:tcBorders>
            <w:hideMark/>
          </w:tcPr>
          <w:p w:rsidR="00195BE7" w:rsidRPr="001E2F6E" w:rsidRDefault="00195BE7" w:rsidP="00195BE7">
            <w:pPr>
              <w:spacing w:line="240" w:lineRule="exact"/>
              <w:ind w:hanging="28"/>
              <w:rPr>
                <w:sz w:val="16"/>
                <w:szCs w:val="16"/>
                <w:lang w:val="eu-ES"/>
              </w:rPr>
            </w:pPr>
            <w:r w:rsidRPr="001E2F6E">
              <w:rPr>
                <w:sz w:val="16"/>
                <w:szCs w:val="16"/>
                <w:lang w:val="eu-ES"/>
              </w:rPr>
              <w:t>Zerbitzuak</w:t>
            </w:r>
          </w:p>
        </w:tc>
        <w:tc>
          <w:tcPr>
            <w:tcW w:w="331" w:type="pct"/>
            <w:tcBorders>
              <w:left w:val="single" w:sz="4" w:space="0" w:color="BFBFBF" w:themeColor="background1" w:themeShade="BF"/>
              <w:bottom w:val="single" w:sz="4" w:space="0" w:color="BFBFBF" w:themeColor="background1" w:themeShade="BF"/>
            </w:tcBorders>
            <w:hideMark/>
          </w:tcPr>
          <w:p w:rsidR="00195BE7" w:rsidRPr="001E2F6E" w:rsidRDefault="00195BE7" w:rsidP="00195BE7">
            <w:pPr>
              <w:spacing w:line="240" w:lineRule="exact"/>
              <w:jc w:val="right"/>
              <w:rPr>
                <w:sz w:val="16"/>
                <w:szCs w:val="16"/>
              </w:rPr>
            </w:pPr>
            <w:r w:rsidRPr="001E2F6E">
              <w:rPr>
                <w:sz w:val="16"/>
                <w:szCs w:val="16"/>
              </w:rPr>
              <w:t>3.557</w:t>
            </w:r>
          </w:p>
        </w:tc>
        <w:tc>
          <w:tcPr>
            <w:tcW w:w="350" w:type="pct"/>
            <w:tcBorders>
              <w:bottom w:val="single" w:sz="4" w:space="0" w:color="BFBFBF" w:themeColor="background1" w:themeShade="BF"/>
              <w:right w:val="single" w:sz="4" w:space="0" w:color="BFBFBF" w:themeColor="background1" w:themeShade="BF"/>
            </w:tcBorders>
            <w:hideMark/>
          </w:tcPr>
          <w:p w:rsidR="00195BE7" w:rsidRPr="001E2F6E" w:rsidRDefault="00195BE7" w:rsidP="00195BE7">
            <w:pPr>
              <w:spacing w:line="240" w:lineRule="exact"/>
              <w:jc w:val="right"/>
              <w:rPr>
                <w:sz w:val="16"/>
                <w:szCs w:val="16"/>
              </w:rPr>
            </w:pPr>
            <w:r w:rsidRPr="001E2F6E">
              <w:rPr>
                <w:sz w:val="16"/>
                <w:szCs w:val="16"/>
              </w:rPr>
              <w:t>48,4</w:t>
            </w:r>
          </w:p>
        </w:tc>
        <w:tc>
          <w:tcPr>
            <w:tcW w:w="331" w:type="pct"/>
            <w:tcBorders>
              <w:left w:val="single" w:sz="4" w:space="0" w:color="BFBFBF" w:themeColor="background1" w:themeShade="BF"/>
              <w:bottom w:val="single" w:sz="4" w:space="0" w:color="BFBFBF" w:themeColor="background1" w:themeShade="BF"/>
            </w:tcBorders>
            <w:hideMark/>
          </w:tcPr>
          <w:p w:rsidR="00195BE7" w:rsidRPr="001E2F6E" w:rsidRDefault="00195BE7" w:rsidP="00195BE7">
            <w:pPr>
              <w:spacing w:line="240" w:lineRule="exact"/>
              <w:jc w:val="right"/>
              <w:rPr>
                <w:sz w:val="16"/>
                <w:szCs w:val="16"/>
              </w:rPr>
            </w:pPr>
            <w:r w:rsidRPr="001E2F6E">
              <w:rPr>
                <w:sz w:val="16"/>
                <w:szCs w:val="16"/>
              </w:rPr>
              <w:t>769</w:t>
            </w:r>
          </w:p>
        </w:tc>
        <w:tc>
          <w:tcPr>
            <w:tcW w:w="350" w:type="pct"/>
            <w:tcBorders>
              <w:bottom w:val="single" w:sz="4" w:space="0" w:color="BFBFBF" w:themeColor="background1" w:themeShade="BF"/>
              <w:right w:val="single" w:sz="4" w:space="0" w:color="BFBFBF" w:themeColor="background1" w:themeShade="BF"/>
            </w:tcBorders>
            <w:hideMark/>
          </w:tcPr>
          <w:p w:rsidR="00195BE7" w:rsidRPr="001E2F6E" w:rsidRDefault="00195BE7" w:rsidP="00195BE7">
            <w:pPr>
              <w:spacing w:line="240" w:lineRule="exact"/>
              <w:jc w:val="right"/>
              <w:rPr>
                <w:sz w:val="16"/>
                <w:szCs w:val="16"/>
              </w:rPr>
            </w:pPr>
            <w:r w:rsidRPr="001E2F6E">
              <w:rPr>
                <w:sz w:val="16"/>
                <w:szCs w:val="16"/>
              </w:rPr>
              <w:t>19,2</w:t>
            </w:r>
          </w:p>
        </w:tc>
        <w:tc>
          <w:tcPr>
            <w:tcW w:w="331" w:type="pct"/>
            <w:tcBorders>
              <w:left w:val="single" w:sz="4" w:space="0" w:color="BFBFBF" w:themeColor="background1" w:themeShade="BF"/>
              <w:bottom w:val="single" w:sz="4" w:space="0" w:color="BFBFBF" w:themeColor="background1" w:themeShade="BF"/>
            </w:tcBorders>
            <w:hideMark/>
          </w:tcPr>
          <w:p w:rsidR="00195BE7" w:rsidRPr="001E2F6E" w:rsidRDefault="00195BE7" w:rsidP="00195BE7">
            <w:pPr>
              <w:spacing w:line="240" w:lineRule="exact"/>
              <w:jc w:val="right"/>
              <w:rPr>
                <w:sz w:val="16"/>
                <w:szCs w:val="16"/>
              </w:rPr>
            </w:pPr>
            <w:r w:rsidRPr="001E2F6E">
              <w:rPr>
                <w:sz w:val="16"/>
                <w:szCs w:val="16"/>
              </w:rPr>
              <w:t>1.711</w:t>
            </w:r>
          </w:p>
        </w:tc>
        <w:tc>
          <w:tcPr>
            <w:tcW w:w="350" w:type="pct"/>
            <w:tcBorders>
              <w:bottom w:val="single" w:sz="4" w:space="0" w:color="BFBFBF" w:themeColor="background1" w:themeShade="BF"/>
              <w:right w:val="single" w:sz="4" w:space="0" w:color="BFBFBF" w:themeColor="background1" w:themeShade="BF"/>
            </w:tcBorders>
            <w:hideMark/>
          </w:tcPr>
          <w:p w:rsidR="00195BE7" w:rsidRPr="001E2F6E" w:rsidRDefault="00195BE7" w:rsidP="00195BE7">
            <w:pPr>
              <w:spacing w:line="240" w:lineRule="exact"/>
              <w:jc w:val="right"/>
              <w:rPr>
                <w:sz w:val="16"/>
                <w:szCs w:val="16"/>
              </w:rPr>
            </w:pPr>
            <w:r w:rsidRPr="001E2F6E">
              <w:rPr>
                <w:sz w:val="16"/>
                <w:szCs w:val="16"/>
              </w:rPr>
              <w:t>39,2</w:t>
            </w:r>
          </w:p>
        </w:tc>
        <w:tc>
          <w:tcPr>
            <w:tcW w:w="379" w:type="pct"/>
            <w:tcBorders>
              <w:left w:val="single" w:sz="4" w:space="0" w:color="BFBFBF" w:themeColor="background1" w:themeShade="BF"/>
              <w:bottom w:val="single" w:sz="4" w:space="0" w:color="BFBFBF" w:themeColor="background1" w:themeShade="BF"/>
            </w:tcBorders>
            <w:hideMark/>
          </w:tcPr>
          <w:p w:rsidR="00195BE7" w:rsidRPr="001E2F6E" w:rsidRDefault="00195BE7" w:rsidP="00195BE7">
            <w:pPr>
              <w:spacing w:line="240" w:lineRule="exact"/>
              <w:jc w:val="right"/>
              <w:rPr>
                <w:sz w:val="16"/>
                <w:szCs w:val="16"/>
              </w:rPr>
            </w:pPr>
            <w:r w:rsidRPr="001E2F6E">
              <w:rPr>
                <w:sz w:val="16"/>
                <w:szCs w:val="16"/>
              </w:rPr>
              <w:t>1.549</w:t>
            </w:r>
          </w:p>
        </w:tc>
        <w:tc>
          <w:tcPr>
            <w:tcW w:w="350" w:type="pct"/>
            <w:tcBorders>
              <w:bottom w:val="single" w:sz="4" w:space="0" w:color="BFBFBF" w:themeColor="background1" w:themeShade="BF"/>
              <w:right w:val="single" w:sz="4" w:space="0" w:color="BFBFBF" w:themeColor="background1" w:themeShade="BF"/>
            </w:tcBorders>
            <w:hideMark/>
          </w:tcPr>
          <w:p w:rsidR="00195BE7" w:rsidRPr="001E2F6E" w:rsidRDefault="00195BE7" w:rsidP="00195BE7">
            <w:pPr>
              <w:spacing w:line="240" w:lineRule="exact"/>
              <w:jc w:val="right"/>
              <w:rPr>
                <w:sz w:val="16"/>
                <w:szCs w:val="16"/>
              </w:rPr>
            </w:pPr>
            <w:r w:rsidRPr="001E2F6E">
              <w:rPr>
                <w:sz w:val="16"/>
                <w:szCs w:val="16"/>
              </w:rPr>
              <w:t>40,5</w:t>
            </w:r>
          </w:p>
        </w:tc>
        <w:tc>
          <w:tcPr>
            <w:tcW w:w="379" w:type="pct"/>
            <w:tcBorders>
              <w:left w:val="single" w:sz="4" w:space="0" w:color="BFBFBF" w:themeColor="background1" w:themeShade="BF"/>
              <w:bottom w:val="single" w:sz="4" w:space="0" w:color="BFBFBF" w:themeColor="background1" w:themeShade="BF"/>
            </w:tcBorders>
            <w:hideMark/>
          </w:tcPr>
          <w:p w:rsidR="00195BE7" w:rsidRPr="001E2F6E" w:rsidRDefault="00195BE7" w:rsidP="00195BE7">
            <w:pPr>
              <w:spacing w:line="240" w:lineRule="exact"/>
              <w:jc w:val="right"/>
              <w:rPr>
                <w:sz w:val="16"/>
                <w:szCs w:val="16"/>
              </w:rPr>
            </w:pPr>
            <w:r w:rsidRPr="001E2F6E">
              <w:rPr>
                <w:sz w:val="16"/>
                <w:szCs w:val="16"/>
              </w:rPr>
              <w:t>5.268</w:t>
            </w:r>
          </w:p>
        </w:tc>
        <w:tc>
          <w:tcPr>
            <w:tcW w:w="350" w:type="pct"/>
            <w:tcBorders>
              <w:bottom w:val="single" w:sz="4" w:space="0" w:color="BFBFBF" w:themeColor="background1" w:themeShade="BF"/>
              <w:right w:val="single" w:sz="4" w:space="0" w:color="BFBFBF" w:themeColor="background1" w:themeShade="BF"/>
            </w:tcBorders>
            <w:hideMark/>
          </w:tcPr>
          <w:p w:rsidR="00195BE7" w:rsidRPr="001E2F6E" w:rsidRDefault="00195BE7" w:rsidP="00195BE7">
            <w:pPr>
              <w:spacing w:line="240" w:lineRule="exact"/>
              <w:jc w:val="right"/>
              <w:rPr>
                <w:sz w:val="16"/>
                <w:szCs w:val="16"/>
              </w:rPr>
            </w:pPr>
            <w:r w:rsidRPr="001E2F6E">
              <w:rPr>
                <w:sz w:val="16"/>
                <w:szCs w:val="16"/>
              </w:rPr>
              <w:t>44,9</w:t>
            </w:r>
          </w:p>
        </w:tc>
        <w:tc>
          <w:tcPr>
            <w:tcW w:w="379" w:type="pct"/>
            <w:tcBorders>
              <w:left w:val="single" w:sz="4" w:space="0" w:color="BFBFBF" w:themeColor="background1" w:themeShade="BF"/>
              <w:bottom w:val="single" w:sz="4" w:space="0" w:color="BFBFBF" w:themeColor="background1" w:themeShade="BF"/>
            </w:tcBorders>
            <w:hideMark/>
          </w:tcPr>
          <w:p w:rsidR="00195BE7" w:rsidRPr="001E2F6E" w:rsidRDefault="00195BE7" w:rsidP="00195BE7">
            <w:pPr>
              <w:spacing w:line="240" w:lineRule="exact"/>
              <w:jc w:val="right"/>
              <w:rPr>
                <w:sz w:val="16"/>
                <w:szCs w:val="16"/>
              </w:rPr>
            </w:pPr>
            <w:r w:rsidRPr="001E2F6E">
              <w:rPr>
                <w:sz w:val="16"/>
                <w:szCs w:val="16"/>
              </w:rPr>
              <w:t>2.319</w:t>
            </w:r>
          </w:p>
        </w:tc>
        <w:tc>
          <w:tcPr>
            <w:tcW w:w="350" w:type="pct"/>
            <w:tcBorders>
              <w:bottom w:val="single" w:sz="4" w:space="0" w:color="BFBFBF" w:themeColor="background1" w:themeShade="BF"/>
            </w:tcBorders>
            <w:hideMark/>
          </w:tcPr>
          <w:p w:rsidR="00195BE7" w:rsidRPr="001E2F6E" w:rsidRDefault="00195BE7" w:rsidP="00195BE7">
            <w:pPr>
              <w:spacing w:line="240" w:lineRule="exact"/>
              <w:jc w:val="right"/>
              <w:rPr>
                <w:sz w:val="16"/>
                <w:szCs w:val="16"/>
              </w:rPr>
            </w:pPr>
            <w:r w:rsidRPr="001E2F6E">
              <w:rPr>
                <w:sz w:val="16"/>
                <w:szCs w:val="16"/>
              </w:rPr>
              <w:t>29,6</w:t>
            </w:r>
          </w:p>
        </w:tc>
      </w:tr>
      <w:tr w:rsidR="00195BE7" w:rsidRPr="001E2F6E" w:rsidTr="00195BE7">
        <w:trPr>
          <w:jc w:val="center"/>
        </w:trPr>
        <w:tc>
          <w:tcPr>
            <w:tcW w:w="773" w:type="pct"/>
            <w:tcBorders>
              <w:top w:val="single" w:sz="4" w:space="0" w:color="BFBFBF" w:themeColor="background1" w:themeShade="BF"/>
              <w:bottom w:val="single" w:sz="4" w:space="0" w:color="BFBFBF" w:themeColor="background1" w:themeShade="BF"/>
              <w:right w:val="single" w:sz="4" w:space="0" w:color="BFBFBF" w:themeColor="background1" w:themeShade="BF"/>
            </w:tcBorders>
            <w:hideMark/>
          </w:tcPr>
          <w:p w:rsidR="00195BE7" w:rsidRPr="001E2F6E" w:rsidRDefault="00195BE7" w:rsidP="00195BE7">
            <w:pPr>
              <w:spacing w:line="240" w:lineRule="exact"/>
              <w:ind w:right="-133" w:hanging="28"/>
              <w:rPr>
                <w:b/>
                <w:bCs/>
                <w:sz w:val="16"/>
                <w:szCs w:val="16"/>
                <w:lang w:val="eu-ES"/>
              </w:rPr>
            </w:pPr>
            <w:r w:rsidRPr="001E2F6E">
              <w:rPr>
                <w:b/>
                <w:bCs/>
                <w:sz w:val="16"/>
                <w:szCs w:val="16"/>
                <w:lang w:val="eu-ES"/>
              </w:rPr>
              <w:t>GUZTIRA</w:t>
            </w:r>
          </w:p>
        </w:tc>
        <w:tc>
          <w:tcPr>
            <w:tcW w:w="331" w:type="pct"/>
            <w:tcBorders>
              <w:top w:val="single" w:sz="4" w:space="0" w:color="BFBFBF" w:themeColor="background1" w:themeShade="BF"/>
              <w:left w:val="single" w:sz="4" w:space="0" w:color="BFBFBF" w:themeColor="background1" w:themeShade="BF"/>
              <w:bottom w:val="single" w:sz="4" w:space="0" w:color="BFBFBF" w:themeColor="background1" w:themeShade="BF"/>
            </w:tcBorders>
            <w:hideMark/>
          </w:tcPr>
          <w:p w:rsidR="00195BE7" w:rsidRPr="001E2F6E" w:rsidRDefault="00195BE7" w:rsidP="00195BE7">
            <w:pPr>
              <w:spacing w:line="240" w:lineRule="exact"/>
              <w:jc w:val="right"/>
              <w:rPr>
                <w:b/>
                <w:bCs/>
                <w:sz w:val="16"/>
                <w:szCs w:val="16"/>
              </w:rPr>
            </w:pPr>
            <w:r w:rsidRPr="001E2F6E">
              <w:rPr>
                <w:b/>
                <w:bCs/>
                <w:sz w:val="16"/>
                <w:szCs w:val="16"/>
              </w:rPr>
              <w:t>7.355</w:t>
            </w:r>
          </w:p>
        </w:tc>
        <w:tc>
          <w:tcPr>
            <w:tcW w:w="350" w:type="pct"/>
            <w:tcBorders>
              <w:top w:val="single" w:sz="4" w:space="0" w:color="BFBFBF" w:themeColor="background1" w:themeShade="BF"/>
              <w:bottom w:val="single" w:sz="4" w:space="0" w:color="BFBFBF" w:themeColor="background1" w:themeShade="BF"/>
              <w:right w:val="single" w:sz="4" w:space="0" w:color="BFBFBF" w:themeColor="background1" w:themeShade="BF"/>
            </w:tcBorders>
            <w:hideMark/>
          </w:tcPr>
          <w:p w:rsidR="00195BE7" w:rsidRPr="001E2F6E" w:rsidRDefault="00195BE7" w:rsidP="00195BE7">
            <w:pPr>
              <w:spacing w:line="240" w:lineRule="exact"/>
              <w:jc w:val="right"/>
              <w:rPr>
                <w:b/>
                <w:bCs/>
                <w:sz w:val="16"/>
                <w:szCs w:val="16"/>
              </w:rPr>
            </w:pPr>
            <w:r w:rsidRPr="001E2F6E">
              <w:rPr>
                <w:b/>
                <w:bCs/>
                <w:sz w:val="16"/>
                <w:szCs w:val="16"/>
              </w:rPr>
              <w:t>100</w:t>
            </w:r>
          </w:p>
        </w:tc>
        <w:tc>
          <w:tcPr>
            <w:tcW w:w="331" w:type="pct"/>
            <w:tcBorders>
              <w:top w:val="single" w:sz="4" w:space="0" w:color="BFBFBF" w:themeColor="background1" w:themeShade="BF"/>
              <w:left w:val="single" w:sz="4" w:space="0" w:color="BFBFBF" w:themeColor="background1" w:themeShade="BF"/>
              <w:bottom w:val="single" w:sz="4" w:space="0" w:color="BFBFBF" w:themeColor="background1" w:themeShade="BF"/>
            </w:tcBorders>
            <w:noWrap/>
            <w:hideMark/>
          </w:tcPr>
          <w:p w:rsidR="00195BE7" w:rsidRPr="001E2F6E" w:rsidRDefault="00195BE7" w:rsidP="00195BE7">
            <w:pPr>
              <w:spacing w:line="240" w:lineRule="exact"/>
              <w:jc w:val="right"/>
              <w:rPr>
                <w:b/>
                <w:bCs/>
                <w:sz w:val="16"/>
                <w:szCs w:val="16"/>
              </w:rPr>
            </w:pPr>
            <w:r w:rsidRPr="001E2F6E">
              <w:rPr>
                <w:b/>
                <w:bCs/>
                <w:sz w:val="16"/>
                <w:szCs w:val="16"/>
              </w:rPr>
              <w:t>4.005</w:t>
            </w:r>
          </w:p>
        </w:tc>
        <w:tc>
          <w:tcPr>
            <w:tcW w:w="350" w:type="pct"/>
            <w:tcBorders>
              <w:top w:val="single" w:sz="4" w:space="0" w:color="BFBFBF" w:themeColor="background1" w:themeShade="BF"/>
              <w:bottom w:val="single" w:sz="4" w:space="0" w:color="BFBFBF" w:themeColor="background1" w:themeShade="BF"/>
              <w:right w:val="single" w:sz="4" w:space="0" w:color="BFBFBF" w:themeColor="background1" w:themeShade="BF"/>
            </w:tcBorders>
            <w:hideMark/>
          </w:tcPr>
          <w:p w:rsidR="00195BE7" w:rsidRPr="001E2F6E" w:rsidRDefault="00195BE7" w:rsidP="00195BE7">
            <w:pPr>
              <w:spacing w:line="240" w:lineRule="exact"/>
              <w:jc w:val="right"/>
              <w:rPr>
                <w:b/>
                <w:bCs/>
                <w:sz w:val="16"/>
                <w:szCs w:val="16"/>
              </w:rPr>
            </w:pPr>
            <w:r w:rsidRPr="001E2F6E">
              <w:rPr>
                <w:b/>
                <w:bCs/>
                <w:sz w:val="16"/>
                <w:szCs w:val="16"/>
              </w:rPr>
              <w:t>100</w:t>
            </w:r>
          </w:p>
        </w:tc>
        <w:tc>
          <w:tcPr>
            <w:tcW w:w="331" w:type="pct"/>
            <w:tcBorders>
              <w:top w:val="single" w:sz="4" w:space="0" w:color="BFBFBF" w:themeColor="background1" w:themeShade="BF"/>
              <w:left w:val="single" w:sz="4" w:space="0" w:color="BFBFBF" w:themeColor="background1" w:themeShade="BF"/>
              <w:bottom w:val="single" w:sz="4" w:space="0" w:color="BFBFBF" w:themeColor="background1" w:themeShade="BF"/>
            </w:tcBorders>
            <w:hideMark/>
          </w:tcPr>
          <w:p w:rsidR="00195BE7" w:rsidRPr="001E2F6E" w:rsidRDefault="00195BE7" w:rsidP="00195BE7">
            <w:pPr>
              <w:spacing w:line="240" w:lineRule="exact"/>
              <w:jc w:val="right"/>
              <w:rPr>
                <w:b/>
                <w:bCs/>
                <w:sz w:val="16"/>
                <w:szCs w:val="16"/>
              </w:rPr>
            </w:pPr>
            <w:r w:rsidRPr="001E2F6E">
              <w:rPr>
                <w:b/>
                <w:bCs/>
                <w:sz w:val="16"/>
                <w:szCs w:val="16"/>
              </w:rPr>
              <w:t>4.365</w:t>
            </w:r>
          </w:p>
        </w:tc>
        <w:tc>
          <w:tcPr>
            <w:tcW w:w="350" w:type="pct"/>
            <w:tcBorders>
              <w:top w:val="single" w:sz="4" w:space="0" w:color="BFBFBF" w:themeColor="background1" w:themeShade="BF"/>
              <w:bottom w:val="single" w:sz="4" w:space="0" w:color="BFBFBF" w:themeColor="background1" w:themeShade="BF"/>
              <w:right w:val="single" w:sz="4" w:space="0" w:color="BFBFBF" w:themeColor="background1" w:themeShade="BF"/>
            </w:tcBorders>
            <w:hideMark/>
          </w:tcPr>
          <w:p w:rsidR="00195BE7" w:rsidRPr="001E2F6E" w:rsidRDefault="00195BE7" w:rsidP="00195BE7">
            <w:pPr>
              <w:spacing w:line="240" w:lineRule="exact"/>
              <w:jc w:val="right"/>
              <w:rPr>
                <w:b/>
                <w:bCs/>
                <w:sz w:val="16"/>
                <w:szCs w:val="16"/>
              </w:rPr>
            </w:pPr>
            <w:r w:rsidRPr="001E2F6E">
              <w:rPr>
                <w:b/>
                <w:bCs/>
                <w:sz w:val="16"/>
                <w:szCs w:val="16"/>
              </w:rPr>
              <w:t>100</w:t>
            </w:r>
          </w:p>
        </w:tc>
        <w:tc>
          <w:tcPr>
            <w:tcW w:w="379" w:type="pct"/>
            <w:tcBorders>
              <w:top w:val="single" w:sz="4" w:space="0" w:color="BFBFBF" w:themeColor="background1" w:themeShade="BF"/>
              <w:left w:val="single" w:sz="4" w:space="0" w:color="BFBFBF" w:themeColor="background1" w:themeShade="BF"/>
              <w:bottom w:val="single" w:sz="4" w:space="0" w:color="BFBFBF" w:themeColor="background1" w:themeShade="BF"/>
            </w:tcBorders>
            <w:hideMark/>
          </w:tcPr>
          <w:p w:rsidR="00195BE7" w:rsidRPr="001E2F6E" w:rsidRDefault="00195BE7" w:rsidP="00195BE7">
            <w:pPr>
              <w:spacing w:line="240" w:lineRule="exact"/>
              <w:jc w:val="right"/>
              <w:rPr>
                <w:b/>
                <w:bCs/>
                <w:sz w:val="16"/>
                <w:szCs w:val="16"/>
              </w:rPr>
            </w:pPr>
            <w:r w:rsidRPr="001E2F6E">
              <w:rPr>
                <w:rFonts w:cs="Calibri"/>
                <w:b/>
                <w:bCs/>
                <w:sz w:val="16"/>
                <w:szCs w:val="16"/>
              </w:rPr>
              <w:t>3.823</w:t>
            </w:r>
          </w:p>
        </w:tc>
        <w:tc>
          <w:tcPr>
            <w:tcW w:w="350" w:type="pct"/>
            <w:tcBorders>
              <w:top w:val="single" w:sz="4" w:space="0" w:color="BFBFBF" w:themeColor="background1" w:themeShade="BF"/>
              <w:bottom w:val="single" w:sz="4" w:space="0" w:color="BFBFBF" w:themeColor="background1" w:themeShade="BF"/>
              <w:right w:val="single" w:sz="4" w:space="0" w:color="BFBFBF" w:themeColor="background1" w:themeShade="BF"/>
            </w:tcBorders>
            <w:hideMark/>
          </w:tcPr>
          <w:p w:rsidR="00195BE7" w:rsidRPr="001E2F6E" w:rsidRDefault="00195BE7" w:rsidP="00195BE7">
            <w:pPr>
              <w:spacing w:line="240" w:lineRule="exact"/>
              <w:jc w:val="right"/>
              <w:rPr>
                <w:b/>
                <w:bCs/>
                <w:sz w:val="16"/>
                <w:szCs w:val="16"/>
              </w:rPr>
            </w:pPr>
            <w:r w:rsidRPr="001E2F6E">
              <w:rPr>
                <w:b/>
                <w:bCs/>
                <w:sz w:val="16"/>
                <w:szCs w:val="16"/>
              </w:rPr>
              <w:t>100,0</w:t>
            </w:r>
          </w:p>
        </w:tc>
        <w:tc>
          <w:tcPr>
            <w:tcW w:w="379" w:type="pct"/>
            <w:tcBorders>
              <w:top w:val="single" w:sz="4" w:space="0" w:color="BFBFBF" w:themeColor="background1" w:themeShade="BF"/>
              <w:left w:val="single" w:sz="4" w:space="0" w:color="BFBFBF" w:themeColor="background1" w:themeShade="BF"/>
              <w:bottom w:val="single" w:sz="4" w:space="0" w:color="BFBFBF" w:themeColor="background1" w:themeShade="BF"/>
            </w:tcBorders>
            <w:hideMark/>
          </w:tcPr>
          <w:p w:rsidR="00195BE7" w:rsidRPr="001E2F6E" w:rsidRDefault="00195BE7" w:rsidP="00195BE7">
            <w:pPr>
              <w:spacing w:line="240" w:lineRule="exact"/>
              <w:jc w:val="right"/>
              <w:rPr>
                <w:b/>
                <w:bCs/>
                <w:sz w:val="16"/>
                <w:szCs w:val="16"/>
              </w:rPr>
            </w:pPr>
            <w:r w:rsidRPr="001E2F6E">
              <w:rPr>
                <w:b/>
                <w:bCs/>
                <w:sz w:val="16"/>
                <w:szCs w:val="16"/>
              </w:rPr>
              <w:t>11.720</w:t>
            </w:r>
          </w:p>
        </w:tc>
        <w:tc>
          <w:tcPr>
            <w:tcW w:w="350" w:type="pct"/>
            <w:tcBorders>
              <w:top w:val="single" w:sz="4" w:space="0" w:color="BFBFBF" w:themeColor="background1" w:themeShade="BF"/>
              <w:bottom w:val="single" w:sz="4" w:space="0" w:color="BFBFBF" w:themeColor="background1" w:themeShade="BF"/>
              <w:right w:val="single" w:sz="4" w:space="0" w:color="BFBFBF" w:themeColor="background1" w:themeShade="BF"/>
            </w:tcBorders>
            <w:hideMark/>
          </w:tcPr>
          <w:p w:rsidR="00195BE7" w:rsidRPr="001E2F6E" w:rsidRDefault="00195BE7" w:rsidP="00195BE7">
            <w:pPr>
              <w:spacing w:line="240" w:lineRule="exact"/>
              <w:jc w:val="right"/>
              <w:rPr>
                <w:b/>
                <w:bCs/>
                <w:sz w:val="16"/>
                <w:szCs w:val="16"/>
              </w:rPr>
            </w:pPr>
            <w:r w:rsidRPr="001E2F6E">
              <w:rPr>
                <w:b/>
                <w:bCs/>
                <w:sz w:val="16"/>
                <w:szCs w:val="16"/>
              </w:rPr>
              <w:t>100</w:t>
            </w:r>
          </w:p>
        </w:tc>
        <w:tc>
          <w:tcPr>
            <w:tcW w:w="379" w:type="pct"/>
            <w:tcBorders>
              <w:top w:val="single" w:sz="4" w:space="0" w:color="BFBFBF" w:themeColor="background1" w:themeShade="BF"/>
              <w:left w:val="single" w:sz="4" w:space="0" w:color="BFBFBF" w:themeColor="background1" w:themeShade="BF"/>
              <w:bottom w:val="single" w:sz="4" w:space="0" w:color="BFBFBF" w:themeColor="background1" w:themeShade="BF"/>
            </w:tcBorders>
            <w:hideMark/>
          </w:tcPr>
          <w:p w:rsidR="00195BE7" w:rsidRPr="001E2F6E" w:rsidRDefault="00195BE7" w:rsidP="00195BE7">
            <w:pPr>
              <w:spacing w:line="240" w:lineRule="exact"/>
              <w:jc w:val="right"/>
              <w:rPr>
                <w:b/>
                <w:bCs/>
                <w:sz w:val="16"/>
                <w:szCs w:val="16"/>
              </w:rPr>
            </w:pPr>
            <w:r w:rsidRPr="001E2F6E">
              <w:rPr>
                <w:rFonts w:cs="Calibri"/>
                <w:b/>
                <w:bCs/>
                <w:sz w:val="16"/>
                <w:szCs w:val="16"/>
              </w:rPr>
              <w:t>7.828</w:t>
            </w:r>
          </w:p>
        </w:tc>
        <w:tc>
          <w:tcPr>
            <w:tcW w:w="350" w:type="pct"/>
            <w:tcBorders>
              <w:top w:val="single" w:sz="4" w:space="0" w:color="BFBFBF" w:themeColor="background1" w:themeShade="BF"/>
              <w:bottom w:val="single" w:sz="4" w:space="0" w:color="BFBFBF" w:themeColor="background1" w:themeShade="BF"/>
            </w:tcBorders>
            <w:hideMark/>
          </w:tcPr>
          <w:p w:rsidR="00195BE7" w:rsidRPr="001E2F6E" w:rsidRDefault="00195BE7" w:rsidP="00195BE7">
            <w:pPr>
              <w:spacing w:line="240" w:lineRule="exact"/>
              <w:jc w:val="right"/>
              <w:rPr>
                <w:b/>
                <w:bCs/>
                <w:sz w:val="16"/>
                <w:szCs w:val="16"/>
              </w:rPr>
            </w:pPr>
            <w:r w:rsidRPr="001E2F6E">
              <w:rPr>
                <w:b/>
                <w:bCs/>
                <w:sz w:val="16"/>
                <w:szCs w:val="16"/>
              </w:rPr>
              <w:t>100</w:t>
            </w:r>
          </w:p>
        </w:tc>
      </w:tr>
    </w:tbl>
    <w:p w:rsidR="00195BE7" w:rsidRPr="001E2F6E" w:rsidRDefault="00195BE7" w:rsidP="00195BE7">
      <w:pPr>
        <w:ind w:left="709" w:hanging="709"/>
      </w:pPr>
    </w:p>
    <w:p w:rsidR="00195BE7" w:rsidRPr="001E2F6E" w:rsidRDefault="00195BE7" w:rsidP="00195BE7">
      <w:pPr>
        <w:ind w:left="709" w:hanging="709"/>
      </w:pPr>
    </w:p>
    <w:p w:rsidR="00195BE7" w:rsidRPr="001E2F6E" w:rsidRDefault="00195BE7" w:rsidP="00195BE7">
      <w:pPr>
        <w:ind w:left="709" w:hanging="709"/>
      </w:pPr>
    </w:p>
    <w:p w:rsidR="00195BE7" w:rsidRPr="001E2F6E" w:rsidRDefault="00195BE7" w:rsidP="00195BE7">
      <w:pPr>
        <w:pStyle w:val="Ttulo1"/>
        <w:ind w:left="708" w:hanging="708"/>
        <w:rPr>
          <w:color w:val="1F497D" w:themeColor="text2"/>
          <w:sz w:val="22"/>
          <w:szCs w:val="22"/>
        </w:rPr>
      </w:pPr>
      <w:bookmarkStart w:id="128" w:name="_Toc391989015"/>
      <w:bookmarkStart w:id="129" w:name="_Toc392585678"/>
      <w:r w:rsidRPr="001E2F6E">
        <w:rPr>
          <w:color w:val="1F497D" w:themeColor="text2"/>
          <w:sz w:val="22"/>
          <w:szCs w:val="22"/>
        </w:rPr>
        <w:t>2.2.-</w:t>
      </w:r>
      <w:r w:rsidRPr="001E2F6E">
        <w:rPr>
          <w:color w:val="1F497D" w:themeColor="text2"/>
          <w:sz w:val="22"/>
          <w:szCs w:val="22"/>
        </w:rPr>
        <w:tab/>
      </w:r>
      <w:r w:rsidRPr="001E2F6E">
        <w:rPr>
          <w:color w:val="1F497D" w:themeColor="text2"/>
          <w:sz w:val="22"/>
          <w:szCs w:val="22"/>
          <w:lang w:val="eu-ES"/>
        </w:rPr>
        <w:t>BEGd-a ETA PRODUKTIBITATE ANTZEMANGARRIA</w:t>
      </w:r>
      <w:bookmarkEnd w:id="128"/>
      <w:bookmarkEnd w:id="129"/>
    </w:p>
    <w:p w:rsidR="00195BE7" w:rsidRPr="001E2F6E" w:rsidRDefault="00195BE7" w:rsidP="00195BE7"/>
    <w:p w:rsidR="00195BE7" w:rsidRPr="001E2F6E" w:rsidRDefault="00195BE7" w:rsidP="00195BE7">
      <w:pPr>
        <w:spacing w:line="240" w:lineRule="auto"/>
        <w:jc w:val="center"/>
        <w:rPr>
          <w:b/>
          <w:color w:val="1F497D" w:themeColor="text2"/>
          <w:sz w:val="18"/>
          <w:szCs w:val="18"/>
        </w:rPr>
      </w:pPr>
      <w:bookmarkStart w:id="130" w:name="_Toc391989103"/>
      <w:bookmarkStart w:id="131" w:name="_Toc392585768"/>
      <w:r w:rsidRPr="001E2F6E">
        <w:rPr>
          <w:b/>
          <w:color w:val="1F497D" w:themeColor="text2"/>
          <w:sz w:val="18"/>
          <w:szCs w:val="18"/>
        </w:rPr>
        <w:t>1.</w:t>
      </w:r>
      <w:r w:rsidR="00EB6BA6" w:rsidRPr="001E2F6E">
        <w:rPr>
          <w:b/>
          <w:color w:val="1F497D" w:themeColor="text2"/>
          <w:sz w:val="18"/>
          <w:szCs w:val="18"/>
        </w:rPr>
        <w:fldChar w:fldCharType="begin"/>
      </w:r>
      <w:r w:rsidRPr="001E2F6E">
        <w:rPr>
          <w:b/>
          <w:color w:val="1F497D" w:themeColor="text2"/>
          <w:sz w:val="18"/>
          <w:szCs w:val="18"/>
        </w:rPr>
        <w:instrText xml:space="preserve"> SEQ Cuadro_1. \* ARABIC </w:instrText>
      </w:r>
      <w:r w:rsidR="00EB6BA6" w:rsidRPr="001E2F6E">
        <w:rPr>
          <w:b/>
          <w:color w:val="1F497D" w:themeColor="text2"/>
          <w:sz w:val="18"/>
          <w:szCs w:val="18"/>
        </w:rPr>
        <w:fldChar w:fldCharType="separate"/>
      </w:r>
      <w:r w:rsidR="00A327D4">
        <w:rPr>
          <w:b/>
          <w:noProof/>
          <w:color w:val="1F497D" w:themeColor="text2"/>
          <w:sz w:val="18"/>
          <w:szCs w:val="18"/>
        </w:rPr>
        <w:t>33</w:t>
      </w:r>
      <w:r w:rsidR="00EB6BA6" w:rsidRPr="001E2F6E">
        <w:rPr>
          <w:b/>
          <w:color w:val="1F497D" w:themeColor="text2"/>
          <w:sz w:val="18"/>
          <w:szCs w:val="18"/>
        </w:rPr>
        <w:fldChar w:fldCharType="end"/>
      </w:r>
      <w:r w:rsidRPr="001E2F6E">
        <w:rPr>
          <w:b/>
          <w:color w:val="1F497D" w:themeColor="text2"/>
          <w:sz w:val="18"/>
          <w:szCs w:val="18"/>
        </w:rPr>
        <w:t xml:space="preserve"> Taula GIZARTE-EKONOMIAK SORTUTAKO BALIO ERANTSI GORDINAREN (BEGd) BANAKETA, FORMA JURIDIKOAREN ARABERA. KONPARAZIOZKO ERREFERENTZIA 2010 eta 2012. (zifra absolutuak euro kopurua milakoan, %ber.) (Ohiko prezioak)</w:t>
      </w:r>
      <w:bookmarkEnd w:id="130"/>
      <w:bookmarkEnd w:id="131"/>
    </w:p>
    <w:tbl>
      <w:tblPr>
        <w:tblW w:w="5000" w:type="pct"/>
        <w:jc w:val="center"/>
        <w:tblLook w:val="04A0" w:firstRow="1" w:lastRow="0" w:firstColumn="1" w:lastColumn="0" w:noHBand="0" w:noVBand="1"/>
      </w:tblPr>
      <w:tblGrid>
        <w:gridCol w:w="2190"/>
        <w:gridCol w:w="1853"/>
        <w:gridCol w:w="1435"/>
        <w:gridCol w:w="1853"/>
        <w:gridCol w:w="1673"/>
      </w:tblGrid>
      <w:tr w:rsidR="00195BE7" w:rsidRPr="001E2F6E" w:rsidTr="00195BE7">
        <w:trPr>
          <w:jc w:val="center"/>
        </w:trPr>
        <w:tc>
          <w:tcPr>
            <w:tcW w:w="1216" w:type="pct"/>
            <w:tcBorders>
              <w:top w:val="single" w:sz="4" w:space="0" w:color="BFBFBF" w:themeColor="background1" w:themeShade="BF"/>
              <w:right w:val="single" w:sz="4" w:space="0" w:color="BFBFBF" w:themeColor="background1" w:themeShade="BF"/>
            </w:tcBorders>
            <w:shd w:val="clear" w:color="auto" w:fill="DBE5F1" w:themeFill="accent1" w:themeFillTint="33"/>
            <w:vAlign w:val="center"/>
            <w:hideMark/>
          </w:tcPr>
          <w:p w:rsidR="00195BE7" w:rsidRPr="001E2F6E" w:rsidRDefault="00195BE7" w:rsidP="00195BE7">
            <w:pPr>
              <w:spacing w:line="240" w:lineRule="exact"/>
              <w:jc w:val="center"/>
              <w:rPr>
                <w:b/>
                <w:bCs/>
                <w:sz w:val="16"/>
                <w:szCs w:val="16"/>
              </w:rPr>
            </w:pPr>
          </w:p>
        </w:tc>
        <w:tc>
          <w:tcPr>
            <w:tcW w:w="1826"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hideMark/>
          </w:tcPr>
          <w:p w:rsidR="00195BE7" w:rsidRPr="001E2F6E" w:rsidRDefault="00195BE7" w:rsidP="00195BE7">
            <w:pPr>
              <w:spacing w:line="240" w:lineRule="exact"/>
              <w:jc w:val="center"/>
              <w:rPr>
                <w:b/>
                <w:bCs/>
                <w:sz w:val="16"/>
                <w:szCs w:val="16"/>
              </w:rPr>
            </w:pPr>
            <w:r w:rsidRPr="001E2F6E">
              <w:rPr>
                <w:b/>
                <w:bCs/>
                <w:sz w:val="16"/>
                <w:szCs w:val="16"/>
                <w:lang w:val="pt-BR"/>
              </w:rPr>
              <w:t>2010</w:t>
            </w:r>
          </w:p>
        </w:tc>
        <w:tc>
          <w:tcPr>
            <w:tcW w:w="1958"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hideMark/>
          </w:tcPr>
          <w:p w:rsidR="00195BE7" w:rsidRPr="001E2F6E" w:rsidRDefault="00195BE7" w:rsidP="00195BE7">
            <w:pPr>
              <w:spacing w:line="240" w:lineRule="exact"/>
              <w:jc w:val="center"/>
              <w:rPr>
                <w:b/>
                <w:bCs/>
                <w:sz w:val="16"/>
                <w:szCs w:val="16"/>
              </w:rPr>
            </w:pPr>
            <w:r w:rsidRPr="001E2F6E">
              <w:rPr>
                <w:b/>
                <w:bCs/>
                <w:sz w:val="16"/>
                <w:szCs w:val="16"/>
                <w:lang w:val="pt-BR"/>
              </w:rPr>
              <w:t>2012</w:t>
            </w:r>
          </w:p>
        </w:tc>
      </w:tr>
      <w:tr w:rsidR="00195BE7" w:rsidRPr="001E2F6E" w:rsidTr="00195BE7">
        <w:trPr>
          <w:jc w:val="center"/>
        </w:trPr>
        <w:tc>
          <w:tcPr>
            <w:tcW w:w="1216" w:type="pct"/>
            <w:tcBorders>
              <w:bottom w:val="single" w:sz="4" w:space="0" w:color="BFBFBF" w:themeColor="background1" w:themeShade="BF"/>
              <w:right w:val="single" w:sz="4" w:space="0" w:color="BFBFBF" w:themeColor="background1" w:themeShade="BF"/>
            </w:tcBorders>
            <w:shd w:val="clear" w:color="auto" w:fill="DBE5F1" w:themeFill="accent1" w:themeFillTint="33"/>
            <w:vAlign w:val="center"/>
            <w:hideMark/>
          </w:tcPr>
          <w:p w:rsidR="00195BE7" w:rsidRPr="001E2F6E" w:rsidRDefault="00195BE7" w:rsidP="00195BE7">
            <w:pPr>
              <w:spacing w:line="240" w:lineRule="exact"/>
              <w:jc w:val="center"/>
              <w:rPr>
                <w:sz w:val="16"/>
                <w:szCs w:val="16"/>
              </w:rPr>
            </w:pPr>
          </w:p>
        </w:tc>
        <w:tc>
          <w:tcPr>
            <w:tcW w:w="1029"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vAlign w:val="center"/>
            <w:hideMark/>
          </w:tcPr>
          <w:p w:rsidR="00195BE7" w:rsidRPr="001E2F6E" w:rsidRDefault="00195BE7" w:rsidP="00195BE7">
            <w:pPr>
              <w:spacing w:line="240" w:lineRule="exact"/>
              <w:jc w:val="center"/>
              <w:rPr>
                <w:b/>
                <w:bCs/>
                <w:sz w:val="16"/>
                <w:szCs w:val="16"/>
              </w:rPr>
            </w:pPr>
            <w:r w:rsidRPr="001E2F6E">
              <w:rPr>
                <w:b/>
                <w:bCs/>
                <w:sz w:val="16"/>
                <w:szCs w:val="16"/>
                <w:lang w:val="pt-BR"/>
              </w:rPr>
              <w:t>z.a.</w:t>
            </w:r>
          </w:p>
        </w:tc>
        <w:tc>
          <w:tcPr>
            <w:tcW w:w="797"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hideMark/>
          </w:tcPr>
          <w:p w:rsidR="00195BE7" w:rsidRPr="001E2F6E" w:rsidRDefault="00195BE7" w:rsidP="00195BE7">
            <w:pPr>
              <w:spacing w:line="240" w:lineRule="exact"/>
              <w:jc w:val="center"/>
              <w:rPr>
                <w:b/>
                <w:bCs/>
                <w:sz w:val="16"/>
                <w:szCs w:val="16"/>
              </w:rPr>
            </w:pPr>
            <w:r w:rsidRPr="001E2F6E">
              <w:rPr>
                <w:b/>
                <w:bCs/>
                <w:sz w:val="16"/>
                <w:szCs w:val="16"/>
                <w:lang w:val="pt-BR"/>
              </w:rPr>
              <w:t>%ber.</w:t>
            </w:r>
          </w:p>
        </w:tc>
        <w:tc>
          <w:tcPr>
            <w:tcW w:w="1029"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vAlign w:val="center"/>
            <w:hideMark/>
          </w:tcPr>
          <w:p w:rsidR="00195BE7" w:rsidRPr="001E2F6E" w:rsidRDefault="00195BE7" w:rsidP="00195BE7">
            <w:pPr>
              <w:spacing w:line="240" w:lineRule="exact"/>
              <w:jc w:val="center"/>
              <w:rPr>
                <w:b/>
                <w:bCs/>
                <w:sz w:val="16"/>
                <w:szCs w:val="16"/>
              </w:rPr>
            </w:pPr>
            <w:r w:rsidRPr="001E2F6E">
              <w:rPr>
                <w:b/>
                <w:bCs/>
                <w:sz w:val="16"/>
                <w:szCs w:val="16"/>
                <w:lang w:val="pt-BR"/>
              </w:rPr>
              <w:t>z.a.</w:t>
            </w:r>
          </w:p>
        </w:tc>
        <w:tc>
          <w:tcPr>
            <w:tcW w:w="929"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hideMark/>
          </w:tcPr>
          <w:p w:rsidR="00195BE7" w:rsidRPr="001E2F6E" w:rsidRDefault="00195BE7" w:rsidP="00195BE7">
            <w:pPr>
              <w:spacing w:line="240" w:lineRule="exact"/>
              <w:jc w:val="center"/>
              <w:rPr>
                <w:b/>
                <w:bCs/>
                <w:sz w:val="16"/>
                <w:szCs w:val="16"/>
              </w:rPr>
            </w:pPr>
            <w:r w:rsidRPr="001E2F6E">
              <w:rPr>
                <w:b/>
                <w:bCs/>
                <w:sz w:val="16"/>
                <w:szCs w:val="16"/>
                <w:lang w:val="pt-BR"/>
              </w:rPr>
              <w:t>%ber.</w:t>
            </w:r>
          </w:p>
        </w:tc>
      </w:tr>
      <w:tr w:rsidR="00195BE7" w:rsidRPr="001E2F6E" w:rsidTr="00195BE7">
        <w:trPr>
          <w:jc w:val="center"/>
        </w:trPr>
        <w:tc>
          <w:tcPr>
            <w:tcW w:w="1216" w:type="pct"/>
            <w:tcBorders>
              <w:top w:val="single" w:sz="4" w:space="0" w:color="BFBFBF" w:themeColor="background1" w:themeShade="BF"/>
              <w:right w:val="single" w:sz="4" w:space="0" w:color="BFBFBF" w:themeColor="background1" w:themeShade="BF"/>
            </w:tcBorders>
            <w:hideMark/>
          </w:tcPr>
          <w:p w:rsidR="00195BE7" w:rsidRPr="001E2F6E" w:rsidRDefault="00195BE7" w:rsidP="00195BE7">
            <w:pPr>
              <w:spacing w:line="240" w:lineRule="exact"/>
              <w:rPr>
                <w:sz w:val="16"/>
                <w:szCs w:val="16"/>
                <w:lang w:val="eu-ES"/>
              </w:rPr>
            </w:pPr>
            <w:r w:rsidRPr="001E2F6E">
              <w:rPr>
                <w:sz w:val="16"/>
                <w:szCs w:val="16"/>
                <w:lang w:val="eu-ES"/>
              </w:rPr>
              <w:t>Kooperatibak</w:t>
            </w:r>
          </w:p>
        </w:tc>
        <w:tc>
          <w:tcPr>
            <w:tcW w:w="1029" w:type="pct"/>
            <w:tcBorders>
              <w:top w:val="single" w:sz="4" w:space="0" w:color="BFBFBF" w:themeColor="background1" w:themeShade="BF"/>
              <w:left w:val="single" w:sz="4" w:space="0" w:color="BFBFBF" w:themeColor="background1" w:themeShade="BF"/>
            </w:tcBorders>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2.476.439</w:t>
            </w:r>
          </w:p>
        </w:tc>
        <w:tc>
          <w:tcPr>
            <w:tcW w:w="797" w:type="pct"/>
            <w:tcBorders>
              <w:top w:val="single" w:sz="4" w:space="0" w:color="BFBFBF" w:themeColor="background1" w:themeShade="BF"/>
              <w:right w:val="single" w:sz="4" w:space="0" w:color="BFBFBF" w:themeColor="background1" w:themeShade="BF"/>
            </w:tcBorders>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87,7</w:t>
            </w:r>
          </w:p>
        </w:tc>
        <w:tc>
          <w:tcPr>
            <w:tcW w:w="1029" w:type="pct"/>
            <w:tcBorders>
              <w:top w:val="single" w:sz="4" w:space="0" w:color="BFBFBF" w:themeColor="background1" w:themeShade="BF"/>
              <w:left w:val="single" w:sz="4" w:space="0" w:color="BFBFBF" w:themeColor="background1" w:themeShade="BF"/>
            </w:tcBorders>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2.394.313</w:t>
            </w:r>
          </w:p>
        </w:tc>
        <w:tc>
          <w:tcPr>
            <w:tcW w:w="929" w:type="pct"/>
            <w:tcBorders>
              <w:top w:val="single" w:sz="4" w:space="0" w:color="BFBFBF" w:themeColor="background1" w:themeShade="BF"/>
              <w:right w:val="single" w:sz="4" w:space="0" w:color="BFBFBF" w:themeColor="background1" w:themeShade="BF"/>
            </w:tcBorders>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90,6</w:t>
            </w:r>
          </w:p>
        </w:tc>
      </w:tr>
      <w:tr w:rsidR="00195BE7" w:rsidRPr="001E2F6E" w:rsidTr="00195BE7">
        <w:trPr>
          <w:jc w:val="center"/>
        </w:trPr>
        <w:tc>
          <w:tcPr>
            <w:tcW w:w="1216" w:type="pct"/>
            <w:tcBorders>
              <w:right w:val="single" w:sz="4" w:space="0" w:color="BFBFBF" w:themeColor="background1" w:themeShade="BF"/>
            </w:tcBorders>
            <w:hideMark/>
          </w:tcPr>
          <w:p w:rsidR="00195BE7" w:rsidRPr="001E2F6E" w:rsidRDefault="00195BE7" w:rsidP="00195BE7">
            <w:pPr>
              <w:spacing w:line="240" w:lineRule="exact"/>
              <w:rPr>
                <w:sz w:val="16"/>
                <w:szCs w:val="16"/>
                <w:lang w:val="eu-ES"/>
              </w:rPr>
            </w:pPr>
            <w:r w:rsidRPr="001E2F6E">
              <w:rPr>
                <w:sz w:val="16"/>
                <w:szCs w:val="16"/>
                <w:lang w:val="eu-ES"/>
              </w:rPr>
              <w:t>LS motakoak</w:t>
            </w:r>
          </w:p>
        </w:tc>
        <w:tc>
          <w:tcPr>
            <w:tcW w:w="1029" w:type="pct"/>
            <w:tcBorders>
              <w:left w:val="single" w:sz="4" w:space="0" w:color="BFBFBF" w:themeColor="background1" w:themeShade="BF"/>
            </w:tcBorders>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347.118</w:t>
            </w:r>
          </w:p>
        </w:tc>
        <w:tc>
          <w:tcPr>
            <w:tcW w:w="797" w:type="pct"/>
            <w:tcBorders>
              <w:right w:val="single" w:sz="4" w:space="0" w:color="BFBFBF" w:themeColor="background1" w:themeShade="BF"/>
            </w:tcBorders>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12,3</w:t>
            </w:r>
          </w:p>
        </w:tc>
        <w:tc>
          <w:tcPr>
            <w:tcW w:w="1029" w:type="pct"/>
            <w:tcBorders>
              <w:left w:val="single" w:sz="4" w:space="0" w:color="BFBFBF" w:themeColor="background1" w:themeShade="BF"/>
            </w:tcBorders>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249.062</w:t>
            </w:r>
          </w:p>
        </w:tc>
        <w:tc>
          <w:tcPr>
            <w:tcW w:w="929" w:type="pct"/>
            <w:tcBorders>
              <w:right w:val="single" w:sz="4" w:space="0" w:color="BFBFBF" w:themeColor="background1" w:themeShade="BF"/>
            </w:tcBorders>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9,4</w:t>
            </w:r>
          </w:p>
        </w:tc>
      </w:tr>
      <w:tr w:rsidR="00195BE7" w:rsidRPr="001E2F6E" w:rsidTr="00195BE7">
        <w:trPr>
          <w:jc w:val="center"/>
        </w:trPr>
        <w:tc>
          <w:tcPr>
            <w:tcW w:w="1216" w:type="pct"/>
            <w:tcBorders>
              <w:right w:val="single" w:sz="4" w:space="0" w:color="BFBFBF" w:themeColor="background1" w:themeShade="BF"/>
            </w:tcBorders>
            <w:hideMark/>
          </w:tcPr>
          <w:p w:rsidR="00195BE7" w:rsidRPr="001E2F6E" w:rsidRDefault="00195BE7" w:rsidP="00195BE7">
            <w:pPr>
              <w:spacing w:line="240" w:lineRule="exact"/>
              <w:rPr>
                <w:sz w:val="16"/>
                <w:szCs w:val="16"/>
              </w:rPr>
            </w:pPr>
            <w:r w:rsidRPr="001E2F6E">
              <w:rPr>
                <w:sz w:val="16"/>
                <w:szCs w:val="16"/>
              </w:rPr>
              <w:t xml:space="preserve">  LSA</w:t>
            </w:r>
          </w:p>
        </w:tc>
        <w:tc>
          <w:tcPr>
            <w:tcW w:w="1029" w:type="pct"/>
            <w:tcBorders>
              <w:left w:val="single" w:sz="4" w:space="0" w:color="BFBFBF" w:themeColor="background1" w:themeShade="BF"/>
            </w:tcBorders>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235.554</w:t>
            </w:r>
          </w:p>
        </w:tc>
        <w:tc>
          <w:tcPr>
            <w:tcW w:w="797" w:type="pct"/>
            <w:tcBorders>
              <w:right w:val="single" w:sz="4" w:space="0" w:color="BFBFBF" w:themeColor="background1" w:themeShade="BF"/>
            </w:tcBorders>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8,3</w:t>
            </w:r>
          </w:p>
        </w:tc>
        <w:tc>
          <w:tcPr>
            <w:tcW w:w="1029" w:type="pct"/>
            <w:tcBorders>
              <w:left w:val="single" w:sz="4" w:space="0" w:color="BFBFBF" w:themeColor="background1" w:themeShade="BF"/>
            </w:tcBorders>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146.716</w:t>
            </w:r>
          </w:p>
        </w:tc>
        <w:tc>
          <w:tcPr>
            <w:tcW w:w="929" w:type="pct"/>
            <w:tcBorders>
              <w:right w:val="single" w:sz="4" w:space="0" w:color="BFBFBF" w:themeColor="background1" w:themeShade="BF"/>
            </w:tcBorders>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5,6</w:t>
            </w:r>
          </w:p>
        </w:tc>
      </w:tr>
      <w:tr w:rsidR="00195BE7" w:rsidRPr="001E2F6E" w:rsidTr="00195BE7">
        <w:trPr>
          <w:jc w:val="center"/>
        </w:trPr>
        <w:tc>
          <w:tcPr>
            <w:tcW w:w="1216" w:type="pct"/>
            <w:tcBorders>
              <w:bottom w:val="single" w:sz="4" w:space="0" w:color="BFBFBF" w:themeColor="background1" w:themeShade="BF"/>
              <w:right w:val="single" w:sz="4" w:space="0" w:color="BFBFBF" w:themeColor="background1" w:themeShade="BF"/>
            </w:tcBorders>
            <w:hideMark/>
          </w:tcPr>
          <w:p w:rsidR="00195BE7" w:rsidRPr="001E2F6E" w:rsidRDefault="00195BE7" w:rsidP="00195BE7">
            <w:pPr>
              <w:spacing w:line="240" w:lineRule="exact"/>
              <w:rPr>
                <w:sz w:val="16"/>
                <w:szCs w:val="16"/>
              </w:rPr>
            </w:pPr>
            <w:r w:rsidRPr="001E2F6E">
              <w:rPr>
                <w:sz w:val="16"/>
                <w:szCs w:val="16"/>
              </w:rPr>
              <w:t xml:space="preserve">  LSM</w:t>
            </w:r>
          </w:p>
        </w:tc>
        <w:tc>
          <w:tcPr>
            <w:tcW w:w="1029" w:type="pct"/>
            <w:tcBorders>
              <w:left w:val="single" w:sz="4" w:space="0" w:color="BFBFBF" w:themeColor="background1" w:themeShade="BF"/>
              <w:bottom w:val="single" w:sz="4" w:space="0" w:color="BFBFBF" w:themeColor="background1" w:themeShade="BF"/>
            </w:tcBorders>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111.564</w:t>
            </w:r>
          </w:p>
        </w:tc>
        <w:tc>
          <w:tcPr>
            <w:tcW w:w="797" w:type="pct"/>
            <w:tcBorders>
              <w:bottom w:val="single" w:sz="4" w:space="0" w:color="BFBFBF" w:themeColor="background1" w:themeShade="BF"/>
              <w:right w:val="single" w:sz="4" w:space="0" w:color="BFBFBF" w:themeColor="background1" w:themeShade="BF"/>
            </w:tcBorders>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4</w:t>
            </w:r>
          </w:p>
        </w:tc>
        <w:tc>
          <w:tcPr>
            <w:tcW w:w="1029" w:type="pct"/>
            <w:tcBorders>
              <w:left w:val="single" w:sz="4" w:space="0" w:color="BFBFBF" w:themeColor="background1" w:themeShade="BF"/>
              <w:bottom w:val="single" w:sz="4" w:space="0" w:color="BFBFBF" w:themeColor="background1" w:themeShade="BF"/>
            </w:tcBorders>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102.346</w:t>
            </w:r>
          </w:p>
        </w:tc>
        <w:tc>
          <w:tcPr>
            <w:tcW w:w="929" w:type="pct"/>
            <w:tcBorders>
              <w:bottom w:val="single" w:sz="4" w:space="0" w:color="BFBFBF" w:themeColor="background1" w:themeShade="BF"/>
              <w:right w:val="single" w:sz="4" w:space="0" w:color="BFBFBF" w:themeColor="background1" w:themeShade="BF"/>
            </w:tcBorders>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3,9</w:t>
            </w:r>
          </w:p>
        </w:tc>
      </w:tr>
      <w:tr w:rsidR="00195BE7" w:rsidRPr="001E2F6E" w:rsidTr="00195BE7">
        <w:trPr>
          <w:jc w:val="center"/>
        </w:trPr>
        <w:tc>
          <w:tcPr>
            <w:tcW w:w="1216" w:type="pct"/>
            <w:tcBorders>
              <w:top w:val="single" w:sz="4" w:space="0" w:color="BFBFBF" w:themeColor="background1" w:themeShade="BF"/>
              <w:bottom w:val="single" w:sz="4" w:space="0" w:color="BFBFBF" w:themeColor="background1" w:themeShade="BF"/>
              <w:right w:val="single" w:sz="4" w:space="0" w:color="BFBFBF" w:themeColor="background1" w:themeShade="BF"/>
            </w:tcBorders>
            <w:hideMark/>
          </w:tcPr>
          <w:p w:rsidR="00195BE7" w:rsidRPr="001E2F6E" w:rsidRDefault="00195BE7" w:rsidP="00195BE7">
            <w:pPr>
              <w:spacing w:line="240" w:lineRule="exact"/>
              <w:rPr>
                <w:rFonts w:eastAsia="Times New Roman"/>
                <w:b/>
                <w:bCs/>
                <w:color w:val="000000"/>
                <w:sz w:val="16"/>
                <w:szCs w:val="16"/>
                <w:lang w:eastAsia="es-ES"/>
              </w:rPr>
            </w:pPr>
            <w:r w:rsidRPr="001E2F6E">
              <w:rPr>
                <w:rFonts w:eastAsia="Times New Roman"/>
                <w:b/>
                <w:bCs/>
                <w:color w:val="000000"/>
                <w:sz w:val="16"/>
                <w:lang w:eastAsia="es-ES"/>
              </w:rPr>
              <w:t>GUZTIRA</w:t>
            </w:r>
          </w:p>
        </w:tc>
        <w:tc>
          <w:tcPr>
            <w:tcW w:w="1029" w:type="pct"/>
            <w:tcBorders>
              <w:top w:val="single" w:sz="4" w:space="0" w:color="BFBFBF" w:themeColor="background1" w:themeShade="BF"/>
              <w:left w:val="single" w:sz="4" w:space="0" w:color="BFBFBF" w:themeColor="background1" w:themeShade="BF"/>
              <w:bottom w:val="single" w:sz="4" w:space="0" w:color="BFBFBF" w:themeColor="background1" w:themeShade="BF"/>
            </w:tcBorders>
            <w:hideMark/>
          </w:tcPr>
          <w:p w:rsidR="00195BE7" w:rsidRPr="001E2F6E" w:rsidRDefault="00195BE7" w:rsidP="00195BE7">
            <w:pPr>
              <w:spacing w:line="240" w:lineRule="exact"/>
              <w:ind w:right="170"/>
              <w:jc w:val="right"/>
              <w:rPr>
                <w:b/>
                <w:bCs/>
                <w:color w:val="000000"/>
                <w:sz w:val="16"/>
                <w:szCs w:val="16"/>
              </w:rPr>
            </w:pPr>
            <w:r w:rsidRPr="001E2F6E">
              <w:rPr>
                <w:b/>
                <w:bCs/>
                <w:color w:val="000000"/>
                <w:sz w:val="16"/>
                <w:szCs w:val="16"/>
              </w:rPr>
              <w:t>2.823.557</w:t>
            </w:r>
          </w:p>
        </w:tc>
        <w:tc>
          <w:tcPr>
            <w:tcW w:w="797" w:type="pct"/>
            <w:tcBorders>
              <w:top w:val="single" w:sz="4" w:space="0" w:color="BFBFBF" w:themeColor="background1" w:themeShade="BF"/>
              <w:bottom w:val="single" w:sz="4" w:space="0" w:color="BFBFBF" w:themeColor="background1" w:themeShade="BF"/>
              <w:right w:val="single" w:sz="4" w:space="0" w:color="BFBFBF" w:themeColor="background1" w:themeShade="BF"/>
            </w:tcBorders>
            <w:hideMark/>
          </w:tcPr>
          <w:p w:rsidR="00195BE7" w:rsidRPr="001E2F6E" w:rsidRDefault="00195BE7" w:rsidP="00195BE7">
            <w:pPr>
              <w:spacing w:line="240" w:lineRule="exact"/>
              <w:ind w:right="170"/>
              <w:jc w:val="right"/>
              <w:rPr>
                <w:b/>
                <w:bCs/>
                <w:color w:val="000000"/>
                <w:sz w:val="16"/>
                <w:szCs w:val="16"/>
              </w:rPr>
            </w:pPr>
            <w:r w:rsidRPr="001E2F6E">
              <w:rPr>
                <w:b/>
                <w:bCs/>
                <w:color w:val="000000"/>
                <w:sz w:val="16"/>
                <w:szCs w:val="16"/>
              </w:rPr>
              <w:t>100</w:t>
            </w:r>
          </w:p>
        </w:tc>
        <w:tc>
          <w:tcPr>
            <w:tcW w:w="1029" w:type="pct"/>
            <w:tcBorders>
              <w:top w:val="single" w:sz="4" w:space="0" w:color="BFBFBF" w:themeColor="background1" w:themeShade="BF"/>
              <w:left w:val="single" w:sz="4" w:space="0" w:color="BFBFBF" w:themeColor="background1" w:themeShade="BF"/>
              <w:bottom w:val="single" w:sz="4" w:space="0" w:color="BFBFBF" w:themeColor="background1" w:themeShade="BF"/>
            </w:tcBorders>
            <w:hideMark/>
          </w:tcPr>
          <w:p w:rsidR="00195BE7" w:rsidRPr="001E2F6E" w:rsidRDefault="00195BE7" w:rsidP="00195BE7">
            <w:pPr>
              <w:spacing w:line="240" w:lineRule="exact"/>
              <w:ind w:right="170"/>
              <w:jc w:val="right"/>
              <w:rPr>
                <w:b/>
                <w:bCs/>
                <w:color w:val="000000"/>
                <w:sz w:val="16"/>
                <w:szCs w:val="16"/>
              </w:rPr>
            </w:pPr>
            <w:r w:rsidRPr="001E2F6E">
              <w:rPr>
                <w:b/>
                <w:bCs/>
                <w:color w:val="000000"/>
                <w:sz w:val="16"/>
                <w:szCs w:val="16"/>
              </w:rPr>
              <w:t>2.643.375</w:t>
            </w:r>
          </w:p>
        </w:tc>
        <w:tc>
          <w:tcPr>
            <w:tcW w:w="929" w:type="pct"/>
            <w:tcBorders>
              <w:top w:val="single" w:sz="4" w:space="0" w:color="BFBFBF" w:themeColor="background1" w:themeShade="BF"/>
              <w:bottom w:val="single" w:sz="4" w:space="0" w:color="BFBFBF" w:themeColor="background1" w:themeShade="BF"/>
              <w:right w:val="single" w:sz="4" w:space="0" w:color="BFBFBF" w:themeColor="background1" w:themeShade="BF"/>
            </w:tcBorders>
            <w:hideMark/>
          </w:tcPr>
          <w:p w:rsidR="00195BE7" w:rsidRPr="001E2F6E" w:rsidRDefault="00195BE7" w:rsidP="00195BE7">
            <w:pPr>
              <w:spacing w:line="240" w:lineRule="exact"/>
              <w:ind w:right="170"/>
              <w:jc w:val="right"/>
              <w:rPr>
                <w:b/>
                <w:bCs/>
                <w:color w:val="000000"/>
                <w:sz w:val="16"/>
                <w:szCs w:val="16"/>
              </w:rPr>
            </w:pPr>
            <w:r w:rsidRPr="001E2F6E">
              <w:rPr>
                <w:b/>
                <w:bCs/>
                <w:color w:val="000000"/>
                <w:sz w:val="16"/>
              </w:rPr>
              <w:t>100</w:t>
            </w:r>
          </w:p>
        </w:tc>
      </w:tr>
    </w:tbl>
    <w:p w:rsidR="00195BE7" w:rsidRPr="001E2F6E" w:rsidRDefault="00195BE7" w:rsidP="00195BE7"/>
    <w:p w:rsidR="00067A2F" w:rsidRDefault="00067A2F">
      <w:pPr>
        <w:spacing w:line="240" w:lineRule="auto"/>
        <w:jc w:val="left"/>
        <w:rPr>
          <w:b/>
          <w:color w:val="1F497D" w:themeColor="text2"/>
          <w:sz w:val="18"/>
          <w:szCs w:val="18"/>
        </w:rPr>
      </w:pPr>
      <w:bookmarkStart w:id="132" w:name="_Toc391989154"/>
      <w:bookmarkStart w:id="133" w:name="_Toc392585819"/>
      <w:r>
        <w:rPr>
          <w:b/>
          <w:color w:val="1F497D" w:themeColor="text2"/>
          <w:sz w:val="18"/>
          <w:szCs w:val="18"/>
        </w:rPr>
        <w:br w:type="page"/>
      </w:r>
    </w:p>
    <w:p w:rsidR="00195BE7" w:rsidRPr="001E2F6E" w:rsidRDefault="00195BE7" w:rsidP="00195BE7">
      <w:pPr>
        <w:spacing w:line="240" w:lineRule="auto"/>
        <w:jc w:val="center"/>
        <w:rPr>
          <w:b/>
          <w:noProof/>
          <w:color w:val="1F497D" w:themeColor="text2"/>
          <w:sz w:val="18"/>
          <w:szCs w:val="18"/>
        </w:rPr>
      </w:pPr>
      <w:r w:rsidRPr="001E2F6E">
        <w:rPr>
          <w:b/>
          <w:color w:val="1F497D" w:themeColor="text2"/>
          <w:sz w:val="18"/>
          <w:szCs w:val="18"/>
        </w:rPr>
        <w:lastRenderedPageBreak/>
        <w:t>1.</w:t>
      </w:r>
      <w:r w:rsidR="00EB6BA6" w:rsidRPr="001E2F6E">
        <w:rPr>
          <w:b/>
          <w:color w:val="1F497D" w:themeColor="text2"/>
          <w:sz w:val="18"/>
          <w:szCs w:val="18"/>
        </w:rPr>
        <w:fldChar w:fldCharType="begin"/>
      </w:r>
      <w:r w:rsidRPr="001E2F6E">
        <w:rPr>
          <w:b/>
          <w:color w:val="1F497D" w:themeColor="text2"/>
          <w:sz w:val="18"/>
          <w:szCs w:val="18"/>
        </w:rPr>
        <w:instrText xml:space="preserve"> SEQ Gráfico_1. \* ARABIC </w:instrText>
      </w:r>
      <w:r w:rsidR="00EB6BA6" w:rsidRPr="001E2F6E">
        <w:rPr>
          <w:b/>
          <w:color w:val="1F497D" w:themeColor="text2"/>
          <w:sz w:val="18"/>
          <w:szCs w:val="18"/>
        </w:rPr>
        <w:fldChar w:fldCharType="separate"/>
      </w:r>
      <w:r w:rsidR="00A327D4">
        <w:rPr>
          <w:b/>
          <w:noProof/>
          <w:color w:val="1F497D" w:themeColor="text2"/>
          <w:sz w:val="18"/>
          <w:szCs w:val="18"/>
        </w:rPr>
        <w:t>9</w:t>
      </w:r>
      <w:r w:rsidR="00EB6BA6" w:rsidRPr="001E2F6E">
        <w:rPr>
          <w:b/>
          <w:color w:val="1F497D" w:themeColor="text2"/>
          <w:sz w:val="18"/>
          <w:szCs w:val="18"/>
        </w:rPr>
        <w:fldChar w:fldCharType="end"/>
      </w:r>
      <w:r w:rsidRPr="001E2F6E">
        <w:rPr>
          <w:b/>
          <w:color w:val="1F497D" w:themeColor="text2"/>
          <w:sz w:val="18"/>
          <w:szCs w:val="18"/>
        </w:rPr>
        <w:t xml:space="preserve"> Irudia </w:t>
      </w:r>
      <w:r w:rsidRPr="001E2F6E">
        <w:rPr>
          <w:b/>
          <w:noProof/>
          <w:color w:val="1F497D" w:themeColor="text2"/>
          <w:sz w:val="18"/>
          <w:szCs w:val="18"/>
          <w:lang w:val="eu-ES"/>
        </w:rPr>
        <w:t>BEGd BALIOAREN BANAKETA, FORMA JURIDIKOAREN ARABERA. 2012 (%ber.)</w:t>
      </w:r>
      <w:bookmarkEnd w:id="132"/>
      <w:bookmarkEnd w:id="133"/>
    </w:p>
    <w:p w:rsidR="00195BE7" w:rsidRPr="001E2F6E" w:rsidRDefault="00195BE7" w:rsidP="00195BE7">
      <w:pPr>
        <w:jc w:val="center"/>
        <w:rPr>
          <w:b/>
          <w:noProof/>
          <w:color w:val="1F497D" w:themeColor="text2"/>
          <w:sz w:val="18"/>
          <w:szCs w:val="18"/>
        </w:rPr>
      </w:pPr>
      <w:r w:rsidRPr="001E2F6E">
        <w:rPr>
          <w:b/>
          <w:noProof/>
          <w:color w:val="1F497D" w:themeColor="text2"/>
          <w:sz w:val="18"/>
          <w:szCs w:val="18"/>
          <w:lang w:eastAsia="es-ES"/>
        </w:rPr>
        <w:drawing>
          <wp:anchor distT="0" distB="0" distL="114300" distR="114300" simplePos="0" relativeHeight="251695104" behindDoc="0" locked="0" layoutInCell="1" allowOverlap="1" wp14:anchorId="45011AC2" wp14:editId="566C4DFB">
            <wp:simplePos x="0" y="0"/>
            <wp:positionH relativeFrom="column">
              <wp:posOffset>1302385</wp:posOffset>
            </wp:positionH>
            <wp:positionV relativeFrom="paragraph">
              <wp:posOffset>98425</wp:posOffset>
            </wp:positionV>
            <wp:extent cx="3114675" cy="2066925"/>
            <wp:effectExtent l="0" t="0" r="0" b="0"/>
            <wp:wrapNone/>
            <wp:docPr id="459" name="Objeto 46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anchor>
        </w:drawing>
      </w:r>
    </w:p>
    <w:p w:rsidR="00195BE7" w:rsidRPr="001E2F6E" w:rsidRDefault="00195BE7" w:rsidP="00195BE7">
      <w:pPr>
        <w:jc w:val="center"/>
        <w:rPr>
          <w:b/>
          <w:noProof/>
          <w:color w:val="1F497D" w:themeColor="text2"/>
          <w:sz w:val="18"/>
          <w:szCs w:val="18"/>
        </w:rPr>
      </w:pPr>
    </w:p>
    <w:p w:rsidR="00195BE7" w:rsidRPr="001E2F6E" w:rsidRDefault="00195BE7" w:rsidP="00195BE7">
      <w:pPr>
        <w:jc w:val="center"/>
        <w:rPr>
          <w:b/>
          <w:noProof/>
          <w:color w:val="1F497D" w:themeColor="text2"/>
          <w:sz w:val="18"/>
          <w:szCs w:val="18"/>
        </w:rPr>
      </w:pPr>
    </w:p>
    <w:p w:rsidR="00195BE7" w:rsidRPr="001E2F6E" w:rsidRDefault="00195BE7" w:rsidP="00195BE7">
      <w:pPr>
        <w:jc w:val="center"/>
        <w:rPr>
          <w:b/>
          <w:noProof/>
          <w:color w:val="1F497D" w:themeColor="text2"/>
          <w:sz w:val="18"/>
          <w:szCs w:val="18"/>
        </w:rPr>
      </w:pPr>
    </w:p>
    <w:p w:rsidR="00195BE7" w:rsidRPr="001E2F6E" w:rsidRDefault="00195BE7" w:rsidP="00195BE7">
      <w:pPr>
        <w:jc w:val="center"/>
        <w:rPr>
          <w:b/>
          <w:noProof/>
          <w:color w:val="1F497D" w:themeColor="text2"/>
          <w:sz w:val="18"/>
          <w:szCs w:val="18"/>
        </w:rPr>
      </w:pPr>
    </w:p>
    <w:p w:rsidR="00195BE7" w:rsidRPr="001E2F6E" w:rsidRDefault="00195BE7" w:rsidP="00195BE7">
      <w:pPr>
        <w:jc w:val="center"/>
        <w:rPr>
          <w:b/>
          <w:noProof/>
          <w:color w:val="1F497D" w:themeColor="text2"/>
          <w:sz w:val="18"/>
          <w:szCs w:val="18"/>
        </w:rPr>
      </w:pPr>
    </w:p>
    <w:p w:rsidR="00195BE7" w:rsidRPr="001E2F6E" w:rsidRDefault="00195BE7" w:rsidP="00195BE7">
      <w:pPr>
        <w:jc w:val="center"/>
        <w:rPr>
          <w:b/>
          <w:noProof/>
          <w:color w:val="1F497D" w:themeColor="text2"/>
          <w:sz w:val="18"/>
          <w:szCs w:val="18"/>
        </w:rPr>
      </w:pPr>
    </w:p>
    <w:p w:rsidR="00195BE7" w:rsidRPr="001E2F6E" w:rsidRDefault="00195BE7" w:rsidP="00195BE7">
      <w:pPr>
        <w:jc w:val="center"/>
        <w:rPr>
          <w:b/>
          <w:noProof/>
          <w:color w:val="1F497D" w:themeColor="text2"/>
          <w:sz w:val="18"/>
          <w:szCs w:val="18"/>
        </w:rPr>
      </w:pPr>
    </w:p>
    <w:p w:rsidR="00195BE7" w:rsidRPr="001E2F6E" w:rsidRDefault="00195BE7" w:rsidP="00195BE7">
      <w:pPr>
        <w:jc w:val="center"/>
        <w:rPr>
          <w:b/>
          <w:noProof/>
          <w:color w:val="1F497D" w:themeColor="text2"/>
          <w:sz w:val="18"/>
          <w:szCs w:val="18"/>
        </w:rPr>
      </w:pPr>
    </w:p>
    <w:p w:rsidR="00195BE7" w:rsidRPr="001E2F6E" w:rsidRDefault="00195BE7" w:rsidP="00195BE7">
      <w:pPr>
        <w:jc w:val="center"/>
        <w:rPr>
          <w:b/>
          <w:noProof/>
          <w:color w:val="1F497D" w:themeColor="text2"/>
          <w:sz w:val="18"/>
          <w:szCs w:val="18"/>
        </w:rPr>
      </w:pPr>
    </w:p>
    <w:p w:rsidR="00195BE7" w:rsidRPr="001E2F6E" w:rsidRDefault="00195BE7" w:rsidP="00195BE7"/>
    <w:p w:rsidR="00195BE7" w:rsidRDefault="00195BE7" w:rsidP="00195BE7">
      <w:pPr>
        <w:spacing w:after="200" w:line="276" w:lineRule="auto"/>
        <w:jc w:val="left"/>
        <w:rPr>
          <w:b/>
          <w:color w:val="1F497D" w:themeColor="text2"/>
          <w:sz w:val="18"/>
          <w:szCs w:val="18"/>
        </w:rPr>
      </w:pPr>
      <w:bookmarkStart w:id="134" w:name="_Toc391989104"/>
    </w:p>
    <w:p w:rsidR="00067A2F" w:rsidRPr="001E2F6E" w:rsidRDefault="00067A2F" w:rsidP="00195BE7">
      <w:pPr>
        <w:spacing w:after="200" w:line="276" w:lineRule="auto"/>
        <w:jc w:val="left"/>
        <w:rPr>
          <w:b/>
          <w:color w:val="1F497D" w:themeColor="text2"/>
          <w:sz w:val="18"/>
          <w:szCs w:val="18"/>
        </w:rPr>
      </w:pPr>
    </w:p>
    <w:p w:rsidR="00195BE7" w:rsidRPr="001E2F6E" w:rsidRDefault="00195BE7" w:rsidP="00195BE7">
      <w:pPr>
        <w:widowControl w:val="0"/>
        <w:spacing w:line="240" w:lineRule="auto"/>
        <w:jc w:val="center"/>
        <w:rPr>
          <w:b/>
          <w:color w:val="1F497D" w:themeColor="text2"/>
          <w:sz w:val="18"/>
          <w:szCs w:val="18"/>
        </w:rPr>
      </w:pPr>
      <w:bookmarkStart w:id="135" w:name="_Toc392585769"/>
      <w:r w:rsidRPr="001E2F6E">
        <w:rPr>
          <w:b/>
          <w:color w:val="1F497D" w:themeColor="text2"/>
          <w:sz w:val="18"/>
          <w:szCs w:val="18"/>
        </w:rPr>
        <w:t>1.</w:t>
      </w:r>
      <w:r w:rsidR="00EB6BA6" w:rsidRPr="001E2F6E">
        <w:rPr>
          <w:b/>
          <w:color w:val="1F497D" w:themeColor="text2"/>
          <w:sz w:val="18"/>
          <w:szCs w:val="18"/>
        </w:rPr>
        <w:fldChar w:fldCharType="begin"/>
      </w:r>
      <w:r w:rsidRPr="001E2F6E">
        <w:rPr>
          <w:b/>
          <w:color w:val="1F497D" w:themeColor="text2"/>
          <w:sz w:val="18"/>
          <w:szCs w:val="18"/>
        </w:rPr>
        <w:instrText xml:space="preserve"> SEQ Cuadro_1. \* ARABIC </w:instrText>
      </w:r>
      <w:r w:rsidR="00EB6BA6" w:rsidRPr="001E2F6E">
        <w:rPr>
          <w:b/>
          <w:color w:val="1F497D" w:themeColor="text2"/>
          <w:sz w:val="18"/>
          <w:szCs w:val="18"/>
        </w:rPr>
        <w:fldChar w:fldCharType="separate"/>
      </w:r>
      <w:r w:rsidR="00A327D4">
        <w:rPr>
          <w:b/>
          <w:noProof/>
          <w:color w:val="1F497D" w:themeColor="text2"/>
          <w:sz w:val="18"/>
          <w:szCs w:val="18"/>
        </w:rPr>
        <w:t>34</w:t>
      </w:r>
      <w:r w:rsidR="00EB6BA6" w:rsidRPr="001E2F6E">
        <w:rPr>
          <w:b/>
          <w:color w:val="1F497D" w:themeColor="text2"/>
          <w:sz w:val="18"/>
          <w:szCs w:val="18"/>
        </w:rPr>
        <w:fldChar w:fldCharType="end"/>
      </w:r>
      <w:r w:rsidRPr="001E2F6E">
        <w:rPr>
          <w:b/>
          <w:color w:val="1F497D" w:themeColor="text2"/>
          <w:sz w:val="18"/>
          <w:szCs w:val="18"/>
        </w:rPr>
        <w:t xml:space="preserve"> Taula BEGd-aren BANAKETA FORMA JURIDIKOA ETA JARDUERA SEKTOREAREN ARABERA. 2012 (zifra absolutuak eta % bertikalak)</w:t>
      </w:r>
      <w:bookmarkEnd w:id="134"/>
      <w:bookmarkEnd w:id="135"/>
    </w:p>
    <w:tbl>
      <w:tblPr>
        <w:tblW w:w="5278" w:type="pct"/>
        <w:tblInd w:w="-497" w:type="dxa"/>
        <w:tblCellMar>
          <w:left w:w="70" w:type="dxa"/>
          <w:right w:w="70" w:type="dxa"/>
        </w:tblCellMar>
        <w:tblLook w:val="04A0" w:firstRow="1" w:lastRow="0" w:firstColumn="1" w:lastColumn="0" w:noHBand="0" w:noVBand="1"/>
      </w:tblPr>
      <w:tblGrid>
        <w:gridCol w:w="1573"/>
        <w:gridCol w:w="1334"/>
        <w:gridCol w:w="675"/>
        <w:gridCol w:w="1334"/>
        <w:gridCol w:w="654"/>
        <w:gridCol w:w="1270"/>
        <w:gridCol w:w="658"/>
        <w:gridCol w:w="1270"/>
        <w:gridCol w:w="656"/>
      </w:tblGrid>
      <w:tr w:rsidR="00195BE7" w:rsidRPr="001E2F6E" w:rsidTr="00195BE7">
        <w:tc>
          <w:tcPr>
            <w:tcW w:w="834" w:type="pct"/>
            <w:vMerge w:val="restart"/>
            <w:tcBorders>
              <w:top w:val="single" w:sz="8" w:space="0" w:color="BFBFBF"/>
              <w:left w:val="nil"/>
              <w:bottom w:val="single" w:sz="8" w:space="0" w:color="BFBFBF"/>
              <w:right w:val="single" w:sz="8" w:space="0" w:color="BFBFBF"/>
            </w:tcBorders>
            <w:shd w:val="clear" w:color="000000" w:fill="DBE5F1"/>
            <w:hideMark/>
          </w:tcPr>
          <w:p w:rsidR="00195BE7" w:rsidRPr="001E2F6E" w:rsidRDefault="00195BE7" w:rsidP="00195BE7">
            <w:pPr>
              <w:spacing w:line="240" w:lineRule="exact"/>
              <w:rPr>
                <w:rFonts w:ascii="Calibri" w:hAnsi="Calibri"/>
                <w:color w:val="000000"/>
              </w:rPr>
            </w:pPr>
            <w:r w:rsidRPr="001E2F6E">
              <w:rPr>
                <w:rFonts w:ascii="Calibri" w:hAnsi="Calibri"/>
                <w:color w:val="000000"/>
              </w:rPr>
              <w:t> </w:t>
            </w:r>
          </w:p>
        </w:tc>
        <w:tc>
          <w:tcPr>
            <w:tcW w:w="1066" w:type="pct"/>
            <w:gridSpan w:val="2"/>
            <w:tcBorders>
              <w:top w:val="single" w:sz="8" w:space="0" w:color="BFBFBF"/>
              <w:left w:val="nil"/>
              <w:bottom w:val="single" w:sz="8" w:space="0" w:color="BFBFBF"/>
              <w:right w:val="single" w:sz="8" w:space="0" w:color="BFBFBF"/>
            </w:tcBorders>
            <w:shd w:val="clear" w:color="000000" w:fill="DBE5F1"/>
            <w:hideMark/>
          </w:tcPr>
          <w:p w:rsidR="00195BE7" w:rsidRPr="001E2F6E" w:rsidRDefault="00195BE7" w:rsidP="00195BE7">
            <w:pPr>
              <w:spacing w:line="240" w:lineRule="exact"/>
              <w:jc w:val="center"/>
              <w:rPr>
                <w:rFonts w:eastAsia="Times New Roman"/>
                <w:b/>
                <w:bCs/>
                <w:color w:val="000000"/>
                <w:sz w:val="16"/>
                <w:szCs w:val="16"/>
                <w:lang w:eastAsia="es-ES"/>
              </w:rPr>
            </w:pPr>
            <w:r w:rsidRPr="001E2F6E">
              <w:rPr>
                <w:rFonts w:eastAsia="Times New Roman"/>
                <w:b/>
                <w:bCs/>
                <w:color w:val="000000"/>
                <w:sz w:val="16"/>
                <w:szCs w:val="16"/>
                <w:lang w:val="en-GB" w:eastAsia="es-ES"/>
              </w:rPr>
              <w:t>GUZTIRA</w:t>
            </w:r>
          </w:p>
        </w:tc>
        <w:tc>
          <w:tcPr>
            <w:tcW w:w="1055" w:type="pct"/>
            <w:gridSpan w:val="2"/>
            <w:tcBorders>
              <w:top w:val="single" w:sz="8" w:space="0" w:color="BFBFBF"/>
              <w:left w:val="nil"/>
              <w:bottom w:val="single" w:sz="8" w:space="0" w:color="BFBFBF"/>
              <w:right w:val="single" w:sz="8" w:space="0" w:color="BFBFBF"/>
            </w:tcBorders>
            <w:shd w:val="clear" w:color="000000" w:fill="DBE5F1"/>
            <w:hideMark/>
          </w:tcPr>
          <w:p w:rsidR="00195BE7" w:rsidRPr="001E2F6E" w:rsidRDefault="00195BE7" w:rsidP="00195BE7">
            <w:pPr>
              <w:spacing w:line="240" w:lineRule="exact"/>
              <w:jc w:val="center"/>
              <w:rPr>
                <w:rFonts w:eastAsia="Times New Roman"/>
                <w:b/>
                <w:bCs/>
                <w:color w:val="000000"/>
                <w:sz w:val="16"/>
                <w:szCs w:val="16"/>
                <w:lang w:eastAsia="es-ES"/>
              </w:rPr>
            </w:pPr>
            <w:r w:rsidRPr="001E2F6E">
              <w:rPr>
                <w:rFonts w:eastAsia="Times New Roman"/>
                <w:b/>
                <w:bCs/>
                <w:color w:val="000000"/>
                <w:sz w:val="16"/>
                <w:szCs w:val="16"/>
                <w:lang w:val="en-GB" w:eastAsia="es-ES"/>
              </w:rPr>
              <w:t>Koop.</w:t>
            </w:r>
          </w:p>
        </w:tc>
        <w:tc>
          <w:tcPr>
            <w:tcW w:w="1023" w:type="pct"/>
            <w:gridSpan w:val="2"/>
            <w:tcBorders>
              <w:top w:val="single" w:sz="8" w:space="0" w:color="BFBFBF"/>
              <w:left w:val="nil"/>
              <w:bottom w:val="single" w:sz="8" w:space="0" w:color="BFBFBF"/>
              <w:right w:val="single" w:sz="8" w:space="0" w:color="BFBFBF"/>
            </w:tcBorders>
            <w:shd w:val="clear" w:color="000000" w:fill="DBE5F1"/>
            <w:hideMark/>
          </w:tcPr>
          <w:p w:rsidR="00195BE7" w:rsidRPr="001E2F6E" w:rsidRDefault="00195BE7" w:rsidP="00195BE7">
            <w:pPr>
              <w:spacing w:line="240" w:lineRule="exact"/>
              <w:jc w:val="center"/>
              <w:rPr>
                <w:rFonts w:eastAsia="Times New Roman"/>
                <w:b/>
                <w:bCs/>
                <w:color w:val="000000"/>
                <w:sz w:val="16"/>
                <w:szCs w:val="16"/>
                <w:lang w:eastAsia="es-ES"/>
              </w:rPr>
            </w:pPr>
            <w:r w:rsidRPr="001E2F6E">
              <w:rPr>
                <w:rFonts w:eastAsia="Times New Roman"/>
                <w:b/>
                <w:bCs/>
                <w:color w:val="000000"/>
                <w:sz w:val="16"/>
                <w:szCs w:val="16"/>
                <w:lang w:val="en-GB" w:eastAsia="es-ES"/>
              </w:rPr>
              <w:t>LSA</w:t>
            </w:r>
          </w:p>
        </w:tc>
        <w:tc>
          <w:tcPr>
            <w:tcW w:w="1023" w:type="pct"/>
            <w:gridSpan w:val="2"/>
            <w:tcBorders>
              <w:top w:val="single" w:sz="8" w:space="0" w:color="BFBFBF"/>
              <w:left w:val="nil"/>
              <w:bottom w:val="single" w:sz="8" w:space="0" w:color="BFBFBF"/>
              <w:right w:val="nil"/>
            </w:tcBorders>
            <w:shd w:val="clear" w:color="000000" w:fill="DBE5F1"/>
            <w:hideMark/>
          </w:tcPr>
          <w:p w:rsidR="00195BE7" w:rsidRPr="001E2F6E" w:rsidRDefault="00195BE7" w:rsidP="00195BE7">
            <w:pPr>
              <w:spacing w:line="240" w:lineRule="exact"/>
              <w:jc w:val="center"/>
              <w:rPr>
                <w:rFonts w:eastAsia="Times New Roman"/>
                <w:b/>
                <w:bCs/>
                <w:color w:val="000000"/>
                <w:sz w:val="16"/>
                <w:szCs w:val="16"/>
                <w:lang w:eastAsia="es-ES"/>
              </w:rPr>
            </w:pPr>
            <w:r w:rsidRPr="001E2F6E">
              <w:rPr>
                <w:rFonts w:eastAsia="Times New Roman"/>
                <w:b/>
                <w:bCs/>
                <w:color w:val="000000"/>
                <w:sz w:val="16"/>
                <w:szCs w:val="16"/>
                <w:lang w:val="en-GB" w:eastAsia="es-ES"/>
              </w:rPr>
              <w:t>LSM</w:t>
            </w:r>
          </w:p>
        </w:tc>
      </w:tr>
      <w:tr w:rsidR="00195BE7" w:rsidRPr="001E2F6E" w:rsidTr="00195BE7">
        <w:tc>
          <w:tcPr>
            <w:tcW w:w="834" w:type="pct"/>
            <w:vMerge/>
            <w:tcBorders>
              <w:top w:val="single" w:sz="8" w:space="0" w:color="BFBFBF"/>
              <w:left w:val="nil"/>
              <w:bottom w:val="single" w:sz="8" w:space="0" w:color="BFBFBF"/>
              <w:right w:val="single" w:sz="8" w:space="0" w:color="BFBFBF"/>
            </w:tcBorders>
            <w:vAlign w:val="center"/>
            <w:hideMark/>
          </w:tcPr>
          <w:p w:rsidR="00195BE7" w:rsidRPr="001E2F6E" w:rsidRDefault="00195BE7" w:rsidP="00195BE7">
            <w:pPr>
              <w:spacing w:line="240" w:lineRule="exact"/>
              <w:rPr>
                <w:rFonts w:ascii="Calibri" w:hAnsi="Calibri"/>
                <w:color w:val="000000"/>
              </w:rPr>
            </w:pPr>
          </w:p>
        </w:tc>
        <w:tc>
          <w:tcPr>
            <w:tcW w:w="708" w:type="pct"/>
            <w:tcBorders>
              <w:top w:val="nil"/>
              <w:left w:val="nil"/>
              <w:bottom w:val="single" w:sz="8" w:space="0" w:color="BFBFBF"/>
              <w:right w:val="nil"/>
            </w:tcBorders>
            <w:shd w:val="clear" w:color="000000" w:fill="DBE5F1"/>
            <w:hideMark/>
          </w:tcPr>
          <w:p w:rsidR="00195BE7" w:rsidRPr="001E2F6E" w:rsidRDefault="00195BE7" w:rsidP="00195BE7">
            <w:pPr>
              <w:spacing w:line="240" w:lineRule="exact"/>
              <w:jc w:val="center"/>
              <w:rPr>
                <w:rFonts w:eastAsia="Times New Roman"/>
                <w:b/>
                <w:bCs/>
                <w:color w:val="000000"/>
                <w:sz w:val="16"/>
                <w:szCs w:val="16"/>
                <w:lang w:eastAsia="es-ES"/>
              </w:rPr>
            </w:pPr>
            <w:r w:rsidRPr="001E2F6E">
              <w:rPr>
                <w:rFonts w:eastAsia="Times New Roman"/>
                <w:b/>
                <w:bCs/>
                <w:color w:val="000000"/>
                <w:sz w:val="16"/>
                <w:szCs w:val="16"/>
                <w:lang w:eastAsia="es-ES"/>
              </w:rPr>
              <w:t>z.a.</w:t>
            </w:r>
          </w:p>
        </w:tc>
        <w:tc>
          <w:tcPr>
            <w:tcW w:w="358" w:type="pct"/>
            <w:tcBorders>
              <w:top w:val="nil"/>
              <w:left w:val="nil"/>
              <w:bottom w:val="single" w:sz="8" w:space="0" w:color="BFBFBF"/>
              <w:right w:val="single" w:sz="8" w:space="0" w:color="BFBFBF"/>
            </w:tcBorders>
            <w:shd w:val="clear" w:color="000000" w:fill="DBE5F1"/>
            <w:hideMark/>
          </w:tcPr>
          <w:p w:rsidR="00195BE7" w:rsidRPr="001E2F6E" w:rsidRDefault="00195BE7" w:rsidP="00195BE7">
            <w:pPr>
              <w:spacing w:line="240" w:lineRule="exact"/>
              <w:jc w:val="center"/>
              <w:rPr>
                <w:rFonts w:eastAsia="Times New Roman"/>
                <w:b/>
                <w:bCs/>
                <w:color w:val="000000"/>
                <w:sz w:val="16"/>
                <w:szCs w:val="16"/>
                <w:lang w:eastAsia="es-ES"/>
              </w:rPr>
            </w:pPr>
            <w:r w:rsidRPr="001E2F6E">
              <w:rPr>
                <w:rFonts w:eastAsia="Times New Roman"/>
                <w:b/>
                <w:bCs/>
                <w:color w:val="000000"/>
                <w:sz w:val="16"/>
                <w:szCs w:val="16"/>
                <w:lang w:eastAsia="es-ES"/>
              </w:rPr>
              <w:t>%ber.</w:t>
            </w:r>
          </w:p>
        </w:tc>
        <w:tc>
          <w:tcPr>
            <w:tcW w:w="708" w:type="pct"/>
            <w:tcBorders>
              <w:top w:val="nil"/>
              <w:left w:val="nil"/>
              <w:bottom w:val="single" w:sz="8" w:space="0" w:color="BFBFBF"/>
              <w:right w:val="nil"/>
            </w:tcBorders>
            <w:shd w:val="clear" w:color="000000" w:fill="DBE5F1"/>
            <w:hideMark/>
          </w:tcPr>
          <w:p w:rsidR="00195BE7" w:rsidRPr="001E2F6E" w:rsidRDefault="00195BE7" w:rsidP="00195BE7">
            <w:pPr>
              <w:spacing w:line="240" w:lineRule="exact"/>
              <w:jc w:val="center"/>
              <w:rPr>
                <w:rFonts w:eastAsia="Times New Roman"/>
                <w:b/>
                <w:bCs/>
                <w:color w:val="000000"/>
                <w:sz w:val="16"/>
                <w:szCs w:val="16"/>
                <w:lang w:eastAsia="es-ES"/>
              </w:rPr>
            </w:pPr>
            <w:r w:rsidRPr="001E2F6E">
              <w:rPr>
                <w:rFonts w:eastAsia="Times New Roman"/>
                <w:b/>
                <w:bCs/>
                <w:color w:val="000000"/>
                <w:sz w:val="16"/>
                <w:szCs w:val="16"/>
                <w:lang w:eastAsia="es-ES"/>
              </w:rPr>
              <w:t>z.a.</w:t>
            </w:r>
          </w:p>
        </w:tc>
        <w:tc>
          <w:tcPr>
            <w:tcW w:w="347" w:type="pct"/>
            <w:tcBorders>
              <w:top w:val="nil"/>
              <w:left w:val="nil"/>
              <w:bottom w:val="single" w:sz="8" w:space="0" w:color="BFBFBF"/>
              <w:right w:val="single" w:sz="8" w:space="0" w:color="BFBFBF"/>
            </w:tcBorders>
            <w:shd w:val="clear" w:color="000000" w:fill="DBE5F1"/>
            <w:hideMark/>
          </w:tcPr>
          <w:p w:rsidR="00195BE7" w:rsidRPr="001E2F6E" w:rsidRDefault="00195BE7" w:rsidP="00195BE7">
            <w:pPr>
              <w:spacing w:line="240" w:lineRule="exact"/>
              <w:jc w:val="center"/>
              <w:rPr>
                <w:rFonts w:eastAsia="Times New Roman"/>
                <w:b/>
                <w:bCs/>
                <w:color w:val="000000"/>
                <w:sz w:val="16"/>
                <w:szCs w:val="16"/>
                <w:lang w:eastAsia="es-ES"/>
              </w:rPr>
            </w:pPr>
            <w:r w:rsidRPr="001E2F6E">
              <w:rPr>
                <w:rFonts w:eastAsia="Times New Roman"/>
                <w:b/>
                <w:bCs/>
                <w:color w:val="000000"/>
                <w:sz w:val="16"/>
                <w:szCs w:val="16"/>
                <w:lang w:eastAsia="es-ES"/>
              </w:rPr>
              <w:t>%ber.</w:t>
            </w:r>
          </w:p>
        </w:tc>
        <w:tc>
          <w:tcPr>
            <w:tcW w:w="674" w:type="pct"/>
            <w:tcBorders>
              <w:top w:val="nil"/>
              <w:left w:val="nil"/>
              <w:bottom w:val="single" w:sz="8" w:space="0" w:color="BFBFBF"/>
              <w:right w:val="nil"/>
            </w:tcBorders>
            <w:shd w:val="clear" w:color="000000" w:fill="DBE5F1"/>
            <w:hideMark/>
          </w:tcPr>
          <w:p w:rsidR="00195BE7" w:rsidRPr="001E2F6E" w:rsidRDefault="00195BE7" w:rsidP="00195BE7">
            <w:pPr>
              <w:spacing w:line="240" w:lineRule="exact"/>
              <w:jc w:val="center"/>
              <w:rPr>
                <w:rFonts w:eastAsia="Times New Roman"/>
                <w:b/>
                <w:bCs/>
                <w:color w:val="000000"/>
                <w:sz w:val="16"/>
                <w:szCs w:val="16"/>
                <w:lang w:eastAsia="es-ES"/>
              </w:rPr>
            </w:pPr>
            <w:r w:rsidRPr="001E2F6E">
              <w:rPr>
                <w:rFonts w:eastAsia="Times New Roman"/>
                <w:b/>
                <w:bCs/>
                <w:color w:val="000000"/>
                <w:sz w:val="16"/>
                <w:szCs w:val="16"/>
                <w:lang w:eastAsia="es-ES"/>
              </w:rPr>
              <w:t>z.a.</w:t>
            </w:r>
          </w:p>
        </w:tc>
        <w:tc>
          <w:tcPr>
            <w:tcW w:w="349" w:type="pct"/>
            <w:tcBorders>
              <w:top w:val="nil"/>
              <w:left w:val="nil"/>
              <w:bottom w:val="single" w:sz="8" w:space="0" w:color="BFBFBF"/>
              <w:right w:val="single" w:sz="8" w:space="0" w:color="BFBFBF"/>
            </w:tcBorders>
            <w:shd w:val="clear" w:color="000000" w:fill="DBE5F1"/>
            <w:hideMark/>
          </w:tcPr>
          <w:p w:rsidR="00195BE7" w:rsidRPr="001E2F6E" w:rsidRDefault="00195BE7" w:rsidP="00195BE7">
            <w:pPr>
              <w:spacing w:line="240" w:lineRule="exact"/>
              <w:jc w:val="center"/>
              <w:rPr>
                <w:rFonts w:eastAsia="Times New Roman"/>
                <w:b/>
                <w:bCs/>
                <w:color w:val="000000"/>
                <w:sz w:val="16"/>
                <w:szCs w:val="16"/>
                <w:lang w:eastAsia="es-ES"/>
              </w:rPr>
            </w:pPr>
            <w:r w:rsidRPr="001E2F6E">
              <w:rPr>
                <w:rFonts w:eastAsia="Times New Roman"/>
                <w:b/>
                <w:bCs/>
                <w:color w:val="000000"/>
                <w:sz w:val="16"/>
                <w:szCs w:val="16"/>
                <w:lang w:eastAsia="es-ES"/>
              </w:rPr>
              <w:t>%ber.</w:t>
            </w:r>
          </w:p>
        </w:tc>
        <w:tc>
          <w:tcPr>
            <w:tcW w:w="674" w:type="pct"/>
            <w:tcBorders>
              <w:top w:val="nil"/>
              <w:left w:val="nil"/>
              <w:bottom w:val="single" w:sz="8" w:space="0" w:color="BFBFBF"/>
              <w:right w:val="nil"/>
            </w:tcBorders>
            <w:shd w:val="clear" w:color="000000" w:fill="DBE5F1"/>
            <w:hideMark/>
          </w:tcPr>
          <w:p w:rsidR="00195BE7" w:rsidRPr="001E2F6E" w:rsidRDefault="00195BE7" w:rsidP="00195BE7">
            <w:pPr>
              <w:spacing w:line="240" w:lineRule="exact"/>
              <w:jc w:val="center"/>
              <w:rPr>
                <w:rFonts w:eastAsia="Times New Roman"/>
                <w:b/>
                <w:bCs/>
                <w:color w:val="000000"/>
                <w:sz w:val="16"/>
                <w:szCs w:val="16"/>
                <w:lang w:eastAsia="es-ES"/>
              </w:rPr>
            </w:pPr>
            <w:r w:rsidRPr="001E2F6E">
              <w:rPr>
                <w:rFonts w:eastAsia="Times New Roman"/>
                <w:b/>
                <w:bCs/>
                <w:color w:val="000000"/>
                <w:sz w:val="16"/>
                <w:szCs w:val="16"/>
                <w:lang w:eastAsia="es-ES"/>
              </w:rPr>
              <w:t>z.a.</w:t>
            </w:r>
          </w:p>
        </w:tc>
        <w:tc>
          <w:tcPr>
            <w:tcW w:w="349" w:type="pct"/>
            <w:tcBorders>
              <w:top w:val="nil"/>
              <w:left w:val="nil"/>
              <w:bottom w:val="single" w:sz="8" w:space="0" w:color="BFBFBF"/>
              <w:right w:val="nil"/>
            </w:tcBorders>
            <w:shd w:val="clear" w:color="000000" w:fill="DBE5F1"/>
            <w:hideMark/>
          </w:tcPr>
          <w:p w:rsidR="00195BE7" w:rsidRPr="001E2F6E" w:rsidRDefault="00195BE7" w:rsidP="00195BE7">
            <w:pPr>
              <w:spacing w:line="240" w:lineRule="exact"/>
              <w:jc w:val="center"/>
              <w:rPr>
                <w:rFonts w:eastAsia="Times New Roman"/>
                <w:b/>
                <w:bCs/>
                <w:color w:val="000000"/>
                <w:sz w:val="16"/>
                <w:szCs w:val="16"/>
                <w:lang w:eastAsia="es-ES"/>
              </w:rPr>
            </w:pPr>
            <w:r w:rsidRPr="001E2F6E">
              <w:rPr>
                <w:rFonts w:eastAsia="Times New Roman"/>
                <w:b/>
                <w:bCs/>
                <w:color w:val="000000"/>
                <w:sz w:val="16"/>
                <w:szCs w:val="16"/>
                <w:lang w:eastAsia="es-ES"/>
              </w:rPr>
              <w:t>%ber.</w:t>
            </w:r>
          </w:p>
        </w:tc>
      </w:tr>
      <w:tr w:rsidR="00195BE7" w:rsidRPr="001E2F6E" w:rsidTr="00195BE7">
        <w:tc>
          <w:tcPr>
            <w:tcW w:w="834" w:type="pct"/>
            <w:tcBorders>
              <w:top w:val="nil"/>
              <w:left w:val="nil"/>
              <w:bottom w:val="nil"/>
              <w:right w:val="single" w:sz="8" w:space="0" w:color="BFBFBF"/>
            </w:tcBorders>
            <w:shd w:val="clear" w:color="auto" w:fill="auto"/>
            <w:hideMark/>
          </w:tcPr>
          <w:p w:rsidR="00195BE7" w:rsidRPr="001E2F6E" w:rsidRDefault="00195BE7" w:rsidP="00195BE7">
            <w:pPr>
              <w:spacing w:line="240" w:lineRule="exact"/>
              <w:ind w:hanging="28"/>
              <w:rPr>
                <w:sz w:val="16"/>
                <w:szCs w:val="16"/>
                <w:lang w:val="eu-ES"/>
              </w:rPr>
            </w:pPr>
            <w:r w:rsidRPr="001E2F6E">
              <w:rPr>
                <w:sz w:val="16"/>
                <w:szCs w:val="16"/>
                <w:lang w:val="eu-ES"/>
              </w:rPr>
              <w:t>Lehen sektorea</w:t>
            </w:r>
          </w:p>
        </w:tc>
        <w:tc>
          <w:tcPr>
            <w:tcW w:w="708" w:type="pct"/>
            <w:tcBorders>
              <w:top w:val="nil"/>
              <w:left w:val="nil"/>
              <w:bottom w:val="nil"/>
              <w:right w:val="nil"/>
            </w:tcBorders>
            <w:shd w:val="clear" w:color="auto" w:fill="auto"/>
            <w:noWrap/>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1.558.013</w:t>
            </w:r>
          </w:p>
        </w:tc>
        <w:tc>
          <w:tcPr>
            <w:tcW w:w="358" w:type="pct"/>
            <w:tcBorders>
              <w:top w:val="nil"/>
              <w:left w:val="nil"/>
              <w:bottom w:val="nil"/>
              <w:right w:val="single" w:sz="8" w:space="0" w:color="BFBFBF"/>
            </w:tcBorders>
            <w:shd w:val="clear" w:color="auto" w:fill="auto"/>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0,1</w:t>
            </w:r>
          </w:p>
        </w:tc>
        <w:tc>
          <w:tcPr>
            <w:tcW w:w="708" w:type="pct"/>
            <w:tcBorders>
              <w:top w:val="nil"/>
              <w:left w:val="nil"/>
              <w:bottom w:val="nil"/>
              <w:right w:val="nil"/>
            </w:tcBorders>
            <w:shd w:val="clear" w:color="auto" w:fill="auto"/>
            <w:noWrap/>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1.443.557</w:t>
            </w:r>
          </w:p>
        </w:tc>
        <w:tc>
          <w:tcPr>
            <w:tcW w:w="347" w:type="pct"/>
            <w:tcBorders>
              <w:top w:val="nil"/>
              <w:left w:val="nil"/>
              <w:bottom w:val="nil"/>
              <w:right w:val="single" w:sz="8" w:space="0" w:color="BFBFBF"/>
            </w:tcBorders>
            <w:shd w:val="clear" w:color="auto" w:fill="auto"/>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0,1</w:t>
            </w:r>
          </w:p>
        </w:tc>
        <w:tc>
          <w:tcPr>
            <w:tcW w:w="674" w:type="pct"/>
            <w:tcBorders>
              <w:top w:val="nil"/>
              <w:left w:val="nil"/>
              <w:bottom w:val="nil"/>
              <w:right w:val="nil"/>
            </w:tcBorders>
            <w:shd w:val="clear" w:color="auto" w:fill="auto"/>
            <w:noWrap/>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0</w:t>
            </w:r>
          </w:p>
        </w:tc>
        <w:tc>
          <w:tcPr>
            <w:tcW w:w="349" w:type="pct"/>
            <w:tcBorders>
              <w:top w:val="nil"/>
              <w:left w:val="nil"/>
              <w:bottom w:val="nil"/>
              <w:right w:val="single" w:sz="8" w:space="0" w:color="BFBFBF"/>
            </w:tcBorders>
            <w:shd w:val="clear" w:color="auto" w:fill="auto"/>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0,0</w:t>
            </w:r>
          </w:p>
        </w:tc>
        <w:tc>
          <w:tcPr>
            <w:tcW w:w="674" w:type="pct"/>
            <w:tcBorders>
              <w:top w:val="nil"/>
              <w:left w:val="nil"/>
              <w:bottom w:val="nil"/>
              <w:right w:val="nil"/>
            </w:tcBorders>
            <w:shd w:val="clear" w:color="auto" w:fill="auto"/>
            <w:noWrap/>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114.456</w:t>
            </w:r>
          </w:p>
        </w:tc>
        <w:tc>
          <w:tcPr>
            <w:tcW w:w="349" w:type="pct"/>
            <w:tcBorders>
              <w:top w:val="nil"/>
              <w:left w:val="nil"/>
              <w:bottom w:val="nil"/>
              <w:right w:val="nil"/>
            </w:tcBorders>
            <w:shd w:val="clear" w:color="auto" w:fill="auto"/>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0,1</w:t>
            </w:r>
          </w:p>
        </w:tc>
      </w:tr>
      <w:tr w:rsidR="00195BE7" w:rsidRPr="001E2F6E" w:rsidTr="00195BE7">
        <w:tc>
          <w:tcPr>
            <w:tcW w:w="834" w:type="pct"/>
            <w:tcBorders>
              <w:top w:val="nil"/>
              <w:left w:val="nil"/>
              <w:bottom w:val="nil"/>
              <w:right w:val="single" w:sz="8" w:space="0" w:color="BFBFBF"/>
            </w:tcBorders>
            <w:shd w:val="clear" w:color="auto" w:fill="auto"/>
            <w:hideMark/>
          </w:tcPr>
          <w:p w:rsidR="00195BE7" w:rsidRPr="001E2F6E" w:rsidRDefault="00195BE7" w:rsidP="00195BE7">
            <w:pPr>
              <w:spacing w:line="240" w:lineRule="exact"/>
              <w:ind w:hanging="28"/>
              <w:rPr>
                <w:sz w:val="16"/>
                <w:szCs w:val="16"/>
                <w:lang w:val="eu-ES"/>
              </w:rPr>
            </w:pPr>
            <w:r w:rsidRPr="001E2F6E">
              <w:rPr>
                <w:sz w:val="16"/>
                <w:szCs w:val="16"/>
                <w:lang w:val="eu-ES"/>
              </w:rPr>
              <w:t>Industria</w:t>
            </w:r>
          </w:p>
        </w:tc>
        <w:tc>
          <w:tcPr>
            <w:tcW w:w="708" w:type="pct"/>
            <w:tcBorders>
              <w:top w:val="nil"/>
              <w:left w:val="nil"/>
              <w:bottom w:val="nil"/>
              <w:right w:val="nil"/>
            </w:tcBorders>
            <w:shd w:val="clear" w:color="auto" w:fill="auto"/>
            <w:noWrap/>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1.363.525.421</w:t>
            </w:r>
          </w:p>
        </w:tc>
        <w:tc>
          <w:tcPr>
            <w:tcW w:w="358" w:type="pct"/>
            <w:tcBorders>
              <w:top w:val="nil"/>
              <w:left w:val="nil"/>
              <w:bottom w:val="nil"/>
              <w:right w:val="single" w:sz="8" w:space="0" w:color="BFBFBF"/>
            </w:tcBorders>
            <w:shd w:val="clear" w:color="auto" w:fill="auto"/>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51,6</w:t>
            </w:r>
          </w:p>
        </w:tc>
        <w:tc>
          <w:tcPr>
            <w:tcW w:w="708" w:type="pct"/>
            <w:tcBorders>
              <w:top w:val="nil"/>
              <w:left w:val="nil"/>
              <w:bottom w:val="nil"/>
              <w:right w:val="nil"/>
            </w:tcBorders>
            <w:shd w:val="clear" w:color="auto" w:fill="auto"/>
            <w:noWrap/>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1.196.577.748</w:t>
            </w:r>
          </w:p>
        </w:tc>
        <w:tc>
          <w:tcPr>
            <w:tcW w:w="347" w:type="pct"/>
            <w:tcBorders>
              <w:top w:val="nil"/>
              <w:left w:val="nil"/>
              <w:bottom w:val="nil"/>
              <w:right w:val="single" w:sz="8" w:space="0" w:color="BFBFBF"/>
            </w:tcBorders>
            <w:shd w:val="clear" w:color="auto" w:fill="auto"/>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50,0</w:t>
            </w:r>
          </w:p>
        </w:tc>
        <w:tc>
          <w:tcPr>
            <w:tcW w:w="674" w:type="pct"/>
            <w:tcBorders>
              <w:top w:val="nil"/>
              <w:left w:val="nil"/>
              <w:bottom w:val="nil"/>
              <w:right w:val="nil"/>
            </w:tcBorders>
            <w:shd w:val="clear" w:color="auto" w:fill="auto"/>
            <w:noWrap/>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117.440.818</w:t>
            </w:r>
          </w:p>
        </w:tc>
        <w:tc>
          <w:tcPr>
            <w:tcW w:w="349" w:type="pct"/>
            <w:tcBorders>
              <w:top w:val="nil"/>
              <w:left w:val="nil"/>
              <w:bottom w:val="nil"/>
              <w:right w:val="single" w:sz="8" w:space="0" w:color="BFBFBF"/>
            </w:tcBorders>
            <w:shd w:val="clear" w:color="auto" w:fill="auto"/>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80,0</w:t>
            </w:r>
          </w:p>
        </w:tc>
        <w:tc>
          <w:tcPr>
            <w:tcW w:w="674" w:type="pct"/>
            <w:tcBorders>
              <w:top w:val="nil"/>
              <w:left w:val="nil"/>
              <w:bottom w:val="nil"/>
              <w:right w:val="nil"/>
            </w:tcBorders>
            <w:shd w:val="clear" w:color="auto" w:fill="auto"/>
            <w:noWrap/>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49.506.855</w:t>
            </w:r>
          </w:p>
        </w:tc>
        <w:tc>
          <w:tcPr>
            <w:tcW w:w="349" w:type="pct"/>
            <w:tcBorders>
              <w:top w:val="nil"/>
              <w:left w:val="nil"/>
              <w:bottom w:val="nil"/>
              <w:right w:val="nil"/>
            </w:tcBorders>
            <w:shd w:val="clear" w:color="auto" w:fill="auto"/>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48,4</w:t>
            </w:r>
          </w:p>
        </w:tc>
      </w:tr>
      <w:tr w:rsidR="00195BE7" w:rsidRPr="001E2F6E" w:rsidTr="00195BE7">
        <w:tc>
          <w:tcPr>
            <w:tcW w:w="834" w:type="pct"/>
            <w:tcBorders>
              <w:top w:val="nil"/>
              <w:left w:val="nil"/>
              <w:bottom w:val="nil"/>
              <w:right w:val="single" w:sz="8" w:space="0" w:color="BFBFBF"/>
            </w:tcBorders>
            <w:shd w:val="clear" w:color="auto" w:fill="auto"/>
            <w:hideMark/>
          </w:tcPr>
          <w:p w:rsidR="00195BE7" w:rsidRPr="001E2F6E" w:rsidRDefault="00195BE7" w:rsidP="00195BE7">
            <w:pPr>
              <w:spacing w:line="240" w:lineRule="exact"/>
              <w:ind w:hanging="28"/>
              <w:rPr>
                <w:sz w:val="16"/>
                <w:szCs w:val="16"/>
                <w:lang w:val="eu-ES"/>
              </w:rPr>
            </w:pPr>
            <w:r w:rsidRPr="001E2F6E">
              <w:rPr>
                <w:sz w:val="16"/>
                <w:szCs w:val="16"/>
                <w:lang w:val="eu-ES"/>
              </w:rPr>
              <w:t>Eraikuntza</w:t>
            </w:r>
          </w:p>
        </w:tc>
        <w:tc>
          <w:tcPr>
            <w:tcW w:w="708" w:type="pct"/>
            <w:tcBorders>
              <w:top w:val="nil"/>
              <w:left w:val="nil"/>
              <w:bottom w:val="nil"/>
              <w:right w:val="nil"/>
            </w:tcBorders>
            <w:shd w:val="clear" w:color="auto" w:fill="auto"/>
            <w:noWrap/>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58.440.259</w:t>
            </w:r>
          </w:p>
        </w:tc>
        <w:tc>
          <w:tcPr>
            <w:tcW w:w="358" w:type="pct"/>
            <w:tcBorders>
              <w:top w:val="nil"/>
              <w:left w:val="nil"/>
              <w:bottom w:val="nil"/>
              <w:right w:val="single" w:sz="8" w:space="0" w:color="BFBFBF"/>
            </w:tcBorders>
            <w:shd w:val="clear" w:color="auto" w:fill="auto"/>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2,2</w:t>
            </w:r>
          </w:p>
        </w:tc>
        <w:tc>
          <w:tcPr>
            <w:tcW w:w="708" w:type="pct"/>
            <w:tcBorders>
              <w:top w:val="nil"/>
              <w:left w:val="nil"/>
              <w:bottom w:val="nil"/>
              <w:right w:val="nil"/>
            </w:tcBorders>
            <w:shd w:val="clear" w:color="auto" w:fill="auto"/>
            <w:noWrap/>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39.203.323</w:t>
            </w:r>
          </w:p>
        </w:tc>
        <w:tc>
          <w:tcPr>
            <w:tcW w:w="347" w:type="pct"/>
            <w:tcBorders>
              <w:top w:val="nil"/>
              <w:left w:val="nil"/>
              <w:bottom w:val="nil"/>
              <w:right w:val="single" w:sz="8" w:space="0" w:color="BFBFBF"/>
            </w:tcBorders>
            <w:shd w:val="clear" w:color="auto" w:fill="auto"/>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1,6</w:t>
            </w:r>
          </w:p>
        </w:tc>
        <w:tc>
          <w:tcPr>
            <w:tcW w:w="674" w:type="pct"/>
            <w:tcBorders>
              <w:top w:val="nil"/>
              <w:left w:val="nil"/>
              <w:bottom w:val="nil"/>
              <w:right w:val="nil"/>
            </w:tcBorders>
            <w:shd w:val="clear" w:color="auto" w:fill="auto"/>
            <w:noWrap/>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6.657.573</w:t>
            </w:r>
          </w:p>
        </w:tc>
        <w:tc>
          <w:tcPr>
            <w:tcW w:w="349" w:type="pct"/>
            <w:tcBorders>
              <w:top w:val="nil"/>
              <w:left w:val="nil"/>
              <w:bottom w:val="nil"/>
              <w:right w:val="single" w:sz="8" w:space="0" w:color="BFBFBF"/>
            </w:tcBorders>
            <w:shd w:val="clear" w:color="auto" w:fill="auto"/>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4,5</w:t>
            </w:r>
          </w:p>
        </w:tc>
        <w:tc>
          <w:tcPr>
            <w:tcW w:w="674" w:type="pct"/>
            <w:tcBorders>
              <w:top w:val="nil"/>
              <w:left w:val="nil"/>
              <w:bottom w:val="nil"/>
              <w:right w:val="nil"/>
            </w:tcBorders>
            <w:shd w:val="clear" w:color="auto" w:fill="auto"/>
            <w:noWrap/>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12.579.362</w:t>
            </w:r>
          </w:p>
        </w:tc>
        <w:tc>
          <w:tcPr>
            <w:tcW w:w="349" w:type="pct"/>
            <w:tcBorders>
              <w:top w:val="nil"/>
              <w:left w:val="nil"/>
              <w:bottom w:val="nil"/>
              <w:right w:val="nil"/>
            </w:tcBorders>
            <w:shd w:val="clear" w:color="auto" w:fill="auto"/>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12,3</w:t>
            </w:r>
          </w:p>
        </w:tc>
      </w:tr>
      <w:tr w:rsidR="00195BE7" w:rsidRPr="001E2F6E" w:rsidTr="00195BE7">
        <w:tc>
          <w:tcPr>
            <w:tcW w:w="834" w:type="pct"/>
            <w:tcBorders>
              <w:top w:val="nil"/>
              <w:left w:val="nil"/>
              <w:bottom w:val="single" w:sz="8" w:space="0" w:color="BFBFBF"/>
              <w:right w:val="single" w:sz="8" w:space="0" w:color="BFBFBF"/>
            </w:tcBorders>
            <w:shd w:val="clear" w:color="auto" w:fill="auto"/>
            <w:hideMark/>
          </w:tcPr>
          <w:p w:rsidR="00195BE7" w:rsidRPr="001E2F6E" w:rsidRDefault="00195BE7" w:rsidP="00195BE7">
            <w:pPr>
              <w:spacing w:line="240" w:lineRule="exact"/>
              <w:ind w:hanging="28"/>
              <w:rPr>
                <w:sz w:val="16"/>
                <w:szCs w:val="16"/>
                <w:lang w:val="eu-ES"/>
              </w:rPr>
            </w:pPr>
            <w:r w:rsidRPr="001E2F6E">
              <w:rPr>
                <w:sz w:val="16"/>
                <w:szCs w:val="16"/>
                <w:lang w:val="eu-ES"/>
              </w:rPr>
              <w:t>Zerbitzuak</w:t>
            </w:r>
          </w:p>
        </w:tc>
        <w:tc>
          <w:tcPr>
            <w:tcW w:w="708" w:type="pct"/>
            <w:tcBorders>
              <w:top w:val="nil"/>
              <w:left w:val="nil"/>
              <w:bottom w:val="single" w:sz="8" w:space="0" w:color="BFBFBF"/>
              <w:right w:val="nil"/>
            </w:tcBorders>
            <w:shd w:val="clear" w:color="auto" w:fill="auto"/>
            <w:noWrap/>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1.219.850.876</w:t>
            </w:r>
          </w:p>
        </w:tc>
        <w:tc>
          <w:tcPr>
            <w:tcW w:w="358" w:type="pct"/>
            <w:tcBorders>
              <w:top w:val="nil"/>
              <w:left w:val="nil"/>
              <w:bottom w:val="single" w:sz="8" w:space="0" w:color="BFBFBF"/>
              <w:right w:val="single" w:sz="8" w:space="0" w:color="BFBFBF"/>
            </w:tcBorders>
            <w:shd w:val="clear" w:color="auto" w:fill="auto"/>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46,1</w:t>
            </w:r>
          </w:p>
        </w:tc>
        <w:tc>
          <w:tcPr>
            <w:tcW w:w="708" w:type="pct"/>
            <w:tcBorders>
              <w:top w:val="nil"/>
              <w:left w:val="nil"/>
              <w:bottom w:val="single" w:sz="8" w:space="0" w:color="BFBFBF"/>
              <w:right w:val="nil"/>
            </w:tcBorders>
            <w:shd w:val="clear" w:color="auto" w:fill="auto"/>
            <w:noWrap/>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1.157.087.983</w:t>
            </w:r>
          </w:p>
        </w:tc>
        <w:tc>
          <w:tcPr>
            <w:tcW w:w="347" w:type="pct"/>
            <w:tcBorders>
              <w:top w:val="nil"/>
              <w:left w:val="nil"/>
              <w:bottom w:val="single" w:sz="8" w:space="0" w:color="BFBFBF"/>
              <w:right w:val="single" w:sz="8" w:space="0" w:color="BFBFBF"/>
            </w:tcBorders>
            <w:shd w:val="clear" w:color="auto" w:fill="auto"/>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48,3</w:t>
            </w:r>
          </w:p>
        </w:tc>
        <w:tc>
          <w:tcPr>
            <w:tcW w:w="674" w:type="pct"/>
            <w:tcBorders>
              <w:top w:val="nil"/>
              <w:left w:val="nil"/>
              <w:bottom w:val="single" w:sz="8" w:space="0" w:color="BFBFBF"/>
              <w:right w:val="nil"/>
            </w:tcBorders>
            <w:shd w:val="clear" w:color="auto" w:fill="auto"/>
            <w:noWrap/>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22.617.472</w:t>
            </w:r>
          </w:p>
        </w:tc>
        <w:tc>
          <w:tcPr>
            <w:tcW w:w="349" w:type="pct"/>
            <w:tcBorders>
              <w:top w:val="nil"/>
              <w:left w:val="nil"/>
              <w:bottom w:val="single" w:sz="8" w:space="0" w:color="BFBFBF"/>
              <w:right w:val="single" w:sz="8" w:space="0" w:color="BFBFBF"/>
            </w:tcBorders>
            <w:shd w:val="clear" w:color="auto" w:fill="auto"/>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15,4</w:t>
            </w:r>
          </w:p>
        </w:tc>
        <w:tc>
          <w:tcPr>
            <w:tcW w:w="674" w:type="pct"/>
            <w:tcBorders>
              <w:top w:val="nil"/>
              <w:left w:val="nil"/>
              <w:bottom w:val="single" w:sz="8" w:space="0" w:color="BFBFBF"/>
              <w:right w:val="nil"/>
            </w:tcBorders>
            <w:shd w:val="clear" w:color="auto" w:fill="auto"/>
            <w:noWrap/>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40.145.421</w:t>
            </w:r>
          </w:p>
        </w:tc>
        <w:tc>
          <w:tcPr>
            <w:tcW w:w="349" w:type="pct"/>
            <w:tcBorders>
              <w:top w:val="nil"/>
              <w:left w:val="nil"/>
              <w:bottom w:val="single" w:sz="8" w:space="0" w:color="BFBFBF"/>
              <w:right w:val="single" w:sz="8" w:space="0" w:color="BFBFBF"/>
            </w:tcBorders>
            <w:shd w:val="clear" w:color="auto" w:fill="auto"/>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39,2</w:t>
            </w:r>
          </w:p>
        </w:tc>
      </w:tr>
      <w:tr w:rsidR="00195BE7" w:rsidRPr="001E2F6E" w:rsidTr="00195BE7">
        <w:tc>
          <w:tcPr>
            <w:tcW w:w="834" w:type="pct"/>
            <w:tcBorders>
              <w:top w:val="nil"/>
              <w:left w:val="nil"/>
              <w:bottom w:val="single" w:sz="8" w:space="0" w:color="BFBFBF"/>
              <w:right w:val="single" w:sz="8" w:space="0" w:color="BFBFBF"/>
            </w:tcBorders>
            <w:shd w:val="clear" w:color="auto" w:fill="auto"/>
            <w:hideMark/>
          </w:tcPr>
          <w:p w:rsidR="00195BE7" w:rsidRPr="001E2F6E" w:rsidRDefault="00195BE7" w:rsidP="00195BE7">
            <w:pPr>
              <w:spacing w:line="240" w:lineRule="exact"/>
              <w:ind w:right="-133" w:hanging="28"/>
              <w:rPr>
                <w:b/>
                <w:bCs/>
                <w:sz w:val="16"/>
                <w:szCs w:val="16"/>
                <w:lang w:val="eu-ES"/>
              </w:rPr>
            </w:pPr>
            <w:r w:rsidRPr="001E2F6E">
              <w:rPr>
                <w:b/>
                <w:bCs/>
                <w:sz w:val="16"/>
                <w:szCs w:val="16"/>
                <w:lang w:val="eu-ES"/>
              </w:rPr>
              <w:t>GUZTIRA</w:t>
            </w:r>
          </w:p>
        </w:tc>
        <w:tc>
          <w:tcPr>
            <w:tcW w:w="708" w:type="pct"/>
            <w:tcBorders>
              <w:top w:val="nil"/>
              <w:left w:val="nil"/>
              <w:bottom w:val="single" w:sz="8" w:space="0" w:color="BFBFBF"/>
              <w:right w:val="nil"/>
            </w:tcBorders>
            <w:shd w:val="clear" w:color="auto" w:fill="auto"/>
            <w:hideMark/>
          </w:tcPr>
          <w:p w:rsidR="00195BE7" w:rsidRPr="001E2F6E" w:rsidRDefault="00195BE7" w:rsidP="00195BE7">
            <w:pPr>
              <w:spacing w:line="240" w:lineRule="exact"/>
              <w:ind w:right="170"/>
              <w:jc w:val="right"/>
              <w:rPr>
                <w:b/>
                <w:bCs/>
                <w:color w:val="000000"/>
                <w:sz w:val="16"/>
                <w:szCs w:val="16"/>
              </w:rPr>
            </w:pPr>
            <w:r w:rsidRPr="001E2F6E">
              <w:rPr>
                <w:b/>
                <w:bCs/>
                <w:color w:val="000000"/>
                <w:sz w:val="16"/>
                <w:szCs w:val="16"/>
              </w:rPr>
              <w:t>2.643.374.568</w:t>
            </w:r>
          </w:p>
        </w:tc>
        <w:tc>
          <w:tcPr>
            <w:tcW w:w="358" w:type="pct"/>
            <w:tcBorders>
              <w:top w:val="nil"/>
              <w:left w:val="nil"/>
              <w:bottom w:val="single" w:sz="8" w:space="0" w:color="BFBFBF"/>
              <w:right w:val="single" w:sz="8" w:space="0" w:color="BFBFBF"/>
            </w:tcBorders>
            <w:shd w:val="clear" w:color="auto" w:fill="auto"/>
            <w:hideMark/>
          </w:tcPr>
          <w:p w:rsidR="00195BE7" w:rsidRPr="001E2F6E" w:rsidRDefault="00195BE7" w:rsidP="00195BE7">
            <w:pPr>
              <w:spacing w:line="240" w:lineRule="exact"/>
              <w:ind w:right="170"/>
              <w:jc w:val="right"/>
              <w:rPr>
                <w:b/>
                <w:bCs/>
                <w:color w:val="000000"/>
                <w:sz w:val="16"/>
                <w:szCs w:val="16"/>
              </w:rPr>
            </w:pPr>
            <w:r w:rsidRPr="001E2F6E">
              <w:rPr>
                <w:b/>
                <w:bCs/>
                <w:color w:val="000000"/>
                <w:sz w:val="16"/>
                <w:szCs w:val="16"/>
              </w:rPr>
              <w:t>100</w:t>
            </w:r>
          </w:p>
        </w:tc>
        <w:tc>
          <w:tcPr>
            <w:tcW w:w="708" w:type="pct"/>
            <w:tcBorders>
              <w:top w:val="nil"/>
              <w:left w:val="nil"/>
              <w:bottom w:val="single" w:sz="8" w:space="0" w:color="BFBFBF"/>
              <w:right w:val="nil"/>
            </w:tcBorders>
            <w:shd w:val="clear" w:color="auto" w:fill="auto"/>
            <w:hideMark/>
          </w:tcPr>
          <w:p w:rsidR="00195BE7" w:rsidRPr="001E2F6E" w:rsidRDefault="00195BE7" w:rsidP="00195BE7">
            <w:pPr>
              <w:spacing w:line="240" w:lineRule="exact"/>
              <w:ind w:right="170"/>
              <w:jc w:val="right"/>
              <w:rPr>
                <w:b/>
                <w:bCs/>
                <w:color w:val="000000"/>
                <w:sz w:val="16"/>
                <w:szCs w:val="16"/>
              </w:rPr>
            </w:pPr>
            <w:r w:rsidRPr="001E2F6E">
              <w:rPr>
                <w:b/>
                <w:bCs/>
                <w:color w:val="000000"/>
                <w:sz w:val="16"/>
                <w:szCs w:val="16"/>
              </w:rPr>
              <w:t>2.394.312.612</w:t>
            </w:r>
          </w:p>
        </w:tc>
        <w:tc>
          <w:tcPr>
            <w:tcW w:w="347" w:type="pct"/>
            <w:tcBorders>
              <w:top w:val="nil"/>
              <w:left w:val="nil"/>
              <w:bottom w:val="single" w:sz="8" w:space="0" w:color="BFBFBF"/>
              <w:right w:val="single" w:sz="8" w:space="0" w:color="BFBFBF"/>
            </w:tcBorders>
            <w:shd w:val="clear" w:color="auto" w:fill="auto"/>
            <w:hideMark/>
          </w:tcPr>
          <w:p w:rsidR="00195BE7" w:rsidRPr="001E2F6E" w:rsidRDefault="00195BE7" w:rsidP="00195BE7">
            <w:pPr>
              <w:spacing w:line="240" w:lineRule="exact"/>
              <w:ind w:right="170"/>
              <w:jc w:val="right"/>
              <w:rPr>
                <w:b/>
                <w:bCs/>
                <w:color w:val="000000"/>
                <w:sz w:val="16"/>
                <w:szCs w:val="16"/>
              </w:rPr>
            </w:pPr>
            <w:r w:rsidRPr="001E2F6E">
              <w:rPr>
                <w:b/>
                <w:bCs/>
                <w:color w:val="000000"/>
                <w:sz w:val="16"/>
                <w:szCs w:val="16"/>
              </w:rPr>
              <w:t>100</w:t>
            </w:r>
          </w:p>
        </w:tc>
        <w:tc>
          <w:tcPr>
            <w:tcW w:w="674" w:type="pct"/>
            <w:tcBorders>
              <w:top w:val="nil"/>
              <w:left w:val="nil"/>
              <w:bottom w:val="single" w:sz="8" w:space="0" w:color="BFBFBF"/>
              <w:right w:val="nil"/>
            </w:tcBorders>
            <w:shd w:val="clear" w:color="auto" w:fill="auto"/>
            <w:hideMark/>
          </w:tcPr>
          <w:p w:rsidR="00195BE7" w:rsidRPr="001E2F6E" w:rsidRDefault="00195BE7" w:rsidP="00195BE7">
            <w:pPr>
              <w:spacing w:line="240" w:lineRule="exact"/>
              <w:ind w:right="170"/>
              <w:jc w:val="right"/>
              <w:rPr>
                <w:b/>
                <w:bCs/>
                <w:color w:val="000000"/>
                <w:sz w:val="16"/>
                <w:szCs w:val="16"/>
              </w:rPr>
            </w:pPr>
            <w:r w:rsidRPr="001E2F6E">
              <w:rPr>
                <w:b/>
                <w:bCs/>
                <w:color w:val="000000"/>
                <w:sz w:val="16"/>
                <w:szCs w:val="16"/>
              </w:rPr>
              <w:t>146.715.863</w:t>
            </w:r>
          </w:p>
        </w:tc>
        <w:tc>
          <w:tcPr>
            <w:tcW w:w="349" w:type="pct"/>
            <w:tcBorders>
              <w:top w:val="nil"/>
              <w:left w:val="nil"/>
              <w:bottom w:val="single" w:sz="8" w:space="0" w:color="BFBFBF"/>
              <w:right w:val="single" w:sz="8" w:space="0" w:color="BFBFBF"/>
            </w:tcBorders>
            <w:shd w:val="clear" w:color="auto" w:fill="auto"/>
            <w:hideMark/>
          </w:tcPr>
          <w:p w:rsidR="00195BE7" w:rsidRPr="001E2F6E" w:rsidRDefault="00195BE7" w:rsidP="00195BE7">
            <w:pPr>
              <w:spacing w:line="240" w:lineRule="exact"/>
              <w:ind w:right="170"/>
              <w:jc w:val="right"/>
              <w:rPr>
                <w:b/>
                <w:bCs/>
                <w:color w:val="000000"/>
                <w:sz w:val="16"/>
                <w:szCs w:val="16"/>
              </w:rPr>
            </w:pPr>
            <w:r w:rsidRPr="001E2F6E">
              <w:rPr>
                <w:b/>
                <w:bCs/>
                <w:color w:val="000000"/>
                <w:sz w:val="16"/>
                <w:szCs w:val="16"/>
              </w:rPr>
              <w:t>100</w:t>
            </w:r>
          </w:p>
        </w:tc>
        <w:tc>
          <w:tcPr>
            <w:tcW w:w="674" w:type="pct"/>
            <w:tcBorders>
              <w:top w:val="nil"/>
              <w:left w:val="nil"/>
              <w:bottom w:val="single" w:sz="8" w:space="0" w:color="BFBFBF"/>
              <w:right w:val="nil"/>
            </w:tcBorders>
            <w:shd w:val="clear" w:color="auto" w:fill="auto"/>
            <w:hideMark/>
          </w:tcPr>
          <w:p w:rsidR="00195BE7" w:rsidRPr="001E2F6E" w:rsidRDefault="00195BE7" w:rsidP="00195BE7">
            <w:pPr>
              <w:spacing w:line="240" w:lineRule="exact"/>
              <w:ind w:right="170"/>
              <w:jc w:val="right"/>
              <w:rPr>
                <w:b/>
                <w:bCs/>
                <w:color w:val="000000"/>
                <w:sz w:val="16"/>
                <w:szCs w:val="16"/>
              </w:rPr>
            </w:pPr>
            <w:r w:rsidRPr="001E2F6E">
              <w:rPr>
                <w:b/>
                <w:bCs/>
                <w:color w:val="000000"/>
                <w:sz w:val="16"/>
                <w:szCs w:val="16"/>
              </w:rPr>
              <w:t>102.346.094</w:t>
            </w:r>
          </w:p>
        </w:tc>
        <w:tc>
          <w:tcPr>
            <w:tcW w:w="349" w:type="pct"/>
            <w:tcBorders>
              <w:top w:val="nil"/>
              <w:left w:val="nil"/>
              <w:bottom w:val="single" w:sz="8" w:space="0" w:color="BFBFBF"/>
              <w:right w:val="nil"/>
            </w:tcBorders>
            <w:shd w:val="clear" w:color="auto" w:fill="auto"/>
            <w:hideMark/>
          </w:tcPr>
          <w:p w:rsidR="00195BE7" w:rsidRPr="001E2F6E" w:rsidRDefault="00195BE7" w:rsidP="00195BE7">
            <w:pPr>
              <w:spacing w:line="240" w:lineRule="exact"/>
              <w:ind w:right="170"/>
              <w:jc w:val="right"/>
              <w:rPr>
                <w:b/>
                <w:bCs/>
                <w:color w:val="000000"/>
                <w:sz w:val="16"/>
                <w:szCs w:val="16"/>
              </w:rPr>
            </w:pPr>
            <w:r w:rsidRPr="001E2F6E">
              <w:rPr>
                <w:b/>
                <w:bCs/>
                <w:color w:val="000000"/>
                <w:sz w:val="16"/>
                <w:szCs w:val="16"/>
              </w:rPr>
              <w:t>100</w:t>
            </w:r>
          </w:p>
        </w:tc>
      </w:tr>
    </w:tbl>
    <w:p w:rsidR="00195BE7" w:rsidRDefault="00195BE7" w:rsidP="00195BE7"/>
    <w:p w:rsidR="00067A2F" w:rsidRDefault="00067A2F" w:rsidP="00195BE7"/>
    <w:p w:rsidR="00067A2F" w:rsidRPr="001E2F6E" w:rsidRDefault="00067A2F" w:rsidP="00195BE7"/>
    <w:p w:rsidR="00195BE7" w:rsidRPr="001E2F6E" w:rsidRDefault="00195BE7" w:rsidP="00195BE7">
      <w:pPr>
        <w:spacing w:line="240" w:lineRule="auto"/>
        <w:jc w:val="center"/>
        <w:rPr>
          <w:b/>
          <w:color w:val="1F497D" w:themeColor="text2"/>
          <w:sz w:val="18"/>
          <w:szCs w:val="18"/>
        </w:rPr>
      </w:pPr>
      <w:bookmarkStart w:id="136" w:name="_Toc391565497"/>
      <w:bookmarkStart w:id="137" w:name="_Toc391989105"/>
      <w:bookmarkStart w:id="138" w:name="_Toc392585770"/>
      <w:r w:rsidRPr="001E2F6E">
        <w:rPr>
          <w:b/>
          <w:color w:val="1F497D" w:themeColor="text2"/>
          <w:sz w:val="18"/>
          <w:szCs w:val="18"/>
        </w:rPr>
        <w:t>1.</w:t>
      </w:r>
      <w:r w:rsidR="00EB6BA6" w:rsidRPr="001E2F6E">
        <w:rPr>
          <w:b/>
          <w:color w:val="1F497D" w:themeColor="text2"/>
          <w:sz w:val="18"/>
          <w:szCs w:val="18"/>
        </w:rPr>
        <w:fldChar w:fldCharType="begin"/>
      </w:r>
      <w:r w:rsidRPr="001E2F6E">
        <w:rPr>
          <w:b/>
          <w:color w:val="1F497D" w:themeColor="text2"/>
          <w:sz w:val="18"/>
          <w:szCs w:val="18"/>
        </w:rPr>
        <w:instrText xml:space="preserve"> SEQ Cuadro_1. \* ARABIC </w:instrText>
      </w:r>
      <w:r w:rsidR="00EB6BA6" w:rsidRPr="001E2F6E">
        <w:rPr>
          <w:b/>
          <w:color w:val="1F497D" w:themeColor="text2"/>
          <w:sz w:val="18"/>
          <w:szCs w:val="18"/>
        </w:rPr>
        <w:fldChar w:fldCharType="separate"/>
      </w:r>
      <w:r w:rsidR="00A327D4">
        <w:rPr>
          <w:b/>
          <w:noProof/>
          <w:color w:val="1F497D" w:themeColor="text2"/>
          <w:sz w:val="18"/>
          <w:szCs w:val="18"/>
        </w:rPr>
        <w:t>35</w:t>
      </w:r>
      <w:r w:rsidR="00EB6BA6" w:rsidRPr="001E2F6E">
        <w:rPr>
          <w:b/>
          <w:color w:val="1F497D" w:themeColor="text2"/>
          <w:sz w:val="18"/>
          <w:szCs w:val="18"/>
        </w:rPr>
        <w:fldChar w:fldCharType="end"/>
      </w:r>
      <w:r w:rsidRPr="001E2F6E">
        <w:rPr>
          <w:b/>
          <w:color w:val="1F497D" w:themeColor="text2"/>
          <w:sz w:val="18"/>
          <w:szCs w:val="18"/>
        </w:rPr>
        <w:t xml:space="preserve"> Taula </w:t>
      </w:r>
      <w:bookmarkStart w:id="139" w:name="_Toc391565498"/>
      <w:bookmarkEnd w:id="136"/>
      <w:r w:rsidRPr="001E2F6E">
        <w:rPr>
          <w:b/>
          <w:color w:val="1F497D" w:themeColor="text2"/>
          <w:sz w:val="18"/>
          <w:szCs w:val="18"/>
        </w:rPr>
        <w:t>ARLOZ ARLOKO PRODUKTIBITATE ANTZEMANGARRIA KOOPERATIBA, SAL ETA SML SOZIETATEETAN. KONPARAZIOZKO ERREFERENTZIA 2010 eta 2012 (BEGd euroak/enplegatua).</w:t>
      </w:r>
      <w:bookmarkEnd w:id="137"/>
      <w:bookmarkEnd w:id="138"/>
      <w:bookmarkEnd w:id="139"/>
    </w:p>
    <w:tbl>
      <w:tblPr>
        <w:tblW w:w="5000" w:type="pct"/>
        <w:tblCellMar>
          <w:left w:w="70" w:type="dxa"/>
          <w:right w:w="70" w:type="dxa"/>
        </w:tblCellMar>
        <w:tblLook w:val="04A0" w:firstRow="1" w:lastRow="0" w:firstColumn="1" w:lastColumn="0" w:noHBand="0" w:noVBand="1"/>
      </w:tblPr>
      <w:tblGrid>
        <w:gridCol w:w="1047"/>
        <w:gridCol w:w="1055"/>
        <w:gridCol w:w="1057"/>
        <w:gridCol w:w="961"/>
        <w:gridCol w:w="962"/>
        <w:gridCol w:w="961"/>
        <w:gridCol w:w="962"/>
        <w:gridCol w:w="961"/>
        <w:gridCol w:w="962"/>
      </w:tblGrid>
      <w:tr w:rsidR="00195BE7" w:rsidRPr="001E2F6E" w:rsidTr="00195BE7">
        <w:tc>
          <w:tcPr>
            <w:tcW w:w="586" w:type="pct"/>
            <w:vMerge w:val="restart"/>
            <w:tcBorders>
              <w:top w:val="single" w:sz="8" w:space="0" w:color="BFBFBF"/>
              <w:left w:val="nil"/>
              <w:bottom w:val="single" w:sz="8" w:space="0" w:color="BFBFBF"/>
              <w:right w:val="single" w:sz="8" w:space="0" w:color="BFBFBF"/>
            </w:tcBorders>
            <w:shd w:val="clear" w:color="000000" w:fill="DBE5F1"/>
            <w:hideMark/>
          </w:tcPr>
          <w:p w:rsidR="00195BE7" w:rsidRPr="001E2F6E" w:rsidRDefault="00195BE7" w:rsidP="00195BE7">
            <w:pPr>
              <w:spacing w:line="240" w:lineRule="exact"/>
              <w:rPr>
                <w:rFonts w:ascii="Calibri" w:hAnsi="Calibri"/>
                <w:color w:val="000000"/>
              </w:rPr>
            </w:pPr>
            <w:r w:rsidRPr="001E2F6E">
              <w:rPr>
                <w:rFonts w:ascii="Calibri" w:hAnsi="Calibri"/>
                <w:color w:val="000000"/>
              </w:rPr>
              <w:t> </w:t>
            </w:r>
          </w:p>
        </w:tc>
        <w:tc>
          <w:tcPr>
            <w:tcW w:w="1183" w:type="pct"/>
            <w:gridSpan w:val="2"/>
            <w:tcBorders>
              <w:top w:val="single" w:sz="8" w:space="0" w:color="BFBFBF"/>
              <w:left w:val="nil"/>
              <w:bottom w:val="single" w:sz="8" w:space="0" w:color="BFBFBF"/>
              <w:right w:val="single" w:sz="8" w:space="0" w:color="BFBFBF"/>
            </w:tcBorders>
            <w:shd w:val="clear" w:color="000000" w:fill="DBE5F1"/>
            <w:vAlign w:val="bottom"/>
            <w:hideMark/>
          </w:tcPr>
          <w:p w:rsidR="00195BE7" w:rsidRPr="001E2F6E" w:rsidRDefault="00195BE7" w:rsidP="00195BE7">
            <w:pPr>
              <w:spacing w:line="240" w:lineRule="exact"/>
              <w:jc w:val="center"/>
              <w:rPr>
                <w:rFonts w:eastAsia="Times New Roman"/>
                <w:b/>
                <w:bCs/>
                <w:color w:val="000000"/>
                <w:sz w:val="16"/>
                <w:szCs w:val="16"/>
                <w:lang w:eastAsia="es-ES"/>
              </w:rPr>
            </w:pPr>
            <w:r w:rsidRPr="001E2F6E">
              <w:rPr>
                <w:rFonts w:eastAsia="Times New Roman"/>
                <w:b/>
                <w:bCs/>
                <w:color w:val="000000"/>
                <w:sz w:val="16"/>
                <w:szCs w:val="16"/>
                <w:lang w:eastAsia="es-ES"/>
              </w:rPr>
              <w:t>Koop.</w:t>
            </w:r>
          </w:p>
        </w:tc>
        <w:tc>
          <w:tcPr>
            <w:tcW w:w="1077" w:type="pct"/>
            <w:gridSpan w:val="2"/>
            <w:tcBorders>
              <w:top w:val="single" w:sz="8" w:space="0" w:color="BFBFBF"/>
              <w:left w:val="nil"/>
              <w:bottom w:val="single" w:sz="8" w:space="0" w:color="BFBFBF"/>
              <w:right w:val="single" w:sz="8" w:space="0" w:color="BFBFBF"/>
            </w:tcBorders>
            <w:shd w:val="clear" w:color="000000" w:fill="DBE5F1"/>
            <w:vAlign w:val="bottom"/>
            <w:hideMark/>
          </w:tcPr>
          <w:p w:rsidR="00195BE7" w:rsidRPr="001E2F6E" w:rsidRDefault="00195BE7" w:rsidP="00195BE7">
            <w:pPr>
              <w:spacing w:line="240" w:lineRule="exact"/>
              <w:jc w:val="center"/>
              <w:rPr>
                <w:rFonts w:eastAsia="Times New Roman"/>
                <w:b/>
                <w:bCs/>
                <w:color w:val="000000"/>
                <w:sz w:val="16"/>
                <w:szCs w:val="16"/>
                <w:lang w:eastAsia="es-ES"/>
              </w:rPr>
            </w:pPr>
            <w:r w:rsidRPr="001E2F6E">
              <w:rPr>
                <w:rFonts w:eastAsia="Times New Roman"/>
                <w:b/>
                <w:bCs/>
                <w:color w:val="000000"/>
                <w:sz w:val="16"/>
                <w:szCs w:val="16"/>
                <w:lang w:eastAsia="es-ES"/>
              </w:rPr>
              <w:t>LSA</w:t>
            </w:r>
          </w:p>
        </w:tc>
        <w:tc>
          <w:tcPr>
            <w:tcW w:w="1077" w:type="pct"/>
            <w:gridSpan w:val="2"/>
            <w:tcBorders>
              <w:top w:val="single" w:sz="8" w:space="0" w:color="BFBFBF"/>
              <w:left w:val="nil"/>
              <w:bottom w:val="single" w:sz="8" w:space="0" w:color="BFBFBF"/>
              <w:right w:val="single" w:sz="8" w:space="0" w:color="BFBFBF"/>
            </w:tcBorders>
            <w:shd w:val="clear" w:color="000000" w:fill="DBE5F1"/>
            <w:vAlign w:val="bottom"/>
            <w:hideMark/>
          </w:tcPr>
          <w:p w:rsidR="00195BE7" w:rsidRPr="001E2F6E" w:rsidRDefault="00195BE7" w:rsidP="00195BE7">
            <w:pPr>
              <w:spacing w:line="240" w:lineRule="exact"/>
              <w:jc w:val="center"/>
              <w:rPr>
                <w:rFonts w:eastAsia="Times New Roman"/>
                <w:b/>
                <w:bCs/>
                <w:color w:val="000000"/>
                <w:sz w:val="16"/>
                <w:szCs w:val="16"/>
                <w:lang w:eastAsia="es-ES"/>
              </w:rPr>
            </w:pPr>
            <w:r w:rsidRPr="001E2F6E">
              <w:rPr>
                <w:rFonts w:eastAsia="Times New Roman"/>
                <w:b/>
                <w:bCs/>
                <w:color w:val="000000"/>
                <w:sz w:val="16"/>
                <w:szCs w:val="16"/>
                <w:lang w:eastAsia="es-ES"/>
              </w:rPr>
              <w:t>LSM</w:t>
            </w:r>
          </w:p>
        </w:tc>
        <w:tc>
          <w:tcPr>
            <w:tcW w:w="1077" w:type="pct"/>
            <w:gridSpan w:val="2"/>
            <w:tcBorders>
              <w:top w:val="single" w:sz="8" w:space="0" w:color="BFBFBF"/>
              <w:left w:val="nil"/>
              <w:bottom w:val="single" w:sz="8" w:space="0" w:color="BFBFBF"/>
              <w:right w:val="nil"/>
            </w:tcBorders>
            <w:shd w:val="clear" w:color="000000" w:fill="DBE5F1"/>
            <w:hideMark/>
          </w:tcPr>
          <w:p w:rsidR="00195BE7" w:rsidRPr="001E2F6E" w:rsidRDefault="00195BE7" w:rsidP="00195BE7">
            <w:pPr>
              <w:spacing w:line="240" w:lineRule="exact"/>
              <w:jc w:val="center"/>
              <w:rPr>
                <w:rFonts w:eastAsia="Times New Roman"/>
                <w:b/>
                <w:bCs/>
                <w:sz w:val="16"/>
                <w:szCs w:val="16"/>
                <w:lang w:eastAsia="es-ES"/>
              </w:rPr>
            </w:pPr>
            <w:r w:rsidRPr="001E2F6E">
              <w:rPr>
                <w:b/>
                <w:bCs/>
                <w:sz w:val="16"/>
                <w:szCs w:val="16"/>
                <w:lang w:val="eu-ES"/>
              </w:rPr>
              <w:t>LSen agregatua</w:t>
            </w:r>
          </w:p>
        </w:tc>
      </w:tr>
      <w:tr w:rsidR="00195BE7" w:rsidRPr="001E2F6E" w:rsidTr="00195BE7">
        <w:tc>
          <w:tcPr>
            <w:tcW w:w="586" w:type="pct"/>
            <w:vMerge/>
            <w:tcBorders>
              <w:top w:val="single" w:sz="8" w:space="0" w:color="BFBFBF"/>
              <w:left w:val="nil"/>
              <w:bottom w:val="single" w:sz="8" w:space="0" w:color="BFBFBF"/>
              <w:right w:val="single" w:sz="8" w:space="0" w:color="BFBFBF"/>
            </w:tcBorders>
            <w:vAlign w:val="center"/>
            <w:hideMark/>
          </w:tcPr>
          <w:p w:rsidR="00195BE7" w:rsidRPr="001E2F6E" w:rsidRDefault="00195BE7" w:rsidP="00195BE7">
            <w:pPr>
              <w:spacing w:line="240" w:lineRule="exact"/>
              <w:rPr>
                <w:rFonts w:ascii="Calibri" w:hAnsi="Calibri"/>
                <w:color w:val="000000"/>
              </w:rPr>
            </w:pPr>
          </w:p>
        </w:tc>
        <w:tc>
          <w:tcPr>
            <w:tcW w:w="591" w:type="pct"/>
            <w:tcBorders>
              <w:top w:val="nil"/>
              <w:left w:val="nil"/>
              <w:bottom w:val="single" w:sz="8" w:space="0" w:color="BFBFBF"/>
              <w:right w:val="nil"/>
            </w:tcBorders>
            <w:shd w:val="clear" w:color="000000" w:fill="DBE5F1"/>
            <w:hideMark/>
          </w:tcPr>
          <w:p w:rsidR="00195BE7" w:rsidRPr="001E2F6E" w:rsidRDefault="00195BE7" w:rsidP="00195BE7">
            <w:pPr>
              <w:spacing w:line="240" w:lineRule="exact"/>
              <w:jc w:val="center"/>
              <w:rPr>
                <w:b/>
                <w:bCs/>
                <w:color w:val="000000"/>
                <w:sz w:val="16"/>
                <w:szCs w:val="16"/>
              </w:rPr>
            </w:pPr>
            <w:r w:rsidRPr="001E2F6E">
              <w:rPr>
                <w:b/>
                <w:bCs/>
                <w:color w:val="000000"/>
                <w:sz w:val="16"/>
                <w:szCs w:val="16"/>
              </w:rPr>
              <w:t>2010</w:t>
            </w:r>
          </w:p>
        </w:tc>
        <w:tc>
          <w:tcPr>
            <w:tcW w:w="592" w:type="pct"/>
            <w:tcBorders>
              <w:top w:val="nil"/>
              <w:left w:val="nil"/>
              <w:bottom w:val="single" w:sz="8" w:space="0" w:color="BFBFBF"/>
              <w:right w:val="single" w:sz="8" w:space="0" w:color="BFBFBF"/>
            </w:tcBorders>
            <w:shd w:val="clear" w:color="000000" w:fill="DBE5F1"/>
            <w:hideMark/>
          </w:tcPr>
          <w:p w:rsidR="00195BE7" w:rsidRPr="001E2F6E" w:rsidRDefault="00195BE7" w:rsidP="00195BE7">
            <w:pPr>
              <w:spacing w:line="240" w:lineRule="exact"/>
              <w:jc w:val="center"/>
              <w:rPr>
                <w:b/>
                <w:bCs/>
                <w:color w:val="000000"/>
                <w:sz w:val="16"/>
                <w:szCs w:val="16"/>
              </w:rPr>
            </w:pPr>
            <w:r w:rsidRPr="001E2F6E">
              <w:rPr>
                <w:b/>
                <w:bCs/>
                <w:color w:val="000000"/>
                <w:sz w:val="16"/>
                <w:szCs w:val="16"/>
              </w:rPr>
              <w:t>2012</w:t>
            </w:r>
          </w:p>
        </w:tc>
        <w:tc>
          <w:tcPr>
            <w:tcW w:w="538" w:type="pct"/>
            <w:tcBorders>
              <w:top w:val="nil"/>
              <w:left w:val="nil"/>
              <w:bottom w:val="single" w:sz="8" w:space="0" w:color="BFBFBF"/>
              <w:right w:val="nil"/>
            </w:tcBorders>
            <w:shd w:val="clear" w:color="000000" w:fill="DBE5F1"/>
            <w:hideMark/>
          </w:tcPr>
          <w:p w:rsidR="00195BE7" w:rsidRPr="001E2F6E" w:rsidRDefault="00195BE7" w:rsidP="00195BE7">
            <w:pPr>
              <w:spacing w:line="240" w:lineRule="exact"/>
              <w:jc w:val="center"/>
              <w:rPr>
                <w:b/>
                <w:bCs/>
                <w:color w:val="000000"/>
                <w:sz w:val="16"/>
                <w:szCs w:val="16"/>
              </w:rPr>
            </w:pPr>
            <w:r w:rsidRPr="001E2F6E">
              <w:rPr>
                <w:b/>
                <w:bCs/>
                <w:color w:val="000000"/>
                <w:sz w:val="16"/>
                <w:szCs w:val="16"/>
              </w:rPr>
              <w:t>2010</w:t>
            </w:r>
          </w:p>
        </w:tc>
        <w:tc>
          <w:tcPr>
            <w:tcW w:w="539" w:type="pct"/>
            <w:tcBorders>
              <w:top w:val="nil"/>
              <w:left w:val="nil"/>
              <w:bottom w:val="single" w:sz="8" w:space="0" w:color="BFBFBF"/>
              <w:right w:val="single" w:sz="8" w:space="0" w:color="BFBFBF"/>
            </w:tcBorders>
            <w:shd w:val="clear" w:color="000000" w:fill="DBE5F1"/>
            <w:hideMark/>
          </w:tcPr>
          <w:p w:rsidR="00195BE7" w:rsidRPr="001E2F6E" w:rsidRDefault="00195BE7" w:rsidP="00195BE7">
            <w:pPr>
              <w:spacing w:line="240" w:lineRule="exact"/>
              <w:jc w:val="center"/>
              <w:rPr>
                <w:b/>
                <w:bCs/>
                <w:color w:val="000000"/>
                <w:sz w:val="16"/>
                <w:szCs w:val="16"/>
              </w:rPr>
            </w:pPr>
            <w:r w:rsidRPr="001E2F6E">
              <w:rPr>
                <w:b/>
                <w:bCs/>
                <w:color w:val="000000"/>
                <w:sz w:val="16"/>
                <w:szCs w:val="16"/>
              </w:rPr>
              <w:t>2012</w:t>
            </w:r>
          </w:p>
        </w:tc>
        <w:tc>
          <w:tcPr>
            <w:tcW w:w="538" w:type="pct"/>
            <w:tcBorders>
              <w:top w:val="nil"/>
              <w:left w:val="nil"/>
              <w:bottom w:val="single" w:sz="8" w:space="0" w:color="BFBFBF"/>
              <w:right w:val="nil"/>
            </w:tcBorders>
            <w:shd w:val="clear" w:color="000000" w:fill="DBE5F1"/>
            <w:hideMark/>
          </w:tcPr>
          <w:p w:rsidR="00195BE7" w:rsidRPr="001E2F6E" w:rsidRDefault="00195BE7" w:rsidP="00195BE7">
            <w:pPr>
              <w:spacing w:line="240" w:lineRule="exact"/>
              <w:jc w:val="center"/>
              <w:rPr>
                <w:b/>
                <w:bCs/>
                <w:color w:val="000000"/>
                <w:sz w:val="16"/>
                <w:szCs w:val="16"/>
              </w:rPr>
            </w:pPr>
            <w:r w:rsidRPr="001E2F6E">
              <w:rPr>
                <w:b/>
                <w:bCs/>
                <w:color w:val="000000"/>
                <w:sz w:val="16"/>
                <w:szCs w:val="16"/>
              </w:rPr>
              <w:t>2010</w:t>
            </w:r>
          </w:p>
        </w:tc>
        <w:tc>
          <w:tcPr>
            <w:tcW w:w="539" w:type="pct"/>
            <w:tcBorders>
              <w:top w:val="nil"/>
              <w:left w:val="nil"/>
              <w:bottom w:val="single" w:sz="8" w:space="0" w:color="BFBFBF"/>
              <w:right w:val="single" w:sz="8" w:space="0" w:color="BFBFBF"/>
            </w:tcBorders>
            <w:shd w:val="clear" w:color="000000" w:fill="DBE5F1"/>
            <w:hideMark/>
          </w:tcPr>
          <w:p w:rsidR="00195BE7" w:rsidRPr="001E2F6E" w:rsidRDefault="00195BE7" w:rsidP="00195BE7">
            <w:pPr>
              <w:spacing w:line="240" w:lineRule="exact"/>
              <w:jc w:val="center"/>
              <w:rPr>
                <w:b/>
                <w:bCs/>
                <w:color w:val="000000"/>
                <w:sz w:val="16"/>
                <w:szCs w:val="16"/>
              </w:rPr>
            </w:pPr>
            <w:r w:rsidRPr="001E2F6E">
              <w:rPr>
                <w:b/>
                <w:bCs/>
                <w:color w:val="000000"/>
                <w:sz w:val="16"/>
                <w:szCs w:val="16"/>
              </w:rPr>
              <w:t>2012</w:t>
            </w:r>
          </w:p>
        </w:tc>
        <w:tc>
          <w:tcPr>
            <w:tcW w:w="538" w:type="pct"/>
            <w:tcBorders>
              <w:top w:val="nil"/>
              <w:left w:val="nil"/>
              <w:bottom w:val="single" w:sz="8" w:space="0" w:color="BFBFBF"/>
              <w:right w:val="nil"/>
            </w:tcBorders>
            <w:shd w:val="clear" w:color="000000" w:fill="DBE5F1"/>
            <w:hideMark/>
          </w:tcPr>
          <w:p w:rsidR="00195BE7" w:rsidRPr="001E2F6E" w:rsidRDefault="00195BE7" w:rsidP="00195BE7">
            <w:pPr>
              <w:spacing w:line="240" w:lineRule="exact"/>
              <w:jc w:val="center"/>
              <w:rPr>
                <w:b/>
                <w:bCs/>
                <w:color w:val="000000"/>
                <w:sz w:val="16"/>
                <w:szCs w:val="16"/>
              </w:rPr>
            </w:pPr>
            <w:r w:rsidRPr="001E2F6E">
              <w:rPr>
                <w:b/>
                <w:bCs/>
                <w:color w:val="000000"/>
                <w:sz w:val="16"/>
                <w:szCs w:val="16"/>
              </w:rPr>
              <w:t>2010</w:t>
            </w:r>
          </w:p>
        </w:tc>
        <w:tc>
          <w:tcPr>
            <w:tcW w:w="539" w:type="pct"/>
            <w:tcBorders>
              <w:top w:val="nil"/>
              <w:left w:val="nil"/>
              <w:bottom w:val="single" w:sz="8" w:space="0" w:color="BFBFBF"/>
              <w:right w:val="nil"/>
            </w:tcBorders>
            <w:shd w:val="clear" w:color="000000" w:fill="DBE5F1"/>
            <w:hideMark/>
          </w:tcPr>
          <w:p w:rsidR="00195BE7" w:rsidRPr="001E2F6E" w:rsidRDefault="00195BE7" w:rsidP="00195BE7">
            <w:pPr>
              <w:spacing w:line="240" w:lineRule="exact"/>
              <w:jc w:val="center"/>
              <w:rPr>
                <w:b/>
                <w:bCs/>
                <w:color w:val="000000"/>
                <w:sz w:val="16"/>
                <w:szCs w:val="16"/>
              </w:rPr>
            </w:pPr>
            <w:r w:rsidRPr="001E2F6E">
              <w:rPr>
                <w:b/>
                <w:bCs/>
                <w:color w:val="000000"/>
                <w:sz w:val="16"/>
                <w:szCs w:val="16"/>
              </w:rPr>
              <w:t>2012</w:t>
            </w:r>
          </w:p>
        </w:tc>
      </w:tr>
      <w:tr w:rsidR="00195BE7" w:rsidRPr="001E2F6E" w:rsidTr="00195BE7">
        <w:tc>
          <w:tcPr>
            <w:tcW w:w="586" w:type="pct"/>
            <w:tcBorders>
              <w:top w:val="nil"/>
              <w:left w:val="nil"/>
              <w:bottom w:val="nil"/>
              <w:right w:val="single" w:sz="8" w:space="0" w:color="BFBFBF"/>
            </w:tcBorders>
            <w:shd w:val="clear" w:color="auto" w:fill="auto"/>
            <w:hideMark/>
          </w:tcPr>
          <w:p w:rsidR="00195BE7" w:rsidRPr="001E2F6E" w:rsidRDefault="00195BE7" w:rsidP="00195BE7">
            <w:pPr>
              <w:spacing w:line="240" w:lineRule="exact"/>
              <w:rPr>
                <w:rFonts w:eastAsia="Times New Roman"/>
                <w:color w:val="000000"/>
                <w:sz w:val="16"/>
                <w:szCs w:val="16"/>
                <w:lang w:eastAsia="es-ES"/>
              </w:rPr>
            </w:pPr>
            <w:r w:rsidRPr="001E2F6E">
              <w:rPr>
                <w:rFonts w:eastAsia="Times New Roman"/>
                <w:color w:val="000000"/>
                <w:sz w:val="16"/>
                <w:szCs w:val="16"/>
                <w:lang w:eastAsia="es-ES"/>
              </w:rPr>
              <w:t>Industria</w:t>
            </w:r>
          </w:p>
        </w:tc>
        <w:tc>
          <w:tcPr>
            <w:tcW w:w="591" w:type="pct"/>
            <w:tcBorders>
              <w:top w:val="nil"/>
              <w:left w:val="nil"/>
              <w:bottom w:val="nil"/>
              <w:right w:val="nil"/>
            </w:tcBorders>
            <w:shd w:val="clear" w:color="auto" w:fill="auto"/>
            <w:noWrap/>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61.198</w:t>
            </w:r>
          </w:p>
        </w:tc>
        <w:tc>
          <w:tcPr>
            <w:tcW w:w="592" w:type="pct"/>
            <w:tcBorders>
              <w:top w:val="nil"/>
              <w:left w:val="nil"/>
              <w:bottom w:val="nil"/>
              <w:right w:val="single" w:sz="8" w:space="0" w:color="BFBFBF"/>
            </w:tcBorders>
            <w:shd w:val="clear" w:color="auto" w:fill="auto"/>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57.207</w:t>
            </w:r>
          </w:p>
        </w:tc>
        <w:tc>
          <w:tcPr>
            <w:tcW w:w="538" w:type="pct"/>
            <w:tcBorders>
              <w:top w:val="nil"/>
              <w:left w:val="nil"/>
              <w:bottom w:val="nil"/>
              <w:right w:val="nil"/>
            </w:tcBorders>
            <w:shd w:val="clear" w:color="auto" w:fill="auto"/>
            <w:noWrap/>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34.044</w:t>
            </w:r>
          </w:p>
        </w:tc>
        <w:tc>
          <w:tcPr>
            <w:tcW w:w="539" w:type="pct"/>
            <w:tcBorders>
              <w:top w:val="nil"/>
              <w:left w:val="nil"/>
              <w:bottom w:val="nil"/>
              <w:right w:val="single" w:sz="8" w:space="0" w:color="BFBFBF"/>
            </w:tcBorders>
            <w:shd w:val="clear" w:color="auto" w:fill="auto"/>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38.726</w:t>
            </w:r>
          </w:p>
        </w:tc>
        <w:tc>
          <w:tcPr>
            <w:tcW w:w="538" w:type="pct"/>
            <w:tcBorders>
              <w:top w:val="nil"/>
              <w:left w:val="nil"/>
              <w:bottom w:val="nil"/>
              <w:right w:val="nil"/>
            </w:tcBorders>
            <w:shd w:val="clear" w:color="auto" w:fill="auto"/>
            <w:noWrap/>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25.612</w:t>
            </w:r>
          </w:p>
        </w:tc>
        <w:tc>
          <w:tcPr>
            <w:tcW w:w="539" w:type="pct"/>
            <w:tcBorders>
              <w:top w:val="nil"/>
              <w:left w:val="nil"/>
              <w:bottom w:val="nil"/>
              <w:right w:val="single" w:sz="8" w:space="0" w:color="BFBFBF"/>
            </w:tcBorders>
            <w:shd w:val="clear" w:color="auto" w:fill="auto"/>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27.855</w:t>
            </w:r>
          </w:p>
        </w:tc>
        <w:tc>
          <w:tcPr>
            <w:tcW w:w="538" w:type="pct"/>
            <w:tcBorders>
              <w:top w:val="nil"/>
              <w:left w:val="nil"/>
              <w:bottom w:val="nil"/>
              <w:right w:val="nil"/>
            </w:tcBorders>
            <w:shd w:val="clear" w:color="auto" w:fill="auto"/>
            <w:noWrap/>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30.850</w:t>
            </w:r>
          </w:p>
        </w:tc>
        <w:tc>
          <w:tcPr>
            <w:tcW w:w="539" w:type="pct"/>
            <w:tcBorders>
              <w:top w:val="nil"/>
              <w:left w:val="nil"/>
              <w:bottom w:val="nil"/>
              <w:right w:val="nil"/>
            </w:tcBorders>
            <w:shd w:val="clear" w:color="auto" w:fill="auto"/>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34.709</w:t>
            </w:r>
          </w:p>
        </w:tc>
      </w:tr>
      <w:tr w:rsidR="00195BE7" w:rsidRPr="001E2F6E" w:rsidTr="00195BE7">
        <w:tc>
          <w:tcPr>
            <w:tcW w:w="586" w:type="pct"/>
            <w:tcBorders>
              <w:top w:val="nil"/>
              <w:left w:val="nil"/>
              <w:bottom w:val="single" w:sz="8" w:space="0" w:color="BFBFBF"/>
              <w:right w:val="single" w:sz="8" w:space="0" w:color="BFBFBF"/>
            </w:tcBorders>
            <w:shd w:val="clear" w:color="auto" w:fill="auto"/>
            <w:hideMark/>
          </w:tcPr>
          <w:p w:rsidR="00195BE7" w:rsidRPr="001E2F6E" w:rsidRDefault="00195BE7" w:rsidP="00195BE7">
            <w:pPr>
              <w:spacing w:line="240" w:lineRule="exact"/>
              <w:rPr>
                <w:rFonts w:eastAsia="Times New Roman"/>
                <w:color w:val="000000"/>
                <w:sz w:val="16"/>
                <w:szCs w:val="16"/>
                <w:lang w:eastAsia="es-ES"/>
              </w:rPr>
            </w:pPr>
            <w:r w:rsidRPr="001E2F6E">
              <w:rPr>
                <w:sz w:val="16"/>
                <w:szCs w:val="16"/>
                <w:lang w:val="eu-ES"/>
              </w:rPr>
              <w:t>Zerbitzuak</w:t>
            </w:r>
          </w:p>
        </w:tc>
        <w:tc>
          <w:tcPr>
            <w:tcW w:w="591" w:type="pct"/>
            <w:tcBorders>
              <w:top w:val="nil"/>
              <w:left w:val="nil"/>
              <w:bottom w:val="single" w:sz="8" w:space="0" w:color="BFBFBF"/>
              <w:right w:val="nil"/>
            </w:tcBorders>
            <w:shd w:val="clear" w:color="auto" w:fill="auto"/>
            <w:noWrap/>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44.434</w:t>
            </w:r>
          </w:p>
        </w:tc>
        <w:tc>
          <w:tcPr>
            <w:tcW w:w="592" w:type="pct"/>
            <w:tcBorders>
              <w:top w:val="nil"/>
              <w:left w:val="nil"/>
              <w:bottom w:val="single" w:sz="8" w:space="0" w:color="BFBFBF"/>
              <w:right w:val="single" w:sz="8" w:space="0" w:color="BFBFBF"/>
            </w:tcBorders>
            <w:shd w:val="clear" w:color="auto" w:fill="auto"/>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45.116</w:t>
            </w:r>
          </w:p>
        </w:tc>
        <w:tc>
          <w:tcPr>
            <w:tcW w:w="538" w:type="pct"/>
            <w:tcBorders>
              <w:top w:val="nil"/>
              <w:left w:val="nil"/>
              <w:bottom w:val="single" w:sz="8" w:space="0" w:color="BFBFBF"/>
              <w:right w:val="nil"/>
            </w:tcBorders>
            <w:shd w:val="clear" w:color="auto" w:fill="auto"/>
            <w:noWrap/>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29.621</w:t>
            </w:r>
          </w:p>
        </w:tc>
        <w:tc>
          <w:tcPr>
            <w:tcW w:w="539" w:type="pct"/>
            <w:tcBorders>
              <w:top w:val="nil"/>
              <w:left w:val="nil"/>
              <w:bottom w:val="single" w:sz="8" w:space="0" w:color="BFBFBF"/>
              <w:right w:val="single" w:sz="8" w:space="0" w:color="BFBFBF"/>
            </w:tcBorders>
            <w:shd w:val="clear" w:color="auto" w:fill="auto"/>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29.410</w:t>
            </w:r>
          </w:p>
        </w:tc>
        <w:tc>
          <w:tcPr>
            <w:tcW w:w="538" w:type="pct"/>
            <w:tcBorders>
              <w:top w:val="nil"/>
              <w:left w:val="nil"/>
              <w:bottom w:val="single" w:sz="8" w:space="0" w:color="BFBFBF"/>
              <w:right w:val="nil"/>
            </w:tcBorders>
            <w:shd w:val="clear" w:color="auto" w:fill="auto"/>
            <w:noWrap/>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24.473</w:t>
            </w:r>
          </w:p>
        </w:tc>
        <w:tc>
          <w:tcPr>
            <w:tcW w:w="539" w:type="pct"/>
            <w:tcBorders>
              <w:top w:val="nil"/>
              <w:left w:val="nil"/>
              <w:bottom w:val="single" w:sz="8" w:space="0" w:color="BFBFBF"/>
              <w:right w:val="single" w:sz="8" w:space="0" w:color="BFBFBF"/>
            </w:tcBorders>
            <w:shd w:val="clear" w:color="auto" w:fill="auto"/>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25.909</w:t>
            </w:r>
          </w:p>
        </w:tc>
        <w:tc>
          <w:tcPr>
            <w:tcW w:w="538" w:type="pct"/>
            <w:tcBorders>
              <w:top w:val="nil"/>
              <w:left w:val="nil"/>
              <w:bottom w:val="single" w:sz="8" w:space="0" w:color="BFBFBF"/>
              <w:right w:val="nil"/>
            </w:tcBorders>
            <w:shd w:val="clear" w:color="auto" w:fill="auto"/>
            <w:noWrap/>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27.949</w:t>
            </w:r>
          </w:p>
        </w:tc>
        <w:tc>
          <w:tcPr>
            <w:tcW w:w="539" w:type="pct"/>
            <w:tcBorders>
              <w:top w:val="nil"/>
              <w:left w:val="nil"/>
              <w:bottom w:val="single" w:sz="8" w:space="0" w:color="BFBFBF"/>
              <w:right w:val="single" w:sz="8" w:space="0" w:color="BFBFBF"/>
            </w:tcBorders>
            <w:shd w:val="clear" w:color="auto" w:fill="auto"/>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27.070</w:t>
            </w:r>
          </w:p>
        </w:tc>
      </w:tr>
      <w:tr w:rsidR="00195BE7" w:rsidRPr="001E2F6E" w:rsidTr="00195BE7">
        <w:tc>
          <w:tcPr>
            <w:tcW w:w="586" w:type="pct"/>
            <w:tcBorders>
              <w:top w:val="nil"/>
              <w:left w:val="nil"/>
              <w:bottom w:val="single" w:sz="8" w:space="0" w:color="BFBFBF"/>
              <w:right w:val="single" w:sz="8" w:space="0" w:color="BFBFBF"/>
            </w:tcBorders>
            <w:shd w:val="clear" w:color="auto" w:fill="auto"/>
            <w:hideMark/>
          </w:tcPr>
          <w:p w:rsidR="00195BE7" w:rsidRPr="001E2F6E" w:rsidRDefault="00195BE7" w:rsidP="00195BE7">
            <w:pPr>
              <w:spacing w:line="240" w:lineRule="exact"/>
              <w:rPr>
                <w:rFonts w:eastAsia="Times New Roman"/>
                <w:b/>
                <w:bCs/>
                <w:color w:val="000000"/>
                <w:sz w:val="16"/>
                <w:szCs w:val="16"/>
                <w:lang w:eastAsia="es-ES"/>
              </w:rPr>
            </w:pPr>
            <w:r w:rsidRPr="001E2F6E">
              <w:rPr>
                <w:rFonts w:eastAsia="Times New Roman"/>
                <w:b/>
                <w:bCs/>
                <w:color w:val="000000"/>
                <w:sz w:val="16"/>
                <w:szCs w:val="16"/>
                <w:lang w:eastAsia="es-ES"/>
              </w:rPr>
              <w:t>GUZTIRA</w:t>
            </w:r>
          </w:p>
        </w:tc>
        <w:tc>
          <w:tcPr>
            <w:tcW w:w="591" w:type="pct"/>
            <w:tcBorders>
              <w:top w:val="nil"/>
              <w:left w:val="nil"/>
              <w:bottom w:val="single" w:sz="8" w:space="0" w:color="BFBFBF"/>
              <w:right w:val="nil"/>
            </w:tcBorders>
            <w:shd w:val="clear" w:color="auto" w:fill="auto"/>
            <w:hideMark/>
          </w:tcPr>
          <w:p w:rsidR="00195BE7" w:rsidRPr="001E2F6E" w:rsidRDefault="00195BE7" w:rsidP="00195BE7">
            <w:pPr>
              <w:spacing w:line="240" w:lineRule="exact"/>
              <w:ind w:right="170"/>
              <w:jc w:val="right"/>
              <w:rPr>
                <w:b/>
                <w:bCs/>
                <w:color w:val="000000"/>
                <w:sz w:val="16"/>
                <w:szCs w:val="16"/>
              </w:rPr>
            </w:pPr>
            <w:r w:rsidRPr="001E2F6E">
              <w:rPr>
                <w:b/>
                <w:bCs/>
                <w:color w:val="000000"/>
                <w:sz w:val="16"/>
                <w:szCs w:val="16"/>
              </w:rPr>
              <w:t>51.383</w:t>
            </w:r>
          </w:p>
        </w:tc>
        <w:tc>
          <w:tcPr>
            <w:tcW w:w="592" w:type="pct"/>
            <w:tcBorders>
              <w:top w:val="nil"/>
              <w:left w:val="nil"/>
              <w:bottom w:val="single" w:sz="8" w:space="0" w:color="BFBFBF"/>
              <w:right w:val="single" w:sz="8" w:space="0" w:color="BFBFBF"/>
            </w:tcBorders>
            <w:shd w:val="clear" w:color="auto" w:fill="auto"/>
            <w:hideMark/>
          </w:tcPr>
          <w:p w:rsidR="00195BE7" w:rsidRPr="001E2F6E" w:rsidRDefault="00195BE7" w:rsidP="00195BE7">
            <w:pPr>
              <w:spacing w:line="240" w:lineRule="exact"/>
              <w:ind w:right="170"/>
              <w:jc w:val="right"/>
              <w:rPr>
                <w:b/>
                <w:bCs/>
                <w:color w:val="000000"/>
                <w:sz w:val="16"/>
                <w:szCs w:val="16"/>
              </w:rPr>
            </w:pPr>
            <w:r w:rsidRPr="001E2F6E">
              <w:rPr>
                <w:b/>
                <w:bCs/>
                <w:color w:val="000000"/>
                <w:sz w:val="16"/>
                <w:szCs w:val="16"/>
              </w:rPr>
              <w:t>49.901</w:t>
            </w:r>
          </w:p>
        </w:tc>
        <w:tc>
          <w:tcPr>
            <w:tcW w:w="538" w:type="pct"/>
            <w:tcBorders>
              <w:top w:val="nil"/>
              <w:left w:val="nil"/>
              <w:bottom w:val="single" w:sz="8" w:space="0" w:color="BFBFBF"/>
              <w:right w:val="nil"/>
            </w:tcBorders>
            <w:shd w:val="clear" w:color="auto" w:fill="auto"/>
            <w:hideMark/>
          </w:tcPr>
          <w:p w:rsidR="00195BE7" w:rsidRPr="001E2F6E" w:rsidRDefault="00195BE7" w:rsidP="00195BE7">
            <w:pPr>
              <w:spacing w:line="240" w:lineRule="exact"/>
              <w:ind w:right="170"/>
              <w:jc w:val="right"/>
              <w:rPr>
                <w:b/>
                <w:bCs/>
                <w:color w:val="000000"/>
                <w:sz w:val="16"/>
                <w:szCs w:val="16"/>
              </w:rPr>
            </w:pPr>
            <w:r w:rsidRPr="001E2F6E">
              <w:rPr>
                <w:b/>
                <w:bCs/>
                <w:color w:val="000000"/>
                <w:sz w:val="16"/>
                <w:szCs w:val="16"/>
              </w:rPr>
              <w:t>32.026</w:t>
            </w:r>
          </w:p>
        </w:tc>
        <w:tc>
          <w:tcPr>
            <w:tcW w:w="539" w:type="pct"/>
            <w:tcBorders>
              <w:top w:val="nil"/>
              <w:left w:val="nil"/>
              <w:bottom w:val="single" w:sz="8" w:space="0" w:color="BFBFBF"/>
              <w:right w:val="single" w:sz="8" w:space="0" w:color="BFBFBF"/>
            </w:tcBorders>
            <w:shd w:val="clear" w:color="auto" w:fill="auto"/>
            <w:hideMark/>
          </w:tcPr>
          <w:p w:rsidR="00195BE7" w:rsidRPr="001E2F6E" w:rsidRDefault="00195BE7" w:rsidP="00195BE7">
            <w:pPr>
              <w:spacing w:line="240" w:lineRule="exact"/>
              <w:ind w:right="170"/>
              <w:jc w:val="right"/>
              <w:rPr>
                <w:b/>
                <w:bCs/>
                <w:color w:val="000000"/>
                <w:sz w:val="16"/>
                <w:szCs w:val="16"/>
              </w:rPr>
            </w:pPr>
            <w:r w:rsidRPr="001E2F6E">
              <w:rPr>
                <w:b/>
                <w:bCs/>
                <w:color w:val="000000"/>
                <w:sz w:val="16"/>
                <w:szCs w:val="16"/>
              </w:rPr>
              <w:t>36.632</w:t>
            </w:r>
          </w:p>
        </w:tc>
        <w:tc>
          <w:tcPr>
            <w:tcW w:w="538" w:type="pct"/>
            <w:tcBorders>
              <w:top w:val="nil"/>
              <w:left w:val="nil"/>
              <w:bottom w:val="single" w:sz="8" w:space="0" w:color="BFBFBF"/>
              <w:right w:val="nil"/>
            </w:tcBorders>
            <w:shd w:val="clear" w:color="auto" w:fill="auto"/>
            <w:hideMark/>
          </w:tcPr>
          <w:p w:rsidR="00195BE7" w:rsidRPr="001E2F6E" w:rsidRDefault="00195BE7" w:rsidP="00195BE7">
            <w:pPr>
              <w:spacing w:line="240" w:lineRule="exact"/>
              <w:ind w:right="170"/>
              <w:jc w:val="right"/>
              <w:rPr>
                <w:b/>
                <w:bCs/>
                <w:color w:val="000000"/>
                <w:sz w:val="16"/>
                <w:szCs w:val="16"/>
              </w:rPr>
            </w:pPr>
            <w:r w:rsidRPr="001E2F6E">
              <w:rPr>
                <w:b/>
                <w:bCs/>
                <w:color w:val="000000"/>
                <w:sz w:val="16"/>
                <w:szCs w:val="16"/>
              </w:rPr>
              <w:t>25.559</w:t>
            </w:r>
          </w:p>
        </w:tc>
        <w:tc>
          <w:tcPr>
            <w:tcW w:w="539" w:type="pct"/>
            <w:tcBorders>
              <w:top w:val="nil"/>
              <w:left w:val="nil"/>
              <w:bottom w:val="single" w:sz="8" w:space="0" w:color="BFBFBF"/>
              <w:right w:val="single" w:sz="8" w:space="0" w:color="BFBFBF"/>
            </w:tcBorders>
            <w:shd w:val="clear" w:color="auto" w:fill="auto"/>
            <w:hideMark/>
          </w:tcPr>
          <w:p w:rsidR="00195BE7" w:rsidRPr="001E2F6E" w:rsidRDefault="00195BE7" w:rsidP="00195BE7">
            <w:pPr>
              <w:spacing w:line="240" w:lineRule="exact"/>
              <w:ind w:right="170"/>
              <w:jc w:val="right"/>
              <w:rPr>
                <w:b/>
                <w:bCs/>
                <w:color w:val="000000"/>
                <w:sz w:val="16"/>
                <w:szCs w:val="16"/>
              </w:rPr>
            </w:pPr>
            <w:r w:rsidRPr="001E2F6E">
              <w:rPr>
                <w:b/>
                <w:bCs/>
                <w:color w:val="000000"/>
                <w:sz w:val="16"/>
                <w:szCs w:val="16"/>
              </w:rPr>
              <w:t>26.772</w:t>
            </w:r>
          </w:p>
        </w:tc>
        <w:tc>
          <w:tcPr>
            <w:tcW w:w="538" w:type="pct"/>
            <w:tcBorders>
              <w:top w:val="nil"/>
              <w:left w:val="nil"/>
              <w:bottom w:val="single" w:sz="8" w:space="0" w:color="BFBFBF"/>
              <w:right w:val="nil"/>
            </w:tcBorders>
            <w:shd w:val="clear" w:color="auto" w:fill="auto"/>
            <w:hideMark/>
          </w:tcPr>
          <w:p w:rsidR="00195BE7" w:rsidRPr="001E2F6E" w:rsidRDefault="00195BE7" w:rsidP="00195BE7">
            <w:pPr>
              <w:spacing w:line="240" w:lineRule="exact"/>
              <w:ind w:right="170"/>
              <w:jc w:val="right"/>
              <w:rPr>
                <w:b/>
                <w:bCs/>
                <w:color w:val="000000"/>
                <w:sz w:val="16"/>
                <w:szCs w:val="16"/>
              </w:rPr>
            </w:pPr>
            <w:r w:rsidRPr="001E2F6E">
              <w:rPr>
                <w:b/>
                <w:bCs/>
                <w:color w:val="000000"/>
                <w:sz w:val="16"/>
                <w:szCs w:val="16"/>
              </w:rPr>
              <w:t>29.618</w:t>
            </w:r>
          </w:p>
        </w:tc>
        <w:tc>
          <w:tcPr>
            <w:tcW w:w="539" w:type="pct"/>
            <w:tcBorders>
              <w:top w:val="nil"/>
              <w:left w:val="nil"/>
              <w:bottom w:val="single" w:sz="8" w:space="0" w:color="BFBFBF"/>
              <w:right w:val="nil"/>
            </w:tcBorders>
            <w:shd w:val="clear" w:color="auto" w:fill="auto"/>
            <w:hideMark/>
          </w:tcPr>
          <w:p w:rsidR="00195BE7" w:rsidRPr="001E2F6E" w:rsidRDefault="00195BE7" w:rsidP="00195BE7">
            <w:pPr>
              <w:spacing w:line="240" w:lineRule="exact"/>
              <w:ind w:right="170"/>
              <w:jc w:val="right"/>
              <w:rPr>
                <w:b/>
                <w:bCs/>
                <w:color w:val="000000"/>
                <w:sz w:val="16"/>
                <w:szCs w:val="16"/>
              </w:rPr>
            </w:pPr>
            <w:r w:rsidRPr="001E2F6E">
              <w:rPr>
                <w:b/>
                <w:bCs/>
                <w:color w:val="000000"/>
                <w:sz w:val="16"/>
                <w:szCs w:val="16"/>
              </w:rPr>
              <w:t>31.817</w:t>
            </w:r>
          </w:p>
        </w:tc>
      </w:tr>
    </w:tbl>
    <w:p w:rsidR="00195BE7" w:rsidRPr="001E2F6E" w:rsidRDefault="00195BE7" w:rsidP="00195BE7"/>
    <w:p w:rsidR="00195BE7" w:rsidRPr="001E2F6E" w:rsidRDefault="00195BE7" w:rsidP="00195BE7">
      <w:pPr>
        <w:spacing w:after="200" w:line="276" w:lineRule="auto"/>
        <w:jc w:val="left"/>
        <w:rPr>
          <w:b/>
          <w:color w:val="1F497D" w:themeColor="text2"/>
          <w:sz w:val="24"/>
          <w:szCs w:val="24"/>
        </w:rPr>
      </w:pPr>
      <w:r w:rsidRPr="001E2F6E">
        <w:rPr>
          <w:b/>
          <w:color w:val="1F497D" w:themeColor="text2"/>
          <w:sz w:val="24"/>
          <w:szCs w:val="24"/>
        </w:rPr>
        <w:br w:type="page"/>
      </w:r>
    </w:p>
    <w:p w:rsidR="00195BE7" w:rsidRPr="001E2F6E" w:rsidRDefault="00195BE7" w:rsidP="00195BE7">
      <w:pPr>
        <w:pStyle w:val="Ttulo1"/>
        <w:ind w:left="708" w:hanging="708"/>
        <w:rPr>
          <w:color w:val="1F497D" w:themeColor="text2"/>
          <w:sz w:val="26"/>
          <w:szCs w:val="26"/>
        </w:rPr>
      </w:pPr>
      <w:bookmarkStart w:id="140" w:name="_Toc391989016"/>
      <w:bookmarkStart w:id="141" w:name="_Toc392585679"/>
      <w:r w:rsidRPr="001E2F6E">
        <w:rPr>
          <w:color w:val="1F497D" w:themeColor="text2"/>
          <w:sz w:val="26"/>
          <w:szCs w:val="26"/>
        </w:rPr>
        <w:lastRenderedPageBreak/>
        <w:t>3.-</w:t>
      </w:r>
      <w:r w:rsidRPr="001E2F6E">
        <w:rPr>
          <w:color w:val="1F497D" w:themeColor="text2"/>
          <w:sz w:val="26"/>
          <w:szCs w:val="26"/>
        </w:rPr>
        <w:tab/>
      </w:r>
      <w:r w:rsidRPr="001E2F6E">
        <w:rPr>
          <w:color w:val="1F497D" w:themeColor="text2"/>
          <w:sz w:val="26"/>
          <w:szCs w:val="26"/>
          <w:lang w:val="eu-ES"/>
        </w:rPr>
        <w:t>GIZARTE-EKONOMIAREN LURRALDE-PROFILA</w:t>
      </w:r>
      <w:bookmarkEnd w:id="140"/>
      <w:bookmarkEnd w:id="141"/>
    </w:p>
    <w:p w:rsidR="00195BE7" w:rsidRPr="001E2F6E" w:rsidRDefault="00195BE7" w:rsidP="00195BE7"/>
    <w:p w:rsidR="00195BE7" w:rsidRPr="001E2F6E" w:rsidRDefault="00195BE7" w:rsidP="00195BE7">
      <w:pPr>
        <w:pStyle w:val="Ttulo1"/>
        <w:ind w:left="708" w:hanging="708"/>
        <w:rPr>
          <w:color w:val="1F497D" w:themeColor="text2"/>
          <w:sz w:val="22"/>
          <w:szCs w:val="22"/>
        </w:rPr>
      </w:pPr>
      <w:bookmarkStart w:id="142" w:name="_Toc391989017"/>
      <w:bookmarkStart w:id="143" w:name="_Toc392585680"/>
      <w:r w:rsidRPr="001E2F6E">
        <w:rPr>
          <w:color w:val="1F497D" w:themeColor="text2"/>
          <w:sz w:val="22"/>
          <w:szCs w:val="22"/>
        </w:rPr>
        <w:t>3.1.-</w:t>
      </w:r>
      <w:r w:rsidRPr="001E2F6E">
        <w:rPr>
          <w:color w:val="1F497D" w:themeColor="text2"/>
          <w:sz w:val="22"/>
          <w:szCs w:val="22"/>
        </w:rPr>
        <w:tab/>
      </w:r>
      <w:r w:rsidRPr="001E2F6E">
        <w:rPr>
          <w:color w:val="1F497D" w:themeColor="text2"/>
          <w:sz w:val="22"/>
          <w:szCs w:val="22"/>
          <w:lang w:val="eu-ES"/>
        </w:rPr>
        <w:t>ENPLEGUAREN ETA ESTABLEZIMENDUEN LURRALDE-PROFILA</w:t>
      </w:r>
      <w:bookmarkEnd w:id="142"/>
      <w:bookmarkEnd w:id="143"/>
    </w:p>
    <w:p w:rsidR="00195BE7" w:rsidRPr="001E2F6E" w:rsidRDefault="00195BE7" w:rsidP="00195BE7"/>
    <w:p w:rsidR="00195BE7" w:rsidRPr="001E2F6E" w:rsidRDefault="00195BE7" w:rsidP="00195BE7"/>
    <w:p w:rsidR="00195BE7" w:rsidRPr="001E2F6E" w:rsidRDefault="00195BE7" w:rsidP="00195BE7">
      <w:pPr>
        <w:spacing w:line="240" w:lineRule="auto"/>
        <w:jc w:val="center"/>
        <w:rPr>
          <w:b/>
          <w:color w:val="1F497D" w:themeColor="text2"/>
          <w:sz w:val="18"/>
          <w:szCs w:val="18"/>
        </w:rPr>
      </w:pPr>
      <w:bookmarkStart w:id="144" w:name="_Toc391989155"/>
      <w:bookmarkStart w:id="145" w:name="_Toc392585820"/>
      <w:r w:rsidRPr="001E2F6E">
        <w:rPr>
          <w:b/>
          <w:color w:val="1F497D" w:themeColor="text2"/>
          <w:sz w:val="18"/>
          <w:szCs w:val="18"/>
        </w:rPr>
        <w:t>1.</w:t>
      </w:r>
      <w:r w:rsidR="00EB6BA6" w:rsidRPr="001E2F6E">
        <w:rPr>
          <w:b/>
          <w:color w:val="1F497D" w:themeColor="text2"/>
          <w:sz w:val="18"/>
          <w:szCs w:val="18"/>
        </w:rPr>
        <w:fldChar w:fldCharType="begin"/>
      </w:r>
      <w:r w:rsidRPr="001E2F6E">
        <w:rPr>
          <w:b/>
          <w:color w:val="1F497D" w:themeColor="text2"/>
          <w:sz w:val="18"/>
          <w:szCs w:val="18"/>
        </w:rPr>
        <w:instrText xml:space="preserve"> SEQ Gráfico_1. \* ARABIC </w:instrText>
      </w:r>
      <w:r w:rsidR="00EB6BA6" w:rsidRPr="001E2F6E">
        <w:rPr>
          <w:b/>
          <w:color w:val="1F497D" w:themeColor="text2"/>
          <w:sz w:val="18"/>
          <w:szCs w:val="18"/>
        </w:rPr>
        <w:fldChar w:fldCharType="separate"/>
      </w:r>
      <w:r w:rsidR="00A327D4">
        <w:rPr>
          <w:b/>
          <w:noProof/>
          <w:color w:val="1F497D" w:themeColor="text2"/>
          <w:sz w:val="18"/>
          <w:szCs w:val="18"/>
        </w:rPr>
        <w:t>10</w:t>
      </w:r>
      <w:r w:rsidR="00EB6BA6" w:rsidRPr="001E2F6E">
        <w:rPr>
          <w:b/>
          <w:color w:val="1F497D" w:themeColor="text2"/>
          <w:sz w:val="18"/>
          <w:szCs w:val="18"/>
        </w:rPr>
        <w:fldChar w:fldCharType="end"/>
      </w:r>
      <w:r w:rsidRPr="001E2F6E">
        <w:rPr>
          <w:b/>
          <w:color w:val="1F497D" w:themeColor="text2"/>
          <w:sz w:val="18"/>
          <w:szCs w:val="18"/>
        </w:rPr>
        <w:t xml:space="preserve"> Irudia GIZARTE-EKONOMIAREN ALORREKO ESTABLEZIMENDUEN LURRALDE-BANAKETAREN BILAKAERA. 2010-2012</w:t>
      </w:r>
      <w:bookmarkEnd w:id="144"/>
      <w:bookmarkEnd w:id="145"/>
    </w:p>
    <w:p w:rsidR="00195BE7" w:rsidRPr="001E2F6E" w:rsidRDefault="00195BE7" w:rsidP="00195BE7">
      <w:pPr>
        <w:jc w:val="center"/>
        <w:rPr>
          <w:b/>
          <w:color w:val="000080"/>
          <w:sz w:val="16"/>
          <w:szCs w:val="16"/>
        </w:rPr>
      </w:pPr>
    </w:p>
    <w:p w:rsidR="00195BE7" w:rsidRPr="001E2F6E" w:rsidRDefault="00195BE7" w:rsidP="00195BE7">
      <w:r w:rsidRPr="001E2F6E">
        <w:rPr>
          <w:noProof/>
          <w:lang w:eastAsia="es-ES"/>
        </w:rPr>
        <w:drawing>
          <wp:anchor distT="0" distB="0" distL="114300" distR="114300" simplePos="0" relativeHeight="251697152" behindDoc="0" locked="0" layoutInCell="1" allowOverlap="1" wp14:anchorId="13F8774B" wp14:editId="3E053B4F">
            <wp:simplePos x="0" y="0"/>
            <wp:positionH relativeFrom="column">
              <wp:posOffset>3234690</wp:posOffset>
            </wp:positionH>
            <wp:positionV relativeFrom="paragraph">
              <wp:posOffset>88900</wp:posOffset>
            </wp:positionV>
            <wp:extent cx="2752725" cy="1828800"/>
            <wp:effectExtent l="0" t="0" r="0" b="0"/>
            <wp:wrapNone/>
            <wp:docPr id="463" name="Objeto 44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anchor>
        </w:drawing>
      </w:r>
      <w:r w:rsidRPr="001E2F6E">
        <w:rPr>
          <w:noProof/>
          <w:lang w:eastAsia="es-ES"/>
        </w:rPr>
        <w:drawing>
          <wp:anchor distT="0" distB="0" distL="114300" distR="114300" simplePos="0" relativeHeight="251696128" behindDoc="0" locked="0" layoutInCell="1" allowOverlap="1" wp14:anchorId="69C10EFA" wp14:editId="2E687F63">
            <wp:simplePos x="0" y="0"/>
            <wp:positionH relativeFrom="column">
              <wp:posOffset>-118110</wp:posOffset>
            </wp:positionH>
            <wp:positionV relativeFrom="paragraph">
              <wp:posOffset>136525</wp:posOffset>
            </wp:positionV>
            <wp:extent cx="2752725" cy="1828800"/>
            <wp:effectExtent l="0" t="0" r="0" b="0"/>
            <wp:wrapNone/>
            <wp:docPr id="464" name="Objeto 44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anchor>
        </w:drawing>
      </w:r>
    </w:p>
    <w:p w:rsidR="00195BE7" w:rsidRPr="001E2F6E" w:rsidRDefault="00195BE7" w:rsidP="00195BE7">
      <w:pPr>
        <w:jc w:val="center"/>
      </w:pPr>
    </w:p>
    <w:p w:rsidR="00195BE7" w:rsidRPr="001E2F6E" w:rsidRDefault="00195BE7" w:rsidP="00195BE7">
      <w:pPr>
        <w:jc w:val="center"/>
      </w:pPr>
    </w:p>
    <w:p w:rsidR="00195BE7" w:rsidRPr="001E2F6E" w:rsidRDefault="00195BE7" w:rsidP="00195BE7">
      <w:pPr>
        <w:jc w:val="center"/>
      </w:pPr>
    </w:p>
    <w:p w:rsidR="00195BE7" w:rsidRPr="001E2F6E" w:rsidRDefault="00195BE7" w:rsidP="00195BE7">
      <w:pPr>
        <w:jc w:val="center"/>
      </w:pPr>
    </w:p>
    <w:p w:rsidR="00195BE7" w:rsidRPr="001E2F6E" w:rsidRDefault="00195BE7" w:rsidP="00195BE7">
      <w:pPr>
        <w:jc w:val="center"/>
      </w:pPr>
    </w:p>
    <w:p w:rsidR="00195BE7" w:rsidRPr="001E2F6E" w:rsidRDefault="00195BE7" w:rsidP="00195BE7">
      <w:pPr>
        <w:jc w:val="center"/>
      </w:pPr>
    </w:p>
    <w:p w:rsidR="00195BE7" w:rsidRPr="001E2F6E" w:rsidRDefault="00195BE7" w:rsidP="00195BE7">
      <w:pPr>
        <w:jc w:val="center"/>
      </w:pPr>
    </w:p>
    <w:p w:rsidR="00195BE7" w:rsidRPr="001E2F6E" w:rsidRDefault="00195BE7" w:rsidP="00195BE7">
      <w:pPr>
        <w:jc w:val="center"/>
      </w:pPr>
    </w:p>
    <w:p w:rsidR="00195BE7" w:rsidRPr="001E2F6E" w:rsidRDefault="00195BE7" w:rsidP="00195BE7"/>
    <w:p w:rsidR="00195BE7" w:rsidRPr="001E2F6E" w:rsidRDefault="00195BE7" w:rsidP="00195BE7">
      <w:pPr>
        <w:spacing w:line="240" w:lineRule="auto"/>
        <w:jc w:val="center"/>
        <w:rPr>
          <w:b/>
          <w:color w:val="1F497D" w:themeColor="text2"/>
          <w:sz w:val="18"/>
          <w:szCs w:val="18"/>
        </w:rPr>
      </w:pPr>
      <w:bookmarkStart w:id="146" w:name="_Toc391989156"/>
      <w:bookmarkStart w:id="147" w:name="_Toc392585821"/>
      <w:r w:rsidRPr="001E2F6E">
        <w:rPr>
          <w:b/>
          <w:color w:val="1F497D" w:themeColor="text2"/>
          <w:sz w:val="18"/>
          <w:szCs w:val="18"/>
        </w:rPr>
        <w:t>1.</w:t>
      </w:r>
      <w:r w:rsidR="00EB6BA6" w:rsidRPr="001E2F6E">
        <w:rPr>
          <w:b/>
          <w:color w:val="1F497D" w:themeColor="text2"/>
          <w:sz w:val="18"/>
          <w:szCs w:val="18"/>
        </w:rPr>
        <w:fldChar w:fldCharType="begin"/>
      </w:r>
      <w:r w:rsidRPr="001E2F6E">
        <w:rPr>
          <w:b/>
          <w:color w:val="1F497D" w:themeColor="text2"/>
          <w:sz w:val="18"/>
          <w:szCs w:val="18"/>
        </w:rPr>
        <w:instrText xml:space="preserve"> SEQ Gráfico_1. \* ARABIC </w:instrText>
      </w:r>
      <w:r w:rsidR="00EB6BA6" w:rsidRPr="001E2F6E">
        <w:rPr>
          <w:b/>
          <w:color w:val="1F497D" w:themeColor="text2"/>
          <w:sz w:val="18"/>
          <w:szCs w:val="18"/>
        </w:rPr>
        <w:fldChar w:fldCharType="separate"/>
      </w:r>
      <w:r w:rsidR="00A327D4">
        <w:rPr>
          <w:b/>
          <w:noProof/>
          <w:color w:val="1F497D" w:themeColor="text2"/>
          <w:sz w:val="18"/>
          <w:szCs w:val="18"/>
        </w:rPr>
        <w:t>11</w:t>
      </w:r>
      <w:r w:rsidR="00EB6BA6" w:rsidRPr="001E2F6E">
        <w:rPr>
          <w:b/>
          <w:color w:val="1F497D" w:themeColor="text2"/>
          <w:sz w:val="18"/>
          <w:szCs w:val="18"/>
        </w:rPr>
        <w:fldChar w:fldCharType="end"/>
      </w:r>
      <w:r w:rsidRPr="001E2F6E">
        <w:rPr>
          <w:b/>
          <w:color w:val="1F497D" w:themeColor="text2"/>
          <w:sz w:val="18"/>
          <w:szCs w:val="18"/>
        </w:rPr>
        <w:t xml:space="preserve"> Irudia GIZARTE-EKONOMIAREN ALORREKO ENPLEGUAREN LURRALDE-BANAKETAREN BILAKAERA. 2010-2012</w:t>
      </w:r>
      <w:bookmarkEnd w:id="146"/>
      <w:bookmarkEnd w:id="147"/>
    </w:p>
    <w:p w:rsidR="00195BE7" w:rsidRPr="001E2F6E" w:rsidRDefault="00195BE7" w:rsidP="00195BE7">
      <w:pPr>
        <w:spacing w:line="240" w:lineRule="auto"/>
        <w:jc w:val="center"/>
        <w:rPr>
          <w:b/>
          <w:color w:val="1F497D" w:themeColor="text2"/>
          <w:sz w:val="18"/>
          <w:szCs w:val="18"/>
        </w:rPr>
      </w:pPr>
      <w:r w:rsidRPr="001E2F6E">
        <w:rPr>
          <w:b/>
          <w:noProof/>
          <w:color w:val="1F497D" w:themeColor="text2"/>
          <w:sz w:val="18"/>
          <w:szCs w:val="18"/>
          <w:lang w:eastAsia="es-ES"/>
        </w:rPr>
        <w:drawing>
          <wp:anchor distT="0" distB="0" distL="114300" distR="114300" simplePos="0" relativeHeight="251699200" behindDoc="0" locked="0" layoutInCell="1" allowOverlap="1" wp14:anchorId="79EBC863" wp14:editId="65736C7B">
            <wp:simplePos x="0" y="0"/>
            <wp:positionH relativeFrom="column">
              <wp:posOffset>2902585</wp:posOffset>
            </wp:positionH>
            <wp:positionV relativeFrom="paragraph">
              <wp:posOffset>66040</wp:posOffset>
            </wp:positionV>
            <wp:extent cx="2752725" cy="1828800"/>
            <wp:effectExtent l="0" t="0" r="0" b="0"/>
            <wp:wrapNone/>
            <wp:docPr id="466" name="Objeto 50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anchor>
        </w:drawing>
      </w:r>
      <w:r w:rsidRPr="001E2F6E">
        <w:rPr>
          <w:b/>
          <w:noProof/>
          <w:color w:val="1F497D" w:themeColor="text2"/>
          <w:sz w:val="18"/>
          <w:szCs w:val="18"/>
          <w:lang w:eastAsia="es-ES"/>
        </w:rPr>
        <w:drawing>
          <wp:anchor distT="0" distB="0" distL="114300" distR="114300" simplePos="0" relativeHeight="251698176" behindDoc="0" locked="0" layoutInCell="1" allowOverlap="1" wp14:anchorId="1815A7E4" wp14:editId="11D69D50">
            <wp:simplePos x="0" y="0"/>
            <wp:positionH relativeFrom="column">
              <wp:posOffset>-183515</wp:posOffset>
            </wp:positionH>
            <wp:positionV relativeFrom="paragraph">
              <wp:posOffset>66040</wp:posOffset>
            </wp:positionV>
            <wp:extent cx="2752725" cy="1828800"/>
            <wp:effectExtent l="0" t="0" r="0" b="0"/>
            <wp:wrapNone/>
            <wp:docPr id="465" name="Objeto 44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anchor>
        </w:drawing>
      </w:r>
    </w:p>
    <w:p w:rsidR="00195BE7" w:rsidRPr="001E2F6E" w:rsidRDefault="00195BE7" w:rsidP="00195BE7">
      <w:pPr>
        <w:jc w:val="center"/>
      </w:pPr>
    </w:p>
    <w:p w:rsidR="00195BE7" w:rsidRPr="001E2F6E" w:rsidRDefault="00195BE7" w:rsidP="00195BE7">
      <w:pPr>
        <w:jc w:val="center"/>
      </w:pPr>
    </w:p>
    <w:p w:rsidR="00195BE7" w:rsidRPr="001E2F6E" w:rsidRDefault="00195BE7" w:rsidP="00195BE7">
      <w:pPr>
        <w:jc w:val="center"/>
      </w:pPr>
    </w:p>
    <w:p w:rsidR="00195BE7" w:rsidRPr="001E2F6E" w:rsidRDefault="00195BE7" w:rsidP="00195BE7">
      <w:pPr>
        <w:jc w:val="center"/>
      </w:pPr>
    </w:p>
    <w:p w:rsidR="00195BE7" w:rsidRPr="001E2F6E" w:rsidRDefault="00195BE7" w:rsidP="00195BE7">
      <w:pPr>
        <w:jc w:val="center"/>
      </w:pPr>
    </w:p>
    <w:p w:rsidR="00195BE7" w:rsidRPr="001E2F6E" w:rsidRDefault="00195BE7" w:rsidP="00195BE7">
      <w:pPr>
        <w:jc w:val="center"/>
      </w:pPr>
    </w:p>
    <w:p w:rsidR="00195BE7" w:rsidRPr="001E2F6E" w:rsidRDefault="00195BE7" w:rsidP="00195BE7">
      <w:pPr>
        <w:jc w:val="center"/>
      </w:pPr>
    </w:p>
    <w:p w:rsidR="00195BE7" w:rsidRPr="001E2F6E" w:rsidRDefault="00195BE7" w:rsidP="00195BE7">
      <w:pPr>
        <w:jc w:val="center"/>
      </w:pPr>
    </w:p>
    <w:p w:rsidR="00195BE7" w:rsidRPr="001E2F6E" w:rsidRDefault="00195BE7" w:rsidP="00195BE7"/>
    <w:p w:rsidR="00195BE7" w:rsidRPr="001E2F6E" w:rsidRDefault="00195BE7" w:rsidP="00195BE7"/>
    <w:p w:rsidR="00195BE7" w:rsidRPr="001E2F6E" w:rsidRDefault="00195BE7" w:rsidP="00195BE7">
      <w:pPr>
        <w:spacing w:line="240" w:lineRule="auto"/>
        <w:jc w:val="center"/>
        <w:rPr>
          <w:b/>
          <w:color w:val="1F497D" w:themeColor="text2"/>
          <w:sz w:val="18"/>
          <w:szCs w:val="18"/>
        </w:rPr>
      </w:pPr>
      <w:bookmarkStart w:id="148" w:name="_Toc391989106"/>
      <w:bookmarkStart w:id="149" w:name="_Toc392585771"/>
      <w:r w:rsidRPr="001E2F6E">
        <w:rPr>
          <w:b/>
          <w:color w:val="1F497D" w:themeColor="text2"/>
          <w:sz w:val="18"/>
          <w:szCs w:val="18"/>
        </w:rPr>
        <w:t>1.</w:t>
      </w:r>
      <w:r w:rsidR="00EB6BA6" w:rsidRPr="001E2F6E">
        <w:rPr>
          <w:b/>
          <w:color w:val="1F497D" w:themeColor="text2"/>
          <w:sz w:val="18"/>
          <w:szCs w:val="18"/>
        </w:rPr>
        <w:fldChar w:fldCharType="begin"/>
      </w:r>
      <w:r w:rsidRPr="001E2F6E">
        <w:rPr>
          <w:b/>
          <w:color w:val="1F497D" w:themeColor="text2"/>
          <w:sz w:val="18"/>
          <w:szCs w:val="18"/>
        </w:rPr>
        <w:instrText xml:space="preserve"> SEQ Cuadro_1. \* ARABIC </w:instrText>
      </w:r>
      <w:r w:rsidR="00EB6BA6" w:rsidRPr="001E2F6E">
        <w:rPr>
          <w:b/>
          <w:color w:val="1F497D" w:themeColor="text2"/>
          <w:sz w:val="18"/>
          <w:szCs w:val="18"/>
        </w:rPr>
        <w:fldChar w:fldCharType="separate"/>
      </w:r>
      <w:r w:rsidR="00A327D4">
        <w:rPr>
          <w:b/>
          <w:noProof/>
          <w:color w:val="1F497D" w:themeColor="text2"/>
          <w:sz w:val="18"/>
          <w:szCs w:val="18"/>
        </w:rPr>
        <w:t>36</w:t>
      </w:r>
      <w:r w:rsidR="00EB6BA6" w:rsidRPr="001E2F6E">
        <w:rPr>
          <w:b/>
          <w:color w:val="1F497D" w:themeColor="text2"/>
          <w:sz w:val="18"/>
          <w:szCs w:val="18"/>
        </w:rPr>
        <w:fldChar w:fldCharType="end"/>
      </w:r>
      <w:r w:rsidRPr="001E2F6E">
        <w:rPr>
          <w:b/>
          <w:color w:val="1F497D" w:themeColor="text2"/>
          <w:sz w:val="18"/>
          <w:szCs w:val="18"/>
        </w:rPr>
        <w:t xml:space="preserve"> Taula GIZARTE-EKONOMIAREN ALORREKO ESTABLEZIMENDUEN ETA ENPLEGUEN LURRALDE-BANAKETA. (zifra absolutuak eta %bertikalak). 2012</w:t>
      </w:r>
      <w:bookmarkEnd w:id="148"/>
      <w:bookmarkEnd w:id="149"/>
    </w:p>
    <w:tbl>
      <w:tblPr>
        <w:tblW w:w="5000" w:type="pct"/>
        <w:jc w:val="center"/>
        <w:tblLook w:val="04A0" w:firstRow="1" w:lastRow="0" w:firstColumn="1" w:lastColumn="0" w:noHBand="0" w:noVBand="1"/>
      </w:tblPr>
      <w:tblGrid>
        <w:gridCol w:w="2284"/>
        <w:gridCol w:w="1742"/>
        <w:gridCol w:w="1496"/>
        <w:gridCol w:w="1741"/>
        <w:gridCol w:w="1741"/>
      </w:tblGrid>
      <w:tr w:rsidR="00195BE7" w:rsidRPr="001E2F6E" w:rsidTr="00195BE7">
        <w:trPr>
          <w:jc w:val="center"/>
        </w:trPr>
        <w:tc>
          <w:tcPr>
            <w:tcW w:w="1268" w:type="pct"/>
            <w:tcBorders>
              <w:top w:val="single" w:sz="4" w:space="0" w:color="BFBFBF" w:themeColor="background1" w:themeShade="BF"/>
              <w:right w:val="single" w:sz="4" w:space="0" w:color="BFBFBF" w:themeColor="background1" w:themeShade="BF"/>
            </w:tcBorders>
            <w:shd w:val="clear" w:color="auto" w:fill="DBE5F1" w:themeFill="accent1" w:themeFillTint="33"/>
            <w:vAlign w:val="center"/>
            <w:hideMark/>
          </w:tcPr>
          <w:p w:rsidR="00195BE7" w:rsidRPr="001E2F6E" w:rsidRDefault="00195BE7" w:rsidP="00195BE7">
            <w:pPr>
              <w:spacing w:line="240" w:lineRule="exact"/>
              <w:jc w:val="center"/>
              <w:rPr>
                <w:b/>
                <w:bCs/>
                <w:sz w:val="16"/>
                <w:szCs w:val="16"/>
              </w:rPr>
            </w:pPr>
          </w:p>
        </w:tc>
        <w:tc>
          <w:tcPr>
            <w:tcW w:w="1798"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hideMark/>
          </w:tcPr>
          <w:p w:rsidR="00195BE7" w:rsidRPr="001E2F6E" w:rsidRDefault="00195BE7" w:rsidP="00195BE7">
            <w:pPr>
              <w:spacing w:line="240" w:lineRule="exact"/>
              <w:jc w:val="center"/>
              <w:rPr>
                <w:b/>
                <w:bCs/>
                <w:sz w:val="16"/>
                <w:szCs w:val="16"/>
              </w:rPr>
            </w:pPr>
            <w:r w:rsidRPr="001E2F6E">
              <w:rPr>
                <w:b/>
                <w:bCs/>
                <w:sz w:val="16"/>
                <w:szCs w:val="16"/>
                <w:lang w:val="pt-BR"/>
              </w:rPr>
              <w:t>Enpleguak</w:t>
            </w:r>
          </w:p>
        </w:tc>
        <w:tc>
          <w:tcPr>
            <w:tcW w:w="1934"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hideMark/>
          </w:tcPr>
          <w:p w:rsidR="00195BE7" w:rsidRPr="001E2F6E" w:rsidRDefault="00195BE7" w:rsidP="00195BE7">
            <w:pPr>
              <w:spacing w:line="240" w:lineRule="exact"/>
              <w:jc w:val="center"/>
              <w:rPr>
                <w:b/>
                <w:bCs/>
                <w:sz w:val="16"/>
                <w:szCs w:val="16"/>
              </w:rPr>
            </w:pPr>
            <w:r w:rsidRPr="001E2F6E">
              <w:rPr>
                <w:b/>
                <w:bCs/>
                <w:sz w:val="16"/>
                <w:szCs w:val="16"/>
                <w:lang w:val="pt-BR"/>
              </w:rPr>
              <w:t>Establezimenduak</w:t>
            </w:r>
          </w:p>
        </w:tc>
      </w:tr>
      <w:tr w:rsidR="00195BE7" w:rsidRPr="001E2F6E" w:rsidTr="00195BE7">
        <w:trPr>
          <w:jc w:val="center"/>
        </w:trPr>
        <w:tc>
          <w:tcPr>
            <w:tcW w:w="1268" w:type="pct"/>
            <w:tcBorders>
              <w:bottom w:val="single" w:sz="4" w:space="0" w:color="BFBFBF" w:themeColor="background1" w:themeShade="BF"/>
              <w:right w:val="single" w:sz="4" w:space="0" w:color="BFBFBF" w:themeColor="background1" w:themeShade="BF"/>
            </w:tcBorders>
            <w:shd w:val="clear" w:color="auto" w:fill="DBE5F1" w:themeFill="accent1" w:themeFillTint="33"/>
            <w:vAlign w:val="center"/>
            <w:hideMark/>
          </w:tcPr>
          <w:p w:rsidR="00195BE7" w:rsidRPr="001E2F6E" w:rsidRDefault="00195BE7" w:rsidP="00195BE7">
            <w:pPr>
              <w:spacing w:line="240" w:lineRule="exact"/>
              <w:jc w:val="center"/>
              <w:rPr>
                <w:sz w:val="16"/>
                <w:szCs w:val="16"/>
              </w:rPr>
            </w:pPr>
          </w:p>
        </w:tc>
        <w:tc>
          <w:tcPr>
            <w:tcW w:w="967"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vAlign w:val="center"/>
            <w:hideMark/>
          </w:tcPr>
          <w:p w:rsidR="00195BE7" w:rsidRPr="001E2F6E" w:rsidRDefault="00195BE7" w:rsidP="00195BE7">
            <w:pPr>
              <w:spacing w:line="240" w:lineRule="exact"/>
              <w:jc w:val="center"/>
              <w:rPr>
                <w:b/>
                <w:bCs/>
                <w:sz w:val="16"/>
                <w:szCs w:val="16"/>
              </w:rPr>
            </w:pPr>
            <w:r w:rsidRPr="001E2F6E">
              <w:rPr>
                <w:b/>
                <w:bCs/>
                <w:sz w:val="16"/>
                <w:szCs w:val="16"/>
                <w:lang w:val="pt-BR"/>
              </w:rPr>
              <w:t>z.a.</w:t>
            </w:r>
          </w:p>
        </w:tc>
        <w:tc>
          <w:tcPr>
            <w:tcW w:w="831"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hideMark/>
          </w:tcPr>
          <w:p w:rsidR="00195BE7" w:rsidRPr="001E2F6E" w:rsidRDefault="00195BE7" w:rsidP="00195BE7">
            <w:pPr>
              <w:spacing w:line="240" w:lineRule="exact"/>
              <w:jc w:val="center"/>
              <w:rPr>
                <w:b/>
                <w:bCs/>
                <w:sz w:val="16"/>
                <w:szCs w:val="16"/>
              </w:rPr>
            </w:pPr>
            <w:r w:rsidRPr="001E2F6E">
              <w:rPr>
                <w:b/>
                <w:bCs/>
                <w:sz w:val="16"/>
                <w:szCs w:val="16"/>
                <w:lang w:val="pt-BR"/>
              </w:rPr>
              <w:t>%ber.</w:t>
            </w:r>
          </w:p>
        </w:tc>
        <w:tc>
          <w:tcPr>
            <w:tcW w:w="967"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vAlign w:val="center"/>
            <w:hideMark/>
          </w:tcPr>
          <w:p w:rsidR="00195BE7" w:rsidRPr="001E2F6E" w:rsidRDefault="00195BE7" w:rsidP="00195BE7">
            <w:pPr>
              <w:spacing w:line="240" w:lineRule="exact"/>
              <w:jc w:val="center"/>
              <w:rPr>
                <w:b/>
                <w:bCs/>
                <w:sz w:val="16"/>
                <w:szCs w:val="16"/>
              </w:rPr>
            </w:pPr>
            <w:r w:rsidRPr="001E2F6E">
              <w:rPr>
                <w:b/>
                <w:bCs/>
                <w:sz w:val="16"/>
                <w:szCs w:val="16"/>
                <w:lang w:val="pt-BR"/>
              </w:rPr>
              <w:t>z.a.</w:t>
            </w:r>
          </w:p>
        </w:tc>
        <w:tc>
          <w:tcPr>
            <w:tcW w:w="967"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hideMark/>
          </w:tcPr>
          <w:p w:rsidR="00195BE7" w:rsidRPr="001E2F6E" w:rsidRDefault="00195BE7" w:rsidP="00195BE7">
            <w:pPr>
              <w:spacing w:line="240" w:lineRule="exact"/>
              <w:jc w:val="center"/>
              <w:rPr>
                <w:b/>
                <w:bCs/>
                <w:sz w:val="16"/>
                <w:szCs w:val="16"/>
              </w:rPr>
            </w:pPr>
            <w:r w:rsidRPr="001E2F6E">
              <w:rPr>
                <w:b/>
                <w:bCs/>
                <w:sz w:val="16"/>
                <w:szCs w:val="16"/>
                <w:lang w:val="pt-BR"/>
              </w:rPr>
              <w:t>%ber.</w:t>
            </w:r>
          </w:p>
        </w:tc>
      </w:tr>
      <w:tr w:rsidR="00195BE7" w:rsidRPr="001E2F6E" w:rsidTr="00195BE7">
        <w:trPr>
          <w:jc w:val="center"/>
        </w:trPr>
        <w:tc>
          <w:tcPr>
            <w:tcW w:w="1268" w:type="pct"/>
            <w:tcBorders>
              <w:right w:val="single" w:sz="4" w:space="0" w:color="BFBFBF" w:themeColor="background1" w:themeShade="BF"/>
            </w:tcBorders>
            <w:hideMark/>
          </w:tcPr>
          <w:p w:rsidR="00195BE7" w:rsidRPr="001E2F6E" w:rsidRDefault="00195BE7" w:rsidP="00195BE7">
            <w:pPr>
              <w:spacing w:line="240" w:lineRule="exact"/>
              <w:rPr>
                <w:color w:val="000000"/>
                <w:sz w:val="16"/>
                <w:szCs w:val="16"/>
              </w:rPr>
            </w:pPr>
            <w:r w:rsidRPr="001E2F6E">
              <w:rPr>
                <w:color w:val="000000"/>
                <w:sz w:val="16"/>
                <w:szCs w:val="16"/>
              </w:rPr>
              <w:t>Araba</w:t>
            </w:r>
          </w:p>
        </w:tc>
        <w:tc>
          <w:tcPr>
            <w:tcW w:w="967" w:type="pct"/>
            <w:tcBorders>
              <w:left w:val="single" w:sz="4" w:space="0" w:color="BFBFBF" w:themeColor="background1" w:themeShade="BF"/>
            </w:tcBorders>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5.846</w:t>
            </w:r>
          </w:p>
        </w:tc>
        <w:tc>
          <w:tcPr>
            <w:tcW w:w="831" w:type="pct"/>
            <w:tcBorders>
              <w:right w:val="single" w:sz="4" w:space="0" w:color="BFBFBF" w:themeColor="background1" w:themeShade="BF"/>
            </w:tcBorders>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10,5</w:t>
            </w:r>
          </w:p>
        </w:tc>
        <w:tc>
          <w:tcPr>
            <w:tcW w:w="967" w:type="pct"/>
            <w:tcBorders>
              <w:left w:val="single" w:sz="4" w:space="0" w:color="BFBFBF" w:themeColor="background1" w:themeShade="BF"/>
            </w:tcBorders>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467</w:t>
            </w:r>
          </w:p>
        </w:tc>
        <w:tc>
          <w:tcPr>
            <w:tcW w:w="967" w:type="pct"/>
            <w:tcBorders>
              <w:right w:val="single" w:sz="4" w:space="0" w:color="BFBFBF" w:themeColor="background1" w:themeShade="BF"/>
            </w:tcBorders>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15,2</w:t>
            </w:r>
          </w:p>
        </w:tc>
      </w:tr>
      <w:tr w:rsidR="00195BE7" w:rsidRPr="001E2F6E" w:rsidTr="00195BE7">
        <w:trPr>
          <w:jc w:val="center"/>
        </w:trPr>
        <w:tc>
          <w:tcPr>
            <w:tcW w:w="1268" w:type="pct"/>
            <w:tcBorders>
              <w:right w:val="single" w:sz="4" w:space="0" w:color="BFBFBF" w:themeColor="background1" w:themeShade="BF"/>
            </w:tcBorders>
            <w:hideMark/>
          </w:tcPr>
          <w:p w:rsidR="00195BE7" w:rsidRPr="001E2F6E" w:rsidRDefault="00195BE7" w:rsidP="00195BE7">
            <w:pPr>
              <w:spacing w:line="240" w:lineRule="exact"/>
              <w:rPr>
                <w:color w:val="000000"/>
                <w:sz w:val="16"/>
                <w:szCs w:val="16"/>
              </w:rPr>
            </w:pPr>
            <w:r w:rsidRPr="001E2F6E">
              <w:rPr>
                <w:color w:val="000000"/>
                <w:sz w:val="16"/>
                <w:szCs w:val="16"/>
              </w:rPr>
              <w:t>Bizkaia</w:t>
            </w:r>
          </w:p>
        </w:tc>
        <w:tc>
          <w:tcPr>
            <w:tcW w:w="967" w:type="pct"/>
            <w:tcBorders>
              <w:left w:val="single" w:sz="4" w:space="0" w:color="BFBFBF" w:themeColor="background1" w:themeShade="BF"/>
            </w:tcBorders>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21.087</w:t>
            </w:r>
          </w:p>
        </w:tc>
        <w:tc>
          <w:tcPr>
            <w:tcW w:w="831" w:type="pct"/>
            <w:tcBorders>
              <w:right w:val="single" w:sz="4" w:space="0" w:color="BFBFBF" w:themeColor="background1" w:themeShade="BF"/>
            </w:tcBorders>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37,8</w:t>
            </w:r>
          </w:p>
        </w:tc>
        <w:tc>
          <w:tcPr>
            <w:tcW w:w="967" w:type="pct"/>
            <w:tcBorders>
              <w:left w:val="single" w:sz="4" w:space="0" w:color="BFBFBF" w:themeColor="background1" w:themeShade="BF"/>
            </w:tcBorders>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1.401</w:t>
            </w:r>
          </w:p>
        </w:tc>
        <w:tc>
          <w:tcPr>
            <w:tcW w:w="967" w:type="pct"/>
            <w:tcBorders>
              <w:right w:val="single" w:sz="4" w:space="0" w:color="BFBFBF" w:themeColor="background1" w:themeShade="BF"/>
            </w:tcBorders>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45,5</w:t>
            </w:r>
          </w:p>
        </w:tc>
      </w:tr>
      <w:tr w:rsidR="00195BE7" w:rsidRPr="001E2F6E" w:rsidTr="00195BE7">
        <w:trPr>
          <w:jc w:val="center"/>
        </w:trPr>
        <w:tc>
          <w:tcPr>
            <w:tcW w:w="1268" w:type="pct"/>
            <w:tcBorders>
              <w:bottom w:val="single" w:sz="4" w:space="0" w:color="BFBFBF" w:themeColor="background1" w:themeShade="BF"/>
              <w:right w:val="single" w:sz="4" w:space="0" w:color="BFBFBF" w:themeColor="background1" w:themeShade="BF"/>
            </w:tcBorders>
            <w:hideMark/>
          </w:tcPr>
          <w:p w:rsidR="00195BE7" w:rsidRPr="001E2F6E" w:rsidRDefault="00195BE7" w:rsidP="00195BE7">
            <w:pPr>
              <w:spacing w:line="240" w:lineRule="exact"/>
              <w:rPr>
                <w:color w:val="000000"/>
                <w:sz w:val="16"/>
                <w:szCs w:val="16"/>
              </w:rPr>
            </w:pPr>
            <w:r w:rsidRPr="001E2F6E">
              <w:rPr>
                <w:color w:val="000000"/>
                <w:sz w:val="16"/>
                <w:szCs w:val="16"/>
              </w:rPr>
              <w:t>Gipuzkoa</w:t>
            </w:r>
          </w:p>
        </w:tc>
        <w:tc>
          <w:tcPr>
            <w:tcW w:w="967" w:type="pct"/>
            <w:tcBorders>
              <w:left w:val="single" w:sz="4" w:space="0" w:color="BFBFBF" w:themeColor="background1" w:themeShade="BF"/>
              <w:bottom w:val="single" w:sz="4" w:space="0" w:color="BFBFBF" w:themeColor="background1" w:themeShade="BF"/>
            </w:tcBorders>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28.876</w:t>
            </w:r>
          </w:p>
        </w:tc>
        <w:tc>
          <w:tcPr>
            <w:tcW w:w="831" w:type="pct"/>
            <w:tcBorders>
              <w:bottom w:val="single" w:sz="4" w:space="0" w:color="BFBFBF" w:themeColor="background1" w:themeShade="BF"/>
              <w:right w:val="single" w:sz="4" w:space="0" w:color="BFBFBF" w:themeColor="background1" w:themeShade="BF"/>
            </w:tcBorders>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51,7</w:t>
            </w:r>
          </w:p>
        </w:tc>
        <w:tc>
          <w:tcPr>
            <w:tcW w:w="967" w:type="pct"/>
            <w:tcBorders>
              <w:left w:val="single" w:sz="4" w:space="0" w:color="BFBFBF" w:themeColor="background1" w:themeShade="BF"/>
              <w:bottom w:val="single" w:sz="4" w:space="0" w:color="BFBFBF" w:themeColor="background1" w:themeShade="BF"/>
            </w:tcBorders>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1.210</w:t>
            </w:r>
          </w:p>
        </w:tc>
        <w:tc>
          <w:tcPr>
            <w:tcW w:w="967" w:type="pct"/>
            <w:tcBorders>
              <w:bottom w:val="single" w:sz="4" w:space="0" w:color="BFBFBF" w:themeColor="background1" w:themeShade="BF"/>
              <w:right w:val="single" w:sz="4" w:space="0" w:color="BFBFBF" w:themeColor="background1" w:themeShade="BF"/>
            </w:tcBorders>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39,3</w:t>
            </w:r>
          </w:p>
        </w:tc>
      </w:tr>
      <w:tr w:rsidR="00195BE7" w:rsidRPr="001E2F6E" w:rsidTr="00195BE7">
        <w:trPr>
          <w:jc w:val="center"/>
        </w:trPr>
        <w:tc>
          <w:tcPr>
            <w:tcW w:w="1268" w:type="pct"/>
            <w:tcBorders>
              <w:top w:val="single" w:sz="4" w:space="0" w:color="BFBFBF" w:themeColor="background1" w:themeShade="BF"/>
              <w:bottom w:val="single" w:sz="4" w:space="0" w:color="BFBFBF" w:themeColor="background1" w:themeShade="BF"/>
              <w:right w:val="single" w:sz="4" w:space="0" w:color="BFBFBF" w:themeColor="background1" w:themeShade="BF"/>
            </w:tcBorders>
            <w:hideMark/>
          </w:tcPr>
          <w:p w:rsidR="00195BE7" w:rsidRPr="001E2F6E" w:rsidRDefault="00195BE7" w:rsidP="00195BE7">
            <w:pPr>
              <w:spacing w:line="240" w:lineRule="exact"/>
              <w:rPr>
                <w:b/>
                <w:bCs/>
                <w:color w:val="000000"/>
                <w:sz w:val="16"/>
                <w:szCs w:val="16"/>
              </w:rPr>
            </w:pPr>
            <w:r w:rsidRPr="001E2F6E">
              <w:rPr>
                <w:b/>
                <w:bCs/>
                <w:color w:val="000000"/>
                <w:sz w:val="16"/>
                <w:szCs w:val="16"/>
                <w:lang w:val="es-ES_tradnl"/>
              </w:rPr>
              <w:t>GUZTIRA</w:t>
            </w:r>
          </w:p>
        </w:tc>
        <w:tc>
          <w:tcPr>
            <w:tcW w:w="967" w:type="pct"/>
            <w:tcBorders>
              <w:top w:val="single" w:sz="4" w:space="0" w:color="BFBFBF" w:themeColor="background1" w:themeShade="BF"/>
              <w:left w:val="single" w:sz="4" w:space="0" w:color="BFBFBF" w:themeColor="background1" w:themeShade="BF"/>
              <w:bottom w:val="single" w:sz="4" w:space="0" w:color="BFBFBF" w:themeColor="background1" w:themeShade="BF"/>
            </w:tcBorders>
            <w:hideMark/>
          </w:tcPr>
          <w:p w:rsidR="00195BE7" w:rsidRPr="001E2F6E" w:rsidRDefault="00195BE7" w:rsidP="00195BE7">
            <w:pPr>
              <w:spacing w:line="240" w:lineRule="exact"/>
              <w:ind w:right="170"/>
              <w:jc w:val="right"/>
              <w:rPr>
                <w:b/>
                <w:bCs/>
                <w:color w:val="000000"/>
                <w:sz w:val="16"/>
                <w:szCs w:val="16"/>
              </w:rPr>
            </w:pPr>
            <w:r w:rsidRPr="001E2F6E">
              <w:rPr>
                <w:b/>
                <w:bCs/>
                <w:color w:val="000000"/>
                <w:sz w:val="16"/>
                <w:szCs w:val="16"/>
              </w:rPr>
              <w:t>55.809</w:t>
            </w:r>
          </w:p>
        </w:tc>
        <w:tc>
          <w:tcPr>
            <w:tcW w:w="831" w:type="pct"/>
            <w:tcBorders>
              <w:top w:val="single" w:sz="4" w:space="0" w:color="BFBFBF" w:themeColor="background1" w:themeShade="BF"/>
              <w:bottom w:val="single" w:sz="4" w:space="0" w:color="BFBFBF" w:themeColor="background1" w:themeShade="BF"/>
              <w:right w:val="single" w:sz="4" w:space="0" w:color="BFBFBF" w:themeColor="background1" w:themeShade="BF"/>
            </w:tcBorders>
            <w:hideMark/>
          </w:tcPr>
          <w:p w:rsidR="00195BE7" w:rsidRPr="001E2F6E" w:rsidRDefault="00195BE7" w:rsidP="00195BE7">
            <w:pPr>
              <w:spacing w:line="240" w:lineRule="exact"/>
              <w:ind w:right="170"/>
              <w:jc w:val="right"/>
              <w:rPr>
                <w:b/>
                <w:bCs/>
                <w:color w:val="000000"/>
                <w:sz w:val="16"/>
                <w:szCs w:val="16"/>
              </w:rPr>
            </w:pPr>
            <w:r w:rsidRPr="001E2F6E">
              <w:rPr>
                <w:b/>
                <w:bCs/>
                <w:color w:val="000000"/>
                <w:sz w:val="16"/>
                <w:szCs w:val="16"/>
              </w:rPr>
              <w:t>100</w:t>
            </w:r>
          </w:p>
        </w:tc>
        <w:tc>
          <w:tcPr>
            <w:tcW w:w="967" w:type="pct"/>
            <w:tcBorders>
              <w:top w:val="single" w:sz="4" w:space="0" w:color="BFBFBF" w:themeColor="background1" w:themeShade="BF"/>
              <w:left w:val="single" w:sz="4" w:space="0" w:color="BFBFBF" w:themeColor="background1" w:themeShade="BF"/>
              <w:bottom w:val="single" w:sz="4" w:space="0" w:color="BFBFBF" w:themeColor="background1" w:themeShade="BF"/>
            </w:tcBorders>
            <w:hideMark/>
          </w:tcPr>
          <w:p w:rsidR="00195BE7" w:rsidRPr="001E2F6E" w:rsidRDefault="00195BE7" w:rsidP="00195BE7">
            <w:pPr>
              <w:spacing w:line="240" w:lineRule="exact"/>
              <w:ind w:right="170"/>
              <w:jc w:val="right"/>
              <w:rPr>
                <w:b/>
                <w:bCs/>
                <w:color w:val="000000"/>
                <w:sz w:val="16"/>
                <w:szCs w:val="16"/>
              </w:rPr>
            </w:pPr>
            <w:r w:rsidRPr="001E2F6E">
              <w:rPr>
                <w:b/>
                <w:bCs/>
                <w:color w:val="000000"/>
                <w:sz w:val="16"/>
                <w:szCs w:val="16"/>
              </w:rPr>
              <w:t>3.078</w:t>
            </w:r>
          </w:p>
        </w:tc>
        <w:tc>
          <w:tcPr>
            <w:tcW w:w="967" w:type="pct"/>
            <w:tcBorders>
              <w:top w:val="single" w:sz="4" w:space="0" w:color="BFBFBF" w:themeColor="background1" w:themeShade="BF"/>
              <w:bottom w:val="single" w:sz="4" w:space="0" w:color="BFBFBF" w:themeColor="background1" w:themeShade="BF"/>
              <w:right w:val="single" w:sz="4" w:space="0" w:color="BFBFBF" w:themeColor="background1" w:themeShade="BF"/>
            </w:tcBorders>
            <w:hideMark/>
          </w:tcPr>
          <w:p w:rsidR="00195BE7" w:rsidRPr="001E2F6E" w:rsidRDefault="00195BE7" w:rsidP="00195BE7">
            <w:pPr>
              <w:spacing w:line="240" w:lineRule="exact"/>
              <w:ind w:right="170"/>
              <w:jc w:val="right"/>
              <w:rPr>
                <w:b/>
                <w:bCs/>
                <w:color w:val="000000"/>
                <w:sz w:val="16"/>
                <w:szCs w:val="16"/>
              </w:rPr>
            </w:pPr>
            <w:r w:rsidRPr="001E2F6E">
              <w:rPr>
                <w:b/>
                <w:bCs/>
                <w:color w:val="000000"/>
                <w:sz w:val="16"/>
                <w:szCs w:val="16"/>
              </w:rPr>
              <w:t>100</w:t>
            </w:r>
          </w:p>
        </w:tc>
      </w:tr>
    </w:tbl>
    <w:p w:rsidR="00195BE7" w:rsidRPr="001E2F6E" w:rsidRDefault="00195BE7" w:rsidP="00195BE7">
      <w:pPr>
        <w:spacing w:line="240" w:lineRule="auto"/>
        <w:rPr>
          <w:b/>
          <w:color w:val="000080"/>
          <w:sz w:val="16"/>
          <w:szCs w:val="16"/>
        </w:rPr>
      </w:pPr>
    </w:p>
    <w:p w:rsidR="00195BE7" w:rsidRPr="001E2F6E" w:rsidRDefault="00195BE7" w:rsidP="00195BE7"/>
    <w:p w:rsidR="00195BE7" w:rsidRPr="001E2F6E" w:rsidRDefault="00195BE7" w:rsidP="00195BE7">
      <w:pPr>
        <w:rPr>
          <w:b/>
          <w:color w:val="1F497D" w:themeColor="text2"/>
          <w:sz w:val="18"/>
          <w:szCs w:val="18"/>
        </w:rPr>
      </w:pPr>
      <w:r w:rsidRPr="001E2F6E">
        <w:rPr>
          <w:b/>
          <w:color w:val="1F497D" w:themeColor="text2"/>
          <w:sz w:val="18"/>
          <w:szCs w:val="18"/>
        </w:rPr>
        <w:br w:type="page"/>
      </w:r>
    </w:p>
    <w:p w:rsidR="00195BE7" w:rsidRPr="001E2F6E" w:rsidRDefault="00195BE7" w:rsidP="00195BE7"/>
    <w:p w:rsidR="00195BE7" w:rsidRPr="001E2F6E" w:rsidRDefault="00195BE7" w:rsidP="00195BE7"/>
    <w:p w:rsidR="00195BE7" w:rsidRPr="001E2F6E" w:rsidRDefault="00195BE7" w:rsidP="00195BE7">
      <w:pPr>
        <w:spacing w:line="240" w:lineRule="auto"/>
        <w:jc w:val="center"/>
        <w:rPr>
          <w:b/>
          <w:color w:val="1F497D" w:themeColor="text2"/>
          <w:sz w:val="18"/>
          <w:szCs w:val="18"/>
        </w:rPr>
      </w:pPr>
      <w:bookmarkStart w:id="150" w:name="_Toc391989157"/>
      <w:bookmarkStart w:id="151" w:name="_Toc392585822"/>
      <w:r w:rsidRPr="001E2F6E">
        <w:rPr>
          <w:b/>
          <w:color w:val="1F497D" w:themeColor="text2"/>
          <w:sz w:val="18"/>
          <w:szCs w:val="18"/>
        </w:rPr>
        <w:t>1.</w:t>
      </w:r>
      <w:r w:rsidR="00EB6BA6" w:rsidRPr="001E2F6E">
        <w:rPr>
          <w:b/>
          <w:color w:val="1F497D" w:themeColor="text2"/>
          <w:sz w:val="18"/>
          <w:szCs w:val="18"/>
        </w:rPr>
        <w:fldChar w:fldCharType="begin"/>
      </w:r>
      <w:r w:rsidRPr="001E2F6E">
        <w:rPr>
          <w:b/>
          <w:color w:val="1F497D" w:themeColor="text2"/>
          <w:sz w:val="18"/>
          <w:szCs w:val="18"/>
        </w:rPr>
        <w:instrText xml:space="preserve"> SEQ Gráfico_1. \* ARABIC </w:instrText>
      </w:r>
      <w:r w:rsidR="00EB6BA6" w:rsidRPr="001E2F6E">
        <w:rPr>
          <w:b/>
          <w:color w:val="1F497D" w:themeColor="text2"/>
          <w:sz w:val="18"/>
          <w:szCs w:val="18"/>
        </w:rPr>
        <w:fldChar w:fldCharType="separate"/>
      </w:r>
      <w:r w:rsidR="00A327D4">
        <w:rPr>
          <w:b/>
          <w:noProof/>
          <w:color w:val="1F497D" w:themeColor="text2"/>
          <w:sz w:val="18"/>
          <w:szCs w:val="18"/>
        </w:rPr>
        <w:t>12</w:t>
      </w:r>
      <w:r w:rsidR="00EB6BA6" w:rsidRPr="001E2F6E">
        <w:rPr>
          <w:b/>
          <w:color w:val="1F497D" w:themeColor="text2"/>
          <w:sz w:val="18"/>
          <w:szCs w:val="18"/>
        </w:rPr>
        <w:fldChar w:fldCharType="end"/>
      </w:r>
      <w:r w:rsidRPr="001E2F6E">
        <w:rPr>
          <w:b/>
          <w:color w:val="1F497D" w:themeColor="text2"/>
          <w:sz w:val="18"/>
          <w:szCs w:val="18"/>
        </w:rPr>
        <w:t xml:space="preserve"> Irudia GIZARTE-EKONOMIAK EAEko EKONOMIAN DUEN GARRANTZI ERLATIBOA (Enpleguaren pisu erlatiboa Lurralde Historikoaren arabera). 2010-2012</w:t>
      </w:r>
      <w:bookmarkEnd w:id="150"/>
      <w:bookmarkEnd w:id="151"/>
    </w:p>
    <w:p w:rsidR="00195BE7" w:rsidRPr="001E2F6E" w:rsidRDefault="00195BE7" w:rsidP="00195BE7">
      <w:pPr>
        <w:spacing w:line="240" w:lineRule="auto"/>
        <w:jc w:val="center"/>
        <w:rPr>
          <w:b/>
          <w:color w:val="1F497D" w:themeColor="text2"/>
          <w:sz w:val="18"/>
          <w:szCs w:val="18"/>
        </w:rPr>
      </w:pPr>
    </w:p>
    <w:p w:rsidR="00195BE7" w:rsidRPr="001E2F6E" w:rsidRDefault="00195BE7" w:rsidP="00195BE7">
      <w:pPr>
        <w:jc w:val="center"/>
        <w:rPr>
          <w:b/>
          <w:color w:val="1F497D" w:themeColor="text2"/>
          <w:sz w:val="18"/>
          <w:szCs w:val="18"/>
        </w:rPr>
      </w:pPr>
      <w:r w:rsidRPr="001E2F6E">
        <w:rPr>
          <w:b/>
          <w:noProof/>
          <w:color w:val="1F497D" w:themeColor="text2"/>
          <w:sz w:val="18"/>
          <w:szCs w:val="18"/>
          <w:lang w:eastAsia="es-ES"/>
        </w:rPr>
        <w:drawing>
          <wp:anchor distT="0" distB="0" distL="114300" distR="114300" simplePos="0" relativeHeight="251700224" behindDoc="0" locked="0" layoutInCell="1" allowOverlap="1" wp14:anchorId="715DC47A" wp14:editId="354761ED">
            <wp:simplePos x="0" y="0"/>
            <wp:positionH relativeFrom="column">
              <wp:posOffset>453390</wp:posOffset>
            </wp:positionH>
            <wp:positionV relativeFrom="paragraph">
              <wp:posOffset>40005</wp:posOffset>
            </wp:positionV>
            <wp:extent cx="4391025" cy="1762125"/>
            <wp:effectExtent l="0" t="0" r="0" b="0"/>
            <wp:wrapNone/>
            <wp:docPr id="467" name="Objeto 44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anchor>
        </w:drawing>
      </w:r>
    </w:p>
    <w:p w:rsidR="00195BE7" w:rsidRPr="001E2F6E" w:rsidRDefault="00195BE7" w:rsidP="00195BE7">
      <w:pPr>
        <w:jc w:val="center"/>
        <w:rPr>
          <w:b/>
          <w:color w:val="1F497D" w:themeColor="text2"/>
          <w:sz w:val="18"/>
          <w:szCs w:val="18"/>
        </w:rPr>
      </w:pPr>
    </w:p>
    <w:p w:rsidR="00195BE7" w:rsidRPr="001E2F6E" w:rsidRDefault="00195BE7" w:rsidP="00195BE7">
      <w:pPr>
        <w:jc w:val="center"/>
        <w:rPr>
          <w:b/>
          <w:color w:val="1F497D" w:themeColor="text2"/>
          <w:sz w:val="18"/>
          <w:szCs w:val="18"/>
        </w:rPr>
      </w:pPr>
    </w:p>
    <w:p w:rsidR="00195BE7" w:rsidRPr="001E2F6E" w:rsidRDefault="00195BE7" w:rsidP="00195BE7">
      <w:pPr>
        <w:jc w:val="center"/>
        <w:rPr>
          <w:b/>
          <w:color w:val="1F497D" w:themeColor="text2"/>
          <w:sz w:val="18"/>
          <w:szCs w:val="18"/>
        </w:rPr>
      </w:pPr>
    </w:p>
    <w:p w:rsidR="00195BE7" w:rsidRPr="001E2F6E" w:rsidRDefault="00195BE7" w:rsidP="00195BE7">
      <w:pPr>
        <w:jc w:val="center"/>
        <w:rPr>
          <w:b/>
          <w:color w:val="1F497D" w:themeColor="text2"/>
          <w:sz w:val="18"/>
          <w:szCs w:val="18"/>
        </w:rPr>
      </w:pPr>
    </w:p>
    <w:p w:rsidR="00195BE7" w:rsidRPr="001E2F6E" w:rsidRDefault="00195BE7" w:rsidP="00195BE7">
      <w:pPr>
        <w:jc w:val="center"/>
        <w:rPr>
          <w:b/>
          <w:color w:val="1F497D" w:themeColor="text2"/>
          <w:sz w:val="18"/>
          <w:szCs w:val="18"/>
        </w:rPr>
      </w:pPr>
    </w:p>
    <w:p w:rsidR="00195BE7" w:rsidRPr="001E2F6E" w:rsidRDefault="00195BE7" w:rsidP="00195BE7">
      <w:pPr>
        <w:jc w:val="center"/>
        <w:rPr>
          <w:b/>
          <w:color w:val="1F497D" w:themeColor="text2"/>
          <w:sz w:val="18"/>
          <w:szCs w:val="18"/>
        </w:rPr>
      </w:pPr>
    </w:p>
    <w:p w:rsidR="00195BE7" w:rsidRPr="001E2F6E" w:rsidRDefault="00195BE7" w:rsidP="00195BE7">
      <w:pPr>
        <w:jc w:val="center"/>
        <w:rPr>
          <w:b/>
          <w:color w:val="1F497D" w:themeColor="text2"/>
          <w:sz w:val="18"/>
          <w:szCs w:val="18"/>
        </w:rPr>
      </w:pPr>
    </w:p>
    <w:p w:rsidR="00195BE7" w:rsidRPr="001E2F6E" w:rsidRDefault="00195BE7" w:rsidP="00195BE7">
      <w:pPr>
        <w:jc w:val="center"/>
        <w:rPr>
          <w:b/>
          <w:color w:val="1F497D" w:themeColor="text2"/>
          <w:sz w:val="18"/>
          <w:szCs w:val="18"/>
        </w:rPr>
      </w:pPr>
    </w:p>
    <w:p w:rsidR="00195BE7" w:rsidRPr="001E2F6E" w:rsidRDefault="00195BE7" w:rsidP="00195BE7">
      <w:pPr>
        <w:jc w:val="center"/>
        <w:rPr>
          <w:lang w:val="eu-ES"/>
        </w:rPr>
      </w:pPr>
      <w:r w:rsidRPr="001E2F6E">
        <w:rPr>
          <w:i/>
          <w:sz w:val="16"/>
          <w:szCs w:val="16"/>
          <w:lang w:val="eu-ES"/>
        </w:rPr>
        <w:t>Konparaziorako Iturria: Biztanleria jardueraren arabera sailkatzeko inkesta (BJA), Eustat 2012</w:t>
      </w:r>
    </w:p>
    <w:p w:rsidR="00195BE7" w:rsidRPr="001E2F6E" w:rsidRDefault="00195BE7" w:rsidP="00195BE7"/>
    <w:p w:rsidR="00195BE7" w:rsidRPr="001E2F6E" w:rsidRDefault="00195BE7" w:rsidP="00195BE7">
      <w:pPr>
        <w:spacing w:line="240" w:lineRule="auto"/>
        <w:jc w:val="center"/>
        <w:rPr>
          <w:b/>
          <w:color w:val="1F497D" w:themeColor="text2"/>
          <w:sz w:val="18"/>
          <w:szCs w:val="18"/>
        </w:rPr>
      </w:pPr>
      <w:bookmarkStart w:id="152" w:name="_Toc391989107"/>
      <w:bookmarkStart w:id="153" w:name="_Toc392585772"/>
      <w:r w:rsidRPr="001E2F6E">
        <w:rPr>
          <w:b/>
          <w:color w:val="1F497D" w:themeColor="text2"/>
          <w:sz w:val="18"/>
          <w:szCs w:val="18"/>
        </w:rPr>
        <w:t>1.</w:t>
      </w:r>
      <w:r w:rsidR="00EB6BA6" w:rsidRPr="001E2F6E">
        <w:rPr>
          <w:b/>
          <w:color w:val="1F497D" w:themeColor="text2"/>
          <w:sz w:val="18"/>
          <w:szCs w:val="18"/>
        </w:rPr>
        <w:fldChar w:fldCharType="begin"/>
      </w:r>
      <w:r w:rsidRPr="001E2F6E">
        <w:rPr>
          <w:b/>
          <w:color w:val="1F497D" w:themeColor="text2"/>
          <w:sz w:val="18"/>
          <w:szCs w:val="18"/>
        </w:rPr>
        <w:instrText xml:space="preserve"> SEQ Cuadro_1. \* ARABIC </w:instrText>
      </w:r>
      <w:r w:rsidR="00EB6BA6" w:rsidRPr="001E2F6E">
        <w:rPr>
          <w:b/>
          <w:color w:val="1F497D" w:themeColor="text2"/>
          <w:sz w:val="18"/>
          <w:szCs w:val="18"/>
        </w:rPr>
        <w:fldChar w:fldCharType="separate"/>
      </w:r>
      <w:r w:rsidR="00A327D4">
        <w:rPr>
          <w:b/>
          <w:noProof/>
          <w:color w:val="1F497D" w:themeColor="text2"/>
          <w:sz w:val="18"/>
          <w:szCs w:val="18"/>
        </w:rPr>
        <w:t>37</w:t>
      </w:r>
      <w:r w:rsidR="00EB6BA6" w:rsidRPr="001E2F6E">
        <w:rPr>
          <w:b/>
          <w:color w:val="1F497D" w:themeColor="text2"/>
          <w:sz w:val="18"/>
          <w:szCs w:val="18"/>
        </w:rPr>
        <w:fldChar w:fldCharType="end"/>
      </w:r>
      <w:r w:rsidRPr="001E2F6E">
        <w:rPr>
          <w:b/>
          <w:color w:val="1F497D" w:themeColor="text2"/>
          <w:sz w:val="18"/>
          <w:szCs w:val="18"/>
        </w:rPr>
        <w:t xml:space="preserve"> Taula GIZARTE-EKONOMIAREN ALORREKO ENPLEGUEN LURRALDE-BANAKETA, FORMA JURIDIKOAREN ARABERA </w:t>
      </w:r>
      <w:bookmarkEnd w:id="152"/>
      <w:r w:rsidRPr="001E2F6E">
        <w:rPr>
          <w:b/>
          <w:color w:val="1F497D" w:themeColor="text2"/>
          <w:sz w:val="18"/>
          <w:szCs w:val="18"/>
        </w:rPr>
        <w:t>(zifra absolutuak eta %bertikalak). 2012</w:t>
      </w:r>
      <w:bookmarkEnd w:id="153"/>
    </w:p>
    <w:p w:rsidR="00195BE7" w:rsidRPr="001E2F6E" w:rsidRDefault="00195BE7" w:rsidP="00195BE7">
      <w:pPr>
        <w:spacing w:line="240" w:lineRule="auto"/>
        <w:jc w:val="center"/>
        <w:rPr>
          <w:b/>
          <w:color w:val="1F497D" w:themeColor="text2"/>
          <w:sz w:val="18"/>
          <w:szCs w:val="18"/>
        </w:rPr>
      </w:pPr>
    </w:p>
    <w:tbl>
      <w:tblPr>
        <w:tblW w:w="5000" w:type="pct"/>
        <w:jc w:val="center"/>
        <w:tblLook w:val="04A0" w:firstRow="1" w:lastRow="0" w:firstColumn="1" w:lastColumn="0" w:noHBand="0" w:noVBand="1"/>
      </w:tblPr>
      <w:tblGrid>
        <w:gridCol w:w="1771"/>
        <w:gridCol w:w="1036"/>
        <w:gridCol w:w="825"/>
        <w:gridCol w:w="1035"/>
        <w:gridCol w:w="825"/>
        <w:gridCol w:w="931"/>
        <w:gridCol w:w="825"/>
        <w:gridCol w:w="931"/>
        <w:gridCol w:w="825"/>
      </w:tblGrid>
      <w:tr w:rsidR="00195BE7" w:rsidRPr="001E2F6E" w:rsidTr="00195BE7">
        <w:trPr>
          <w:jc w:val="center"/>
        </w:trPr>
        <w:tc>
          <w:tcPr>
            <w:tcW w:w="983" w:type="pct"/>
            <w:vMerge w:val="restart"/>
            <w:tcBorders>
              <w:top w:val="single" w:sz="4" w:space="0" w:color="BFBFBF" w:themeColor="background1" w:themeShade="BF"/>
              <w:right w:val="single" w:sz="4" w:space="0" w:color="BFBFBF" w:themeColor="background1" w:themeShade="BF"/>
            </w:tcBorders>
            <w:shd w:val="clear" w:color="auto" w:fill="DBE5F1" w:themeFill="accent1" w:themeFillTint="33"/>
            <w:hideMark/>
          </w:tcPr>
          <w:p w:rsidR="00195BE7" w:rsidRPr="001E2F6E" w:rsidRDefault="00195BE7" w:rsidP="00195BE7">
            <w:pPr>
              <w:spacing w:line="240" w:lineRule="exact"/>
              <w:rPr>
                <w:sz w:val="16"/>
                <w:szCs w:val="16"/>
              </w:rPr>
            </w:pPr>
          </w:p>
        </w:tc>
        <w:tc>
          <w:tcPr>
            <w:tcW w:w="1033"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hideMark/>
          </w:tcPr>
          <w:p w:rsidR="00195BE7" w:rsidRPr="001E2F6E" w:rsidRDefault="00195BE7" w:rsidP="00195BE7">
            <w:pPr>
              <w:spacing w:line="240" w:lineRule="exact"/>
              <w:jc w:val="center"/>
              <w:rPr>
                <w:b/>
                <w:bCs/>
                <w:sz w:val="16"/>
                <w:szCs w:val="16"/>
              </w:rPr>
            </w:pPr>
            <w:r w:rsidRPr="001E2F6E">
              <w:rPr>
                <w:b/>
                <w:bCs/>
                <w:sz w:val="16"/>
                <w:szCs w:val="16"/>
              </w:rPr>
              <w:t>GUZTIRA</w:t>
            </w:r>
          </w:p>
        </w:tc>
        <w:tc>
          <w:tcPr>
            <w:tcW w:w="1033"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hideMark/>
          </w:tcPr>
          <w:p w:rsidR="00195BE7" w:rsidRPr="001E2F6E" w:rsidRDefault="00195BE7" w:rsidP="00195BE7">
            <w:pPr>
              <w:spacing w:line="240" w:lineRule="exact"/>
              <w:jc w:val="center"/>
              <w:rPr>
                <w:b/>
                <w:bCs/>
                <w:sz w:val="16"/>
                <w:szCs w:val="16"/>
              </w:rPr>
            </w:pPr>
            <w:r w:rsidRPr="001E2F6E">
              <w:rPr>
                <w:b/>
                <w:bCs/>
                <w:sz w:val="16"/>
                <w:szCs w:val="16"/>
              </w:rPr>
              <w:t>Koop.</w:t>
            </w:r>
          </w:p>
        </w:tc>
        <w:tc>
          <w:tcPr>
            <w:tcW w:w="975"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hideMark/>
          </w:tcPr>
          <w:p w:rsidR="00195BE7" w:rsidRPr="001E2F6E" w:rsidRDefault="00195BE7" w:rsidP="00195BE7">
            <w:pPr>
              <w:spacing w:line="240" w:lineRule="exact"/>
              <w:jc w:val="center"/>
              <w:rPr>
                <w:b/>
                <w:bCs/>
                <w:sz w:val="16"/>
                <w:szCs w:val="16"/>
              </w:rPr>
            </w:pPr>
            <w:r w:rsidRPr="001E2F6E">
              <w:rPr>
                <w:b/>
                <w:bCs/>
                <w:sz w:val="16"/>
                <w:szCs w:val="16"/>
              </w:rPr>
              <w:t>LSA</w:t>
            </w:r>
          </w:p>
        </w:tc>
        <w:tc>
          <w:tcPr>
            <w:tcW w:w="975" w:type="pct"/>
            <w:gridSpan w:val="2"/>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hideMark/>
          </w:tcPr>
          <w:p w:rsidR="00195BE7" w:rsidRPr="001E2F6E" w:rsidRDefault="00195BE7" w:rsidP="00195BE7">
            <w:pPr>
              <w:spacing w:line="240" w:lineRule="exact"/>
              <w:jc w:val="center"/>
              <w:rPr>
                <w:b/>
                <w:bCs/>
                <w:sz w:val="16"/>
                <w:szCs w:val="16"/>
              </w:rPr>
            </w:pPr>
            <w:r w:rsidRPr="001E2F6E">
              <w:rPr>
                <w:b/>
                <w:bCs/>
                <w:sz w:val="16"/>
                <w:szCs w:val="16"/>
              </w:rPr>
              <w:t>LSM</w:t>
            </w:r>
          </w:p>
        </w:tc>
      </w:tr>
      <w:tr w:rsidR="00195BE7" w:rsidRPr="001E2F6E" w:rsidTr="00195BE7">
        <w:trPr>
          <w:jc w:val="center"/>
        </w:trPr>
        <w:tc>
          <w:tcPr>
            <w:tcW w:w="983" w:type="pct"/>
            <w:vMerge/>
            <w:tcBorders>
              <w:bottom w:val="single" w:sz="4" w:space="0" w:color="BFBFBF" w:themeColor="background1" w:themeShade="BF"/>
              <w:right w:val="single" w:sz="4" w:space="0" w:color="BFBFBF" w:themeColor="background1" w:themeShade="BF"/>
            </w:tcBorders>
            <w:shd w:val="clear" w:color="auto" w:fill="DBE5F1" w:themeFill="accent1" w:themeFillTint="33"/>
            <w:hideMark/>
          </w:tcPr>
          <w:p w:rsidR="00195BE7" w:rsidRPr="001E2F6E" w:rsidRDefault="00195BE7" w:rsidP="00195BE7">
            <w:pPr>
              <w:spacing w:line="240" w:lineRule="exact"/>
              <w:rPr>
                <w:sz w:val="16"/>
                <w:szCs w:val="16"/>
              </w:rPr>
            </w:pPr>
          </w:p>
        </w:tc>
        <w:tc>
          <w:tcPr>
            <w:tcW w:w="575"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hideMark/>
          </w:tcPr>
          <w:p w:rsidR="00195BE7" w:rsidRPr="001E2F6E" w:rsidRDefault="00195BE7" w:rsidP="00195BE7">
            <w:pPr>
              <w:spacing w:line="240" w:lineRule="exact"/>
              <w:jc w:val="center"/>
              <w:rPr>
                <w:b/>
                <w:bCs/>
                <w:sz w:val="16"/>
                <w:szCs w:val="16"/>
              </w:rPr>
            </w:pPr>
            <w:r w:rsidRPr="001E2F6E">
              <w:rPr>
                <w:b/>
                <w:bCs/>
                <w:sz w:val="16"/>
                <w:szCs w:val="16"/>
              </w:rPr>
              <w:t>z.a.</w:t>
            </w:r>
          </w:p>
        </w:tc>
        <w:tc>
          <w:tcPr>
            <w:tcW w:w="458"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hideMark/>
          </w:tcPr>
          <w:p w:rsidR="00195BE7" w:rsidRPr="001E2F6E" w:rsidRDefault="00195BE7" w:rsidP="00195BE7">
            <w:pPr>
              <w:spacing w:line="240" w:lineRule="exact"/>
              <w:jc w:val="center"/>
              <w:rPr>
                <w:b/>
                <w:bCs/>
                <w:sz w:val="16"/>
                <w:szCs w:val="16"/>
              </w:rPr>
            </w:pPr>
            <w:r w:rsidRPr="001E2F6E">
              <w:rPr>
                <w:b/>
                <w:bCs/>
                <w:sz w:val="16"/>
                <w:szCs w:val="16"/>
              </w:rPr>
              <w:t>%ber.</w:t>
            </w:r>
          </w:p>
        </w:tc>
        <w:tc>
          <w:tcPr>
            <w:tcW w:w="575"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hideMark/>
          </w:tcPr>
          <w:p w:rsidR="00195BE7" w:rsidRPr="001E2F6E" w:rsidRDefault="00195BE7" w:rsidP="00195BE7">
            <w:pPr>
              <w:spacing w:line="240" w:lineRule="exact"/>
              <w:jc w:val="center"/>
              <w:rPr>
                <w:b/>
                <w:bCs/>
                <w:sz w:val="16"/>
                <w:szCs w:val="16"/>
              </w:rPr>
            </w:pPr>
            <w:r w:rsidRPr="001E2F6E">
              <w:rPr>
                <w:b/>
                <w:bCs/>
                <w:sz w:val="16"/>
                <w:szCs w:val="16"/>
              </w:rPr>
              <w:t>z.a.</w:t>
            </w:r>
          </w:p>
        </w:tc>
        <w:tc>
          <w:tcPr>
            <w:tcW w:w="458"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hideMark/>
          </w:tcPr>
          <w:p w:rsidR="00195BE7" w:rsidRPr="001E2F6E" w:rsidRDefault="00195BE7" w:rsidP="00195BE7">
            <w:pPr>
              <w:spacing w:line="240" w:lineRule="exact"/>
              <w:jc w:val="center"/>
              <w:rPr>
                <w:b/>
                <w:bCs/>
                <w:sz w:val="16"/>
                <w:szCs w:val="16"/>
              </w:rPr>
            </w:pPr>
            <w:r w:rsidRPr="001E2F6E">
              <w:rPr>
                <w:b/>
                <w:bCs/>
                <w:sz w:val="16"/>
                <w:szCs w:val="16"/>
              </w:rPr>
              <w:t>%ber.</w:t>
            </w:r>
          </w:p>
        </w:tc>
        <w:tc>
          <w:tcPr>
            <w:tcW w:w="517"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hideMark/>
          </w:tcPr>
          <w:p w:rsidR="00195BE7" w:rsidRPr="001E2F6E" w:rsidRDefault="00195BE7" w:rsidP="00195BE7">
            <w:pPr>
              <w:spacing w:line="240" w:lineRule="exact"/>
              <w:jc w:val="center"/>
              <w:rPr>
                <w:b/>
                <w:bCs/>
                <w:sz w:val="16"/>
                <w:szCs w:val="16"/>
              </w:rPr>
            </w:pPr>
            <w:r w:rsidRPr="001E2F6E">
              <w:rPr>
                <w:b/>
                <w:bCs/>
                <w:sz w:val="16"/>
                <w:szCs w:val="16"/>
              </w:rPr>
              <w:t>z.a.</w:t>
            </w:r>
          </w:p>
        </w:tc>
        <w:tc>
          <w:tcPr>
            <w:tcW w:w="458"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hideMark/>
          </w:tcPr>
          <w:p w:rsidR="00195BE7" w:rsidRPr="001E2F6E" w:rsidRDefault="00195BE7" w:rsidP="00195BE7">
            <w:pPr>
              <w:spacing w:line="240" w:lineRule="exact"/>
              <w:jc w:val="center"/>
              <w:rPr>
                <w:b/>
                <w:bCs/>
                <w:sz w:val="16"/>
                <w:szCs w:val="16"/>
              </w:rPr>
            </w:pPr>
            <w:r w:rsidRPr="001E2F6E">
              <w:rPr>
                <w:b/>
                <w:bCs/>
                <w:sz w:val="16"/>
                <w:szCs w:val="16"/>
              </w:rPr>
              <w:t>%ber.</w:t>
            </w:r>
          </w:p>
        </w:tc>
        <w:tc>
          <w:tcPr>
            <w:tcW w:w="517"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hideMark/>
          </w:tcPr>
          <w:p w:rsidR="00195BE7" w:rsidRPr="001E2F6E" w:rsidRDefault="00195BE7" w:rsidP="00195BE7">
            <w:pPr>
              <w:spacing w:line="240" w:lineRule="exact"/>
              <w:jc w:val="center"/>
              <w:rPr>
                <w:b/>
                <w:bCs/>
                <w:sz w:val="16"/>
                <w:szCs w:val="16"/>
              </w:rPr>
            </w:pPr>
            <w:r w:rsidRPr="001E2F6E">
              <w:rPr>
                <w:b/>
                <w:bCs/>
                <w:sz w:val="16"/>
                <w:szCs w:val="16"/>
              </w:rPr>
              <w:t>z.a.</w:t>
            </w:r>
          </w:p>
        </w:tc>
        <w:tc>
          <w:tcPr>
            <w:tcW w:w="458" w:type="pct"/>
            <w:tcBorders>
              <w:top w:val="single" w:sz="4" w:space="0" w:color="BFBFBF" w:themeColor="background1" w:themeShade="BF"/>
              <w:bottom w:val="single" w:sz="4" w:space="0" w:color="BFBFBF" w:themeColor="background1" w:themeShade="BF"/>
            </w:tcBorders>
            <w:shd w:val="clear" w:color="auto" w:fill="DBE5F1" w:themeFill="accent1" w:themeFillTint="33"/>
            <w:hideMark/>
          </w:tcPr>
          <w:p w:rsidR="00195BE7" w:rsidRPr="001E2F6E" w:rsidRDefault="00195BE7" w:rsidP="00195BE7">
            <w:pPr>
              <w:spacing w:line="240" w:lineRule="exact"/>
              <w:jc w:val="center"/>
              <w:rPr>
                <w:b/>
                <w:bCs/>
                <w:sz w:val="16"/>
                <w:szCs w:val="16"/>
              </w:rPr>
            </w:pPr>
            <w:r w:rsidRPr="001E2F6E">
              <w:rPr>
                <w:b/>
                <w:bCs/>
                <w:sz w:val="16"/>
                <w:szCs w:val="16"/>
              </w:rPr>
              <w:t>%ber.</w:t>
            </w:r>
          </w:p>
        </w:tc>
      </w:tr>
      <w:tr w:rsidR="00195BE7" w:rsidRPr="001E2F6E" w:rsidTr="00195BE7">
        <w:trPr>
          <w:jc w:val="center"/>
        </w:trPr>
        <w:tc>
          <w:tcPr>
            <w:tcW w:w="983" w:type="pct"/>
            <w:tcBorders>
              <w:top w:val="single" w:sz="4" w:space="0" w:color="BFBFBF" w:themeColor="background1" w:themeShade="BF"/>
              <w:right w:val="single" w:sz="4" w:space="0" w:color="BFBFBF" w:themeColor="background1" w:themeShade="BF"/>
            </w:tcBorders>
            <w:hideMark/>
          </w:tcPr>
          <w:p w:rsidR="00195BE7" w:rsidRPr="001E2F6E" w:rsidRDefault="00195BE7" w:rsidP="00195BE7">
            <w:pPr>
              <w:spacing w:line="240" w:lineRule="exact"/>
              <w:rPr>
                <w:sz w:val="16"/>
                <w:szCs w:val="16"/>
              </w:rPr>
            </w:pPr>
            <w:r w:rsidRPr="001E2F6E">
              <w:rPr>
                <w:sz w:val="16"/>
                <w:szCs w:val="16"/>
              </w:rPr>
              <w:t>Araba</w:t>
            </w:r>
          </w:p>
        </w:tc>
        <w:tc>
          <w:tcPr>
            <w:tcW w:w="575" w:type="pct"/>
            <w:tcBorders>
              <w:top w:val="single" w:sz="4" w:space="0" w:color="BFBFBF" w:themeColor="background1" w:themeShade="BF"/>
              <w:left w:val="single" w:sz="4" w:space="0" w:color="BFBFBF" w:themeColor="background1" w:themeShade="BF"/>
            </w:tcBorders>
            <w:hideMark/>
          </w:tcPr>
          <w:p w:rsidR="00195BE7" w:rsidRPr="001E2F6E" w:rsidRDefault="00195BE7" w:rsidP="00195BE7">
            <w:pPr>
              <w:spacing w:line="240" w:lineRule="exact"/>
              <w:ind w:right="170"/>
              <w:jc w:val="right"/>
              <w:rPr>
                <w:sz w:val="16"/>
                <w:szCs w:val="16"/>
              </w:rPr>
            </w:pPr>
            <w:r w:rsidRPr="001E2F6E">
              <w:rPr>
                <w:sz w:val="16"/>
                <w:szCs w:val="16"/>
              </w:rPr>
              <w:t>5.846</w:t>
            </w:r>
          </w:p>
        </w:tc>
        <w:tc>
          <w:tcPr>
            <w:tcW w:w="458" w:type="pct"/>
            <w:tcBorders>
              <w:top w:val="single" w:sz="4" w:space="0" w:color="BFBFBF" w:themeColor="background1" w:themeShade="BF"/>
              <w:right w:val="single" w:sz="4" w:space="0" w:color="BFBFBF" w:themeColor="background1" w:themeShade="BF"/>
            </w:tcBorders>
            <w:hideMark/>
          </w:tcPr>
          <w:p w:rsidR="00195BE7" w:rsidRPr="001E2F6E" w:rsidRDefault="00195BE7" w:rsidP="00195BE7">
            <w:pPr>
              <w:spacing w:line="240" w:lineRule="exact"/>
              <w:ind w:right="170"/>
              <w:jc w:val="right"/>
              <w:rPr>
                <w:sz w:val="16"/>
                <w:szCs w:val="16"/>
              </w:rPr>
            </w:pPr>
            <w:r w:rsidRPr="001E2F6E">
              <w:rPr>
                <w:sz w:val="16"/>
                <w:szCs w:val="16"/>
              </w:rPr>
              <w:t>10,5</w:t>
            </w:r>
          </w:p>
        </w:tc>
        <w:tc>
          <w:tcPr>
            <w:tcW w:w="575" w:type="pct"/>
            <w:tcBorders>
              <w:top w:val="single" w:sz="4" w:space="0" w:color="BFBFBF" w:themeColor="background1" w:themeShade="BF"/>
              <w:left w:val="single" w:sz="4" w:space="0" w:color="BFBFBF" w:themeColor="background1" w:themeShade="BF"/>
            </w:tcBorders>
            <w:hideMark/>
          </w:tcPr>
          <w:p w:rsidR="00195BE7" w:rsidRPr="001E2F6E" w:rsidRDefault="00195BE7" w:rsidP="00195BE7">
            <w:pPr>
              <w:spacing w:line="240" w:lineRule="exact"/>
              <w:ind w:right="170"/>
              <w:jc w:val="right"/>
              <w:rPr>
                <w:sz w:val="16"/>
                <w:szCs w:val="16"/>
              </w:rPr>
            </w:pPr>
            <w:r w:rsidRPr="001E2F6E">
              <w:rPr>
                <w:sz w:val="16"/>
                <w:szCs w:val="16"/>
              </w:rPr>
              <w:t>4.983</w:t>
            </w:r>
          </w:p>
        </w:tc>
        <w:tc>
          <w:tcPr>
            <w:tcW w:w="458" w:type="pct"/>
            <w:tcBorders>
              <w:top w:val="single" w:sz="4" w:space="0" w:color="BFBFBF" w:themeColor="background1" w:themeShade="BF"/>
              <w:right w:val="single" w:sz="4" w:space="0" w:color="BFBFBF" w:themeColor="background1" w:themeShade="BF"/>
            </w:tcBorders>
            <w:hideMark/>
          </w:tcPr>
          <w:p w:rsidR="00195BE7" w:rsidRPr="001E2F6E" w:rsidRDefault="00195BE7" w:rsidP="00195BE7">
            <w:pPr>
              <w:spacing w:line="240" w:lineRule="exact"/>
              <w:ind w:right="170"/>
              <w:jc w:val="right"/>
              <w:rPr>
                <w:sz w:val="16"/>
                <w:szCs w:val="16"/>
              </w:rPr>
            </w:pPr>
            <w:r w:rsidRPr="001E2F6E">
              <w:rPr>
                <w:sz w:val="16"/>
                <w:szCs w:val="16"/>
              </w:rPr>
              <w:t>10,4</w:t>
            </w:r>
          </w:p>
        </w:tc>
        <w:tc>
          <w:tcPr>
            <w:tcW w:w="517" w:type="pct"/>
            <w:tcBorders>
              <w:top w:val="single" w:sz="4" w:space="0" w:color="BFBFBF" w:themeColor="background1" w:themeShade="BF"/>
              <w:left w:val="single" w:sz="4" w:space="0" w:color="BFBFBF" w:themeColor="background1" w:themeShade="BF"/>
            </w:tcBorders>
            <w:hideMark/>
          </w:tcPr>
          <w:p w:rsidR="00195BE7" w:rsidRPr="001E2F6E" w:rsidRDefault="00195BE7" w:rsidP="00195BE7">
            <w:pPr>
              <w:spacing w:line="240" w:lineRule="exact"/>
              <w:ind w:right="170"/>
              <w:jc w:val="right"/>
              <w:rPr>
                <w:sz w:val="16"/>
                <w:szCs w:val="16"/>
              </w:rPr>
            </w:pPr>
            <w:r w:rsidRPr="001E2F6E">
              <w:rPr>
                <w:sz w:val="16"/>
                <w:szCs w:val="16"/>
              </w:rPr>
              <w:t>476</w:t>
            </w:r>
          </w:p>
        </w:tc>
        <w:tc>
          <w:tcPr>
            <w:tcW w:w="458" w:type="pct"/>
            <w:tcBorders>
              <w:top w:val="single" w:sz="4" w:space="0" w:color="BFBFBF" w:themeColor="background1" w:themeShade="BF"/>
              <w:right w:val="single" w:sz="4" w:space="0" w:color="BFBFBF" w:themeColor="background1" w:themeShade="BF"/>
            </w:tcBorders>
            <w:hideMark/>
          </w:tcPr>
          <w:p w:rsidR="00195BE7" w:rsidRPr="001E2F6E" w:rsidRDefault="00195BE7" w:rsidP="00195BE7">
            <w:pPr>
              <w:spacing w:line="240" w:lineRule="exact"/>
              <w:ind w:right="170"/>
              <w:jc w:val="right"/>
              <w:rPr>
                <w:sz w:val="16"/>
                <w:szCs w:val="16"/>
              </w:rPr>
            </w:pPr>
            <w:r w:rsidRPr="001E2F6E">
              <w:rPr>
                <w:sz w:val="16"/>
                <w:szCs w:val="16"/>
              </w:rPr>
              <w:t>11,9</w:t>
            </w:r>
          </w:p>
        </w:tc>
        <w:tc>
          <w:tcPr>
            <w:tcW w:w="517" w:type="pct"/>
            <w:tcBorders>
              <w:top w:val="single" w:sz="4" w:space="0" w:color="BFBFBF" w:themeColor="background1" w:themeShade="BF"/>
              <w:left w:val="single" w:sz="4" w:space="0" w:color="BFBFBF" w:themeColor="background1" w:themeShade="BF"/>
            </w:tcBorders>
            <w:hideMark/>
          </w:tcPr>
          <w:p w:rsidR="00195BE7" w:rsidRPr="001E2F6E" w:rsidRDefault="00195BE7" w:rsidP="00195BE7">
            <w:pPr>
              <w:spacing w:line="240" w:lineRule="exact"/>
              <w:ind w:right="170"/>
              <w:jc w:val="right"/>
              <w:rPr>
                <w:sz w:val="16"/>
                <w:szCs w:val="16"/>
              </w:rPr>
            </w:pPr>
            <w:r w:rsidRPr="001E2F6E">
              <w:rPr>
                <w:sz w:val="16"/>
                <w:szCs w:val="16"/>
              </w:rPr>
              <w:t>388</w:t>
            </w:r>
          </w:p>
        </w:tc>
        <w:tc>
          <w:tcPr>
            <w:tcW w:w="458" w:type="pct"/>
            <w:tcBorders>
              <w:top w:val="single" w:sz="4" w:space="0" w:color="BFBFBF" w:themeColor="background1" w:themeShade="BF"/>
            </w:tcBorders>
            <w:hideMark/>
          </w:tcPr>
          <w:p w:rsidR="00195BE7" w:rsidRPr="001E2F6E" w:rsidRDefault="00195BE7" w:rsidP="00195BE7">
            <w:pPr>
              <w:spacing w:line="240" w:lineRule="exact"/>
              <w:ind w:right="170"/>
              <w:jc w:val="right"/>
              <w:rPr>
                <w:sz w:val="16"/>
                <w:szCs w:val="16"/>
              </w:rPr>
            </w:pPr>
            <w:r w:rsidRPr="001E2F6E">
              <w:rPr>
                <w:sz w:val="16"/>
                <w:szCs w:val="16"/>
              </w:rPr>
              <w:t>10,1</w:t>
            </w:r>
          </w:p>
        </w:tc>
      </w:tr>
      <w:tr w:rsidR="00195BE7" w:rsidRPr="001E2F6E" w:rsidTr="00195BE7">
        <w:trPr>
          <w:jc w:val="center"/>
        </w:trPr>
        <w:tc>
          <w:tcPr>
            <w:tcW w:w="983" w:type="pct"/>
            <w:tcBorders>
              <w:right w:val="single" w:sz="4" w:space="0" w:color="BFBFBF" w:themeColor="background1" w:themeShade="BF"/>
            </w:tcBorders>
            <w:hideMark/>
          </w:tcPr>
          <w:p w:rsidR="00195BE7" w:rsidRPr="001E2F6E" w:rsidRDefault="00195BE7" w:rsidP="00195BE7">
            <w:pPr>
              <w:spacing w:line="240" w:lineRule="exact"/>
              <w:rPr>
                <w:sz w:val="16"/>
                <w:szCs w:val="16"/>
              </w:rPr>
            </w:pPr>
            <w:r w:rsidRPr="001E2F6E">
              <w:rPr>
                <w:sz w:val="16"/>
                <w:szCs w:val="16"/>
              </w:rPr>
              <w:t>Bizkaia</w:t>
            </w:r>
          </w:p>
        </w:tc>
        <w:tc>
          <w:tcPr>
            <w:tcW w:w="575" w:type="pct"/>
            <w:tcBorders>
              <w:left w:val="single" w:sz="4" w:space="0" w:color="BFBFBF" w:themeColor="background1" w:themeShade="BF"/>
            </w:tcBorders>
            <w:hideMark/>
          </w:tcPr>
          <w:p w:rsidR="00195BE7" w:rsidRPr="001E2F6E" w:rsidRDefault="00195BE7" w:rsidP="00195BE7">
            <w:pPr>
              <w:spacing w:line="240" w:lineRule="exact"/>
              <w:ind w:right="170"/>
              <w:jc w:val="right"/>
              <w:rPr>
                <w:sz w:val="16"/>
                <w:szCs w:val="16"/>
              </w:rPr>
            </w:pPr>
            <w:r w:rsidRPr="001E2F6E">
              <w:rPr>
                <w:sz w:val="16"/>
                <w:szCs w:val="16"/>
              </w:rPr>
              <w:t>21.087</w:t>
            </w:r>
          </w:p>
        </w:tc>
        <w:tc>
          <w:tcPr>
            <w:tcW w:w="458" w:type="pct"/>
            <w:tcBorders>
              <w:right w:val="single" w:sz="4" w:space="0" w:color="BFBFBF" w:themeColor="background1" w:themeShade="BF"/>
            </w:tcBorders>
            <w:hideMark/>
          </w:tcPr>
          <w:p w:rsidR="00195BE7" w:rsidRPr="001E2F6E" w:rsidRDefault="00195BE7" w:rsidP="00195BE7">
            <w:pPr>
              <w:spacing w:line="240" w:lineRule="exact"/>
              <w:ind w:right="170"/>
              <w:jc w:val="right"/>
              <w:rPr>
                <w:sz w:val="16"/>
                <w:szCs w:val="16"/>
              </w:rPr>
            </w:pPr>
            <w:r w:rsidRPr="001E2F6E">
              <w:rPr>
                <w:sz w:val="16"/>
                <w:szCs w:val="16"/>
              </w:rPr>
              <w:t>37,8</w:t>
            </w:r>
          </w:p>
        </w:tc>
        <w:tc>
          <w:tcPr>
            <w:tcW w:w="575" w:type="pct"/>
            <w:tcBorders>
              <w:left w:val="single" w:sz="4" w:space="0" w:color="BFBFBF" w:themeColor="background1" w:themeShade="BF"/>
            </w:tcBorders>
            <w:hideMark/>
          </w:tcPr>
          <w:p w:rsidR="00195BE7" w:rsidRPr="001E2F6E" w:rsidRDefault="00195BE7" w:rsidP="00195BE7">
            <w:pPr>
              <w:spacing w:line="240" w:lineRule="exact"/>
              <w:ind w:right="170"/>
              <w:jc w:val="right"/>
              <w:rPr>
                <w:sz w:val="16"/>
                <w:szCs w:val="16"/>
              </w:rPr>
            </w:pPr>
            <w:r w:rsidRPr="001E2F6E">
              <w:rPr>
                <w:sz w:val="16"/>
                <w:szCs w:val="16"/>
              </w:rPr>
              <w:t>17.704</w:t>
            </w:r>
          </w:p>
        </w:tc>
        <w:tc>
          <w:tcPr>
            <w:tcW w:w="458" w:type="pct"/>
            <w:tcBorders>
              <w:right w:val="single" w:sz="4" w:space="0" w:color="BFBFBF" w:themeColor="background1" w:themeShade="BF"/>
            </w:tcBorders>
            <w:hideMark/>
          </w:tcPr>
          <w:p w:rsidR="00195BE7" w:rsidRPr="001E2F6E" w:rsidRDefault="00195BE7" w:rsidP="00195BE7">
            <w:pPr>
              <w:spacing w:line="240" w:lineRule="exact"/>
              <w:ind w:right="170"/>
              <w:jc w:val="right"/>
              <w:rPr>
                <w:sz w:val="16"/>
                <w:szCs w:val="16"/>
              </w:rPr>
            </w:pPr>
            <w:r w:rsidRPr="001E2F6E">
              <w:rPr>
                <w:sz w:val="16"/>
                <w:szCs w:val="16"/>
              </w:rPr>
              <w:t>36,9</w:t>
            </w:r>
          </w:p>
        </w:tc>
        <w:tc>
          <w:tcPr>
            <w:tcW w:w="517" w:type="pct"/>
            <w:tcBorders>
              <w:left w:val="single" w:sz="4" w:space="0" w:color="BFBFBF" w:themeColor="background1" w:themeShade="BF"/>
            </w:tcBorders>
            <w:hideMark/>
          </w:tcPr>
          <w:p w:rsidR="00195BE7" w:rsidRPr="001E2F6E" w:rsidRDefault="00195BE7" w:rsidP="00195BE7">
            <w:pPr>
              <w:spacing w:line="240" w:lineRule="exact"/>
              <w:ind w:right="170"/>
              <w:jc w:val="right"/>
              <w:rPr>
                <w:sz w:val="16"/>
                <w:szCs w:val="16"/>
              </w:rPr>
            </w:pPr>
            <w:r w:rsidRPr="001E2F6E">
              <w:rPr>
                <w:sz w:val="16"/>
                <w:szCs w:val="16"/>
              </w:rPr>
              <w:t>1.860</w:t>
            </w:r>
          </w:p>
        </w:tc>
        <w:tc>
          <w:tcPr>
            <w:tcW w:w="458" w:type="pct"/>
            <w:tcBorders>
              <w:right w:val="single" w:sz="4" w:space="0" w:color="BFBFBF" w:themeColor="background1" w:themeShade="BF"/>
            </w:tcBorders>
            <w:hideMark/>
          </w:tcPr>
          <w:p w:rsidR="00195BE7" w:rsidRPr="001E2F6E" w:rsidRDefault="00195BE7" w:rsidP="00195BE7">
            <w:pPr>
              <w:spacing w:line="240" w:lineRule="exact"/>
              <w:ind w:right="170"/>
              <w:jc w:val="right"/>
              <w:rPr>
                <w:sz w:val="16"/>
                <w:szCs w:val="16"/>
              </w:rPr>
            </w:pPr>
            <w:r w:rsidRPr="001E2F6E">
              <w:rPr>
                <w:sz w:val="16"/>
                <w:szCs w:val="16"/>
              </w:rPr>
              <w:t>46,4</w:t>
            </w:r>
          </w:p>
        </w:tc>
        <w:tc>
          <w:tcPr>
            <w:tcW w:w="517" w:type="pct"/>
            <w:tcBorders>
              <w:left w:val="single" w:sz="4" w:space="0" w:color="BFBFBF" w:themeColor="background1" w:themeShade="BF"/>
            </w:tcBorders>
            <w:hideMark/>
          </w:tcPr>
          <w:p w:rsidR="00195BE7" w:rsidRPr="001E2F6E" w:rsidRDefault="00195BE7" w:rsidP="00195BE7">
            <w:pPr>
              <w:spacing w:line="240" w:lineRule="exact"/>
              <w:ind w:right="170"/>
              <w:jc w:val="right"/>
              <w:rPr>
                <w:sz w:val="16"/>
                <w:szCs w:val="16"/>
              </w:rPr>
            </w:pPr>
            <w:r w:rsidRPr="001E2F6E">
              <w:rPr>
                <w:sz w:val="16"/>
                <w:szCs w:val="16"/>
              </w:rPr>
              <w:t>1.523</w:t>
            </w:r>
          </w:p>
        </w:tc>
        <w:tc>
          <w:tcPr>
            <w:tcW w:w="458" w:type="pct"/>
            <w:hideMark/>
          </w:tcPr>
          <w:p w:rsidR="00195BE7" w:rsidRPr="001E2F6E" w:rsidRDefault="00195BE7" w:rsidP="00195BE7">
            <w:pPr>
              <w:spacing w:line="240" w:lineRule="exact"/>
              <w:ind w:right="170"/>
              <w:jc w:val="right"/>
              <w:rPr>
                <w:sz w:val="16"/>
                <w:szCs w:val="16"/>
              </w:rPr>
            </w:pPr>
            <w:r w:rsidRPr="001E2F6E">
              <w:rPr>
                <w:sz w:val="16"/>
                <w:szCs w:val="16"/>
              </w:rPr>
              <w:t>39,8</w:t>
            </w:r>
          </w:p>
        </w:tc>
      </w:tr>
      <w:tr w:rsidR="00195BE7" w:rsidRPr="001E2F6E" w:rsidTr="00195BE7">
        <w:trPr>
          <w:jc w:val="center"/>
        </w:trPr>
        <w:tc>
          <w:tcPr>
            <w:tcW w:w="983" w:type="pct"/>
            <w:tcBorders>
              <w:bottom w:val="single" w:sz="4" w:space="0" w:color="BFBFBF" w:themeColor="background1" w:themeShade="BF"/>
              <w:right w:val="single" w:sz="4" w:space="0" w:color="BFBFBF" w:themeColor="background1" w:themeShade="BF"/>
            </w:tcBorders>
            <w:hideMark/>
          </w:tcPr>
          <w:p w:rsidR="00195BE7" w:rsidRPr="001E2F6E" w:rsidRDefault="00195BE7" w:rsidP="00195BE7">
            <w:pPr>
              <w:spacing w:line="240" w:lineRule="exact"/>
              <w:rPr>
                <w:sz w:val="16"/>
                <w:szCs w:val="16"/>
              </w:rPr>
            </w:pPr>
            <w:r w:rsidRPr="001E2F6E">
              <w:rPr>
                <w:sz w:val="16"/>
                <w:szCs w:val="16"/>
              </w:rPr>
              <w:t>Gipuzkoa</w:t>
            </w:r>
          </w:p>
        </w:tc>
        <w:tc>
          <w:tcPr>
            <w:tcW w:w="575" w:type="pct"/>
            <w:tcBorders>
              <w:left w:val="single" w:sz="4" w:space="0" w:color="BFBFBF" w:themeColor="background1" w:themeShade="BF"/>
              <w:bottom w:val="single" w:sz="4" w:space="0" w:color="BFBFBF" w:themeColor="background1" w:themeShade="BF"/>
            </w:tcBorders>
            <w:hideMark/>
          </w:tcPr>
          <w:p w:rsidR="00195BE7" w:rsidRPr="001E2F6E" w:rsidRDefault="00195BE7" w:rsidP="00195BE7">
            <w:pPr>
              <w:spacing w:line="240" w:lineRule="exact"/>
              <w:ind w:right="170"/>
              <w:jc w:val="right"/>
              <w:rPr>
                <w:sz w:val="16"/>
                <w:szCs w:val="16"/>
              </w:rPr>
            </w:pPr>
            <w:r w:rsidRPr="001E2F6E">
              <w:rPr>
                <w:sz w:val="16"/>
                <w:szCs w:val="16"/>
              </w:rPr>
              <w:t>28.876</w:t>
            </w:r>
          </w:p>
        </w:tc>
        <w:tc>
          <w:tcPr>
            <w:tcW w:w="458" w:type="pct"/>
            <w:tcBorders>
              <w:bottom w:val="single" w:sz="4" w:space="0" w:color="BFBFBF" w:themeColor="background1" w:themeShade="BF"/>
              <w:right w:val="single" w:sz="4" w:space="0" w:color="BFBFBF" w:themeColor="background1" w:themeShade="BF"/>
            </w:tcBorders>
            <w:hideMark/>
          </w:tcPr>
          <w:p w:rsidR="00195BE7" w:rsidRPr="001E2F6E" w:rsidRDefault="00195BE7" w:rsidP="00195BE7">
            <w:pPr>
              <w:spacing w:line="240" w:lineRule="exact"/>
              <w:ind w:right="170"/>
              <w:jc w:val="right"/>
              <w:rPr>
                <w:sz w:val="16"/>
                <w:szCs w:val="16"/>
              </w:rPr>
            </w:pPr>
            <w:r w:rsidRPr="001E2F6E">
              <w:rPr>
                <w:sz w:val="16"/>
                <w:szCs w:val="16"/>
              </w:rPr>
              <w:t>51,7</w:t>
            </w:r>
          </w:p>
        </w:tc>
        <w:tc>
          <w:tcPr>
            <w:tcW w:w="575" w:type="pct"/>
            <w:tcBorders>
              <w:left w:val="single" w:sz="4" w:space="0" w:color="BFBFBF" w:themeColor="background1" w:themeShade="BF"/>
              <w:bottom w:val="single" w:sz="4" w:space="0" w:color="BFBFBF" w:themeColor="background1" w:themeShade="BF"/>
            </w:tcBorders>
            <w:hideMark/>
          </w:tcPr>
          <w:p w:rsidR="00195BE7" w:rsidRPr="001E2F6E" w:rsidRDefault="00195BE7" w:rsidP="00195BE7">
            <w:pPr>
              <w:spacing w:line="240" w:lineRule="exact"/>
              <w:ind w:right="170"/>
              <w:jc w:val="right"/>
              <w:rPr>
                <w:sz w:val="16"/>
                <w:szCs w:val="16"/>
              </w:rPr>
            </w:pPr>
            <w:r w:rsidRPr="001E2F6E">
              <w:rPr>
                <w:sz w:val="16"/>
                <w:szCs w:val="16"/>
              </w:rPr>
              <w:t>25.294</w:t>
            </w:r>
          </w:p>
        </w:tc>
        <w:tc>
          <w:tcPr>
            <w:tcW w:w="458" w:type="pct"/>
            <w:tcBorders>
              <w:bottom w:val="single" w:sz="4" w:space="0" w:color="BFBFBF" w:themeColor="background1" w:themeShade="BF"/>
              <w:right w:val="single" w:sz="4" w:space="0" w:color="BFBFBF" w:themeColor="background1" w:themeShade="BF"/>
            </w:tcBorders>
            <w:hideMark/>
          </w:tcPr>
          <w:p w:rsidR="00195BE7" w:rsidRPr="001E2F6E" w:rsidRDefault="00195BE7" w:rsidP="00195BE7">
            <w:pPr>
              <w:spacing w:line="240" w:lineRule="exact"/>
              <w:ind w:right="170"/>
              <w:jc w:val="right"/>
              <w:rPr>
                <w:sz w:val="16"/>
                <w:szCs w:val="16"/>
              </w:rPr>
            </w:pPr>
            <w:r w:rsidRPr="001E2F6E">
              <w:rPr>
                <w:sz w:val="16"/>
                <w:szCs w:val="16"/>
              </w:rPr>
              <w:t>52,7</w:t>
            </w:r>
          </w:p>
        </w:tc>
        <w:tc>
          <w:tcPr>
            <w:tcW w:w="517" w:type="pct"/>
            <w:tcBorders>
              <w:left w:val="single" w:sz="4" w:space="0" w:color="BFBFBF" w:themeColor="background1" w:themeShade="BF"/>
              <w:bottom w:val="single" w:sz="4" w:space="0" w:color="BFBFBF" w:themeColor="background1" w:themeShade="BF"/>
            </w:tcBorders>
            <w:hideMark/>
          </w:tcPr>
          <w:p w:rsidR="00195BE7" w:rsidRPr="001E2F6E" w:rsidRDefault="00195BE7" w:rsidP="00195BE7">
            <w:pPr>
              <w:spacing w:line="240" w:lineRule="exact"/>
              <w:ind w:right="170"/>
              <w:jc w:val="right"/>
              <w:rPr>
                <w:sz w:val="16"/>
                <w:szCs w:val="16"/>
              </w:rPr>
            </w:pPr>
            <w:r w:rsidRPr="001E2F6E">
              <w:rPr>
                <w:sz w:val="16"/>
                <w:szCs w:val="16"/>
              </w:rPr>
              <w:t>1.670</w:t>
            </w:r>
          </w:p>
        </w:tc>
        <w:tc>
          <w:tcPr>
            <w:tcW w:w="458" w:type="pct"/>
            <w:tcBorders>
              <w:bottom w:val="single" w:sz="4" w:space="0" w:color="BFBFBF" w:themeColor="background1" w:themeShade="BF"/>
              <w:right w:val="single" w:sz="4" w:space="0" w:color="BFBFBF" w:themeColor="background1" w:themeShade="BF"/>
            </w:tcBorders>
            <w:hideMark/>
          </w:tcPr>
          <w:p w:rsidR="00195BE7" w:rsidRPr="001E2F6E" w:rsidRDefault="00195BE7" w:rsidP="00195BE7">
            <w:pPr>
              <w:spacing w:line="240" w:lineRule="exact"/>
              <w:ind w:right="170"/>
              <w:jc w:val="right"/>
              <w:rPr>
                <w:sz w:val="16"/>
                <w:szCs w:val="16"/>
              </w:rPr>
            </w:pPr>
            <w:r w:rsidRPr="001E2F6E">
              <w:rPr>
                <w:sz w:val="16"/>
                <w:szCs w:val="16"/>
              </w:rPr>
              <w:t>41,7</w:t>
            </w:r>
          </w:p>
        </w:tc>
        <w:tc>
          <w:tcPr>
            <w:tcW w:w="517" w:type="pct"/>
            <w:tcBorders>
              <w:left w:val="single" w:sz="4" w:space="0" w:color="BFBFBF" w:themeColor="background1" w:themeShade="BF"/>
              <w:bottom w:val="single" w:sz="4" w:space="0" w:color="BFBFBF" w:themeColor="background1" w:themeShade="BF"/>
            </w:tcBorders>
            <w:hideMark/>
          </w:tcPr>
          <w:p w:rsidR="00195BE7" w:rsidRPr="001E2F6E" w:rsidRDefault="00195BE7" w:rsidP="00195BE7">
            <w:pPr>
              <w:spacing w:line="240" w:lineRule="exact"/>
              <w:ind w:right="170"/>
              <w:jc w:val="right"/>
              <w:rPr>
                <w:sz w:val="16"/>
                <w:szCs w:val="16"/>
              </w:rPr>
            </w:pPr>
            <w:r w:rsidRPr="001E2F6E">
              <w:rPr>
                <w:sz w:val="16"/>
                <w:szCs w:val="16"/>
              </w:rPr>
              <w:t>1.912</w:t>
            </w:r>
          </w:p>
        </w:tc>
        <w:tc>
          <w:tcPr>
            <w:tcW w:w="458" w:type="pct"/>
            <w:tcBorders>
              <w:bottom w:val="single" w:sz="4" w:space="0" w:color="BFBFBF" w:themeColor="background1" w:themeShade="BF"/>
            </w:tcBorders>
            <w:hideMark/>
          </w:tcPr>
          <w:p w:rsidR="00195BE7" w:rsidRPr="001E2F6E" w:rsidRDefault="00195BE7" w:rsidP="00195BE7">
            <w:pPr>
              <w:spacing w:line="240" w:lineRule="exact"/>
              <w:ind w:right="170"/>
              <w:jc w:val="right"/>
              <w:rPr>
                <w:sz w:val="16"/>
                <w:szCs w:val="16"/>
              </w:rPr>
            </w:pPr>
            <w:r w:rsidRPr="001E2F6E">
              <w:rPr>
                <w:sz w:val="16"/>
                <w:szCs w:val="16"/>
              </w:rPr>
              <w:t>50,0</w:t>
            </w:r>
          </w:p>
        </w:tc>
      </w:tr>
      <w:tr w:rsidR="00195BE7" w:rsidRPr="001E2F6E" w:rsidTr="00195BE7">
        <w:trPr>
          <w:jc w:val="center"/>
        </w:trPr>
        <w:tc>
          <w:tcPr>
            <w:tcW w:w="983" w:type="pct"/>
            <w:tcBorders>
              <w:top w:val="single" w:sz="4" w:space="0" w:color="BFBFBF" w:themeColor="background1" w:themeShade="BF"/>
              <w:bottom w:val="single" w:sz="4" w:space="0" w:color="BFBFBF" w:themeColor="background1" w:themeShade="BF"/>
              <w:right w:val="single" w:sz="4" w:space="0" w:color="BFBFBF" w:themeColor="background1" w:themeShade="BF"/>
            </w:tcBorders>
            <w:hideMark/>
          </w:tcPr>
          <w:p w:rsidR="00195BE7" w:rsidRPr="001E2F6E" w:rsidRDefault="00195BE7" w:rsidP="00195BE7">
            <w:pPr>
              <w:spacing w:line="240" w:lineRule="exact"/>
              <w:rPr>
                <w:b/>
                <w:bCs/>
                <w:sz w:val="16"/>
                <w:szCs w:val="16"/>
              </w:rPr>
            </w:pPr>
            <w:r w:rsidRPr="001E2F6E">
              <w:rPr>
                <w:b/>
                <w:bCs/>
                <w:sz w:val="16"/>
                <w:szCs w:val="16"/>
              </w:rPr>
              <w:t>GUZTIRA</w:t>
            </w:r>
          </w:p>
        </w:tc>
        <w:tc>
          <w:tcPr>
            <w:tcW w:w="575" w:type="pct"/>
            <w:tcBorders>
              <w:top w:val="single" w:sz="4" w:space="0" w:color="BFBFBF" w:themeColor="background1" w:themeShade="BF"/>
              <w:left w:val="single" w:sz="4" w:space="0" w:color="BFBFBF" w:themeColor="background1" w:themeShade="BF"/>
              <w:bottom w:val="single" w:sz="4" w:space="0" w:color="BFBFBF" w:themeColor="background1" w:themeShade="BF"/>
            </w:tcBorders>
            <w:hideMark/>
          </w:tcPr>
          <w:p w:rsidR="00195BE7" w:rsidRPr="001E2F6E" w:rsidRDefault="00195BE7" w:rsidP="00195BE7">
            <w:pPr>
              <w:spacing w:line="240" w:lineRule="exact"/>
              <w:ind w:right="170"/>
              <w:jc w:val="right"/>
              <w:rPr>
                <w:b/>
                <w:bCs/>
                <w:sz w:val="16"/>
                <w:szCs w:val="16"/>
              </w:rPr>
            </w:pPr>
            <w:r w:rsidRPr="001E2F6E">
              <w:rPr>
                <w:b/>
                <w:bCs/>
                <w:sz w:val="16"/>
                <w:szCs w:val="16"/>
              </w:rPr>
              <w:t>55.809</w:t>
            </w:r>
          </w:p>
        </w:tc>
        <w:tc>
          <w:tcPr>
            <w:tcW w:w="458" w:type="pct"/>
            <w:tcBorders>
              <w:top w:val="single" w:sz="4" w:space="0" w:color="BFBFBF" w:themeColor="background1" w:themeShade="BF"/>
              <w:bottom w:val="single" w:sz="4" w:space="0" w:color="BFBFBF" w:themeColor="background1" w:themeShade="BF"/>
              <w:right w:val="single" w:sz="4" w:space="0" w:color="BFBFBF" w:themeColor="background1" w:themeShade="BF"/>
            </w:tcBorders>
            <w:hideMark/>
          </w:tcPr>
          <w:p w:rsidR="00195BE7" w:rsidRPr="001E2F6E" w:rsidRDefault="00195BE7" w:rsidP="00195BE7">
            <w:pPr>
              <w:spacing w:line="240" w:lineRule="exact"/>
              <w:ind w:right="170"/>
              <w:jc w:val="right"/>
              <w:rPr>
                <w:b/>
                <w:bCs/>
                <w:sz w:val="16"/>
                <w:szCs w:val="16"/>
              </w:rPr>
            </w:pPr>
            <w:r w:rsidRPr="001E2F6E">
              <w:rPr>
                <w:b/>
                <w:bCs/>
                <w:sz w:val="16"/>
                <w:szCs w:val="16"/>
              </w:rPr>
              <w:t>100</w:t>
            </w:r>
          </w:p>
        </w:tc>
        <w:tc>
          <w:tcPr>
            <w:tcW w:w="575" w:type="pct"/>
            <w:tcBorders>
              <w:top w:val="single" w:sz="4" w:space="0" w:color="BFBFBF" w:themeColor="background1" w:themeShade="BF"/>
              <w:left w:val="single" w:sz="4" w:space="0" w:color="BFBFBF" w:themeColor="background1" w:themeShade="BF"/>
              <w:bottom w:val="single" w:sz="4" w:space="0" w:color="BFBFBF" w:themeColor="background1" w:themeShade="BF"/>
            </w:tcBorders>
            <w:hideMark/>
          </w:tcPr>
          <w:p w:rsidR="00195BE7" w:rsidRPr="001E2F6E" w:rsidRDefault="00195BE7" w:rsidP="00195BE7">
            <w:pPr>
              <w:spacing w:line="240" w:lineRule="exact"/>
              <w:ind w:right="170"/>
              <w:jc w:val="right"/>
              <w:rPr>
                <w:b/>
                <w:bCs/>
                <w:sz w:val="16"/>
                <w:szCs w:val="16"/>
              </w:rPr>
            </w:pPr>
            <w:r w:rsidRPr="001E2F6E">
              <w:rPr>
                <w:b/>
                <w:bCs/>
                <w:sz w:val="16"/>
                <w:szCs w:val="16"/>
              </w:rPr>
              <w:t>47.981</w:t>
            </w:r>
          </w:p>
        </w:tc>
        <w:tc>
          <w:tcPr>
            <w:tcW w:w="458" w:type="pct"/>
            <w:tcBorders>
              <w:top w:val="single" w:sz="4" w:space="0" w:color="BFBFBF" w:themeColor="background1" w:themeShade="BF"/>
              <w:bottom w:val="single" w:sz="4" w:space="0" w:color="BFBFBF" w:themeColor="background1" w:themeShade="BF"/>
              <w:right w:val="single" w:sz="4" w:space="0" w:color="BFBFBF" w:themeColor="background1" w:themeShade="BF"/>
            </w:tcBorders>
            <w:hideMark/>
          </w:tcPr>
          <w:p w:rsidR="00195BE7" w:rsidRPr="001E2F6E" w:rsidRDefault="00195BE7" w:rsidP="00195BE7">
            <w:pPr>
              <w:spacing w:line="240" w:lineRule="exact"/>
              <w:ind w:right="170"/>
              <w:jc w:val="right"/>
              <w:rPr>
                <w:b/>
                <w:bCs/>
                <w:sz w:val="16"/>
                <w:szCs w:val="16"/>
              </w:rPr>
            </w:pPr>
            <w:r w:rsidRPr="001E2F6E">
              <w:rPr>
                <w:b/>
                <w:bCs/>
                <w:sz w:val="16"/>
                <w:szCs w:val="16"/>
              </w:rPr>
              <w:t>100</w:t>
            </w:r>
          </w:p>
        </w:tc>
        <w:tc>
          <w:tcPr>
            <w:tcW w:w="517" w:type="pct"/>
            <w:tcBorders>
              <w:top w:val="single" w:sz="4" w:space="0" w:color="BFBFBF" w:themeColor="background1" w:themeShade="BF"/>
              <w:left w:val="single" w:sz="4" w:space="0" w:color="BFBFBF" w:themeColor="background1" w:themeShade="BF"/>
              <w:bottom w:val="single" w:sz="4" w:space="0" w:color="BFBFBF" w:themeColor="background1" w:themeShade="BF"/>
            </w:tcBorders>
            <w:hideMark/>
          </w:tcPr>
          <w:p w:rsidR="00195BE7" w:rsidRPr="001E2F6E" w:rsidRDefault="00195BE7" w:rsidP="00195BE7">
            <w:pPr>
              <w:spacing w:line="240" w:lineRule="exact"/>
              <w:ind w:right="170"/>
              <w:jc w:val="right"/>
              <w:rPr>
                <w:b/>
                <w:bCs/>
                <w:sz w:val="16"/>
                <w:szCs w:val="16"/>
              </w:rPr>
            </w:pPr>
            <w:r w:rsidRPr="001E2F6E">
              <w:rPr>
                <w:b/>
                <w:bCs/>
                <w:sz w:val="16"/>
                <w:szCs w:val="16"/>
              </w:rPr>
              <w:t>4.005</w:t>
            </w:r>
          </w:p>
        </w:tc>
        <w:tc>
          <w:tcPr>
            <w:tcW w:w="458" w:type="pct"/>
            <w:tcBorders>
              <w:top w:val="single" w:sz="4" w:space="0" w:color="BFBFBF" w:themeColor="background1" w:themeShade="BF"/>
              <w:bottom w:val="single" w:sz="4" w:space="0" w:color="BFBFBF" w:themeColor="background1" w:themeShade="BF"/>
              <w:right w:val="single" w:sz="4" w:space="0" w:color="BFBFBF" w:themeColor="background1" w:themeShade="BF"/>
            </w:tcBorders>
            <w:hideMark/>
          </w:tcPr>
          <w:p w:rsidR="00195BE7" w:rsidRPr="001E2F6E" w:rsidRDefault="00195BE7" w:rsidP="00195BE7">
            <w:pPr>
              <w:spacing w:line="240" w:lineRule="exact"/>
              <w:ind w:right="170"/>
              <w:jc w:val="right"/>
              <w:rPr>
                <w:b/>
                <w:bCs/>
                <w:sz w:val="16"/>
                <w:szCs w:val="16"/>
              </w:rPr>
            </w:pPr>
            <w:r w:rsidRPr="001E2F6E">
              <w:rPr>
                <w:b/>
                <w:bCs/>
                <w:sz w:val="16"/>
                <w:szCs w:val="16"/>
              </w:rPr>
              <w:t>100</w:t>
            </w:r>
          </w:p>
        </w:tc>
        <w:tc>
          <w:tcPr>
            <w:tcW w:w="517" w:type="pct"/>
            <w:tcBorders>
              <w:top w:val="single" w:sz="4" w:space="0" w:color="BFBFBF" w:themeColor="background1" w:themeShade="BF"/>
              <w:left w:val="single" w:sz="4" w:space="0" w:color="BFBFBF" w:themeColor="background1" w:themeShade="BF"/>
              <w:bottom w:val="single" w:sz="4" w:space="0" w:color="BFBFBF" w:themeColor="background1" w:themeShade="BF"/>
            </w:tcBorders>
            <w:hideMark/>
          </w:tcPr>
          <w:p w:rsidR="00195BE7" w:rsidRPr="001E2F6E" w:rsidRDefault="00195BE7" w:rsidP="00195BE7">
            <w:pPr>
              <w:spacing w:line="240" w:lineRule="exact"/>
              <w:ind w:right="170"/>
              <w:jc w:val="right"/>
              <w:rPr>
                <w:b/>
                <w:bCs/>
                <w:sz w:val="16"/>
                <w:szCs w:val="16"/>
              </w:rPr>
            </w:pPr>
            <w:r w:rsidRPr="001E2F6E">
              <w:rPr>
                <w:b/>
                <w:bCs/>
                <w:sz w:val="16"/>
                <w:szCs w:val="16"/>
              </w:rPr>
              <w:t>3.823</w:t>
            </w:r>
          </w:p>
        </w:tc>
        <w:tc>
          <w:tcPr>
            <w:tcW w:w="458" w:type="pct"/>
            <w:tcBorders>
              <w:top w:val="single" w:sz="4" w:space="0" w:color="BFBFBF" w:themeColor="background1" w:themeShade="BF"/>
              <w:bottom w:val="single" w:sz="4" w:space="0" w:color="BFBFBF" w:themeColor="background1" w:themeShade="BF"/>
            </w:tcBorders>
            <w:hideMark/>
          </w:tcPr>
          <w:p w:rsidR="00195BE7" w:rsidRPr="001E2F6E" w:rsidRDefault="00195BE7" w:rsidP="00195BE7">
            <w:pPr>
              <w:spacing w:line="240" w:lineRule="exact"/>
              <w:ind w:right="170"/>
              <w:jc w:val="right"/>
              <w:rPr>
                <w:b/>
                <w:bCs/>
                <w:sz w:val="16"/>
                <w:szCs w:val="16"/>
              </w:rPr>
            </w:pPr>
            <w:r w:rsidRPr="001E2F6E">
              <w:rPr>
                <w:b/>
                <w:bCs/>
                <w:sz w:val="16"/>
                <w:szCs w:val="16"/>
              </w:rPr>
              <w:t>100</w:t>
            </w:r>
          </w:p>
        </w:tc>
      </w:tr>
    </w:tbl>
    <w:p w:rsidR="00195BE7" w:rsidRPr="001E2F6E" w:rsidRDefault="00195BE7" w:rsidP="00195BE7">
      <w:pPr>
        <w:pStyle w:val="ARIALNARROW"/>
      </w:pPr>
    </w:p>
    <w:p w:rsidR="00195BE7" w:rsidRPr="001E2F6E" w:rsidRDefault="00195BE7" w:rsidP="00195BE7">
      <w:pPr>
        <w:pStyle w:val="ARIALNARROW"/>
      </w:pPr>
    </w:p>
    <w:p w:rsidR="00195BE7" w:rsidRPr="001E2F6E" w:rsidRDefault="00195BE7" w:rsidP="00195BE7">
      <w:pPr>
        <w:spacing w:line="240" w:lineRule="auto"/>
        <w:ind w:left="2"/>
        <w:jc w:val="center"/>
        <w:rPr>
          <w:b/>
          <w:color w:val="1F497D" w:themeColor="text2"/>
          <w:sz w:val="18"/>
          <w:szCs w:val="18"/>
        </w:rPr>
      </w:pPr>
      <w:bookmarkStart w:id="154" w:name="_Toc391989108"/>
      <w:bookmarkStart w:id="155" w:name="_Toc392585773"/>
      <w:r w:rsidRPr="001E2F6E">
        <w:rPr>
          <w:b/>
          <w:color w:val="1F497D" w:themeColor="text2"/>
          <w:sz w:val="18"/>
          <w:szCs w:val="18"/>
        </w:rPr>
        <w:t>1.</w:t>
      </w:r>
      <w:r w:rsidR="00EB6BA6" w:rsidRPr="001E2F6E">
        <w:rPr>
          <w:b/>
          <w:color w:val="1F497D" w:themeColor="text2"/>
          <w:sz w:val="18"/>
          <w:szCs w:val="18"/>
        </w:rPr>
        <w:fldChar w:fldCharType="begin"/>
      </w:r>
      <w:r w:rsidRPr="001E2F6E">
        <w:rPr>
          <w:b/>
          <w:color w:val="1F497D" w:themeColor="text2"/>
          <w:sz w:val="18"/>
          <w:szCs w:val="18"/>
        </w:rPr>
        <w:instrText xml:space="preserve"> SEQ Cuadro_1. \* ARABIC </w:instrText>
      </w:r>
      <w:r w:rsidR="00EB6BA6" w:rsidRPr="001E2F6E">
        <w:rPr>
          <w:b/>
          <w:color w:val="1F497D" w:themeColor="text2"/>
          <w:sz w:val="18"/>
          <w:szCs w:val="18"/>
        </w:rPr>
        <w:fldChar w:fldCharType="separate"/>
      </w:r>
      <w:r w:rsidR="00A327D4">
        <w:rPr>
          <w:b/>
          <w:noProof/>
          <w:color w:val="1F497D" w:themeColor="text2"/>
          <w:sz w:val="18"/>
          <w:szCs w:val="18"/>
        </w:rPr>
        <w:t>38</w:t>
      </w:r>
      <w:r w:rsidR="00EB6BA6" w:rsidRPr="001E2F6E">
        <w:rPr>
          <w:b/>
          <w:color w:val="1F497D" w:themeColor="text2"/>
          <w:sz w:val="18"/>
          <w:szCs w:val="18"/>
        </w:rPr>
        <w:fldChar w:fldCharType="end"/>
      </w:r>
      <w:r w:rsidRPr="001E2F6E">
        <w:rPr>
          <w:b/>
          <w:color w:val="1F497D" w:themeColor="text2"/>
          <w:sz w:val="18"/>
          <w:szCs w:val="18"/>
        </w:rPr>
        <w:t xml:space="preserve"> Taula GIZARTE-EKONOMIAREN ALORREKO ENPLEGUEN LURRALDE-BANAKETA,  FORMA JURIDIKOAREN ARABERA 2012 (% horizontalak)</w:t>
      </w:r>
      <w:bookmarkEnd w:id="154"/>
      <w:bookmarkEnd w:id="155"/>
    </w:p>
    <w:tbl>
      <w:tblPr>
        <w:tblW w:w="5000" w:type="pct"/>
        <w:jc w:val="center"/>
        <w:tblLook w:val="04A0" w:firstRow="1" w:lastRow="0" w:firstColumn="1" w:lastColumn="0" w:noHBand="0" w:noVBand="1"/>
      </w:tblPr>
      <w:tblGrid>
        <w:gridCol w:w="2020"/>
        <w:gridCol w:w="1747"/>
        <w:gridCol w:w="1747"/>
        <w:gridCol w:w="1747"/>
        <w:gridCol w:w="1743"/>
      </w:tblGrid>
      <w:tr w:rsidR="00195BE7" w:rsidRPr="001E2F6E" w:rsidTr="00195BE7">
        <w:trPr>
          <w:jc w:val="center"/>
        </w:trPr>
        <w:tc>
          <w:tcPr>
            <w:tcW w:w="1122"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hideMark/>
          </w:tcPr>
          <w:p w:rsidR="00195BE7" w:rsidRPr="001E2F6E" w:rsidRDefault="00195BE7" w:rsidP="00195BE7">
            <w:pPr>
              <w:spacing w:line="240" w:lineRule="exact"/>
              <w:rPr>
                <w:b/>
                <w:bCs/>
                <w:sz w:val="16"/>
                <w:szCs w:val="16"/>
              </w:rPr>
            </w:pPr>
          </w:p>
        </w:tc>
        <w:tc>
          <w:tcPr>
            <w:tcW w:w="97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hideMark/>
          </w:tcPr>
          <w:p w:rsidR="00195BE7" w:rsidRPr="001E2F6E" w:rsidRDefault="00195BE7" w:rsidP="00195BE7">
            <w:pPr>
              <w:spacing w:line="240" w:lineRule="exact"/>
              <w:jc w:val="center"/>
              <w:rPr>
                <w:b/>
                <w:bCs/>
                <w:sz w:val="16"/>
                <w:szCs w:val="16"/>
              </w:rPr>
            </w:pPr>
            <w:r w:rsidRPr="001E2F6E">
              <w:rPr>
                <w:b/>
                <w:bCs/>
                <w:sz w:val="16"/>
                <w:szCs w:val="16"/>
              </w:rPr>
              <w:t>GUZTIRA</w:t>
            </w:r>
          </w:p>
        </w:tc>
        <w:tc>
          <w:tcPr>
            <w:tcW w:w="97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hideMark/>
          </w:tcPr>
          <w:p w:rsidR="00195BE7" w:rsidRPr="001E2F6E" w:rsidRDefault="00195BE7" w:rsidP="00195BE7">
            <w:pPr>
              <w:spacing w:line="240" w:lineRule="exact"/>
              <w:jc w:val="center"/>
              <w:rPr>
                <w:b/>
                <w:bCs/>
                <w:sz w:val="16"/>
                <w:szCs w:val="16"/>
              </w:rPr>
            </w:pPr>
            <w:r w:rsidRPr="001E2F6E">
              <w:rPr>
                <w:b/>
                <w:bCs/>
                <w:sz w:val="16"/>
                <w:szCs w:val="16"/>
              </w:rPr>
              <w:t>Koop.</w:t>
            </w:r>
          </w:p>
        </w:tc>
        <w:tc>
          <w:tcPr>
            <w:tcW w:w="97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hideMark/>
          </w:tcPr>
          <w:p w:rsidR="00195BE7" w:rsidRPr="001E2F6E" w:rsidRDefault="00195BE7" w:rsidP="00195BE7">
            <w:pPr>
              <w:spacing w:line="240" w:lineRule="exact"/>
              <w:jc w:val="center"/>
              <w:rPr>
                <w:b/>
                <w:bCs/>
                <w:sz w:val="16"/>
                <w:szCs w:val="16"/>
              </w:rPr>
            </w:pPr>
            <w:r w:rsidRPr="001E2F6E">
              <w:rPr>
                <w:b/>
                <w:bCs/>
                <w:sz w:val="16"/>
                <w:szCs w:val="16"/>
                <w:lang w:val="en-GB"/>
              </w:rPr>
              <w:t>LSA</w:t>
            </w:r>
          </w:p>
        </w:tc>
        <w:tc>
          <w:tcPr>
            <w:tcW w:w="968"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hideMark/>
          </w:tcPr>
          <w:p w:rsidR="00195BE7" w:rsidRPr="001E2F6E" w:rsidRDefault="00195BE7" w:rsidP="00195BE7">
            <w:pPr>
              <w:spacing w:line="240" w:lineRule="exact"/>
              <w:jc w:val="center"/>
              <w:rPr>
                <w:b/>
                <w:bCs/>
                <w:sz w:val="16"/>
                <w:szCs w:val="16"/>
              </w:rPr>
            </w:pPr>
            <w:r w:rsidRPr="001E2F6E">
              <w:rPr>
                <w:b/>
                <w:bCs/>
                <w:sz w:val="16"/>
                <w:szCs w:val="16"/>
                <w:lang w:val="en-GB"/>
              </w:rPr>
              <w:t>LSM</w:t>
            </w:r>
          </w:p>
        </w:tc>
      </w:tr>
      <w:tr w:rsidR="00195BE7" w:rsidRPr="001E2F6E" w:rsidTr="00195BE7">
        <w:trPr>
          <w:jc w:val="center"/>
        </w:trPr>
        <w:tc>
          <w:tcPr>
            <w:tcW w:w="1122" w:type="pct"/>
            <w:tcBorders>
              <w:top w:val="single" w:sz="4" w:space="0" w:color="BFBFBF" w:themeColor="background1" w:themeShade="BF"/>
              <w:right w:val="single" w:sz="4" w:space="0" w:color="BFBFBF" w:themeColor="background1" w:themeShade="BF"/>
            </w:tcBorders>
            <w:hideMark/>
          </w:tcPr>
          <w:p w:rsidR="00195BE7" w:rsidRPr="001E2F6E" w:rsidRDefault="00195BE7" w:rsidP="00195BE7">
            <w:pPr>
              <w:spacing w:line="240" w:lineRule="exact"/>
              <w:rPr>
                <w:sz w:val="16"/>
                <w:szCs w:val="16"/>
              </w:rPr>
            </w:pPr>
            <w:r w:rsidRPr="001E2F6E">
              <w:rPr>
                <w:sz w:val="16"/>
                <w:szCs w:val="16"/>
              </w:rPr>
              <w:t xml:space="preserve">Araba </w:t>
            </w:r>
          </w:p>
        </w:tc>
        <w:tc>
          <w:tcPr>
            <w:tcW w:w="970" w:type="pct"/>
            <w:tcBorders>
              <w:top w:val="single" w:sz="4" w:space="0" w:color="BFBFBF" w:themeColor="background1" w:themeShade="BF"/>
              <w:left w:val="single" w:sz="4" w:space="0" w:color="BFBFBF" w:themeColor="background1" w:themeShade="BF"/>
              <w:right w:val="single" w:sz="4" w:space="0" w:color="BFBFBF" w:themeColor="background1" w:themeShade="BF"/>
            </w:tcBorders>
            <w:hideMark/>
          </w:tcPr>
          <w:p w:rsidR="00195BE7" w:rsidRPr="001E2F6E" w:rsidRDefault="00195BE7" w:rsidP="00195BE7">
            <w:pPr>
              <w:spacing w:line="240" w:lineRule="exact"/>
              <w:ind w:right="284"/>
              <w:jc w:val="right"/>
              <w:rPr>
                <w:sz w:val="16"/>
                <w:szCs w:val="16"/>
              </w:rPr>
            </w:pPr>
            <w:r w:rsidRPr="001E2F6E">
              <w:rPr>
                <w:sz w:val="16"/>
                <w:szCs w:val="16"/>
              </w:rPr>
              <w:t>100</w:t>
            </w:r>
          </w:p>
        </w:tc>
        <w:tc>
          <w:tcPr>
            <w:tcW w:w="970" w:type="pct"/>
            <w:tcBorders>
              <w:top w:val="single" w:sz="4" w:space="0" w:color="BFBFBF" w:themeColor="background1" w:themeShade="BF"/>
              <w:left w:val="single" w:sz="4" w:space="0" w:color="BFBFBF" w:themeColor="background1" w:themeShade="BF"/>
              <w:right w:val="single" w:sz="4" w:space="0" w:color="BFBFBF" w:themeColor="background1" w:themeShade="BF"/>
            </w:tcBorders>
            <w:hideMark/>
          </w:tcPr>
          <w:p w:rsidR="00195BE7" w:rsidRPr="001E2F6E" w:rsidRDefault="00195BE7" w:rsidP="00195BE7">
            <w:pPr>
              <w:spacing w:line="240" w:lineRule="exact"/>
              <w:ind w:right="284"/>
              <w:jc w:val="right"/>
              <w:rPr>
                <w:sz w:val="16"/>
                <w:szCs w:val="16"/>
              </w:rPr>
            </w:pPr>
            <w:r w:rsidRPr="001E2F6E">
              <w:rPr>
                <w:sz w:val="16"/>
                <w:szCs w:val="16"/>
              </w:rPr>
              <w:t>85,2</w:t>
            </w:r>
          </w:p>
        </w:tc>
        <w:tc>
          <w:tcPr>
            <w:tcW w:w="970" w:type="pct"/>
            <w:tcBorders>
              <w:top w:val="single" w:sz="4" w:space="0" w:color="BFBFBF" w:themeColor="background1" w:themeShade="BF"/>
              <w:left w:val="single" w:sz="4" w:space="0" w:color="BFBFBF" w:themeColor="background1" w:themeShade="BF"/>
              <w:right w:val="single" w:sz="4" w:space="0" w:color="BFBFBF" w:themeColor="background1" w:themeShade="BF"/>
            </w:tcBorders>
            <w:hideMark/>
          </w:tcPr>
          <w:p w:rsidR="00195BE7" w:rsidRPr="001E2F6E" w:rsidRDefault="00195BE7" w:rsidP="00195BE7">
            <w:pPr>
              <w:spacing w:line="240" w:lineRule="exact"/>
              <w:ind w:right="284"/>
              <w:jc w:val="right"/>
              <w:rPr>
                <w:sz w:val="16"/>
                <w:szCs w:val="16"/>
              </w:rPr>
            </w:pPr>
            <w:r w:rsidRPr="001E2F6E">
              <w:rPr>
                <w:sz w:val="16"/>
                <w:szCs w:val="16"/>
              </w:rPr>
              <w:t>8,1</w:t>
            </w:r>
          </w:p>
        </w:tc>
        <w:tc>
          <w:tcPr>
            <w:tcW w:w="968" w:type="pct"/>
            <w:tcBorders>
              <w:top w:val="single" w:sz="4" w:space="0" w:color="BFBFBF" w:themeColor="background1" w:themeShade="BF"/>
              <w:left w:val="single" w:sz="4" w:space="0" w:color="BFBFBF" w:themeColor="background1" w:themeShade="BF"/>
            </w:tcBorders>
            <w:hideMark/>
          </w:tcPr>
          <w:p w:rsidR="00195BE7" w:rsidRPr="001E2F6E" w:rsidRDefault="00195BE7" w:rsidP="00195BE7">
            <w:pPr>
              <w:spacing w:line="240" w:lineRule="exact"/>
              <w:ind w:right="284"/>
              <w:jc w:val="right"/>
              <w:rPr>
                <w:sz w:val="16"/>
                <w:szCs w:val="16"/>
              </w:rPr>
            </w:pPr>
            <w:r w:rsidRPr="001E2F6E">
              <w:rPr>
                <w:sz w:val="16"/>
                <w:szCs w:val="16"/>
              </w:rPr>
              <w:t>6,6</w:t>
            </w:r>
          </w:p>
        </w:tc>
      </w:tr>
      <w:tr w:rsidR="00195BE7" w:rsidRPr="001E2F6E" w:rsidTr="00195BE7">
        <w:trPr>
          <w:jc w:val="center"/>
        </w:trPr>
        <w:tc>
          <w:tcPr>
            <w:tcW w:w="1122" w:type="pct"/>
            <w:tcBorders>
              <w:right w:val="single" w:sz="4" w:space="0" w:color="BFBFBF" w:themeColor="background1" w:themeShade="BF"/>
            </w:tcBorders>
            <w:hideMark/>
          </w:tcPr>
          <w:p w:rsidR="00195BE7" w:rsidRPr="001E2F6E" w:rsidRDefault="00195BE7" w:rsidP="00195BE7">
            <w:pPr>
              <w:spacing w:line="240" w:lineRule="exact"/>
              <w:rPr>
                <w:sz w:val="16"/>
                <w:szCs w:val="16"/>
              </w:rPr>
            </w:pPr>
            <w:r w:rsidRPr="001E2F6E">
              <w:rPr>
                <w:sz w:val="16"/>
                <w:szCs w:val="16"/>
              </w:rPr>
              <w:t>Bizkaia</w:t>
            </w:r>
          </w:p>
        </w:tc>
        <w:tc>
          <w:tcPr>
            <w:tcW w:w="970" w:type="pct"/>
            <w:tcBorders>
              <w:left w:val="single" w:sz="4" w:space="0" w:color="BFBFBF" w:themeColor="background1" w:themeShade="BF"/>
              <w:right w:val="single" w:sz="4" w:space="0" w:color="BFBFBF" w:themeColor="background1" w:themeShade="BF"/>
            </w:tcBorders>
            <w:hideMark/>
          </w:tcPr>
          <w:p w:rsidR="00195BE7" w:rsidRPr="001E2F6E" w:rsidRDefault="00195BE7" w:rsidP="00195BE7">
            <w:pPr>
              <w:spacing w:line="240" w:lineRule="exact"/>
              <w:ind w:right="284"/>
              <w:jc w:val="right"/>
              <w:rPr>
                <w:sz w:val="16"/>
                <w:szCs w:val="16"/>
              </w:rPr>
            </w:pPr>
            <w:r w:rsidRPr="001E2F6E">
              <w:rPr>
                <w:sz w:val="16"/>
                <w:szCs w:val="16"/>
              </w:rPr>
              <w:t>100</w:t>
            </w:r>
          </w:p>
        </w:tc>
        <w:tc>
          <w:tcPr>
            <w:tcW w:w="970" w:type="pct"/>
            <w:tcBorders>
              <w:left w:val="single" w:sz="4" w:space="0" w:color="BFBFBF" w:themeColor="background1" w:themeShade="BF"/>
              <w:right w:val="single" w:sz="4" w:space="0" w:color="BFBFBF" w:themeColor="background1" w:themeShade="BF"/>
            </w:tcBorders>
            <w:hideMark/>
          </w:tcPr>
          <w:p w:rsidR="00195BE7" w:rsidRPr="001E2F6E" w:rsidRDefault="00195BE7" w:rsidP="00195BE7">
            <w:pPr>
              <w:spacing w:line="240" w:lineRule="exact"/>
              <w:ind w:right="284"/>
              <w:jc w:val="right"/>
              <w:rPr>
                <w:sz w:val="16"/>
                <w:szCs w:val="16"/>
              </w:rPr>
            </w:pPr>
            <w:r w:rsidRPr="001E2F6E">
              <w:rPr>
                <w:sz w:val="16"/>
                <w:szCs w:val="16"/>
              </w:rPr>
              <w:t>84,0</w:t>
            </w:r>
          </w:p>
        </w:tc>
        <w:tc>
          <w:tcPr>
            <w:tcW w:w="970" w:type="pct"/>
            <w:tcBorders>
              <w:left w:val="single" w:sz="4" w:space="0" w:color="BFBFBF" w:themeColor="background1" w:themeShade="BF"/>
              <w:right w:val="single" w:sz="4" w:space="0" w:color="BFBFBF" w:themeColor="background1" w:themeShade="BF"/>
            </w:tcBorders>
            <w:hideMark/>
          </w:tcPr>
          <w:p w:rsidR="00195BE7" w:rsidRPr="001E2F6E" w:rsidRDefault="00195BE7" w:rsidP="00195BE7">
            <w:pPr>
              <w:spacing w:line="240" w:lineRule="exact"/>
              <w:ind w:right="284"/>
              <w:jc w:val="right"/>
              <w:rPr>
                <w:sz w:val="16"/>
                <w:szCs w:val="16"/>
              </w:rPr>
            </w:pPr>
            <w:r w:rsidRPr="001E2F6E">
              <w:rPr>
                <w:sz w:val="16"/>
                <w:szCs w:val="16"/>
              </w:rPr>
              <w:t>8,8</w:t>
            </w:r>
          </w:p>
        </w:tc>
        <w:tc>
          <w:tcPr>
            <w:tcW w:w="968" w:type="pct"/>
            <w:tcBorders>
              <w:left w:val="single" w:sz="4" w:space="0" w:color="BFBFBF" w:themeColor="background1" w:themeShade="BF"/>
            </w:tcBorders>
            <w:hideMark/>
          </w:tcPr>
          <w:p w:rsidR="00195BE7" w:rsidRPr="001E2F6E" w:rsidRDefault="00195BE7" w:rsidP="00195BE7">
            <w:pPr>
              <w:spacing w:line="240" w:lineRule="exact"/>
              <w:ind w:right="284"/>
              <w:jc w:val="right"/>
              <w:rPr>
                <w:sz w:val="16"/>
                <w:szCs w:val="16"/>
              </w:rPr>
            </w:pPr>
            <w:r w:rsidRPr="001E2F6E">
              <w:rPr>
                <w:sz w:val="16"/>
                <w:szCs w:val="16"/>
              </w:rPr>
              <w:t>7,2</w:t>
            </w:r>
          </w:p>
        </w:tc>
      </w:tr>
      <w:tr w:rsidR="00195BE7" w:rsidRPr="001E2F6E" w:rsidTr="00195BE7">
        <w:trPr>
          <w:jc w:val="center"/>
        </w:trPr>
        <w:tc>
          <w:tcPr>
            <w:tcW w:w="1122" w:type="pct"/>
            <w:tcBorders>
              <w:bottom w:val="single" w:sz="4" w:space="0" w:color="BFBFBF" w:themeColor="background1" w:themeShade="BF"/>
              <w:right w:val="single" w:sz="4" w:space="0" w:color="BFBFBF" w:themeColor="background1" w:themeShade="BF"/>
            </w:tcBorders>
            <w:hideMark/>
          </w:tcPr>
          <w:p w:rsidR="00195BE7" w:rsidRPr="001E2F6E" w:rsidRDefault="00195BE7" w:rsidP="00195BE7">
            <w:pPr>
              <w:spacing w:line="240" w:lineRule="exact"/>
              <w:rPr>
                <w:sz w:val="16"/>
                <w:szCs w:val="16"/>
              </w:rPr>
            </w:pPr>
            <w:r w:rsidRPr="001E2F6E">
              <w:rPr>
                <w:sz w:val="16"/>
                <w:szCs w:val="16"/>
              </w:rPr>
              <w:t>Gipuzkoa</w:t>
            </w:r>
          </w:p>
        </w:tc>
        <w:tc>
          <w:tcPr>
            <w:tcW w:w="970" w:type="pct"/>
            <w:tcBorders>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195BE7" w:rsidRPr="001E2F6E" w:rsidRDefault="00195BE7" w:rsidP="00195BE7">
            <w:pPr>
              <w:spacing w:line="240" w:lineRule="exact"/>
              <w:ind w:right="284"/>
              <w:jc w:val="right"/>
              <w:rPr>
                <w:sz w:val="16"/>
                <w:szCs w:val="16"/>
              </w:rPr>
            </w:pPr>
            <w:r w:rsidRPr="001E2F6E">
              <w:rPr>
                <w:sz w:val="16"/>
                <w:szCs w:val="16"/>
              </w:rPr>
              <w:t>100</w:t>
            </w:r>
          </w:p>
        </w:tc>
        <w:tc>
          <w:tcPr>
            <w:tcW w:w="970" w:type="pct"/>
            <w:tcBorders>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195BE7" w:rsidRPr="001E2F6E" w:rsidRDefault="00195BE7" w:rsidP="00195BE7">
            <w:pPr>
              <w:spacing w:line="240" w:lineRule="exact"/>
              <w:ind w:right="284"/>
              <w:jc w:val="right"/>
              <w:rPr>
                <w:sz w:val="16"/>
                <w:szCs w:val="16"/>
              </w:rPr>
            </w:pPr>
            <w:r w:rsidRPr="001E2F6E">
              <w:rPr>
                <w:sz w:val="16"/>
                <w:szCs w:val="16"/>
              </w:rPr>
              <w:t>87,6</w:t>
            </w:r>
          </w:p>
        </w:tc>
        <w:tc>
          <w:tcPr>
            <w:tcW w:w="970" w:type="pct"/>
            <w:tcBorders>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195BE7" w:rsidRPr="001E2F6E" w:rsidRDefault="00195BE7" w:rsidP="00195BE7">
            <w:pPr>
              <w:spacing w:line="240" w:lineRule="exact"/>
              <w:ind w:right="284"/>
              <w:jc w:val="right"/>
              <w:rPr>
                <w:sz w:val="16"/>
                <w:szCs w:val="16"/>
              </w:rPr>
            </w:pPr>
            <w:r w:rsidRPr="001E2F6E">
              <w:rPr>
                <w:sz w:val="16"/>
                <w:szCs w:val="16"/>
              </w:rPr>
              <w:t>5,8</w:t>
            </w:r>
          </w:p>
        </w:tc>
        <w:tc>
          <w:tcPr>
            <w:tcW w:w="968" w:type="pct"/>
            <w:tcBorders>
              <w:left w:val="single" w:sz="4" w:space="0" w:color="BFBFBF" w:themeColor="background1" w:themeShade="BF"/>
              <w:bottom w:val="single" w:sz="4" w:space="0" w:color="BFBFBF" w:themeColor="background1" w:themeShade="BF"/>
            </w:tcBorders>
            <w:hideMark/>
          </w:tcPr>
          <w:p w:rsidR="00195BE7" w:rsidRPr="001E2F6E" w:rsidRDefault="00195BE7" w:rsidP="00195BE7">
            <w:pPr>
              <w:spacing w:line="240" w:lineRule="exact"/>
              <w:ind w:right="284"/>
              <w:jc w:val="right"/>
              <w:rPr>
                <w:sz w:val="16"/>
                <w:szCs w:val="16"/>
              </w:rPr>
            </w:pPr>
            <w:r w:rsidRPr="001E2F6E">
              <w:rPr>
                <w:sz w:val="16"/>
                <w:szCs w:val="16"/>
              </w:rPr>
              <w:t>6,6</w:t>
            </w:r>
          </w:p>
        </w:tc>
      </w:tr>
      <w:tr w:rsidR="00195BE7" w:rsidRPr="001E2F6E" w:rsidTr="00195BE7">
        <w:trPr>
          <w:jc w:val="center"/>
        </w:trPr>
        <w:tc>
          <w:tcPr>
            <w:tcW w:w="1122" w:type="pct"/>
            <w:tcBorders>
              <w:top w:val="single" w:sz="4" w:space="0" w:color="BFBFBF" w:themeColor="background1" w:themeShade="BF"/>
              <w:bottom w:val="single" w:sz="4" w:space="0" w:color="BFBFBF" w:themeColor="background1" w:themeShade="BF"/>
              <w:right w:val="single" w:sz="4" w:space="0" w:color="BFBFBF" w:themeColor="background1" w:themeShade="BF"/>
            </w:tcBorders>
            <w:hideMark/>
          </w:tcPr>
          <w:p w:rsidR="00195BE7" w:rsidRPr="001E2F6E" w:rsidRDefault="00195BE7" w:rsidP="00195BE7">
            <w:pPr>
              <w:spacing w:line="240" w:lineRule="exact"/>
              <w:rPr>
                <w:b/>
                <w:bCs/>
                <w:sz w:val="16"/>
                <w:szCs w:val="16"/>
              </w:rPr>
            </w:pPr>
            <w:r w:rsidRPr="001E2F6E">
              <w:rPr>
                <w:b/>
                <w:bCs/>
                <w:sz w:val="16"/>
                <w:szCs w:val="16"/>
                <w:lang w:val="en-GB"/>
              </w:rPr>
              <w:t>GUZTIRA</w:t>
            </w:r>
          </w:p>
        </w:tc>
        <w:tc>
          <w:tcPr>
            <w:tcW w:w="97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195BE7" w:rsidRPr="001E2F6E" w:rsidRDefault="00195BE7" w:rsidP="00195BE7">
            <w:pPr>
              <w:spacing w:line="240" w:lineRule="exact"/>
              <w:ind w:right="284"/>
              <w:jc w:val="right"/>
              <w:rPr>
                <w:b/>
                <w:bCs/>
                <w:sz w:val="16"/>
                <w:szCs w:val="16"/>
              </w:rPr>
            </w:pPr>
            <w:r w:rsidRPr="001E2F6E">
              <w:rPr>
                <w:b/>
                <w:bCs/>
                <w:sz w:val="16"/>
                <w:szCs w:val="16"/>
              </w:rPr>
              <w:t>100</w:t>
            </w:r>
          </w:p>
        </w:tc>
        <w:tc>
          <w:tcPr>
            <w:tcW w:w="97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195BE7" w:rsidRPr="001E2F6E" w:rsidRDefault="00195BE7" w:rsidP="00195BE7">
            <w:pPr>
              <w:spacing w:line="240" w:lineRule="exact"/>
              <w:ind w:right="284"/>
              <w:jc w:val="right"/>
              <w:rPr>
                <w:b/>
                <w:bCs/>
                <w:sz w:val="16"/>
                <w:szCs w:val="16"/>
              </w:rPr>
            </w:pPr>
            <w:r w:rsidRPr="001E2F6E">
              <w:rPr>
                <w:b/>
                <w:bCs/>
                <w:sz w:val="16"/>
                <w:szCs w:val="16"/>
              </w:rPr>
              <w:t>86,0</w:t>
            </w:r>
          </w:p>
        </w:tc>
        <w:tc>
          <w:tcPr>
            <w:tcW w:w="97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195BE7" w:rsidRPr="001E2F6E" w:rsidRDefault="00195BE7" w:rsidP="00195BE7">
            <w:pPr>
              <w:spacing w:line="240" w:lineRule="exact"/>
              <w:ind w:right="284"/>
              <w:jc w:val="right"/>
              <w:rPr>
                <w:b/>
                <w:bCs/>
                <w:sz w:val="16"/>
                <w:szCs w:val="16"/>
              </w:rPr>
            </w:pPr>
            <w:r w:rsidRPr="001E2F6E">
              <w:rPr>
                <w:b/>
                <w:bCs/>
                <w:sz w:val="16"/>
                <w:szCs w:val="16"/>
              </w:rPr>
              <w:t>7,2</w:t>
            </w:r>
          </w:p>
        </w:tc>
        <w:tc>
          <w:tcPr>
            <w:tcW w:w="968" w:type="pct"/>
            <w:tcBorders>
              <w:top w:val="single" w:sz="4" w:space="0" w:color="BFBFBF" w:themeColor="background1" w:themeShade="BF"/>
              <w:left w:val="single" w:sz="4" w:space="0" w:color="BFBFBF" w:themeColor="background1" w:themeShade="BF"/>
              <w:bottom w:val="single" w:sz="4" w:space="0" w:color="BFBFBF" w:themeColor="background1" w:themeShade="BF"/>
            </w:tcBorders>
            <w:hideMark/>
          </w:tcPr>
          <w:p w:rsidR="00195BE7" w:rsidRPr="001E2F6E" w:rsidRDefault="00195BE7" w:rsidP="00195BE7">
            <w:pPr>
              <w:spacing w:line="240" w:lineRule="exact"/>
              <w:ind w:right="284"/>
              <w:jc w:val="right"/>
              <w:rPr>
                <w:b/>
                <w:bCs/>
                <w:sz w:val="16"/>
                <w:szCs w:val="16"/>
              </w:rPr>
            </w:pPr>
            <w:r w:rsidRPr="001E2F6E">
              <w:rPr>
                <w:b/>
                <w:bCs/>
                <w:sz w:val="16"/>
                <w:szCs w:val="16"/>
              </w:rPr>
              <w:t>6,8</w:t>
            </w:r>
          </w:p>
        </w:tc>
      </w:tr>
    </w:tbl>
    <w:p w:rsidR="00195BE7" w:rsidRPr="001E2F6E" w:rsidRDefault="00195BE7" w:rsidP="00195BE7">
      <w:pPr>
        <w:pStyle w:val="ARIALNARROW"/>
      </w:pPr>
    </w:p>
    <w:p w:rsidR="00195BE7" w:rsidRPr="001E2F6E" w:rsidRDefault="00195BE7" w:rsidP="00195BE7">
      <w:pPr>
        <w:pStyle w:val="ARIALNARROW"/>
        <w:spacing w:line="240" w:lineRule="auto"/>
        <w:jc w:val="center"/>
        <w:rPr>
          <w:b/>
          <w:color w:val="1F497D" w:themeColor="text2"/>
          <w:sz w:val="18"/>
          <w:szCs w:val="18"/>
        </w:rPr>
      </w:pPr>
      <w:r w:rsidRPr="001E2F6E">
        <w:br w:type="page"/>
      </w:r>
      <w:r w:rsidRPr="001E2F6E">
        <w:rPr>
          <w:b/>
          <w:color w:val="1F497D" w:themeColor="text2"/>
          <w:sz w:val="18"/>
          <w:szCs w:val="18"/>
        </w:rPr>
        <w:lastRenderedPageBreak/>
        <w:t xml:space="preserve"> </w:t>
      </w:r>
      <w:bookmarkStart w:id="156" w:name="_Toc391989109"/>
      <w:bookmarkStart w:id="157" w:name="_Toc392585774"/>
      <w:r w:rsidRPr="001E2F6E">
        <w:rPr>
          <w:b/>
          <w:color w:val="1F497D" w:themeColor="text2"/>
          <w:sz w:val="18"/>
          <w:szCs w:val="18"/>
        </w:rPr>
        <w:t>1.</w:t>
      </w:r>
      <w:r w:rsidR="00EB6BA6" w:rsidRPr="001E2F6E">
        <w:rPr>
          <w:b/>
          <w:color w:val="1F497D" w:themeColor="text2"/>
          <w:sz w:val="18"/>
          <w:szCs w:val="18"/>
        </w:rPr>
        <w:fldChar w:fldCharType="begin"/>
      </w:r>
      <w:r w:rsidRPr="001E2F6E">
        <w:rPr>
          <w:b/>
          <w:color w:val="1F497D" w:themeColor="text2"/>
          <w:sz w:val="18"/>
          <w:szCs w:val="18"/>
        </w:rPr>
        <w:instrText xml:space="preserve"> SEQ Cuadro_1. \* ARABIC </w:instrText>
      </w:r>
      <w:r w:rsidR="00EB6BA6" w:rsidRPr="001E2F6E">
        <w:rPr>
          <w:b/>
          <w:color w:val="1F497D" w:themeColor="text2"/>
          <w:sz w:val="18"/>
          <w:szCs w:val="18"/>
        </w:rPr>
        <w:fldChar w:fldCharType="separate"/>
      </w:r>
      <w:r w:rsidR="00A327D4">
        <w:rPr>
          <w:b/>
          <w:noProof/>
          <w:color w:val="1F497D" w:themeColor="text2"/>
          <w:sz w:val="18"/>
          <w:szCs w:val="18"/>
        </w:rPr>
        <w:t>39</w:t>
      </w:r>
      <w:r w:rsidR="00EB6BA6" w:rsidRPr="001E2F6E">
        <w:rPr>
          <w:b/>
          <w:color w:val="1F497D" w:themeColor="text2"/>
          <w:sz w:val="18"/>
          <w:szCs w:val="18"/>
        </w:rPr>
        <w:fldChar w:fldCharType="end"/>
      </w:r>
      <w:r w:rsidRPr="001E2F6E">
        <w:rPr>
          <w:b/>
          <w:color w:val="1F497D" w:themeColor="text2"/>
          <w:sz w:val="18"/>
          <w:szCs w:val="18"/>
        </w:rPr>
        <w:t xml:space="preserve"> Taula GIZARTE-EKONOMIAREN ALORREKO ENPLEGUEN ARLOZ ARLOKO BANAKETA LURRALDE HISTORIKOAREN ARABERA 2012 (zifra absolutuak eta %bertikalak)</w:t>
      </w:r>
      <w:bookmarkEnd w:id="156"/>
      <w:bookmarkEnd w:id="157"/>
    </w:p>
    <w:tbl>
      <w:tblPr>
        <w:tblW w:w="5000" w:type="pct"/>
        <w:jc w:val="center"/>
        <w:tblLook w:val="04A0" w:firstRow="1" w:lastRow="0" w:firstColumn="1" w:lastColumn="0" w:noHBand="0" w:noVBand="1"/>
      </w:tblPr>
      <w:tblGrid>
        <w:gridCol w:w="1679"/>
        <w:gridCol w:w="937"/>
        <w:gridCol w:w="915"/>
        <w:gridCol w:w="936"/>
        <w:gridCol w:w="911"/>
        <w:gridCol w:w="909"/>
        <w:gridCol w:w="909"/>
        <w:gridCol w:w="909"/>
        <w:gridCol w:w="899"/>
      </w:tblGrid>
      <w:tr w:rsidR="00195BE7" w:rsidRPr="001E2F6E" w:rsidTr="00195BE7">
        <w:trPr>
          <w:jc w:val="center"/>
        </w:trPr>
        <w:tc>
          <w:tcPr>
            <w:tcW w:w="932" w:type="pct"/>
            <w:vMerge w:val="restart"/>
            <w:tcBorders>
              <w:top w:val="single" w:sz="4" w:space="0" w:color="BFBFBF" w:themeColor="background1" w:themeShade="BF"/>
              <w:right w:val="single" w:sz="4" w:space="0" w:color="BFBFBF" w:themeColor="background1" w:themeShade="BF"/>
            </w:tcBorders>
            <w:shd w:val="clear" w:color="auto" w:fill="DBE5F1" w:themeFill="accent1" w:themeFillTint="33"/>
            <w:vAlign w:val="center"/>
            <w:hideMark/>
          </w:tcPr>
          <w:p w:rsidR="00195BE7" w:rsidRPr="001E2F6E" w:rsidRDefault="00195BE7" w:rsidP="00195BE7">
            <w:pPr>
              <w:spacing w:line="240" w:lineRule="exact"/>
              <w:jc w:val="center"/>
              <w:rPr>
                <w:b/>
                <w:sz w:val="16"/>
                <w:szCs w:val="16"/>
              </w:rPr>
            </w:pPr>
            <w:r w:rsidRPr="001E2F6E">
              <w:rPr>
                <w:b/>
                <w:sz w:val="16"/>
                <w:szCs w:val="16"/>
              </w:rPr>
              <w:t>EAE</w:t>
            </w:r>
          </w:p>
        </w:tc>
        <w:tc>
          <w:tcPr>
            <w:tcW w:w="1028"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hideMark/>
          </w:tcPr>
          <w:p w:rsidR="00195BE7" w:rsidRPr="001E2F6E" w:rsidRDefault="00195BE7" w:rsidP="00195BE7">
            <w:pPr>
              <w:spacing w:line="240" w:lineRule="exact"/>
              <w:jc w:val="center"/>
              <w:rPr>
                <w:b/>
                <w:bCs/>
                <w:sz w:val="16"/>
                <w:szCs w:val="16"/>
              </w:rPr>
            </w:pPr>
            <w:r w:rsidRPr="001E2F6E">
              <w:rPr>
                <w:b/>
                <w:bCs/>
                <w:sz w:val="16"/>
                <w:szCs w:val="16"/>
              </w:rPr>
              <w:t>GUZTIRA</w:t>
            </w:r>
          </w:p>
        </w:tc>
        <w:tc>
          <w:tcPr>
            <w:tcW w:w="1026"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hideMark/>
          </w:tcPr>
          <w:p w:rsidR="00195BE7" w:rsidRPr="001E2F6E" w:rsidRDefault="00195BE7" w:rsidP="00195BE7">
            <w:pPr>
              <w:spacing w:line="240" w:lineRule="exact"/>
              <w:jc w:val="center"/>
              <w:rPr>
                <w:b/>
                <w:bCs/>
                <w:sz w:val="16"/>
                <w:szCs w:val="16"/>
              </w:rPr>
            </w:pPr>
            <w:r w:rsidRPr="001E2F6E">
              <w:rPr>
                <w:b/>
                <w:bCs/>
                <w:sz w:val="16"/>
                <w:szCs w:val="16"/>
              </w:rPr>
              <w:t>Koop.</w:t>
            </w:r>
          </w:p>
        </w:tc>
        <w:tc>
          <w:tcPr>
            <w:tcW w:w="1010"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hideMark/>
          </w:tcPr>
          <w:p w:rsidR="00195BE7" w:rsidRPr="001E2F6E" w:rsidRDefault="00195BE7" w:rsidP="00195BE7">
            <w:pPr>
              <w:spacing w:line="240" w:lineRule="exact"/>
              <w:jc w:val="center"/>
              <w:rPr>
                <w:b/>
                <w:bCs/>
                <w:sz w:val="16"/>
                <w:szCs w:val="16"/>
              </w:rPr>
            </w:pPr>
            <w:r w:rsidRPr="001E2F6E">
              <w:rPr>
                <w:b/>
                <w:bCs/>
                <w:sz w:val="16"/>
                <w:szCs w:val="16"/>
                <w:lang w:val="en-GB"/>
              </w:rPr>
              <w:t>LSA</w:t>
            </w:r>
          </w:p>
        </w:tc>
        <w:tc>
          <w:tcPr>
            <w:tcW w:w="1004" w:type="pct"/>
            <w:gridSpan w:val="2"/>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hideMark/>
          </w:tcPr>
          <w:p w:rsidR="00195BE7" w:rsidRPr="001E2F6E" w:rsidRDefault="00195BE7" w:rsidP="00195BE7">
            <w:pPr>
              <w:spacing w:line="240" w:lineRule="exact"/>
              <w:jc w:val="center"/>
              <w:rPr>
                <w:b/>
                <w:bCs/>
                <w:sz w:val="16"/>
                <w:szCs w:val="16"/>
              </w:rPr>
            </w:pPr>
            <w:r w:rsidRPr="001E2F6E">
              <w:rPr>
                <w:b/>
                <w:bCs/>
                <w:sz w:val="16"/>
                <w:szCs w:val="16"/>
                <w:lang w:val="en-GB"/>
              </w:rPr>
              <w:t>LSM</w:t>
            </w:r>
          </w:p>
        </w:tc>
      </w:tr>
      <w:tr w:rsidR="00195BE7" w:rsidRPr="001E2F6E" w:rsidTr="00195BE7">
        <w:trPr>
          <w:jc w:val="center"/>
        </w:trPr>
        <w:tc>
          <w:tcPr>
            <w:tcW w:w="932" w:type="pct"/>
            <w:vMerge/>
            <w:tcBorders>
              <w:bottom w:val="single" w:sz="4" w:space="0" w:color="BFBFBF" w:themeColor="background1" w:themeShade="BF"/>
              <w:right w:val="single" w:sz="4" w:space="0" w:color="BFBFBF" w:themeColor="background1" w:themeShade="BF"/>
            </w:tcBorders>
            <w:shd w:val="clear" w:color="auto" w:fill="DBE5F1" w:themeFill="accent1" w:themeFillTint="33"/>
            <w:hideMark/>
          </w:tcPr>
          <w:p w:rsidR="00195BE7" w:rsidRPr="001E2F6E" w:rsidRDefault="00195BE7" w:rsidP="00195BE7">
            <w:pPr>
              <w:spacing w:line="240" w:lineRule="exact"/>
              <w:rPr>
                <w:sz w:val="16"/>
                <w:szCs w:val="16"/>
              </w:rPr>
            </w:pPr>
          </w:p>
        </w:tc>
        <w:tc>
          <w:tcPr>
            <w:tcW w:w="520"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hideMark/>
          </w:tcPr>
          <w:p w:rsidR="00195BE7" w:rsidRPr="001E2F6E" w:rsidRDefault="00195BE7" w:rsidP="00195BE7">
            <w:pPr>
              <w:spacing w:line="240" w:lineRule="exact"/>
              <w:jc w:val="center"/>
              <w:rPr>
                <w:b/>
                <w:bCs/>
                <w:sz w:val="16"/>
                <w:szCs w:val="16"/>
              </w:rPr>
            </w:pPr>
            <w:r w:rsidRPr="001E2F6E">
              <w:rPr>
                <w:b/>
                <w:bCs/>
                <w:sz w:val="16"/>
                <w:szCs w:val="16"/>
              </w:rPr>
              <w:t>z.a.</w:t>
            </w:r>
          </w:p>
        </w:tc>
        <w:tc>
          <w:tcPr>
            <w:tcW w:w="508"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hideMark/>
          </w:tcPr>
          <w:p w:rsidR="00195BE7" w:rsidRPr="001E2F6E" w:rsidRDefault="00195BE7" w:rsidP="00195BE7">
            <w:pPr>
              <w:spacing w:line="240" w:lineRule="exact"/>
              <w:jc w:val="center"/>
              <w:rPr>
                <w:b/>
                <w:bCs/>
                <w:sz w:val="16"/>
                <w:szCs w:val="16"/>
              </w:rPr>
            </w:pPr>
            <w:r w:rsidRPr="001E2F6E">
              <w:rPr>
                <w:b/>
                <w:bCs/>
                <w:sz w:val="16"/>
                <w:szCs w:val="16"/>
              </w:rPr>
              <w:t>%ber.</w:t>
            </w:r>
          </w:p>
        </w:tc>
        <w:tc>
          <w:tcPr>
            <w:tcW w:w="520"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hideMark/>
          </w:tcPr>
          <w:p w:rsidR="00195BE7" w:rsidRPr="001E2F6E" w:rsidRDefault="00195BE7" w:rsidP="00195BE7">
            <w:pPr>
              <w:spacing w:line="240" w:lineRule="exact"/>
              <w:jc w:val="center"/>
              <w:rPr>
                <w:b/>
                <w:bCs/>
                <w:sz w:val="16"/>
                <w:szCs w:val="16"/>
              </w:rPr>
            </w:pPr>
            <w:r w:rsidRPr="001E2F6E">
              <w:rPr>
                <w:b/>
                <w:bCs/>
                <w:sz w:val="16"/>
                <w:szCs w:val="16"/>
              </w:rPr>
              <w:t>z.a.</w:t>
            </w:r>
          </w:p>
        </w:tc>
        <w:tc>
          <w:tcPr>
            <w:tcW w:w="506"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hideMark/>
          </w:tcPr>
          <w:p w:rsidR="00195BE7" w:rsidRPr="001E2F6E" w:rsidRDefault="00195BE7" w:rsidP="00195BE7">
            <w:pPr>
              <w:spacing w:line="240" w:lineRule="exact"/>
              <w:jc w:val="center"/>
              <w:rPr>
                <w:b/>
                <w:bCs/>
                <w:sz w:val="16"/>
                <w:szCs w:val="16"/>
              </w:rPr>
            </w:pPr>
            <w:r w:rsidRPr="001E2F6E">
              <w:rPr>
                <w:b/>
                <w:bCs/>
                <w:sz w:val="16"/>
                <w:szCs w:val="16"/>
              </w:rPr>
              <w:t>%ber.</w:t>
            </w:r>
          </w:p>
        </w:tc>
        <w:tc>
          <w:tcPr>
            <w:tcW w:w="505"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hideMark/>
          </w:tcPr>
          <w:p w:rsidR="00195BE7" w:rsidRPr="001E2F6E" w:rsidRDefault="00195BE7" w:rsidP="00195BE7">
            <w:pPr>
              <w:spacing w:line="240" w:lineRule="exact"/>
              <w:jc w:val="center"/>
              <w:rPr>
                <w:b/>
                <w:bCs/>
                <w:sz w:val="16"/>
                <w:szCs w:val="16"/>
              </w:rPr>
            </w:pPr>
            <w:r w:rsidRPr="001E2F6E">
              <w:rPr>
                <w:b/>
                <w:bCs/>
                <w:sz w:val="16"/>
                <w:szCs w:val="16"/>
              </w:rPr>
              <w:t>z.a.</w:t>
            </w:r>
          </w:p>
        </w:tc>
        <w:tc>
          <w:tcPr>
            <w:tcW w:w="505"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hideMark/>
          </w:tcPr>
          <w:p w:rsidR="00195BE7" w:rsidRPr="001E2F6E" w:rsidRDefault="00195BE7" w:rsidP="00195BE7">
            <w:pPr>
              <w:spacing w:line="240" w:lineRule="exact"/>
              <w:jc w:val="center"/>
              <w:rPr>
                <w:b/>
                <w:bCs/>
                <w:sz w:val="16"/>
                <w:szCs w:val="16"/>
              </w:rPr>
            </w:pPr>
            <w:r w:rsidRPr="001E2F6E">
              <w:rPr>
                <w:b/>
                <w:bCs/>
                <w:sz w:val="16"/>
                <w:szCs w:val="16"/>
              </w:rPr>
              <w:t>%ber.</w:t>
            </w:r>
          </w:p>
        </w:tc>
        <w:tc>
          <w:tcPr>
            <w:tcW w:w="505"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hideMark/>
          </w:tcPr>
          <w:p w:rsidR="00195BE7" w:rsidRPr="001E2F6E" w:rsidRDefault="00195BE7" w:rsidP="00195BE7">
            <w:pPr>
              <w:spacing w:line="240" w:lineRule="exact"/>
              <w:jc w:val="center"/>
              <w:rPr>
                <w:b/>
                <w:bCs/>
                <w:sz w:val="16"/>
                <w:szCs w:val="16"/>
              </w:rPr>
            </w:pPr>
            <w:r w:rsidRPr="001E2F6E">
              <w:rPr>
                <w:b/>
                <w:bCs/>
                <w:sz w:val="16"/>
                <w:szCs w:val="16"/>
              </w:rPr>
              <w:t>z.a.</w:t>
            </w:r>
          </w:p>
        </w:tc>
        <w:tc>
          <w:tcPr>
            <w:tcW w:w="499" w:type="pct"/>
            <w:tcBorders>
              <w:top w:val="single" w:sz="4" w:space="0" w:color="BFBFBF" w:themeColor="background1" w:themeShade="BF"/>
              <w:bottom w:val="single" w:sz="4" w:space="0" w:color="BFBFBF" w:themeColor="background1" w:themeShade="BF"/>
            </w:tcBorders>
            <w:shd w:val="clear" w:color="auto" w:fill="DBE5F1" w:themeFill="accent1" w:themeFillTint="33"/>
            <w:hideMark/>
          </w:tcPr>
          <w:p w:rsidR="00195BE7" w:rsidRPr="001E2F6E" w:rsidRDefault="00195BE7" w:rsidP="00195BE7">
            <w:pPr>
              <w:spacing w:line="240" w:lineRule="exact"/>
              <w:jc w:val="center"/>
              <w:rPr>
                <w:b/>
                <w:bCs/>
                <w:sz w:val="16"/>
                <w:szCs w:val="16"/>
              </w:rPr>
            </w:pPr>
            <w:r w:rsidRPr="001E2F6E">
              <w:rPr>
                <w:b/>
                <w:bCs/>
                <w:sz w:val="16"/>
                <w:szCs w:val="16"/>
              </w:rPr>
              <w:t>%ber.</w:t>
            </w:r>
          </w:p>
        </w:tc>
      </w:tr>
      <w:tr w:rsidR="00195BE7" w:rsidRPr="001E2F6E" w:rsidTr="00195BE7">
        <w:trPr>
          <w:jc w:val="center"/>
        </w:trPr>
        <w:tc>
          <w:tcPr>
            <w:tcW w:w="932" w:type="pct"/>
            <w:tcBorders>
              <w:top w:val="single" w:sz="4" w:space="0" w:color="BFBFBF" w:themeColor="background1" w:themeShade="BF"/>
              <w:right w:val="single" w:sz="4" w:space="0" w:color="BFBFBF" w:themeColor="background1" w:themeShade="BF"/>
            </w:tcBorders>
            <w:vAlign w:val="bottom"/>
            <w:hideMark/>
          </w:tcPr>
          <w:p w:rsidR="00195BE7" w:rsidRPr="001E2F6E" w:rsidRDefault="00195BE7" w:rsidP="00195BE7">
            <w:pPr>
              <w:spacing w:line="240" w:lineRule="exact"/>
              <w:rPr>
                <w:sz w:val="16"/>
                <w:szCs w:val="16"/>
                <w:lang w:val="eu-ES"/>
              </w:rPr>
            </w:pPr>
            <w:r w:rsidRPr="001E2F6E">
              <w:rPr>
                <w:sz w:val="16"/>
                <w:szCs w:val="16"/>
                <w:lang w:val="eu-ES"/>
              </w:rPr>
              <w:t>Lehen sektorea</w:t>
            </w:r>
          </w:p>
        </w:tc>
        <w:tc>
          <w:tcPr>
            <w:tcW w:w="520" w:type="pct"/>
            <w:tcBorders>
              <w:top w:val="single" w:sz="4" w:space="0" w:color="BFBFBF" w:themeColor="background1" w:themeShade="BF"/>
              <w:left w:val="single" w:sz="4" w:space="0" w:color="BFBFBF" w:themeColor="background1" w:themeShade="BF"/>
            </w:tcBorders>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117</w:t>
            </w:r>
          </w:p>
        </w:tc>
        <w:tc>
          <w:tcPr>
            <w:tcW w:w="508" w:type="pct"/>
            <w:tcBorders>
              <w:top w:val="single" w:sz="4" w:space="0" w:color="BFBFBF" w:themeColor="background1" w:themeShade="BF"/>
              <w:right w:val="single" w:sz="4" w:space="0" w:color="BFBFBF" w:themeColor="background1" w:themeShade="BF"/>
            </w:tcBorders>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0,2</w:t>
            </w:r>
          </w:p>
        </w:tc>
        <w:tc>
          <w:tcPr>
            <w:tcW w:w="520" w:type="pct"/>
            <w:tcBorders>
              <w:top w:val="single" w:sz="4" w:space="0" w:color="BFBFBF" w:themeColor="background1" w:themeShade="BF"/>
              <w:left w:val="single" w:sz="4" w:space="0" w:color="BFBFBF" w:themeColor="background1" w:themeShade="BF"/>
            </w:tcBorders>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101</w:t>
            </w:r>
          </w:p>
        </w:tc>
        <w:tc>
          <w:tcPr>
            <w:tcW w:w="506" w:type="pct"/>
            <w:tcBorders>
              <w:top w:val="single" w:sz="4" w:space="0" w:color="BFBFBF" w:themeColor="background1" w:themeShade="BF"/>
              <w:right w:val="single" w:sz="4" w:space="0" w:color="BFBFBF" w:themeColor="background1" w:themeShade="BF"/>
            </w:tcBorders>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0,2</w:t>
            </w:r>
          </w:p>
        </w:tc>
        <w:tc>
          <w:tcPr>
            <w:tcW w:w="505" w:type="pct"/>
            <w:tcBorders>
              <w:top w:val="single" w:sz="4" w:space="0" w:color="BFBFBF" w:themeColor="background1" w:themeShade="BF"/>
              <w:left w:val="single" w:sz="4" w:space="0" w:color="BFBFBF" w:themeColor="background1" w:themeShade="BF"/>
            </w:tcBorders>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0</w:t>
            </w:r>
          </w:p>
        </w:tc>
        <w:tc>
          <w:tcPr>
            <w:tcW w:w="505" w:type="pct"/>
            <w:tcBorders>
              <w:top w:val="single" w:sz="4" w:space="0" w:color="BFBFBF" w:themeColor="background1" w:themeShade="BF"/>
              <w:right w:val="single" w:sz="4" w:space="0" w:color="BFBFBF" w:themeColor="background1" w:themeShade="BF"/>
            </w:tcBorders>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0,0</w:t>
            </w:r>
          </w:p>
        </w:tc>
        <w:tc>
          <w:tcPr>
            <w:tcW w:w="505" w:type="pct"/>
            <w:tcBorders>
              <w:top w:val="single" w:sz="4" w:space="0" w:color="BFBFBF" w:themeColor="background1" w:themeShade="BF"/>
              <w:left w:val="single" w:sz="4" w:space="0" w:color="BFBFBF" w:themeColor="background1" w:themeShade="BF"/>
            </w:tcBorders>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16</w:t>
            </w:r>
          </w:p>
        </w:tc>
        <w:tc>
          <w:tcPr>
            <w:tcW w:w="499" w:type="pct"/>
            <w:tcBorders>
              <w:top w:val="single" w:sz="4" w:space="0" w:color="BFBFBF" w:themeColor="background1" w:themeShade="BF"/>
            </w:tcBorders>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0,4</w:t>
            </w:r>
          </w:p>
        </w:tc>
      </w:tr>
      <w:tr w:rsidR="00195BE7" w:rsidRPr="001E2F6E" w:rsidTr="00195BE7">
        <w:trPr>
          <w:jc w:val="center"/>
        </w:trPr>
        <w:tc>
          <w:tcPr>
            <w:tcW w:w="932" w:type="pct"/>
            <w:tcBorders>
              <w:right w:val="single" w:sz="4" w:space="0" w:color="BFBFBF" w:themeColor="background1" w:themeShade="BF"/>
            </w:tcBorders>
            <w:vAlign w:val="bottom"/>
            <w:hideMark/>
          </w:tcPr>
          <w:p w:rsidR="00195BE7" w:rsidRPr="001E2F6E" w:rsidRDefault="00195BE7" w:rsidP="00195BE7">
            <w:pPr>
              <w:spacing w:line="240" w:lineRule="exact"/>
              <w:rPr>
                <w:sz w:val="16"/>
                <w:szCs w:val="16"/>
                <w:lang w:val="eu-ES"/>
              </w:rPr>
            </w:pPr>
            <w:r w:rsidRPr="001E2F6E">
              <w:rPr>
                <w:sz w:val="16"/>
                <w:szCs w:val="16"/>
                <w:lang w:val="eu-ES"/>
              </w:rPr>
              <w:t>Industria</w:t>
            </w:r>
          </w:p>
        </w:tc>
        <w:tc>
          <w:tcPr>
            <w:tcW w:w="520" w:type="pct"/>
            <w:tcBorders>
              <w:left w:val="single" w:sz="4" w:space="0" w:color="BFBFBF" w:themeColor="background1" w:themeShade="BF"/>
            </w:tcBorders>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25.727</w:t>
            </w:r>
          </w:p>
        </w:tc>
        <w:tc>
          <w:tcPr>
            <w:tcW w:w="508" w:type="pct"/>
            <w:tcBorders>
              <w:right w:val="single" w:sz="4" w:space="0" w:color="BFBFBF" w:themeColor="background1" w:themeShade="BF"/>
            </w:tcBorders>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46,1</w:t>
            </w:r>
          </w:p>
        </w:tc>
        <w:tc>
          <w:tcPr>
            <w:tcW w:w="520" w:type="pct"/>
            <w:tcBorders>
              <w:left w:val="single" w:sz="4" w:space="0" w:color="BFBFBF" w:themeColor="background1" w:themeShade="BF"/>
            </w:tcBorders>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20.917</w:t>
            </w:r>
          </w:p>
        </w:tc>
        <w:tc>
          <w:tcPr>
            <w:tcW w:w="506" w:type="pct"/>
            <w:tcBorders>
              <w:right w:val="single" w:sz="4" w:space="0" w:color="BFBFBF" w:themeColor="background1" w:themeShade="BF"/>
            </w:tcBorders>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43,6</w:t>
            </w:r>
          </w:p>
        </w:tc>
        <w:tc>
          <w:tcPr>
            <w:tcW w:w="505" w:type="pct"/>
            <w:tcBorders>
              <w:left w:val="single" w:sz="4" w:space="0" w:color="BFBFBF" w:themeColor="background1" w:themeShade="BF"/>
            </w:tcBorders>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3.033</w:t>
            </w:r>
          </w:p>
        </w:tc>
        <w:tc>
          <w:tcPr>
            <w:tcW w:w="505" w:type="pct"/>
            <w:tcBorders>
              <w:right w:val="single" w:sz="4" w:space="0" w:color="BFBFBF" w:themeColor="background1" w:themeShade="BF"/>
            </w:tcBorders>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75,7</w:t>
            </w:r>
          </w:p>
        </w:tc>
        <w:tc>
          <w:tcPr>
            <w:tcW w:w="505" w:type="pct"/>
            <w:tcBorders>
              <w:left w:val="single" w:sz="4" w:space="0" w:color="BFBFBF" w:themeColor="background1" w:themeShade="BF"/>
            </w:tcBorders>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1.778</w:t>
            </w:r>
          </w:p>
        </w:tc>
        <w:tc>
          <w:tcPr>
            <w:tcW w:w="499" w:type="pct"/>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46,5</w:t>
            </w:r>
          </w:p>
        </w:tc>
      </w:tr>
      <w:tr w:rsidR="00195BE7" w:rsidRPr="001E2F6E" w:rsidTr="00195BE7">
        <w:trPr>
          <w:jc w:val="center"/>
        </w:trPr>
        <w:tc>
          <w:tcPr>
            <w:tcW w:w="932" w:type="pct"/>
            <w:tcBorders>
              <w:right w:val="single" w:sz="4" w:space="0" w:color="BFBFBF" w:themeColor="background1" w:themeShade="BF"/>
            </w:tcBorders>
            <w:vAlign w:val="bottom"/>
            <w:hideMark/>
          </w:tcPr>
          <w:p w:rsidR="00195BE7" w:rsidRPr="001E2F6E" w:rsidRDefault="00195BE7" w:rsidP="00195BE7">
            <w:pPr>
              <w:spacing w:line="240" w:lineRule="exact"/>
              <w:rPr>
                <w:sz w:val="16"/>
                <w:szCs w:val="16"/>
                <w:lang w:val="eu-ES"/>
              </w:rPr>
            </w:pPr>
            <w:r w:rsidRPr="001E2F6E">
              <w:rPr>
                <w:sz w:val="16"/>
                <w:szCs w:val="16"/>
                <w:lang w:val="eu-ES"/>
              </w:rPr>
              <w:t>Eraikuntza</w:t>
            </w:r>
          </w:p>
        </w:tc>
        <w:tc>
          <w:tcPr>
            <w:tcW w:w="520" w:type="pct"/>
            <w:tcBorders>
              <w:left w:val="single" w:sz="4" w:space="0" w:color="BFBFBF" w:themeColor="background1" w:themeShade="BF"/>
            </w:tcBorders>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2.000</w:t>
            </w:r>
          </w:p>
        </w:tc>
        <w:tc>
          <w:tcPr>
            <w:tcW w:w="508" w:type="pct"/>
            <w:tcBorders>
              <w:right w:val="single" w:sz="4" w:space="0" w:color="BFBFBF" w:themeColor="background1" w:themeShade="BF"/>
            </w:tcBorders>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3,6</w:t>
            </w:r>
          </w:p>
        </w:tc>
        <w:tc>
          <w:tcPr>
            <w:tcW w:w="520" w:type="pct"/>
            <w:tcBorders>
              <w:left w:val="single" w:sz="4" w:space="0" w:color="BFBFBF" w:themeColor="background1" w:themeShade="BF"/>
            </w:tcBorders>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1.317</w:t>
            </w:r>
          </w:p>
        </w:tc>
        <w:tc>
          <w:tcPr>
            <w:tcW w:w="506" w:type="pct"/>
            <w:tcBorders>
              <w:right w:val="single" w:sz="4" w:space="0" w:color="BFBFBF" w:themeColor="background1" w:themeShade="BF"/>
            </w:tcBorders>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2,7</w:t>
            </w:r>
          </w:p>
        </w:tc>
        <w:tc>
          <w:tcPr>
            <w:tcW w:w="505" w:type="pct"/>
            <w:tcBorders>
              <w:left w:val="single" w:sz="4" w:space="0" w:color="BFBFBF" w:themeColor="background1" w:themeShade="BF"/>
            </w:tcBorders>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204</w:t>
            </w:r>
          </w:p>
        </w:tc>
        <w:tc>
          <w:tcPr>
            <w:tcW w:w="505" w:type="pct"/>
            <w:tcBorders>
              <w:right w:val="single" w:sz="4" w:space="0" w:color="BFBFBF" w:themeColor="background1" w:themeShade="BF"/>
            </w:tcBorders>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5,1</w:t>
            </w:r>
          </w:p>
        </w:tc>
        <w:tc>
          <w:tcPr>
            <w:tcW w:w="505" w:type="pct"/>
            <w:tcBorders>
              <w:left w:val="single" w:sz="4" w:space="0" w:color="BFBFBF" w:themeColor="background1" w:themeShade="BF"/>
            </w:tcBorders>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479</w:t>
            </w:r>
          </w:p>
        </w:tc>
        <w:tc>
          <w:tcPr>
            <w:tcW w:w="499" w:type="pct"/>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12,5</w:t>
            </w:r>
          </w:p>
        </w:tc>
      </w:tr>
      <w:tr w:rsidR="00195BE7" w:rsidRPr="001E2F6E" w:rsidTr="00195BE7">
        <w:trPr>
          <w:jc w:val="center"/>
        </w:trPr>
        <w:tc>
          <w:tcPr>
            <w:tcW w:w="932" w:type="pct"/>
            <w:tcBorders>
              <w:bottom w:val="single" w:sz="4" w:space="0" w:color="BFBFBF" w:themeColor="background1" w:themeShade="BF"/>
              <w:right w:val="single" w:sz="4" w:space="0" w:color="BFBFBF" w:themeColor="background1" w:themeShade="BF"/>
            </w:tcBorders>
            <w:vAlign w:val="bottom"/>
            <w:hideMark/>
          </w:tcPr>
          <w:p w:rsidR="00195BE7" w:rsidRPr="001E2F6E" w:rsidRDefault="00195BE7" w:rsidP="00195BE7">
            <w:pPr>
              <w:spacing w:line="240" w:lineRule="exact"/>
              <w:rPr>
                <w:sz w:val="16"/>
                <w:szCs w:val="16"/>
                <w:lang w:val="eu-ES"/>
              </w:rPr>
            </w:pPr>
            <w:r w:rsidRPr="001E2F6E">
              <w:rPr>
                <w:sz w:val="16"/>
                <w:szCs w:val="16"/>
                <w:lang w:val="eu-ES"/>
              </w:rPr>
              <w:t>Zerbitzuak</w:t>
            </w:r>
          </w:p>
        </w:tc>
        <w:tc>
          <w:tcPr>
            <w:tcW w:w="520" w:type="pct"/>
            <w:tcBorders>
              <w:left w:val="single" w:sz="4" w:space="0" w:color="BFBFBF" w:themeColor="background1" w:themeShade="BF"/>
              <w:bottom w:val="single" w:sz="4" w:space="0" w:color="BFBFBF" w:themeColor="background1" w:themeShade="BF"/>
            </w:tcBorders>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27.966</w:t>
            </w:r>
          </w:p>
        </w:tc>
        <w:tc>
          <w:tcPr>
            <w:tcW w:w="508" w:type="pct"/>
            <w:tcBorders>
              <w:bottom w:val="single" w:sz="4" w:space="0" w:color="BFBFBF" w:themeColor="background1" w:themeShade="BF"/>
              <w:right w:val="single" w:sz="4" w:space="0" w:color="BFBFBF" w:themeColor="background1" w:themeShade="BF"/>
            </w:tcBorders>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50,1</w:t>
            </w:r>
          </w:p>
        </w:tc>
        <w:tc>
          <w:tcPr>
            <w:tcW w:w="520" w:type="pct"/>
            <w:tcBorders>
              <w:left w:val="single" w:sz="4" w:space="0" w:color="BFBFBF" w:themeColor="background1" w:themeShade="BF"/>
              <w:bottom w:val="single" w:sz="4" w:space="0" w:color="BFBFBF" w:themeColor="background1" w:themeShade="BF"/>
            </w:tcBorders>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25.647</w:t>
            </w:r>
          </w:p>
        </w:tc>
        <w:tc>
          <w:tcPr>
            <w:tcW w:w="506" w:type="pct"/>
            <w:tcBorders>
              <w:bottom w:val="single" w:sz="4" w:space="0" w:color="BFBFBF" w:themeColor="background1" w:themeShade="BF"/>
              <w:right w:val="single" w:sz="4" w:space="0" w:color="BFBFBF" w:themeColor="background1" w:themeShade="BF"/>
            </w:tcBorders>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53,5</w:t>
            </w:r>
          </w:p>
        </w:tc>
        <w:tc>
          <w:tcPr>
            <w:tcW w:w="505" w:type="pct"/>
            <w:tcBorders>
              <w:left w:val="single" w:sz="4" w:space="0" w:color="BFBFBF" w:themeColor="background1" w:themeShade="BF"/>
              <w:bottom w:val="single" w:sz="4" w:space="0" w:color="BFBFBF" w:themeColor="background1" w:themeShade="BF"/>
            </w:tcBorders>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770</w:t>
            </w:r>
          </w:p>
        </w:tc>
        <w:tc>
          <w:tcPr>
            <w:tcW w:w="505" w:type="pct"/>
            <w:tcBorders>
              <w:bottom w:val="single" w:sz="4" w:space="0" w:color="BFBFBF" w:themeColor="background1" w:themeShade="BF"/>
              <w:right w:val="single" w:sz="4" w:space="0" w:color="BFBFBF" w:themeColor="background1" w:themeShade="BF"/>
            </w:tcBorders>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19,2</w:t>
            </w:r>
          </w:p>
        </w:tc>
        <w:tc>
          <w:tcPr>
            <w:tcW w:w="505" w:type="pct"/>
            <w:tcBorders>
              <w:left w:val="single" w:sz="4" w:space="0" w:color="BFBFBF" w:themeColor="background1" w:themeShade="BF"/>
              <w:bottom w:val="single" w:sz="4" w:space="0" w:color="BFBFBF" w:themeColor="background1" w:themeShade="BF"/>
            </w:tcBorders>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1.549</w:t>
            </w:r>
          </w:p>
        </w:tc>
        <w:tc>
          <w:tcPr>
            <w:tcW w:w="499" w:type="pct"/>
            <w:tcBorders>
              <w:bottom w:val="single" w:sz="4" w:space="0" w:color="BFBFBF" w:themeColor="background1" w:themeShade="BF"/>
            </w:tcBorders>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40,5</w:t>
            </w:r>
          </w:p>
        </w:tc>
      </w:tr>
      <w:tr w:rsidR="00195BE7" w:rsidRPr="001E2F6E" w:rsidTr="00195BE7">
        <w:trPr>
          <w:jc w:val="center"/>
        </w:trPr>
        <w:tc>
          <w:tcPr>
            <w:tcW w:w="932" w:type="pct"/>
            <w:tcBorders>
              <w:top w:val="single" w:sz="4" w:space="0" w:color="BFBFBF" w:themeColor="background1" w:themeShade="BF"/>
              <w:bottom w:val="single" w:sz="4" w:space="0" w:color="BFBFBF" w:themeColor="background1" w:themeShade="BF"/>
              <w:right w:val="single" w:sz="4" w:space="0" w:color="BFBFBF" w:themeColor="background1" w:themeShade="BF"/>
            </w:tcBorders>
            <w:vAlign w:val="bottom"/>
            <w:hideMark/>
          </w:tcPr>
          <w:p w:rsidR="00195BE7" w:rsidRPr="001E2F6E" w:rsidRDefault="00195BE7" w:rsidP="00195BE7">
            <w:pPr>
              <w:spacing w:line="240" w:lineRule="exact"/>
              <w:rPr>
                <w:b/>
                <w:bCs/>
                <w:sz w:val="16"/>
                <w:szCs w:val="16"/>
                <w:lang w:val="eu-ES"/>
              </w:rPr>
            </w:pPr>
            <w:r w:rsidRPr="001E2F6E">
              <w:rPr>
                <w:b/>
                <w:bCs/>
                <w:sz w:val="16"/>
                <w:szCs w:val="16"/>
                <w:lang w:val="eu-ES"/>
              </w:rPr>
              <w:t>GUZTIRA</w:t>
            </w:r>
          </w:p>
        </w:tc>
        <w:tc>
          <w:tcPr>
            <w:tcW w:w="520" w:type="pct"/>
            <w:tcBorders>
              <w:top w:val="single" w:sz="4" w:space="0" w:color="BFBFBF" w:themeColor="background1" w:themeShade="BF"/>
              <w:left w:val="single" w:sz="4" w:space="0" w:color="BFBFBF" w:themeColor="background1" w:themeShade="BF"/>
              <w:bottom w:val="single" w:sz="4" w:space="0" w:color="BFBFBF" w:themeColor="background1" w:themeShade="BF"/>
            </w:tcBorders>
            <w:hideMark/>
          </w:tcPr>
          <w:p w:rsidR="00195BE7" w:rsidRPr="001E2F6E" w:rsidRDefault="00195BE7" w:rsidP="00195BE7">
            <w:pPr>
              <w:spacing w:line="240" w:lineRule="exact"/>
              <w:ind w:right="170"/>
              <w:jc w:val="right"/>
              <w:rPr>
                <w:b/>
                <w:bCs/>
                <w:color w:val="000000"/>
                <w:sz w:val="16"/>
                <w:szCs w:val="16"/>
              </w:rPr>
            </w:pPr>
            <w:r w:rsidRPr="001E2F6E">
              <w:rPr>
                <w:b/>
                <w:bCs/>
                <w:color w:val="000000"/>
                <w:sz w:val="16"/>
                <w:szCs w:val="16"/>
              </w:rPr>
              <w:t>55.809</w:t>
            </w:r>
          </w:p>
        </w:tc>
        <w:tc>
          <w:tcPr>
            <w:tcW w:w="508" w:type="pct"/>
            <w:tcBorders>
              <w:top w:val="single" w:sz="4" w:space="0" w:color="BFBFBF" w:themeColor="background1" w:themeShade="BF"/>
              <w:bottom w:val="single" w:sz="4" w:space="0" w:color="BFBFBF" w:themeColor="background1" w:themeShade="BF"/>
              <w:right w:val="single" w:sz="4" w:space="0" w:color="BFBFBF" w:themeColor="background1" w:themeShade="BF"/>
            </w:tcBorders>
            <w:hideMark/>
          </w:tcPr>
          <w:p w:rsidR="00195BE7" w:rsidRPr="001E2F6E" w:rsidRDefault="00195BE7" w:rsidP="00195BE7">
            <w:pPr>
              <w:spacing w:line="240" w:lineRule="exact"/>
              <w:ind w:right="170"/>
              <w:jc w:val="right"/>
              <w:rPr>
                <w:b/>
                <w:bCs/>
                <w:color w:val="000000"/>
                <w:sz w:val="16"/>
                <w:szCs w:val="16"/>
              </w:rPr>
            </w:pPr>
            <w:r w:rsidRPr="001E2F6E">
              <w:rPr>
                <w:b/>
                <w:bCs/>
                <w:color w:val="000000"/>
                <w:sz w:val="16"/>
                <w:szCs w:val="16"/>
              </w:rPr>
              <w:t>100</w:t>
            </w:r>
          </w:p>
        </w:tc>
        <w:tc>
          <w:tcPr>
            <w:tcW w:w="520" w:type="pct"/>
            <w:tcBorders>
              <w:top w:val="single" w:sz="4" w:space="0" w:color="BFBFBF" w:themeColor="background1" w:themeShade="BF"/>
              <w:left w:val="single" w:sz="4" w:space="0" w:color="BFBFBF" w:themeColor="background1" w:themeShade="BF"/>
              <w:bottom w:val="single" w:sz="4" w:space="0" w:color="BFBFBF" w:themeColor="background1" w:themeShade="BF"/>
            </w:tcBorders>
            <w:hideMark/>
          </w:tcPr>
          <w:p w:rsidR="00195BE7" w:rsidRPr="001E2F6E" w:rsidRDefault="00195BE7" w:rsidP="00195BE7">
            <w:pPr>
              <w:spacing w:line="240" w:lineRule="exact"/>
              <w:ind w:right="170"/>
              <w:jc w:val="right"/>
              <w:rPr>
                <w:b/>
                <w:bCs/>
                <w:color w:val="000000"/>
                <w:sz w:val="16"/>
                <w:szCs w:val="16"/>
              </w:rPr>
            </w:pPr>
            <w:r w:rsidRPr="001E2F6E">
              <w:rPr>
                <w:b/>
                <w:bCs/>
                <w:color w:val="000000"/>
                <w:sz w:val="16"/>
                <w:szCs w:val="16"/>
              </w:rPr>
              <w:t>47.981</w:t>
            </w:r>
          </w:p>
        </w:tc>
        <w:tc>
          <w:tcPr>
            <w:tcW w:w="506" w:type="pct"/>
            <w:tcBorders>
              <w:top w:val="single" w:sz="4" w:space="0" w:color="BFBFBF" w:themeColor="background1" w:themeShade="BF"/>
              <w:bottom w:val="single" w:sz="4" w:space="0" w:color="BFBFBF" w:themeColor="background1" w:themeShade="BF"/>
              <w:right w:val="single" w:sz="4" w:space="0" w:color="BFBFBF" w:themeColor="background1" w:themeShade="BF"/>
            </w:tcBorders>
            <w:hideMark/>
          </w:tcPr>
          <w:p w:rsidR="00195BE7" w:rsidRPr="001E2F6E" w:rsidRDefault="00195BE7" w:rsidP="00195BE7">
            <w:pPr>
              <w:spacing w:line="240" w:lineRule="exact"/>
              <w:ind w:right="170"/>
              <w:jc w:val="right"/>
              <w:rPr>
                <w:b/>
                <w:bCs/>
                <w:color w:val="000000"/>
                <w:sz w:val="16"/>
                <w:szCs w:val="16"/>
              </w:rPr>
            </w:pPr>
            <w:r w:rsidRPr="001E2F6E">
              <w:rPr>
                <w:b/>
                <w:bCs/>
                <w:color w:val="000000"/>
                <w:sz w:val="16"/>
                <w:szCs w:val="16"/>
              </w:rPr>
              <w:t>100</w:t>
            </w:r>
          </w:p>
        </w:tc>
        <w:tc>
          <w:tcPr>
            <w:tcW w:w="505" w:type="pct"/>
            <w:tcBorders>
              <w:top w:val="single" w:sz="4" w:space="0" w:color="BFBFBF" w:themeColor="background1" w:themeShade="BF"/>
              <w:left w:val="single" w:sz="4" w:space="0" w:color="BFBFBF" w:themeColor="background1" w:themeShade="BF"/>
              <w:bottom w:val="single" w:sz="4" w:space="0" w:color="BFBFBF" w:themeColor="background1" w:themeShade="BF"/>
            </w:tcBorders>
            <w:hideMark/>
          </w:tcPr>
          <w:p w:rsidR="00195BE7" w:rsidRPr="001E2F6E" w:rsidRDefault="00195BE7" w:rsidP="00195BE7">
            <w:pPr>
              <w:spacing w:line="240" w:lineRule="exact"/>
              <w:ind w:right="170"/>
              <w:jc w:val="right"/>
              <w:rPr>
                <w:b/>
                <w:bCs/>
                <w:color w:val="000000"/>
                <w:sz w:val="16"/>
                <w:szCs w:val="16"/>
              </w:rPr>
            </w:pPr>
            <w:r w:rsidRPr="001E2F6E">
              <w:rPr>
                <w:b/>
                <w:bCs/>
                <w:color w:val="000000"/>
                <w:sz w:val="16"/>
                <w:szCs w:val="16"/>
              </w:rPr>
              <w:t>4.005</w:t>
            </w:r>
          </w:p>
        </w:tc>
        <w:tc>
          <w:tcPr>
            <w:tcW w:w="505" w:type="pct"/>
            <w:tcBorders>
              <w:top w:val="single" w:sz="4" w:space="0" w:color="BFBFBF" w:themeColor="background1" w:themeShade="BF"/>
              <w:bottom w:val="single" w:sz="4" w:space="0" w:color="BFBFBF" w:themeColor="background1" w:themeShade="BF"/>
              <w:right w:val="single" w:sz="4" w:space="0" w:color="BFBFBF" w:themeColor="background1" w:themeShade="BF"/>
            </w:tcBorders>
            <w:hideMark/>
          </w:tcPr>
          <w:p w:rsidR="00195BE7" w:rsidRPr="001E2F6E" w:rsidRDefault="00195BE7" w:rsidP="00195BE7">
            <w:pPr>
              <w:spacing w:line="240" w:lineRule="exact"/>
              <w:ind w:right="170"/>
              <w:jc w:val="right"/>
              <w:rPr>
                <w:b/>
                <w:bCs/>
                <w:color w:val="000000"/>
                <w:sz w:val="16"/>
                <w:szCs w:val="16"/>
              </w:rPr>
            </w:pPr>
            <w:r w:rsidRPr="001E2F6E">
              <w:rPr>
                <w:b/>
                <w:bCs/>
                <w:color w:val="000000"/>
                <w:sz w:val="16"/>
                <w:szCs w:val="16"/>
              </w:rPr>
              <w:t>100</w:t>
            </w:r>
          </w:p>
        </w:tc>
        <w:tc>
          <w:tcPr>
            <w:tcW w:w="505" w:type="pct"/>
            <w:tcBorders>
              <w:top w:val="single" w:sz="4" w:space="0" w:color="BFBFBF" w:themeColor="background1" w:themeShade="BF"/>
              <w:left w:val="single" w:sz="4" w:space="0" w:color="BFBFBF" w:themeColor="background1" w:themeShade="BF"/>
              <w:bottom w:val="single" w:sz="4" w:space="0" w:color="BFBFBF" w:themeColor="background1" w:themeShade="BF"/>
            </w:tcBorders>
            <w:hideMark/>
          </w:tcPr>
          <w:p w:rsidR="00195BE7" w:rsidRPr="001E2F6E" w:rsidRDefault="00195BE7" w:rsidP="00195BE7">
            <w:pPr>
              <w:spacing w:line="240" w:lineRule="exact"/>
              <w:ind w:right="170"/>
              <w:jc w:val="right"/>
              <w:rPr>
                <w:b/>
                <w:bCs/>
                <w:color w:val="000000"/>
                <w:sz w:val="16"/>
                <w:szCs w:val="16"/>
              </w:rPr>
            </w:pPr>
            <w:r w:rsidRPr="001E2F6E">
              <w:rPr>
                <w:b/>
                <w:bCs/>
                <w:color w:val="000000"/>
                <w:sz w:val="16"/>
                <w:szCs w:val="16"/>
              </w:rPr>
              <w:t>3.823</w:t>
            </w:r>
          </w:p>
        </w:tc>
        <w:tc>
          <w:tcPr>
            <w:tcW w:w="499" w:type="pct"/>
            <w:tcBorders>
              <w:top w:val="single" w:sz="4" w:space="0" w:color="BFBFBF" w:themeColor="background1" w:themeShade="BF"/>
              <w:bottom w:val="single" w:sz="4" w:space="0" w:color="BFBFBF" w:themeColor="background1" w:themeShade="BF"/>
            </w:tcBorders>
            <w:hideMark/>
          </w:tcPr>
          <w:p w:rsidR="00195BE7" w:rsidRPr="001E2F6E" w:rsidRDefault="00195BE7" w:rsidP="00195BE7">
            <w:pPr>
              <w:spacing w:line="240" w:lineRule="exact"/>
              <w:ind w:right="170"/>
              <w:jc w:val="right"/>
              <w:rPr>
                <w:b/>
                <w:bCs/>
                <w:color w:val="000000"/>
                <w:sz w:val="16"/>
                <w:szCs w:val="16"/>
              </w:rPr>
            </w:pPr>
            <w:r w:rsidRPr="001E2F6E">
              <w:rPr>
                <w:b/>
                <w:bCs/>
                <w:color w:val="000000"/>
                <w:sz w:val="16"/>
                <w:szCs w:val="16"/>
              </w:rPr>
              <w:t>100</w:t>
            </w:r>
          </w:p>
        </w:tc>
      </w:tr>
      <w:tr w:rsidR="00195BE7" w:rsidRPr="001E2F6E" w:rsidTr="00195BE7">
        <w:trPr>
          <w:jc w:val="center"/>
        </w:trPr>
        <w:tc>
          <w:tcPr>
            <w:tcW w:w="932" w:type="pct"/>
            <w:tcBorders>
              <w:top w:val="single" w:sz="4" w:space="0" w:color="BFBFBF" w:themeColor="background1" w:themeShade="BF"/>
              <w:bottom w:val="single" w:sz="4" w:space="0" w:color="BFBFBF" w:themeColor="background1" w:themeShade="BF"/>
            </w:tcBorders>
            <w:shd w:val="clear" w:color="auto" w:fill="FFFFFF" w:themeFill="background1"/>
            <w:vAlign w:val="center"/>
            <w:hideMark/>
          </w:tcPr>
          <w:p w:rsidR="00195BE7" w:rsidRPr="001E2F6E" w:rsidRDefault="00195BE7" w:rsidP="00195BE7">
            <w:pPr>
              <w:spacing w:line="240" w:lineRule="exact"/>
              <w:jc w:val="center"/>
              <w:rPr>
                <w:b/>
                <w:sz w:val="16"/>
                <w:szCs w:val="16"/>
              </w:rPr>
            </w:pPr>
          </w:p>
        </w:tc>
        <w:tc>
          <w:tcPr>
            <w:tcW w:w="1028" w:type="pct"/>
            <w:gridSpan w:val="2"/>
            <w:tcBorders>
              <w:top w:val="single" w:sz="4" w:space="0" w:color="BFBFBF" w:themeColor="background1" w:themeShade="BF"/>
              <w:bottom w:val="single" w:sz="4" w:space="0" w:color="BFBFBF" w:themeColor="background1" w:themeShade="BF"/>
            </w:tcBorders>
            <w:shd w:val="clear" w:color="auto" w:fill="FFFFFF" w:themeFill="background1"/>
            <w:hideMark/>
          </w:tcPr>
          <w:p w:rsidR="00195BE7" w:rsidRPr="001E2F6E" w:rsidRDefault="00195BE7" w:rsidP="00195BE7">
            <w:pPr>
              <w:spacing w:line="240" w:lineRule="exact"/>
              <w:jc w:val="center"/>
              <w:rPr>
                <w:b/>
                <w:bCs/>
                <w:sz w:val="16"/>
                <w:szCs w:val="16"/>
              </w:rPr>
            </w:pPr>
          </w:p>
        </w:tc>
        <w:tc>
          <w:tcPr>
            <w:tcW w:w="1026" w:type="pct"/>
            <w:gridSpan w:val="2"/>
            <w:tcBorders>
              <w:top w:val="single" w:sz="4" w:space="0" w:color="BFBFBF" w:themeColor="background1" w:themeShade="BF"/>
              <w:bottom w:val="single" w:sz="4" w:space="0" w:color="BFBFBF" w:themeColor="background1" w:themeShade="BF"/>
            </w:tcBorders>
            <w:shd w:val="clear" w:color="auto" w:fill="FFFFFF" w:themeFill="background1"/>
            <w:hideMark/>
          </w:tcPr>
          <w:p w:rsidR="00195BE7" w:rsidRPr="001E2F6E" w:rsidRDefault="00195BE7" w:rsidP="00195BE7">
            <w:pPr>
              <w:spacing w:line="240" w:lineRule="exact"/>
              <w:jc w:val="center"/>
              <w:rPr>
                <w:b/>
                <w:bCs/>
                <w:sz w:val="16"/>
                <w:szCs w:val="16"/>
              </w:rPr>
            </w:pPr>
          </w:p>
        </w:tc>
        <w:tc>
          <w:tcPr>
            <w:tcW w:w="1010" w:type="pct"/>
            <w:gridSpan w:val="2"/>
            <w:tcBorders>
              <w:top w:val="single" w:sz="4" w:space="0" w:color="BFBFBF" w:themeColor="background1" w:themeShade="BF"/>
              <w:bottom w:val="single" w:sz="4" w:space="0" w:color="BFBFBF" w:themeColor="background1" w:themeShade="BF"/>
            </w:tcBorders>
            <w:shd w:val="clear" w:color="auto" w:fill="FFFFFF" w:themeFill="background1"/>
            <w:hideMark/>
          </w:tcPr>
          <w:p w:rsidR="00195BE7" w:rsidRPr="001E2F6E" w:rsidRDefault="00195BE7" w:rsidP="00195BE7">
            <w:pPr>
              <w:spacing w:line="240" w:lineRule="exact"/>
              <w:jc w:val="center"/>
              <w:rPr>
                <w:b/>
                <w:bCs/>
                <w:sz w:val="16"/>
                <w:szCs w:val="16"/>
                <w:lang w:val="en-GB"/>
              </w:rPr>
            </w:pPr>
          </w:p>
        </w:tc>
        <w:tc>
          <w:tcPr>
            <w:tcW w:w="1004" w:type="pct"/>
            <w:gridSpan w:val="2"/>
            <w:tcBorders>
              <w:top w:val="single" w:sz="4" w:space="0" w:color="BFBFBF" w:themeColor="background1" w:themeShade="BF"/>
              <w:bottom w:val="single" w:sz="4" w:space="0" w:color="BFBFBF" w:themeColor="background1" w:themeShade="BF"/>
            </w:tcBorders>
            <w:shd w:val="clear" w:color="auto" w:fill="FFFFFF" w:themeFill="background1"/>
            <w:hideMark/>
          </w:tcPr>
          <w:p w:rsidR="00195BE7" w:rsidRPr="001E2F6E" w:rsidRDefault="00195BE7" w:rsidP="00195BE7">
            <w:pPr>
              <w:spacing w:line="240" w:lineRule="exact"/>
              <w:jc w:val="center"/>
              <w:rPr>
                <w:b/>
                <w:bCs/>
                <w:sz w:val="16"/>
                <w:szCs w:val="16"/>
                <w:lang w:val="en-GB"/>
              </w:rPr>
            </w:pPr>
          </w:p>
        </w:tc>
      </w:tr>
      <w:tr w:rsidR="00195BE7" w:rsidRPr="001E2F6E" w:rsidTr="00195BE7">
        <w:trPr>
          <w:jc w:val="center"/>
        </w:trPr>
        <w:tc>
          <w:tcPr>
            <w:tcW w:w="932" w:type="pct"/>
            <w:vMerge w:val="restart"/>
            <w:tcBorders>
              <w:top w:val="single" w:sz="4" w:space="0" w:color="BFBFBF" w:themeColor="background1" w:themeShade="BF"/>
              <w:right w:val="single" w:sz="4" w:space="0" w:color="BFBFBF" w:themeColor="background1" w:themeShade="BF"/>
            </w:tcBorders>
            <w:shd w:val="clear" w:color="auto" w:fill="DBE5F1" w:themeFill="accent1" w:themeFillTint="33"/>
            <w:vAlign w:val="center"/>
            <w:hideMark/>
          </w:tcPr>
          <w:p w:rsidR="00195BE7" w:rsidRPr="001E2F6E" w:rsidRDefault="00195BE7" w:rsidP="00195BE7">
            <w:pPr>
              <w:spacing w:line="240" w:lineRule="exact"/>
              <w:jc w:val="center"/>
              <w:rPr>
                <w:b/>
                <w:sz w:val="16"/>
                <w:szCs w:val="16"/>
              </w:rPr>
            </w:pPr>
            <w:r w:rsidRPr="001E2F6E">
              <w:rPr>
                <w:b/>
                <w:sz w:val="16"/>
                <w:szCs w:val="16"/>
              </w:rPr>
              <w:t>ARABA</w:t>
            </w:r>
          </w:p>
        </w:tc>
        <w:tc>
          <w:tcPr>
            <w:tcW w:w="1028"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hideMark/>
          </w:tcPr>
          <w:p w:rsidR="00195BE7" w:rsidRPr="001E2F6E" w:rsidRDefault="00195BE7" w:rsidP="00195BE7">
            <w:pPr>
              <w:spacing w:line="240" w:lineRule="exact"/>
              <w:jc w:val="center"/>
              <w:rPr>
                <w:b/>
                <w:bCs/>
                <w:sz w:val="16"/>
                <w:szCs w:val="16"/>
              </w:rPr>
            </w:pPr>
            <w:r w:rsidRPr="001E2F6E">
              <w:rPr>
                <w:b/>
                <w:bCs/>
                <w:sz w:val="16"/>
                <w:szCs w:val="16"/>
              </w:rPr>
              <w:t>GUZTIRA</w:t>
            </w:r>
          </w:p>
        </w:tc>
        <w:tc>
          <w:tcPr>
            <w:tcW w:w="1026"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hideMark/>
          </w:tcPr>
          <w:p w:rsidR="00195BE7" w:rsidRPr="001E2F6E" w:rsidRDefault="00195BE7" w:rsidP="00195BE7">
            <w:pPr>
              <w:spacing w:line="240" w:lineRule="exact"/>
              <w:jc w:val="center"/>
              <w:rPr>
                <w:b/>
                <w:bCs/>
                <w:sz w:val="16"/>
                <w:szCs w:val="16"/>
              </w:rPr>
            </w:pPr>
            <w:r w:rsidRPr="001E2F6E">
              <w:rPr>
                <w:b/>
                <w:bCs/>
                <w:sz w:val="16"/>
                <w:szCs w:val="16"/>
              </w:rPr>
              <w:t>Koop.</w:t>
            </w:r>
          </w:p>
        </w:tc>
        <w:tc>
          <w:tcPr>
            <w:tcW w:w="1010"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hideMark/>
          </w:tcPr>
          <w:p w:rsidR="00195BE7" w:rsidRPr="001E2F6E" w:rsidRDefault="00195BE7" w:rsidP="00195BE7">
            <w:pPr>
              <w:spacing w:line="240" w:lineRule="exact"/>
              <w:jc w:val="center"/>
              <w:rPr>
                <w:b/>
                <w:bCs/>
                <w:sz w:val="16"/>
                <w:szCs w:val="16"/>
              </w:rPr>
            </w:pPr>
            <w:r w:rsidRPr="001E2F6E">
              <w:rPr>
                <w:b/>
                <w:bCs/>
                <w:sz w:val="16"/>
                <w:szCs w:val="16"/>
                <w:lang w:val="en-GB"/>
              </w:rPr>
              <w:t>LSA</w:t>
            </w:r>
          </w:p>
        </w:tc>
        <w:tc>
          <w:tcPr>
            <w:tcW w:w="1004" w:type="pct"/>
            <w:gridSpan w:val="2"/>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hideMark/>
          </w:tcPr>
          <w:p w:rsidR="00195BE7" w:rsidRPr="001E2F6E" w:rsidRDefault="00195BE7" w:rsidP="00195BE7">
            <w:pPr>
              <w:spacing w:line="240" w:lineRule="exact"/>
              <w:jc w:val="center"/>
              <w:rPr>
                <w:b/>
                <w:bCs/>
                <w:sz w:val="16"/>
                <w:szCs w:val="16"/>
              </w:rPr>
            </w:pPr>
            <w:r w:rsidRPr="001E2F6E">
              <w:rPr>
                <w:b/>
                <w:bCs/>
                <w:sz w:val="16"/>
                <w:szCs w:val="16"/>
                <w:lang w:val="en-GB"/>
              </w:rPr>
              <w:t>LSM</w:t>
            </w:r>
          </w:p>
        </w:tc>
      </w:tr>
      <w:tr w:rsidR="00195BE7" w:rsidRPr="001E2F6E" w:rsidTr="00195BE7">
        <w:trPr>
          <w:jc w:val="center"/>
        </w:trPr>
        <w:tc>
          <w:tcPr>
            <w:tcW w:w="932" w:type="pct"/>
            <w:vMerge/>
            <w:tcBorders>
              <w:bottom w:val="single" w:sz="4" w:space="0" w:color="BFBFBF" w:themeColor="background1" w:themeShade="BF"/>
              <w:right w:val="single" w:sz="4" w:space="0" w:color="BFBFBF" w:themeColor="background1" w:themeShade="BF"/>
            </w:tcBorders>
            <w:shd w:val="clear" w:color="auto" w:fill="DBE5F1" w:themeFill="accent1" w:themeFillTint="33"/>
            <w:hideMark/>
          </w:tcPr>
          <w:p w:rsidR="00195BE7" w:rsidRPr="001E2F6E" w:rsidRDefault="00195BE7" w:rsidP="00195BE7">
            <w:pPr>
              <w:spacing w:line="240" w:lineRule="exact"/>
              <w:rPr>
                <w:sz w:val="16"/>
                <w:szCs w:val="16"/>
              </w:rPr>
            </w:pPr>
          </w:p>
        </w:tc>
        <w:tc>
          <w:tcPr>
            <w:tcW w:w="520"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hideMark/>
          </w:tcPr>
          <w:p w:rsidR="00195BE7" w:rsidRPr="001E2F6E" w:rsidRDefault="00195BE7" w:rsidP="00195BE7">
            <w:pPr>
              <w:spacing w:line="240" w:lineRule="exact"/>
              <w:jc w:val="center"/>
              <w:rPr>
                <w:b/>
                <w:bCs/>
                <w:sz w:val="16"/>
                <w:szCs w:val="16"/>
              </w:rPr>
            </w:pPr>
            <w:r w:rsidRPr="001E2F6E">
              <w:rPr>
                <w:b/>
                <w:bCs/>
                <w:sz w:val="16"/>
                <w:szCs w:val="16"/>
              </w:rPr>
              <w:t>z.a.</w:t>
            </w:r>
          </w:p>
        </w:tc>
        <w:tc>
          <w:tcPr>
            <w:tcW w:w="508"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hideMark/>
          </w:tcPr>
          <w:p w:rsidR="00195BE7" w:rsidRPr="001E2F6E" w:rsidRDefault="00195BE7" w:rsidP="00195BE7">
            <w:pPr>
              <w:spacing w:line="240" w:lineRule="exact"/>
              <w:jc w:val="center"/>
              <w:rPr>
                <w:b/>
                <w:bCs/>
                <w:sz w:val="16"/>
                <w:szCs w:val="16"/>
              </w:rPr>
            </w:pPr>
            <w:r w:rsidRPr="001E2F6E">
              <w:rPr>
                <w:b/>
                <w:bCs/>
                <w:sz w:val="16"/>
                <w:szCs w:val="16"/>
              </w:rPr>
              <w:t>%ber.</w:t>
            </w:r>
          </w:p>
        </w:tc>
        <w:tc>
          <w:tcPr>
            <w:tcW w:w="520"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hideMark/>
          </w:tcPr>
          <w:p w:rsidR="00195BE7" w:rsidRPr="001E2F6E" w:rsidRDefault="00195BE7" w:rsidP="00195BE7">
            <w:pPr>
              <w:spacing w:line="240" w:lineRule="exact"/>
              <w:jc w:val="center"/>
              <w:rPr>
                <w:b/>
                <w:bCs/>
                <w:sz w:val="16"/>
                <w:szCs w:val="16"/>
              </w:rPr>
            </w:pPr>
            <w:r w:rsidRPr="001E2F6E">
              <w:rPr>
                <w:b/>
                <w:bCs/>
                <w:sz w:val="16"/>
                <w:szCs w:val="16"/>
              </w:rPr>
              <w:t>z.a.</w:t>
            </w:r>
          </w:p>
        </w:tc>
        <w:tc>
          <w:tcPr>
            <w:tcW w:w="506"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hideMark/>
          </w:tcPr>
          <w:p w:rsidR="00195BE7" w:rsidRPr="001E2F6E" w:rsidRDefault="00195BE7" w:rsidP="00195BE7">
            <w:pPr>
              <w:spacing w:line="240" w:lineRule="exact"/>
              <w:jc w:val="center"/>
              <w:rPr>
                <w:b/>
                <w:bCs/>
                <w:sz w:val="16"/>
                <w:szCs w:val="16"/>
              </w:rPr>
            </w:pPr>
            <w:r w:rsidRPr="001E2F6E">
              <w:rPr>
                <w:b/>
                <w:bCs/>
                <w:sz w:val="16"/>
                <w:szCs w:val="16"/>
              </w:rPr>
              <w:t>%ber.</w:t>
            </w:r>
          </w:p>
        </w:tc>
        <w:tc>
          <w:tcPr>
            <w:tcW w:w="505"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hideMark/>
          </w:tcPr>
          <w:p w:rsidR="00195BE7" w:rsidRPr="001E2F6E" w:rsidRDefault="00195BE7" w:rsidP="00195BE7">
            <w:pPr>
              <w:spacing w:line="240" w:lineRule="exact"/>
              <w:jc w:val="center"/>
              <w:rPr>
                <w:b/>
                <w:bCs/>
                <w:sz w:val="16"/>
                <w:szCs w:val="16"/>
              </w:rPr>
            </w:pPr>
            <w:r w:rsidRPr="001E2F6E">
              <w:rPr>
                <w:b/>
                <w:bCs/>
                <w:sz w:val="16"/>
                <w:szCs w:val="16"/>
              </w:rPr>
              <w:t>z.a.</w:t>
            </w:r>
          </w:p>
        </w:tc>
        <w:tc>
          <w:tcPr>
            <w:tcW w:w="505"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hideMark/>
          </w:tcPr>
          <w:p w:rsidR="00195BE7" w:rsidRPr="001E2F6E" w:rsidRDefault="00195BE7" w:rsidP="00195BE7">
            <w:pPr>
              <w:spacing w:line="240" w:lineRule="exact"/>
              <w:jc w:val="center"/>
              <w:rPr>
                <w:b/>
                <w:bCs/>
                <w:sz w:val="16"/>
                <w:szCs w:val="16"/>
              </w:rPr>
            </w:pPr>
            <w:r w:rsidRPr="001E2F6E">
              <w:rPr>
                <w:b/>
                <w:bCs/>
                <w:sz w:val="16"/>
                <w:szCs w:val="16"/>
              </w:rPr>
              <w:t>%ber.</w:t>
            </w:r>
          </w:p>
        </w:tc>
        <w:tc>
          <w:tcPr>
            <w:tcW w:w="505"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hideMark/>
          </w:tcPr>
          <w:p w:rsidR="00195BE7" w:rsidRPr="001E2F6E" w:rsidRDefault="00195BE7" w:rsidP="00195BE7">
            <w:pPr>
              <w:spacing w:line="240" w:lineRule="exact"/>
              <w:jc w:val="center"/>
              <w:rPr>
                <w:b/>
                <w:bCs/>
                <w:sz w:val="16"/>
                <w:szCs w:val="16"/>
              </w:rPr>
            </w:pPr>
            <w:r w:rsidRPr="001E2F6E">
              <w:rPr>
                <w:b/>
                <w:bCs/>
                <w:sz w:val="16"/>
                <w:szCs w:val="16"/>
              </w:rPr>
              <w:t>z.a.</w:t>
            </w:r>
          </w:p>
        </w:tc>
        <w:tc>
          <w:tcPr>
            <w:tcW w:w="499" w:type="pct"/>
            <w:tcBorders>
              <w:top w:val="single" w:sz="4" w:space="0" w:color="BFBFBF" w:themeColor="background1" w:themeShade="BF"/>
              <w:bottom w:val="single" w:sz="4" w:space="0" w:color="BFBFBF" w:themeColor="background1" w:themeShade="BF"/>
            </w:tcBorders>
            <w:shd w:val="clear" w:color="auto" w:fill="DBE5F1" w:themeFill="accent1" w:themeFillTint="33"/>
            <w:hideMark/>
          </w:tcPr>
          <w:p w:rsidR="00195BE7" w:rsidRPr="001E2F6E" w:rsidRDefault="00195BE7" w:rsidP="00195BE7">
            <w:pPr>
              <w:spacing w:line="240" w:lineRule="exact"/>
              <w:jc w:val="center"/>
              <w:rPr>
                <w:b/>
                <w:bCs/>
                <w:sz w:val="16"/>
                <w:szCs w:val="16"/>
              </w:rPr>
            </w:pPr>
            <w:r w:rsidRPr="001E2F6E">
              <w:rPr>
                <w:b/>
                <w:bCs/>
                <w:sz w:val="16"/>
                <w:szCs w:val="16"/>
              </w:rPr>
              <w:t>%ber.</w:t>
            </w:r>
          </w:p>
        </w:tc>
      </w:tr>
      <w:tr w:rsidR="00195BE7" w:rsidRPr="001E2F6E" w:rsidTr="00195BE7">
        <w:trPr>
          <w:jc w:val="center"/>
        </w:trPr>
        <w:tc>
          <w:tcPr>
            <w:tcW w:w="932" w:type="pct"/>
            <w:tcBorders>
              <w:top w:val="single" w:sz="4" w:space="0" w:color="BFBFBF" w:themeColor="background1" w:themeShade="BF"/>
              <w:right w:val="single" w:sz="4" w:space="0" w:color="BFBFBF" w:themeColor="background1" w:themeShade="BF"/>
            </w:tcBorders>
            <w:vAlign w:val="bottom"/>
            <w:hideMark/>
          </w:tcPr>
          <w:p w:rsidR="00195BE7" w:rsidRPr="001E2F6E" w:rsidRDefault="00195BE7" w:rsidP="00195BE7">
            <w:pPr>
              <w:spacing w:line="240" w:lineRule="exact"/>
              <w:rPr>
                <w:sz w:val="16"/>
                <w:szCs w:val="16"/>
                <w:lang w:val="eu-ES"/>
              </w:rPr>
            </w:pPr>
            <w:r w:rsidRPr="001E2F6E">
              <w:rPr>
                <w:sz w:val="16"/>
                <w:szCs w:val="16"/>
                <w:lang w:val="eu-ES"/>
              </w:rPr>
              <w:t>Lehen sektorea</w:t>
            </w:r>
          </w:p>
        </w:tc>
        <w:tc>
          <w:tcPr>
            <w:tcW w:w="520" w:type="pct"/>
            <w:tcBorders>
              <w:top w:val="single" w:sz="4" w:space="0" w:color="BFBFBF" w:themeColor="background1" w:themeShade="BF"/>
              <w:left w:val="single" w:sz="4" w:space="0" w:color="BFBFBF" w:themeColor="background1" w:themeShade="BF"/>
            </w:tcBorders>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57</w:t>
            </w:r>
          </w:p>
        </w:tc>
        <w:tc>
          <w:tcPr>
            <w:tcW w:w="508" w:type="pct"/>
            <w:tcBorders>
              <w:top w:val="single" w:sz="4" w:space="0" w:color="BFBFBF" w:themeColor="background1" w:themeShade="BF"/>
              <w:right w:val="single" w:sz="4" w:space="0" w:color="BFBFBF" w:themeColor="background1" w:themeShade="BF"/>
            </w:tcBorders>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1,0</w:t>
            </w:r>
          </w:p>
        </w:tc>
        <w:tc>
          <w:tcPr>
            <w:tcW w:w="520" w:type="pct"/>
            <w:tcBorders>
              <w:top w:val="single" w:sz="4" w:space="0" w:color="BFBFBF" w:themeColor="background1" w:themeShade="BF"/>
              <w:left w:val="single" w:sz="4" w:space="0" w:color="BFBFBF" w:themeColor="background1" w:themeShade="BF"/>
            </w:tcBorders>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57</w:t>
            </w:r>
          </w:p>
        </w:tc>
        <w:tc>
          <w:tcPr>
            <w:tcW w:w="506" w:type="pct"/>
            <w:tcBorders>
              <w:top w:val="single" w:sz="4" w:space="0" w:color="BFBFBF" w:themeColor="background1" w:themeShade="BF"/>
              <w:right w:val="single" w:sz="4" w:space="0" w:color="BFBFBF" w:themeColor="background1" w:themeShade="BF"/>
            </w:tcBorders>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1,1</w:t>
            </w:r>
          </w:p>
        </w:tc>
        <w:tc>
          <w:tcPr>
            <w:tcW w:w="505" w:type="pct"/>
            <w:tcBorders>
              <w:top w:val="single" w:sz="4" w:space="0" w:color="BFBFBF" w:themeColor="background1" w:themeShade="BF"/>
              <w:left w:val="single" w:sz="4" w:space="0" w:color="BFBFBF" w:themeColor="background1" w:themeShade="BF"/>
            </w:tcBorders>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0</w:t>
            </w:r>
          </w:p>
        </w:tc>
        <w:tc>
          <w:tcPr>
            <w:tcW w:w="505" w:type="pct"/>
            <w:tcBorders>
              <w:top w:val="single" w:sz="4" w:space="0" w:color="BFBFBF" w:themeColor="background1" w:themeShade="BF"/>
              <w:right w:val="single" w:sz="4" w:space="0" w:color="BFBFBF" w:themeColor="background1" w:themeShade="BF"/>
            </w:tcBorders>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0,0</w:t>
            </w:r>
          </w:p>
        </w:tc>
        <w:tc>
          <w:tcPr>
            <w:tcW w:w="505" w:type="pct"/>
            <w:tcBorders>
              <w:top w:val="single" w:sz="4" w:space="0" w:color="BFBFBF" w:themeColor="background1" w:themeShade="BF"/>
              <w:left w:val="single" w:sz="4" w:space="0" w:color="BFBFBF" w:themeColor="background1" w:themeShade="BF"/>
            </w:tcBorders>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0</w:t>
            </w:r>
          </w:p>
        </w:tc>
        <w:tc>
          <w:tcPr>
            <w:tcW w:w="499" w:type="pct"/>
            <w:tcBorders>
              <w:top w:val="single" w:sz="4" w:space="0" w:color="BFBFBF" w:themeColor="background1" w:themeShade="BF"/>
            </w:tcBorders>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0,0</w:t>
            </w:r>
          </w:p>
        </w:tc>
      </w:tr>
      <w:tr w:rsidR="00195BE7" w:rsidRPr="001E2F6E" w:rsidTr="00195BE7">
        <w:trPr>
          <w:jc w:val="center"/>
        </w:trPr>
        <w:tc>
          <w:tcPr>
            <w:tcW w:w="932" w:type="pct"/>
            <w:tcBorders>
              <w:right w:val="single" w:sz="4" w:space="0" w:color="BFBFBF" w:themeColor="background1" w:themeShade="BF"/>
            </w:tcBorders>
            <w:vAlign w:val="bottom"/>
            <w:hideMark/>
          </w:tcPr>
          <w:p w:rsidR="00195BE7" w:rsidRPr="001E2F6E" w:rsidRDefault="00195BE7" w:rsidP="00195BE7">
            <w:pPr>
              <w:spacing w:line="240" w:lineRule="exact"/>
              <w:rPr>
                <w:sz w:val="16"/>
                <w:szCs w:val="16"/>
                <w:lang w:val="eu-ES"/>
              </w:rPr>
            </w:pPr>
            <w:r w:rsidRPr="001E2F6E">
              <w:rPr>
                <w:sz w:val="16"/>
                <w:szCs w:val="16"/>
                <w:lang w:val="eu-ES"/>
              </w:rPr>
              <w:t>Industria</w:t>
            </w:r>
          </w:p>
        </w:tc>
        <w:tc>
          <w:tcPr>
            <w:tcW w:w="520" w:type="pct"/>
            <w:tcBorders>
              <w:left w:val="single" w:sz="4" w:space="0" w:color="BFBFBF" w:themeColor="background1" w:themeShade="BF"/>
            </w:tcBorders>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2.258</w:t>
            </w:r>
          </w:p>
        </w:tc>
        <w:tc>
          <w:tcPr>
            <w:tcW w:w="508" w:type="pct"/>
            <w:tcBorders>
              <w:right w:val="single" w:sz="4" w:space="0" w:color="BFBFBF" w:themeColor="background1" w:themeShade="BF"/>
            </w:tcBorders>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38,6</w:t>
            </w:r>
          </w:p>
        </w:tc>
        <w:tc>
          <w:tcPr>
            <w:tcW w:w="520" w:type="pct"/>
            <w:tcBorders>
              <w:left w:val="single" w:sz="4" w:space="0" w:color="BFBFBF" w:themeColor="background1" w:themeShade="BF"/>
            </w:tcBorders>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1.707</w:t>
            </w:r>
          </w:p>
        </w:tc>
        <w:tc>
          <w:tcPr>
            <w:tcW w:w="506" w:type="pct"/>
            <w:tcBorders>
              <w:right w:val="single" w:sz="4" w:space="0" w:color="BFBFBF" w:themeColor="background1" w:themeShade="BF"/>
            </w:tcBorders>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34,3</w:t>
            </w:r>
          </w:p>
        </w:tc>
        <w:tc>
          <w:tcPr>
            <w:tcW w:w="505" w:type="pct"/>
            <w:tcBorders>
              <w:left w:val="single" w:sz="4" w:space="0" w:color="BFBFBF" w:themeColor="background1" w:themeShade="BF"/>
            </w:tcBorders>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382</w:t>
            </w:r>
          </w:p>
        </w:tc>
        <w:tc>
          <w:tcPr>
            <w:tcW w:w="505" w:type="pct"/>
            <w:tcBorders>
              <w:right w:val="single" w:sz="4" w:space="0" w:color="BFBFBF" w:themeColor="background1" w:themeShade="BF"/>
            </w:tcBorders>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80,3</w:t>
            </w:r>
          </w:p>
        </w:tc>
        <w:tc>
          <w:tcPr>
            <w:tcW w:w="505" w:type="pct"/>
            <w:tcBorders>
              <w:left w:val="single" w:sz="4" w:space="0" w:color="BFBFBF" w:themeColor="background1" w:themeShade="BF"/>
            </w:tcBorders>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169</w:t>
            </w:r>
          </w:p>
        </w:tc>
        <w:tc>
          <w:tcPr>
            <w:tcW w:w="499" w:type="pct"/>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43,7</w:t>
            </w:r>
          </w:p>
        </w:tc>
      </w:tr>
      <w:tr w:rsidR="00195BE7" w:rsidRPr="001E2F6E" w:rsidTr="00195BE7">
        <w:trPr>
          <w:jc w:val="center"/>
        </w:trPr>
        <w:tc>
          <w:tcPr>
            <w:tcW w:w="932" w:type="pct"/>
            <w:tcBorders>
              <w:right w:val="single" w:sz="4" w:space="0" w:color="BFBFBF" w:themeColor="background1" w:themeShade="BF"/>
            </w:tcBorders>
            <w:vAlign w:val="bottom"/>
            <w:hideMark/>
          </w:tcPr>
          <w:p w:rsidR="00195BE7" w:rsidRPr="001E2F6E" w:rsidRDefault="00195BE7" w:rsidP="00195BE7">
            <w:pPr>
              <w:spacing w:line="240" w:lineRule="exact"/>
              <w:rPr>
                <w:sz w:val="16"/>
                <w:szCs w:val="16"/>
                <w:lang w:val="eu-ES"/>
              </w:rPr>
            </w:pPr>
            <w:r w:rsidRPr="001E2F6E">
              <w:rPr>
                <w:sz w:val="16"/>
                <w:szCs w:val="16"/>
                <w:lang w:val="eu-ES"/>
              </w:rPr>
              <w:t>Eraikuntza</w:t>
            </w:r>
          </w:p>
        </w:tc>
        <w:tc>
          <w:tcPr>
            <w:tcW w:w="520" w:type="pct"/>
            <w:tcBorders>
              <w:left w:val="single" w:sz="4" w:space="0" w:color="BFBFBF" w:themeColor="background1" w:themeShade="BF"/>
            </w:tcBorders>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313</w:t>
            </w:r>
          </w:p>
        </w:tc>
        <w:tc>
          <w:tcPr>
            <w:tcW w:w="508" w:type="pct"/>
            <w:tcBorders>
              <w:right w:val="single" w:sz="4" w:space="0" w:color="BFBFBF" w:themeColor="background1" w:themeShade="BF"/>
            </w:tcBorders>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5,4</w:t>
            </w:r>
          </w:p>
        </w:tc>
        <w:tc>
          <w:tcPr>
            <w:tcW w:w="520" w:type="pct"/>
            <w:tcBorders>
              <w:left w:val="single" w:sz="4" w:space="0" w:color="BFBFBF" w:themeColor="background1" w:themeShade="BF"/>
            </w:tcBorders>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245</w:t>
            </w:r>
          </w:p>
        </w:tc>
        <w:tc>
          <w:tcPr>
            <w:tcW w:w="506" w:type="pct"/>
            <w:tcBorders>
              <w:right w:val="single" w:sz="4" w:space="0" w:color="BFBFBF" w:themeColor="background1" w:themeShade="BF"/>
            </w:tcBorders>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4,9</w:t>
            </w:r>
          </w:p>
        </w:tc>
        <w:tc>
          <w:tcPr>
            <w:tcW w:w="505" w:type="pct"/>
            <w:tcBorders>
              <w:left w:val="single" w:sz="4" w:space="0" w:color="BFBFBF" w:themeColor="background1" w:themeShade="BF"/>
            </w:tcBorders>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24</w:t>
            </w:r>
          </w:p>
        </w:tc>
        <w:tc>
          <w:tcPr>
            <w:tcW w:w="505" w:type="pct"/>
            <w:tcBorders>
              <w:right w:val="single" w:sz="4" w:space="0" w:color="BFBFBF" w:themeColor="background1" w:themeShade="BF"/>
            </w:tcBorders>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5,0</w:t>
            </w:r>
          </w:p>
        </w:tc>
        <w:tc>
          <w:tcPr>
            <w:tcW w:w="505" w:type="pct"/>
            <w:tcBorders>
              <w:left w:val="single" w:sz="4" w:space="0" w:color="BFBFBF" w:themeColor="background1" w:themeShade="BF"/>
            </w:tcBorders>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44</w:t>
            </w:r>
          </w:p>
        </w:tc>
        <w:tc>
          <w:tcPr>
            <w:tcW w:w="499" w:type="pct"/>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11,4</w:t>
            </w:r>
          </w:p>
        </w:tc>
      </w:tr>
      <w:tr w:rsidR="00195BE7" w:rsidRPr="001E2F6E" w:rsidTr="00195BE7">
        <w:trPr>
          <w:jc w:val="center"/>
        </w:trPr>
        <w:tc>
          <w:tcPr>
            <w:tcW w:w="932" w:type="pct"/>
            <w:tcBorders>
              <w:bottom w:val="single" w:sz="4" w:space="0" w:color="BFBFBF" w:themeColor="background1" w:themeShade="BF"/>
              <w:right w:val="single" w:sz="4" w:space="0" w:color="BFBFBF" w:themeColor="background1" w:themeShade="BF"/>
            </w:tcBorders>
            <w:vAlign w:val="bottom"/>
            <w:hideMark/>
          </w:tcPr>
          <w:p w:rsidR="00195BE7" w:rsidRPr="001E2F6E" w:rsidRDefault="00195BE7" w:rsidP="00195BE7">
            <w:pPr>
              <w:spacing w:line="240" w:lineRule="exact"/>
              <w:rPr>
                <w:sz w:val="16"/>
                <w:szCs w:val="16"/>
                <w:lang w:val="eu-ES"/>
              </w:rPr>
            </w:pPr>
            <w:r w:rsidRPr="001E2F6E">
              <w:rPr>
                <w:sz w:val="16"/>
                <w:szCs w:val="16"/>
                <w:lang w:val="eu-ES"/>
              </w:rPr>
              <w:t>Zerbitzuak</w:t>
            </w:r>
          </w:p>
        </w:tc>
        <w:tc>
          <w:tcPr>
            <w:tcW w:w="520" w:type="pct"/>
            <w:tcBorders>
              <w:left w:val="single" w:sz="4" w:space="0" w:color="BFBFBF" w:themeColor="background1" w:themeShade="BF"/>
              <w:bottom w:val="single" w:sz="4" w:space="0" w:color="BFBFBF" w:themeColor="background1" w:themeShade="BF"/>
            </w:tcBorders>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3.218</w:t>
            </w:r>
          </w:p>
        </w:tc>
        <w:tc>
          <w:tcPr>
            <w:tcW w:w="508" w:type="pct"/>
            <w:tcBorders>
              <w:bottom w:val="single" w:sz="4" w:space="0" w:color="BFBFBF" w:themeColor="background1" w:themeShade="BF"/>
              <w:right w:val="single" w:sz="4" w:space="0" w:color="BFBFBF" w:themeColor="background1" w:themeShade="BF"/>
            </w:tcBorders>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55,0</w:t>
            </w:r>
          </w:p>
        </w:tc>
        <w:tc>
          <w:tcPr>
            <w:tcW w:w="520" w:type="pct"/>
            <w:tcBorders>
              <w:left w:val="single" w:sz="4" w:space="0" w:color="BFBFBF" w:themeColor="background1" w:themeShade="BF"/>
              <w:bottom w:val="single" w:sz="4" w:space="0" w:color="BFBFBF" w:themeColor="background1" w:themeShade="BF"/>
            </w:tcBorders>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2.974</w:t>
            </w:r>
          </w:p>
        </w:tc>
        <w:tc>
          <w:tcPr>
            <w:tcW w:w="506" w:type="pct"/>
            <w:tcBorders>
              <w:bottom w:val="single" w:sz="4" w:space="0" w:color="BFBFBF" w:themeColor="background1" w:themeShade="BF"/>
              <w:right w:val="single" w:sz="4" w:space="0" w:color="BFBFBF" w:themeColor="background1" w:themeShade="BF"/>
            </w:tcBorders>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59,7</w:t>
            </w:r>
          </w:p>
        </w:tc>
        <w:tc>
          <w:tcPr>
            <w:tcW w:w="505" w:type="pct"/>
            <w:tcBorders>
              <w:left w:val="single" w:sz="4" w:space="0" w:color="BFBFBF" w:themeColor="background1" w:themeShade="BF"/>
              <w:bottom w:val="single" w:sz="4" w:space="0" w:color="BFBFBF" w:themeColor="background1" w:themeShade="BF"/>
            </w:tcBorders>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70</w:t>
            </w:r>
          </w:p>
        </w:tc>
        <w:tc>
          <w:tcPr>
            <w:tcW w:w="505" w:type="pct"/>
            <w:tcBorders>
              <w:bottom w:val="single" w:sz="4" w:space="0" w:color="BFBFBF" w:themeColor="background1" w:themeShade="BF"/>
              <w:right w:val="single" w:sz="4" w:space="0" w:color="BFBFBF" w:themeColor="background1" w:themeShade="BF"/>
            </w:tcBorders>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14,7</w:t>
            </w:r>
          </w:p>
        </w:tc>
        <w:tc>
          <w:tcPr>
            <w:tcW w:w="505" w:type="pct"/>
            <w:tcBorders>
              <w:left w:val="single" w:sz="4" w:space="0" w:color="BFBFBF" w:themeColor="background1" w:themeShade="BF"/>
              <w:bottom w:val="single" w:sz="4" w:space="0" w:color="BFBFBF" w:themeColor="background1" w:themeShade="BF"/>
            </w:tcBorders>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174</w:t>
            </w:r>
          </w:p>
        </w:tc>
        <w:tc>
          <w:tcPr>
            <w:tcW w:w="499" w:type="pct"/>
            <w:tcBorders>
              <w:bottom w:val="single" w:sz="4" w:space="0" w:color="BFBFBF" w:themeColor="background1" w:themeShade="BF"/>
            </w:tcBorders>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45,0</w:t>
            </w:r>
          </w:p>
        </w:tc>
      </w:tr>
      <w:tr w:rsidR="00195BE7" w:rsidRPr="001E2F6E" w:rsidTr="00195BE7">
        <w:trPr>
          <w:jc w:val="center"/>
        </w:trPr>
        <w:tc>
          <w:tcPr>
            <w:tcW w:w="932" w:type="pct"/>
            <w:tcBorders>
              <w:top w:val="single" w:sz="4" w:space="0" w:color="BFBFBF" w:themeColor="background1" w:themeShade="BF"/>
              <w:bottom w:val="single" w:sz="4" w:space="0" w:color="BFBFBF" w:themeColor="background1" w:themeShade="BF"/>
              <w:right w:val="single" w:sz="4" w:space="0" w:color="BFBFBF" w:themeColor="background1" w:themeShade="BF"/>
            </w:tcBorders>
            <w:vAlign w:val="bottom"/>
            <w:hideMark/>
          </w:tcPr>
          <w:p w:rsidR="00195BE7" w:rsidRPr="001E2F6E" w:rsidRDefault="00195BE7" w:rsidP="00195BE7">
            <w:pPr>
              <w:spacing w:line="240" w:lineRule="exact"/>
              <w:rPr>
                <w:b/>
                <w:bCs/>
                <w:sz w:val="16"/>
                <w:szCs w:val="16"/>
                <w:lang w:val="eu-ES"/>
              </w:rPr>
            </w:pPr>
            <w:r w:rsidRPr="001E2F6E">
              <w:rPr>
                <w:b/>
                <w:bCs/>
                <w:sz w:val="16"/>
                <w:szCs w:val="16"/>
                <w:lang w:val="eu-ES"/>
              </w:rPr>
              <w:t>GUZTIRA</w:t>
            </w:r>
          </w:p>
        </w:tc>
        <w:tc>
          <w:tcPr>
            <w:tcW w:w="520" w:type="pct"/>
            <w:tcBorders>
              <w:top w:val="single" w:sz="4" w:space="0" w:color="BFBFBF" w:themeColor="background1" w:themeShade="BF"/>
              <w:left w:val="single" w:sz="4" w:space="0" w:color="BFBFBF" w:themeColor="background1" w:themeShade="BF"/>
              <w:bottom w:val="single" w:sz="4" w:space="0" w:color="BFBFBF" w:themeColor="background1" w:themeShade="BF"/>
            </w:tcBorders>
            <w:hideMark/>
          </w:tcPr>
          <w:p w:rsidR="00195BE7" w:rsidRPr="001E2F6E" w:rsidRDefault="00195BE7" w:rsidP="00195BE7">
            <w:pPr>
              <w:spacing w:line="240" w:lineRule="exact"/>
              <w:ind w:right="170"/>
              <w:jc w:val="right"/>
              <w:rPr>
                <w:b/>
                <w:bCs/>
                <w:color w:val="000000"/>
                <w:sz w:val="16"/>
                <w:szCs w:val="16"/>
              </w:rPr>
            </w:pPr>
            <w:r w:rsidRPr="001E2F6E">
              <w:rPr>
                <w:b/>
                <w:bCs/>
                <w:color w:val="000000"/>
                <w:sz w:val="16"/>
                <w:szCs w:val="16"/>
              </w:rPr>
              <w:t>5.846</w:t>
            </w:r>
          </w:p>
        </w:tc>
        <w:tc>
          <w:tcPr>
            <w:tcW w:w="508" w:type="pct"/>
            <w:tcBorders>
              <w:top w:val="single" w:sz="4" w:space="0" w:color="BFBFBF" w:themeColor="background1" w:themeShade="BF"/>
              <w:bottom w:val="single" w:sz="4" w:space="0" w:color="BFBFBF" w:themeColor="background1" w:themeShade="BF"/>
              <w:right w:val="single" w:sz="4" w:space="0" w:color="BFBFBF" w:themeColor="background1" w:themeShade="BF"/>
            </w:tcBorders>
            <w:hideMark/>
          </w:tcPr>
          <w:p w:rsidR="00195BE7" w:rsidRPr="001E2F6E" w:rsidRDefault="00195BE7" w:rsidP="00195BE7">
            <w:pPr>
              <w:spacing w:line="240" w:lineRule="exact"/>
              <w:ind w:right="170"/>
              <w:jc w:val="right"/>
              <w:rPr>
                <w:b/>
                <w:bCs/>
                <w:color w:val="000000"/>
                <w:sz w:val="16"/>
                <w:szCs w:val="16"/>
              </w:rPr>
            </w:pPr>
            <w:r w:rsidRPr="001E2F6E">
              <w:rPr>
                <w:b/>
                <w:bCs/>
                <w:color w:val="000000"/>
                <w:sz w:val="16"/>
                <w:szCs w:val="16"/>
              </w:rPr>
              <w:t>100</w:t>
            </w:r>
          </w:p>
        </w:tc>
        <w:tc>
          <w:tcPr>
            <w:tcW w:w="520" w:type="pct"/>
            <w:tcBorders>
              <w:top w:val="single" w:sz="4" w:space="0" w:color="BFBFBF" w:themeColor="background1" w:themeShade="BF"/>
              <w:left w:val="single" w:sz="4" w:space="0" w:color="BFBFBF" w:themeColor="background1" w:themeShade="BF"/>
              <w:bottom w:val="single" w:sz="4" w:space="0" w:color="BFBFBF" w:themeColor="background1" w:themeShade="BF"/>
            </w:tcBorders>
            <w:hideMark/>
          </w:tcPr>
          <w:p w:rsidR="00195BE7" w:rsidRPr="001E2F6E" w:rsidRDefault="00195BE7" w:rsidP="00195BE7">
            <w:pPr>
              <w:spacing w:line="240" w:lineRule="exact"/>
              <w:ind w:right="170"/>
              <w:jc w:val="right"/>
              <w:rPr>
                <w:b/>
                <w:bCs/>
                <w:color w:val="000000"/>
                <w:sz w:val="16"/>
                <w:szCs w:val="16"/>
              </w:rPr>
            </w:pPr>
            <w:r w:rsidRPr="001E2F6E">
              <w:rPr>
                <w:b/>
                <w:bCs/>
                <w:color w:val="000000"/>
                <w:sz w:val="16"/>
                <w:szCs w:val="16"/>
              </w:rPr>
              <w:t>4.983</w:t>
            </w:r>
          </w:p>
        </w:tc>
        <w:tc>
          <w:tcPr>
            <w:tcW w:w="506" w:type="pct"/>
            <w:tcBorders>
              <w:top w:val="single" w:sz="4" w:space="0" w:color="BFBFBF" w:themeColor="background1" w:themeShade="BF"/>
              <w:bottom w:val="single" w:sz="4" w:space="0" w:color="BFBFBF" w:themeColor="background1" w:themeShade="BF"/>
              <w:right w:val="single" w:sz="4" w:space="0" w:color="BFBFBF" w:themeColor="background1" w:themeShade="BF"/>
            </w:tcBorders>
            <w:hideMark/>
          </w:tcPr>
          <w:p w:rsidR="00195BE7" w:rsidRPr="001E2F6E" w:rsidRDefault="00195BE7" w:rsidP="00195BE7">
            <w:pPr>
              <w:spacing w:line="240" w:lineRule="exact"/>
              <w:ind w:right="170"/>
              <w:jc w:val="right"/>
              <w:rPr>
                <w:b/>
                <w:bCs/>
                <w:color w:val="000000"/>
                <w:sz w:val="16"/>
                <w:szCs w:val="16"/>
              </w:rPr>
            </w:pPr>
            <w:r w:rsidRPr="001E2F6E">
              <w:rPr>
                <w:b/>
                <w:bCs/>
                <w:color w:val="000000"/>
                <w:sz w:val="16"/>
                <w:szCs w:val="16"/>
              </w:rPr>
              <w:t>100</w:t>
            </w:r>
          </w:p>
        </w:tc>
        <w:tc>
          <w:tcPr>
            <w:tcW w:w="505" w:type="pct"/>
            <w:tcBorders>
              <w:top w:val="single" w:sz="4" w:space="0" w:color="BFBFBF" w:themeColor="background1" w:themeShade="BF"/>
              <w:left w:val="single" w:sz="4" w:space="0" w:color="BFBFBF" w:themeColor="background1" w:themeShade="BF"/>
              <w:bottom w:val="single" w:sz="4" w:space="0" w:color="BFBFBF" w:themeColor="background1" w:themeShade="BF"/>
            </w:tcBorders>
            <w:hideMark/>
          </w:tcPr>
          <w:p w:rsidR="00195BE7" w:rsidRPr="001E2F6E" w:rsidRDefault="00195BE7" w:rsidP="00195BE7">
            <w:pPr>
              <w:spacing w:line="240" w:lineRule="exact"/>
              <w:ind w:right="170"/>
              <w:jc w:val="right"/>
              <w:rPr>
                <w:b/>
                <w:bCs/>
                <w:color w:val="000000"/>
                <w:sz w:val="16"/>
                <w:szCs w:val="16"/>
              </w:rPr>
            </w:pPr>
            <w:r w:rsidRPr="001E2F6E">
              <w:rPr>
                <w:b/>
                <w:bCs/>
                <w:color w:val="000000"/>
                <w:sz w:val="16"/>
                <w:szCs w:val="16"/>
              </w:rPr>
              <w:t>476</w:t>
            </w:r>
          </w:p>
        </w:tc>
        <w:tc>
          <w:tcPr>
            <w:tcW w:w="505" w:type="pct"/>
            <w:tcBorders>
              <w:top w:val="single" w:sz="4" w:space="0" w:color="BFBFBF" w:themeColor="background1" w:themeShade="BF"/>
              <w:bottom w:val="single" w:sz="4" w:space="0" w:color="BFBFBF" w:themeColor="background1" w:themeShade="BF"/>
              <w:right w:val="single" w:sz="4" w:space="0" w:color="BFBFBF" w:themeColor="background1" w:themeShade="BF"/>
            </w:tcBorders>
            <w:hideMark/>
          </w:tcPr>
          <w:p w:rsidR="00195BE7" w:rsidRPr="001E2F6E" w:rsidRDefault="00195BE7" w:rsidP="00195BE7">
            <w:pPr>
              <w:spacing w:line="240" w:lineRule="exact"/>
              <w:ind w:right="170"/>
              <w:jc w:val="right"/>
              <w:rPr>
                <w:b/>
                <w:bCs/>
                <w:color w:val="000000"/>
                <w:sz w:val="16"/>
                <w:szCs w:val="16"/>
              </w:rPr>
            </w:pPr>
            <w:r w:rsidRPr="001E2F6E">
              <w:rPr>
                <w:b/>
                <w:bCs/>
                <w:color w:val="000000"/>
                <w:sz w:val="16"/>
                <w:szCs w:val="16"/>
              </w:rPr>
              <w:t>100</w:t>
            </w:r>
          </w:p>
        </w:tc>
        <w:tc>
          <w:tcPr>
            <w:tcW w:w="505" w:type="pct"/>
            <w:tcBorders>
              <w:top w:val="single" w:sz="4" w:space="0" w:color="BFBFBF" w:themeColor="background1" w:themeShade="BF"/>
              <w:left w:val="single" w:sz="4" w:space="0" w:color="BFBFBF" w:themeColor="background1" w:themeShade="BF"/>
              <w:bottom w:val="single" w:sz="4" w:space="0" w:color="BFBFBF" w:themeColor="background1" w:themeShade="BF"/>
            </w:tcBorders>
            <w:hideMark/>
          </w:tcPr>
          <w:p w:rsidR="00195BE7" w:rsidRPr="001E2F6E" w:rsidRDefault="00195BE7" w:rsidP="00195BE7">
            <w:pPr>
              <w:spacing w:line="240" w:lineRule="exact"/>
              <w:ind w:right="170"/>
              <w:jc w:val="right"/>
              <w:rPr>
                <w:b/>
                <w:bCs/>
                <w:color w:val="000000"/>
                <w:sz w:val="16"/>
                <w:szCs w:val="16"/>
              </w:rPr>
            </w:pPr>
            <w:r w:rsidRPr="001E2F6E">
              <w:rPr>
                <w:b/>
                <w:bCs/>
                <w:color w:val="000000"/>
                <w:sz w:val="16"/>
                <w:szCs w:val="16"/>
              </w:rPr>
              <w:t>387</w:t>
            </w:r>
          </w:p>
        </w:tc>
        <w:tc>
          <w:tcPr>
            <w:tcW w:w="499" w:type="pct"/>
            <w:tcBorders>
              <w:top w:val="single" w:sz="4" w:space="0" w:color="BFBFBF" w:themeColor="background1" w:themeShade="BF"/>
              <w:bottom w:val="single" w:sz="4" w:space="0" w:color="BFBFBF" w:themeColor="background1" w:themeShade="BF"/>
            </w:tcBorders>
            <w:hideMark/>
          </w:tcPr>
          <w:p w:rsidR="00195BE7" w:rsidRPr="001E2F6E" w:rsidRDefault="00195BE7" w:rsidP="00195BE7">
            <w:pPr>
              <w:spacing w:line="240" w:lineRule="exact"/>
              <w:ind w:right="170"/>
              <w:jc w:val="right"/>
              <w:rPr>
                <w:b/>
                <w:bCs/>
                <w:color w:val="000000"/>
                <w:sz w:val="16"/>
                <w:szCs w:val="16"/>
              </w:rPr>
            </w:pPr>
            <w:r w:rsidRPr="001E2F6E">
              <w:rPr>
                <w:b/>
                <w:bCs/>
                <w:color w:val="000000"/>
                <w:sz w:val="16"/>
                <w:szCs w:val="16"/>
              </w:rPr>
              <w:t>100</w:t>
            </w:r>
          </w:p>
        </w:tc>
      </w:tr>
      <w:tr w:rsidR="00195BE7" w:rsidRPr="001E2F6E" w:rsidTr="00195BE7">
        <w:trPr>
          <w:jc w:val="center"/>
        </w:trPr>
        <w:tc>
          <w:tcPr>
            <w:tcW w:w="932" w:type="pct"/>
            <w:tcBorders>
              <w:top w:val="single" w:sz="4" w:space="0" w:color="BFBFBF" w:themeColor="background1" w:themeShade="BF"/>
              <w:bottom w:val="single" w:sz="4" w:space="0" w:color="BFBFBF" w:themeColor="background1" w:themeShade="BF"/>
            </w:tcBorders>
            <w:shd w:val="clear" w:color="auto" w:fill="FFFFFF" w:themeFill="background1"/>
            <w:vAlign w:val="center"/>
            <w:hideMark/>
          </w:tcPr>
          <w:p w:rsidR="00195BE7" w:rsidRPr="001E2F6E" w:rsidRDefault="00195BE7" w:rsidP="00195BE7">
            <w:pPr>
              <w:spacing w:line="240" w:lineRule="exact"/>
              <w:jc w:val="center"/>
              <w:rPr>
                <w:b/>
                <w:sz w:val="16"/>
                <w:szCs w:val="16"/>
              </w:rPr>
            </w:pPr>
          </w:p>
        </w:tc>
        <w:tc>
          <w:tcPr>
            <w:tcW w:w="1028" w:type="pct"/>
            <w:gridSpan w:val="2"/>
            <w:tcBorders>
              <w:top w:val="single" w:sz="4" w:space="0" w:color="BFBFBF" w:themeColor="background1" w:themeShade="BF"/>
              <w:bottom w:val="single" w:sz="4" w:space="0" w:color="BFBFBF" w:themeColor="background1" w:themeShade="BF"/>
            </w:tcBorders>
            <w:shd w:val="clear" w:color="auto" w:fill="FFFFFF" w:themeFill="background1"/>
            <w:hideMark/>
          </w:tcPr>
          <w:p w:rsidR="00195BE7" w:rsidRPr="001E2F6E" w:rsidRDefault="00195BE7" w:rsidP="00195BE7">
            <w:pPr>
              <w:spacing w:line="240" w:lineRule="exact"/>
              <w:jc w:val="center"/>
              <w:rPr>
                <w:b/>
                <w:bCs/>
                <w:sz w:val="16"/>
                <w:szCs w:val="16"/>
              </w:rPr>
            </w:pPr>
          </w:p>
        </w:tc>
        <w:tc>
          <w:tcPr>
            <w:tcW w:w="1026" w:type="pct"/>
            <w:gridSpan w:val="2"/>
            <w:tcBorders>
              <w:top w:val="single" w:sz="4" w:space="0" w:color="BFBFBF" w:themeColor="background1" w:themeShade="BF"/>
              <w:bottom w:val="single" w:sz="4" w:space="0" w:color="BFBFBF" w:themeColor="background1" w:themeShade="BF"/>
            </w:tcBorders>
            <w:shd w:val="clear" w:color="auto" w:fill="FFFFFF" w:themeFill="background1"/>
            <w:hideMark/>
          </w:tcPr>
          <w:p w:rsidR="00195BE7" w:rsidRPr="001E2F6E" w:rsidRDefault="00195BE7" w:rsidP="00195BE7">
            <w:pPr>
              <w:spacing w:line="240" w:lineRule="exact"/>
              <w:jc w:val="center"/>
              <w:rPr>
                <w:b/>
                <w:bCs/>
                <w:sz w:val="16"/>
                <w:szCs w:val="16"/>
              </w:rPr>
            </w:pPr>
          </w:p>
        </w:tc>
        <w:tc>
          <w:tcPr>
            <w:tcW w:w="1010" w:type="pct"/>
            <w:gridSpan w:val="2"/>
            <w:tcBorders>
              <w:top w:val="single" w:sz="4" w:space="0" w:color="BFBFBF" w:themeColor="background1" w:themeShade="BF"/>
              <w:bottom w:val="single" w:sz="4" w:space="0" w:color="BFBFBF" w:themeColor="background1" w:themeShade="BF"/>
            </w:tcBorders>
            <w:shd w:val="clear" w:color="auto" w:fill="FFFFFF" w:themeFill="background1"/>
            <w:hideMark/>
          </w:tcPr>
          <w:p w:rsidR="00195BE7" w:rsidRPr="001E2F6E" w:rsidRDefault="00195BE7" w:rsidP="00195BE7">
            <w:pPr>
              <w:spacing w:line="240" w:lineRule="exact"/>
              <w:jc w:val="center"/>
              <w:rPr>
                <w:b/>
                <w:bCs/>
                <w:sz w:val="16"/>
                <w:szCs w:val="16"/>
                <w:lang w:val="en-GB"/>
              </w:rPr>
            </w:pPr>
          </w:p>
        </w:tc>
        <w:tc>
          <w:tcPr>
            <w:tcW w:w="1004" w:type="pct"/>
            <w:gridSpan w:val="2"/>
            <w:tcBorders>
              <w:top w:val="single" w:sz="4" w:space="0" w:color="BFBFBF" w:themeColor="background1" w:themeShade="BF"/>
              <w:bottom w:val="single" w:sz="4" w:space="0" w:color="BFBFBF" w:themeColor="background1" w:themeShade="BF"/>
            </w:tcBorders>
            <w:shd w:val="clear" w:color="auto" w:fill="FFFFFF" w:themeFill="background1"/>
            <w:hideMark/>
          </w:tcPr>
          <w:p w:rsidR="00195BE7" w:rsidRPr="001E2F6E" w:rsidRDefault="00195BE7" w:rsidP="00195BE7">
            <w:pPr>
              <w:spacing w:line="240" w:lineRule="exact"/>
              <w:jc w:val="center"/>
              <w:rPr>
                <w:b/>
                <w:bCs/>
                <w:sz w:val="16"/>
                <w:szCs w:val="16"/>
                <w:lang w:val="en-GB"/>
              </w:rPr>
            </w:pPr>
          </w:p>
        </w:tc>
      </w:tr>
      <w:tr w:rsidR="00195BE7" w:rsidRPr="001E2F6E" w:rsidTr="00195BE7">
        <w:trPr>
          <w:jc w:val="center"/>
        </w:trPr>
        <w:tc>
          <w:tcPr>
            <w:tcW w:w="932" w:type="pct"/>
            <w:vMerge w:val="restart"/>
            <w:tcBorders>
              <w:top w:val="single" w:sz="4" w:space="0" w:color="BFBFBF" w:themeColor="background1" w:themeShade="BF"/>
              <w:right w:val="single" w:sz="4" w:space="0" w:color="BFBFBF" w:themeColor="background1" w:themeShade="BF"/>
            </w:tcBorders>
            <w:shd w:val="clear" w:color="auto" w:fill="DBE5F1" w:themeFill="accent1" w:themeFillTint="33"/>
            <w:vAlign w:val="center"/>
            <w:hideMark/>
          </w:tcPr>
          <w:p w:rsidR="00195BE7" w:rsidRPr="001E2F6E" w:rsidRDefault="00195BE7" w:rsidP="00195BE7">
            <w:pPr>
              <w:spacing w:line="240" w:lineRule="exact"/>
              <w:jc w:val="center"/>
              <w:rPr>
                <w:b/>
                <w:bCs/>
                <w:sz w:val="16"/>
                <w:szCs w:val="16"/>
              </w:rPr>
            </w:pPr>
            <w:r w:rsidRPr="001E2F6E">
              <w:rPr>
                <w:b/>
                <w:bCs/>
                <w:sz w:val="16"/>
                <w:szCs w:val="16"/>
              </w:rPr>
              <w:t>BIZKAIA</w:t>
            </w:r>
          </w:p>
        </w:tc>
        <w:tc>
          <w:tcPr>
            <w:tcW w:w="1028"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hideMark/>
          </w:tcPr>
          <w:p w:rsidR="00195BE7" w:rsidRPr="001E2F6E" w:rsidRDefault="00195BE7" w:rsidP="00195BE7">
            <w:pPr>
              <w:spacing w:line="240" w:lineRule="exact"/>
              <w:jc w:val="center"/>
              <w:rPr>
                <w:b/>
                <w:bCs/>
                <w:sz w:val="16"/>
                <w:szCs w:val="16"/>
              </w:rPr>
            </w:pPr>
            <w:r w:rsidRPr="001E2F6E">
              <w:rPr>
                <w:b/>
                <w:bCs/>
                <w:sz w:val="16"/>
                <w:szCs w:val="16"/>
              </w:rPr>
              <w:t>GUZTIRA</w:t>
            </w:r>
          </w:p>
        </w:tc>
        <w:tc>
          <w:tcPr>
            <w:tcW w:w="1026"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hideMark/>
          </w:tcPr>
          <w:p w:rsidR="00195BE7" w:rsidRPr="001E2F6E" w:rsidRDefault="00195BE7" w:rsidP="00195BE7">
            <w:pPr>
              <w:spacing w:line="240" w:lineRule="exact"/>
              <w:jc w:val="center"/>
              <w:rPr>
                <w:b/>
                <w:bCs/>
                <w:sz w:val="16"/>
                <w:szCs w:val="16"/>
              </w:rPr>
            </w:pPr>
            <w:r w:rsidRPr="001E2F6E">
              <w:rPr>
                <w:b/>
                <w:bCs/>
                <w:sz w:val="16"/>
                <w:szCs w:val="16"/>
              </w:rPr>
              <w:t>Koop.</w:t>
            </w:r>
          </w:p>
        </w:tc>
        <w:tc>
          <w:tcPr>
            <w:tcW w:w="1010"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hideMark/>
          </w:tcPr>
          <w:p w:rsidR="00195BE7" w:rsidRPr="001E2F6E" w:rsidRDefault="00195BE7" w:rsidP="00195BE7">
            <w:pPr>
              <w:spacing w:line="240" w:lineRule="exact"/>
              <w:jc w:val="center"/>
              <w:rPr>
                <w:b/>
                <w:bCs/>
                <w:sz w:val="16"/>
                <w:szCs w:val="16"/>
              </w:rPr>
            </w:pPr>
            <w:r w:rsidRPr="001E2F6E">
              <w:rPr>
                <w:b/>
                <w:bCs/>
                <w:sz w:val="16"/>
                <w:szCs w:val="16"/>
                <w:lang w:val="en-GB"/>
              </w:rPr>
              <w:t>LSA</w:t>
            </w:r>
          </w:p>
        </w:tc>
        <w:tc>
          <w:tcPr>
            <w:tcW w:w="1004" w:type="pct"/>
            <w:gridSpan w:val="2"/>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hideMark/>
          </w:tcPr>
          <w:p w:rsidR="00195BE7" w:rsidRPr="001E2F6E" w:rsidRDefault="00195BE7" w:rsidP="00195BE7">
            <w:pPr>
              <w:spacing w:line="240" w:lineRule="exact"/>
              <w:jc w:val="center"/>
              <w:rPr>
                <w:b/>
                <w:bCs/>
                <w:sz w:val="16"/>
                <w:szCs w:val="16"/>
              </w:rPr>
            </w:pPr>
            <w:r w:rsidRPr="001E2F6E">
              <w:rPr>
                <w:b/>
                <w:bCs/>
                <w:sz w:val="16"/>
                <w:szCs w:val="16"/>
                <w:lang w:val="en-GB"/>
              </w:rPr>
              <w:t>LSM</w:t>
            </w:r>
          </w:p>
        </w:tc>
      </w:tr>
      <w:tr w:rsidR="00195BE7" w:rsidRPr="001E2F6E" w:rsidTr="00195BE7">
        <w:trPr>
          <w:jc w:val="center"/>
        </w:trPr>
        <w:tc>
          <w:tcPr>
            <w:tcW w:w="932" w:type="pct"/>
            <w:vMerge/>
            <w:tcBorders>
              <w:bottom w:val="single" w:sz="4" w:space="0" w:color="BFBFBF" w:themeColor="background1" w:themeShade="BF"/>
              <w:right w:val="single" w:sz="4" w:space="0" w:color="BFBFBF" w:themeColor="background1" w:themeShade="BF"/>
            </w:tcBorders>
            <w:shd w:val="clear" w:color="auto" w:fill="DBE5F1" w:themeFill="accent1" w:themeFillTint="33"/>
            <w:hideMark/>
          </w:tcPr>
          <w:p w:rsidR="00195BE7" w:rsidRPr="001E2F6E" w:rsidRDefault="00195BE7" w:rsidP="00195BE7">
            <w:pPr>
              <w:spacing w:line="240" w:lineRule="exact"/>
              <w:rPr>
                <w:sz w:val="16"/>
                <w:szCs w:val="16"/>
              </w:rPr>
            </w:pPr>
          </w:p>
        </w:tc>
        <w:tc>
          <w:tcPr>
            <w:tcW w:w="520"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hideMark/>
          </w:tcPr>
          <w:p w:rsidR="00195BE7" w:rsidRPr="001E2F6E" w:rsidRDefault="00195BE7" w:rsidP="00195BE7">
            <w:pPr>
              <w:spacing w:line="240" w:lineRule="exact"/>
              <w:jc w:val="center"/>
              <w:rPr>
                <w:b/>
                <w:bCs/>
                <w:sz w:val="16"/>
                <w:szCs w:val="16"/>
              </w:rPr>
            </w:pPr>
            <w:r w:rsidRPr="001E2F6E">
              <w:rPr>
                <w:b/>
                <w:bCs/>
                <w:sz w:val="16"/>
                <w:szCs w:val="16"/>
              </w:rPr>
              <w:t>z.a.</w:t>
            </w:r>
          </w:p>
        </w:tc>
        <w:tc>
          <w:tcPr>
            <w:tcW w:w="508"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hideMark/>
          </w:tcPr>
          <w:p w:rsidR="00195BE7" w:rsidRPr="001E2F6E" w:rsidRDefault="00195BE7" w:rsidP="00195BE7">
            <w:pPr>
              <w:spacing w:line="240" w:lineRule="exact"/>
              <w:jc w:val="center"/>
              <w:rPr>
                <w:b/>
                <w:bCs/>
                <w:sz w:val="16"/>
                <w:szCs w:val="16"/>
              </w:rPr>
            </w:pPr>
            <w:r w:rsidRPr="001E2F6E">
              <w:rPr>
                <w:b/>
                <w:bCs/>
                <w:sz w:val="16"/>
                <w:szCs w:val="16"/>
              </w:rPr>
              <w:t>%ber.</w:t>
            </w:r>
          </w:p>
        </w:tc>
        <w:tc>
          <w:tcPr>
            <w:tcW w:w="520"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hideMark/>
          </w:tcPr>
          <w:p w:rsidR="00195BE7" w:rsidRPr="001E2F6E" w:rsidRDefault="00195BE7" w:rsidP="00195BE7">
            <w:pPr>
              <w:spacing w:line="240" w:lineRule="exact"/>
              <w:jc w:val="center"/>
              <w:rPr>
                <w:b/>
                <w:bCs/>
                <w:sz w:val="16"/>
                <w:szCs w:val="16"/>
              </w:rPr>
            </w:pPr>
            <w:r w:rsidRPr="001E2F6E">
              <w:rPr>
                <w:b/>
                <w:bCs/>
                <w:sz w:val="16"/>
                <w:szCs w:val="16"/>
              </w:rPr>
              <w:t>z.a.</w:t>
            </w:r>
          </w:p>
        </w:tc>
        <w:tc>
          <w:tcPr>
            <w:tcW w:w="506"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hideMark/>
          </w:tcPr>
          <w:p w:rsidR="00195BE7" w:rsidRPr="001E2F6E" w:rsidRDefault="00195BE7" w:rsidP="00195BE7">
            <w:pPr>
              <w:spacing w:line="240" w:lineRule="exact"/>
              <w:jc w:val="center"/>
              <w:rPr>
                <w:b/>
                <w:bCs/>
                <w:sz w:val="16"/>
                <w:szCs w:val="16"/>
              </w:rPr>
            </w:pPr>
            <w:r w:rsidRPr="001E2F6E">
              <w:rPr>
                <w:b/>
                <w:bCs/>
                <w:sz w:val="16"/>
                <w:szCs w:val="16"/>
              </w:rPr>
              <w:t>%ber.</w:t>
            </w:r>
          </w:p>
        </w:tc>
        <w:tc>
          <w:tcPr>
            <w:tcW w:w="505"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hideMark/>
          </w:tcPr>
          <w:p w:rsidR="00195BE7" w:rsidRPr="001E2F6E" w:rsidRDefault="00195BE7" w:rsidP="00195BE7">
            <w:pPr>
              <w:spacing w:line="240" w:lineRule="exact"/>
              <w:jc w:val="center"/>
              <w:rPr>
                <w:b/>
                <w:bCs/>
                <w:sz w:val="16"/>
                <w:szCs w:val="16"/>
              </w:rPr>
            </w:pPr>
            <w:r w:rsidRPr="001E2F6E">
              <w:rPr>
                <w:b/>
                <w:bCs/>
                <w:sz w:val="16"/>
                <w:szCs w:val="16"/>
              </w:rPr>
              <w:t>z.a.</w:t>
            </w:r>
          </w:p>
        </w:tc>
        <w:tc>
          <w:tcPr>
            <w:tcW w:w="505"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hideMark/>
          </w:tcPr>
          <w:p w:rsidR="00195BE7" w:rsidRPr="001E2F6E" w:rsidRDefault="00195BE7" w:rsidP="00195BE7">
            <w:pPr>
              <w:spacing w:line="240" w:lineRule="exact"/>
              <w:jc w:val="center"/>
              <w:rPr>
                <w:b/>
                <w:bCs/>
                <w:sz w:val="16"/>
                <w:szCs w:val="16"/>
              </w:rPr>
            </w:pPr>
            <w:r w:rsidRPr="001E2F6E">
              <w:rPr>
                <w:b/>
                <w:bCs/>
                <w:sz w:val="16"/>
                <w:szCs w:val="16"/>
              </w:rPr>
              <w:t>%ber.</w:t>
            </w:r>
          </w:p>
        </w:tc>
        <w:tc>
          <w:tcPr>
            <w:tcW w:w="505"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hideMark/>
          </w:tcPr>
          <w:p w:rsidR="00195BE7" w:rsidRPr="001E2F6E" w:rsidRDefault="00195BE7" w:rsidP="00195BE7">
            <w:pPr>
              <w:spacing w:line="240" w:lineRule="exact"/>
              <w:jc w:val="center"/>
              <w:rPr>
                <w:b/>
                <w:bCs/>
                <w:sz w:val="16"/>
                <w:szCs w:val="16"/>
              </w:rPr>
            </w:pPr>
            <w:r w:rsidRPr="001E2F6E">
              <w:rPr>
                <w:b/>
                <w:bCs/>
                <w:sz w:val="16"/>
                <w:szCs w:val="16"/>
              </w:rPr>
              <w:t>z.a.</w:t>
            </w:r>
          </w:p>
        </w:tc>
        <w:tc>
          <w:tcPr>
            <w:tcW w:w="499" w:type="pct"/>
            <w:tcBorders>
              <w:top w:val="single" w:sz="4" w:space="0" w:color="BFBFBF" w:themeColor="background1" w:themeShade="BF"/>
              <w:bottom w:val="single" w:sz="4" w:space="0" w:color="BFBFBF" w:themeColor="background1" w:themeShade="BF"/>
            </w:tcBorders>
            <w:shd w:val="clear" w:color="auto" w:fill="DBE5F1" w:themeFill="accent1" w:themeFillTint="33"/>
            <w:hideMark/>
          </w:tcPr>
          <w:p w:rsidR="00195BE7" w:rsidRPr="001E2F6E" w:rsidRDefault="00195BE7" w:rsidP="00195BE7">
            <w:pPr>
              <w:spacing w:line="240" w:lineRule="exact"/>
              <w:jc w:val="center"/>
              <w:rPr>
                <w:b/>
                <w:bCs/>
                <w:sz w:val="16"/>
                <w:szCs w:val="16"/>
              </w:rPr>
            </w:pPr>
            <w:r w:rsidRPr="001E2F6E">
              <w:rPr>
                <w:b/>
                <w:bCs/>
                <w:sz w:val="16"/>
                <w:szCs w:val="16"/>
              </w:rPr>
              <w:t>%ber.</w:t>
            </w:r>
          </w:p>
        </w:tc>
      </w:tr>
      <w:tr w:rsidR="00195BE7" w:rsidRPr="001E2F6E" w:rsidTr="00195BE7">
        <w:trPr>
          <w:jc w:val="center"/>
        </w:trPr>
        <w:tc>
          <w:tcPr>
            <w:tcW w:w="932" w:type="pct"/>
            <w:tcBorders>
              <w:top w:val="single" w:sz="4" w:space="0" w:color="BFBFBF" w:themeColor="background1" w:themeShade="BF"/>
              <w:right w:val="single" w:sz="4" w:space="0" w:color="BFBFBF" w:themeColor="background1" w:themeShade="BF"/>
            </w:tcBorders>
            <w:vAlign w:val="bottom"/>
            <w:hideMark/>
          </w:tcPr>
          <w:p w:rsidR="00195BE7" w:rsidRPr="001E2F6E" w:rsidRDefault="00195BE7" w:rsidP="00195BE7">
            <w:pPr>
              <w:spacing w:line="240" w:lineRule="exact"/>
              <w:rPr>
                <w:sz w:val="16"/>
                <w:szCs w:val="16"/>
                <w:lang w:val="eu-ES"/>
              </w:rPr>
            </w:pPr>
            <w:r w:rsidRPr="001E2F6E">
              <w:rPr>
                <w:sz w:val="16"/>
                <w:szCs w:val="16"/>
                <w:lang w:val="eu-ES"/>
              </w:rPr>
              <w:t>Lehen sektorea</w:t>
            </w:r>
          </w:p>
        </w:tc>
        <w:tc>
          <w:tcPr>
            <w:tcW w:w="520" w:type="pct"/>
            <w:tcBorders>
              <w:top w:val="single" w:sz="4" w:space="0" w:color="BFBFBF" w:themeColor="background1" w:themeShade="BF"/>
              <w:left w:val="single" w:sz="4" w:space="0" w:color="BFBFBF" w:themeColor="background1" w:themeShade="BF"/>
            </w:tcBorders>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44</w:t>
            </w:r>
          </w:p>
        </w:tc>
        <w:tc>
          <w:tcPr>
            <w:tcW w:w="508" w:type="pct"/>
            <w:tcBorders>
              <w:top w:val="single" w:sz="4" w:space="0" w:color="BFBFBF" w:themeColor="background1" w:themeShade="BF"/>
              <w:right w:val="single" w:sz="4" w:space="0" w:color="BFBFBF" w:themeColor="background1" w:themeShade="BF"/>
            </w:tcBorders>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0,2</w:t>
            </w:r>
          </w:p>
        </w:tc>
        <w:tc>
          <w:tcPr>
            <w:tcW w:w="520" w:type="pct"/>
            <w:tcBorders>
              <w:top w:val="single" w:sz="4" w:space="0" w:color="BFBFBF" w:themeColor="background1" w:themeShade="BF"/>
              <w:left w:val="single" w:sz="4" w:space="0" w:color="BFBFBF" w:themeColor="background1" w:themeShade="BF"/>
            </w:tcBorders>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32</w:t>
            </w:r>
          </w:p>
        </w:tc>
        <w:tc>
          <w:tcPr>
            <w:tcW w:w="506" w:type="pct"/>
            <w:tcBorders>
              <w:top w:val="single" w:sz="4" w:space="0" w:color="BFBFBF" w:themeColor="background1" w:themeShade="BF"/>
              <w:right w:val="single" w:sz="4" w:space="0" w:color="BFBFBF" w:themeColor="background1" w:themeShade="BF"/>
            </w:tcBorders>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0,2</w:t>
            </w:r>
          </w:p>
        </w:tc>
        <w:tc>
          <w:tcPr>
            <w:tcW w:w="505" w:type="pct"/>
            <w:tcBorders>
              <w:top w:val="single" w:sz="4" w:space="0" w:color="BFBFBF" w:themeColor="background1" w:themeShade="BF"/>
              <w:left w:val="single" w:sz="4" w:space="0" w:color="BFBFBF" w:themeColor="background1" w:themeShade="BF"/>
            </w:tcBorders>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0</w:t>
            </w:r>
          </w:p>
        </w:tc>
        <w:tc>
          <w:tcPr>
            <w:tcW w:w="505" w:type="pct"/>
            <w:tcBorders>
              <w:top w:val="single" w:sz="4" w:space="0" w:color="BFBFBF" w:themeColor="background1" w:themeShade="BF"/>
              <w:right w:val="single" w:sz="4" w:space="0" w:color="BFBFBF" w:themeColor="background1" w:themeShade="BF"/>
            </w:tcBorders>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0,0</w:t>
            </w:r>
          </w:p>
        </w:tc>
        <w:tc>
          <w:tcPr>
            <w:tcW w:w="505" w:type="pct"/>
            <w:tcBorders>
              <w:top w:val="single" w:sz="4" w:space="0" w:color="BFBFBF" w:themeColor="background1" w:themeShade="BF"/>
              <w:left w:val="single" w:sz="4" w:space="0" w:color="BFBFBF" w:themeColor="background1" w:themeShade="BF"/>
            </w:tcBorders>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12</w:t>
            </w:r>
          </w:p>
        </w:tc>
        <w:tc>
          <w:tcPr>
            <w:tcW w:w="499" w:type="pct"/>
            <w:tcBorders>
              <w:top w:val="single" w:sz="4" w:space="0" w:color="BFBFBF" w:themeColor="background1" w:themeShade="BF"/>
            </w:tcBorders>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0,8</w:t>
            </w:r>
          </w:p>
        </w:tc>
      </w:tr>
      <w:tr w:rsidR="00195BE7" w:rsidRPr="001E2F6E" w:rsidTr="00195BE7">
        <w:trPr>
          <w:jc w:val="center"/>
        </w:trPr>
        <w:tc>
          <w:tcPr>
            <w:tcW w:w="932" w:type="pct"/>
            <w:tcBorders>
              <w:right w:val="single" w:sz="4" w:space="0" w:color="BFBFBF" w:themeColor="background1" w:themeShade="BF"/>
            </w:tcBorders>
            <w:vAlign w:val="bottom"/>
            <w:hideMark/>
          </w:tcPr>
          <w:p w:rsidR="00195BE7" w:rsidRPr="001E2F6E" w:rsidRDefault="00195BE7" w:rsidP="00195BE7">
            <w:pPr>
              <w:spacing w:line="240" w:lineRule="exact"/>
              <w:rPr>
                <w:sz w:val="16"/>
                <w:szCs w:val="16"/>
                <w:lang w:val="eu-ES"/>
              </w:rPr>
            </w:pPr>
            <w:r w:rsidRPr="001E2F6E">
              <w:rPr>
                <w:sz w:val="16"/>
                <w:szCs w:val="16"/>
                <w:lang w:val="eu-ES"/>
              </w:rPr>
              <w:t>Industria</w:t>
            </w:r>
          </w:p>
        </w:tc>
        <w:tc>
          <w:tcPr>
            <w:tcW w:w="520" w:type="pct"/>
            <w:tcBorders>
              <w:left w:val="single" w:sz="4" w:space="0" w:color="BFBFBF" w:themeColor="background1" w:themeShade="BF"/>
            </w:tcBorders>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6.941</w:t>
            </w:r>
          </w:p>
        </w:tc>
        <w:tc>
          <w:tcPr>
            <w:tcW w:w="508" w:type="pct"/>
            <w:tcBorders>
              <w:right w:val="single" w:sz="4" w:space="0" w:color="BFBFBF" w:themeColor="background1" w:themeShade="BF"/>
            </w:tcBorders>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32,9</w:t>
            </w:r>
          </w:p>
        </w:tc>
        <w:tc>
          <w:tcPr>
            <w:tcW w:w="520" w:type="pct"/>
            <w:tcBorders>
              <w:left w:val="single" w:sz="4" w:space="0" w:color="BFBFBF" w:themeColor="background1" w:themeShade="BF"/>
            </w:tcBorders>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5.215</w:t>
            </w:r>
          </w:p>
        </w:tc>
        <w:tc>
          <w:tcPr>
            <w:tcW w:w="506" w:type="pct"/>
            <w:tcBorders>
              <w:right w:val="single" w:sz="4" w:space="0" w:color="BFBFBF" w:themeColor="background1" w:themeShade="BF"/>
            </w:tcBorders>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29,5</w:t>
            </w:r>
          </w:p>
        </w:tc>
        <w:tc>
          <w:tcPr>
            <w:tcW w:w="505" w:type="pct"/>
            <w:tcBorders>
              <w:left w:val="single" w:sz="4" w:space="0" w:color="BFBFBF" w:themeColor="background1" w:themeShade="BF"/>
            </w:tcBorders>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1.401</w:t>
            </w:r>
          </w:p>
        </w:tc>
        <w:tc>
          <w:tcPr>
            <w:tcW w:w="505" w:type="pct"/>
            <w:tcBorders>
              <w:right w:val="single" w:sz="4" w:space="0" w:color="BFBFBF" w:themeColor="background1" w:themeShade="BF"/>
            </w:tcBorders>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75,3</w:t>
            </w:r>
          </w:p>
        </w:tc>
        <w:tc>
          <w:tcPr>
            <w:tcW w:w="505" w:type="pct"/>
            <w:tcBorders>
              <w:left w:val="single" w:sz="4" w:space="0" w:color="BFBFBF" w:themeColor="background1" w:themeShade="BF"/>
            </w:tcBorders>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324</w:t>
            </w:r>
          </w:p>
        </w:tc>
        <w:tc>
          <w:tcPr>
            <w:tcW w:w="499" w:type="pct"/>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21,3</w:t>
            </w:r>
          </w:p>
        </w:tc>
      </w:tr>
      <w:tr w:rsidR="00195BE7" w:rsidRPr="001E2F6E" w:rsidTr="00195BE7">
        <w:trPr>
          <w:jc w:val="center"/>
        </w:trPr>
        <w:tc>
          <w:tcPr>
            <w:tcW w:w="932" w:type="pct"/>
            <w:tcBorders>
              <w:right w:val="single" w:sz="4" w:space="0" w:color="BFBFBF" w:themeColor="background1" w:themeShade="BF"/>
            </w:tcBorders>
            <w:vAlign w:val="bottom"/>
            <w:hideMark/>
          </w:tcPr>
          <w:p w:rsidR="00195BE7" w:rsidRPr="001E2F6E" w:rsidRDefault="00195BE7" w:rsidP="00195BE7">
            <w:pPr>
              <w:spacing w:line="240" w:lineRule="exact"/>
              <w:rPr>
                <w:sz w:val="16"/>
                <w:szCs w:val="16"/>
                <w:lang w:val="eu-ES"/>
              </w:rPr>
            </w:pPr>
            <w:r w:rsidRPr="001E2F6E">
              <w:rPr>
                <w:sz w:val="16"/>
                <w:szCs w:val="16"/>
                <w:lang w:val="eu-ES"/>
              </w:rPr>
              <w:t>Eraikuntza</w:t>
            </w:r>
          </w:p>
        </w:tc>
        <w:tc>
          <w:tcPr>
            <w:tcW w:w="520" w:type="pct"/>
            <w:tcBorders>
              <w:left w:val="single" w:sz="4" w:space="0" w:color="BFBFBF" w:themeColor="background1" w:themeShade="BF"/>
            </w:tcBorders>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1.001</w:t>
            </w:r>
          </w:p>
        </w:tc>
        <w:tc>
          <w:tcPr>
            <w:tcW w:w="508" w:type="pct"/>
            <w:tcBorders>
              <w:right w:val="single" w:sz="4" w:space="0" w:color="BFBFBF" w:themeColor="background1" w:themeShade="BF"/>
            </w:tcBorders>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4,7</w:t>
            </w:r>
          </w:p>
        </w:tc>
        <w:tc>
          <w:tcPr>
            <w:tcW w:w="520" w:type="pct"/>
            <w:tcBorders>
              <w:left w:val="single" w:sz="4" w:space="0" w:color="BFBFBF" w:themeColor="background1" w:themeShade="BF"/>
            </w:tcBorders>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636</w:t>
            </w:r>
          </w:p>
        </w:tc>
        <w:tc>
          <w:tcPr>
            <w:tcW w:w="506" w:type="pct"/>
            <w:tcBorders>
              <w:right w:val="single" w:sz="4" w:space="0" w:color="BFBFBF" w:themeColor="background1" w:themeShade="BF"/>
            </w:tcBorders>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3,6</w:t>
            </w:r>
          </w:p>
        </w:tc>
        <w:tc>
          <w:tcPr>
            <w:tcW w:w="505" w:type="pct"/>
            <w:tcBorders>
              <w:left w:val="single" w:sz="4" w:space="0" w:color="BFBFBF" w:themeColor="background1" w:themeShade="BF"/>
            </w:tcBorders>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99</w:t>
            </w:r>
          </w:p>
        </w:tc>
        <w:tc>
          <w:tcPr>
            <w:tcW w:w="505" w:type="pct"/>
            <w:tcBorders>
              <w:right w:val="single" w:sz="4" w:space="0" w:color="BFBFBF" w:themeColor="background1" w:themeShade="BF"/>
            </w:tcBorders>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5,3</w:t>
            </w:r>
          </w:p>
        </w:tc>
        <w:tc>
          <w:tcPr>
            <w:tcW w:w="505" w:type="pct"/>
            <w:tcBorders>
              <w:left w:val="single" w:sz="4" w:space="0" w:color="BFBFBF" w:themeColor="background1" w:themeShade="BF"/>
            </w:tcBorders>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266</w:t>
            </w:r>
          </w:p>
        </w:tc>
        <w:tc>
          <w:tcPr>
            <w:tcW w:w="499" w:type="pct"/>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17,5</w:t>
            </w:r>
          </w:p>
        </w:tc>
      </w:tr>
      <w:tr w:rsidR="00195BE7" w:rsidRPr="001E2F6E" w:rsidTr="00195BE7">
        <w:trPr>
          <w:jc w:val="center"/>
        </w:trPr>
        <w:tc>
          <w:tcPr>
            <w:tcW w:w="932" w:type="pct"/>
            <w:tcBorders>
              <w:bottom w:val="single" w:sz="4" w:space="0" w:color="BFBFBF" w:themeColor="background1" w:themeShade="BF"/>
              <w:right w:val="single" w:sz="4" w:space="0" w:color="BFBFBF" w:themeColor="background1" w:themeShade="BF"/>
            </w:tcBorders>
            <w:vAlign w:val="bottom"/>
            <w:hideMark/>
          </w:tcPr>
          <w:p w:rsidR="00195BE7" w:rsidRPr="001E2F6E" w:rsidRDefault="00195BE7" w:rsidP="00195BE7">
            <w:pPr>
              <w:spacing w:line="240" w:lineRule="exact"/>
              <w:rPr>
                <w:sz w:val="16"/>
                <w:szCs w:val="16"/>
                <w:lang w:val="eu-ES"/>
              </w:rPr>
            </w:pPr>
            <w:r w:rsidRPr="001E2F6E">
              <w:rPr>
                <w:sz w:val="16"/>
                <w:szCs w:val="16"/>
                <w:lang w:val="eu-ES"/>
              </w:rPr>
              <w:t>Zerbitzuak</w:t>
            </w:r>
          </w:p>
        </w:tc>
        <w:tc>
          <w:tcPr>
            <w:tcW w:w="520" w:type="pct"/>
            <w:tcBorders>
              <w:left w:val="single" w:sz="4" w:space="0" w:color="BFBFBF" w:themeColor="background1" w:themeShade="BF"/>
              <w:bottom w:val="single" w:sz="4" w:space="0" w:color="BFBFBF" w:themeColor="background1" w:themeShade="BF"/>
            </w:tcBorders>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13.102</w:t>
            </w:r>
          </w:p>
        </w:tc>
        <w:tc>
          <w:tcPr>
            <w:tcW w:w="508" w:type="pct"/>
            <w:tcBorders>
              <w:bottom w:val="single" w:sz="4" w:space="0" w:color="BFBFBF" w:themeColor="background1" w:themeShade="BF"/>
              <w:right w:val="single" w:sz="4" w:space="0" w:color="BFBFBF" w:themeColor="background1" w:themeShade="BF"/>
            </w:tcBorders>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62,1</w:t>
            </w:r>
          </w:p>
        </w:tc>
        <w:tc>
          <w:tcPr>
            <w:tcW w:w="520" w:type="pct"/>
            <w:tcBorders>
              <w:left w:val="single" w:sz="4" w:space="0" w:color="BFBFBF" w:themeColor="background1" w:themeShade="BF"/>
              <w:bottom w:val="single" w:sz="4" w:space="0" w:color="BFBFBF" w:themeColor="background1" w:themeShade="BF"/>
            </w:tcBorders>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11.822</w:t>
            </w:r>
          </w:p>
        </w:tc>
        <w:tc>
          <w:tcPr>
            <w:tcW w:w="506" w:type="pct"/>
            <w:tcBorders>
              <w:bottom w:val="single" w:sz="4" w:space="0" w:color="BFBFBF" w:themeColor="background1" w:themeShade="BF"/>
              <w:right w:val="single" w:sz="4" w:space="0" w:color="BFBFBF" w:themeColor="background1" w:themeShade="BF"/>
            </w:tcBorders>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66,8</w:t>
            </w:r>
          </w:p>
        </w:tc>
        <w:tc>
          <w:tcPr>
            <w:tcW w:w="505" w:type="pct"/>
            <w:tcBorders>
              <w:left w:val="single" w:sz="4" w:space="0" w:color="BFBFBF" w:themeColor="background1" w:themeShade="BF"/>
              <w:bottom w:val="single" w:sz="4" w:space="0" w:color="BFBFBF" w:themeColor="background1" w:themeShade="BF"/>
            </w:tcBorders>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360</w:t>
            </w:r>
          </w:p>
        </w:tc>
        <w:tc>
          <w:tcPr>
            <w:tcW w:w="505" w:type="pct"/>
            <w:tcBorders>
              <w:bottom w:val="single" w:sz="4" w:space="0" w:color="BFBFBF" w:themeColor="background1" w:themeShade="BF"/>
              <w:right w:val="single" w:sz="4" w:space="0" w:color="BFBFBF" w:themeColor="background1" w:themeShade="BF"/>
            </w:tcBorders>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19,4</w:t>
            </w:r>
          </w:p>
        </w:tc>
        <w:tc>
          <w:tcPr>
            <w:tcW w:w="505" w:type="pct"/>
            <w:tcBorders>
              <w:left w:val="single" w:sz="4" w:space="0" w:color="BFBFBF" w:themeColor="background1" w:themeShade="BF"/>
              <w:bottom w:val="single" w:sz="4" w:space="0" w:color="BFBFBF" w:themeColor="background1" w:themeShade="BF"/>
            </w:tcBorders>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920</w:t>
            </w:r>
          </w:p>
        </w:tc>
        <w:tc>
          <w:tcPr>
            <w:tcW w:w="499" w:type="pct"/>
            <w:tcBorders>
              <w:bottom w:val="single" w:sz="4" w:space="0" w:color="BFBFBF" w:themeColor="background1" w:themeShade="BF"/>
            </w:tcBorders>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60,4</w:t>
            </w:r>
          </w:p>
        </w:tc>
      </w:tr>
      <w:tr w:rsidR="00195BE7" w:rsidRPr="001E2F6E" w:rsidTr="00195BE7">
        <w:trPr>
          <w:jc w:val="center"/>
        </w:trPr>
        <w:tc>
          <w:tcPr>
            <w:tcW w:w="932" w:type="pct"/>
            <w:tcBorders>
              <w:top w:val="single" w:sz="4" w:space="0" w:color="BFBFBF" w:themeColor="background1" w:themeShade="BF"/>
              <w:bottom w:val="single" w:sz="4" w:space="0" w:color="BFBFBF" w:themeColor="background1" w:themeShade="BF"/>
              <w:right w:val="single" w:sz="4" w:space="0" w:color="BFBFBF" w:themeColor="background1" w:themeShade="BF"/>
            </w:tcBorders>
            <w:vAlign w:val="bottom"/>
            <w:hideMark/>
          </w:tcPr>
          <w:p w:rsidR="00195BE7" w:rsidRPr="001E2F6E" w:rsidRDefault="00195BE7" w:rsidP="00195BE7">
            <w:pPr>
              <w:spacing w:line="240" w:lineRule="exact"/>
              <w:rPr>
                <w:b/>
                <w:bCs/>
                <w:sz w:val="16"/>
                <w:szCs w:val="16"/>
                <w:lang w:val="eu-ES"/>
              </w:rPr>
            </w:pPr>
            <w:r w:rsidRPr="001E2F6E">
              <w:rPr>
                <w:b/>
                <w:bCs/>
                <w:sz w:val="16"/>
                <w:szCs w:val="16"/>
                <w:lang w:val="eu-ES"/>
              </w:rPr>
              <w:t>GUZTIRA</w:t>
            </w:r>
          </w:p>
        </w:tc>
        <w:tc>
          <w:tcPr>
            <w:tcW w:w="520" w:type="pct"/>
            <w:tcBorders>
              <w:top w:val="single" w:sz="4" w:space="0" w:color="BFBFBF" w:themeColor="background1" w:themeShade="BF"/>
              <w:left w:val="single" w:sz="4" w:space="0" w:color="BFBFBF" w:themeColor="background1" w:themeShade="BF"/>
              <w:bottom w:val="single" w:sz="4" w:space="0" w:color="BFBFBF" w:themeColor="background1" w:themeShade="BF"/>
            </w:tcBorders>
            <w:hideMark/>
          </w:tcPr>
          <w:p w:rsidR="00195BE7" w:rsidRPr="001E2F6E" w:rsidRDefault="00195BE7" w:rsidP="00195BE7">
            <w:pPr>
              <w:spacing w:line="240" w:lineRule="exact"/>
              <w:ind w:right="170"/>
              <w:jc w:val="right"/>
              <w:rPr>
                <w:b/>
                <w:bCs/>
                <w:color w:val="000000"/>
                <w:sz w:val="16"/>
                <w:szCs w:val="16"/>
              </w:rPr>
            </w:pPr>
            <w:r w:rsidRPr="001E2F6E">
              <w:rPr>
                <w:b/>
                <w:bCs/>
                <w:color w:val="000000"/>
                <w:sz w:val="16"/>
                <w:szCs w:val="16"/>
              </w:rPr>
              <w:t>21.087</w:t>
            </w:r>
          </w:p>
        </w:tc>
        <w:tc>
          <w:tcPr>
            <w:tcW w:w="508" w:type="pct"/>
            <w:tcBorders>
              <w:top w:val="single" w:sz="4" w:space="0" w:color="BFBFBF" w:themeColor="background1" w:themeShade="BF"/>
              <w:bottom w:val="single" w:sz="4" w:space="0" w:color="BFBFBF" w:themeColor="background1" w:themeShade="BF"/>
              <w:right w:val="single" w:sz="4" w:space="0" w:color="BFBFBF" w:themeColor="background1" w:themeShade="BF"/>
            </w:tcBorders>
            <w:hideMark/>
          </w:tcPr>
          <w:p w:rsidR="00195BE7" w:rsidRPr="001E2F6E" w:rsidRDefault="00195BE7" w:rsidP="00195BE7">
            <w:pPr>
              <w:spacing w:line="240" w:lineRule="exact"/>
              <w:ind w:right="170"/>
              <w:jc w:val="right"/>
              <w:rPr>
                <w:b/>
                <w:bCs/>
                <w:color w:val="000000"/>
                <w:sz w:val="16"/>
                <w:szCs w:val="16"/>
              </w:rPr>
            </w:pPr>
            <w:r w:rsidRPr="001E2F6E">
              <w:rPr>
                <w:b/>
                <w:bCs/>
                <w:color w:val="000000"/>
                <w:sz w:val="16"/>
                <w:szCs w:val="16"/>
              </w:rPr>
              <w:t>100</w:t>
            </w:r>
          </w:p>
        </w:tc>
        <w:tc>
          <w:tcPr>
            <w:tcW w:w="520" w:type="pct"/>
            <w:tcBorders>
              <w:top w:val="single" w:sz="4" w:space="0" w:color="BFBFBF" w:themeColor="background1" w:themeShade="BF"/>
              <w:left w:val="single" w:sz="4" w:space="0" w:color="BFBFBF" w:themeColor="background1" w:themeShade="BF"/>
              <w:bottom w:val="single" w:sz="4" w:space="0" w:color="BFBFBF" w:themeColor="background1" w:themeShade="BF"/>
            </w:tcBorders>
            <w:hideMark/>
          </w:tcPr>
          <w:p w:rsidR="00195BE7" w:rsidRPr="001E2F6E" w:rsidRDefault="00195BE7" w:rsidP="00195BE7">
            <w:pPr>
              <w:spacing w:line="240" w:lineRule="exact"/>
              <w:ind w:right="170"/>
              <w:jc w:val="right"/>
              <w:rPr>
                <w:b/>
                <w:bCs/>
                <w:color w:val="000000"/>
                <w:sz w:val="16"/>
                <w:szCs w:val="16"/>
              </w:rPr>
            </w:pPr>
            <w:r w:rsidRPr="001E2F6E">
              <w:rPr>
                <w:b/>
                <w:bCs/>
                <w:color w:val="000000"/>
                <w:sz w:val="16"/>
                <w:szCs w:val="16"/>
              </w:rPr>
              <w:t>17.704</w:t>
            </w:r>
          </w:p>
        </w:tc>
        <w:tc>
          <w:tcPr>
            <w:tcW w:w="506" w:type="pct"/>
            <w:tcBorders>
              <w:top w:val="single" w:sz="4" w:space="0" w:color="BFBFBF" w:themeColor="background1" w:themeShade="BF"/>
              <w:bottom w:val="single" w:sz="4" w:space="0" w:color="BFBFBF" w:themeColor="background1" w:themeShade="BF"/>
              <w:right w:val="single" w:sz="4" w:space="0" w:color="BFBFBF" w:themeColor="background1" w:themeShade="BF"/>
            </w:tcBorders>
            <w:hideMark/>
          </w:tcPr>
          <w:p w:rsidR="00195BE7" w:rsidRPr="001E2F6E" w:rsidRDefault="00195BE7" w:rsidP="00195BE7">
            <w:pPr>
              <w:spacing w:line="240" w:lineRule="exact"/>
              <w:ind w:right="170"/>
              <w:jc w:val="right"/>
              <w:rPr>
                <w:b/>
                <w:bCs/>
                <w:color w:val="000000"/>
                <w:sz w:val="16"/>
                <w:szCs w:val="16"/>
              </w:rPr>
            </w:pPr>
            <w:r w:rsidRPr="001E2F6E">
              <w:rPr>
                <w:b/>
                <w:bCs/>
                <w:color w:val="000000"/>
                <w:sz w:val="16"/>
                <w:szCs w:val="16"/>
              </w:rPr>
              <w:t>100</w:t>
            </w:r>
          </w:p>
        </w:tc>
        <w:tc>
          <w:tcPr>
            <w:tcW w:w="505" w:type="pct"/>
            <w:tcBorders>
              <w:top w:val="single" w:sz="4" w:space="0" w:color="BFBFBF" w:themeColor="background1" w:themeShade="BF"/>
              <w:left w:val="single" w:sz="4" w:space="0" w:color="BFBFBF" w:themeColor="background1" w:themeShade="BF"/>
              <w:bottom w:val="single" w:sz="4" w:space="0" w:color="BFBFBF" w:themeColor="background1" w:themeShade="BF"/>
            </w:tcBorders>
            <w:hideMark/>
          </w:tcPr>
          <w:p w:rsidR="00195BE7" w:rsidRPr="001E2F6E" w:rsidRDefault="00195BE7" w:rsidP="00195BE7">
            <w:pPr>
              <w:spacing w:line="240" w:lineRule="exact"/>
              <w:ind w:right="170"/>
              <w:jc w:val="right"/>
              <w:rPr>
                <w:b/>
                <w:bCs/>
                <w:color w:val="000000"/>
                <w:sz w:val="16"/>
                <w:szCs w:val="16"/>
              </w:rPr>
            </w:pPr>
            <w:r w:rsidRPr="001E2F6E">
              <w:rPr>
                <w:b/>
                <w:bCs/>
                <w:color w:val="000000"/>
                <w:sz w:val="16"/>
                <w:szCs w:val="16"/>
              </w:rPr>
              <w:t>1.860</w:t>
            </w:r>
          </w:p>
        </w:tc>
        <w:tc>
          <w:tcPr>
            <w:tcW w:w="505" w:type="pct"/>
            <w:tcBorders>
              <w:top w:val="single" w:sz="4" w:space="0" w:color="BFBFBF" w:themeColor="background1" w:themeShade="BF"/>
              <w:bottom w:val="single" w:sz="4" w:space="0" w:color="BFBFBF" w:themeColor="background1" w:themeShade="BF"/>
              <w:right w:val="single" w:sz="4" w:space="0" w:color="BFBFBF" w:themeColor="background1" w:themeShade="BF"/>
            </w:tcBorders>
            <w:hideMark/>
          </w:tcPr>
          <w:p w:rsidR="00195BE7" w:rsidRPr="001E2F6E" w:rsidRDefault="00195BE7" w:rsidP="00195BE7">
            <w:pPr>
              <w:spacing w:line="240" w:lineRule="exact"/>
              <w:ind w:right="170"/>
              <w:jc w:val="right"/>
              <w:rPr>
                <w:b/>
                <w:bCs/>
                <w:color w:val="000000"/>
                <w:sz w:val="16"/>
                <w:szCs w:val="16"/>
              </w:rPr>
            </w:pPr>
            <w:r w:rsidRPr="001E2F6E">
              <w:rPr>
                <w:b/>
                <w:bCs/>
                <w:color w:val="000000"/>
                <w:sz w:val="16"/>
                <w:szCs w:val="16"/>
              </w:rPr>
              <w:t>100</w:t>
            </w:r>
          </w:p>
        </w:tc>
        <w:tc>
          <w:tcPr>
            <w:tcW w:w="505" w:type="pct"/>
            <w:tcBorders>
              <w:top w:val="single" w:sz="4" w:space="0" w:color="BFBFBF" w:themeColor="background1" w:themeShade="BF"/>
              <w:left w:val="single" w:sz="4" w:space="0" w:color="BFBFBF" w:themeColor="background1" w:themeShade="BF"/>
              <w:bottom w:val="single" w:sz="4" w:space="0" w:color="BFBFBF" w:themeColor="background1" w:themeShade="BF"/>
            </w:tcBorders>
            <w:hideMark/>
          </w:tcPr>
          <w:p w:rsidR="00195BE7" w:rsidRPr="001E2F6E" w:rsidRDefault="00195BE7" w:rsidP="00195BE7">
            <w:pPr>
              <w:spacing w:line="240" w:lineRule="exact"/>
              <w:ind w:right="170"/>
              <w:jc w:val="right"/>
              <w:rPr>
                <w:b/>
                <w:bCs/>
                <w:color w:val="000000"/>
                <w:sz w:val="16"/>
                <w:szCs w:val="16"/>
              </w:rPr>
            </w:pPr>
            <w:r w:rsidRPr="001E2F6E">
              <w:rPr>
                <w:b/>
                <w:bCs/>
                <w:color w:val="000000"/>
                <w:sz w:val="16"/>
                <w:szCs w:val="16"/>
              </w:rPr>
              <w:t>1.523</w:t>
            </w:r>
          </w:p>
        </w:tc>
        <w:tc>
          <w:tcPr>
            <w:tcW w:w="499" w:type="pct"/>
            <w:tcBorders>
              <w:top w:val="single" w:sz="4" w:space="0" w:color="BFBFBF" w:themeColor="background1" w:themeShade="BF"/>
              <w:bottom w:val="single" w:sz="4" w:space="0" w:color="BFBFBF" w:themeColor="background1" w:themeShade="BF"/>
            </w:tcBorders>
            <w:hideMark/>
          </w:tcPr>
          <w:p w:rsidR="00195BE7" w:rsidRPr="001E2F6E" w:rsidRDefault="00195BE7" w:rsidP="00195BE7">
            <w:pPr>
              <w:spacing w:line="240" w:lineRule="exact"/>
              <w:ind w:right="170"/>
              <w:jc w:val="right"/>
              <w:rPr>
                <w:b/>
                <w:bCs/>
                <w:color w:val="000000"/>
                <w:sz w:val="16"/>
                <w:szCs w:val="16"/>
              </w:rPr>
            </w:pPr>
            <w:r w:rsidRPr="001E2F6E">
              <w:rPr>
                <w:b/>
                <w:bCs/>
                <w:color w:val="000000"/>
                <w:sz w:val="16"/>
                <w:szCs w:val="16"/>
              </w:rPr>
              <w:t>100</w:t>
            </w:r>
          </w:p>
        </w:tc>
      </w:tr>
      <w:tr w:rsidR="00195BE7" w:rsidRPr="001E2F6E" w:rsidTr="00195BE7">
        <w:trPr>
          <w:jc w:val="center"/>
        </w:trPr>
        <w:tc>
          <w:tcPr>
            <w:tcW w:w="932" w:type="pct"/>
            <w:tcBorders>
              <w:top w:val="single" w:sz="4" w:space="0" w:color="BFBFBF" w:themeColor="background1" w:themeShade="BF"/>
              <w:bottom w:val="single" w:sz="4" w:space="0" w:color="BFBFBF" w:themeColor="background1" w:themeShade="BF"/>
            </w:tcBorders>
            <w:shd w:val="clear" w:color="auto" w:fill="FFFFFF" w:themeFill="background1"/>
            <w:vAlign w:val="center"/>
            <w:hideMark/>
          </w:tcPr>
          <w:p w:rsidR="00195BE7" w:rsidRPr="001E2F6E" w:rsidRDefault="00195BE7" w:rsidP="00195BE7">
            <w:pPr>
              <w:spacing w:line="240" w:lineRule="exact"/>
              <w:jc w:val="center"/>
              <w:rPr>
                <w:b/>
                <w:sz w:val="16"/>
                <w:szCs w:val="16"/>
              </w:rPr>
            </w:pPr>
          </w:p>
        </w:tc>
        <w:tc>
          <w:tcPr>
            <w:tcW w:w="1028" w:type="pct"/>
            <w:gridSpan w:val="2"/>
            <w:tcBorders>
              <w:top w:val="single" w:sz="4" w:space="0" w:color="BFBFBF" w:themeColor="background1" w:themeShade="BF"/>
              <w:bottom w:val="single" w:sz="4" w:space="0" w:color="BFBFBF" w:themeColor="background1" w:themeShade="BF"/>
            </w:tcBorders>
            <w:shd w:val="clear" w:color="auto" w:fill="FFFFFF" w:themeFill="background1"/>
            <w:hideMark/>
          </w:tcPr>
          <w:p w:rsidR="00195BE7" w:rsidRPr="001E2F6E" w:rsidRDefault="00195BE7" w:rsidP="00195BE7">
            <w:pPr>
              <w:spacing w:line="240" w:lineRule="exact"/>
              <w:jc w:val="center"/>
              <w:rPr>
                <w:b/>
                <w:bCs/>
                <w:sz w:val="16"/>
                <w:szCs w:val="16"/>
              </w:rPr>
            </w:pPr>
          </w:p>
        </w:tc>
        <w:tc>
          <w:tcPr>
            <w:tcW w:w="1026" w:type="pct"/>
            <w:gridSpan w:val="2"/>
            <w:tcBorders>
              <w:top w:val="single" w:sz="4" w:space="0" w:color="BFBFBF" w:themeColor="background1" w:themeShade="BF"/>
              <w:bottom w:val="single" w:sz="4" w:space="0" w:color="BFBFBF" w:themeColor="background1" w:themeShade="BF"/>
            </w:tcBorders>
            <w:shd w:val="clear" w:color="auto" w:fill="FFFFFF" w:themeFill="background1"/>
            <w:hideMark/>
          </w:tcPr>
          <w:p w:rsidR="00195BE7" w:rsidRPr="001E2F6E" w:rsidRDefault="00195BE7" w:rsidP="00195BE7">
            <w:pPr>
              <w:spacing w:line="240" w:lineRule="exact"/>
              <w:jc w:val="center"/>
              <w:rPr>
                <w:b/>
                <w:bCs/>
                <w:sz w:val="16"/>
                <w:szCs w:val="16"/>
              </w:rPr>
            </w:pPr>
          </w:p>
        </w:tc>
        <w:tc>
          <w:tcPr>
            <w:tcW w:w="1010" w:type="pct"/>
            <w:gridSpan w:val="2"/>
            <w:tcBorders>
              <w:top w:val="single" w:sz="4" w:space="0" w:color="BFBFBF" w:themeColor="background1" w:themeShade="BF"/>
              <w:bottom w:val="single" w:sz="4" w:space="0" w:color="BFBFBF" w:themeColor="background1" w:themeShade="BF"/>
            </w:tcBorders>
            <w:shd w:val="clear" w:color="auto" w:fill="FFFFFF" w:themeFill="background1"/>
            <w:hideMark/>
          </w:tcPr>
          <w:p w:rsidR="00195BE7" w:rsidRPr="001E2F6E" w:rsidRDefault="00195BE7" w:rsidP="00195BE7">
            <w:pPr>
              <w:spacing w:line="240" w:lineRule="exact"/>
              <w:jc w:val="center"/>
              <w:rPr>
                <w:b/>
                <w:bCs/>
                <w:sz w:val="16"/>
                <w:szCs w:val="16"/>
                <w:lang w:val="en-GB"/>
              </w:rPr>
            </w:pPr>
          </w:p>
        </w:tc>
        <w:tc>
          <w:tcPr>
            <w:tcW w:w="1004" w:type="pct"/>
            <w:gridSpan w:val="2"/>
            <w:tcBorders>
              <w:top w:val="single" w:sz="4" w:space="0" w:color="BFBFBF" w:themeColor="background1" w:themeShade="BF"/>
              <w:bottom w:val="single" w:sz="4" w:space="0" w:color="BFBFBF" w:themeColor="background1" w:themeShade="BF"/>
            </w:tcBorders>
            <w:shd w:val="clear" w:color="auto" w:fill="FFFFFF" w:themeFill="background1"/>
            <w:hideMark/>
          </w:tcPr>
          <w:p w:rsidR="00195BE7" w:rsidRPr="001E2F6E" w:rsidRDefault="00195BE7" w:rsidP="00195BE7">
            <w:pPr>
              <w:spacing w:line="240" w:lineRule="exact"/>
              <w:jc w:val="center"/>
              <w:rPr>
                <w:b/>
                <w:bCs/>
                <w:sz w:val="16"/>
                <w:szCs w:val="16"/>
                <w:lang w:val="en-GB"/>
              </w:rPr>
            </w:pPr>
          </w:p>
        </w:tc>
      </w:tr>
      <w:tr w:rsidR="00195BE7" w:rsidRPr="001E2F6E" w:rsidTr="00195BE7">
        <w:trPr>
          <w:jc w:val="center"/>
        </w:trPr>
        <w:tc>
          <w:tcPr>
            <w:tcW w:w="932" w:type="pct"/>
            <w:vMerge w:val="restart"/>
            <w:tcBorders>
              <w:top w:val="single" w:sz="4" w:space="0" w:color="BFBFBF" w:themeColor="background1" w:themeShade="BF"/>
              <w:right w:val="single" w:sz="4" w:space="0" w:color="BFBFBF" w:themeColor="background1" w:themeShade="BF"/>
            </w:tcBorders>
            <w:shd w:val="clear" w:color="auto" w:fill="DBE5F1" w:themeFill="accent1" w:themeFillTint="33"/>
            <w:vAlign w:val="center"/>
            <w:hideMark/>
          </w:tcPr>
          <w:p w:rsidR="00195BE7" w:rsidRPr="001E2F6E" w:rsidRDefault="00195BE7" w:rsidP="00195BE7">
            <w:pPr>
              <w:spacing w:line="240" w:lineRule="exact"/>
              <w:jc w:val="center"/>
              <w:rPr>
                <w:b/>
                <w:bCs/>
                <w:sz w:val="16"/>
                <w:szCs w:val="16"/>
              </w:rPr>
            </w:pPr>
            <w:r w:rsidRPr="001E2F6E">
              <w:rPr>
                <w:b/>
                <w:bCs/>
                <w:sz w:val="16"/>
                <w:szCs w:val="16"/>
              </w:rPr>
              <w:t>GIPUZKOA</w:t>
            </w:r>
          </w:p>
        </w:tc>
        <w:tc>
          <w:tcPr>
            <w:tcW w:w="1028"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hideMark/>
          </w:tcPr>
          <w:p w:rsidR="00195BE7" w:rsidRPr="001E2F6E" w:rsidRDefault="00195BE7" w:rsidP="00195BE7">
            <w:pPr>
              <w:spacing w:line="240" w:lineRule="exact"/>
              <w:jc w:val="center"/>
              <w:rPr>
                <w:b/>
                <w:bCs/>
                <w:sz w:val="16"/>
                <w:szCs w:val="16"/>
              </w:rPr>
            </w:pPr>
            <w:r w:rsidRPr="001E2F6E">
              <w:rPr>
                <w:b/>
                <w:bCs/>
                <w:sz w:val="16"/>
                <w:szCs w:val="16"/>
              </w:rPr>
              <w:t>GUZTIRA</w:t>
            </w:r>
          </w:p>
        </w:tc>
        <w:tc>
          <w:tcPr>
            <w:tcW w:w="1026"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hideMark/>
          </w:tcPr>
          <w:p w:rsidR="00195BE7" w:rsidRPr="001E2F6E" w:rsidRDefault="00195BE7" w:rsidP="00195BE7">
            <w:pPr>
              <w:spacing w:line="240" w:lineRule="exact"/>
              <w:jc w:val="center"/>
              <w:rPr>
                <w:b/>
                <w:bCs/>
                <w:sz w:val="16"/>
                <w:szCs w:val="16"/>
              </w:rPr>
            </w:pPr>
            <w:r w:rsidRPr="001E2F6E">
              <w:rPr>
                <w:b/>
                <w:bCs/>
                <w:sz w:val="16"/>
                <w:szCs w:val="16"/>
              </w:rPr>
              <w:t>Koop.</w:t>
            </w:r>
          </w:p>
        </w:tc>
        <w:tc>
          <w:tcPr>
            <w:tcW w:w="1010"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hideMark/>
          </w:tcPr>
          <w:p w:rsidR="00195BE7" w:rsidRPr="001E2F6E" w:rsidRDefault="00195BE7" w:rsidP="00195BE7">
            <w:pPr>
              <w:spacing w:line="240" w:lineRule="exact"/>
              <w:jc w:val="center"/>
              <w:rPr>
                <w:b/>
                <w:bCs/>
                <w:sz w:val="16"/>
                <w:szCs w:val="16"/>
              </w:rPr>
            </w:pPr>
            <w:r w:rsidRPr="001E2F6E">
              <w:rPr>
                <w:b/>
                <w:bCs/>
                <w:sz w:val="16"/>
                <w:szCs w:val="16"/>
                <w:lang w:val="en-GB"/>
              </w:rPr>
              <w:t>LSA</w:t>
            </w:r>
          </w:p>
        </w:tc>
        <w:tc>
          <w:tcPr>
            <w:tcW w:w="1004" w:type="pct"/>
            <w:gridSpan w:val="2"/>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hideMark/>
          </w:tcPr>
          <w:p w:rsidR="00195BE7" w:rsidRPr="001E2F6E" w:rsidRDefault="00195BE7" w:rsidP="00195BE7">
            <w:pPr>
              <w:spacing w:line="240" w:lineRule="exact"/>
              <w:jc w:val="center"/>
              <w:rPr>
                <w:b/>
                <w:bCs/>
                <w:sz w:val="16"/>
                <w:szCs w:val="16"/>
              </w:rPr>
            </w:pPr>
            <w:r w:rsidRPr="001E2F6E">
              <w:rPr>
                <w:b/>
                <w:bCs/>
                <w:sz w:val="16"/>
                <w:szCs w:val="16"/>
                <w:lang w:val="en-GB"/>
              </w:rPr>
              <w:t>LSM</w:t>
            </w:r>
          </w:p>
        </w:tc>
      </w:tr>
      <w:tr w:rsidR="00195BE7" w:rsidRPr="001E2F6E" w:rsidTr="00195BE7">
        <w:trPr>
          <w:jc w:val="center"/>
        </w:trPr>
        <w:tc>
          <w:tcPr>
            <w:tcW w:w="932" w:type="pct"/>
            <w:vMerge/>
            <w:tcBorders>
              <w:bottom w:val="single" w:sz="4" w:space="0" w:color="BFBFBF" w:themeColor="background1" w:themeShade="BF"/>
              <w:right w:val="single" w:sz="4" w:space="0" w:color="BFBFBF" w:themeColor="background1" w:themeShade="BF"/>
            </w:tcBorders>
            <w:shd w:val="clear" w:color="auto" w:fill="DBE5F1" w:themeFill="accent1" w:themeFillTint="33"/>
            <w:hideMark/>
          </w:tcPr>
          <w:p w:rsidR="00195BE7" w:rsidRPr="001E2F6E" w:rsidRDefault="00195BE7" w:rsidP="00195BE7">
            <w:pPr>
              <w:spacing w:line="240" w:lineRule="exact"/>
              <w:rPr>
                <w:sz w:val="16"/>
                <w:szCs w:val="16"/>
              </w:rPr>
            </w:pPr>
          </w:p>
        </w:tc>
        <w:tc>
          <w:tcPr>
            <w:tcW w:w="520"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hideMark/>
          </w:tcPr>
          <w:p w:rsidR="00195BE7" w:rsidRPr="001E2F6E" w:rsidRDefault="00195BE7" w:rsidP="00195BE7">
            <w:pPr>
              <w:spacing w:line="240" w:lineRule="exact"/>
              <w:jc w:val="center"/>
              <w:rPr>
                <w:b/>
                <w:bCs/>
                <w:sz w:val="16"/>
                <w:szCs w:val="16"/>
              </w:rPr>
            </w:pPr>
            <w:r w:rsidRPr="001E2F6E">
              <w:rPr>
                <w:b/>
                <w:bCs/>
                <w:sz w:val="16"/>
                <w:szCs w:val="16"/>
              </w:rPr>
              <w:t>z.a.</w:t>
            </w:r>
          </w:p>
        </w:tc>
        <w:tc>
          <w:tcPr>
            <w:tcW w:w="508"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hideMark/>
          </w:tcPr>
          <w:p w:rsidR="00195BE7" w:rsidRPr="001E2F6E" w:rsidRDefault="00195BE7" w:rsidP="00195BE7">
            <w:pPr>
              <w:spacing w:line="240" w:lineRule="exact"/>
              <w:jc w:val="center"/>
              <w:rPr>
                <w:b/>
                <w:bCs/>
                <w:sz w:val="16"/>
                <w:szCs w:val="16"/>
              </w:rPr>
            </w:pPr>
            <w:r w:rsidRPr="001E2F6E">
              <w:rPr>
                <w:b/>
                <w:bCs/>
                <w:sz w:val="16"/>
                <w:szCs w:val="16"/>
              </w:rPr>
              <w:t>%ber.</w:t>
            </w:r>
          </w:p>
        </w:tc>
        <w:tc>
          <w:tcPr>
            <w:tcW w:w="520"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hideMark/>
          </w:tcPr>
          <w:p w:rsidR="00195BE7" w:rsidRPr="001E2F6E" w:rsidRDefault="00195BE7" w:rsidP="00195BE7">
            <w:pPr>
              <w:spacing w:line="240" w:lineRule="exact"/>
              <w:jc w:val="center"/>
              <w:rPr>
                <w:b/>
                <w:bCs/>
                <w:sz w:val="16"/>
                <w:szCs w:val="16"/>
              </w:rPr>
            </w:pPr>
            <w:r w:rsidRPr="001E2F6E">
              <w:rPr>
                <w:b/>
                <w:bCs/>
                <w:sz w:val="16"/>
                <w:szCs w:val="16"/>
              </w:rPr>
              <w:t>z.a.</w:t>
            </w:r>
          </w:p>
        </w:tc>
        <w:tc>
          <w:tcPr>
            <w:tcW w:w="506"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hideMark/>
          </w:tcPr>
          <w:p w:rsidR="00195BE7" w:rsidRPr="001E2F6E" w:rsidRDefault="00195BE7" w:rsidP="00195BE7">
            <w:pPr>
              <w:spacing w:line="240" w:lineRule="exact"/>
              <w:jc w:val="center"/>
              <w:rPr>
                <w:b/>
                <w:bCs/>
                <w:sz w:val="16"/>
                <w:szCs w:val="16"/>
              </w:rPr>
            </w:pPr>
            <w:r w:rsidRPr="001E2F6E">
              <w:rPr>
                <w:b/>
                <w:bCs/>
                <w:sz w:val="16"/>
                <w:szCs w:val="16"/>
              </w:rPr>
              <w:t>%ber.</w:t>
            </w:r>
          </w:p>
        </w:tc>
        <w:tc>
          <w:tcPr>
            <w:tcW w:w="505"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hideMark/>
          </w:tcPr>
          <w:p w:rsidR="00195BE7" w:rsidRPr="001E2F6E" w:rsidRDefault="00195BE7" w:rsidP="00195BE7">
            <w:pPr>
              <w:spacing w:line="240" w:lineRule="exact"/>
              <w:jc w:val="center"/>
              <w:rPr>
                <w:b/>
                <w:bCs/>
                <w:sz w:val="16"/>
                <w:szCs w:val="16"/>
              </w:rPr>
            </w:pPr>
            <w:r w:rsidRPr="001E2F6E">
              <w:rPr>
                <w:b/>
                <w:bCs/>
                <w:sz w:val="16"/>
                <w:szCs w:val="16"/>
              </w:rPr>
              <w:t>z.a.</w:t>
            </w:r>
          </w:p>
        </w:tc>
        <w:tc>
          <w:tcPr>
            <w:tcW w:w="505"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hideMark/>
          </w:tcPr>
          <w:p w:rsidR="00195BE7" w:rsidRPr="001E2F6E" w:rsidRDefault="00195BE7" w:rsidP="00195BE7">
            <w:pPr>
              <w:spacing w:line="240" w:lineRule="exact"/>
              <w:jc w:val="center"/>
              <w:rPr>
                <w:b/>
                <w:bCs/>
                <w:sz w:val="16"/>
                <w:szCs w:val="16"/>
              </w:rPr>
            </w:pPr>
            <w:r w:rsidRPr="001E2F6E">
              <w:rPr>
                <w:b/>
                <w:bCs/>
                <w:sz w:val="16"/>
                <w:szCs w:val="16"/>
              </w:rPr>
              <w:t>%ber.</w:t>
            </w:r>
          </w:p>
        </w:tc>
        <w:tc>
          <w:tcPr>
            <w:tcW w:w="505"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hideMark/>
          </w:tcPr>
          <w:p w:rsidR="00195BE7" w:rsidRPr="001E2F6E" w:rsidRDefault="00195BE7" w:rsidP="00195BE7">
            <w:pPr>
              <w:spacing w:line="240" w:lineRule="exact"/>
              <w:jc w:val="center"/>
              <w:rPr>
                <w:b/>
                <w:bCs/>
                <w:sz w:val="16"/>
                <w:szCs w:val="16"/>
              </w:rPr>
            </w:pPr>
            <w:r w:rsidRPr="001E2F6E">
              <w:rPr>
                <w:b/>
                <w:bCs/>
                <w:sz w:val="16"/>
                <w:szCs w:val="16"/>
              </w:rPr>
              <w:t>z.a.</w:t>
            </w:r>
          </w:p>
        </w:tc>
        <w:tc>
          <w:tcPr>
            <w:tcW w:w="499" w:type="pct"/>
            <w:tcBorders>
              <w:top w:val="single" w:sz="4" w:space="0" w:color="BFBFBF" w:themeColor="background1" w:themeShade="BF"/>
              <w:bottom w:val="single" w:sz="4" w:space="0" w:color="BFBFBF" w:themeColor="background1" w:themeShade="BF"/>
            </w:tcBorders>
            <w:shd w:val="clear" w:color="auto" w:fill="DBE5F1" w:themeFill="accent1" w:themeFillTint="33"/>
            <w:hideMark/>
          </w:tcPr>
          <w:p w:rsidR="00195BE7" w:rsidRPr="001E2F6E" w:rsidRDefault="00195BE7" w:rsidP="00195BE7">
            <w:pPr>
              <w:spacing w:line="240" w:lineRule="exact"/>
              <w:jc w:val="center"/>
              <w:rPr>
                <w:b/>
                <w:bCs/>
                <w:sz w:val="16"/>
                <w:szCs w:val="16"/>
              </w:rPr>
            </w:pPr>
            <w:r w:rsidRPr="001E2F6E">
              <w:rPr>
                <w:b/>
                <w:bCs/>
                <w:sz w:val="16"/>
                <w:szCs w:val="16"/>
              </w:rPr>
              <w:t>%ber.</w:t>
            </w:r>
          </w:p>
        </w:tc>
      </w:tr>
      <w:tr w:rsidR="00195BE7" w:rsidRPr="001E2F6E" w:rsidTr="00195BE7">
        <w:trPr>
          <w:jc w:val="center"/>
        </w:trPr>
        <w:tc>
          <w:tcPr>
            <w:tcW w:w="932" w:type="pct"/>
            <w:tcBorders>
              <w:top w:val="single" w:sz="4" w:space="0" w:color="BFBFBF" w:themeColor="background1" w:themeShade="BF"/>
              <w:right w:val="single" w:sz="4" w:space="0" w:color="BFBFBF" w:themeColor="background1" w:themeShade="BF"/>
            </w:tcBorders>
            <w:vAlign w:val="bottom"/>
            <w:hideMark/>
          </w:tcPr>
          <w:p w:rsidR="00195BE7" w:rsidRPr="001E2F6E" w:rsidRDefault="00195BE7" w:rsidP="00195BE7">
            <w:pPr>
              <w:spacing w:line="240" w:lineRule="exact"/>
              <w:rPr>
                <w:sz w:val="16"/>
                <w:szCs w:val="16"/>
                <w:lang w:val="eu-ES"/>
              </w:rPr>
            </w:pPr>
            <w:r w:rsidRPr="001E2F6E">
              <w:rPr>
                <w:sz w:val="16"/>
                <w:szCs w:val="16"/>
                <w:lang w:val="eu-ES"/>
              </w:rPr>
              <w:t>Lehen sektorea</w:t>
            </w:r>
          </w:p>
        </w:tc>
        <w:tc>
          <w:tcPr>
            <w:tcW w:w="520" w:type="pct"/>
            <w:tcBorders>
              <w:top w:val="single" w:sz="4" w:space="0" w:color="BFBFBF" w:themeColor="background1" w:themeShade="BF"/>
              <w:left w:val="single" w:sz="4" w:space="0" w:color="BFBFBF" w:themeColor="background1" w:themeShade="BF"/>
            </w:tcBorders>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16</w:t>
            </w:r>
          </w:p>
        </w:tc>
        <w:tc>
          <w:tcPr>
            <w:tcW w:w="508" w:type="pct"/>
            <w:tcBorders>
              <w:top w:val="single" w:sz="4" w:space="0" w:color="BFBFBF" w:themeColor="background1" w:themeShade="BF"/>
              <w:right w:val="single" w:sz="4" w:space="0" w:color="BFBFBF" w:themeColor="background1" w:themeShade="BF"/>
            </w:tcBorders>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0,1</w:t>
            </w:r>
          </w:p>
        </w:tc>
        <w:tc>
          <w:tcPr>
            <w:tcW w:w="520" w:type="pct"/>
            <w:tcBorders>
              <w:top w:val="single" w:sz="4" w:space="0" w:color="BFBFBF" w:themeColor="background1" w:themeShade="BF"/>
              <w:left w:val="single" w:sz="4" w:space="0" w:color="BFBFBF" w:themeColor="background1" w:themeShade="BF"/>
            </w:tcBorders>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12</w:t>
            </w:r>
          </w:p>
        </w:tc>
        <w:tc>
          <w:tcPr>
            <w:tcW w:w="506" w:type="pct"/>
            <w:tcBorders>
              <w:top w:val="single" w:sz="4" w:space="0" w:color="BFBFBF" w:themeColor="background1" w:themeShade="BF"/>
              <w:right w:val="single" w:sz="4" w:space="0" w:color="BFBFBF" w:themeColor="background1" w:themeShade="BF"/>
            </w:tcBorders>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0,0</w:t>
            </w:r>
          </w:p>
        </w:tc>
        <w:tc>
          <w:tcPr>
            <w:tcW w:w="505" w:type="pct"/>
            <w:tcBorders>
              <w:top w:val="single" w:sz="4" w:space="0" w:color="BFBFBF" w:themeColor="background1" w:themeShade="BF"/>
              <w:left w:val="single" w:sz="4" w:space="0" w:color="BFBFBF" w:themeColor="background1" w:themeShade="BF"/>
            </w:tcBorders>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0</w:t>
            </w:r>
          </w:p>
        </w:tc>
        <w:tc>
          <w:tcPr>
            <w:tcW w:w="505" w:type="pct"/>
            <w:tcBorders>
              <w:top w:val="single" w:sz="4" w:space="0" w:color="BFBFBF" w:themeColor="background1" w:themeShade="BF"/>
              <w:right w:val="single" w:sz="4" w:space="0" w:color="BFBFBF" w:themeColor="background1" w:themeShade="BF"/>
            </w:tcBorders>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0,0</w:t>
            </w:r>
          </w:p>
        </w:tc>
        <w:tc>
          <w:tcPr>
            <w:tcW w:w="505" w:type="pct"/>
            <w:tcBorders>
              <w:top w:val="single" w:sz="4" w:space="0" w:color="BFBFBF" w:themeColor="background1" w:themeShade="BF"/>
              <w:left w:val="single" w:sz="4" w:space="0" w:color="BFBFBF" w:themeColor="background1" w:themeShade="BF"/>
            </w:tcBorders>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4</w:t>
            </w:r>
          </w:p>
        </w:tc>
        <w:tc>
          <w:tcPr>
            <w:tcW w:w="499" w:type="pct"/>
            <w:tcBorders>
              <w:top w:val="single" w:sz="4" w:space="0" w:color="BFBFBF" w:themeColor="background1" w:themeShade="BF"/>
            </w:tcBorders>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0,2</w:t>
            </w:r>
          </w:p>
        </w:tc>
      </w:tr>
      <w:tr w:rsidR="00195BE7" w:rsidRPr="001E2F6E" w:rsidTr="00195BE7">
        <w:trPr>
          <w:jc w:val="center"/>
        </w:trPr>
        <w:tc>
          <w:tcPr>
            <w:tcW w:w="932" w:type="pct"/>
            <w:tcBorders>
              <w:right w:val="single" w:sz="4" w:space="0" w:color="BFBFBF" w:themeColor="background1" w:themeShade="BF"/>
            </w:tcBorders>
            <w:vAlign w:val="bottom"/>
            <w:hideMark/>
          </w:tcPr>
          <w:p w:rsidR="00195BE7" w:rsidRPr="001E2F6E" w:rsidRDefault="00195BE7" w:rsidP="00195BE7">
            <w:pPr>
              <w:spacing w:line="240" w:lineRule="exact"/>
              <w:rPr>
                <w:sz w:val="16"/>
                <w:szCs w:val="16"/>
                <w:lang w:val="eu-ES"/>
              </w:rPr>
            </w:pPr>
            <w:r w:rsidRPr="001E2F6E">
              <w:rPr>
                <w:sz w:val="16"/>
                <w:szCs w:val="16"/>
                <w:lang w:val="eu-ES"/>
              </w:rPr>
              <w:t>Industria</w:t>
            </w:r>
          </w:p>
        </w:tc>
        <w:tc>
          <w:tcPr>
            <w:tcW w:w="520" w:type="pct"/>
            <w:tcBorders>
              <w:left w:val="single" w:sz="4" w:space="0" w:color="BFBFBF" w:themeColor="background1" w:themeShade="BF"/>
            </w:tcBorders>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16.528</w:t>
            </w:r>
          </w:p>
        </w:tc>
        <w:tc>
          <w:tcPr>
            <w:tcW w:w="508" w:type="pct"/>
            <w:tcBorders>
              <w:right w:val="single" w:sz="4" w:space="0" w:color="BFBFBF" w:themeColor="background1" w:themeShade="BF"/>
            </w:tcBorders>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57,2</w:t>
            </w:r>
          </w:p>
        </w:tc>
        <w:tc>
          <w:tcPr>
            <w:tcW w:w="520" w:type="pct"/>
            <w:tcBorders>
              <w:left w:val="single" w:sz="4" w:space="0" w:color="BFBFBF" w:themeColor="background1" w:themeShade="BF"/>
            </w:tcBorders>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13.995</w:t>
            </w:r>
          </w:p>
        </w:tc>
        <w:tc>
          <w:tcPr>
            <w:tcW w:w="506" w:type="pct"/>
            <w:tcBorders>
              <w:right w:val="single" w:sz="4" w:space="0" w:color="BFBFBF" w:themeColor="background1" w:themeShade="BF"/>
            </w:tcBorders>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55,3</w:t>
            </w:r>
          </w:p>
        </w:tc>
        <w:tc>
          <w:tcPr>
            <w:tcW w:w="505" w:type="pct"/>
            <w:tcBorders>
              <w:left w:val="single" w:sz="4" w:space="0" w:color="BFBFBF" w:themeColor="background1" w:themeShade="BF"/>
            </w:tcBorders>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1.249</w:t>
            </w:r>
          </w:p>
        </w:tc>
        <w:tc>
          <w:tcPr>
            <w:tcW w:w="505" w:type="pct"/>
            <w:tcBorders>
              <w:right w:val="single" w:sz="4" w:space="0" w:color="BFBFBF" w:themeColor="background1" w:themeShade="BF"/>
            </w:tcBorders>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74,8</w:t>
            </w:r>
          </w:p>
        </w:tc>
        <w:tc>
          <w:tcPr>
            <w:tcW w:w="505" w:type="pct"/>
            <w:tcBorders>
              <w:left w:val="single" w:sz="4" w:space="0" w:color="BFBFBF" w:themeColor="background1" w:themeShade="BF"/>
            </w:tcBorders>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1.284</w:t>
            </w:r>
          </w:p>
        </w:tc>
        <w:tc>
          <w:tcPr>
            <w:tcW w:w="499" w:type="pct"/>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67,2</w:t>
            </w:r>
          </w:p>
        </w:tc>
      </w:tr>
      <w:tr w:rsidR="00195BE7" w:rsidRPr="001E2F6E" w:rsidTr="00195BE7">
        <w:trPr>
          <w:jc w:val="center"/>
        </w:trPr>
        <w:tc>
          <w:tcPr>
            <w:tcW w:w="932" w:type="pct"/>
            <w:tcBorders>
              <w:right w:val="single" w:sz="4" w:space="0" w:color="BFBFBF" w:themeColor="background1" w:themeShade="BF"/>
            </w:tcBorders>
            <w:vAlign w:val="bottom"/>
            <w:hideMark/>
          </w:tcPr>
          <w:p w:rsidR="00195BE7" w:rsidRPr="001E2F6E" w:rsidRDefault="00195BE7" w:rsidP="00195BE7">
            <w:pPr>
              <w:spacing w:line="240" w:lineRule="exact"/>
              <w:rPr>
                <w:sz w:val="16"/>
                <w:szCs w:val="16"/>
                <w:lang w:val="eu-ES"/>
              </w:rPr>
            </w:pPr>
            <w:r w:rsidRPr="001E2F6E">
              <w:rPr>
                <w:sz w:val="16"/>
                <w:szCs w:val="16"/>
                <w:lang w:val="eu-ES"/>
              </w:rPr>
              <w:t>Eraikuntza</w:t>
            </w:r>
          </w:p>
        </w:tc>
        <w:tc>
          <w:tcPr>
            <w:tcW w:w="520" w:type="pct"/>
            <w:tcBorders>
              <w:left w:val="single" w:sz="4" w:space="0" w:color="BFBFBF" w:themeColor="background1" w:themeShade="BF"/>
            </w:tcBorders>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686</w:t>
            </w:r>
          </w:p>
        </w:tc>
        <w:tc>
          <w:tcPr>
            <w:tcW w:w="508" w:type="pct"/>
            <w:tcBorders>
              <w:right w:val="single" w:sz="4" w:space="0" w:color="BFBFBF" w:themeColor="background1" w:themeShade="BF"/>
            </w:tcBorders>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2,4</w:t>
            </w:r>
          </w:p>
        </w:tc>
        <w:tc>
          <w:tcPr>
            <w:tcW w:w="520" w:type="pct"/>
            <w:tcBorders>
              <w:left w:val="single" w:sz="4" w:space="0" w:color="BFBFBF" w:themeColor="background1" w:themeShade="BF"/>
            </w:tcBorders>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436</w:t>
            </w:r>
          </w:p>
        </w:tc>
        <w:tc>
          <w:tcPr>
            <w:tcW w:w="506" w:type="pct"/>
            <w:tcBorders>
              <w:right w:val="single" w:sz="4" w:space="0" w:color="BFBFBF" w:themeColor="background1" w:themeShade="BF"/>
            </w:tcBorders>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1,7</w:t>
            </w:r>
          </w:p>
        </w:tc>
        <w:tc>
          <w:tcPr>
            <w:tcW w:w="505" w:type="pct"/>
            <w:tcBorders>
              <w:left w:val="single" w:sz="4" w:space="0" w:color="BFBFBF" w:themeColor="background1" w:themeShade="BF"/>
            </w:tcBorders>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81</w:t>
            </w:r>
          </w:p>
        </w:tc>
        <w:tc>
          <w:tcPr>
            <w:tcW w:w="505" w:type="pct"/>
            <w:tcBorders>
              <w:right w:val="single" w:sz="4" w:space="0" w:color="BFBFBF" w:themeColor="background1" w:themeShade="BF"/>
            </w:tcBorders>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4,9</w:t>
            </w:r>
          </w:p>
        </w:tc>
        <w:tc>
          <w:tcPr>
            <w:tcW w:w="505" w:type="pct"/>
            <w:tcBorders>
              <w:left w:val="single" w:sz="4" w:space="0" w:color="BFBFBF" w:themeColor="background1" w:themeShade="BF"/>
            </w:tcBorders>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169</w:t>
            </w:r>
          </w:p>
        </w:tc>
        <w:tc>
          <w:tcPr>
            <w:tcW w:w="499" w:type="pct"/>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8,8</w:t>
            </w:r>
          </w:p>
        </w:tc>
      </w:tr>
      <w:tr w:rsidR="00195BE7" w:rsidRPr="001E2F6E" w:rsidTr="00195BE7">
        <w:trPr>
          <w:jc w:val="center"/>
        </w:trPr>
        <w:tc>
          <w:tcPr>
            <w:tcW w:w="932" w:type="pct"/>
            <w:tcBorders>
              <w:bottom w:val="single" w:sz="4" w:space="0" w:color="BFBFBF" w:themeColor="background1" w:themeShade="BF"/>
              <w:right w:val="single" w:sz="4" w:space="0" w:color="BFBFBF" w:themeColor="background1" w:themeShade="BF"/>
            </w:tcBorders>
            <w:vAlign w:val="bottom"/>
            <w:hideMark/>
          </w:tcPr>
          <w:p w:rsidR="00195BE7" w:rsidRPr="001E2F6E" w:rsidRDefault="00195BE7" w:rsidP="00195BE7">
            <w:pPr>
              <w:spacing w:line="240" w:lineRule="exact"/>
              <w:rPr>
                <w:sz w:val="16"/>
                <w:szCs w:val="16"/>
                <w:lang w:val="eu-ES"/>
              </w:rPr>
            </w:pPr>
            <w:r w:rsidRPr="001E2F6E">
              <w:rPr>
                <w:sz w:val="16"/>
                <w:szCs w:val="16"/>
                <w:lang w:val="eu-ES"/>
              </w:rPr>
              <w:t>Zerbitzuak</w:t>
            </w:r>
          </w:p>
        </w:tc>
        <w:tc>
          <w:tcPr>
            <w:tcW w:w="520" w:type="pct"/>
            <w:tcBorders>
              <w:left w:val="single" w:sz="4" w:space="0" w:color="BFBFBF" w:themeColor="background1" w:themeShade="BF"/>
              <w:bottom w:val="single" w:sz="4" w:space="0" w:color="BFBFBF" w:themeColor="background1" w:themeShade="BF"/>
            </w:tcBorders>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11.646</w:t>
            </w:r>
          </w:p>
        </w:tc>
        <w:tc>
          <w:tcPr>
            <w:tcW w:w="508" w:type="pct"/>
            <w:tcBorders>
              <w:bottom w:val="single" w:sz="4" w:space="0" w:color="BFBFBF" w:themeColor="background1" w:themeShade="BF"/>
              <w:right w:val="single" w:sz="4" w:space="0" w:color="BFBFBF" w:themeColor="background1" w:themeShade="BF"/>
            </w:tcBorders>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40,3</w:t>
            </w:r>
          </w:p>
        </w:tc>
        <w:tc>
          <w:tcPr>
            <w:tcW w:w="520" w:type="pct"/>
            <w:tcBorders>
              <w:left w:val="single" w:sz="4" w:space="0" w:color="BFBFBF" w:themeColor="background1" w:themeShade="BF"/>
              <w:bottom w:val="single" w:sz="4" w:space="0" w:color="BFBFBF" w:themeColor="background1" w:themeShade="BF"/>
            </w:tcBorders>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10.851</w:t>
            </w:r>
          </w:p>
        </w:tc>
        <w:tc>
          <w:tcPr>
            <w:tcW w:w="506" w:type="pct"/>
            <w:tcBorders>
              <w:bottom w:val="single" w:sz="4" w:space="0" w:color="BFBFBF" w:themeColor="background1" w:themeShade="BF"/>
              <w:right w:val="single" w:sz="4" w:space="0" w:color="BFBFBF" w:themeColor="background1" w:themeShade="BF"/>
            </w:tcBorders>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42,9</w:t>
            </w:r>
          </w:p>
        </w:tc>
        <w:tc>
          <w:tcPr>
            <w:tcW w:w="505" w:type="pct"/>
            <w:tcBorders>
              <w:left w:val="single" w:sz="4" w:space="0" w:color="BFBFBF" w:themeColor="background1" w:themeShade="BF"/>
              <w:bottom w:val="single" w:sz="4" w:space="0" w:color="BFBFBF" w:themeColor="background1" w:themeShade="BF"/>
            </w:tcBorders>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340</w:t>
            </w:r>
          </w:p>
        </w:tc>
        <w:tc>
          <w:tcPr>
            <w:tcW w:w="505" w:type="pct"/>
            <w:tcBorders>
              <w:bottom w:val="single" w:sz="4" w:space="0" w:color="BFBFBF" w:themeColor="background1" w:themeShade="BF"/>
              <w:right w:val="single" w:sz="4" w:space="0" w:color="BFBFBF" w:themeColor="background1" w:themeShade="BF"/>
            </w:tcBorders>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20,4</w:t>
            </w:r>
          </w:p>
        </w:tc>
        <w:tc>
          <w:tcPr>
            <w:tcW w:w="505" w:type="pct"/>
            <w:tcBorders>
              <w:left w:val="single" w:sz="4" w:space="0" w:color="BFBFBF" w:themeColor="background1" w:themeShade="BF"/>
              <w:bottom w:val="single" w:sz="4" w:space="0" w:color="BFBFBF" w:themeColor="background1" w:themeShade="BF"/>
            </w:tcBorders>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455</w:t>
            </w:r>
          </w:p>
        </w:tc>
        <w:tc>
          <w:tcPr>
            <w:tcW w:w="499" w:type="pct"/>
            <w:tcBorders>
              <w:bottom w:val="single" w:sz="4" w:space="0" w:color="BFBFBF" w:themeColor="background1" w:themeShade="BF"/>
            </w:tcBorders>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23,8</w:t>
            </w:r>
          </w:p>
        </w:tc>
      </w:tr>
      <w:tr w:rsidR="00195BE7" w:rsidRPr="001E2F6E" w:rsidTr="00195BE7">
        <w:trPr>
          <w:jc w:val="center"/>
        </w:trPr>
        <w:tc>
          <w:tcPr>
            <w:tcW w:w="932" w:type="pct"/>
            <w:tcBorders>
              <w:top w:val="single" w:sz="4" w:space="0" w:color="BFBFBF" w:themeColor="background1" w:themeShade="BF"/>
              <w:bottom w:val="single" w:sz="4" w:space="0" w:color="BFBFBF" w:themeColor="background1" w:themeShade="BF"/>
              <w:right w:val="single" w:sz="4" w:space="0" w:color="BFBFBF" w:themeColor="background1" w:themeShade="BF"/>
            </w:tcBorders>
            <w:vAlign w:val="bottom"/>
            <w:hideMark/>
          </w:tcPr>
          <w:p w:rsidR="00195BE7" w:rsidRPr="001E2F6E" w:rsidRDefault="00195BE7" w:rsidP="00195BE7">
            <w:pPr>
              <w:spacing w:line="240" w:lineRule="exact"/>
              <w:rPr>
                <w:b/>
                <w:bCs/>
                <w:sz w:val="16"/>
                <w:szCs w:val="16"/>
                <w:lang w:val="eu-ES"/>
              </w:rPr>
            </w:pPr>
            <w:r w:rsidRPr="001E2F6E">
              <w:rPr>
                <w:b/>
                <w:bCs/>
                <w:sz w:val="16"/>
                <w:szCs w:val="16"/>
                <w:lang w:val="eu-ES"/>
              </w:rPr>
              <w:t>GUZTIRA</w:t>
            </w:r>
          </w:p>
        </w:tc>
        <w:tc>
          <w:tcPr>
            <w:tcW w:w="520" w:type="pct"/>
            <w:tcBorders>
              <w:top w:val="single" w:sz="4" w:space="0" w:color="BFBFBF" w:themeColor="background1" w:themeShade="BF"/>
              <w:left w:val="single" w:sz="4" w:space="0" w:color="BFBFBF" w:themeColor="background1" w:themeShade="BF"/>
              <w:bottom w:val="single" w:sz="4" w:space="0" w:color="BFBFBF" w:themeColor="background1" w:themeShade="BF"/>
            </w:tcBorders>
            <w:hideMark/>
          </w:tcPr>
          <w:p w:rsidR="00195BE7" w:rsidRPr="001E2F6E" w:rsidRDefault="00195BE7" w:rsidP="00195BE7">
            <w:pPr>
              <w:spacing w:line="240" w:lineRule="exact"/>
              <w:ind w:right="170"/>
              <w:jc w:val="right"/>
              <w:rPr>
                <w:b/>
                <w:bCs/>
                <w:color w:val="000000"/>
                <w:sz w:val="16"/>
                <w:szCs w:val="16"/>
              </w:rPr>
            </w:pPr>
            <w:r w:rsidRPr="001E2F6E">
              <w:rPr>
                <w:b/>
                <w:bCs/>
                <w:color w:val="000000"/>
                <w:sz w:val="16"/>
                <w:szCs w:val="16"/>
              </w:rPr>
              <w:t>28.876</w:t>
            </w:r>
          </w:p>
        </w:tc>
        <w:tc>
          <w:tcPr>
            <w:tcW w:w="508" w:type="pct"/>
            <w:tcBorders>
              <w:top w:val="single" w:sz="4" w:space="0" w:color="BFBFBF" w:themeColor="background1" w:themeShade="BF"/>
              <w:bottom w:val="single" w:sz="4" w:space="0" w:color="BFBFBF" w:themeColor="background1" w:themeShade="BF"/>
              <w:right w:val="single" w:sz="4" w:space="0" w:color="BFBFBF" w:themeColor="background1" w:themeShade="BF"/>
            </w:tcBorders>
            <w:hideMark/>
          </w:tcPr>
          <w:p w:rsidR="00195BE7" w:rsidRPr="001E2F6E" w:rsidRDefault="00195BE7" w:rsidP="00195BE7">
            <w:pPr>
              <w:spacing w:line="240" w:lineRule="exact"/>
              <w:ind w:right="170"/>
              <w:jc w:val="right"/>
              <w:rPr>
                <w:b/>
                <w:bCs/>
                <w:color w:val="000000"/>
                <w:sz w:val="16"/>
                <w:szCs w:val="16"/>
              </w:rPr>
            </w:pPr>
            <w:r w:rsidRPr="001E2F6E">
              <w:rPr>
                <w:b/>
                <w:bCs/>
                <w:color w:val="000000"/>
                <w:sz w:val="16"/>
                <w:szCs w:val="16"/>
              </w:rPr>
              <w:t>100</w:t>
            </w:r>
          </w:p>
        </w:tc>
        <w:tc>
          <w:tcPr>
            <w:tcW w:w="520" w:type="pct"/>
            <w:tcBorders>
              <w:top w:val="single" w:sz="4" w:space="0" w:color="BFBFBF" w:themeColor="background1" w:themeShade="BF"/>
              <w:left w:val="single" w:sz="4" w:space="0" w:color="BFBFBF" w:themeColor="background1" w:themeShade="BF"/>
              <w:bottom w:val="single" w:sz="4" w:space="0" w:color="BFBFBF" w:themeColor="background1" w:themeShade="BF"/>
            </w:tcBorders>
            <w:hideMark/>
          </w:tcPr>
          <w:p w:rsidR="00195BE7" w:rsidRPr="001E2F6E" w:rsidRDefault="00195BE7" w:rsidP="00195BE7">
            <w:pPr>
              <w:spacing w:line="240" w:lineRule="exact"/>
              <w:ind w:right="170"/>
              <w:jc w:val="right"/>
              <w:rPr>
                <w:b/>
                <w:bCs/>
                <w:color w:val="000000"/>
                <w:sz w:val="16"/>
                <w:szCs w:val="16"/>
              </w:rPr>
            </w:pPr>
            <w:r w:rsidRPr="001E2F6E">
              <w:rPr>
                <w:b/>
                <w:bCs/>
                <w:color w:val="000000"/>
                <w:sz w:val="16"/>
                <w:szCs w:val="16"/>
              </w:rPr>
              <w:t>25.294</w:t>
            </w:r>
          </w:p>
        </w:tc>
        <w:tc>
          <w:tcPr>
            <w:tcW w:w="506" w:type="pct"/>
            <w:tcBorders>
              <w:top w:val="single" w:sz="4" w:space="0" w:color="BFBFBF" w:themeColor="background1" w:themeShade="BF"/>
              <w:bottom w:val="single" w:sz="4" w:space="0" w:color="BFBFBF" w:themeColor="background1" w:themeShade="BF"/>
              <w:right w:val="single" w:sz="4" w:space="0" w:color="BFBFBF" w:themeColor="background1" w:themeShade="BF"/>
            </w:tcBorders>
            <w:hideMark/>
          </w:tcPr>
          <w:p w:rsidR="00195BE7" w:rsidRPr="001E2F6E" w:rsidRDefault="00195BE7" w:rsidP="00195BE7">
            <w:pPr>
              <w:spacing w:line="240" w:lineRule="exact"/>
              <w:ind w:right="170"/>
              <w:jc w:val="right"/>
              <w:rPr>
                <w:b/>
                <w:bCs/>
                <w:color w:val="000000"/>
                <w:sz w:val="16"/>
                <w:szCs w:val="16"/>
              </w:rPr>
            </w:pPr>
            <w:r w:rsidRPr="001E2F6E">
              <w:rPr>
                <w:b/>
                <w:bCs/>
                <w:color w:val="000000"/>
                <w:sz w:val="16"/>
                <w:szCs w:val="16"/>
              </w:rPr>
              <w:t>100</w:t>
            </w:r>
          </w:p>
        </w:tc>
        <w:tc>
          <w:tcPr>
            <w:tcW w:w="505" w:type="pct"/>
            <w:tcBorders>
              <w:top w:val="single" w:sz="4" w:space="0" w:color="BFBFBF" w:themeColor="background1" w:themeShade="BF"/>
              <w:left w:val="single" w:sz="4" w:space="0" w:color="BFBFBF" w:themeColor="background1" w:themeShade="BF"/>
              <w:bottom w:val="single" w:sz="4" w:space="0" w:color="BFBFBF" w:themeColor="background1" w:themeShade="BF"/>
            </w:tcBorders>
            <w:hideMark/>
          </w:tcPr>
          <w:p w:rsidR="00195BE7" w:rsidRPr="001E2F6E" w:rsidRDefault="00195BE7" w:rsidP="00195BE7">
            <w:pPr>
              <w:spacing w:line="240" w:lineRule="exact"/>
              <w:ind w:right="170"/>
              <w:jc w:val="right"/>
              <w:rPr>
                <w:b/>
                <w:bCs/>
                <w:color w:val="000000"/>
                <w:sz w:val="16"/>
                <w:szCs w:val="16"/>
              </w:rPr>
            </w:pPr>
            <w:r w:rsidRPr="001E2F6E">
              <w:rPr>
                <w:b/>
                <w:bCs/>
                <w:color w:val="000000"/>
                <w:sz w:val="16"/>
                <w:szCs w:val="16"/>
              </w:rPr>
              <w:t>1.670</w:t>
            </w:r>
          </w:p>
        </w:tc>
        <w:tc>
          <w:tcPr>
            <w:tcW w:w="505" w:type="pct"/>
            <w:tcBorders>
              <w:top w:val="single" w:sz="4" w:space="0" w:color="BFBFBF" w:themeColor="background1" w:themeShade="BF"/>
              <w:bottom w:val="single" w:sz="4" w:space="0" w:color="BFBFBF" w:themeColor="background1" w:themeShade="BF"/>
              <w:right w:val="single" w:sz="4" w:space="0" w:color="BFBFBF" w:themeColor="background1" w:themeShade="BF"/>
            </w:tcBorders>
            <w:hideMark/>
          </w:tcPr>
          <w:p w:rsidR="00195BE7" w:rsidRPr="001E2F6E" w:rsidRDefault="00195BE7" w:rsidP="00195BE7">
            <w:pPr>
              <w:spacing w:line="240" w:lineRule="exact"/>
              <w:ind w:right="170"/>
              <w:jc w:val="right"/>
              <w:rPr>
                <w:b/>
                <w:bCs/>
                <w:color w:val="000000"/>
                <w:sz w:val="16"/>
                <w:szCs w:val="16"/>
              </w:rPr>
            </w:pPr>
            <w:r w:rsidRPr="001E2F6E">
              <w:rPr>
                <w:b/>
                <w:bCs/>
                <w:color w:val="000000"/>
                <w:sz w:val="16"/>
                <w:szCs w:val="16"/>
              </w:rPr>
              <w:t>100</w:t>
            </w:r>
          </w:p>
        </w:tc>
        <w:tc>
          <w:tcPr>
            <w:tcW w:w="505" w:type="pct"/>
            <w:tcBorders>
              <w:top w:val="single" w:sz="4" w:space="0" w:color="BFBFBF" w:themeColor="background1" w:themeShade="BF"/>
              <w:left w:val="single" w:sz="4" w:space="0" w:color="BFBFBF" w:themeColor="background1" w:themeShade="BF"/>
              <w:bottom w:val="single" w:sz="4" w:space="0" w:color="BFBFBF" w:themeColor="background1" w:themeShade="BF"/>
            </w:tcBorders>
            <w:hideMark/>
          </w:tcPr>
          <w:p w:rsidR="00195BE7" w:rsidRPr="001E2F6E" w:rsidRDefault="00195BE7" w:rsidP="00195BE7">
            <w:pPr>
              <w:spacing w:line="240" w:lineRule="exact"/>
              <w:ind w:right="170"/>
              <w:jc w:val="right"/>
              <w:rPr>
                <w:b/>
                <w:bCs/>
                <w:color w:val="000000"/>
                <w:sz w:val="16"/>
                <w:szCs w:val="16"/>
              </w:rPr>
            </w:pPr>
            <w:r w:rsidRPr="001E2F6E">
              <w:rPr>
                <w:b/>
                <w:bCs/>
                <w:color w:val="000000"/>
                <w:sz w:val="16"/>
                <w:szCs w:val="16"/>
              </w:rPr>
              <w:t>1.912</w:t>
            </w:r>
          </w:p>
        </w:tc>
        <w:tc>
          <w:tcPr>
            <w:tcW w:w="499" w:type="pct"/>
            <w:tcBorders>
              <w:top w:val="single" w:sz="4" w:space="0" w:color="BFBFBF" w:themeColor="background1" w:themeShade="BF"/>
              <w:bottom w:val="single" w:sz="4" w:space="0" w:color="BFBFBF" w:themeColor="background1" w:themeShade="BF"/>
            </w:tcBorders>
            <w:hideMark/>
          </w:tcPr>
          <w:p w:rsidR="00195BE7" w:rsidRPr="001E2F6E" w:rsidRDefault="00195BE7" w:rsidP="00195BE7">
            <w:pPr>
              <w:spacing w:line="240" w:lineRule="exact"/>
              <w:ind w:right="170"/>
              <w:jc w:val="right"/>
              <w:rPr>
                <w:b/>
                <w:bCs/>
                <w:color w:val="000000"/>
                <w:sz w:val="16"/>
                <w:szCs w:val="16"/>
              </w:rPr>
            </w:pPr>
            <w:r w:rsidRPr="001E2F6E">
              <w:rPr>
                <w:b/>
                <w:bCs/>
                <w:color w:val="000000"/>
                <w:sz w:val="16"/>
                <w:szCs w:val="16"/>
              </w:rPr>
              <w:t>100</w:t>
            </w:r>
          </w:p>
        </w:tc>
      </w:tr>
    </w:tbl>
    <w:p w:rsidR="00195BE7" w:rsidRPr="001E2F6E" w:rsidRDefault="00195BE7" w:rsidP="00195BE7"/>
    <w:p w:rsidR="00195BE7" w:rsidRPr="001E2F6E" w:rsidRDefault="00195BE7" w:rsidP="00195BE7"/>
    <w:p w:rsidR="00195BE7" w:rsidRPr="001E2F6E" w:rsidRDefault="00195BE7" w:rsidP="00195BE7">
      <w:pPr>
        <w:pStyle w:val="Sangra2detindependiente"/>
        <w:ind w:left="0" w:firstLine="0"/>
        <w:jc w:val="center"/>
        <w:rPr>
          <w:rFonts w:ascii="Arial" w:hAnsi="Arial" w:cs="Arial"/>
          <w:b/>
          <w:color w:val="1F497D" w:themeColor="text2"/>
          <w:sz w:val="18"/>
          <w:szCs w:val="18"/>
          <w:lang w:val="es-ES_tradnl"/>
        </w:rPr>
      </w:pPr>
      <w:bookmarkStart w:id="158" w:name="_Toc391989110"/>
      <w:bookmarkStart w:id="159" w:name="_Toc392585775"/>
      <w:r w:rsidRPr="001E2F6E">
        <w:rPr>
          <w:rFonts w:ascii="Arial" w:hAnsi="Arial" w:cs="Arial"/>
          <w:b/>
          <w:color w:val="1F497D" w:themeColor="text2"/>
          <w:sz w:val="18"/>
          <w:szCs w:val="18"/>
          <w:lang w:val="es-ES_tradnl"/>
        </w:rPr>
        <w:t>1.</w:t>
      </w:r>
      <w:r w:rsidR="00EB6BA6" w:rsidRPr="001E2F6E">
        <w:rPr>
          <w:rFonts w:ascii="Arial" w:hAnsi="Arial" w:cs="Arial"/>
          <w:b/>
          <w:color w:val="1F497D" w:themeColor="text2"/>
          <w:sz w:val="18"/>
          <w:szCs w:val="18"/>
          <w:lang w:val="es-ES_tradnl"/>
        </w:rPr>
        <w:fldChar w:fldCharType="begin"/>
      </w:r>
      <w:r w:rsidRPr="001E2F6E">
        <w:rPr>
          <w:rFonts w:ascii="Arial" w:hAnsi="Arial" w:cs="Arial"/>
          <w:b/>
          <w:color w:val="1F497D" w:themeColor="text2"/>
          <w:sz w:val="18"/>
          <w:szCs w:val="18"/>
          <w:lang w:val="es-ES_tradnl"/>
        </w:rPr>
        <w:instrText xml:space="preserve"> SEQ Cuadro_1. \* ARABIC </w:instrText>
      </w:r>
      <w:r w:rsidR="00EB6BA6" w:rsidRPr="001E2F6E">
        <w:rPr>
          <w:rFonts w:ascii="Arial" w:hAnsi="Arial" w:cs="Arial"/>
          <w:b/>
          <w:color w:val="1F497D" w:themeColor="text2"/>
          <w:sz w:val="18"/>
          <w:szCs w:val="18"/>
          <w:lang w:val="es-ES_tradnl"/>
        </w:rPr>
        <w:fldChar w:fldCharType="separate"/>
      </w:r>
      <w:r w:rsidR="00A327D4">
        <w:rPr>
          <w:rFonts w:ascii="Arial" w:hAnsi="Arial" w:cs="Arial"/>
          <w:b/>
          <w:noProof/>
          <w:color w:val="1F497D" w:themeColor="text2"/>
          <w:sz w:val="18"/>
          <w:szCs w:val="18"/>
          <w:lang w:val="es-ES_tradnl"/>
        </w:rPr>
        <w:t>40</w:t>
      </w:r>
      <w:r w:rsidR="00EB6BA6" w:rsidRPr="001E2F6E">
        <w:rPr>
          <w:rFonts w:ascii="Arial" w:hAnsi="Arial" w:cs="Arial"/>
          <w:b/>
          <w:color w:val="1F497D" w:themeColor="text2"/>
          <w:sz w:val="18"/>
          <w:szCs w:val="18"/>
          <w:lang w:val="es-ES_tradnl"/>
        </w:rPr>
        <w:fldChar w:fldCharType="end"/>
      </w:r>
      <w:r w:rsidRPr="001E2F6E">
        <w:rPr>
          <w:rFonts w:ascii="Arial" w:hAnsi="Arial" w:cs="Arial"/>
          <w:b/>
          <w:color w:val="1F497D" w:themeColor="text2"/>
          <w:sz w:val="18"/>
          <w:szCs w:val="18"/>
          <w:lang w:val="es-ES_tradnl"/>
        </w:rPr>
        <w:t xml:space="preserve"> Taula GIZARTE-EKONOMIAREN INDUSTRIA-ENPLEGUAREN LURRALDE-BANAKETA ETA BILAKAERA. 2010-2012</w:t>
      </w:r>
      <w:bookmarkEnd w:id="158"/>
      <w:bookmarkEnd w:id="159"/>
    </w:p>
    <w:tbl>
      <w:tblPr>
        <w:tblW w:w="5000" w:type="pct"/>
        <w:jc w:val="center"/>
        <w:tblLook w:val="04A0" w:firstRow="1" w:lastRow="0" w:firstColumn="1" w:lastColumn="0" w:noHBand="0" w:noVBand="1"/>
      </w:tblPr>
      <w:tblGrid>
        <w:gridCol w:w="1350"/>
        <w:gridCol w:w="1174"/>
        <w:gridCol w:w="1333"/>
        <w:gridCol w:w="1174"/>
        <w:gridCol w:w="1333"/>
        <w:gridCol w:w="1307"/>
        <w:gridCol w:w="1333"/>
      </w:tblGrid>
      <w:tr w:rsidR="00195BE7" w:rsidRPr="001E2F6E" w:rsidTr="00195BE7">
        <w:trPr>
          <w:jc w:val="center"/>
        </w:trPr>
        <w:tc>
          <w:tcPr>
            <w:tcW w:w="750" w:type="pct"/>
            <w:tcBorders>
              <w:top w:val="single" w:sz="4" w:space="0" w:color="BFBFBF" w:themeColor="background1" w:themeShade="BF"/>
              <w:right w:val="single" w:sz="4" w:space="0" w:color="BFBFBF" w:themeColor="background1" w:themeShade="BF"/>
            </w:tcBorders>
            <w:shd w:val="clear" w:color="auto" w:fill="DBE5F1" w:themeFill="accent1" w:themeFillTint="33"/>
          </w:tcPr>
          <w:p w:rsidR="00195BE7" w:rsidRPr="001E2F6E" w:rsidRDefault="00195BE7" w:rsidP="00195BE7">
            <w:pPr>
              <w:spacing w:line="240" w:lineRule="exact"/>
              <w:ind w:right="170"/>
              <w:jc w:val="center"/>
              <w:rPr>
                <w:bCs/>
                <w:sz w:val="16"/>
                <w:szCs w:val="16"/>
              </w:rPr>
            </w:pPr>
          </w:p>
        </w:tc>
        <w:tc>
          <w:tcPr>
            <w:tcW w:w="1392"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tcPr>
          <w:p w:rsidR="00195BE7" w:rsidRPr="001E2F6E" w:rsidRDefault="00195BE7" w:rsidP="00195BE7">
            <w:pPr>
              <w:spacing w:line="240" w:lineRule="exact"/>
              <w:ind w:right="170"/>
              <w:jc w:val="center"/>
              <w:rPr>
                <w:b/>
                <w:bCs/>
                <w:sz w:val="16"/>
                <w:szCs w:val="16"/>
              </w:rPr>
            </w:pPr>
            <w:r w:rsidRPr="001E2F6E">
              <w:rPr>
                <w:b/>
                <w:bCs/>
                <w:sz w:val="16"/>
                <w:szCs w:val="16"/>
              </w:rPr>
              <w:t>Araba</w:t>
            </w:r>
          </w:p>
        </w:tc>
        <w:tc>
          <w:tcPr>
            <w:tcW w:w="1392"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tcPr>
          <w:p w:rsidR="00195BE7" w:rsidRPr="001E2F6E" w:rsidRDefault="00195BE7" w:rsidP="00195BE7">
            <w:pPr>
              <w:spacing w:line="240" w:lineRule="exact"/>
              <w:ind w:right="170"/>
              <w:jc w:val="center"/>
              <w:rPr>
                <w:b/>
                <w:bCs/>
                <w:sz w:val="16"/>
                <w:szCs w:val="16"/>
              </w:rPr>
            </w:pPr>
            <w:r w:rsidRPr="001E2F6E">
              <w:rPr>
                <w:b/>
                <w:bCs/>
                <w:sz w:val="16"/>
                <w:szCs w:val="16"/>
              </w:rPr>
              <w:t>Bizkaia</w:t>
            </w:r>
          </w:p>
        </w:tc>
        <w:tc>
          <w:tcPr>
            <w:tcW w:w="1466" w:type="pct"/>
            <w:gridSpan w:val="2"/>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tcPr>
          <w:p w:rsidR="00195BE7" w:rsidRPr="001E2F6E" w:rsidRDefault="00195BE7" w:rsidP="00195BE7">
            <w:pPr>
              <w:spacing w:line="240" w:lineRule="exact"/>
              <w:ind w:right="170"/>
              <w:jc w:val="center"/>
              <w:rPr>
                <w:b/>
                <w:bCs/>
                <w:sz w:val="16"/>
                <w:szCs w:val="16"/>
              </w:rPr>
            </w:pPr>
            <w:r w:rsidRPr="001E2F6E">
              <w:rPr>
                <w:b/>
                <w:bCs/>
                <w:sz w:val="16"/>
                <w:szCs w:val="16"/>
              </w:rPr>
              <w:t>Gipuzkoa</w:t>
            </w:r>
          </w:p>
        </w:tc>
      </w:tr>
      <w:tr w:rsidR="00195BE7" w:rsidRPr="001E2F6E" w:rsidTr="00195BE7">
        <w:trPr>
          <w:jc w:val="center"/>
        </w:trPr>
        <w:tc>
          <w:tcPr>
            <w:tcW w:w="750" w:type="pct"/>
            <w:tcBorders>
              <w:bottom w:val="single" w:sz="4" w:space="0" w:color="BFBFBF" w:themeColor="background1" w:themeShade="BF"/>
              <w:right w:val="single" w:sz="4" w:space="0" w:color="BFBFBF" w:themeColor="background1" w:themeShade="BF"/>
            </w:tcBorders>
            <w:shd w:val="clear" w:color="auto" w:fill="DBE5F1" w:themeFill="accent1" w:themeFillTint="33"/>
          </w:tcPr>
          <w:p w:rsidR="00195BE7" w:rsidRPr="001E2F6E" w:rsidRDefault="00195BE7" w:rsidP="00195BE7">
            <w:pPr>
              <w:spacing w:line="240" w:lineRule="exact"/>
              <w:ind w:right="170"/>
              <w:rPr>
                <w:sz w:val="16"/>
                <w:szCs w:val="16"/>
              </w:rPr>
            </w:pPr>
          </w:p>
        </w:tc>
        <w:tc>
          <w:tcPr>
            <w:tcW w:w="652"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tcPr>
          <w:p w:rsidR="00195BE7" w:rsidRPr="001E2F6E" w:rsidRDefault="00195BE7" w:rsidP="00195BE7">
            <w:pPr>
              <w:spacing w:line="240" w:lineRule="exact"/>
              <w:ind w:right="170"/>
              <w:jc w:val="center"/>
              <w:rPr>
                <w:b/>
                <w:bCs/>
                <w:sz w:val="16"/>
                <w:szCs w:val="16"/>
              </w:rPr>
            </w:pPr>
            <w:r w:rsidRPr="001E2F6E">
              <w:rPr>
                <w:b/>
                <w:bCs/>
                <w:sz w:val="16"/>
                <w:szCs w:val="16"/>
              </w:rPr>
              <w:t>z.a.</w:t>
            </w:r>
          </w:p>
        </w:tc>
        <w:tc>
          <w:tcPr>
            <w:tcW w:w="740"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tcPr>
          <w:p w:rsidR="00195BE7" w:rsidRPr="001E2F6E" w:rsidRDefault="00195BE7" w:rsidP="00195BE7">
            <w:pPr>
              <w:spacing w:line="240" w:lineRule="exact"/>
              <w:ind w:right="170"/>
              <w:jc w:val="center"/>
              <w:rPr>
                <w:b/>
                <w:bCs/>
                <w:sz w:val="16"/>
                <w:szCs w:val="16"/>
              </w:rPr>
            </w:pPr>
            <w:r w:rsidRPr="001E2F6E">
              <w:rPr>
                <w:b/>
                <w:bCs/>
                <w:sz w:val="16"/>
                <w:szCs w:val="16"/>
              </w:rPr>
              <w:t>∆10-12</w:t>
            </w:r>
          </w:p>
        </w:tc>
        <w:tc>
          <w:tcPr>
            <w:tcW w:w="652"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tcPr>
          <w:p w:rsidR="00195BE7" w:rsidRPr="001E2F6E" w:rsidRDefault="00195BE7" w:rsidP="00195BE7">
            <w:pPr>
              <w:spacing w:line="240" w:lineRule="exact"/>
              <w:ind w:right="170"/>
              <w:jc w:val="center"/>
              <w:rPr>
                <w:b/>
                <w:bCs/>
                <w:sz w:val="16"/>
                <w:szCs w:val="16"/>
              </w:rPr>
            </w:pPr>
            <w:r w:rsidRPr="001E2F6E">
              <w:rPr>
                <w:b/>
                <w:bCs/>
                <w:sz w:val="16"/>
                <w:szCs w:val="16"/>
              </w:rPr>
              <w:t>z.a.</w:t>
            </w:r>
          </w:p>
        </w:tc>
        <w:tc>
          <w:tcPr>
            <w:tcW w:w="740"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tcPr>
          <w:p w:rsidR="00195BE7" w:rsidRPr="001E2F6E" w:rsidRDefault="00195BE7" w:rsidP="00195BE7">
            <w:pPr>
              <w:spacing w:line="240" w:lineRule="exact"/>
              <w:ind w:right="170"/>
              <w:jc w:val="center"/>
              <w:rPr>
                <w:b/>
                <w:bCs/>
                <w:sz w:val="16"/>
                <w:szCs w:val="16"/>
              </w:rPr>
            </w:pPr>
            <w:r w:rsidRPr="001E2F6E">
              <w:rPr>
                <w:b/>
                <w:bCs/>
                <w:sz w:val="16"/>
                <w:szCs w:val="16"/>
              </w:rPr>
              <w:t>∆10-12</w:t>
            </w:r>
          </w:p>
        </w:tc>
        <w:tc>
          <w:tcPr>
            <w:tcW w:w="726"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tcPr>
          <w:p w:rsidR="00195BE7" w:rsidRPr="001E2F6E" w:rsidRDefault="00195BE7" w:rsidP="00195BE7">
            <w:pPr>
              <w:spacing w:line="240" w:lineRule="exact"/>
              <w:ind w:right="170"/>
              <w:jc w:val="center"/>
              <w:rPr>
                <w:b/>
                <w:bCs/>
                <w:sz w:val="16"/>
                <w:szCs w:val="16"/>
              </w:rPr>
            </w:pPr>
            <w:r w:rsidRPr="001E2F6E">
              <w:rPr>
                <w:b/>
                <w:bCs/>
                <w:sz w:val="16"/>
                <w:szCs w:val="16"/>
              </w:rPr>
              <w:t>z.a.</w:t>
            </w:r>
          </w:p>
        </w:tc>
        <w:tc>
          <w:tcPr>
            <w:tcW w:w="740" w:type="pct"/>
            <w:tcBorders>
              <w:top w:val="single" w:sz="4" w:space="0" w:color="BFBFBF" w:themeColor="background1" w:themeShade="BF"/>
              <w:bottom w:val="single" w:sz="4" w:space="0" w:color="BFBFBF" w:themeColor="background1" w:themeShade="BF"/>
            </w:tcBorders>
            <w:shd w:val="clear" w:color="auto" w:fill="DBE5F1" w:themeFill="accent1" w:themeFillTint="33"/>
          </w:tcPr>
          <w:p w:rsidR="00195BE7" w:rsidRPr="001E2F6E" w:rsidRDefault="00195BE7" w:rsidP="00195BE7">
            <w:pPr>
              <w:spacing w:line="240" w:lineRule="exact"/>
              <w:ind w:right="170"/>
              <w:jc w:val="center"/>
              <w:rPr>
                <w:b/>
                <w:bCs/>
                <w:sz w:val="16"/>
                <w:szCs w:val="16"/>
              </w:rPr>
            </w:pPr>
            <w:r w:rsidRPr="001E2F6E">
              <w:rPr>
                <w:b/>
                <w:bCs/>
                <w:sz w:val="16"/>
                <w:szCs w:val="16"/>
              </w:rPr>
              <w:t>∆10-12</w:t>
            </w:r>
          </w:p>
        </w:tc>
      </w:tr>
      <w:tr w:rsidR="00195BE7" w:rsidRPr="001E2F6E" w:rsidTr="00195BE7">
        <w:trPr>
          <w:jc w:val="center"/>
        </w:trPr>
        <w:tc>
          <w:tcPr>
            <w:tcW w:w="750" w:type="pct"/>
            <w:tcBorders>
              <w:top w:val="single" w:sz="4" w:space="0" w:color="BFBFBF" w:themeColor="background1" w:themeShade="BF"/>
              <w:bottom w:val="single" w:sz="4" w:space="0" w:color="BFBFBF" w:themeColor="background1" w:themeShade="BF"/>
              <w:right w:val="single" w:sz="4" w:space="0" w:color="BFBFBF" w:themeColor="background1" w:themeShade="BF"/>
            </w:tcBorders>
          </w:tcPr>
          <w:p w:rsidR="00195BE7" w:rsidRPr="001E2F6E" w:rsidRDefault="00195BE7" w:rsidP="00195BE7">
            <w:pPr>
              <w:spacing w:line="240" w:lineRule="exact"/>
              <w:ind w:right="170"/>
              <w:rPr>
                <w:sz w:val="16"/>
                <w:szCs w:val="16"/>
              </w:rPr>
            </w:pPr>
            <w:r w:rsidRPr="001E2F6E">
              <w:rPr>
                <w:sz w:val="16"/>
                <w:szCs w:val="16"/>
              </w:rPr>
              <w:t>Industria</w:t>
            </w:r>
          </w:p>
        </w:tc>
        <w:tc>
          <w:tcPr>
            <w:tcW w:w="652" w:type="pct"/>
            <w:tcBorders>
              <w:top w:val="single" w:sz="4" w:space="0" w:color="BFBFBF" w:themeColor="background1" w:themeShade="BF"/>
              <w:left w:val="single" w:sz="4" w:space="0" w:color="BFBFBF" w:themeColor="background1" w:themeShade="BF"/>
              <w:bottom w:val="single" w:sz="4" w:space="0" w:color="BFBFBF" w:themeColor="background1" w:themeShade="BF"/>
            </w:tcBorders>
          </w:tcPr>
          <w:p w:rsidR="00195BE7" w:rsidRPr="001E2F6E" w:rsidRDefault="00195BE7" w:rsidP="00195BE7">
            <w:pPr>
              <w:spacing w:line="240" w:lineRule="exact"/>
              <w:ind w:right="170"/>
              <w:jc w:val="center"/>
              <w:rPr>
                <w:sz w:val="16"/>
                <w:szCs w:val="16"/>
              </w:rPr>
            </w:pPr>
            <w:r w:rsidRPr="001E2F6E">
              <w:rPr>
                <w:sz w:val="16"/>
                <w:szCs w:val="16"/>
              </w:rPr>
              <w:t>2.258</w:t>
            </w:r>
          </w:p>
        </w:tc>
        <w:tc>
          <w:tcPr>
            <w:tcW w:w="740" w:type="pct"/>
            <w:tcBorders>
              <w:top w:val="single" w:sz="4" w:space="0" w:color="BFBFBF" w:themeColor="background1" w:themeShade="BF"/>
              <w:bottom w:val="single" w:sz="4" w:space="0" w:color="BFBFBF" w:themeColor="background1" w:themeShade="BF"/>
              <w:right w:val="single" w:sz="4" w:space="0" w:color="BFBFBF" w:themeColor="background1" w:themeShade="BF"/>
            </w:tcBorders>
          </w:tcPr>
          <w:p w:rsidR="00195BE7" w:rsidRPr="001E2F6E" w:rsidRDefault="00195BE7" w:rsidP="00195BE7">
            <w:pPr>
              <w:spacing w:line="240" w:lineRule="exact"/>
              <w:ind w:right="170"/>
              <w:jc w:val="center"/>
              <w:rPr>
                <w:sz w:val="16"/>
                <w:szCs w:val="16"/>
              </w:rPr>
            </w:pPr>
            <w:r w:rsidRPr="001E2F6E">
              <w:rPr>
                <w:sz w:val="16"/>
                <w:szCs w:val="16"/>
              </w:rPr>
              <w:t>-11,5</w:t>
            </w:r>
          </w:p>
        </w:tc>
        <w:tc>
          <w:tcPr>
            <w:tcW w:w="652" w:type="pct"/>
            <w:tcBorders>
              <w:top w:val="single" w:sz="4" w:space="0" w:color="BFBFBF" w:themeColor="background1" w:themeShade="BF"/>
              <w:left w:val="single" w:sz="4" w:space="0" w:color="BFBFBF" w:themeColor="background1" w:themeShade="BF"/>
              <w:bottom w:val="single" w:sz="4" w:space="0" w:color="BFBFBF" w:themeColor="background1" w:themeShade="BF"/>
            </w:tcBorders>
            <w:noWrap/>
          </w:tcPr>
          <w:p w:rsidR="00195BE7" w:rsidRPr="001E2F6E" w:rsidRDefault="00195BE7" w:rsidP="00195BE7">
            <w:pPr>
              <w:spacing w:line="240" w:lineRule="exact"/>
              <w:ind w:right="170"/>
              <w:jc w:val="center"/>
              <w:rPr>
                <w:sz w:val="16"/>
                <w:szCs w:val="16"/>
              </w:rPr>
            </w:pPr>
            <w:r w:rsidRPr="001E2F6E">
              <w:rPr>
                <w:sz w:val="16"/>
                <w:szCs w:val="16"/>
              </w:rPr>
              <w:t>6.941</w:t>
            </w:r>
          </w:p>
        </w:tc>
        <w:tc>
          <w:tcPr>
            <w:tcW w:w="740" w:type="pct"/>
            <w:tcBorders>
              <w:top w:val="single" w:sz="4" w:space="0" w:color="BFBFBF" w:themeColor="background1" w:themeShade="BF"/>
              <w:bottom w:val="single" w:sz="4" w:space="0" w:color="BFBFBF" w:themeColor="background1" w:themeShade="BF"/>
              <w:right w:val="single" w:sz="4" w:space="0" w:color="BFBFBF" w:themeColor="background1" w:themeShade="BF"/>
            </w:tcBorders>
          </w:tcPr>
          <w:p w:rsidR="00195BE7" w:rsidRPr="001E2F6E" w:rsidRDefault="00195BE7" w:rsidP="00195BE7">
            <w:pPr>
              <w:spacing w:line="240" w:lineRule="exact"/>
              <w:ind w:right="170"/>
              <w:jc w:val="center"/>
              <w:rPr>
                <w:sz w:val="16"/>
                <w:szCs w:val="16"/>
              </w:rPr>
            </w:pPr>
            <w:r w:rsidRPr="001E2F6E">
              <w:rPr>
                <w:sz w:val="16"/>
                <w:szCs w:val="16"/>
              </w:rPr>
              <w:t>-7,4</w:t>
            </w:r>
          </w:p>
        </w:tc>
        <w:tc>
          <w:tcPr>
            <w:tcW w:w="726" w:type="pct"/>
            <w:tcBorders>
              <w:top w:val="single" w:sz="4" w:space="0" w:color="BFBFBF" w:themeColor="background1" w:themeShade="BF"/>
              <w:left w:val="single" w:sz="4" w:space="0" w:color="BFBFBF" w:themeColor="background1" w:themeShade="BF"/>
              <w:bottom w:val="single" w:sz="4" w:space="0" w:color="BFBFBF" w:themeColor="background1" w:themeShade="BF"/>
            </w:tcBorders>
            <w:noWrap/>
          </w:tcPr>
          <w:p w:rsidR="00195BE7" w:rsidRPr="001E2F6E" w:rsidRDefault="00195BE7" w:rsidP="00195BE7">
            <w:pPr>
              <w:spacing w:line="240" w:lineRule="exact"/>
              <w:ind w:right="170"/>
              <w:jc w:val="center"/>
              <w:rPr>
                <w:sz w:val="16"/>
                <w:szCs w:val="16"/>
              </w:rPr>
            </w:pPr>
            <w:r w:rsidRPr="001E2F6E">
              <w:rPr>
                <w:sz w:val="16"/>
                <w:szCs w:val="16"/>
              </w:rPr>
              <w:t>16.528</w:t>
            </w:r>
          </w:p>
        </w:tc>
        <w:tc>
          <w:tcPr>
            <w:tcW w:w="740" w:type="pct"/>
            <w:tcBorders>
              <w:top w:val="single" w:sz="4" w:space="0" w:color="BFBFBF" w:themeColor="background1" w:themeShade="BF"/>
              <w:bottom w:val="single" w:sz="4" w:space="0" w:color="BFBFBF" w:themeColor="background1" w:themeShade="BF"/>
            </w:tcBorders>
          </w:tcPr>
          <w:p w:rsidR="00195BE7" w:rsidRPr="001E2F6E" w:rsidRDefault="00195BE7" w:rsidP="00195BE7">
            <w:pPr>
              <w:spacing w:line="240" w:lineRule="exact"/>
              <w:ind w:right="170"/>
              <w:jc w:val="center"/>
              <w:rPr>
                <w:sz w:val="16"/>
                <w:szCs w:val="16"/>
              </w:rPr>
            </w:pPr>
            <w:r w:rsidRPr="001E2F6E">
              <w:rPr>
                <w:sz w:val="16"/>
                <w:szCs w:val="16"/>
              </w:rPr>
              <w:t>+0,4</w:t>
            </w:r>
          </w:p>
        </w:tc>
      </w:tr>
    </w:tbl>
    <w:p w:rsidR="00195BE7" w:rsidRPr="001E2F6E" w:rsidRDefault="00195BE7" w:rsidP="00195BE7"/>
    <w:p w:rsidR="00195BE7" w:rsidRPr="001E2F6E" w:rsidRDefault="00195BE7" w:rsidP="00195BE7">
      <w:pPr>
        <w:spacing w:line="240" w:lineRule="auto"/>
        <w:jc w:val="center"/>
        <w:rPr>
          <w:b/>
          <w:color w:val="1F497D" w:themeColor="text2"/>
          <w:sz w:val="18"/>
          <w:szCs w:val="18"/>
        </w:rPr>
      </w:pPr>
      <w:bookmarkStart w:id="160" w:name="_Toc391989111"/>
      <w:bookmarkStart w:id="161" w:name="_Toc392585776"/>
      <w:r w:rsidRPr="001E2F6E">
        <w:rPr>
          <w:b/>
          <w:color w:val="1F497D" w:themeColor="text2"/>
          <w:sz w:val="18"/>
          <w:szCs w:val="18"/>
        </w:rPr>
        <w:t>1.</w:t>
      </w:r>
      <w:r w:rsidR="00EB6BA6" w:rsidRPr="001E2F6E">
        <w:rPr>
          <w:b/>
          <w:color w:val="1F497D" w:themeColor="text2"/>
          <w:sz w:val="18"/>
          <w:szCs w:val="18"/>
        </w:rPr>
        <w:fldChar w:fldCharType="begin"/>
      </w:r>
      <w:r w:rsidRPr="001E2F6E">
        <w:rPr>
          <w:b/>
          <w:color w:val="1F497D" w:themeColor="text2"/>
          <w:sz w:val="18"/>
          <w:szCs w:val="18"/>
        </w:rPr>
        <w:instrText xml:space="preserve"> SEQ Cuadro_1. \* ARABIC </w:instrText>
      </w:r>
      <w:r w:rsidR="00EB6BA6" w:rsidRPr="001E2F6E">
        <w:rPr>
          <w:b/>
          <w:color w:val="1F497D" w:themeColor="text2"/>
          <w:sz w:val="18"/>
          <w:szCs w:val="18"/>
        </w:rPr>
        <w:fldChar w:fldCharType="separate"/>
      </w:r>
      <w:r w:rsidR="00A327D4">
        <w:rPr>
          <w:b/>
          <w:noProof/>
          <w:color w:val="1F497D" w:themeColor="text2"/>
          <w:sz w:val="18"/>
          <w:szCs w:val="18"/>
        </w:rPr>
        <w:t>41</w:t>
      </w:r>
      <w:r w:rsidR="00EB6BA6" w:rsidRPr="001E2F6E">
        <w:rPr>
          <w:b/>
          <w:color w:val="1F497D" w:themeColor="text2"/>
          <w:sz w:val="18"/>
          <w:szCs w:val="18"/>
        </w:rPr>
        <w:fldChar w:fldCharType="end"/>
      </w:r>
      <w:r w:rsidRPr="001E2F6E">
        <w:rPr>
          <w:b/>
          <w:color w:val="1F497D" w:themeColor="text2"/>
          <w:sz w:val="18"/>
          <w:szCs w:val="18"/>
        </w:rPr>
        <w:t xml:space="preserve"> Taula INDUSTRIA-ENPLEGUAREN LURRALDE BANAKETA FORMA JURIDIKOAREN ARABERA ETA BERE BILAKAERA 2010-2012</w:t>
      </w:r>
      <w:bookmarkEnd w:id="160"/>
      <w:bookmarkEnd w:id="161"/>
    </w:p>
    <w:tbl>
      <w:tblPr>
        <w:tblW w:w="5000" w:type="pct"/>
        <w:jc w:val="center"/>
        <w:tblLook w:val="04A0" w:firstRow="1" w:lastRow="0" w:firstColumn="1" w:lastColumn="0" w:noHBand="0" w:noVBand="1"/>
      </w:tblPr>
      <w:tblGrid>
        <w:gridCol w:w="1768"/>
        <w:gridCol w:w="1109"/>
        <w:gridCol w:w="1261"/>
        <w:gridCol w:w="1109"/>
        <w:gridCol w:w="1261"/>
        <w:gridCol w:w="1235"/>
        <w:gridCol w:w="1261"/>
      </w:tblGrid>
      <w:tr w:rsidR="00195BE7" w:rsidRPr="001E2F6E" w:rsidTr="00195BE7">
        <w:trPr>
          <w:jc w:val="center"/>
        </w:trPr>
        <w:tc>
          <w:tcPr>
            <w:tcW w:w="982" w:type="pct"/>
            <w:tcBorders>
              <w:top w:val="single" w:sz="4" w:space="0" w:color="BFBFBF" w:themeColor="background1" w:themeShade="BF"/>
              <w:right w:val="single" w:sz="4" w:space="0" w:color="BFBFBF" w:themeColor="background1" w:themeShade="BF"/>
            </w:tcBorders>
            <w:shd w:val="clear" w:color="auto" w:fill="DBE5F1" w:themeFill="accent1" w:themeFillTint="33"/>
          </w:tcPr>
          <w:p w:rsidR="00195BE7" w:rsidRPr="001E2F6E" w:rsidRDefault="00195BE7" w:rsidP="00195BE7">
            <w:pPr>
              <w:spacing w:line="240" w:lineRule="exact"/>
              <w:ind w:right="170"/>
              <w:jc w:val="center"/>
              <w:rPr>
                <w:bCs/>
                <w:sz w:val="16"/>
                <w:szCs w:val="16"/>
              </w:rPr>
            </w:pPr>
          </w:p>
        </w:tc>
        <w:tc>
          <w:tcPr>
            <w:tcW w:w="1316"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tcPr>
          <w:p w:rsidR="00195BE7" w:rsidRPr="001E2F6E" w:rsidRDefault="00195BE7" w:rsidP="00195BE7">
            <w:pPr>
              <w:spacing w:line="240" w:lineRule="exact"/>
              <w:ind w:right="170"/>
              <w:jc w:val="center"/>
              <w:rPr>
                <w:b/>
                <w:bCs/>
                <w:sz w:val="16"/>
                <w:szCs w:val="16"/>
              </w:rPr>
            </w:pPr>
            <w:r w:rsidRPr="001E2F6E">
              <w:rPr>
                <w:b/>
                <w:bCs/>
                <w:sz w:val="16"/>
                <w:szCs w:val="16"/>
              </w:rPr>
              <w:t>Araba</w:t>
            </w:r>
          </w:p>
          <w:p w:rsidR="00195BE7" w:rsidRPr="001E2F6E" w:rsidRDefault="00195BE7" w:rsidP="00195BE7">
            <w:pPr>
              <w:spacing w:line="240" w:lineRule="exact"/>
              <w:ind w:right="170"/>
              <w:jc w:val="center"/>
              <w:rPr>
                <w:b/>
                <w:bCs/>
                <w:sz w:val="16"/>
                <w:szCs w:val="16"/>
              </w:rPr>
            </w:pPr>
            <w:r w:rsidRPr="001E2F6E">
              <w:rPr>
                <w:b/>
                <w:bCs/>
                <w:sz w:val="16"/>
                <w:szCs w:val="16"/>
              </w:rPr>
              <w:t>2012</w:t>
            </w:r>
          </w:p>
        </w:tc>
        <w:tc>
          <w:tcPr>
            <w:tcW w:w="1316"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tcPr>
          <w:p w:rsidR="00195BE7" w:rsidRPr="001E2F6E" w:rsidRDefault="00195BE7" w:rsidP="00195BE7">
            <w:pPr>
              <w:spacing w:line="240" w:lineRule="exact"/>
              <w:ind w:right="170"/>
              <w:jc w:val="center"/>
              <w:rPr>
                <w:b/>
                <w:bCs/>
                <w:sz w:val="16"/>
                <w:szCs w:val="16"/>
              </w:rPr>
            </w:pPr>
            <w:r w:rsidRPr="001E2F6E">
              <w:rPr>
                <w:b/>
                <w:bCs/>
                <w:sz w:val="16"/>
                <w:szCs w:val="16"/>
              </w:rPr>
              <w:t>Bizkaia</w:t>
            </w:r>
          </w:p>
          <w:p w:rsidR="00195BE7" w:rsidRPr="001E2F6E" w:rsidRDefault="00195BE7" w:rsidP="00195BE7">
            <w:pPr>
              <w:spacing w:line="240" w:lineRule="exact"/>
              <w:ind w:right="170"/>
              <w:jc w:val="center"/>
              <w:rPr>
                <w:b/>
                <w:bCs/>
                <w:sz w:val="16"/>
                <w:szCs w:val="16"/>
              </w:rPr>
            </w:pPr>
            <w:r w:rsidRPr="001E2F6E">
              <w:rPr>
                <w:b/>
                <w:bCs/>
                <w:sz w:val="16"/>
                <w:szCs w:val="16"/>
              </w:rPr>
              <w:t>2012</w:t>
            </w:r>
          </w:p>
        </w:tc>
        <w:tc>
          <w:tcPr>
            <w:tcW w:w="1386" w:type="pct"/>
            <w:gridSpan w:val="2"/>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tcPr>
          <w:p w:rsidR="00195BE7" w:rsidRPr="001E2F6E" w:rsidRDefault="00195BE7" w:rsidP="00195BE7">
            <w:pPr>
              <w:spacing w:line="240" w:lineRule="exact"/>
              <w:ind w:right="170"/>
              <w:jc w:val="center"/>
              <w:rPr>
                <w:b/>
                <w:bCs/>
                <w:sz w:val="16"/>
                <w:szCs w:val="16"/>
              </w:rPr>
            </w:pPr>
            <w:r w:rsidRPr="001E2F6E">
              <w:rPr>
                <w:b/>
                <w:bCs/>
                <w:sz w:val="16"/>
                <w:szCs w:val="16"/>
              </w:rPr>
              <w:t>Gipuzkoa</w:t>
            </w:r>
          </w:p>
          <w:p w:rsidR="00195BE7" w:rsidRPr="001E2F6E" w:rsidRDefault="00195BE7" w:rsidP="00195BE7">
            <w:pPr>
              <w:spacing w:line="240" w:lineRule="exact"/>
              <w:ind w:right="170"/>
              <w:jc w:val="center"/>
              <w:rPr>
                <w:b/>
                <w:bCs/>
                <w:sz w:val="16"/>
                <w:szCs w:val="16"/>
              </w:rPr>
            </w:pPr>
            <w:r w:rsidRPr="001E2F6E">
              <w:rPr>
                <w:b/>
                <w:bCs/>
                <w:sz w:val="16"/>
                <w:szCs w:val="16"/>
              </w:rPr>
              <w:t>2012</w:t>
            </w:r>
          </w:p>
        </w:tc>
      </w:tr>
      <w:tr w:rsidR="00195BE7" w:rsidRPr="001E2F6E" w:rsidTr="00195BE7">
        <w:trPr>
          <w:jc w:val="center"/>
        </w:trPr>
        <w:tc>
          <w:tcPr>
            <w:tcW w:w="982" w:type="pct"/>
            <w:tcBorders>
              <w:bottom w:val="single" w:sz="4" w:space="0" w:color="BFBFBF" w:themeColor="background1" w:themeShade="BF"/>
              <w:right w:val="single" w:sz="4" w:space="0" w:color="BFBFBF" w:themeColor="background1" w:themeShade="BF"/>
            </w:tcBorders>
            <w:shd w:val="clear" w:color="auto" w:fill="DBE5F1" w:themeFill="accent1" w:themeFillTint="33"/>
          </w:tcPr>
          <w:p w:rsidR="00195BE7" w:rsidRPr="001E2F6E" w:rsidRDefault="00195BE7" w:rsidP="00195BE7">
            <w:pPr>
              <w:spacing w:line="240" w:lineRule="exact"/>
              <w:ind w:right="170"/>
              <w:rPr>
                <w:sz w:val="16"/>
                <w:szCs w:val="16"/>
              </w:rPr>
            </w:pPr>
          </w:p>
        </w:tc>
        <w:tc>
          <w:tcPr>
            <w:tcW w:w="616"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tcPr>
          <w:p w:rsidR="00195BE7" w:rsidRPr="001E2F6E" w:rsidRDefault="00195BE7" w:rsidP="00195BE7">
            <w:pPr>
              <w:spacing w:line="240" w:lineRule="exact"/>
              <w:ind w:right="170"/>
              <w:jc w:val="center"/>
              <w:rPr>
                <w:b/>
                <w:bCs/>
                <w:sz w:val="16"/>
                <w:szCs w:val="16"/>
              </w:rPr>
            </w:pPr>
            <w:r w:rsidRPr="001E2F6E">
              <w:rPr>
                <w:b/>
                <w:bCs/>
                <w:sz w:val="16"/>
                <w:szCs w:val="16"/>
              </w:rPr>
              <w:t>z.a.</w:t>
            </w:r>
          </w:p>
        </w:tc>
        <w:tc>
          <w:tcPr>
            <w:tcW w:w="700"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tcPr>
          <w:p w:rsidR="00195BE7" w:rsidRPr="001E2F6E" w:rsidRDefault="00195BE7" w:rsidP="00195BE7">
            <w:pPr>
              <w:spacing w:line="240" w:lineRule="exact"/>
              <w:ind w:right="170"/>
              <w:jc w:val="center"/>
              <w:rPr>
                <w:b/>
                <w:bCs/>
                <w:sz w:val="16"/>
                <w:szCs w:val="16"/>
              </w:rPr>
            </w:pPr>
            <w:r w:rsidRPr="001E2F6E">
              <w:rPr>
                <w:b/>
                <w:bCs/>
                <w:sz w:val="16"/>
                <w:szCs w:val="16"/>
              </w:rPr>
              <w:t>∆10-12</w:t>
            </w:r>
          </w:p>
        </w:tc>
        <w:tc>
          <w:tcPr>
            <w:tcW w:w="616"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tcPr>
          <w:p w:rsidR="00195BE7" w:rsidRPr="001E2F6E" w:rsidRDefault="00195BE7" w:rsidP="00195BE7">
            <w:pPr>
              <w:spacing w:line="240" w:lineRule="exact"/>
              <w:ind w:right="170"/>
              <w:jc w:val="center"/>
              <w:rPr>
                <w:b/>
                <w:bCs/>
                <w:sz w:val="16"/>
                <w:szCs w:val="16"/>
              </w:rPr>
            </w:pPr>
            <w:r w:rsidRPr="001E2F6E">
              <w:rPr>
                <w:b/>
                <w:bCs/>
                <w:sz w:val="16"/>
                <w:szCs w:val="16"/>
              </w:rPr>
              <w:t>z.a.</w:t>
            </w:r>
          </w:p>
        </w:tc>
        <w:tc>
          <w:tcPr>
            <w:tcW w:w="700"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tcPr>
          <w:p w:rsidR="00195BE7" w:rsidRPr="001E2F6E" w:rsidRDefault="00195BE7" w:rsidP="00195BE7">
            <w:pPr>
              <w:spacing w:line="240" w:lineRule="exact"/>
              <w:ind w:right="170"/>
              <w:jc w:val="center"/>
              <w:rPr>
                <w:b/>
                <w:bCs/>
                <w:sz w:val="16"/>
                <w:szCs w:val="16"/>
              </w:rPr>
            </w:pPr>
            <w:r w:rsidRPr="001E2F6E">
              <w:rPr>
                <w:b/>
                <w:bCs/>
                <w:sz w:val="16"/>
                <w:szCs w:val="16"/>
              </w:rPr>
              <w:t>∆10-12</w:t>
            </w:r>
          </w:p>
        </w:tc>
        <w:tc>
          <w:tcPr>
            <w:tcW w:w="686"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tcPr>
          <w:p w:rsidR="00195BE7" w:rsidRPr="001E2F6E" w:rsidRDefault="00195BE7" w:rsidP="00195BE7">
            <w:pPr>
              <w:spacing w:line="240" w:lineRule="exact"/>
              <w:ind w:right="170"/>
              <w:jc w:val="center"/>
              <w:rPr>
                <w:b/>
                <w:bCs/>
                <w:sz w:val="16"/>
                <w:szCs w:val="16"/>
              </w:rPr>
            </w:pPr>
            <w:r w:rsidRPr="001E2F6E">
              <w:rPr>
                <w:b/>
                <w:bCs/>
                <w:sz w:val="16"/>
                <w:szCs w:val="16"/>
              </w:rPr>
              <w:t>z.a.</w:t>
            </w:r>
          </w:p>
        </w:tc>
        <w:tc>
          <w:tcPr>
            <w:tcW w:w="700" w:type="pct"/>
            <w:tcBorders>
              <w:top w:val="single" w:sz="4" w:space="0" w:color="BFBFBF" w:themeColor="background1" w:themeShade="BF"/>
              <w:bottom w:val="single" w:sz="4" w:space="0" w:color="BFBFBF" w:themeColor="background1" w:themeShade="BF"/>
            </w:tcBorders>
            <w:shd w:val="clear" w:color="auto" w:fill="DBE5F1" w:themeFill="accent1" w:themeFillTint="33"/>
          </w:tcPr>
          <w:p w:rsidR="00195BE7" w:rsidRPr="001E2F6E" w:rsidRDefault="00195BE7" w:rsidP="00195BE7">
            <w:pPr>
              <w:spacing w:line="240" w:lineRule="exact"/>
              <w:ind w:right="170"/>
              <w:jc w:val="center"/>
              <w:rPr>
                <w:b/>
                <w:bCs/>
                <w:sz w:val="16"/>
                <w:szCs w:val="16"/>
              </w:rPr>
            </w:pPr>
            <w:r w:rsidRPr="001E2F6E">
              <w:rPr>
                <w:b/>
                <w:bCs/>
                <w:sz w:val="16"/>
                <w:szCs w:val="16"/>
              </w:rPr>
              <w:t>∆10-12</w:t>
            </w:r>
          </w:p>
        </w:tc>
      </w:tr>
      <w:tr w:rsidR="00195BE7" w:rsidRPr="001E2F6E" w:rsidTr="00195BE7">
        <w:trPr>
          <w:jc w:val="center"/>
        </w:trPr>
        <w:tc>
          <w:tcPr>
            <w:tcW w:w="982" w:type="pct"/>
            <w:tcBorders>
              <w:top w:val="single" w:sz="4" w:space="0" w:color="BFBFBF" w:themeColor="background1" w:themeShade="BF"/>
              <w:right w:val="single" w:sz="4" w:space="0" w:color="BFBFBF" w:themeColor="background1" w:themeShade="BF"/>
            </w:tcBorders>
          </w:tcPr>
          <w:p w:rsidR="00195BE7" w:rsidRPr="001E2F6E" w:rsidRDefault="00195BE7" w:rsidP="00195BE7">
            <w:pPr>
              <w:spacing w:line="240" w:lineRule="exact"/>
              <w:rPr>
                <w:sz w:val="16"/>
                <w:szCs w:val="16"/>
                <w:lang w:val="eu-ES"/>
              </w:rPr>
            </w:pPr>
            <w:r w:rsidRPr="001E2F6E">
              <w:rPr>
                <w:sz w:val="16"/>
                <w:szCs w:val="16"/>
                <w:lang w:val="eu-ES"/>
              </w:rPr>
              <w:t>Kooperatibak</w:t>
            </w:r>
          </w:p>
        </w:tc>
        <w:tc>
          <w:tcPr>
            <w:tcW w:w="616" w:type="pct"/>
            <w:tcBorders>
              <w:top w:val="single" w:sz="4" w:space="0" w:color="BFBFBF" w:themeColor="background1" w:themeShade="BF"/>
              <w:left w:val="single" w:sz="4" w:space="0" w:color="BFBFBF" w:themeColor="background1" w:themeShade="BF"/>
            </w:tcBorders>
            <w:vAlign w:val="bottom"/>
          </w:tcPr>
          <w:p w:rsidR="00195BE7" w:rsidRPr="001E2F6E" w:rsidRDefault="00195BE7" w:rsidP="00195BE7">
            <w:pPr>
              <w:spacing w:line="240" w:lineRule="exact"/>
              <w:ind w:right="170"/>
              <w:jc w:val="right"/>
              <w:rPr>
                <w:sz w:val="16"/>
                <w:szCs w:val="16"/>
              </w:rPr>
            </w:pPr>
            <w:r w:rsidRPr="001E2F6E">
              <w:rPr>
                <w:color w:val="000000"/>
                <w:sz w:val="16"/>
                <w:szCs w:val="16"/>
              </w:rPr>
              <w:t>1.707</w:t>
            </w:r>
          </w:p>
        </w:tc>
        <w:tc>
          <w:tcPr>
            <w:tcW w:w="700" w:type="pct"/>
            <w:tcBorders>
              <w:top w:val="single" w:sz="4" w:space="0" w:color="BFBFBF" w:themeColor="background1" w:themeShade="BF"/>
              <w:right w:val="single" w:sz="4" w:space="0" w:color="BFBFBF" w:themeColor="background1" w:themeShade="BF"/>
            </w:tcBorders>
            <w:vAlign w:val="bottom"/>
          </w:tcPr>
          <w:p w:rsidR="00195BE7" w:rsidRPr="001E2F6E" w:rsidRDefault="00195BE7" w:rsidP="00195BE7">
            <w:pPr>
              <w:spacing w:line="240" w:lineRule="exact"/>
              <w:ind w:right="170"/>
              <w:jc w:val="right"/>
              <w:rPr>
                <w:color w:val="000000"/>
                <w:sz w:val="16"/>
                <w:szCs w:val="16"/>
              </w:rPr>
            </w:pPr>
            <w:r w:rsidRPr="001E2F6E">
              <w:rPr>
                <w:color w:val="000000"/>
                <w:sz w:val="16"/>
                <w:szCs w:val="16"/>
              </w:rPr>
              <w:t>-9,9</w:t>
            </w:r>
          </w:p>
        </w:tc>
        <w:tc>
          <w:tcPr>
            <w:tcW w:w="616" w:type="pct"/>
            <w:tcBorders>
              <w:top w:val="single" w:sz="4" w:space="0" w:color="BFBFBF" w:themeColor="background1" w:themeShade="BF"/>
              <w:left w:val="single" w:sz="4" w:space="0" w:color="BFBFBF" w:themeColor="background1" w:themeShade="BF"/>
            </w:tcBorders>
            <w:noWrap/>
            <w:vAlign w:val="bottom"/>
          </w:tcPr>
          <w:p w:rsidR="00195BE7" w:rsidRPr="001E2F6E" w:rsidRDefault="00195BE7" w:rsidP="00195BE7">
            <w:pPr>
              <w:spacing w:line="240" w:lineRule="exact"/>
              <w:ind w:right="170"/>
              <w:jc w:val="right"/>
              <w:rPr>
                <w:sz w:val="16"/>
                <w:szCs w:val="16"/>
              </w:rPr>
            </w:pPr>
            <w:r w:rsidRPr="001E2F6E">
              <w:rPr>
                <w:color w:val="000000"/>
                <w:sz w:val="16"/>
                <w:szCs w:val="16"/>
              </w:rPr>
              <w:t>5.215</w:t>
            </w:r>
          </w:p>
        </w:tc>
        <w:tc>
          <w:tcPr>
            <w:tcW w:w="700" w:type="pct"/>
            <w:tcBorders>
              <w:top w:val="single" w:sz="4" w:space="0" w:color="BFBFBF" w:themeColor="background1" w:themeShade="BF"/>
              <w:right w:val="single" w:sz="4" w:space="0" w:color="BFBFBF" w:themeColor="background1" w:themeShade="BF"/>
            </w:tcBorders>
            <w:vAlign w:val="bottom"/>
          </w:tcPr>
          <w:p w:rsidR="00195BE7" w:rsidRPr="001E2F6E" w:rsidRDefault="00195BE7" w:rsidP="00195BE7">
            <w:pPr>
              <w:spacing w:line="240" w:lineRule="exact"/>
              <w:ind w:right="170"/>
              <w:jc w:val="right"/>
              <w:rPr>
                <w:color w:val="000000"/>
                <w:sz w:val="16"/>
                <w:szCs w:val="16"/>
              </w:rPr>
            </w:pPr>
            <w:r w:rsidRPr="001E2F6E">
              <w:rPr>
                <w:color w:val="000000"/>
                <w:sz w:val="16"/>
                <w:szCs w:val="16"/>
              </w:rPr>
              <w:t>-0,5</w:t>
            </w:r>
          </w:p>
        </w:tc>
        <w:tc>
          <w:tcPr>
            <w:tcW w:w="686" w:type="pct"/>
            <w:tcBorders>
              <w:top w:val="single" w:sz="4" w:space="0" w:color="BFBFBF" w:themeColor="background1" w:themeShade="BF"/>
              <w:left w:val="single" w:sz="4" w:space="0" w:color="BFBFBF" w:themeColor="background1" w:themeShade="BF"/>
            </w:tcBorders>
            <w:noWrap/>
            <w:vAlign w:val="bottom"/>
          </w:tcPr>
          <w:p w:rsidR="00195BE7" w:rsidRPr="001E2F6E" w:rsidRDefault="00195BE7" w:rsidP="00195BE7">
            <w:pPr>
              <w:spacing w:line="240" w:lineRule="exact"/>
              <w:ind w:right="170"/>
              <w:jc w:val="right"/>
              <w:rPr>
                <w:color w:val="000000"/>
                <w:sz w:val="16"/>
                <w:szCs w:val="16"/>
              </w:rPr>
            </w:pPr>
            <w:r w:rsidRPr="001E2F6E">
              <w:rPr>
                <w:color w:val="000000"/>
                <w:sz w:val="16"/>
                <w:szCs w:val="16"/>
              </w:rPr>
              <w:t>13.995</w:t>
            </w:r>
          </w:p>
        </w:tc>
        <w:tc>
          <w:tcPr>
            <w:tcW w:w="700" w:type="pct"/>
            <w:tcBorders>
              <w:top w:val="single" w:sz="4" w:space="0" w:color="BFBFBF" w:themeColor="background1" w:themeShade="BF"/>
            </w:tcBorders>
            <w:vAlign w:val="bottom"/>
          </w:tcPr>
          <w:p w:rsidR="00195BE7" w:rsidRPr="001E2F6E" w:rsidRDefault="00195BE7" w:rsidP="00195BE7">
            <w:pPr>
              <w:spacing w:line="240" w:lineRule="exact"/>
              <w:ind w:right="170"/>
              <w:jc w:val="right"/>
              <w:rPr>
                <w:color w:val="000000"/>
                <w:sz w:val="16"/>
                <w:szCs w:val="16"/>
              </w:rPr>
            </w:pPr>
            <w:r w:rsidRPr="001E2F6E">
              <w:rPr>
                <w:color w:val="000000"/>
                <w:sz w:val="16"/>
                <w:szCs w:val="16"/>
              </w:rPr>
              <w:t>+1,7</w:t>
            </w:r>
          </w:p>
        </w:tc>
      </w:tr>
      <w:tr w:rsidR="00195BE7" w:rsidRPr="001E2F6E" w:rsidTr="00195BE7">
        <w:trPr>
          <w:jc w:val="center"/>
        </w:trPr>
        <w:tc>
          <w:tcPr>
            <w:tcW w:w="982" w:type="pct"/>
            <w:tcBorders>
              <w:right w:val="single" w:sz="4" w:space="0" w:color="BFBFBF" w:themeColor="background1" w:themeShade="BF"/>
            </w:tcBorders>
          </w:tcPr>
          <w:p w:rsidR="00195BE7" w:rsidRPr="001E2F6E" w:rsidRDefault="00195BE7" w:rsidP="00195BE7">
            <w:pPr>
              <w:spacing w:line="240" w:lineRule="exact"/>
              <w:rPr>
                <w:sz w:val="16"/>
                <w:szCs w:val="16"/>
                <w:lang w:val="eu-ES"/>
              </w:rPr>
            </w:pPr>
            <w:r w:rsidRPr="001E2F6E">
              <w:rPr>
                <w:sz w:val="16"/>
                <w:szCs w:val="16"/>
                <w:lang w:val="eu-ES"/>
              </w:rPr>
              <w:t>LS sozietateak</w:t>
            </w:r>
          </w:p>
        </w:tc>
        <w:tc>
          <w:tcPr>
            <w:tcW w:w="616" w:type="pct"/>
            <w:tcBorders>
              <w:left w:val="single" w:sz="4" w:space="0" w:color="BFBFBF" w:themeColor="background1" w:themeShade="BF"/>
            </w:tcBorders>
            <w:vAlign w:val="bottom"/>
          </w:tcPr>
          <w:p w:rsidR="00195BE7" w:rsidRPr="001E2F6E" w:rsidRDefault="00195BE7" w:rsidP="00195BE7">
            <w:pPr>
              <w:spacing w:line="240" w:lineRule="exact"/>
              <w:ind w:right="170"/>
              <w:jc w:val="right"/>
              <w:rPr>
                <w:sz w:val="16"/>
                <w:szCs w:val="16"/>
              </w:rPr>
            </w:pPr>
            <w:r w:rsidRPr="001E2F6E">
              <w:rPr>
                <w:sz w:val="16"/>
                <w:szCs w:val="16"/>
              </w:rPr>
              <w:t>551</w:t>
            </w:r>
          </w:p>
        </w:tc>
        <w:tc>
          <w:tcPr>
            <w:tcW w:w="700" w:type="pct"/>
            <w:tcBorders>
              <w:right w:val="single" w:sz="4" w:space="0" w:color="BFBFBF" w:themeColor="background1" w:themeShade="BF"/>
            </w:tcBorders>
            <w:vAlign w:val="bottom"/>
          </w:tcPr>
          <w:p w:rsidR="00195BE7" w:rsidRPr="001E2F6E" w:rsidRDefault="00195BE7" w:rsidP="00195BE7">
            <w:pPr>
              <w:spacing w:line="240" w:lineRule="exact"/>
              <w:ind w:right="170"/>
              <w:jc w:val="right"/>
              <w:rPr>
                <w:color w:val="000000"/>
                <w:sz w:val="16"/>
                <w:szCs w:val="16"/>
              </w:rPr>
            </w:pPr>
            <w:r w:rsidRPr="001E2F6E">
              <w:rPr>
                <w:color w:val="000000"/>
                <w:sz w:val="16"/>
                <w:szCs w:val="16"/>
              </w:rPr>
              <w:t>-16,4</w:t>
            </w:r>
          </w:p>
        </w:tc>
        <w:tc>
          <w:tcPr>
            <w:tcW w:w="616" w:type="pct"/>
            <w:tcBorders>
              <w:left w:val="single" w:sz="4" w:space="0" w:color="BFBFBF" w:themeColor="background1" w:themeShade="BF"/>
            </w:tcBorders>
            <w:noWrap/>
            <w:vAlign w:val="bottom"/>
          </w:tcPr>
          <w:p w:rsidR="00195BE7" w:rsidRPr="001E2F6E" w:rsidRDefault="00195BE7" w:rsidP="00195BE7">
            <w:pPr>
              <w:spacing w:line="240" w:lineRule="exact"/>
              <w:ind w:right="170"/>
              <w:jc w:val="right"/>
              <w:rPr>
                <w:sz w:val="16"/>
                <w:szCs w:val="16"/>
              </w:rPr>
            </w:pPr>
            <w:r w:rsidRPr="001E2F6E">
              <w:rPr>
                <w:sz w:val="16"/>
                <w:szCs w:val="16"/>
              </w:rPr>
              <w:t>1.725</w:t>
            </w:r>
          </w:p>
        </w:tc>
        <w:tc>
          <w:tcPr>
            <w:tcW w:w="700" w:type="pct"/>
            <w:tcBorders>
              <w:right w:val="single" w:sz="4" w:space="0" w:color="BFBFBF" w:themeColor="background1" w:themeShade="BF"/>
            </w:tcBorders>
            <w:vAlign w:val="bottom"/>
          </w:tcPr>
          <w:p w:rsidR="00195BE7" w:rsidRPr="001E2F6E" w:rsidRDefault="00195BE7" w:rsidP="00195BE7">
            <w:pPr>
              <w:spacing w:line="240" w:lineRule="exact"/>
              <w:ind w:right="170"/>
              <w:jc w:val="right"/>
              <w:rPr>
                <w:color w:val="000000"/>
                <w:sz w:val="16"/>
                <w:szCs w:val="16"/>
              </w:rPr>
            </w:pPr>
            <w:r w:rsidRPr="001E2F6E">
              <w:rPr>
                <w:color w:val="000000"/>
                <w:sz w:val="16"/>
                <w:szCs w:val="16"/>
              </w:rPr>
              <w:t>-23,7</w:t>
            </w:r>
          </w:p>
        </w:tc>
        <w:tc>
          <w:tcPr>
            <w:tcW w:w="686" w:type="pct"/>
            <w:tcBorders>
              <w:left w:val="single" w:sz="4" w:space="0" w:color="BFBFBF" w:themeColor="background1" w:themeShade="BF"/>
            </w:tcBorders>
            <w:noWrap/>
            <w:vAlign w:val="bottom"/>
          </w:tcPr>
          <w:p w:rsidR="00195BE7" w:rsidRPr="001E2F6E" w:rsidRDefault="00195BE7" w:rsidP="00195BE7">
            <w:pPr>
              <w:spacing w:line="240" w:lineRule="exact"/>
              <w:ind w:right="170"/>
              <w:jc w:val="right"/>
              <w:rPr>
                <w:color w:val="000000"/>
                <w:sz w:val="16"/>
                <w:szCs w:val="16"/>
              </w:rPr>
            </w:pPr>
            <w:r w:rsidRPr="001E2F6E">
              <w:rPr>
                <w:color w:val="000000"/>
                <w:sz w:val="16"/>
                <w:szCs w:val="16"/>
              </w:rPr>
              <w:t>2.533</w:t>
            </w:r>
          </w:p>
        </w:tc>
        <w:tc>
          <w:tcPr>
            <w:tcW w:w="700" w:type="pct"/>
            <w:vAlign w:val="bottom"/>
          </w:tcPr>
          <w:p w:rsidR="00195BE7" w:rsidRPr="001E2F6E" w:rsidRDefault="00195BE7" w:rsidP="00195BE7">
            <w:pPr>
              <w:spacing w:line="240" w:lineRule="exact"/>
              <w:ind w:right="170"/>
              <w:jc w:val="right"/>
              <w:rPr>
                <w:color w:val="000000"/>
                <w:sz w:val="16"/>
                <w:szCs w:val="16"/>
              </w:rPr>
            </w:pPr>
            <w:r w:rsidRPr="001E2F6E">
              <w:rPr>
                <w:color w:val="000000"/>
                <w:sz w:val="16"/>
                <w:szCs w:val="16"/>
              </w:rPr>
              <w:t>-6,0</w:t>
            </w:r>
          </w:p>
        </w:tc>
      </w:tr>
      <w:tr w:rsidR="00195BE7" w:rsidRPr="001E2F6E" w:rsidTr="00195BE7">
        <w:trPr>
          <w:jc w:val="center"/>
        </w:trPr>
        <w:tc>
          <w:tcPr>
            <w:tcW w:w="982" w:type="pct"/>
            <w:tcBorders>
              <w:right w:val="single" w:sz="4" w:space="0" w:color="BFBFBF" w:themeColor="background1" w:themeShade="BF"/>
            </w:tcBorders>
          </w:tcPr>
          <w:p w:rsidR="00195BE7" w:rsidRPr="001E2F6E" w:rsidRDefault="00195BE7" w:rsidP="00195BE7">
            <w:pPr>
              <w:spacing w:line="240" w:lineRule="exact"/>
              <w:rPr>
                <w:sz w:val="16"/>
                <w:szCs w:val="16"/>
                <w:lang w:val="eu-ES"/>
              </w:rPr>
            </w:pPr>
            <w:r w:rsidRPr="001E2F6E">
              <w:rPr>
                <w:sz w:val="16"/>
                <w:szCs w:val="16"/>
                <w:lang w:val="eu-ES"/>
              </w:rPr>
              <w:t xml:space="preserve">  LSA</w:t>
            </w:r>
          </w:p>
        </w:tc>
        <w:tc>
          <w:tcPr>
            <w:tcW w:w="616" w:type="pct"/>
            <w:tcBorders>
              <w:left w:val="single" w:sz="4" w:space="0" w:color="BFBFBF" w:themeColor="background1" w:themeShade="BF"/>
            </w:tcBorders>
            <w:vAlign w:val="bottom"/>
          </w:tcPr>
          <w:p w:rsidR="00195BE7" w:rsidRPr="001E2F6E" w:rsidRDefault="00195BE7" w:rsidP="00195BE7">
            <w:pPr>
              <w:spacing w:line="240" w:lineRule="exact"/>
              <w:ind w:right="170"/>
              <w:jc w:val="right"/>
              <w:rPr>
                <w:sz w:val="16"/>
                <w:szCs w:val="16"/>
              </w:rPr>
            </w:pPr>
            <w:r w:rsidRPr="001E2F6E">
              <w:rPr>
                <w:color w:val="000000"/>
                <w:sz w:val="16"/>
                <w:szCs w:val="16"/>
              </w:rPr>
              <w:t>382</w:t>
            </w:r>
          </w:p>
        </w:tc>
        <w:tc>
          <w:tcPr>
            <w:tcW w:w="700" w:type="pct"/>
            <w:tcBorders>
              <w:right w:val="single" w:sz="4" w:space="0" w:color="BFBFBF" w:themeColor="background1" w:themeShade="BF"/>
            </w:tcBorders>
            <w:vAlign w:val="bottom"/>
          </w:tcPr>
          <w:p w:rsidR="00195BE7" w:rsidRPr="001E2F6E" w:rsidRDefault="00195BE7" w:rsidP="00195BE7">
            <w:pPr>
              <w:spacing w:line="240" w:lineRule="exact"/>
              <w:ind w:right="170"/>
              <w:jc w:val="right"/>
              <w:rPr>
                <w:color w:val="000000"/>
                <w:sz w:val="16"/>
                <w:szCs w:val="16"/>
              </w:rPr>
            </w:pPr>
            <w:r w:rsidRPr="001E2F6E">
              <w:rPr>
                <w:color w:val="000000"/>
                <w:sz w:val="16"/>
                <w:szCs w:val="16"/>
              </w:rPr>
              <w:t>-23,6*</w:t>
            </w:r>
          </w:p>
        </w:tc>
        <w:tc>
          <w:tcPr>
            <w:tcW w:w="616" w:type="pct"/>
            <w:tcBorders>
              <w:left w:val="single" w:sz="4" w:space="0" w:color="BFBFBF" w:themeColor="background1" w:themeShade="BF"/>
            </w:tcBorders>
            <w:noWrap/>
            <w:vAlign w:val="bottom"/>
          </w:tcPr>
          <w:p w:rsidR="00195BE7" w:rsidRPr="001E2F6E" w:rsidRDefault="00195BE7" w:rsidP="00195BE7">
            <w:pPr>
              <w:spacing w:line="240" w:lineRule="exact"/>
              <w:ind w:right="170"/>
              <w:jc w:val="right"/>
              <w:rPr>
                <w:sz w:val="16"/>
                <w:szCs w:val="16"/>
              </w:rPr>
            </w:pPr>
            <w:r w:rsidRPr="001E2F6E">
              <w:rPr>
                <w:color w:val="000000"/>
                <w:sz w:val="16"/>
                <w:szCs w:val="16"/>
              </w:rPr>
              <w:t>1.401</w:t>
            </w:r>
          </w:p>
        </w:tc>
        <w:tc>
          <w:tcPr>
            <w:tcW w:w="700" w:type="pct"/>
            <w:tcBorders>
              <w:right w:val="single" w:sz="4" w:space="0" w:color="BFBFBF" w:themeColor="background1" w:themeShade="BF"/>
            </w:tcBorders>
            <w:vAlign w:val="bottom"/>
          </w:tcPr>
          <w:p w:rsidR="00195BE7" w:rsidRPr="001E2F6E" w:rsidRDefault="00195BE7" w:rsidP="00195BE7">
            <w:pPr>
              <w:spacing w:line="240" w:lineRule="exact"/>
              <w:ind w:right="170"/>
              <w:jc w:val="right"/>
              <w:rPr>
                <w:color w:val="000000"/>
                <w:sz w:val="16"/>
                <w:szCs w:val="16"/>
              </w:rPr>
            </w:pPr>
            <w:r w:rsidRPr="001E2F6E">
              <w:rPr>
                <w:color w:val="000000"/>
                <w:sz w:val="16"/>
                <w:szCs w:val="16"/>
              </w:rPr>
              <w:t>-14,9</w:t>
            </w:r>
          </w:p>
        </w:tc>
        <w:tc>
          <w:tcPr>
            <w:tcW w:w="686" w:type="pct"/>
            <w:tcBorders>
              <w:left w:val="single" w:sz="4" w:space="0" w:color="BFBFBF" w:themeColor="background1" w:themeShade="BF"/>
            </w:tcBorders>
            <w:noWrap/>
            <w:vAlign w:val="bottom"/>
          </w:tcPr>
          <w:p w:rsidR="00195BE7" w:rsidRPr="001E2F6E" w:rsidRDefault="00195BE7" w:rsidP="00195BE7">
            <w:pPr>
              <w:spacing w:line="240" w:lineRule="exact"/>
              <w:ind w:right="170"/>
              <w:jc w:val="right"/>
              <w:rPr>
                <w:color w:val="000000"/>
                <w:sz w:val="16"/>
                <w:szCs w:val="16"/>
              </w:rPr>
            </w:pPr>
            <w:r w:rsidRPr="001E2F6E">
              <w:rPr>
                <w:color w:val="000000"/>
                <w:sz w:val="16"/>
                <w:szCs w:val="16"/>
              </w:rPr>
              <w:t>1.249</w:t>
            </w:r>
          </w:p>
        </w:tc>
        <w:tc>
          <w:tcPr>
            <w:tcW w:w="700" w:type="pct"/>
            <w:vAlign w:val="bottom"/>
          </w:tcPr>
          <w:p w:rsidR="00195BE7" w:rsidRPr="001E2F6E" w:rsidRDefault="00195BE7" w:rsidP="00195BE7">
            <w:pPr>
              <w:spacing w:line="240" w:lineRule="exact"/>
              <w:ind w:right="170"/>
              <w:jc w:val="right"/>
              <w:rPr>
                <w:color w:val="000000"/>
                <w:sz w:val="16"/>
                <w:szCs w:val="16"/>
              </w:rPr>
            </w:pPr>
            <w:r w:rsidRPr="001E2F6E">
              <w:rPr>
                <w:color w:val="000000"/>
                <w:sz w:val="16"/>
                <w:szCs w:val="16"/>
              </w:rPr>
              <w:t>-6,9</w:t>
            </w:r>
          </w:p>
        </w:tc>
      </w:tr>
      <w:tr w:rsidR="00195BE7" w:rsidRPr="001E2F6E" w:rsidTr="00195BE7">
        <w:trPr>
          <w:jc w:val="center"/>
        </w:trPr>
        <w:tc>
          <w:tcPr>
            <w:tcW w:w="982" w:type="pct"/>
            <w:tcBorders>
              <w:bottom w:val="single" w:sz="4" w:space="0" w:color="BFBFBF" w:themeColor="background1" w:themeShade="BF"/>
              <w:right w:val="single" w:sz="4" w:space="0" w:color="BFBFBF" w:themeColor="background1" w:themeShade="BF"/>
            </w:tcBorders>
          </w:tcPr>
          <w:p w:rsidR="00195BE7" w:rsidRPr="001E2F6E" w:rsidRDefault="00195BE7" w:rsidP="00195BE7">
            <w:pPr>
              <w:spacing w:line="240" w:lineRule="exact"/>
              <w:rPr>
                <w:sz w:val="16"/>
                <w:szCs w:val="16"/>
                <w:lang w:val="eu-ES"/>
              </w:rPr>
            </w:pPr>
            <w:r w:rsidRPr="001E2F6E">
              <w:rPr>
                <w:sz w:val="16"/>
                <w:szCs w:val="16"/>
                <w:lang w:val="eu-ES"/>
              </w:rPr>
              <w:t xml:space="preserve">  LSM</w:t>
            </w:r>
          </w:p>
        </w:tc>
        <w:tc>
          <w:tcPr>
            <w:tcW w:w="616" w:type="pct"/>
            <w:tcBorders>
              <w:left w:val="single" w:sz="4" w:space="0" w:color="BFBFBF" w:themeColor="background1" w:themeShade="BF"/>
              <w:bottom w:val="single" w:sz="4" w:space="0" w:color="BFBFBF" w:themeColor="background1" w:themeShade="BF"/>
            </w:tcBorders>
            <w:vAlign w:val="bottom"/>
          </w:tcPr>
          <w:p w:rsidR="00195BE7" w:rsidRPr="001E2F6E" w:rsidRDefault="00195BE7" w:rsidP="00195BE7">
            <w:pPr>
              <w:spacing w:line="240" w:lineRule="exact"/>
              <w:ind w:right="170"/>
              <w:jc w:val="right"/>
              <w:rPr>
                <w:sz w:val="16"/>
                <w:szCs w:val="16"/>
              </w:rPr>
            </w:pPr>
            <w:r w:rsidRPr="001E2F6E">
              <w:rPr>
                <w:sz w:val="16"/>
                <w:szCs w:val="16"/>
              </w:rPr>
              <w:t>169</w:t>
            </w:r>
          </w:p>
        </w:tc>
        <w:tc>
          <w:tcPr>
            <w:tcW w:w="700" w:type="pct"/>
            <w:tcBorders>
              <w:bottom w:val="single" w:sz="4" w:space="0" w:color="BFBFBF" w:themeColor="background1" w:themeShade="BF"/>
              <w:right w:val="single" w:sz="4" w:space="0" w:color="BFBFBF" w:themeColor="background1" w:themeShade="BF"/>
            </w:tcBorders>
            <w:vAlign w:val="bottom"/>
          </w:tcPr>
          <w:p w:rsidR="00195BE7" w:rsidRPr="001E2F6E" w:rsidRDefault="00195BE7" w:rsidP="00195BE7">
            <w:pPr>
              <w:spacing w:line="240" w:lineRule="exact"/>
              <w:ind w:right="170"/>
              <w:jc w:val="right"/>
              <w:rPr>
                <w:color w:val="000000"/>
                <w:sz w:val="16"/>
                <w:szCs w:val="16"/>
              </w:rPr>
            </w:pPr>
            <w:r w:rsidRPr="001E2F6E">
              <w:rPr>
                <w:color w:val="000000"/>
                <w:sz w:val="16"/>
                <w:szCs w:val="16"/>
              </w:rPr>
              <w:t>+6,3</w:t>
            </w:r>
          </w:p>
        </w:tc>
        <w:tc>
          <w:tcPr>
            <w:tcW w:w="616" w:type="pct"/>
            <w:tcBorders>
              <w:left w:val="single" w:sz="4" w:space="0" w:color="BFBFBF" w:themeColor="background1" w:themeShade="BF"/>
              <w:bottom w:val="single" w:sz="4" w:space="0" w:color="BFBFBF" w:themeColor="background1" w:themeShade="BF"/>
            </w:tcBorders>
            <w:noWrap/>
            <w:vAlign w:val="bottom"/>
          </w:tcPr>
          <w:p w:rsidR="00195BE7" w:rsidRPr="001E2F6E" w:rsidRDefault="00195BE7" w:rsidP="00195BE7">
            <w:pPr>
              <w:spacing w:line="240" w:lineRule="exact"/>
              <w:ind w:right="170"/>
              <w:jc w:val="right"/>
              <w:rPr>
                <w:sz w:val="16"/>
                <w:szCs w:val="16"/>
              </w:rPr>
            </w:pPr>
            <w:r w:rsidRPr="001E2F6E">
              <w:rPr>
                <w:sz w:val="16"/>
                <w:szCs w:val="16"/>
              </w:rPr>
              <w:t>324</w:t>
            </w:r>
          </w:p>
        </w:tc>
        <w:tc>
          <w:tcPr>
            <w:tcW w:w="700" w:type="pct"/>
            <w:tcBorders>
              <w:bottom w:val="single" w:sz="4" w:space="0" w:color="BFBFBF" w:themeColor="background1" w:themeShade="BF"/>
              <w:right w:val="single" w:sz="4" w:space="0" w:color="BFBFBF" w:themeColor="background1" w:themeShade="BF"/>
            </w:tcBorders>
            <w:vAlign w:val="bottom"/>
          </w:tcPr>
          <w:p w:rsidR="00195BE7" w:rsidRPr="001E2F6E" w:rsidRDefault="00195BE7" w:rsidP="00195BE7">
            <w:pPr>
              <w:spacing w:line="240" w:lineRule="exact"/>
              <w:ind w:right="170"/>
              <w:jc w:val="right"/>
              <w:rPr>
                <w:sz w:val="16"/>
                <w:szCs w:val="16"/>
              </w:rPr>
            </w:pPr>
            <w:r w:rsidRPr="001E2F6E">
              <w:rPr>
                <w:sz w:val="16"/>
                <w:szCs w:val="16"/>
              </w:rPr>
              <w:t>-47,1</w:t>
            </w:r>
          </w:p>
        </w:tc>
        <w:tc>
          <w:tcPr>
            <w:tcW w:w="686" w:type="pct"/>
            <w:tcBorders>
              <w:left w:val="single" w:sz="4" w:space="0" w:color="BFBFBF" w:themeColor="background1" w:themeShade="BF"/>
              <w:bottom w:val="single" w:sz="4" w:space="0" w:color="BFBFBF" w:themeColor="background1" w:themeShade="BF"/>
            </w:tcBorders>
            <w:noWrap/>
            <w:vAlign w:val="bottom"/>
          </w:tcPr>
          <w:p w:rsidR="00195BE7" w:rsidRPr="001E2F6E" w:rsidRDefault="00195BE7" w:rsidP="00195BE7">
            <w:pPr>
              <w:spacing w:line="240" w:lineRule="exact"/>
              <w:ind w:right="170"/>
              <w:jc w:val="right"/>
              <w:rPr>
                <w:color w:val="000000"/>
                <w:sz w:val="16"/>
                <w:szCs w:val="16"/>
              </w:rPr>
            </w:pPr>
            <w:r w:rsidRPr="001E2F6E">
              <w:rPr>
                <w:color w:val="000000"/>
                <w:sz w:val="16"/>
                <w:szCs w:val="16"/>
              </w:rPr>
              <w:t>1.284</w:t>
            </w:r>
          </w:p>
        </w:tc>
        <w:tc>
          <w:tcPr>
            <w:tcW w:w="700" w:type="pct"/>
            <w:tcBorders>
              <w:bottom w:val="single" w:sz="4" w:space="0" w:color="BFBFBF" w:themeColor="background1" w:themeShade="BF"/>
            </w:tcBorders>
            <w:vAlign w:val="bottom"/>
          </w:tcPr>
          <w:p w:rsidR="00195BE7" w:rsidRPr="001E2F6E" w:rsidRDefault="00195BE7" w:rsidP="00195BE7">
            <w:pPr>
              <w:spacing w:line="240" w:lineRule="exact"/>
              <w:ind w:right="170"/>
              <w:jc w:val="right"/>
              <w:rPr>
                <w:color w:val="000000"/>
                <w:sz w:val="16"/>
                <w:szCs w:val="16"/>
              </w:rPr>
            </w:pPr>
            <w:r w:rsidRPr="001E2F6E">
              <w:rPr>
                <w:color w:val="000000"/>
                <w:sz w:val="16"/>
                <w:szCs w:val="16"/>
              </w:rPr>
              <w:t>-5,1</w:t>
            </w:r>
          </w:p>
        </w:tc>
      </w:tr>
      <w:tr w:rsidR="00195BE7" w:rsidRPr="001E2F6E" w:rsidTr="00195BE7">
        <w:trPr>
          <w:jc w:val="center"/>
        </w:trPr>
        <w:tc>
          <w:tcPr>
            <w:tcW w:w="982" w:type="pct"/>
            <w:tcBorders>
              <w:top w:val="single" w:sz="4" w:space="0" w:color="BFBFBF" w:themeColor="background1" w:themeShade="BF"/>
              <w:bottom w:val="single" w:sz="4" w:space="0" w:color="BFBFBF" w:themeColor="background1" w:themeShade="BF"/>
              <w:right w:val="single" w:sz="4" w:space="0" w:color="BFBFBF" w:themeColor="background1" w:themeShade="BF"/>
            </w:tcBorders>
          </w:tcPr>
          <w:p w:rsidR="00195BE7" w:rsidRPr="001E2F6E" w:rsidRDefault="00195BE7" w:rsidP="00195BE7">
            <w:pPr>
              <w:spacing w:line="240" w:lineRule="exact"/>
              <w:ind w:right="170"/>
              <w:rPr>
                <w:b/>
                <w:sz w:val="16"/>
                <w:szCs w:val="16"/>
              </w:rPr>
            </w:pPr>
            <w:r w:rsidRPr="001E2F6E">
              <w:rPr>
                <w:b/>
                <w:sz w:val="16"/>
                <w:szCs w:val="16"/>
              </w:rPr>
              <w:t>GUZTIRA</w:t>
            </w:r>
          </w:p>
        </w:tc>
        <w:tc>
          <w:tcPr>
            <w:tcW w:w="616" w:type="pct"/>
            <w:tcBorders>
              <w:top w:val="single" w:sz="4" w:space="0" w:color="BFBFBF" w:themeColor="background1" w:themeShade="BF"/>
              <w:left w:val="single" w:sz="4" w:space="0" w:color="BFBFBF" w:themeColor="background1" w:themeShade="BF"/>
              <w:bottom w:val="single" w:sz="4" w:space="0" w:color="BFBFBF" w:themeColor="background1" w:themeShade="BF"/>
            </w:tcBorders>
            <w:vAlign w:val="bottom"/>
          </w:tcPr>
          <w:p w:rsidR="00195BE7" w:rsidRPr="001E2F6E" w:rsidRDefault="00195BE7" w:rsidP="00195BE7">
            <w:pPr>
              <w:spacing w:line="240" w:lineRule="exact"/>
              <w:ind w:right="170"/>
              <w:jc w:val="right"/>
              <w:rPr>
                <w:b/>
                <w:sz w:val="16"/>
                <w:szCs w:val="16"/>
              </w:rPr>
            </w:pPr>
            <w:r w:rsidRPr="001E2F6E">
              <w:rPr>
                <w:b/>
                <w:sz w:val="16"/>
                <w:szCs w:val="16"/>
              </w:rPr>
              <w:t>2.258</w:t>
            </w:r>
          </w:p>
        </w:tc>
        <w:tc>
          <w:tcPr>
            <w:tcW w:w="700" w:type="pct"/>
            <w:tcBorders>
              <w:top w:val="single" w:sz="4" w:space="0" w:color="BFBFBF" w:themeColor="background1" w:themeShade="BF"/>
              <w:bottom w:val="single" w:sz="4" w:space="0" w:color="BFBFBF" w:themeColor="background1" w:themeShade="BF"/>
              <w:right w:val="single" w:sz="4" w:space="0" w:color="BFBFBF" w:themeColor="background1" w:themeShade="BF"/>
            </w:tcBorders>
            <w:vAlign w:val="bottom"/>
          </w:tcPr>
          <w:p w:rsidR="00195BE7" w:rsidRPr="001E2F6E" w:rsidRDefault="00195BE7" w:rsidP="00195BE7">
            <w:pPr>
              <w:spacing w:line="240" w:lineRule="exact"/>
              <w:ind w:right="170"/>
              <w:jc w:val="right"/>
              <w:rPr>
                <w:b/>
                <w:sz w:val="16"/>
                <w:szCs w:val="16"/>
              </w:rPr>
            </w:pPr>
            <w:r w:rsidRPr="001E2F6E">
              <w:rPr>
                <w:b/>
                <w:sz w:val="16"/>
                <w:szCs w:val="16"/>
              </w:rPr>
              <w:t>-11,5</w:t>
            </w:r>
          </w:p>
        </w:tc>
        <w:tc>
          <w:tcPr>
            <w:tcW w:w="616" w:type="pct"/>
            <w:tcBorders>
              <w:top w:val="single" w:sz="4" w:space="0" w:color="BFBFBF" w:themeColor="background1" w:themeShade="BF"/>
              <w:left w:val="single" w:sz="4" w:space="0" w:color="BFBFBF" w:themeColor="background1" w:themeShade="BF"/>
              <w:bottom w:val="single" w:sz="4" w:space="0" w:color="BFBFBF" w:themeColor="background1" w:themeShade="BF"/>
            </w:tcBorders>
            <w:noWrap/>
            <w:vAlign w:val="bottom"/>
          </w:tcPr>
          <w:p w:rsidR="00195BE7" w:rsidRPr="001E2F6E" w:rsidRDefault="00195BE7" w:rsidP="00195BE7">
            <w:pPr>
              <w:spacing w:line="240" w:lineRule="exact"/>
              <w:ind w:right="170"/>
              <w:jc w:val="right"/>
              <w:rPr>
                <w:b/>
                <w:sz w:val="16"/>
                <w:szCs w:val="16"/>
              </w:rPr>
            </w:pPr>
            <w:r w:rsidRPr="001E2F6E">
              <w:rPr>
                <w:b/>
                <w:sz w:val="16"/>
                <w:szCs w:val="16"/>
              </w:rPr>
              <w:t>6.941</w:t>
            </w:r>
          </w:p>
        </w:tc>
        <w:tc>
          <w:tcPr>
            <w:tcW w:w="700" w:type="pct"/>
            <w:tcBorders>
              <w:top w:val="single" w:sz="4" w:space="0" w:color="BFBFBF" w:themeColor="background1" w:themeShade="BF"/>
              <w:bottom w:val="single" w:sz="4" w:space="0" w:color="BFBFBF" w:themeColor="background1" w:themeShade="BF"/>
              <w:right w:val="single" w:sz="4" w:space="0" w:color="BFBFBF" w:themeColor="background1" w:themeShade="BF"/>
            </w:tcBorders>
            <w:vAlign w:val="bottom"/>
          </w:tcPr>
          <w:p w:rsidR="00195BE7" w:rsidRPr="001E2F6E" w:rsidRDefault="00195BE7" w:rsidP="00195BE7">
            <w:pPr>
              <w:spacing w:line="240" w:lineRule="exact"/>
              <w:ind w:right="170"/>
              <w:jc w:val="right"/>
              <w:rPr>
                <w:b/>
                <w:color w:val="000000"/>
                <w:sz w:val="16"/>
                <w:szCs w:val="16"/>
              </w:rPr>
            </w:pPr>
            <w:r w:rsidRPr="001E2F6E">
              <w:rPr>
                <w:b/>
                <w:color w:val="000000"/>
                <w:sz w:val="16"/>
                <w:szCs w:val="16"/>
              </w:rPr>
              <w:t>-7,4</w:t>
            </w:r>
          </w:p>
        </w:tc>
        <w:tc>
          <w:tcPr>
            <w:tcW w:w="686" w:type="pct"/>
            <w:tcBorders>
              <w:top w:val="single" w:sz="4" w:space="0" w:color="BFBFBF" w:themeColor="background1" w:themeShade="BF"/>
              <w:left w:val="single" w:sz="4" w:space="0" w:color="BFBFBF" w:themeColor="background1" w:themeShade="BF"/>
              <w:bottom w:val="single" w:sz="4" w:space="0" w:color="BFBFBF" w:themeColor="background1" w:themeShade="BF"/>
            </w:tcBorders>
            <w:noWrap/>
            <w:vAlign w:val="bottom"/>
          </w:tcPr>
          <w:p w:rsidR="00195BE7" w:rsidRPr="001E2F6E" w:rsidRDefault="00195BE7" w:rsidP="00195BE7">
            <w:pPr>
              <w:spacing w:line="240" w:lineRule="exact"/>
              <w:ind w:right="170"/>
              <w:jc w:val="right"/>
              <w:rPr>
                <w:b/>
                <w:sz w:val="16"/>
                <w:szCs w:val="16"/>
              </w:rPr>
            </w:pPr>
            <w:r w:rsidRPr="001E2F6E">
              <w:rPr>
                <w:b/>
                <w:sz w:val="16"/>
                <w:szCs w:val="16"/>
              </w:rPr>
              <w:t>16.528</w:t>
            </w:r>
          </w:p>
        </w:tc>
        <w:tc>
          <w:tcPr>
            <w:tcW w:w="700" w:type="pct"/>
            <w:tcBorders>
              <w:top w:val="single" w:sz="4" w:space="0" w:color="BFBFBF" w:themeColor="background1" w:themeShade="BF"/>
              <w:bottom w:val="single" w:sz="4" w:space="0" w:color="BFBFBF" w:themeColor="background1" w:themeShade="BF"/>
            </w:tcBorders>
            <w:vAlign w:val="bottom"/>
          </w:tcPr>
          <w:p w:rsidR="00195BE7" w:rsidRPr="001E2F6E" w:rsidRDefault="00195BE7" w:rsidP="00195BE7">
            <w:pPr>
              <w:spacing w:line="240" w:lineRule="exact"/>
              <w:ind w:right="170"/>
              <w:jc w:val="right"/>
              <w:rPr>
                <w:b/>
                <w:color w:val="000000"/>
                <w:sz w:val="16"/>
                <w:szCs w:val="16"/>
              </w:rPr>
            </w:pPr>
            <w:r w:rsidRPr="001E2F6E">
              <w:rPr>
                <w:b/>
                <w:color w:val="000000"/>
                <w:sz w:val="16"/>
                <w:szCs w:val="16"/>
              </w:rPr>
              <w:t>+0,4</w:t>
            </w:r>
          </w:p>
        </w:tc>
      </w:tr>
    </w:tbl>
    <w:p w:rsidR="00195BE7" w:rsidRPr="001E2F6E" w:rsidRDefault="00195BE7" w:rsidP="00195BE7">
      <w:pPr>
        <w:rPr>
          <w:i/>
        </w:rPr>
      </w:pPr>
    </w:p>
    <w:p w:rsidR="00195BE7" w:rsidRPr="001E2F6E" w:rsidRDefault="00195BE7" w:rsidP="00195BE7">
      <w:pPr>
        <w:rPr>
          <w:b/>
          <w:color w:val="1F497D" w:themeColor="text2"/>
          <w:sz w:val="18"/>
          <w:szCs w:val="18"/>
        </w:rPr>
      </w:pPr>
      <w:r w:rsidRPr="001E2F6E">
        <w:rPr>
          <w:b/>
          <w:color w:val="1F497D" w:themeColor="text2"/>
          <w:sz w:val="18"/>
          <w:szCs w:val="18"/>
        </w:rPr>
        <w:br w:type="page"/>
      </w:r>
    </w:p>
    <w:p w:rsidR="00195BE7" w:rsidRPr="001E2F6E" w:rsidRDefault="00195BE7" w:rsidP="00195BE7">
      <w:pPr>
        <w:spacing w:line="240" w:lineRule="auto"/>
        <w:jc w:val="center"/>
        <w:rPr>
          <w:b/>
          <w:color w:val="1F497D" w:themeColor="text2"/>
          <w:sz w:val="18"/>
          <w:szCs w:val="18"/>
          <w:lang w:val="es-ES_tradnl"/>
        </w:rPr>
      </w:pPr>
      <w:bookmarkStart w:id="162" w:name="_Toc391989112"/>
      <w:bookmarkStart w:id="163" w:name="_Toc392585777"/>
      <w:r w:rsidRPr="001E2F6E">
        <w:rPr>
          <w:b/>
          <w:color w:val="1F497D" w:themeColor="text2"/>
          <w:sz w:val="18"/>
          <w:szCs w:val="18"/>
          <w:lang w:val="es-ES_tradnl"/>
        </w:rPr>
        <w:lastRenderedPageBreak/>
        <w:t>1.</w:t>
      </w:r>
      <w:r w:rsidR="00EB6BA6" w:rsidRPr="001E2F6E">
        <w:rPr>
          <w:b/>
          <w:color w:val="1F497D" w:themeColor="text2"/>
          <w:sz w:val="18"/>
          <w:szCs w:val="18"/>
          <w:lang w:val="es-ES_tradnl"/>
        </w:rPr>
        <w:fldChar w:fldCharType="begin"/>
      </w:r>
      <w:r w:rsidRPr="001E2F6E">
        <w:rPr>
          <w:b/>
          <w:color w:val="1F497D" w:themeColor="text2"/>
          <w:sz w:val="18"/>
          <w:szCs w:val="18"/>
          <w:lang w:val="es-ES_tradnl"/>
        </w:rPr>
        <w:instrText xml:space="preserve"> SEQ Cuadro_1. \* ARABIC </w:instrText>
      </w:r>
      <w:r w:rsidR="00EB6BA6" w:rsidRPr="001E2F6E">
        <w:rPr>
          <w:b/>
          <w:color w:val="1F497D" w:themeColor="text2"/>
          <w:sz w:val="18"/>
          <w:szCs w:val="18"/>
          <w:lang w:val="es-ES_tradnl"/>
        </w:rPr>
        <w:fldChar w:fldCharType="separate"/>
      </w:r>
      <w:r w:rsidR="00A327D4">
        <w:rPr>
          <w:b/>
          <w:noProof/>
          <w:color w:val="1F497D" w:themeColor="text2"/>
          <w:sz w:val="18"/>
          <w:szCs w:val="18"/>
          <w:lang w:val="es-ES_tradnl"/>
        </w:rPr>
        <w:t>42</w:t>
      </w:r>
      <w:r w:rsidR="00EB6BA6" w:rsidRPr="001E2F6E">
        <w:rPr>
          <w:b/>
          <w:color w:val="1F497D" w:themeColor="text2"/>
          <w:sz w:val="18"/>
          <w:szCs w:val="18"/>
          <w:lang w:val="es-ES_tradnl"/>
        </w:rPr>
        <w:fldChar w:fldCharType="end"/>
      </w:r>
      <w:r w:rsidRPr="001E2F6E">
        <w:rPr>
          <w:b/>
          <w:color w:val="1F497D" w:themeColor="text2"/>
          <w:sz w:val="18"/>
          <w:szCs w:val="18"/>
          <w:lang w:val="es-ES_tradnl"/>
        </w:rPr>
        <w:t xml:space="preserve"> Taula </w:t>
      </w:r>
      <w:r w:rsidRPr="001E2F6E">
        <w:rPr>
          <w:b/>
          <w:color w:val="1F497D" w:themeColor="text2"/>
          <w:sz w:val="18"/>
          <w:szCs w:val="18"/>
        </w:rPr>
        <w:t>GIZARTE-EKONOMIAREN ALORREKO ENPLEGUEN ARLOZ ARLOKO BANAKETA,  LURRALDE HISTORIKOAREN ARABERA. (duen garrantzi erlatiboa,%, euskal ekonomia osoari dagokionez). 2012</w:t>
      </w:r>
      <w:bookmarkEnd w:id="162"/>
      <w:bookmarkEnd w:id="163"/>
    </w:p>
    <w:tbl>
      <w:tblPr>
        <w:tblW w:w="5000" w:type="pct"/>
        <w:jc w:val="center"/>
        <w:tblBorders>
          <w:top w:val="single" w:sz="4" w:space="0" w:color="BFBFBF" w:themeColor="background1" w:themeShade="BF"/>
          <w:bottom w:val="single" w:sz="4" w:space="0" w:color="BFBFBF" w:themeColor="background1" w:themeShade="BF"/>
        </w:tblBorders>
        <w:tblLook w:val="04A0" w:firstRow="1" w:lastRow="0" w:firstColumn="1" w:lastColumn="0" w:noHBand="0" w:noVBand="1"/>
      </w:tblPr>
      <w:tblGrid>
        <w:gridCol w:w="1994"/>
        <w:gridCol w:w="2337"/>
        <w:gridCol w:w="2337"/>
        <w:gridCol w:w="2336"/>
      </w:tblGrid>
      <w:tr w:rsidR="00195BE7" w:rsidRPr="001E2F6E" w:rsidTr="00195BE7">
        <w:trPr>
          <w:jc w:val="center"/>
        </w:trPr>
        <w:tc>
          <w:tcPr>
            <w:tcW w:w="1107"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hideMark/>
          </w:tcPr>
          <w:p w:rsidR="00195BE7" w:rsidRPr="001E2F6E" w:rsidRDefault="00195BE7" w:rsidP="00195BE7">
            <w:pPr>
              <w:spacing w:line="240" w:lineRule="exact"/>
              <w:jc w:val="center"/>
              <w:rPr>
                <w:b/>
                <w:bCs/>
                <w:sz w:val="16"/>
                <w:szCs w:val="16"/>
              </w:rPr>
            </w:pPr>
            <w:r w:rsidRPr="001E2F6E">
              <w:rPr>
                <w:b/>
                <w:bCs/>
                <w:sz w:val="16"/>
                <w:szCs w:val="16"/>
                <w:lang w:val="es-ES_tradnl"/>
              </w:rPr>
              <w:t>EAE</w:t>
            </w:r>
          </w:p>
        </w:tc>
        <w:tc>
          <w:tcPr>
            <w:tcW w:w="129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hideMark/>
          </w:tcPr>
          <w:p w:rsidR="00195BE7" w:rsidRPr="001E2F6E" w:rsidRDefault="00195BE7" w:rsidP="00195BE7">
            <w:pPr>
              <w:spacing w:line="240" w:lineRule="auto"/>
              <w:jc w:val="center"/>
              <w:rPr>
                <w:b/>
                <w:sz w:val="16"/>
                <w:szCs w:val="16"/>
                <w:lang w:val="eu-ES"/>
              </w:rPr>
            </w:pPr>
            <w:r w:rsidRPr="001E2F6E">
              <w:rPr>
                <w:b/>
                <w:sz w:val="16"/>
                <w:szCs w:val="16"/>
                <w:lang w:val="eu-ES"/>
              </w:rPr>
              <w:t>Gizarte-ekonomia</w:t>
            </w:r>
          </w:p>
        </w:tc>
        <w:tc>
          <w:tcPr>
            <w:tcW w:w="129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hideMark/>
          </w:tcPr>
          <w:p w:rsidR="00195BE7" w:rsidRPr="001E2F6E" w:rsidRDefault="00195BE7" w:rsidP="00195BE7">
            <w:pPr>
              <w:spacing w:line="240" w:lineRule="auto"/>
              <w:jc w:val="center"/>
              <w:rPr>
                <w:b/>
                <w:sz w:val="16"/>
                <w:szCs w:val="16"/>
                <w:lang w:val="eu-ES"/>
              </w:rPr>
            </w:pPr>
            <w:r w:rsidRPr="001E2F6E">
              <w:rPr>
                <w:b/>
                <w:sz w:val="16"/>
                <w:szCs w:val="16"/>
                <w:lang w:val="eu-ES"/>
              </w:rPr>
              <w:t>Euskal ekonomia guztira</w:t>
            </w:r>
          </w:p>
        </w:tc>
        <w:tc>
          <w:tcPr>
            <w:tcW w:w="1297"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vAlign w:val="center"/>
            <w:hideMark/>
          </w:tcPr>
          <w:p w:rsidR="00195BE7" w:rsidRPr="001E2F6E" w:rsidRDefault="00195BE7" w:rsidP="00195BE7">
            <w:pPr>
              <w:spacing w:line="240" w:lineRule="auto"/>
              <w:jc w:val="center"/>
              <w:rPr>
                <w:b/>
                <w:sz w:val="16"/>
                <w:szCs w:val="16"/>
                <w:lang w:val="eu-ES"/>
              </w:rPr>
            </w:pPr>
            <w:r w:rsidRPr="001E2F6E">
              <w:rPr>
                <w:b/>
                <w:sz w:val="16"/>
                <w:szCs w:val="16"/>
                <w:lang w:val="eu-ES"/>
              </w:rPr>
              <w:t>Garrantzi erlatiboa  ehunekoan</w:t>
            </w:r>
          </w:p>
        </w:tc>
      </w:tr>
      <w:tr w:rsidR="00195BE7" w:rsidRPr="001E2F6E" w:rsidTr="00195BE7">
        <w:trPr>
          <w:jc w:val="center"/>
        </w:trPr>
        <w:tc>
          <w:tcPr>
            <w:tcW w:w="1107" w:type="pct"/>
            <w:tcBorders>
              <w:top w:val="single" w:sz="4" w:space="0" w:color="BFBFBF" w:themeColor="background1" w:themeShade="BF"/>
              <w:right w:val="single" w:sz="4" w:space="0" w:color="BFBFBF" w:themeColor="background1" w:themeShade="BF"/>
            </w:tcBorders>
            <w:vAlign w:val="bottom"/>
            <w:hideMark/>
          </w:tcPr>
          <w:p w:rsidR="00195BE7" w:rsidRPr="001E2F6E" w:rsidRDefault="00195BE7" w:rsidP="00195BE7">
            <w:pPr>
              <w:spacing w:line="240" w:lineRule="exact"/>
              <w:rPr>
                <w:sz w:val="16"/>
                <w:szCs w:val="16"/>
                <w:lang w:val="eu-ES"/>
              </w:rPr>
            </w:pPr>
            <w:r w:rsidRPr="001E2F6E">
              <w:rPr>
                <w:sz w:val="16"/>
                <w:szCs w:val="16"/>
                <w:lang w:val="eu-ES"/>
              </w:rPr>
              <w:t>Lehen sektorea</w:t>
            </w:r>
          </w:p>
        </w:tc>
        <w:tc>
          <w:tcPr>
            <w:tcW w:w="1298" w:type="pct"/>
            <w:tcBorders>
              <w:top w:val="single" w:sz="4" w:space="0" w:color="BFBFBF" w:themeColor="background1" w:themeShade="BF"/>
              <w:left w:val="single" w:sz="4" w:space="0" w:color="BFBFBF" w:themeColor="background1" w:themeShade="BF"/>
              <w:right w:val="single" w:sz="4" w:space="0" w:color="BFBFBF" w:themeColor="background1" w:themeShade="BF"/>
            </w:tcBorders>
            <w:hideMark/>
          </w:tcPr>
          <w:p w:rsidR="00195BE7" w:rsidRPr="001E2F6E" w:rsidRDefault="00195BE7" w:rsidP="00195BE7">
            <w:pPr>
              <w:spacing w:line="240" w:lineRule="exact"/>
              <w:ind w:right="170"/>
              <w:jc w:val="right"/>
              <w:rPr>
                <w:sz w:val="16"/>
                <w:szCs w:val="16"/>
              </w:rPr>
            </w:pPr>
            <w:r w:rsidRPr="001E2F6E">
              <w:rPr>
                <w:sz w:val="16"/>
                <w:szCs w:val="16"/>
              </w:rPr>
              <w:t>117</w:t>
            </w:r>
          </w:p>
        </w:tc>
        <w:tc>
          <w:tcPr>
            <w:tcW w:w="1298" w:type="pct"/>
            <w:tcBorders>
              <w:top w:val="single" w:sz="4" w:space="0" w:color="BFBFBF" w:themeColor="background1" w:themeShade="BF"/>
              <w:left w:val="single" w:sz="4" w:space="0" w:color="BFBFBF" w:themeColor="background1" w:themeShade="BF"/>
              <w:right w:val="single" w:sz="4" w:space="0" w:color="BFBFBF" w:themeColor="background1" w:themeShade="BF"/>
            </w:tcBorders>
            <w:hideMark/>
          </w:tcPr>
          <w:p w:rsidR="00195BE7" w:rsidRPr="001E2F6E" w:rsidRDefault="00195BE7" w:rsidP="00195BE7">
            <w:pPr>
              <w:spacing w:line="240" w:lineRule="exact"/>
              <w:ind w:right="170"/>
              <w:jc w:val="right"/>
              <w:rPr>
                <w:sz w:val="16"/>
                <w:szCs w:val="16"/>
              </w:rPr>
            </w:pPr>
            <w:r w:rsidRPr="001E2F6E">
              <w:rPr>
                <w:sz w:val="16"/>
                <w:szCs w:val="16"/>
              </w:rPr>
              <w:t>8.000</w:t>
            </w:r>
          </w:p>
        </w:tc>
        <w:tc>
          <w:tcPr>
            <w:tcW w:w="1297" w:type="pct"/>
            <w:tcBorders>
              <w:top w:val="single" w:sz="4" w:space="0" w:color="BFBFBF" w:themeColor="background1" w:themeShade="BF"/>
              <w:left w:val="single" w:sz="4" w:space="0" w:color="BFBFBF" w:themeColor="background1" w:themeShade="BF"/>
            </w:tcBorders>
            <w:hideMark/>
          </w:tcPr>
          <w:p w:rsidR="00195BE7" w:rsidRPr="001E2F6E" w:rsidRDefault="00195BE7" w:rsidP="00195BE7">
            <w:pPr>
              <w:spacing w:line="240" w:lineRule="exact"/>
              <w:ind w:right="170"/>
              <w:jc w:val="right"/>
              <w:rPr>
                <w:sz w:val="16"/>
                <w:szCs w:val="16"/>
              </w:rPr>
            </w:pPr>
            <w:r w:rsidRPr="001E2F6E">
              <w:rPr>
                <w:snapToGrid w:val="0"/>
                <w:sz w:val="16"/>
                <w:szCs w:val="16"/>
              </w:rPr>
              <w:t>%1,5</w:t>
            </w:r>
          </w:p>
        </w:tc>
      </w:tr>
      <w:tr w:rsidR="00195BE7" w:rsidRPr="001E2F6E" w:rsidTr="00195BE7">
        <w:trPr>
          <w:jc w:val="center"/>
        </w:trPr>
        <w:tc>
          <w:tcPr>
            <w:tcW w:w="1107" w:type="pct"/>
            <w:tcBorders>
              <w:right w:val="single" w:sz="4" w:space="0" w:color="BFBFBF" w:themeColor="background1" w:themeShade="BF"/>
            </w:tcBorders>
            <w:vAlign w:val="bottom"/>
            <w:hideMark/>
          </w:tcPr>
          <w:p w:rsidR="00195BE7" w:rsidRPr="001E2F6E" w:rsidRDefault="00195BE7" w:rsidP="00195BE7">
            <w:pPr>
              <w:spacing w:line="240" w:lineRule="exact"/>
              <w:rPr>
                <w:sz w:val="16"/>
                <w:szCs w:val="16"/>
                <w:lang w:val="eu-ES"/>
              </w:rPr>
            </w:pPr>
            <w:r w:rsidRPr="001E2F6E">
              <w:rPr>
                <w:sz w:val="16"/>
                <w:szCs w:val="16"/>
                <w:lang w:val="eu-ES"/>
              </w:rPr>
              <w:t>Industria</w:t>
            </w:r>
          </w:p>
        </w:tc>
        <w:tc>
          <w:tcPr>
            <w:tcW w:w="1298" w:type="pct"/>
            <w:tcBorders>
              <w:left w:val="single" w:sz="4" w:space="0" w:color="BFBFBF" w:themeColor="background1" w:themeShade="BF"/>
              <w:right w:val="single" w:sz="4" w:space="0" w:color="BFBFBF" w:themeColor="background1" w:themeShade="BF"/>
            </w:tcBorders>
            <w:hideMark/>
          </w:tcPr>
          <w:p w:rsidR="00195BE7" w:rsidRPr="001E2F6E" w:rsidRDefault="00195BE7" w:rsidP="00195BE7">
            <w:pPr>
              <w:spacing w:line="240" w:lineRule="exact"/>
              <w:ind w:right="170"/>
              <w:jc w:val="right"/>
              <w:rPr>
                <w:sz w:val="16"/>
                <w:szCs w:val="16"/>
              </w:rPr>
            </w:pPr>
            <w:r w:rsidRPr="001E2F6E">
              <w:rPr>
                <w:sz w:val="16"/>
                <w:szCs w:val="16"/>
              </w:rPr>
              <w:t>25.727</w:t>
            </w:r>
          </w:p>
        </w:tc>
        <w:tc>
          <w:tcPr>
            <w:tcW w:w="1298" w:type="pct"/>
            <w:tcBorders>
              <w:left w:val="single" w:sz="4" w:space="0" w:color="BFBFBF" w:themeColor="background1" w:themeShade="BF"/>
              <w:right w:val="single" w:sz="4" w:space="0" w:color="BFBFBF" w:themeColor="background1" w:themeShade="BF"/>
            </w:tcBorders>
            <w:hideMark/>
          </w:tcPr>
          <w:p w:rsidR="00195BE7" w:rsidRPr="001E2F6E" w:rsidRDefault="00195BE7" w:rsidP="00195BE7">
            <w:pPr>
              <w:spacing w:line="240" w:lineRule="exact"/>
              <w:ind w:right="170"/>
              <w:jc w:val="right"/>
              <w:rPr>
                <w:sz w:val="16"/>
                <w:szCs w:val="16"/>
              </w:rPr>
            </w:pPr>
            <w:r w:rsidRPr="001E2F6E">
              <w:rPr>
                <w:sz w:val="16"/>
                <w:szCs w:val="16"/>
              </w:rPr>
              <w:t>214.300</w:t>
            </w:r>
          </w:p>
        </w:tc>
        <w:tc>
          <w:tcPr>
            <w:tcW w:w="1297" w:type="pct"/>
            <w:tcBorders>
              <w:left w:val="single" w:sz="4" w:space="0" w:color="BFBFBF" w:themeColor="background1" w:themeShade="BF"/>
            </w:tcBorders>
            <w:hideMark/>
          </w:tcPr>
          <w:p w:rsidR="00195BE7" w:rsidRPr="001E2F6E" w:rsidRDefault="00195BE7" w:rsidP="00195BE7">
            <w:pPr>
              <w:spacing w:line="240" w:lineRule="exact"/>
              <w:ind w:right="170"/>
              <w:jc w:val="right"/>
              <w:rPr>
                <w:sz w:val="16"/>
                <w:szCs w:val="16"/>
              </w:rPr>
            </w:pPr>
            <w:r w:rsidRPr="001E2F6E">
              <w:rPr>
                <w:snapToGrid w:val="0"/>
                <w:sz w:val="16"/>
                <w:szCs w:val="16"/>
              </w:rPr>
              <w:t>%12,0</w:t>
            </w:r>
          </w:p>
        </w:tc>
      </w:tr>
      <w:tr w:rsidR="00195BE7" w:rsidRPr="001E2F6E" w:rsidTr="00195BE7">
        <w:trPr>
          <w:jc w:val="center"/>
        </w:trPr>
        <w:tc>
          <w:tcPr>
            <w:tcW w:w="1107" w:type="pct"/>
            <w:tcBorders>
              <w:right w:val="single" w:sz="4" w:space="0" w:color="BFBFBF" w:themeColor="background1" w:themeShade="BF"/>
            </w:tcBorders>
            <w:vAlign w:val="bottom"/>
            <w:hideMark/>
          </w:tcPr>
          <w:p w:rsidR="00195BE7" w:rsidRPr="001E2F6E" w:rsidRDefault="00195BE7" w:rsidP="00195BE7">
            <w:pPr>
              <w:spacing w:line="240" w:lineRule="exact"/>
              <w:rPr>
                <w:sz w:val="16"/>
                <w:szCs w:val="16"/>
                <w:lang w:val="eu-ES"/>
              </w:rPr>
            </w:pPr>
            <w:r w:rsidRPr="001E2F6E">
              <w:rPr>
                <w:sz w:val="16"/>
                <w:szCs w:val="16"/>
                <w:lang w:val="eu-ES"/>
              </w:rPr>
              <w:t>Eraikuntza</w:t>
            </w:r>
          </w:p>
        </w:tc>
        <w:tc>
          <w:tcPr>
            <w:tcW w:w="1298" w:type="pct"/>
            <w:tcBorders>
              <w:left w:val="single" w:sz="4" w:space="0" w:color="BFBFBF" w:themeColor="background1" w:themeShade="BF"/>
              <w:right w:val="single" w:sz="4" w:space="0" w:color="BFBFBF" w:themeColor="background1" w:themeShade="BF"/>
            </w:tcBorders>
            <w:hideMark/>
          </w:tcPr>
          <w:p w:rsidR="00195BE7" w:rsidRPr="001E2F6E" w:rsidRDefault="00195BE7" w:rsidP="00195BE7">
            <w:pPr>
              <w:spacing w:line="240" w:lineRule="exact"/>
              <w:ind w:right="170"/>
              <w:jc w:val="right"/>
              <w:rPr>
                <w:sz w:val="16"/>
                <w:szCs w:val="16"/>
              </w:rPr>
            </w:pPr>
            <w:r w:rsidRPr="001E2F6E">
              <w:rPr>
                <w:sz w:val="16"/>
                <w:szCs w:val="16"/>
              </w:rPr>
              <w:t>2.000</w:t>
            </w:r>
          </w:p>
        </w:tc>
        <w:tc>
          <w:tcPr>
            <w:tcW w:w="1298" w:type="pct"/>
            <w:tcBorders>
              <w:left w:val="single" w:sz="4" w:space="0" w:color="BFBFBF" w:themeColor="background1" w:themeShade="BF"/>
              <w:right w:val="single" w:sz="4" w:space="0" w:color="BFBFBF" w:themeColor="background1" w:themeShade="BF"/>
            </w:tcBorders>
            <w:hideMark/>
          </w:tcPr>
          <w:p w:rsidR="00195BE7" w:rsidRPr="001E2F6E" w:rsidRDefault="00195BE7" w:rsidP="00195BE7">
            <w:pPr>
              <w:spacing w:line="240" w:lineRule="exact"/>
              <w:ind w:right="170"/>
              <w:jc w:val="right"/>
              <w:rPr>
                <w:sz w:val="16"/>
                <w:szCs w:val="16"/>
              </w:rPr>
            </w:pPr>
            <w:r w:rsidRPr="001E2F6E">
              <w:rPr>
                <w:sz w:val="16"/>
                <w:szCs w:val="16"/>
              </w:rPr>
              <w:t>57.800</w:t>
            </w:r>
          </w:p>
        </w:tc>
        <w:tc>
          <w:tcPr>
            <w:tcW w:w="1297" w:type="pct"/>
            <w:tcBorders>
              <w:left w:val="single" w:sz="4" w:space="0" w:color="BFBFBF" w:themeColor="background1" w:themeShade="BF"/>
            </w:tcBorders>
            <w:hideMark/>
          </w:tcPr>
          <w:p w:rsidR="00195BE7" w:rsidRPr="001E2F6E" w:rsidRDefault="00195BE7" w:rsidP="00195BE7">
            <w:pPr>
              <w:spacing w:line="240" w:lineRule="exact"/>
              <w:ind w:right="170"/>
              <w:jc w:val="right"/>
              <w:rPr>
                <w:sz w:val="16"/>
                <w:szCs w:val="16"/>
              </w:rPr>
            </w:pPr>
            <w:r w:rsidRPr="001E2F6E">
              <w:rPr>
                <w:snapToGrid w:val="0"/>
                <w:sz w:val="16"/>
                <w:szCs w:val="16"/>
              </w:rPr>
              <w:t>%3,5</w:t>
            </w:r>
          </w:p>
        </w:tc>
      </w:tr>
      <w:tr w:rsidR="00195BE7" w:rsidRPr="001E2F6E" w:rsidTr="00195BE7">
        <w:trPr>
          <w:jc w:val="center"/>
        </w:trPr>
        <w:tc>
          <w:tcPr>
            <w:tcW w:w="1107" w:type="pct"/>
            <w:tcBorders>
              <w:bottom w:val="single" w:sz="4" w:space="0" w:color="BFBFBF" w:themeColor="background1" w:themeShade="BF"/>
              <w:right w:val="single" w:sz="4" w:space="0" w:color="BFBFBF" w:themeColor="background1" w:themeShade="BF"/>
            </w:tcBorders>
            <w:vAlign w:val="bottom"/>
            <w:hideMark/>
          </w:tcPr>
          <w:p w:rsidR="00195BE7" w:rsidRPr="001E2F6E" w:rsidRDefault="00195BE7" w:rsidP="00195BE7">
            <w:pPr>
              <w:spacing w:line="240" w:lineRule="exact"/>
              <w:rPr>
                <w:sz w:val="16"/>
                <w:szCs w:val="16"/>
                <w:lang w:val="eu-ES"/>
              </w:rPr>
            </w:pPr>
            <w:r w:rsidRPr="001E2F6E">
              <w:rPr>
                <w:sz w:val="16"/>
                <w:szCs w:val="16"/>
                <w:lang w:val="eu-ES"/>
              </w:rPr>
              <w:t>Zerbitzuak</w:t>
            </w:r>
          </w:p>
        </w:tc>
        <w:tc>
          <w:tcPr>
            <w:tcW w:w="1298" w:type="pct"/>
            <w:tcBorders>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195BE7" w:rsidRPr="001E2F6E" w:rsidRDefault="00195BE7" w:rsidP="00195BE7">
            <w:pPr>
              <w:spacing w:line="240" w:lineRule="exact"/>
              <w:ind w:right="170"/>
              <w:jc w:val="right"/>
              <w:rPr>
                <w:sz w:val="16"/>
                <w:szCs w:val="16"/>
              </w:rPr>
            </w:pPr>
            <w:r w:rsidRPr="001E2F6E">
              <w:rPr>
                <w:sz w:val="16"/>
                <w:szCs w:val="16"/>
              </w:rPr>
              <w:t>27.966</w:t>
            </w:r>
          </w:p>
        </w:tc>
        <w:tc>
          <w:tcPr>
            <w:tcW w:w="1298" w:type="pct"/>
            <w:tcBorders>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195BE7" w:rsidRPr="001E2F6E" w:rsidRDefault="00195BE7" w:rsidP="00195BE7">
            <w:pPr>
              <w:spacing w:line="240" w:lineRule="exact"/>
              <w:ind w:right="170"/>
              <w:jc w:val="right"/>
              <w:rPr>
                <w:sz w:val="16"/>
                <w:szCs w:val="16"/>
              </w:rPr>
            </w:pPr>
            <w:r w:rsidRPr="001E2F6E">
              <w:rPr>
                <w:sz w:val="16"/>
                <w:szCs w:val="16"/>
              </w:rPr>
              <w:t>624.200</w:t>
            </w:r>
          </w:p>
        </w:tc>
        <w:tc>
          <w:tcPr>
            <w:tcW w:w="1297" w:type="pct"/>
            <w:tcBorders>
              <w:left w:val="single" w:sz="4" w:space="0" w:color="BFBFBF" w:themeColor="background1" w:themeShade="BF"/>
              <w:bottom w:val="single" w:sz="4" w:space="0" w:color="BFBFBF" w:themeColor="background1" w:themeShade="BF"/>
            </w:tcBorders>
            <w:hideMark/>
          </w:tcPr>
          <w:p w:rsidR="00195BE7" w:rsidRPr="001E2F6E" w:rsidRDefault="00195BE7" w:rsidP="00195BE7">
            <w:pPr>
              <w:spacing w:line="240" w:lineRule="exact"/>
              <w:ind w:right="170"/>
              <w:jc w:val="right"/>
              <w:rPr>
                <w:sz w:val="16"/>
                <w:szCs w:val="16"/>
              </w:rPr>
            </w:pPr>
            <w:r w:rsidRPr="001E2F6E">
              <w:rPr>
                <w:snapToGrid w:val="0"/>
                <w:sz w:val="16"/>
                <w:szCs w:val="16"/>
              </w:rPr>
              <w:t>%4,5</w:t>
            </w:r>
          </w:p>
        </w:tc>
      </w:tr>
      <w:tr w:rsidR="00195BE7" w:rsidRPr="001E2F6E" w:rsidTr="00195BE7">
        <w:trPr>
          <w:jc w:val="center"/>
        </w:trPr>
        <w:tc>
          <w:tcPr>
            <w:tcW w:w="1107" w:type="pct"/>
            <w:tcBorders>
              <w:top w:val="single" w:sz="4" w:space="0" w:color="BFBFBF" w:themeColor="background1" w:themeShade="BF"/>
              <w:bottom w:val="single" w:sz="4" w:space="0" w:color="BFBFBF" w:themeColor="background1" w:themeShade="BF"/>
              <w:right w:val="single" w:sz="4" w:space="0" w:color="BFBFBF" w:themeColor="background1" w:themeShade="BF"/>
            </w:tcBorders>
            <w:vAlign w:val="bottom"/>
            <w:hideMark/>
          </w:tcPr>
          <w:p w:rsidR="00195BE7" w:rsidRPr="001E2F6E" w:rsidRDefault="00195BE7" w:rsidP="00195BE7">
            <w:pPr>
              <w:spacing w:line="240" w:lineRule="exact"/>
              <w:rPr>
                <w:b/>
                <w:bCs/>
                <w:sz w:val="16"/>
                <w:szCs w:val="16"/>
                <w:lang w:val="eu-ES"/>
              </w:rPr>
            </w:pPr>
            <w:r w:rsidRPr="001E2F6E">
              <w:rPr>
                <w:b/>
                <w:bCs/>
                <w:sz w:val="16"/>
                <w:szCs w:val="16"/>
                <w:lang w:val="eu-ES"/>
              </w:rPr>
              <w:t>GUZTIRA</w:t>
            </w:r>
          </w:p>
        </w:tc>
        <w:tc>
          <w:tcPr>
            <w:tcW w:w="129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195BE7" w:rsidRPr="001E2F6E" w:rsidRDefault="00195BE7" w:rsidP="00195BE7">
            <w:pPr>
              <w:spacing w:line="240" w:lineRule="exact"/>
              <w:ind w:right="170"/>
              <w:jc w:val="right"/>
              <w:rPr>
                <w:b/>
                <w:bCs/>
                <w:sz w:val="16"/>
                <w:szCs w:val="16"/>
              </w:rPr>
            </w:pPr>
            <w:r w:rsidRPr="001E2F6E">
              <w:rPr>
                <w:b/>
                <w:bCs/>
                <w:sz w:val="16"/>
                <w:szCs w:val="16"/>
              </w:rPr>
              <w:t>55.809</w:t>
            </w:r>
          </w:p>
        </w:tc>
        <w:tc>
          <w:tcPr>
            <w:tcW w:w="129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195BE7" w:rsidRPr="001E2F6E" w:rsidRDefault="00195BE7" w:rsidP="00195BE7">
            <w:pPr>
              <w:spacing w:line="240" w:lineRule="exact"/>
              <w:ind w:right="170"/>
              <w:jc w:val="right"/>
              <w:rPr>
                <w:b/>
                <w:bCs/>
                <w:sz w:val="16"/>
                <w:szCs w:val="16"/>
              </w:rPr>
            </w:pPr>
            <w:r w:rsidRPr="001E2F6E">
              <w:rPr>
                <w:b/>
                <w:bCs/>
                <w:sz w:val="16"/>
                <w:szCs w:val="16"/>
              </w:rPr>
              <w:t>904.300</w:t>
            </w:r>
          </w:p>
        </w:tc>
        <w:tc>
          <w:tcPr>
            <w:tcW w:w="1297" w:type="pct"/>
            <w:tcBorders>
              <w:top w:val="single" w:sz="4" w:space="0" w:color="BFBFBF" w:themeColor="background1" w:themeShade="BF"/>
              <w:left w:val="single" w:sz="4" w:space="0" w:color="BFBFBF" w:themeColor="background1" w:themeShade="BF"/>
              <w:bottom w:val="single" w:sz="4" w:space="0" w:color="BFBFBF" w:themeColor="background1" w:themeShade="BF"/>
            </w:tcBorders>
            <w:hideMark/>
          </w:tcPr>
          <w:p w:rsidR="00195BE7" w:rsidRPr="001E2F6E" w:rsidRDefault="00195BE7" w:rsidP="00195BE7">
            <w:pPr>
              <w:spacing w:line="240" w:lineRule="exact"/>
              <w:ind w:right="170"/>
              <w:jc w:val="right"/>
              <w:rPr>
                <w:b/>
                <w:bCs/>
                <w:sz w:val="16"/>
                <w:szCs w:val="16"/>
              </w:rPr>
            </w:pPr>
            <w:r w:rsidRPr="001E2F6E">
              <w:rPr>
                <w:b/>
                <w:bCs/>
                <w:snapToGrid w:val="0"/>
                <w:sz w:val="16"/>
                <w:szCs w:val="16"/>
              </w:rPr>
              <w:t>%6,2</w:t>
            </w:r>
          </w:p>
        </w:tc>
      </w:tr>
      <w:tr w:rsidR="00195BE7" w:rsidRPr="001E2F6E" w:rsidTr="00195BE7">
        <w:trPr>
          <w:jc w:val="center"/>
        </w:trPr>
        <w:tc>
          <w:tcPr>
            <w:tcW w:w="1107" w:type="pct"/>
            <w:tcBorders>
              <w:top w:val="single" w:sz="4" w:space="0" w:color="BFBFBF" w:themeColor="background1" w:themeShade="BF"/>
              <w:bottom w:val="single" w:sz="4" w:space="0" w:color="BFBFBF" w:themeColor="background1" w:themeShade="BF"/>
            </w:tcBorders>
            <w:noWrap/>
            <w:hideMark/>
          </w:tcPr>
          <w:p w:rsidR="00195BE7" w:rsidRPr="001E2F6E" w:rsidRDefault="00195BE7" w:rsidP="00195BE7">
            <w:pPr>
              <w:spacing w:line="240" w:lineRule="exact"/>
              <w:rPr>
                <w:sz w:val="16"/>
                <w:szCs w:val="16"/>
              </w:rPr>
            </w:pPr>
          </w:p>
        </w:tc>
        <w:tc>
          <w:tcPr>
            <w:tcW w:w="1298" w:type="pct"/>
            <w:tcBorders>
              <w:top w:val="single" w:sz="4" w:space="0" w:color="BFBFBF" w:themeColor="background1" w:themeShade="BF"/>
              <w:bottom w:val="single" w:sz="4" w:space="0" w:color="BFBFBF" w:themeColor="background1" w:themeShade="BF"/>
            </w:tcBorders>
            <w:noWrap/>
            <w:hideMark/>
          </w:tcPr>
          <w:p w:rsidR="00195BE7" w:rsidRPr="001E2F6E" w:rsidRDefault="00195BE7" w:rsidP="00195BE7">
            <w:pPr>
              <w:spacing w:line="240" w:lineRule="exact"/>
              <w:rPr>
                <w:rFonts w:ascii="Calibri" w:hAnsi="Calibri"/>
              </w:rPr>
            </w:pPr>
          </w:p>
        </w:tc>
        <w:tc>
          <w:tcPr>
            <w:tcW w:w="1298" w:type="pct"/>
            <w:tcBorders>
              <w:top w:val="single" w:sz="4" w:space="0" w:color="BFBFBF" w:themeColor="background1" w:themeShade="BF"/>
              <w:bottom w:val="single" w:sz="4" w:space="0" w:color="BFBFBF" w:themeColor="background1" w:themeShade="BF"/>
            </w:tcBorders>
            <w:noWrap/>
            <w:hideMark/>
          </w:tcPr>
          <w:p w:rsidR="00195BE7" w:rsidRPr="001E2F6E" w:rsidRDefault="00195BE7" w:rsidP="00195BE7">
            <w:pPr>
              <w:spacing w:line="240" w:lineRule="exact"/>
              <w:rPr>
                <w:rFonts w:ascii="Calibri" w:hAnsi="Calibri"/>
              </w:rPr>
            </w:pPr>
          </w:p>
        </w:tc>
        <w:tc>
          <w:tcPr>
            <w:tcW w:w="1297" w:type="pct"/>
            <w:tcBorders>
              <w:top w:val="single" w:sz="4" w:space="0" w:color="BFBFBF" w:themeColor="background1" w:themeShade="BF"/>
              <w:bottom w:val="single" w:sz="4" w:space="0" w:color="BFBFBF" w:themeColor="background1" w:themeShade="BF"/>
            </w:tcBorders>
            <w:noWrap/>
            <w:hideMark/>
          </w:tcPr>
          <w:p w:rsidR="00195BE7" w:rsidRPr="001E2F6E" w:rsidRDefault="00195BE7" w:rsidP="00195BE7">
            <w:pPr>
              <w:spacing w:line="240" w:lineRule="exact"/>
              <w:rPr>
                <w:rFonts w:ascii="Calibri" w:hAnsi="Calibri"/>
              </w:rPr>
            </w:pPr>
          </w:p>
        </w:tc>
      </w:tr>
      <w:tr w:rsidR="00195BE7" w:rsidRPr="001E2F6E" w:rsidTr="00195BE7">
        <w:trPr>
          <w:jc w:val="center"/>
        </w:trPr>
        <w:tc>
          <w:tcPr>
            <w:tcW w:w="1107"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hideMark/>
          </w:tcPr>
          <w:p w:rsidR="00195BE7" w:rsidRPr="001E2F6E" w:rsidRDefault="00195BE7" w:rsidP="00195BE7">
            <w:pPr>
              <w:spacing w:line="240" w:lineRule="exact"/>
              <w:jc w:val="center"/>
              <w:rPr>
                <w:b/>
                <w:bCs/>
                <w:sz w:val="16"/>
                <w:szCs w:val="16"/>
              </w:rPr>
            </w:pPr>
            <w:r w:rsidRPr="001E2F6E">
              <w:rPr>
                <w:b/>
                <w:bCs/>
                <w:sz w:val="16"/>
                <w:szCs w:val="16"/>
                <w:lang w:val="es-ES_tradnl"/>
              </w:rPr>
              <w:t>ARABA</w:t>
            </w:r>
          </w:p>
        </w:tc>
        <w:tc>
          <w:tcPr>
            <w:tcW w:w="129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hideMark/>
          </w:tcPr>
          <w:p w:rsidR="00195BE7" w:rsidRPr="001E2F6E" w:rsidRDefault="00195BE7" w:rsidP="00195BE7">
            <w:pPr>
              <w:spacing w:line="240" w:lineRule="auto"/>
              <w:jc w:val="center"/>
              <w:rPr>
                <w:b/>
                <w:sz w:val="16"/>
                <w:szCs w:val="16"/>
                <w:lang w:val="eu-ES"/>
              </w:rPr>
            </w:pPr>
            <w:r w:rsidRPr="001E2F6E">
              <w:rPr>
                <w:b/>
                <w:sz w:val="16"/>
                <w:szCs w:val="16"/>
                <w:lang w:val="eu-ES"/>
              </w:rPr>
              <w:t>Gizarte-ekonomia</w:t>
            </w:r>
          </w:p>
        </w:tc>
        <w:tc>
          <w:tcPr>
            <w:tcW w:w="129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hideMark/>
          </w:tcPr>
          <w:p w:rsidR="00195BE7" w:rsidRPr="001E2F6E" w:rsidRDefault="00195BE7" w:rsidP="00195BE7">
            <w:pPr>
              <w:spacing w:line="240" w:lineRule="auto"/>
              <w:jc w:val="center"/>
              <w:rPr>
                <w:b/>
                <w:sz w:val="16"/>
                <w:szCs w:val="16"/>
                <w:lang w:val="eu-ES"/>
              </w:rPr>
            </w:pPr>
            <w:r w:rsidRPr="001E2F6E">
              <w:rPr>
                <w:b/>
                <w:sz w:val="16"/>
                <w:szCs w:val="16"/>
                <w:lang w:val="eu-ES"/>
              </w:rPr>
              <w:t>Euskal ekonomia guztira</w:t>
            </w:r>
          </w:p>
        </w:tc>
        <w:tc>
          <w:tcPr>
            <w:tcW w:w="1297"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vAlign w:val="center"/>
            <w:hideMark/>
          </w:tcPr>
          <w:p w:rsidR="00195BE7" w:rsidRPr="001E2F6E" w:rsidRDefault="00195BE7" w:rsidP="00195BE7">
            <w:pPr>
              <w:spacing w:line="240" w:lineRule="auto"/>
              <w:jc w:val="center"/>
              <w:rPr>
                <w:b/>
                <w:sz w:val="16"/>
                <w:szCs w:val="16"/>
                <w:lang w:val="eu-ES"/>
              </w:rPr>
            </w:pPr>
            <w:r w:rsidRPr="001E2F6E">
              <w:rPr>
                <w:b/>
                <w:sz w:val="16"/>
                <w:szCs w:val="16"/>
                <w:lang w:val="eu-ES"/>
              </w:rPr>
              <w:t>Garrantzi erlatiboa  ehunekoan</w:t>
            </w:r>
          </w:p>
        </w:tc>
      </w:tr>
      <w:tr w:rsidR="00195BE7" w:rsidRPr="001E2F6E" w:rsidTr="00195BE7">
        <w:trPr>
          <w:jc w:val="center"/>
        </w:trPr>
        <w:tc>
          <w:tcPr>
            <w:tcW w:w="1107" w:type="pct"/>
            <w:tcBorders>
              <w:top w:val="single" w:sz="4" w:space="0" w:color="BFBFBF" w:themeColor="background1" w:themeShade="BF"/>
              <w:right w:val="single" w:sz="4" w:space="0" w:color="BFBFBF" w:themeColor="background1" w:themeShade="BF"/>
            </w:tcBorders>
            <w:vAlign w:val="bottom"/>
            <w:hideMark/>
          </w:tcPr>
          <w:p w:rsidR="00195BE7" w:rsidRPr="001E2F6E" w:rsidRDefault="00195BE7" w:rsidP="00195BE7">
            <w:pPr>
              <w:spacing w:line="240" w:lineRule="exact"/>
              <w:rPr>
                <w:sz w:val="16"/>
                <w:szCs w:val="16"/>
                <w:lang w:val="eu-ES"/>
              </w:rPr>
            </w:pPr>
            <w:r w:rsidRPr="001E2F6E">
              <w:rPr>
                <w:sz w:val="16"/>
                <w:szCs w:val="16"/>
                <w:lang w:val="eu-ES"/>
              </w:rPr>
              <w:t>Lehen sektorea</w:t>
            </w:r>
          </w:p>
        </w:tc>
        <w:tc>
          <w:tcPr>
            <w:tcW w:w="1298" w:type="pct"/>
            <w:tcBorders>
              <w:top w:val="single" w:sz="4" w:space="0" w:color="BFBFBF" w:themeColor="background1" w:themeShade="BF"/>
              <w:left w:val="single" w:sz="4" w:space="0" w:color="BFBFBF" w:themeColor="background1" w:themeShade="BF"/>
              <w:right w:val="single" w:sz="4" w:space="0" w:color="BFBFBF" w:themeColor="background1" w:themeShade="BF"/>
            </w:tcBorders>
            <w:hideMark/>
          </w:tcPr>
          <w:p w:rsidR="00195BE7" w:rsidRPr="001E2F6E" w:rsidRDefault="00195BE7" w:rsidP="00195BE7">
            <w:pPr>
              <w:spacing w:line="240" w:lineRule="exact"/>
              <w:ind w:right="170"/>
              <w:jc w:val="right"/>
              <w:rPr>
                <w:sz w:val="16"/>
                <w:szCs w:val="16"/>
              </w:rPr>
            </w:pPr>
            <w:r w:rsidRPr="001E2F6E">
              <w:rPr>
                <w:sz w:val="16"/>
                <w:szCs w:val="16"/>
              </w:rPr>
              <w:t>57</w:t>
            </w:r>
          </w:p>
        </w:tc>
        <w:tc>
          <w:tcPr>
            <w:tcW w:w="1298" w:type="pct"/>
            <w:tcBorders>
              <w:top w:val="single" w:sz="4" w:space="0" w:color="BFBFBF" w:themeColor="background1" w:themeShade="BF"/>
              <w:left w:val="single" w:sz="4" w:space="0" w:color="BFBFBF" w:themeColor="background1" w:themeShade="BF"/>
              <w:right w:val="single" w:sz="4" w:space="0" w:color="BFBFBF" w:themeColor="background1" w:themeShade="BF"/>
            </w:tcBorders>
            <w:hideMark/>
          </w:tcPr>
          <w:p w:rsidR="00195BE7" w:rsidRPr="001E2F6E" w:rsidRDefault="00195BE7" w:rsidP="00195BE7">
            <w:pPr>
              <w:spacing w:line="240" w:lineRule="exact"/>
              <w:ind w:right="170"/>
              <w:jc w:val="right"/>
              <w:rPr>
                <w:sz w:val="16"/>
                <w:szCs w:val="16"/>
              </w:rPr>
            </w:pPr>
            <w:r w:rsidRPr="001E2F6E">
              <w:rPr>
                <w:sz w:val="16"/>
                <w:szCs w:val="16"/>
              </w:rPr>
              <w:t>2.100</w:t>
            </w:r>
          </w:p>
        </w:tc>
        <w:tc>
          <w:tcPr>
            <w:tcW w:w="1297" w:type="pct"/>
            <w:tcBorders>
              <w:top w:val="single" w:sz="4" w:space="0" w:color="BFBFBF" w:themeColor="background1" w:themeShade="BF"/>
              <w:left w:val="single" w:sz="4" w:space="0" w:color="BFBFBF" w:themeColor="background1" w:themeShade="BF"/>
            </w:tcBorders>
            <w:hideMark/>
          </w:tcPr>
          <w:p w:rsidR="00195BE7" w:rsidRPr="001E2F6E" w:rsidRDefault="00195BE7" w:rsidP="00195BE7">
            <w:pPr>
              <w:spacing w:line="240" w:lineRule="exact"/>
              <w:ind w:right="170"/>
              <w:jc w:val="right"/>
              <w:rPr>
                <w:sz w:val="16"/>
                <w:szCs w:val="16"/>
              </w:rPr>
            </w:pPr>
            <w:r w:rsidRPr="001E2F6E">
              <w:rPr>
                <w:sz w:val="16"/>
                <w:szCs w:val="16"/>
              </w:rPr>
              <w:t>%2,7</w:t>
            </w:r>
          </w:p>
        </w:tc>
      </w:tr>
      <w:tr w:rsidR="00195BE7" w:rsidRPr="001E2F6E" w:rsidTr="00195BE7">
        <w:trPr>
          <w:jc w:val="center"/>
        </w:trPr>
        <w:tc>
          <w:tcPr>
            <w:tcW w:w="1107" w:type="pct"/>
            <w:tcBorders>
              <w:right w:val="single" w:sz="4" w:space="0" w:color="BFBFBF" w:themeColor="background1" w:themeShade="BF"/>
            </w:tcBorders>
            <w:vAlign w:val="bottom"/>
            <w:hideMark/>
          </w:tcPr>
          <w:p w:rsidR="00195BE7" w:rsidRPr="001E2F6E" w:rsidRDefault="00195BE7" w:rsidP="00195BE7">
            <w:pPr>
              <w:spacing w:line="240" w:lineRule="exact"/>
              <w:rPr>
                <w:sz w:val="16"/>
                <w:szCs w:val="16"/>
                <w:lang w:val="eu-ES"/>
              </w:rPr>
            </w:pPr>
            <w:r w:rsidRPr="001E2F6E">
              <w:rPr>
                <w:sz w:val="16"/>
                <w:szCs w:val="16"/>
                <w:lang w:val="eu-ES"/>
              </w:rPr>
              <w:t>Industria</w:t>
            </w:r>
          </w:p>
        </w:tc>
        <w:tc>
          <w:tcPr>
            <w:tcW w:w="1298" w:type="pct"/>
            <w:tcBorders>
              <w:left w:val="single" w:sz="4" w:space="0" w:color="BFBFBF" w:themeColor="background1" w:themeShade="BF"/>
              <w:right w:val="single" w:sz="4" w:space="0" w:color="BFBFBF" w:themeColor="background1" w:themeShade="BF"/>
            </w:tcBorders>
            <w:hideMark/>
          </w:tcPr>
          <w:p w:rsidR="00195BE7" w:rsidRPr="001E2F6E" w:rsidRDefault="00195BE7" w:rsidP="00195BE7">
            <w:pPr>
              <w:spacing w:line="240" w:lineRule="exact"/>
              <w:ind w:right="170"/>
              <w:jc w:val="right"/>
              <w:rPr>
                <w:sz w:val="16"/>
                <w:szCs w:val="16"/>
              </w:rPr>
            </w:pPr>
            <w:r w:rsidRPr="001E2F6E">
              <w:rPr>
                <w:sz w:val="16"/>
                <w:szCs w:val="16"/>
              </w:rPr>
              <w:t>2.258</w:t>
            </w:r>
          </w:p>
        </w:tc>
        <w:tc>
          <w:tcPr>
            <w:tcW w:w="1298" w:type="pct"/>
            <w:tcBorders>
              <w:left w:val="single" w:sz="4" w:space="0" w:color="BFBFBF" w:themeColor="background1" w:themeShade="BF"/>
              <w:right w:val="single" w:sz="4" w:space="0" w:color="BFBFBF" w:themeColor="background1" w:themeShade="BF"/>
            </w:tcBorders>
            <w:hideMark/>
          </w:tcPr>
          <w:p w:rsidR="00195BE7" w:rsidRPr="001E2F6E" w:rsidRDefault="00195BE7" w:rsidP="00195BE7">
            <w:pPr>
              <w:spacing w:line="240" w:lineRule="exact"/>
              <w:ind w:right="170"/>
              <w:jc w:val="right"/>
              <w:rPr>
                <w:sz w:val="16"/>
                <w:szCs w:val="16"/>
              </w:rPr>
            </w:pPr>
            <w:r w:rsidRPr="001E2F6E">
              <w:rPr>
                <w:sz w:val="16"/>
                <w:szCs w:val="16"/>
              </w:rPr>
              <w:t>39.300</w:t>
            </w:r>
          </w:p>
        </w:tc>
        <w:tc>
          <w:tcPr>
            <w:tcW w:w="1297" w:type="pct"/>
            <w:tcBorders>
              <w:left w:val="single" w:sz="4" w:space="0" w:color="BFBFBF" w:themeColor="background1" w:themeShade="BF"/>
            </w:tcBorders>
            <w:hideMark/>
          </w:tcPr>
          <w:p w:rsidR="00195BE7" w:rsidRPr="001E2F6E" w:rsidRDefault="00195BE7" w:rsidP="00195BE7">
            <w:pPr>
              <w:spacing w:line="240" w:lineRule="exact"/>
              <w:ind w:right="170"/>
              <w:jc w:val="right"/>
              <w:rPr>
                <w:sz w:val="16"/>
                <w:szCs w:val="16"/>
              </w:rPr>
            </w:pPr>
            <w:r w:rsidRPr="001E2F6E">
              <w:rPr>
                <w:sz w:val="16"/>
                <w:szCs w:val="16"/>
              </w:rPr>
              <w:t>%5,7</w:t>
            </w:r>
          </w:p>
        </w:tc>
      </w:tr>
      <w:tr w:rsidR="00195BE7" w:rsidRPr="001E2F6E" w:rsidTr="00195BE7">
        <w:trPr>
          <w:jc w:val="center"/>
        </w:trPr>
        <w:tc>
          <w:tcPr>
            <w:tcW w:w="1107" w:type="pct"/>
            <w:tcBorders>
              <w:right w:val="single" w:sz="4" w:space="0" w:color="BFBFBF" w:themeColor="background1" w:themeShade="BF"/>
            </w:tcBorders>
            <w:vAlign w:val="bottom"/>
            <w:hideMark/>
          </w:tcPr>
          <w:p w:rsidR="00195BE7" w:rsidRPr="001E2F6E" w:rsidRDefault="00195BE7" w:rsidP="00195BE7">
            <w:pPr>
              <w:spacing w:line="240" w:lineRule="exact"/>
              <w:rPr>
                <w:sz w:val="16"/>
                <w:szCs w:val="16"/>
                <w:lang w:val="eu-ES"/>
              </w:rPr>
            </w:pPr>
            <w:r w:rsidRPr="001E2F6E">
              <w:rPr>
                <w:sz w:val="16"/>
                <w:szCs w:val="16"/>
                <w:lang w:val="eu-ES"/>
              </w:rPr>
              <w:t>Eraikuntza</w:t>
            </w:r>
          </w:p>
        </w:tc>
        <w:tc>
          <w:tcPr>
            <w:tcW w:w="1298" w:type="pct"/>
            <w:tcBorders>
              <w:left w:val="single" w:sz="4" w:space="0" w:color="BFBFBF" w:themeColor="background1" w:themeShade="BF"/>
              <w:right w:val="single" w:sz="4" w:space="0" w:color="BFBFBF" w:themeColor="background1" w:themeShade="BF"/>
            </w:tcBorders>
            <w:hideMark/>
          </w:tcPr>
          <w:p w:rsidR="00195BE7" w:rsidRPr="001E2F6E" w:rsidRDefault="00195BE7" w:rsidP="00195BE7">
            <w:pPr>
              <w:spacing w:line="240" w:lineRule="exact"/>
              <w:ind w:right="170"/>
              <w:jc w:val="right"/>
              <w:rPr>
                <w:sz w:val="16"/>
                <w:szCs w:val="16"/>
              </w:rPr>
            </w:pPr>
            <w:r w:rsidRPr="001E2F6E">
              <w:rPr>
                <w:sz w:val="16"/>
                <w:szCs w:val="16"/>
              </w:rPr>
              <w:t>313</w:t>
            </w:r>
          </w:p>
        </w:tc>
        <w:tc>
          <w:tcPr>
            <w:tcW w:w="1298" w:type="pct"/>
            <w:tcBorders>
              <w:left w:val="single" w:sz="4" w:space="0" w:color="BFBFBF" w:themeColor="background1" w:themeShade="BF"/>
              <w:right w:val="single" w:sz="4" w:space="0" w:color="BFBFBF" w:themeColor="background1" w:themeShade="BF"/>
            </w:tcBorders>
            <w:hideMark/>
          </w:tcPr>
          <w:p w:rsidR="00195BE7" w:rsidRPr="001E2F6E" w:rsidRDefault="00195BE7" w:rsidP="00195BE7">
            <w:pPr>
              <w:spacing w:line="240" w:lineRule="exact"/>
              <w:ind w:right="170"/>
              <w:jc w:val="right"/>
              <w:rPr>
                <w:sz w:val="16"/>
                <w:szCs w:val="16"/>
              </w:rPr>
            </w:pPr>
            <w:r w:rsidRPr="001E2F6E">
              <w:rPr>
                <w:sz w:val="16"/>
                <w:szCs w:val="16"/>
              </w:rPr>
              <w:t>7.800</w:t>
            </w:r>
          </w:p>
        </w:tc>
        <w:tc>
          <w:tcPr>
            <w:tcW w:w="1297" w:type="pct"/>
            <w:tcBorders>
              <w:left w:val="single" w:sz="4" w:space="0" w:color="BFBFBF" w:themeColor="background1" w:themeShade="BF"/>
            </w:tcBorders>
            <w:hideMark/>
          </w:tcPr>
          <w:p w:rsidR="00195BE7" w:rsidRPr="001E2F6E" w:rsidRDefault="00195BE7" w:rsidP="00195BE7">
            <w:pPr>
              <w:spacing w:line="240" w:lineRule="exact"/>
              <w:ind w:right="170"/>
              <w:jc w:val="right"/>
              <w:rPr>
                <w:sz w:val="16"/>
                <w:szCs w:val="16"/>
              </w:rPr>
            </w:pPr>
            <w:r w:rsidRPr="001E2F6E">
              <w:rPr>
                <w:sz w:val="16"/>
                <w:szCs w:val="16"/>
              </w:rPr>
              <w:t>%4,0</w:t>
            </w:r>
          </w:p>
        </w:tc>
      </w:tr>
      <w:tr w:rsidR="00195BE7" w:rsidRPr="001E2F6E" w:rsidTr="00195BE7">
        <w:trPr>
          <w:jc w:val="center"/>
        </w:trPr>
        <w:tc>
          <w:tcPr>
            <w:tcW w:w="1107" w:type="pct"/>
            <w:tcBorders>
              <w:bottom w:val="single" w:sz="4" w:space="0" w:color="BFBFBF" w:themeColor="background1" w:themeShade="BF"/>
              <w:right w:val="single" w:sz="4" w:space="0" w:color="BFBFBF" w:themeColor="background1" w:themeShade="BF"/>
            </w:tcBorders>
            <w:vAlign w:val="bottom"/>
            <w:hideMark/>
          </w:tcPr>
          <w:p w:rsidR="00195BE7" w:rsidRPr="001E2F6E" w:rsidRDefault="00195BE7" w:rsidP="00195BE7">
            <w:pPr>
              <w:spacing w:line="240" w:lineRule="exact"/>
              <w:rPr>
                <w:sz w:val="16"/>
                <w:szCs w:val="16"/>
                <w:lang w:val="eu-ES"/>
              </w:rPr>
            </w:pPr>
            <w:r w:rsidRPr="001E2F6E">
              <w:rPr>
                <w:sz w:val="16"/>
                <w:szCs w:val="16"/>
                <w:lang w:val="eu-ES"/>
              </w:rPr>
              <w:t>Zerbitzuak</w:t>
            </w:r>
          </w:p>
        </w:tc>
        <w:tc>
          <w:tcPr>
            <w:tcW w:w="1298" w:type="pct"/>
            <w:tcBorders>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195BE7" w:rsidRPr="001E2F6E" w:rsidRDefault="00195BE7" w:rsidP="00195BE7">
            <w:pPr>
              <w:spacing w:line="240" w:lineRule="exact"/>
              <w:ind w:right="170"/>
              <w:jc w:val="right"/>
              <w:rPr>
                <w:sz w:val="16"/>
                <w:szCs w:val="16"/>
              </w:rPr>
            </w:pPr>
            <w:r w:rsidRPr="001E2F6E">
              <w:rPr>
                <w:sz w:val="16"/>
                <w:szCs w:val="16"/>
              </w:rPr>
              <w:t>3.218</w:t>
            </w:r>
          </w:p>
        </w:tc>
        <w:tc>
          <w:tcPr>
            <w:tcW w:w="1298" w:type="pct"/>
            <w:tcBorders>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195BE7" w:rsidRPr="001E2F6E" w:rsidRDefault="00195BE7" w:rsidP="00195BE7">
            <w:pPr>
              <w:spacing w:line="240" w:lineRule="exact"/>
              <w:ind w:right="170"/>
              <w:jc w:val="right"/>
              <w:rPr>
                <w:sz w:val="16"/>
                <w:szCs w:val="16"/>
              </w:rPr>
            </w:pPr>
            <w:r w:rsidRPr="001E2F6E">
              <w:rPr>
                <w:sz w:val="16"/>
                <w:szCs w:val="16"/>
              </w:rPr>
              <w:t>90.100</w:t>
            </w:r>
          </w:p>
        </w:tc>
        <w:tc>
          <w:tcPr>
            <w:tcW w:w="1297" w:type="pct"/>
            <w:tcBorders>
              <w:left w:val="single" w:sz="4" w:space="0" w:color="BFBFBF" w:themeColor="background1" w:themeShade="BF"/>
              <w:bottom w:val="single" w:sz="4" w:space="0" w:color="BFBFBF" w:themeColor="background1" w:themeShade="BF"/>
            </w:tcBorders>
            <w:hideMark/>
          </w:tcPr>
          <w:p w:rsidR="00195BE7" w:rsidRPr="001E2F6E" w:rsidRDefault="00195BE7" w:rsidP="00195BE7">
            <w:pPr>
              <w:spacing w:line="240" w:lineRule="exact"/>
              <w:ind w:right="170"/>
              <w:jc w:val="right"/>
              <w:rPr>
                <w:sz w:val="16"/>
                <w:szCs w:val="16"/>
              </w:rPr>
            </w:pPr>
            <w:r w:rsidRPr="001E2F6E">
              <w:rPr>
                <w:sz w:val="16"/>
                <w:szCs w:val="16"/>
              </w:rPr>
              <w:t>%3,6</w:t>
            </w:r>
          </w:p>
        </w:tc>
      </w:tr>
      <w:tr w:rsidR="00195BE7" w:rsidRPr="001E2F6E" w:rsidTr="00195BE7">
        <w:trPr>
          <w:jc w:val="center"/>
        </w:trPr>
        <w:tc>
          <w:tcPr>
            <w:tcW w:w="1107" w:type="pct"/>
            <w:tcBorders>
              <w:top w:val="single" w:sz="4" w:space="0" w:color="BFBFBF" w:themeColor="background1" w:themeShade="BF"/>
              <w:bottom w:val="single" w:sz="4" w:space="0" w:color="BFBFBF" w:themeColor="background1" w:themeShade="BF"/>
              <w:right w:val="single" w:sz="4" w:space="0" w:color="BFBFBF" w:themeColor="background1" w:themeShade="BF"/>
            </w:tcBorders>
            <w:vAlign w:val="bottom"/>
            <w:hideMark/>
          </w:tcPr>
          <w:p w:rsidR="00195BE7" w:rsidRPr="001E2F6E" w:rsidRDefault="00195BE7" w:rsidP="00195BE7">
            <w:pPr>
              <w:spacing w:line="240" w:lineRule="exact"/>
              <w:rPr>
                <w:b/>
                <w:bCs/>
                <w:sz w:val="16"/>
                <w:szCs w:val="16"/>
                <w:lang w:val="eu-ES"/>
              </w:rPr>
            </w:pPr>
            <w:r w:rsidRPr="001E2F6E">
              <w:rPr>
                <w:b/>
                <w:bCs/>
                <w:sz w:val="16"/>
                <w:szCs w:val="16"/>
                <w:lang w:val="eu-ES"/>
              </w:rPr>
              <w:t>GUZTIRA</w:t>
            </w:r>
          </w:p>
        </w:tc>
        <w:tc>
          <w:tcPr>
            <w:tcW w:w="129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195BE7" w:rsidRPr="001E2F6E" w:rsidRDefault="00195BE7" w:rsidP="00195BE7">
            <w:pPr>
              <w:spacing w:line="240" w:lineRule="exact"/>
              <w:ind w:right="170"/>
              <w:jc w:val="right"/>
              <w:rPr>
                <w:b/>
                <w:bCs/>
                <w:sz w:val="16"/>
                <w:szCs w:val="16"/>
              </w:rPr>
            </w:pPr>
            <w:r w:rsidRPr="001E2F6E">
              <w:rPr>
                <w:b/>
                <w:bCs/>
                <w:sz w:val="16"/>
                <w:szCs w:val="16"/>
              </w:rPr>
              <w:t>5.846</w:t>
            </w:r>
          </w:p>
        </w:tc>
        <w:tc>
          <w:tcPr>
            <w:tcW w:w="129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195BE7" w:rsidRPr="001E2F6E" w:rsidRDefault="00195BE7" w:rsidP="00195BE7">
            <w:pPr>
              <w:spacing w:line="240" w:lineRule="exact"/>
              <w:ind w:right="170"/>
              <w:jc w:val="right"/>
              <w:rPr>
                <w:b/>
                <w:bCs/>
                <w:sz w:val="16"/>
                <w:szCs w:val="16"/>
              </w:rPr>
            </w:pPr>
            <w:r w:rsidRPr="001E2F6E">
              <w:rPr>
                <w:b/>
                <w:bCs/>
                <w:sz w:val="16"/>
                <w:szCs w:val="16"/>
              </w:rPr>
              <w:t>139.300</w:t>
            </w:r>
          </w:p>
        </w:tc>
        <w:tc>
          <w:tcPr>
            <w:tcW w:w="1297" w:type="pct"/>
            <w:tcBorders>
              <w:top w:val="single" w:sz="4" w:space="0" w:color="BFBFBF" w:themeColor="background1" w:themeShade="BF"/>
              <w:left w:val="single" w:sz="4" w:space="0" w:color="BFBFBF" w:themeColor="background1" w:themeShade="BF"/>
              <w:bottom w:val="single" w:sz="4" w:space="0" w:color="BFBFBF" w:themeColor="background1" w:themeShade="BF"/>
            </w:tcBorders>
            <w:hideMark/>
          </w:tcPr>
          <w:p w:rsidR="00195BE7" w:rsidRPr="001E2F6E" w:rsidRDefault="00195BE7" w:rsidP="00195BE7">
            <w:pPr>
              <w:spacing w:line="240" w:lineRule="exact"/>
              <w:ind w:right="170"/>
              <w:jc w:val="right"/>
              <w:rPr>
                <w:b/>
                <w:bCs/>
                <w:sz w:val="16"/>
                <w:szCs w:val="16"/>
              </w:rPr>
            </w:pPr>
            <w:r w:rsidRPr="001E2F6E">
              <w:rPr>
                <w:b/>
                <w:bCs/>
                <w:snapToGrid w:val="0"/>
                <w:sz w:val="16"/>
                <w:szCs w:val="16"/>
              </w:rPr>
              <w:t>%4,2</w:t>
            </w:r>
          </w:p>
        </w:tc>
      </w:tr>
      <w:tr w:rsidR="00195BE7" w:rsidRPr="001E2F6E" w:rsidTr="00195BE7">
        <w:trPr>
          <w:jc w:val="center"/>
        </w:trPr>
        <w:tc>
          <w:tcPr>
            <w:tcW w:w="1107" w:type="pct"/>
            <w:tcBorders>
              <w:top w:val="single" w:sz="4" w:space="0" w:color="BFBFBF" w:themeColor="background1" w:themeShade="BF"/>
              <w:bottom w:val="single" w:sz="4" w:space="0" w:color="BFBFBF" w:themeColor="background1" w:themeShade="BF"/>
            </w:tcBorders>
            <w:noWrap/>
            <w:hideMark/>
          </w:tcPr>
          <w:p w:rsidR="00195BE7" w:rsidRPr="001E2F6E" w:rsidRDefault="00195BE7" w:rsidP="00195BE7">
            <w:pPr>
              <w:spacing w:line="240" w:lineRule="exact"/>
              <w:rPr>
                <w:sz w:val="16"/>
                <w:szCs w:val="16"/>
              </w:rPr>
            </w:pPr>
          </w:p>
        </w:tc>
        <w:tc>
          <w:tcPr>
            <w:tcW w:w="1298" w:type="pct"/>
            <w:tcBorders>
              <w:top w:val="single" w:sz="4" w:space="0" w:color="BFBFBF" w:themeColor="background1" w:themeShade="BF"/>
              <w:bottom w:val="single" w:sz="4" w:space="0" w:color="BFBFBF" w:themeColor="background1" w:themeShade="BF"/>
            </w:tcBorders>
            <w:noWrap/>
            <w:hideMark/>
          </w:tcPr>
          <w:p w:rsidR="00195BE7" w:rsidRPr="001E2F6E" w:rsidRDefault="00195BE7" w:rsidP="00195BE7">
            <w:pPr>
              <w:spacing w:line="240" w:lineRule="exact"/>
              <w:rPr>
                <w:rFonts w:ascii="Calibri" w:hAnsi="Calibri"/>
              </w:rPr>
            </w:pPr>
          </w:p>
        </w:tc>
        <w:tc>
          <w:tcPr>
            <w:tcW w:w="1298" w:type="pct"/>
            <w:tcBorders>
              <w:top w:val="single" w:sz="4" w:space="0" w:color="BFBFBF" w:themeColor="background1" w:themeShade="BF"/>
              <w:bottom w:val="single" w:sz="4" w:space="0" w:color="BFBFBF" w:themeColor="background1" w:themeShade="BF"/>
            </w:tcBorders>
            <w:noWrap/>
            <w:hideMark/>
          </w:tcPr>
          <w:p w:rsidR="00195BE7" w:rsidRPr="001E2F6E" w:rsidRDefault="00195BE7" w:rsidP="00195BE7">
            <w:pPr>
              <w:spacing w:line="240" w:lineRule="exact"/>
              <w:rPr>
                <w:rFonts w:ascii="Calibri" w:hAnsi="Calibri"/>
              </w:rPr>
            </w:pPr>
          </w:p>
        </w:tc>
        <w:tc>
          <w:tcPr>
            <w:tcW w:w="1297" w:type="pct"/>
            <w:tcBorders>
              <w:top w:val="single" w:sz="4" w:space="0" w:color="BFBFBF" w:themeColor="background1" w:themeShade="BF"/>
              <w:bottom w:val="single" w:sz="4" w:space="0" w:color="BFBFBF" w:themeColor="background1" w:themeShade="BF"/>
            </w:tcBorders>
            <w:noWrap/>
            <w:hideMark/>
          </w:tcPr>
          <w:p w:rsidR="00195BE7" w:rsidRPr="001E2F6E" w:rsidRDefault="00195BE7" w:rsidP="00195BE7">
            <w:pPr>
              <w:spacing w:line="240" w:lineRule="exact"/>
              <w:rPr>
                <w:rFonts w:ascii="Calibri" w:hAnsi="Calibri"/>
              </w:rPr>
            </w:pPr>
          </w:p>
        </w:tc>
      </w:tr>
      <w:tr w:rsidR="00195BE7" w:rsidRPr="001E2F6E" w:rsidTr="00195BE7">
        <w:trPr>
          <w:jc w:val="center"/>
        </w:trPr>
        <w:tc>
          <w:tcPr>
            <w:tcW w:w="1107"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hideMark/>
          </w:tcPr>
          <w:p w:rsidR="00195BE7" w:rsidRPr="001E2F6E" w:rsidRDefault="00195BE7" w:rsidP="00195BE7">
            <w:pPr>
              <w:spacing w:line="240" w:lineRule="exact"/>
              <w:jc w:val="center"/>
              <w:rPr>
                <w:b/>
                <w:bCs/>
                <w:sz w:val="16"/>
                <w:szCs w:val="16"/>
              </w:rPr>
            </w:pPr>
            <w:r w:rsidRPr="001E2F6E">
              <w:rPr>
                <w:b/>
                <w:bCs/>
                <w:sz w:val="16"/>
                <w:szCs w:val="16"/>
                <w:lang w:val="es-ES_tradnl"/>
              </w:rPr>
              <w:t>BIZKAIA</w:t>
            </w:r>
          </w:p>
        </w:tc>
        <w:tc>
          <w:tcPr>
            <w:tcW w:w="129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hideMark/>
          </w:tcPr>
          <w:p w:rsidR="00195BE7" w:rsidRPr="001E2F6E" w:rsidRDefault="00195BE7" w:rsidP="00195BE7">
            <w:pPr>
              <w:spacing w:line="240" w:lineRule="auto"/>
              <w:jc w:val="center"/>
              <w:rPr>
                <w:b/>
                <w:sz w:val="16"/>
                <w:szCs w:val="16"/>
                <w:lang w:val="eu-ES"/>
              </w:rPr>
            </w:pPr>
            <w:r w:rsidRPr="001E2F6E">
              <w:rPr>
                <w:b/>
                <w:sz w:val="16"/>
                <w:szCs w:val="16"/>
                <w:lang w:val="eu-ES"/>
              </w:rPr>
              <w:t>Gizarte-ekonomia</w:t>
            </w:r>
          </w:p>
        </w:tc>
        <w:tc>
          <w:tcPr>
            <w:tcW w:w="129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hideMark/>
          </w:tcPr>
          <w:p w:rsidR="00195BE7" w:rsidRPr="001E2F6E" w:rsidRDefault="00195BE7" w:rsidP="00195BE7">
            <w:pPr>
              <w:spacing w:line="240" w:lineRule="auto"/>
              <w:jc w:val="center"/>
              <w:rPr>
                <w:b/>
                <w:sz w:val="16"/>
                <w:szCs w:val="16"/>
                <w:lang w:val="eu-ES"/>
              </w:rPr>
            </w:pPr>
            <w:r w:rsidRPr="001E2F6E">
              <w:rPr>
                <w:b/>
                <w:sz w:val="16"/>
                <w:szCs w:val="16"/>
                <w:lang w:val="eu-ES"/>
              </w:rPr>
              <w:t>Euskal ekonomia guztira</w:t>
            </w:r>
          </w:p>
        </w:tc>
        <w:tc>
          <w:tcPr>
            <w:tcW w:w="1297"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vAlign w:val="center"/>
            <w:hideMark/>
          </w:tcPr>
          <w:p w:rsidR="00195BE7" w:rsidRPr="001E2F6E" w:rsidRDefault="00195BE7" w:rsidP="00195BE7">
            <w:pPr>
              <w:spacing w:line="240" w:lineRule="auto"/>
              <w:jc w:val="center"/>
              <w:rPr>
                <w:b/>
                <w:sz w:val="16"/>
                <w:szCs w:val="16"/>
                <w:lang w:val="eu-ES"/>
              </w:rPr>
            </w:pPr>
            <w:r w:rsidRPr="001E2F6E">
              <w:rPr>
                <w:b/>
                <w:sz w:val="16"/>
                <w:szCs w:val="16"/>
                <w:lang w:val="eu-ES"/>
              </w:rPr>
              <w:t>Garrantzi erlatiboa  ehunekoan</w:t>
            </w:r>
          </w:p>
        </w:tc>
      </w:tr>
      <w:tr w:rsidR="00195BE7" w:rsidRPr="001E2F6E" w:rsidTr="00195BE7">
        <w:trPr>
          <w:jc w:val="center"/>
        </w:trPr>
        <w:tc>
          <w:tcPr>
            <w:tcW w:w="1107" w:type="pct"/>
            <w:tcBorders>
              <w:top w:val="single" w:sz="4" w:space="0" w:color="BFBFBF" w:themeColor="background1" w:themeShade="BF"/>
              <w:right w:val="single" w:sz="4" w:space="0" w:color="BFBFBF" w:themeColor="background1" w:themeShade="BF"/>
            </w:tcBorders>
            <w:vAlign w:val="bottom"/>
            <w:hideMark/>
          </w:tcPr>
          <w:p w:rsidR="00195BE7" w:rsidRPr="001E2F6E" w:rsidRDefault="00195BE7" w:rsidP="00195BE7">
            <w:pPr>
              <w:spacing w:line="240" w:lineRule="exact"/>
              <w:rPr>
                <w:sz w:val="16"/>
                <w:szCs w:val="16"/>
                <w:lang w:val="eu-ES"/>
              </w:rPr>
            </w:pPr>
            <w:r w:rsidRPr="001E2F6E">
              <w:rPr>
                <w:sz w:val="16"/>
                <w:szCs w:val="16"/>
                <w:lang w:val="eu-ES"/>
              </w:rPr>
              <w:t>Lehen sektorea</w:t>
            </w:r>
          </w:p>
        </w:tc>
        <w:tc>
          <w:tcPr>
            <w:tcW w:w="1298" w:type="pct"/>
            <w:tcBorders>
              <w:top w:val="single" w:sz="4" w:space="0" w:color="BFBFBF" w:themeColor="background1" w:themeShade="BF"/>
              <w:left w:val="single" w:sz="4" w:space="0" w:color="BFBFBF" w:themeColor="background1" w:themeShade="BF"/>
              <w:right w:val="single" w:sz="4" w:space="0" w:color="BFBFBF" w:themeColor="background1" w:themeShade="BF"/>
            </w:tcBorders>
            <w:hideMark/>
          </w:tcPr>
          <w:p w:rsidR="00195BE7" w:rsidRPr="001E2F6E" w:rsidRDefault="00195BE7" w:rsidP="00195BE7">
            <w:pPr>
              <w:spacing w:line="240" w:lineRule="exact"/>
              <w:ind w:right="170"/>
              <w:jc w:val="right"/>
              <w:rPr>
                <w:sz w:val="16"/>
                <w:szCs w:val="16"/>
              </w:rPr>
            </w:pPr>
            <w:r w:rsidRPr="001E2F6E">
              <w:rPr>
                <w:sz w:val="16"/>
                <w:szCs w:val="16"/>
              </w:rPr>
              <w:t>43,5</w:t>
            </w:r>
          </w:p>
        </w:tc>
        <w:tc>
          <w:tcPr>
            <w:tcW w:w="1298" w:type="pct"/>
            <w:tcBorders>
              <w:top w:val="single" w:sz="4" w:space="0" w:color="BFBFBF" w:themeColor="background1" w:themeShade="BF"/>
              <w:left w:val="single" w:sz="4" w:space="0" w:color="BFBFBF" w:themeColor="background1" w:themeShade="BF"/>
              <w:right w:val="single" w:sz="4" w:space="0" w:color="BFBFBF" w:themeColor="background1" w:themeShade="BF"/>
            </w:tcBorders>
            <w:hideMark/>
          </w:tcPr>
          <w:p w:rsidR="00195BE7" w:rsidRPr="001E2F6E" w:rsidRDefault="00195BE7" w:rsidP="00195BE7">
            <w:pPr>
              <w:spacing w:line="240" w:lineRule="exact"/>
              <w:ind w:right="170"/>
              <w:jc w:val="right"/>
              <w:rPr>
                <w:sz w:val="16"/>
                <w:szCs w:val="16"/>
              </w:rPr>
            </w:pPr>
            <w:r w:rsidRPr="001E2F6E">
              <w:rPr>
                <w:sz w:val="16"/>
                <w:szCs w:val="16"/>
              </w:rPr>
              <w:t>3.900</w:t>
            </w:r>
          </w:p>
        </w:tc>
        <w:tc>
          <w:tcPr>
            <w:tcW w:w="1297" w:type="pct"/>
            <w:tcBorders>
              <w:top w:val="single" w:sz="4" w:space="0" w:color="BFBFBF" w:themeColor="background1" w:themeShade="BF"/>
              <w:left w:val="single" w:sz="4" w:space="0" w:color="BFBFBF" w:themeColor="background1" w:themeShade="BF"/>
            </w:tcBorders>
            <w:hideMark/>
          </w:tcPr>
          <w:p w:rsidR="00195BE7" w:rsidRPr="001E2F6E" w:rsidRDefault="00195BE7" w:rsidP="00195BE7">
            <w:pPr>
              <w:spacing w:line="240" w:lineRule="exact"/>
              <w:ind w:right="170"/>
              <w:jc w:val="right"/>
              <w:rPr>
                <w:sz w:val="16"/>
                <w:szCs w:val="16"/>
              </w:rPr>
            </w:pPr>
            <w:r w:rsidRPr="001E2F6E">
              <w:rPr>
                <w:sz w:val="16"/>
                <w:szCs w:val="16"/>
              </w:rPr>
              <w:t>%1,1</w:t>
            </w:r>
          </w:p>
        </w:tc>
      </w:tr>
      <w:tr w:rsidR="00195BE7" w:rsidRPr="001E2F6E" w:rsidTr="00195BE7">
        <w:trPr>
          <w:jc w:val="center"/>
        </w:trPr>
        <w:tc>
          <w:tcPr>
            <w:tcW w:w="1107" w:type="pct"/>
            <w:tcBorders>
              <w:right w:val="single" w:sz="4" w:space="0" w:color="BFBFBF" w:themeColor="background1" w:themeShade="BF"/>
            </w:tcBorders>
            <w:vAlign w:val="bottom"/>
            <w:hideMark/>
          </w:tcPr>
          <w:p w:rsidR="00195BE7" w:rsidRPr="001E2F6E" w:rsidRDefault="00195BE7" w:rsidP="00195BE7">
            <w:pPr>
              <w:spacing w:line="240" w:lineRule="exact"/>
              <w:rPr>
                <w:sz w:val="16"/>
                <w:szCs w:val="16"/>
                <w:lang w:val="eu-ES"/>
              </w:rPr>
            </w:pPr>
            <w:r w:rsidRPr="001E2F6E">
              <w:rPr>
                <w:sz w:val="16"/>
                <w:szCs w:val="16"/>
                <w:lang w:val="eu-ES"/>
              </w:rPr>
              <w:t>Industria</w:t>
            </w:r>
          </w:p>
        </w:tc>
        <w:tc>
          <w:tcPr>
            <w:tcW w:w="1298" w:type="pct"/>
            <w:tcBorders>
              <w:left w:val="single" w:sz="4" w:space="0" w:color="BFBFBF" w:themeColor="background1" w:themeShade="BF"/>
              <w:right w:val="single" w:sz="4" w:space="0" w:color="BFBFBF" w:themeColor="background1" w:themeShade="BF"/>
            </w:tcBorders>
            <w:hideMark/>
          </w:tcPr>
          <w:p w:rsidR="00195BE7" w:rsidRPr="001E2F6E" w:rsidRDefault="00195BE7" w:rsidP="00195BE7">
            <w:pPr>
              <w:spacing w:line="240" w:lineRule="exact"/>
              <w:ind w:right="170"/>
              <w:jc w:val="right"/>
              <w:rPr>
                <w:sz w:val="16"/>
                <w:szCs w:val="16"/>
              </w:rPr>
            </w:pPr>
            <w:r w:rsidRPr="001E2F6E">
              <w:rPr>
                <w:sz w:val="16"/>
                <w:szCs w:val="16"/>
              </w:rPr>
              <w:t>6.941</w:t>
            </w:r>
          </w:p>
        </w:tc>
        <w:tc>
          <w:tcPr>
            <w:tcW w:w="1298" w:type="pct"/>
            <w:tcBorders>
              <w:left w:val="single" w:sz="4" w:space="0" w:color="BFBFBF" w:themeColor="background1" w:themeShade="BF"/>
              <w:right w:val="single" w:sz="4" w:space="0" w:color="BFBFBF" w:themeColor="background1" w:themeShade="BF"/>
            </w:tcBorders>
            <w:hideMark/>
          </w:tcPr>
          <w:p w:rsidR="00195BE7" w:rsidRPr="001E2F6E" w:rsidRDefault="00195BE7" w:rsidP="00195BE7">
            <w:pPr>
              <w:spacing w:line="240" w:lineRule="exact"/>
              <w:ind w:right="170"/>
              <w:jc w:val="right"/>
              <w:rPr>
                <w:sz w:val="16"/>
                <w:szCs w:val="16"/>
              </w:rPr>
            </w:pPr>
            <w:r w:rsidRPr="001E2F6E">
              <w:rPr>
                <w:sz w:val="16"/>
                <w:szCs w:val="16"/>
              </w:rPr>
              <w:t>96.900</w:t>
            </w:r>
          </w:p>
        </w:tc>
        <w:tc>
          <w:tcPr>
            <w:tcW w:w="1297" w:type="pct"/>
            <w:tcBorders>
              <w:left w:val="single" w:sz="4" w:space="0" w:color="BFBFBF" w:themeColor="background1" w:themeShade="BF"/>
            </w:tcBorders>
            <w:hideMark/>
          </w:tcPr>
          <w:p w:rsidR="00195BE7" w:rsidRPr="001E2F6E" w:rsidRDefault="00195BE7" w:rsidP="00195BE7">
            <w:pPr>
              <w:spacing w:line="240" w:lineRule="exact"/>
              <w:ind w:right="170"/>
              <w:jc w:val="right"/>
              <w:rPr>
                <w:sz w:val="16"/>
                <w:szCs w:val="16"/>
              </w:rPr>
            </w:pPr>
            <w:r w:rsidRPr="001E2F6E">
              <w:rPr>
                <w:sz w:val="16"/>
                <w:szCs w:val="16"/>
              </w:rPr>
              <w:t>%7,2</w:t>
            </w:r>
          </w:p>
        </w:tc>
      </w:tr>
      <w:tr w:rsidR="00195BE7" w:rsidRPr="001E2F6E" w:rsidTr="00195BE7">
        <w:trPr>
          <w:jc w:val="center"/>
        </w:trPr>
        <w:tc>
          <w:tcPr>
            <w:tcW w:w="1107" w:type="pct"/>
            <w:tcBorders>
              <w:right w:val="single" w:sz="4" w:space="0" w:color="BFBFBF" w:themeColor="background1" w:themeShade="BF"/>
            </w:tcBorders>
            <w:vAlign w:val="bottom"/>
            <w:hideMark/>
          </w:tcPr>
          <w:p w:rsidR="00195BE7" w:rsidRPr="001E2F6E" w:rsidRDefault="00195BE7" w:rsidP="00195BE7">
            <w:pPr>
              <w:spacing w:line="240" w:lineRule="exact"/>
              <w:rPr>
                <w:sz w:val="16"/>
                <w:szCs w:val="16"/>
                <w:lang w:val="eu-ES"/>
              </w:rPr>
            </w:pPr>
            <w:r w:rsidRPr="001E2F6E">
              <w:rPr>
                <w:sz w:val="16"/>
                <w:szCs w:val="16"/>
                <w:lang w:val="eu-ES"/>
              </w:rPr>
              <w:t>Eraikuntza</w:t>
            </w:r>
          </w:p>
        </w:tc>
        <w:tc>
          <w:tcPr>
            <w:tcW w:w="1298" w:type="pct"/>
            <w:tcBorders>
              <w:left w:val="single" w:sz="4" w:space="0" w:color="BFBFBF" w:themeColor="background1" w:themeShade="BF"/>
              <w:right w:val="single" w:sz="4" w:space="0" w:color="BFBFBF" w:themeColor="background1" w:themeShade="BF"/>
            </w:tcBorders>
            <w:hideMark/>
          </w:tcPr>
          <w:p w:rsidR="00195BE7" w:rsidRPr="001E2F6E" w:rsidRDefault="00195BE7" w:rsidP="00195BE7">
            <w:pPr>
              <w:spacing w:line="240" w:lineRule="exact"/>
              <w:ind w:right="170"/>
              <w:jc w:val="right"/>
              <w:rPr>
                <w:sz w:val="16"/>
                <w:szCs w:val="16"/>
              </w:rPr>
            </w:pPr>
            <w:r w:rsidRPr="001E2F6E">
              <w:rPr>
                <w:sz w:val="16"/>
                <w:szCs w:val="16"/>
              </w:rPr>
              <w:t>1001</w:t>
            </w:r>
          </w:p>
        </w:tc>
        <w:tc>
          <w:tcPr>
            <w:tcW w:w="1298" w:type="pct"/>
            <w:tcBorders>
              <w:left w:val="single" w:sz="4" w:space="0" w:color="BFBFBF" w:themeColor="background1" w:themeShade="BF"/>
              <w:right w:val="single" w:sz="4" w:space="0" w:color="BFBFBF" w:themeColor="background1" w:themeShade="BF"/>
            </w:tcBorders>
            <w:hideMark/>
          </w:tcPr>
          <w:p w:rsidR="00195BE7" w:rsidRPr="001E2F6E" w:rsidRDefault="00195BE7" w:rsidP="00195BE7">
            <w:pPr>
              <w:spacing w:line="240" w:lineRule="exact"/>
              <w:ind w:right="170"/>
              <w:jc w:val="right"/>
              <w:rPr>
                <w:sz w:val="16"/>
                <w:szCs w:val="16"/>
              </w:rPr>
            </w:pPr>
            <w:r w:rsidRPr="001E2F6E">
              <w:rPr>
                <w:sz w:val="16"/>
                <w:szCs w:val="16"/>
              </w:rPr>
              <w:t>30.200</w:t>
            </w:r>
          </w:p>
        </w:tc>
        <w:tc>
          <w:tcPr>
            <w:tcW w:w="1297" w:type="pct"/>
            <w:tcBorders>
              <w:left w:val="single" w:sz="4" w:space="0" w:color="BFBFBF" w:themeColor="background1" w:themeShade="BF"/>
            </w:tcBorders>
            <w:hideMark/>
          </w:tcPr>
          <w:p w:rsidR="00195BE7" w:rsidRPr="001E2F6E" w:rsidRDefault="00195BE7" w:rsidP="00195BE7">
            <w:pPr>
              <w:spacing w:line="240" w:lineRule="exact"/>
              <w:ind w:right="170"/>
              <w:jc w:val="right"/>
              <w:rPr>
                <w:sz w:val="16"/>
                <w:szCs w:val="16"/>
              </w:rPr>
            </w:pPr>
            <w:r w:rsidRPr="001E2F6E">
              <w:rPr>
                <w:sz w:val="16"/>
                <w:szCs w:val="16"/>
              </w:rPr>
              <w:t>%3,3</w:t>
            </w:r>
          </w:p>
        </w:tc>
      </w:tr>
      <w:tr w:rsidR="00195BE7" w:rsidRPr="001E2F6E" w:rsidTr="00195BE7">
        <w:trPr>
          <w:jc w:val="center"/>
        </w:trPr>
        <w:tc>
          <w:tcPr>
            <w:tcW w:w="1107" w:type="pct"/>
            <w:tcBorders>
              <w:bottom w:val="single" w:sz="4" w:space="0" w:color="BFBFBF" w:themeColor="background1" w:themeShade="BF"/>
              <w:right w:val="single" w:sz="4" w:space="0" w:color="BFBFBF" w:themeColor="background1" w:themeShade="BF"/>
            </w:tcBorders>
            <w:vAlign w:val="bottom"/>
            <w:hideMark/>
          </w:tcPr>
          <w:p w:rsidR="00195BE7" w:rsidRPr="001E2F6E" w:rsidRDefault="00195BE7" w:rsidP="00195BE7">
            <w:pPr>
              <w:spacing w:line="240" w:lineRule="exact"/>
              <w:rPr>
                <w:sz w:val="16"/>
                <w:szCs w:val="16"/>
                <w:lang w:val="eu-ES"/>
              </w:rPr>
            </w:pPr>
            <w:r w:rsidRPr="001E2F6E">
              <w:rPr>
                <w:sz w:val="16"/>
                <w:szCs w:val="16"/>
                <w:lang w:val="eu-ES"/>
              </w:rPr>
              <w:t>Zerbitzuak</w:t>
            </w:r>
          </w:p>
        </w:tc>
        <w:tc>
          <w:tcPr>
            <w:tcW w:w="1298" w:type="pct"/>
            <w:tcBorders>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195BE7" w:rsidRPr="001E2F6E" w:rsidRDefault="00195BE7" w:rsidP="00195BE7">
            <w:pPr>
              <w:spacing w:line="240" w:lineRule="exact"/>
              <w:ind w:right="170"/>
              <w:jc w:val="right"/>
              <w:rPr>
                <w:sz w:val="16"/>
                <w:szCs w:val="16"/>
              </w:rPr>
            </w:pPr>
            <w:r w:rsidRPr="001E2F6E">
              <w:rPr>
                <w:sz w:val="16"/>
                <w:szCs w:val="16"/>
              </w:rPr>
              <w:t>13.102</w:t>
            </w:r>
          </w:p>
        </w:tc>
        <w:tc>
          <w:tcPr>
            <w:tcW w:w="1298" w:type="pct"/>
            <w:tcBorders>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195BE7" w:rsidRPr="001E2F6E" w:rsidRDefault="00195BE7" w:rsidP="00195BE7">
            <w:pPr>
              <w:spacing w:line="240" w:lineRule="exact"/>
              <w:ind w:right="170"/>
              <w:jc w:val="right"/>
              <w:rPr>
                <w:sz w:val="16"/>
                <w:szCs w:val="16"/>
              </w:rPr>
            </w:pPr>
            <w:r w:rsidRPr="001E2F6E">
              <w:rPr>
                <w:sz w:val="16"/>
                <w:szCs w:val="16"/>
              </w:rPr>
              <w:t>337.300</w:t>
            </w:r>
          </w:p>
        </w:tc>
        <w:tc>
          <w:tcPr>
            <w:tcW w:w="1297" w:type="pct"/>
            <w:tcBorders>
              <w:left w:val="single" w:sz="4" w:space="0" w:color="BFBFBF" w:themeColor="background1" w:themeShade="BF"/>
              <w:bottom w:val="single" w:sz="4" w:space="0" w:color="BFBFBF" w:themeColor="background1" w:themeShade="BF"/>
            </w:tcBorders>
            <w:hideMark/>
          </w:tcPr>
          <w:p w:rsidR="00195BE7" w:rsidRPr="001E2F6E" w:rsidRDefault="00195BE7" w:rsidP="00195BE7">
            <w:pPr>
              <w:spacing w:line="240" w:lineRule="exact"/>
              <w:ind w:right="170"/>
              <w:jc w:val="right"/>
              <w:rPr>
                <w:sz w:val="16"/>
                <w:szCs w:val="16"/>
              </w:rPr>
            </w:pPr>
            <w:r w:rsidRPr="001E2F6E">
              <w:rPr>
                <w:sz w:val="16"/>
                <w:szCs w:val="16"/>
              </w:rPr>
              <w:t>%3,9</w:t>
            </w:r>
          </w:p>
        </w:tc>
      </w:tr>
      <w:tr w:rsidR="00195BE7" w:rsidRPr="001E2F6E" w:rsidTr="00195BE7">
        <w:trPr>
          <w:jc w:val="center"/>
        </w:trPr>
        <w:tc>
          <w:tcPr>
            <w:tcW w:w="1107" w:type="pct"/>
            <w:tcBorders>
              <w:top w:val="single" w:sz="4" w:space="0" w:color="BFBFBF" w:themeColor="background1" w:themeShade="BF"/>
              <w:bottom w:val="single" w:sz="4" w:space="0" w:color="BFBFBF" w:themeColor="background1" w:themeShade="BF"/>
              <w:right w:val="single" w:sz="4" w:space="0" w:color="BFBFBF" w:themeColor="background1" w:themeShade="BF"/>
            </w:tcBorders>
            <w:vAlign w:val="bottom"/>
            <w:hideMark/>
          </w:tcPr>
          <w:p w:rsidR="00195BE7" w:rsidRPr="001E2F6E" w:rsidRDefault="00195BE7" w:rsidP="00195BE7">
            <w:pPr>
              <w:spacing w:line="240" w:lineRule="exact"/>
              <w:rPr>
                <w:b/>
                <w:bCs/>
                <w:sz w:val="16"/>
                <w:szCs w:val="16"/>
                <w:lang w:val="eu-ES"/>
              </w:rPr>
            </w:pPr>
            <w:r w:rsidRPr="001E2F6E">
              <w:rPr>
                <w:b/>
                <w:bCs/>
                <w:sz w:val="16"/>
                <w:szCs w:val="16"/>
                <w:lang w:val="eu-ES"/>
              </w:rPr>
              <w:t>GUZTIRA</w:t>
            </w:r>
          </w:p>
        </w:tc>
        <w:tc>
          <w:tcPr>
            <w:tcW w:w="129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195BE7" w:rsidRPr="001E2F6E" w:rsidRDefault="00195BE7" w:rsidP="00195BE7">
            <w:pPr>
              <w:spacing w:line="240" w:lineRule="exact"/>
              <w:ind w:right="170"/>
              <w:jc w:val="right"/>
              <w:rPr>
                <w:b/>
                <w:bCs/>
                <w:sz w:val="16"/>
                <w:szCs w:val="16"/>
              </w:rPr>
            </w:pPr>
            <w:r w:rsidRPr="001E2F6E">
              <w:rPr>
                <w:b/>
                <w:bCs/>
                <w:sz w:val="16"/>
                <w:szCs w:val="16"/>
              </w:rPr>
              <w:t>21.087</w:t>
            </w:r>
          </w:p>
        </w:tc>
        <w:tc>
          <w:tcPr>
            <w:tcW w:w="129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195BE7" w:rsidRPr="001E2F6E" w:rsidRDefault="00195BE7" w:rsidP="00195BE7">
            <w:pPr>
              <w:spacing w:line="240" w:lineRule="exact"/>
              <w:ind w:right="170"/>
              <w:jc w:val="right"/>
              <w:rPr>
                <w:b/>
                <w:bCs/>
                <w:sz w:val="16"/>
                <w:szCs w:val="16"/>
              </w:rPr>
            </w:pPr>
            <w:r w:rsidRPr="001E2F6E">
              <w:rPr>
                <w:b/>
                <w:bCs/>
                <w:sz w:val="16"/>
                <w:szCs w:val="16"/>
              </w:rPr>
              <w:t>468.300</w:t>
            </w:r>
          </w:p>
        </w:tc>
        <w:tc>
          <w:tcPr>
            <w:tcW w:w="1297" w:type="pct"/>
            <w:tcBorders>
              <w:top w:val="single" w:sz="4" w:space="0" w:color="BFBFBF" w:themeColor="background1" w:themeShade="BF"/>
              <w:left w:val="single" w:sz="4" w:space="0" w:color="BFBFBF" w:themeColor="background1" w:themeShade="BF"/>
              <w:bottom w:val="single" w:sz="4" w:space="0" w:color="BFBFBF" w:themeColor="background1" w:themeShade="BF"/>
            </w:tcBorders>
            <w:hideMark/>
          </w:tcPr>
          <w:p w:rsidR="00195BE7" w:rsidRPr="001E2F6E" w:rsidRDefault="00195BE7" w:rsidP="00195BE7">
            <w:pPr>
              <w:spacing w:line="240" w:lineRule="exact"/>
              <w:ind w:right="170"/>
              <w:jc w:val="right"/>
              <w:rPr>
                <w:b/>
                <w:bCs/>
                <w:sz w:val="16"/>
                <w:szCs w:val="16"/>
              </w:rPr>
            </w:pPr>
            <w:r w:rsidRPr="001E2F6E">
              <w:rPr>
                <w:b/>
                <w:bCs/>
                <w:sz w:val="16"/>
                <w:szCs w:val="16"/>
              </w:rPr>
              <w:t>%4,5</w:t>
            </w:r>
          </w:p>
        </w:tc>
      </w:tr>
      <w:tr w:rsidR="00195BE7" w:rsidRPr="001E2F6E" w:rsidTr="00195BE7">
        <w:trPr>
          <w:jc w:val="center"/>
        </w:trPr>
        <w:tc>
          <w:tcPr>
            <w:tcW w:w="1107" w:type="pct"/>
            <w:tcBorders>
              <w:top w:val="single" w:sz="4" w:space="0" w:color="BFBFBF" w:themeColor="background1" w:themeShade="BF"/>
              <w:bottom w:val="single" w:sz="4" w:space="0" w:color="BFBFBF" w:themeColor="background1" w:themeShade="BF"/>
            </w:tcBorders>
            <w:noWrap/>
            <w:hideMark/>
          </w:tcPr>
          <w:p w:rsidR="00195BE7" w:rsidRPr="001E2F6E" w:rsidRDefault="00195BE7" w:rsidP="00195BE7">
            <w:pPr>
              <w:spacing w:line="240" w:lineRule="exact"/>
              <w:rPr>
                <w:sz w:val="16"/>
                <w:szCs w:val="16"/>
              </w:rPr>
            </w:pPr>
          </w:p>
        </w:tc>
        <w:tc>
          <w:tcPr>
            <w:tcW w:w="1298" w:type="pct"/>
            <w:tcBorders>
              <w:top w:val="single" w:sz="4" w:space="0" w:color="BFBFBF" w:themeColor="background1" w:themeShade="BF"/>
              <w:bottom w:val="single" w:sz="4" w:space="0" w:color="BFBFBF" w:themeColor="background1" w:themeShade="BF"/>
            </w:tcBorders>
            <w:noWrap/>
            <w:hideMark/>
          </w:tcPr>
          <w:p w:rsidR="00195BE7" w:rsidRPr="001E2F6E" w:rsidRDefault="00195BE7" w:rsidP="00195BE7">
            <w:pPr>
              <w:spacing w:line="240" w:lineRule="exact"/>
              <w:rPr>
                <w:rFonts w:ascii="Calibri" w:hAnsi="Calibri"/>
              </w:rPr>
            </w:pPr>
          </w:p>
        </w:tc>
        <w:tc>
          <w:tcPr>
            <w:tcW w:w="1298" w:type="pct"/>
            <w:tcBorders>
              <w:top w:val="single" w:sz="4" w:space="0" w:color="BFBFBF" w:themeColor="background1" w:themeShade="BF"/>
              <w:bottom w:val="single" w:sz="4" w:space="0" w:color="BFBFBF" w:themeColor="background1" w:themeShade="BF"/>
            </w:tcBorders>
            <w:noWrap/>
            <w:hideMark/>
          </w:tcPr>
          <w:p w:rsidR="00195BE7" w:rsidRPr="001E2F6E" w:rsidRDefault="00195BE7" w:rsidP="00195BE7">
            <w:pPr>
              <w:spacing w:line="240" w:lineRule="exact"/>
              <w:rPr>
                <w:rFonts w:ascii="Calibri" w:hAnsi="Calibri"/>
              </w:rPr>
            </w:pPr>
          </w:p>
        </w:tc>
        <w:tc>
          <w:tcPr>
            <w:tcW w:w="1297" w:type="pct"/>
            <w:tcBorders>
              <w:top w:val="single" w:sz="4" w:space="0" w:color="BFBFBF" w:themeColor="background1" w:themeShade="BF"/>
              <w:bottom w:val="single" w:sz="4" w:space="0" w:color="BFBFBF" w:themeColor="background1" w:themeShade="BF"/>
            </w:tcBorders>
            <w:noWrap/>
            <w:hideMark/>
          </w:tcPr>
          <w:p w:rsidR="00195BE7" w:rsidRPr="001E2F6E" w:rsidRDefault="00195BE7" w:rsidP="00195BE7">
            <w:pPr>
              <w:spacing w:line="240" w:lineRule="exact"/>
              <w:rPr>
                <w:rFonts w:ascii="Calibri" w:hAnsi="Calibri"/>
              </w:rPr>
            </w:pPr>
          </w:p>
        </w:tc>
      </w:tr>
      <w:tr w:rsidR="00195BE7" w:rsidRPr="001E2F6E" w:rsidTr="00195BE7">
        <w:trPr>
          <w:jc w:val="center"/>
        </w:trPr>
        <w:tc>
          <w:tcPr>
            <w:tcW w:w="1107"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hideMark/>
          </w:tcPr>
          <w:p w:rsidR="00195BE7" w:rsidRPr="001E2F6E" w:rsidRDefault="00195BE7" w:rsidP="00195BE7">
            <w:pPr>
              <w:spacing w:line="240" w:lineRule="exact"/>
              <w:jc w:val="center"/>
              <w:rPr>
                <w:b/>
                <w:bCs/>
                <w:sz w:val="16"/>
                <w:szCs w:val="16"/>
              </w:rPr>
            </w:pPr>
            <w:r w:rsidRPr="001E2F6E">
              <w:rPr>
                <w:b/>
                <w:bCs/>
                <w:sz w:val="16"/>
                <w:szCs w:val="16"/>
                <w:lang w:val="es-ES_tradnl"/>
              </w:rPr>
              <w:t>GIPUZKOA</w:t>
            </w:r>
          </w:p>
        </w:tc>
        <w:tc>
          <w:tcPr>
            <w:tcW w:w="129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hideMark/>
          </w:tcPr>
          <w:p w:rsidR="00195BE7" w:rsidRPr="001E2F6E" w:rsidRDefault="00195BE7" w:rsidP="00195BE7">
            <w:pPr>
              <w:spacing w:line="240" w:lineRule="auto"/>
              <w:jc w:val="center"/>
              <w:rPr>
                <w:b/>
                <w:sz w:val="16"/>
                <w:szCs w:val="16"/>
                <w:lang w:val="eu-ES"/>
              </w:rPr>
            </w:pPr>
            <w:r w:rsidRPr="001E2F6E">
              <w:rPr>
                <w:b/>
                <w:sz w:val="16"/>
                <w:szCs w:val="16"/>
                <w:lang w:val="eu-ES"/>
              </w:rPr>
              <w:t>Gizarte-ekonomia</w:t>
            </w:r>
          </w:p>
        </w:tc>
        <w:tc>
          <w:tcPr>
            <w:tcW w:w="129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hideMark/>
          </w:tcPr>
          <w:p w:rsidR="00195BE7" w:rsidRPr="001E2F6E" w:rsidRDefault="00195BE7" w:rsidP="00195BE7">
            <w:pPr>
              <w:spacing w:line="240" w:lineRule="auto"/>
              <w:jc w:val="center"/>
              <w:rPr>
                <w:b/>
                <w:sz w:val="16"/>
                <w:szCs w:val="16"/>
                <w:lang w:val="eu-ES"/>
              </w:rPr>
            </w:pPr>
            <w:r w:rsidRPr="001E2F6E">
              <w:rPr>
                <w:b/>
                <w:sz w:val="16"/>
                <w:szCs w:val="16"/>
                <w:lang w:val="eu-ES"/>
              </w:rPr>
              <w:t>Euskal ekonomia guztira</w:t>
            </w:r>
          </w:p>
        </w:tc>
        <w:tc>
          <w:tcPr>
            <w:tcW w:w="1297"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vAlign w:val="center"/>
            <w:hideMark/>
          </w:tcPr>
          <w:p w:rsidR="00195BE7" w:rsidRPr="001E2F6E" w:rsidRDefault="00195BE7" w:rsidP="00195BE7">
            <w:pPr>
              <w:spacing w:line="240" w:lineRule="auto"/>
              <w:jc w:val="center"/>
              <w:rPr>
                <w:b/>
                <w:sz w:val="16"/>
                <w:szCs w:val="16"/>
                <w:lang w:val="eu-ES"/>
              </w:rPr>
            </w:pPr>
            <w:r w:rsidRPr="001E2F6E">
              <w:rPr>
                <w:b/>
                <w:sz w:val="16"/>
                <w:szCs w:val="16"/>
                <w:lang w:val="eu-ES"/>
              </w:rPr>
              <w:t>Garrantzi erlatiboa  ehunekoan</w:t>
            </w:r>
          </w:p>
        </w:tc>
      </w:tr>
      <w:tr w:rsidR="00195BE7" w:rsidRPr="001E2F6E" w:rsidTr="00195BE7">
        <w:trPr>
          <w:jc w:val="center"/>
        </w:trPr>
        <w:tc>
          <w:tcPr>
            <w:tcW w:w="1107" w:type="pct"/>
            <w:tcBorders>
              <w:top w:val="single" w:sz="4" w:space="0" w:color="BFBFBF" w:themeColor="background1" w:themeShade="BF"/>
              <w:right w:val="single" w:sz="4" w:space="0" w:color="BFBFBF" w:themeColor="background1" w:themeShade="BF"/>
            </w:tcBorders>
            <w:vAlign w:val="bottom"/>
            <w:hideMark/>
          </w:tcPr>
          <w:p w:rsidR="00195BE7" w:rsidRPr="001E2F6E" w:rsidRDefault="00195BE7" w:rsidP="00195BE7">
            <w:pPr>
              <w:spacing w:line="240" w:lineRule="exact"/>
              <w:rPr>
                <w:sz w:val="16"/>
                <w:szCs w:val="16"/>
                <w:lang w:val="eu-ES"/>
              </w:rPr>
            </w:pPr>
            <w:r w:rsidRPr="001E2F6E">
              <w:rPr>
                <w:sz w:val="16"/>
                <w:szCs w:val="16"/>
                <w:lang w:val="eu-ES"/>
              </w:rPr>
              <w:t>Lehen sektorea</w:t>
            </w:r>
          </w:p>
        </w:tc>
        <w:tc>
          <w:tcPr>
            <w:tcW w:w="1298" w:type="pct"/>
            <w:tcBorders>
              <w:top w:val="single" w:sz="4" w:space="0" w:color="BFBFBF" w:themeColor="background1" w:themeShade="BF"/>
              <w:left w:val="single" w:sz="4" w:space="0" w:color="BFBFBF" w:themeColor="background1" w:themeShade="BF"/>
              <w:right w:val="single" w:sz="4" w:space="0" w:color="BFBFBF" w:themeColor="background1" w:themeShade="BF"/>
            </w:tcBorders>
            <w:hideMark/>
          </w:tcPr>
          <w:p w:rsidR="00195BE7" w:rsidRPr="001E2F6E" w:rsidRDefault="00195BE7" w:rsidP="00195BE7">
            <w:pPr>
              <w:spacing w:line="240" w:lineRule="exact"/>
              <w:ind w:right="170"/>
              <w:jc w:val="right"/>
              <w:rPr>
                <w:sz w:val="16"/>
                <w:szCs w:val="16"/>
              </w:rPr>
            </w:pPr>
            <w:r w:rsidRPr="001E2F6E">
              <w:rPr>
                <w:sz w:val="16"/>
                <w:szCs w:val="16"/>
              </w:rPr>
              <w:t>16</w:t>
            </w:r>
          </w:p>
        </w:tc>
        <w:tc>
          <w:tcPr>
            <w:tcW w:w="1298" w:type="pct"/>
            <w:tcBorders>
              <w:top w:val="single" w:sz="4" w:space="0" w:color="BFBFBF" w:themeColor="background1" w:themeShade="BF"/>
              <w:left w:val="single" w:sz="4" w:space="0" w:color="BFBFBF" w:themeColor="background1" w:themeShade="BF"/>
              <w:right w:val="single" w:sz="4" w:space="0" w:color="BFBFBF" w:themeColor="background1" w:themeShade="BF"/>
            </w:tcBorders>
            <w:hideMark/>
          </w:tcPr>
          <w:p w:rsidR="00195BE7" w:rsidRPr="001E2F6E" w:rsidRDefault="00195BE7" w:rsidP="00195BE7">
            <w:pPr>
              <w:spacing w:line="240" w:lineRule="exact"/>
              <w:ind w:right="170"/>
              <w:jc w:val="right"/>
              <w:rPr>
                <w:sz w:val="16"/>
                <w:szCs w:val="16"/>
              </w:rPr>
            </w:pPr>
            <w:r w:rsidRPr="001E2F6E">
              <w:rPr>
                <w:sz w:val="16"/>
                <w:szCs w:val="16"/>
              </w:rPr>
              <w:t>2.000</w:t>
            </w:r>
          </w:p>
        </w:tc>
        <w:tc>
          <w:tcPr>
            <w:tcW w:w="1297" w:type="pct"/>
            <w:tcBorders>
              <w:top w:val="single" w:sz="4" w:space="0" w:color="BFBFBF" w:themeColor="background1" w:themeShade="BF"/>
              <w:left w:val="single" w:sz="4" w:space="0" w:color="BFBFBF" w:themeColor="background1" w:themeShade="BF"/>
            </w:tcBorders>
            <w:hideMark/>
          </w:tcPr>
          <w:p w:rsidR="00195BE7" w:rsidRPr="001E2F6E" w:rsidRDefault="00195BE7" w:rsidP="00195BE7">
            <w:pPr>
              <w:spacing w:line="240" w:lineRule="exact"/>
              <w:ind w:right="170"/>
              <w:jc w:val="right"/>
              <w:rPr>
                <w:sz w:val="16"/>
                <w:szCs w:val="16"/>
              </w:rPr>
            </w:pPr>
            <w:r w:rsidRPr="001E2F6E">
              <w:rPr>
                <w:sz w:val="16"/>
                <w:szCs w:val="16"/>
              </w:rPr>
              <w:t>%0,8</w:t>
            </w:r>
          </w:p>
        </w:tc>
      </w:tr>
      <w:tr w:rsidR="00195BE7" w:rsidRPr="001E2F6E" w:rsidTr="00195BE7">
        <w:trPr>
          <w:jc w:val="center"/>
        </w:trPr>
        <w:tc>
          <w:tcPr>
            <w:tcW w:w="1107" w:type="pct"/>
            <w:tcBorders>
              <w:right w:val="single" w:sz="4" w:space="0" w:color="BFBFBF" w:themeColor="background1" w:themeShade="BF"/>
            </w:tcBorders>
            <w:vAlign w:val="bottom"/>
            <w:hideMark/>
          </w:tcPr>
          <w:p w:rsidR="00195BE7" w:rsidRPr="001E2F6E" w:rsidRDefault="00195BE7" w:rsidP="00195BE7">
            <w:pPr>
              <w:spacing w:line="240" w:lineRule="exact"/>
              <w:rPr>
                <w:sz w:val="16"/>
                <w:szCs w:val="16"/>
                <w:lang w:val="eu-ES"/>
              </w:rPr>
            </w:pPr>
            <w:r w:rsidRPr="001E2F6E">
              <w:rPr>
                <w:sz w:val="16"/>
                <w:szCs w:val="16"/>
                <w:lang w:val="eu-ES"/>
              </w:rPr>
              <w:t>Industria</w:t>
            </w:r>
          </w:p>
        </w:tc>
        <w:tc>
          <w:tcPr>
            <w:tcW w:w="1298" w:type="pct"/>
            <w:tcBorders>
              <w:left w:val="single" w:sz="4" w:space="0" w:color="BFBFBF" w:themeColor="background1" w:themeShade="BF"/>
              <w:right w:val="single" w:sz="4" w:space="0" w:color="BFBFBF" w:themeColor="background1" w:themeShade="BF"/>
            </w:tcBorders>
            <w:hideMark/>
          </w:tcPr>
          <w:p w:rsidR="00195BE7" w:rsidRPr="001E2F6E" w:rsidRDefault="00195BE7" w:rsidP="00195BE7">
            <w:pPr>
              <w:spacing w:line="240" w:lineRule="exact"/>
              <w:ind w:right="170"/>
              <w:jc w:val="right"/>
              <w:rPr>
                <w:sz w:val="16"/>
                <w:szCs w:val="16"/>
              </w:rPr>
            </w:pPr>
            <w:r w:rsidRPr="001E2F6E">
              <w:rPr>
                <w:sz w:val="16"/>
                <w:szCs w:val="16"/>
              </w:rPr>
              <w:t>16.528</w:t>
            </w:r>
          </w:p>
        </w:tc>
        <w:tc>
          <w:tcPr>
            <w:tcW w:w="1298" w:type="pct"/>
            <w:tcBorders>
              <w:left w:val="single" w:sz="4" w:space="0" w:color="BFBFBF" w:themeColor="background1" w:themeShade="BF"/>
              <w:right w:val="single" w:sz="4" w:space="0" w:color="BFBFBF" w:themeColor="background1" w:themeShade="BF"/>
            </w:tcBorders>
            <w:hideMark/>
          </w:tcPr>
          <w:p w:rsidR="00195BE7" w:rsidRPr="001E2F6E" w:rsidRDefault="00195BE7" w:rsidP="00195BE7">
            <w:pPr>
              <w:spacing w:line="240" w:lineRule="exact"/>
              <w:ind w:right="170"/>
              <w:jc w:val="right"/>
              <w:rPr>
                <w:sz w:val="16"/>
                <w:szCs w:val="16"/>
              </w:rPr>
            </w:pPr>
            <w:r w:rsidRPr="001E2F6E">
              <w:rPr>
                <w:sz w:val="16"/>
                <w:szCs w:val="16"/>
              </w:rPr>
              <w:t>78.100</w:t>
            </w:r>
          </w:p>
        </w:tc>
        <w:tc>
          <w:tcPr>
            <w:tcW w:w="1297" w:type="pct"/>
            <w:tcBorders>
              <w:left w:val="single" w:sz="4" w:space="0" w:color="BFBFBF" w:themeColor="background1" w:themeShade="BF"/>
            </w:tcBorders>
            <w:hideMark/>
          </w:tcPr>
          <w:p w:rsidR="00195BE7" w:rsidRPr="001E2F6E" w:rsidRDefault="00195BE7" w:rsidP="00195BE7">
            <w:pPr>
              <w:spacing w:line="240" w:lineRule="exact"/>
              <w:ind w:right="170"/>
              <w:jc w:val="right"/>
              <w:rPr>
                <w:sz w:val="16"/>
                <w:szCs w:val="16"/>
              </w:rPr>
            </w:pPr>
            <w:r w:rsidRPr="001E2F6E">
              <w:rPr>
                <w:sz w:val="16"/>
                <w:szCs w:val="16"/>
              </w:rPr>
              <w:t>%21,2</w:t>
            </w:r>
          </w:p>
        </w:tc>
      </w:tr>
      <w:tr w:rsidR="00195BE7" w:rsidRPr="001E2F6E" w:rsidTr="00195BE7">
        <w:trPr>
          <w:jc w:val="center"/>
        </w:trPr>
        <w:tc>
          <w:tcPr>
            <w:tcW w:w="1107" w:type="pct"/>
            <w:tcBorders>
              <w:right w:val="single" w:sz="4" w:space="0" w:color="BFBFBF" w:themeColor="background1" w:themeShade="BF"/>
            </w:tcBorders>
            <w:vAlign w:val="bottom"/>
            <w:hideMark/>
          </w:tcPr>
          <w:p w:rsidR="00195BE7" w:rsidRPr="001E2F6E" w:rsidRDefault="00195BE7" w:rsidP="00195BE7">
            <w:pPr>
              <w:spacing w:line="240" w:lineRule="exact"/>
              <w:rPr>
                <w:sz w:val="16"/>
                <w:szCs w:val="16"/>
                <w:lang w:val="eu-ES"/>
              </w:rPr>
            </w:pPr>
            <w:r w:rsidRPr="001E2F6E">
              <w:rPr>
                <w:sz w:val="16"/>
                <w:szCs w:val="16"/>
                <w:lang w:val="eu-ES"/>
              </w:rPr>
              <w:t>Eraikuntza</w:t>
            </w:r>
          </w:p>
        </w:tc>
        <w:tc>
          <w:tcPr>
            <w:tcW w:w="1298" w:type="pct"/>
            <w:tcBorders>
              <w:left w:val="single" w:sz="4" w:space="0" w:color="BFBFBF" w:themeColor="background1" w:themeShade="BF"/>
              <w:right w:val="single" w:sz="4" w:space="0" w:color="BFBFBF" w:themeColor="background1" w:themeShade="BF"/>
            </w:tcBorders>
            <w:hideMark/>
          </w:tcPr>
          <w:p w:rsidR="00195BE7" w:rsidRPr="001E2F6E" w:rsidRDefault="00195BE7" w:rsidP="00195BE7">
            <w:pPr>
              <w:spacing w:line="240" w:lineRule="exact"/>
              <w:ind w:right="170"/>
              <w:jc w:val="right"/>
              <w:rPr>
                <w:sz w:val="16"/>
                <w:szCs w:val="16"/>
              </w:rPr>
            </w:pPr>
            <w:r w:rsidRPr="001E2F6E">
              <w:rPr>
                <w:sz w:val="16"/>
                <w:szCs w:val="16"/>
              </w:rPr>
              <w:t>686</w:t>
            </w:r>
          </w:p>
        </w:tc>
        <w:tc>
          <w:tcPr>
            <w:tcW w:w="1298" w:type="pct"/>
            <w:tcBorders>
              <w:left w:val="single" w:sz="4" w:space="0" w:color="BFBFBF" w:themeColor="background1" w:themeShade="BF"/>
              <w:right w:val="single" w:sz="4" w:space="0" w:color="BFBFBF" w:themeColor="background1" w:themeShade="BF"/>
            </w:tcBorders>
            <w:hideMark/>
          </w:tcPr>
          <w:p w:rsidR="00195BE7" w:rsidRPr="001E2F6E" w:rsidRDefault="00195BE7" w:rsidP="00195BE7">
            <w:pPr>
              <w:spacing w:line="240" w:lineRule="exact"/>
              <w:ind w:right="170"/>
              <w:jc w:val="right"/>
              <w:rPr>
                <w:sz w:val="16"/>
                <w:szCs w:val="16"/>
              </w:rPr>
            </w:pPr>
            <w:r w:rsidRPr="001E2F6E">
              <w:rPr>
                <w:sz w:val="16"/>
                <w:szCs w:val="16"/>
              </w:rPr>
              <w:t>19.800</w:t>
            </w:r>
          </w:p>
        </w:tc>
        <w:tc>
          <w:tcPr>
            <w:tcW w:w="1297" w:type="pct"/>
            <w:tcBorders>
              <w:left w:val="single" w:sz="4" w:space="0" w:color="BFBFBF" w:themeColor="background1" w:themeShade="BF"/>
            </w:tcBorders>
            <w:hideMark/>
          </w:tcPr>
          <w:p w:rsidR="00195BE7" w:rsidRPr="001E2F6E" w:rsidRDefault="00195BE7" w:rsidP="00195BE7">
            <w:pPr>
              <w:spacing w:line="240" w:lineRule="exact"/>
              <w:ind w:right="170"/>
              <w:jc w:val="right"/>
              <w:rPr>
                <w:sz w:val="16"/>
                <w:szCs w:val="16"/>
              </w:rPr>
            </w:pPr>
            <w:r w:rsidRPr="001E2F6E">
              <w:rPr>
                <w:sz w:val="16"/>
                <w:szCs w:val="16"/>
              </w:rPr>
              <w:t>%3,5</w:t>
            </w:r>
          </w:p>
        </w:tc>
      </w:tr>
      <w:tr w:rsidR="00195BE7" w:rsidRPr="001E2F6E" w:rsidTr="00195BE7">
        <w:trPr>
          <w:jc w:val="center"/>
        </w:trPr>
        <w:tc>
          <w:tcPr>
            <w:tcW w:w="1107" w:type="pct"/>
            <w:tcBorders>
              <w:bottom w:val="single" w:sz="4" w:space="0" w:color="BFBFBF" w:themeColor="background1" w:themeShade="BF"/>
              <w:right w:val="single" w:sz="4" w:space="0" w:color="BFBFBF" w:themeColor="background1" w:themeShade="BF"/>
            </w:tcBorders>
            <w:vAlign w:val="bottom"/>
            <w:hideMark/>
          </w:tcPr>
          <w:p w:rsidR="00195BE7" w:rsidRPr="001E2F6E" w:rsidRDefault="00195BE7" w:rsidP="00195BE7">
            <w:pPr>
              <w:spacing w:line="240" w:lineRule="exact"/>
              <w:rPr>
                <w:sz w:val="16"/>
                <w:szCs w:val="16"/>
                <w:lang w:val="eu-ES"/>
              </w:rPr>
            </w:pPr>
            <w:r w:rsidRPr="001E2F6E">
              <w:rPr>
                <w:sz w:val="16"/>
                <w:szCs w:val="16"/>
                <w:lang w:val="eu-ES"/>
              </w:rPr>
              <w:t>Zerbitzuak</w:t>
            </w:r>
          </w:p>
        </w:tc>
        <w:tc>
          <w:tcPr>
            <w:tcW w:w="1298" w:type="pct"/>
            <w:tcBorders>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195BE7" w:rsidRPr="001E2F6E" w:rsidRDefault="00195BE7" w:rsidP="00195BE7">
            <w:pPr>
              <w:spacing w:line="240" w:lineRule="exact"/>
              <w:ind w:right="170"/>
              <w:jc w:val="right"/>
              <w:rPr>
                <w:sz w:val="16"/>
                <w:szCs w:val="16"/>
              </w:rPr>
            </w:pPr>
            <w:r w:rsidRPr="001E2F6E">
              <w:rPr>
                <w:sz w:val="16"/>
                <w:szCs w:val="16"/>
              </w:rPr>
              <w:t>11.646</w:t>
            </w:r>
          </w:p>
        </w:tc>
        <w:tc>
          <w:tcPr>
            <w:tcW w:w="1298" w:type="pct"/>
            <w:tcBorders>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195BE7" w:rsidRPr="001E2F6E" w:rsidRDefault="00195BE7" w:rsidP="00195BE7">
            <w:pPr>
              <w:spacing w:line="240" w:lineRule="exact"/>
              <w:ind w:right="170"/>
              <w:jc w:val="right"/>
              <w:rPr>
                <w:sz w:val="16"/>
                <w:szCs w:val="16"/>
              </w:rPr>
            </w:pPr>
            <w:r w:rsidRPr="001E2F6E">
              <w:rPr>
                <w:sz w:val="16"/>
                <w:szCs w:val="16"/>
              </w:rPr>
              <w:t>196.800</w:t>
            </w:r>
          </w:p>
        </w:tc>
        <w:tc>
          <w:tcPr>
            <w:tcW w:w="1297" w:type="pct"/>
            <w:tcBorders>
              <w:left w:val="single" w:sz="4" w:space="0" w:color="BFBFBF" w:themeColor="background1" w:themeShade="BF"/>
              <w:bottom w:val="single" w:sz="4" w:space="0" w:color="BFBFBF" w:themeColor="background1" w:themeShade="BF"/>
            </w:tcBorders>
            <w:hideMark/>
          </w:tcPr>
          <w:p w:rsidR="00195BE7" w:rsidRPr="001E2F6E" w:rsidRDefault="00195BE7" w:rsidP="00195BE7">
            <w:pPr>
              <w:spacing w:line="240" w:lineRule="exact"/>
              <w:ind w:right="170"/>
              <w:jc w:val="right"/>
              <w:rPr>
                <w:sz w:val="16"/>
                <w:szCs w:val="16"/>
              </w:rPr>
            </w:pPr>
            <w:r w:rsidRPr="001E2F6E">
              <w:rPr>
                <w:sz w:val="16"/>
                <w:szCs w:val="16"/>
              </w:rPr>
              <w:t>%5,9</w:t>
            </w:r>
          </w:p>
        </w:tc>
      </w:tr>
      <w:tr w:rsidR="00195BE7" w:rsidRPr="001E2F6E" w:rsidTr="00195BE7">
        <w:trPr>
          <w:jc w:val="center"/>
        </w:trPr>
        <w:tc>
          <w:tcPr>
            <w:tcW w:w="1107" w:type="pct"/>
            <w:tcBorders>
              <w:top w:val="single" w:sz="4" w:space="0" w:color="BFBFBF" w:themeColor="background1" w:themeShade="BF"/>
              <w:bottom w:val="single" w:sz="4" w:space="0" w:color="BFBFBF" w:themeColor="background1" w:themeShade="BF"/>
              <w:right w:val="single" w:sz="4" w:space="0" w:color="BFBFBF" w:themeColor="background1" w:themeShade="BF"/>
            </w:tcBorders>
            <w:vAlign w:val="bottom"/>
            <w:hideMark/>
          </w:tcPr>
          <w:p w:rsidR="00195BE7" w:rsidRPr="001E2F6E" w:rsidRDefault="00195BE7" w:rsidP="00195BE7">
            <w:pPr>
              <w:spacing w:line="240" w:lineRule="exact"/>
              <w:rPr>
                <w:b/>
                <w:bCs/>
                <w:sz w:val="16"/>
                <w:szCs w:val="16"/>
                <w:lang w:val="eu-ES"/>
              </w:rPr>
            </w:pPr>
            <w:r w:rsidRPr="001E2F6E">
              <w:rPr>
                <w:b/>
                <w:bCs/>
                <w:sz w:val="16"/>
                <w:szCs w:val="16"/>
                <w:lang w:val="eu-ES"/>
              </w:rPr>
              <w:t>GUZTIRA</w:t>
            </w:r>
          </w:p>
        </w:tc>
        <w:tc>
          <w:tcPr>
            <w:tcW w:w="129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195BE7" w:rsidRPr="001E2F6E" w:rsidRDefault="00195BE7" w:rsidP="00195BE7">
            <w:pPr>
              <w:spacing w:line="240" w:lineRule="exact"/>
              <w:ind w:right="170"/>
              <w:jc w:val="right"/>
              <w:rPr>
                <w:b/>
                <w:bCs/>
                <w:sz w:val="16"/>
                <w:szCs w:val="16"/>
              </w:rPr>
            </w:pPr>
            <w:r w:rsidRPr="001E2F6E">
              <w:rPr>
                <w:b/>
                <w:bCs/>
                <w:sz w:val="16"/>
                <w:szCs w:val="16"/>
              </w:rPr>
              <w:t>28.876</w:t>
            </w:r>
          </w:p>
        </w:tc>
        <w:tc>
          <w:tcPr>
            <w:tcW w:w="129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195BE7" w:rsidRPr="001E2F6E" w:rsidRDefault="00195BE7" w:rsidP="00195BE7">
            <w:pPr>
              <w:spacing w:line="240" w:lineRule="exact"/>
              <w:ind w:right="170"/>
              <w:jc w:val="right"/>
              <w:rPr>
                <w:b/>
                <w:bCs/>
                <w:sz w:val="16"/>
                <w:szCs w:val="16"/>
              </w:rPr>
            </w:pPr>
            <w:r w:rsidRPr="001E2F6E">
              <w:rPr>
                <w:b/>
                <w:bCs/>
                <w:sz w:val="16"/>
                <w:szCs w:val="16"/>
              </w:rPr>
              <w:t>296.700</w:t>
            </w:r>
          </w:p>
        </w:tc>
        <w:tc>
          <w:tcPr>
            <w:tcW w:w="1297" w:type="pct"/>
            <w:tcBorders>
              <w:top w:val="single" w:sz="4" w:space="0" w:color="BFBFBF" w:themeColor="background1" w:themeShade="BF"/>
              <w:left w:val="single" w:sz="4" w:space="0" w:color="BFBFBF" w:themeColor="background1" w:themeShade="BF"/>
              <w:bottom w:val="single" w:sz="4" w:space="0" w:color="BFBFBF" w:themeColor="background1" w:themeShade="BF"/>
            </w:tcBorders>
            <w:hideMark/>
          </w:tcPr>
          <w:p w:rsidR="00195BE7" w:rsidRPr="001E2F6E" w:rsidRDefault="00195BE7" w:rsidP="00195BE7">
            <w:pPr>
              <w:spacing w:line="240" w:lineRule="exact"/>
              <w:ind w:right="170"/>
              <w:jc w:val="right"/>
              <w:rPr>
                <w:b/>
                <w:bCs/>
                <w:sz w:val="16"/>
                <w:szCs w:val="16"/>
              </w:rPr>
            </w:pPr>
            <w:r w:rsidRPr="001E2F6E">
              <w:rPr>
                <w:b/>
                <w:bCs/>
                <w:sz w:val="16"/>
                <w:szCs w:val="16"/>
              </w:rPr>
              <w:t>%9,7</w:t>
            </w:r>
          </w:p>
        </w:tc>
      </w:tr>
    </w:tbl>
    <w:p w:rsidR="00195BE7" w:rsidRPr="001E2F6E" w:rsidRDefault="00195BE7" w:rsidP="00195BE7">
      <w:pPr>
        <w:pStyle w:val="Textoindependiente"/>
        <w:spacing w:line="312" w:lineRule="auto"/>
        <w:rPr>
          <w:rFonts w:ascii="Tahoma" w:hAnsi="Tahoma" w:cs="Tahoma"/>
          <w:sz w:val="22"/>
          <w:szCs w:val="22"/>
          <w:lang w:val="es-ES_tradnl"/>
        </w:rPr>
      </w:pPr>
    </w:p>
    <w:p w:rsidR="00195BE7" w:rsidRPr="001E2F6E" w:rsidRDefault="00195BE7" w:rsidP="00195BE7">
      <w:pPr>
        <w:shd w:val="clear" w:color="auto" w:fill="FFFFFF"/>
      </w:pPr>
    </w:p>
    <w:p w:rsidR="00195BE7" w:rsidRPr="001E2F6E" w:rsidRDefault="00195BE7" w:rsidP="00195BE7">
      <w:pPr>
        <w:spacing w:line="240" w:lineRule="auto"/>
        <w:rPr>
          <w:b/>
          <w:color w:val="000080"/>
        </w:rPr>
      </w:pPr>
    </w:p>
    <w:p w:rsidR="00195BE7" w:rsidRPr="001E2F6E" w:rsidRDefault="00195BE7" w:rsidP="00195BE7">
      <w:pPr>
        <w:pStyle w:val="Ttulo1"/>
        <w:ind w:left="708" w:hanging="708"/>
        <w:rPr>
          <w:color w:val="1F497D" w:themeColor="text2"/>
          <w:sz w:val="22"/>
          <w:szCs w:val="22"/>
        </w:rPr>
      </w:pPr>
      <w:bookmarkStart w:id="164" w:name="_Toc391989018"/>
      <w:bookmarkStart w:id="165" w:name="_Toc392585681"/>
      <w:r w:rsidRPr="001E2F6E">
        <w:rPr>
          <w:color w:val="1F497D" w:themeColor="text2"/>
          <w:sz w:val="22"/>
          <w:szCs w:val="22"/>
        </w:rPr>
        <w:t>3.2.-</w:t>
      </w:r>
      <w:r w:rsidRPr="001E2F6E">
        <w:rPr>
          <w:color w:val="1F497D" w:themeColor="text2"/>
          <w:sz w:val="22"/>
          <w:szCs w:val="22"/>
        </w:rPr>
        <w:tab/>
      </w:r>
      <w:r w:rsidRPr="001E2F6E">
        <w:rPr>
          <w:color w:val="1F497D" w:themeColor="text2"/>
          <w:sz w:val="22"/>
          <w:szCs w:val="22"/>
          <w:lang w:val="eu-ES"/>
        </w:rPr>
        <w:t>BEGd BALIOAREN ETA PRODUKTIBITATE ANTZEMANGARRIAREN LURRALDE-PROFILA</w:t>
      </w:r>
      <w:bookmarkEnd w:id="164"/>
      <w:bookmarkEnd w:id="165"/>
    </w:p>
    <w:p w:rsidR="00195BE7" w:rsidRPr="001E2F6E" w:rsidRDefault="00195BE7" w:rsidP="00195BE7">
      <w:pPr>
        <w:pStyle w:val="Textoindependiente"/>
        <w:spacing w:line="312" w:lineRule="auto"/>
        <w:rPr>
          <w:rFonts w:ascii="Arial" w:hAnsi="Arial" w:cs="Arial"/>
          <w:color w:val="1F497D" w:themeColor="text2"/>
          <w:sz w:val="20"/>
        </w:rPr>
      </w:pPr>
    </w:p>
    <w:p w:rsidR="00195BE7" w:rsidRPr="001E2F6E" w:rsidRDefault="00195BE7" w:rsidP="00195BE7">
      <w:pPr>
        <w:pStyle w:val="Textoindependiente"/>
        <w:jc w:val="center"/>
        <w:rPr>
          <w:rFonts w:ascii="Arial" w:hAnsi="Arial" w:cs="Arial"/>
          <w:b/>
          <w:color w:val="1F497D" w:themeColor="text2"/>
          <w:sz w:val="18"/>
          <w:szCs w:val="18"/>
          <w:lang w:val="es-ES_tradnl"/>
        </w:rPr>
      </w:pPr>
      <w:bookmarkStart w:id="166" w:name="_Toc391989158"/>
      <w:bookmarkStart w:id="167" w:name="_Toc392585823"/>
      <w:r w:rsidRPr="001E2F6E">
        <w:rPr>
          <w:rFonts w:ascii="Arial" w:hAnsi="Arial" w:cs="Arial"/>
          <w:b/>
          <w:color w:val="1F497D" w:themeColor="text2"/>
          <w:sz w:val="18"/>
          <w:szCs w:val="18"/>
          <w:lang w:val="es-ES_tradnl"/>
        </w:rPr>
        <w:t>1.</w:t>
      </w:r>
      <w:r w:rsidR="00EB6BA6" w:rsidRPr="001E2F6E">
        <w:rPr>
          <w:rFonts w:ascii="Arial" w:hAnsi="Arial" w:cs="Arial"/>
          <w:b/>
          <w:color w:val="1F497D" w:themeColor="text2"/>
          <w:sz w:val="18"/>
          <w:szCs w:val="18"/>
          <w:lang w:val="es-ES_tradnl"/>
        </w:rPr>
        <w:fldChar w:fldCharType="begin"/>
      </w:r>
      <w:r w:rsidRPr="001E2F6E">
        <w:rPr>
          <w:rFonts w:ascii="Arial" w:hAnsi="Arial" w:cs="Arial"/>
          <w:b/>
          <w:color w:val="1F497D" w:themeColor="text2"/>
          <w:sz w:val="18"/>
          <w:szCs w:val="18"/>
          <w:lang w:val="es-ES_tradnl"/>
        </w:rPr>
        <w:instrText xml:space="preserve"> SEQ Gráfico_1. \* ARABIC </w:instrText>
      </w:r>
      <w:r w:rsidR="00EB6BA6" w:rsidRPr="001E2F6E">
        <w:rPr>
          <w:rFonts w:ascii="Arial" w:hAnsi="Arial" w:cs="Arial"/>
          <w:b/>
          <w:color w:val="1F497D" w:themeColor="text2"/>
          <w:sz w:val="18"/>
          <w:szCs w:val="18"/>
          <w:lang w:val="es-ES_tradnl"/>
        </w:rPr>
        <w:fldChar w:fldCharType="separate"/>
      </w:r>
      <w:r w:rsidR="00A327D4">
        <w:rPr>
          <w:rFonts w:ascii="Arial" w:hAnsi="Arial" w:cs="Arial"/>
          <w:b/>
          <w:noProof/>
          <w:color w:val="1F497D" w:themeColor="text2"/>
          <w:sz w:val="18"/>
          <w:szCs w:val="18"/>
          <w:lang w:val="es-ES_tradnl"/>
        </w:rPr>
        <w:t>13</w:t>
      </w:r>
      <w:r w:rsidR="00EB6BA6" w:rsidRPr="001E2F6E">
        <w:rPr>
          <w:rFonts w:ascii="Arial" w:hAnsi="Arial" w:cs="Arial"/>
          <w:b/>
          <w:color w:val="1F497D" w:themeColor="text2"/>
          <w:sz w:val="18"/>
          <w:szCs w:val="18"/>
          <w:lang w:val="es-ES_tradnl"/>
        </w:rPr>
        <w:fldChar w:fldCharType="end"/>
      </w:r>
      <w:r w:rsidRPr="001E2F6E">
        <w:rPr>
          <w:rFonts w:ascii="Arial" w:hAnsi="Arial" w:cs="Arial"/>
          <w:b/>
          <w:color w:val="1F497D" w:themeColor="text2"/>
          <w:sz w:val="18"/>
          <w:szCs w:val="18"/>
          <w:lang w:val="es-ES_tradnl"/>
        </w:rPr>
        <w:t xml:space="preserve"> Irudia GIZARTE-EKONOMIAREN BEGd BALIOAREN LURRALDE-BANAKETAREN BILAKAERA. 2010-2012</w:t>
      </w:r>
      <w:bookmarkEnd w:id="166"/>
      <w:bookmarkEnd w:id="167"/>
    </w:p>
    <w:p w:rsidR="00195BE7" w:rsidRPr="001E2F6E" w:rsidRDefault="00195BE7" w:rsidP="00195BE7">
      <w:pPr>
        <w:pStyle w:val="Textoindependiente"/>
        <w:spacing w:line="312" w:lineRule="auto"/>
        <w:rPr>
          <w:rFonts w:ascii="Arial" w:hAnsi="Arial" w:cs="Arial"/>
          <w:b/>
          <w:i/>
          <w:sz w:val="16"/>
          <w:szCs w:val="16"/>
          <w:lang w:val="es-ES_tradnl"/>
        </w:rPr>
      </w:pPr>
    </w:p>
    <w:p w:rsidR="00195BE7" w:rsidRPr="001E2F6E" w:rsidRDefault="00195BE7" w:rsidP="00195BE7">
      <w:pPr>
        <w:jc w:val="center"/>
      </w:pPr>
      <w:r w:rsidRPr="001E2F6E">
        <w:rPr>
          <w:noProof/>
          <w:lang w:eastAsia="es-ES"/>
        </w:rPr>
        <w:drawing>
          <wp:anchor distT="0" distB="0" distL="114300" distR="114300" simplePos="0" relativeHeight="251701248" behindDoc="0" locked="0" layoutInCell="1" allowOverlap="1" wp14:anchorId="0E848044" wp14:editId="0C3968E7">
            <wp:simplePos x="0" y="0"/>
            <wp:positionH relativeFrom="column">
              <wp:posOffset>-70485</wp:posOffset>
            </wp:positionH>
            <wp:positionV relativeFrom="paragraph">
              <wp:posOffset>29845</wp:posOffset>
            </wp:positionV>
            <wp:extent cx="2755613" cy="1828800"/>
            <wp:effectExtent l="0" t="0" r="0" b="0"/>
            <wp:wrapNone/>
            <wp:docPr id="468" name="Objeto 44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anchor>
        </w:drawing>
      </w:r>
      <w:r w:rsidRPr="001E2F6E">
        <w:rPr>
          <w:noProof/>
          <w:lang w:eastAsia="es-ES"/>
        </w:rPr>
        <w:drawing>
          <wp:anchor distT="0" distB="0" distL="114300" distR="114300" simplePos="0" relativeHeight="251702272" behindDoc="0" locked="0" layoutInCell="1" allowOverlap="1" wp14:anchorId="117A223D" wp14:editId="15803A1B">
            <wp:simplePos x="0" y="0"/>
            <wp:positionH relativeFrom="column">
              <wp:posOffset>2847975</wp:posOffset>
            </wp:positionH>
            <wp:positionV relativeFrom="paragraph">
              <wp:posOffset>30480</wp:posOffset>
            </wp:positionV>
            <wp:extent cx="2752725" cy="1828800"/>
            <wp:effectExtent l="0" t="0" r="0" b="0"/>
            <wp:wrapNone/>
            <wp:docPr id="469" name="Objeto 50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anchor>
        </w:drawing>
      </w:r>
    </w:p>
    <w:p w:rsidR="00195BE7" w:rsidRPr="001E2F6E" w:rsidRDefault="00195BE7" w:rsidP="00195BE7">
      <w:pPr>
        <w:jc w:val="center"/>
      </w:pPr>
    </w:p>
    <w:p w:rsidR="00195BE7" w:rsidRPr="001E2F6E" w:rsidRDefault="00195BE7" w:rsidP="00195BE7">
      <w:pPr>
        <w:jc w:val="center"/>
      </w:pPr>
    </w:p>
    <w:p w:rsidR="00195BE7" w:rsidRPr="001E2F6E" w:rsidRDefault="00195BE7" w:rsidP="00195BE7">
      <w:pPr>
        <w:jc w:val="center"/>
      </w:pPr>
    </w:p>
    <w:p w:rsidR="00195BE7" w:rsidRPr="001E2F6E" w:rsidRDefault="00195BE7" w:rsidP="00195BE7">
      <w:pPr>
        <w:jc w:val="center"/>
      </w:pPr>
    </w:p>
    <w:p w:rsidR="00195BE7" w:rsidRPr="001E2F6E" w:rsidRDefault="00195BE7" w:rsidP="00195BE7">
      <w:pPr>
        <w:jc w:val="center"/>
      </w:pPr>
    </w:p>
    <w:p w:rsidR="00195BE7" w:rsidRPr="001E2F6E" w:rsidRDefault="00195BE7" w:rsidP="00195BE7">
      <w:pPr>
        <w:jc w:val="center"/>
      </w:pPr>
    </w:p>
    <w:p w:rsidR="00195BE7" w:rsidRPr="001E2F6E" w:rsidRDefault="00195BE7" w:rsidP="00195BE7">
      <w:pPr>
        <w:jc w:val="center"/>
      </w:pPr>
    </w:p>
    <w:p w:rsidR="00195BE7" w:rsidRPr="001E2F6E" w:rsidRDefault="00195BE7" w:rsidP="00195BE7">
      <w:pPr>
        <w:jc w:val="center"/>
      </w:pPr>
    </w:p>
    <w:p w:rsidR="00F203B2" w:rsidRDefault="00F203B2">
      <w:pPr>
        <w:spacing w:line="240" w:lineRule="auto"/>
        <w:jc w:val="left"/>
        <w:rPr>
          <w:lang w:val="es-ES_tradnl"/>
        </w:rPr>
      </w:pPr>
      <w:r>
        <w:rPr>
          <w:lang w:val="es-ES_tradnl"/>
        </w:rPr>
        <w:br w:type="page"/>
      </w:r>
    </w:p>
    <w:p w:rsidR="00195BE7" w:rsidRPr="001E2F6E" w:rsidRDefault="00195BE7" w:rsidP="00195BE7">
      <w:pPr>
        <w:rPr>
          <w:lang w:val="es-ES_tradnl"/>
        </w:rPr>
      </w:pPr>
    </w:p>
    <w:p w:rsidR="00195BE7" w:rsidRPr="001E2F6E" w:rsidRDefault="00195BE7" w:rsidP="00195BE7">
      <w:pPr>
        <w:pStyle w:val="Textoindependiente2"/>
        <w:spacing w:after="0" w:line="240" w:lineRule="auto"/>
        <w:jc w:val="center"/>
        <w:rPr>
          <w:b/>
          <w:color w:val="1F497D" w:themeColor="text2"/>
          <w:sz w:val="18"/>
          <w:szCs w:val="18"/>
        </w:rPr>
      </w:pPr>
      <w:bookmarkStart w:id="168" w:name="_Toc391989113"/>
      <w:bookmarkStart w:id="169" w:name="_Toc392585778"/>
      <w:r w:rsidRPr="001E2F6E">
        <w:rPr>
          <w:b/>
          <w:color w:val="1F497D" w:themeColor="text2"/>
          <w:sz w:val="18"/>
          <w:szCs w:val="18"/>
        </w:rPr>
        <w:t>1.</w:t>
      </w:r>
      <w:r w:rsidR="00EB6BA6" w:rsidRPr="001E2F6E">
        <w:rPr>
          <w:b/>
          <w:color w:val="1F497D" w:themeColor="text2"/>
          <w:sz w:val="18"/>
          <w:szCs w:val="18"/>
        </w:rPr>
        <w:fldChar w:fldCharType="begin"/>
      </w:r>
      <w:r w:rsidRPr="001E2F6E">
        <w:rPr>
          <w:b/>
          <w:color w:val="1F497D" w:themeColor="text2"/>
          <w:sz w:val="18"/>
          <w:szCs w:val="18"/>
        </w:rPr>
        <w:instrText xml:space="preserve"> SEQ Cuadro_1. \* ARABIC </w:instrText>
      </w:r>
      <w:r w:rsidR="00EB6BA6" w:rsidRPr="001E2F6E">
        <w:rPr>
          <w:b/>
          <w:color w:val="1F497D" w:themeColor="text2"/>
          <w:sz w:val="18"/>
          <w:szCs w:val="18"/>
        </w:rPr>
        <w:fldChar w:fldCharType="separate"/>
      </w:r>
      <w:r w:rsidR="00A327D4">
        <w:rPr>
          <w:b/>
          <w:noProof/>
          <w:color w:val="1F497D" w:themeColor="text2"/>
          <w:sz w:val="18"/>
          <w:szCs w:val="18"/>
        </w:rPr>
        <w:t>43</w:t>
      </w:r>
      <w:r w:rsidR="00EB6BA6" w:rsidRPr="001E2F6E">
        <w:rPr>
          <w:b/>
          <w:color w:val="1F497D" w:themeColor="text2"/>
          <w:sz w:val="18"/>
          <w:szCs w:val="18"/>
        </w:rPr>
        <w:fldChar w:fldCharType="end"/>
      </w:r>
      <w:r w:rsidRPr="001E2F6E">
        <w:rPr>
          <w:b/>
          <w:color w:val="1F497D" w:themeColor="text2"/>
          <w:sz w:val="18"/>
          <w:szCs w:val="18"/>
        </w:rPr>
        <w:t xml:space="preserve"> Taula GIZARTE-EKONOMIAREN BEGd BALIOAREN LURRALDE-BANAKETA,  FORMA JURIDIKOAREN ARABERA. 2012. (zifra absolutuak euroan. %bertikalak.)</w:t>
      </w:r>
      <w:bookmarkEnd w:id="168"/>
      <w:bookmarkEnd w:id="169"/>
    </w:p>
    <w:tbl>
      <w:tblPr>
        <w:tblW w:w="0" w:type="auto"/>
        <w:jc w:val="center"/>
        <w:tblInd w:w="-1293" w:type="dxa"/>
        <w:tblLook w:val="04A0" w:firstRow="1" w:lastRow="0" w:firstColumn="1" w:lastColumn="0" w:noHBand="0" w:noVBand="1"/>
      </w:tblPr>
      <w:tblGrid>
        <w:gridCol w:w="1128"/>
        <w:gridCol w:w="1410"/>
        <w:gridCol w:w="851"/>
        <w:gridCol w:w="1410"/>
        <w:gridCol w:w="851"/>
        <w:gridCol w:w="1276"/>
        <w:gridCol w:w="851"/>
        <w:gridCol w:w="1276"/>
        <w:gridCol w:w="851"/>
      </w:tblGrid>
      <w:tr w:rsidR="00195BE7" w:rsidRPr="001E2F6E" w:rsidTr="00195BE7">
        <w:trPr>
          <w:jc w:val="center"/>
        </w:trPr>
        <w:tc>
          <w:tcPr>
            <w:tcW w:w="1128" w:type="dxa"/>
            <w:vMerge w:val="restart"/>
            <w:tcBorders>
              <w:top w:val="single" w:sz="4" w:space="0" w:color="BFBFBF" w:themeColor="background1" w:themeShade="BF"/>
              <w:right w:val="single" w:sz="4" w:space="0" w:color="BFBFBF" w:themeColor="background1" w:themeShade="BF"/>
            </w:tcBorders>
            <w:shd w:val="clear" w:color="auto" w:fill="DBE5F1" w:themeFill="accent1" w:themeFillTint="33"/>
            <w:vAlign w:val="center"/>
            <w:hideMark/>
          </w:tcPr>
          <w:p w:rsidR="00195BE7" w:rsidRPr="001E2F6E" w:rsidRDefault="00195BE7" w:rsidP="00195BE7">
            <w:pPr>
              <w:spacing w:line="240" w:lineRule="exact"/>
              <w:jc w:val="center"/>
              <w:rPr>
                <w:b/>
                <w:sz w:val="16"/>
                <w:szCs w:val="16"/>
              </w:rPr>
            </w:pPr>
          </w:p>
        </w:tc>
        <w:tc>
          <w:tcPr>
            <w:tcW w:w="2261"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hideMark/>
          </w:tcPr>
          <w:p w:rsidR="00195BE7" w:rsidRPr="001E2F6E" w:rsidRDefault="00195BE7" w:rsidP="00195BE7">
            <w:pPr>
              <w:spacing w:line="240" w:lineRule="exact"/>
              <w:jc w:val="center"/>
              <w:rPr>
                <w:b/>
                <w:bCs/>
                <w:sz w:val="16"/>
                <w:szCs w:val="16"/>
              </w:rPr>
            </w:pPr>
            <w:r w:rsidRPr="001E2F6E">
              <w:rPr>
                <w:b/>
                <w:bCs/>
                <w:sz w:val="16"/>
                <w:szCs w:val="16"/>
              </w:rPr>
              <w:t>EAE</w:t>
            </w:r>
          </w:p>
        </w:tc>
        <w:tc>
          <w:tcPr>
            <w:tcW w:w="2261"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hideMark/>
          </w:tcPr>
          <w:p w:rsidR="00195BE7" w:rsidRPr="001E2F6E" w:rsidRDefault="00195BE7" w:rsidP="00195BE7">
            <w:pPr>
              <w:spacing w:line="240" w:lineRule="exact"/>
              <w:jc w:val="center"/>
              <w:rPr>
                <w:b/>
                <w:bCs/>
                <w:sz w:val="16"/>
                <w:szCs w:val="16"/>
              </w:rPr>
            </w:pPr>
            <w:r w:rsidRPr="001E2F6E">
              <w:rPr>
                <w:b/>
                <w:bCs/>
                <w:sz w:val="16"/>
                <w:szCs w:val="16"/>
              </w:rPr>
              <w:t>Koop.</w:t>
            </w:r>
          </w:p>
        </w:tc>
        <w:tc>
          <w:tcPr>
            <w:tcW w:w="212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hideMark/>
          </w:tcPr>
          <w:p w:rsidR="00195BE7" w:rsidRPr="001E2F6E" w:rsidRDefault="00195BE7" w:rsidP="00195BE7">
            <w:pPr>
              <w:spacing w:line="240" w:lineRule="exact"/>
              <w:jc w:val="center"/>
              <w:rPr>
                <w:b/>
                <w:bCs/>
                <w:sz w:val="16"/>
                <w:szCs w:val="16"/>
              </w:rPr>
            </w:pPr>
            <w:r w:rsidRPr="001E2F6E">
              <w:rPr>
                <w:b/>
                <w:bCs/>
                <w:sz w:val="16"/>
                <w:szCs w:val="16"/>
                <w:lang w:val="en-GB"/>
              </w:rPr>
              <w:t>LSA</w:t>
            </w:r>
          </w:p>
        </w:tc>
        <w:tc>
          <w:tcPr>
            <w:tcW w:w="212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hideMark/>
          </w:tcPr>
          <w:p w:rsidR="00195BE7" w:rsidRPr="001E2F6E" w:rsidRDefault="00195BE7" w:rsidP="00195BE7">
            <w:pPr>
              <w:spacing w:line="240" w:lineRule="exact"/>
              <w:jc w:val="center"/>
              <w:rPr>
                <w:b/>
                <w:bCs/>
                <w:sz w:val="16"/>
                <w:szCs w:val="16"/>
              </w:rPr>
            </w:pPr>
            <w:r w:rsidRPr="001E2F6E">
              <w:rPr>
                <w:b/>
                <w:bCs/>
                <w:sz w:val="16"/>
                <w:szCs w:val="16"/>
                <w:lang w:val="en-GB"/>
              </w:rPr>
              <w:t>LSM</w:t>
            </w:r>
          </w:p>
        </w:tc>
      </w:tr>
      <w:tr w:rsidR="00195BE7" w:rsidRPr="001E2F6E" w:rsidTr="00195BE7">
        <w:trPr>
          <w:jc w:val="center"/>
        </w:trPr>
        <w:tc>
          <w:tcPr>
            <w:tcW w:w="1128" w:type="dxa"/>
            <w:vMerge/>
            <w:tcBorders>
              <w:bottom w:val="single" w:sz="4" w:space="0" w:color="BFBFBF" w:themeColor="background1" w:themeShade="BF"/>
              <w:right w:val="single" w:sz="4" w:space="0" w:color="BFBFBF" w:themeColor="background1" w:themeShade="BF"/>
            </w:tcBorders>
            <w:shd w:val="clear" w:color="auto" w:fill="DBE5F1" w:themeFill="accent1" w:themeFillTint="33"/>
            <w:hideMark/>
          </w:tcPr>
          <w:p w:rsidR="00195BE7" w:rsidRPr="001E2F6E" w:rsidRDefault="00195BE7" w:rsidP="00195BE7">
            <w:pPr>
              <w:spacing w:line="240" w:lineRule="exact"/>
              <w:rPr>
                <w:sz w:val="16"/>
                <w:szCs w:val="16"/>
              </w:rPr>
            </w:pPr>
          </w:p>
        </w:tc>
        <w:tc>
          <w:tcPr>
            <w:tcW w:w="1410" w:type="dxa"/>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hideMark/>
          </w:tcPr>
          <w:p w:rsidR="00195BE7" w:rsidRPr="001E2F6E" w:rsidRDefault="00195BE7" w:rsidP="00195BE7">
            <w:pPr>
              <w:spacing w:line="240" w:lineRule="exact"/>
              <w:jc w:val="center"/>
              <w:rPr>
                <w:b/>
                <w:bCs/>
                <w:sz w:val="16"/>
                <w:szCs w:val="16"/>
              </w:rPr>
            </w:pPr>
            <w:r w:rsidRPr="001E2F6E">
              <w:rPr>
                <w:b/>
                <w:bCs/>
                <w:sz w:val="16"/>
                <w:szCs w:val="16"/>
              </w:rPr>
              <w:t>z.a.</w:t>
            </w:r>
          </w:p>
        </w:tc>
        <w:tc>
          <w:tcPr>
            <w:tcW w:w="851" w:type="dxa"/>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hideMark/>
          </w:tcPr>
          <w:p w:rsidR="00195BE7" w:rsidRPr="001E2F6E" w:rsidRDefault="00195BE7" w:rsidP="00195BE7">
            <w:pPr>
              <w:spacing w:line="240" w:lineRule="exact"/>
              <w:jc w:val="center"/>
              <w:rPr>
                <w:b/>
                <w:bCs/>
                <w:sz w:val="16"/>
                <w:szCs w:val="16"/>
              </w:rPr>
            </w:pPr>
            <w:r w:rsidRPr="001E2F6E">
              <w:rPr>
                <w:b/>
                <w:bCs/>
                <w:sz w:val="16"/>
                <w:szCs w:val="16"/>
              </w:rPr>
              <w:t>%ber.</w:t>
            </w:r>
          </w:p>
        </w:tc>
        <w:tc>
          <w:tcPr>
            <w:tcW w:w="1410" w:type="dxa"/>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hideMark/>
          </w:tcPr>
          <w:p w:rsidR="00195BE7" w:rsidRPr="001E2F6E" w:rsidRDefault="00195BE7" w:rsidP="00195BE7">
            <w:pPr>
              <w:spacing w:line="240" w:lineRule="exact"/>
              <w:jc w:val="center"/>
              <w:rPr>
                <w:b/>
                <w:bCs/>
                <w:sz w:val="16"/>
                <w:szCs w:val="16"/>
              </w:rPr>
            </w:pPr>
            <w:r w:rsidRPr="001E2F6E">
              <w:rPr>
                <w:b/>
                <w:bCs/>
                <w:sz w:val="16"/>
                <w:szCs w:val="16"/>
              </w:rPr>
              <w:t>z.a.</w:t>
            </w:r>
          </w:p>
        </w:tc>
        <w:tc>
          <w:tcPr>
            <w:tcW w:w="851" w:type="dxa"/>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hideMark/>
          </w:tcPr>
          <w:p w:rsidR="00195BE7" w:rsidRPr="001E2F6E" w:rsidRDefault="00195BE7" w:rsidP="00195BE7">
            <w:pPr>
              <w:spacing w:line="240" w:lineRule="exact"/>
              <w:jc w:val="center"/>
              <w:rPr>
                <w:b/>
                <w:bCs/>
                <w:sz w:val="16"/>
                <w:szCs w:val="16"/>
              </w:rPr>
            </w:pPr>
            <w:r w:rsidRPr="001E2F6E">
              <w:rPr>
                <w:b/>
                <w:bCs/>
                <w:sz w:val="16"/>
                <w:szCs w:val="16"/>
              </w:rPr>
              <w:t>%ber.</w:t>
            </w:r>
          </w:p>
        </w:tc>
        <w:tc>
          <w:tcPr>
            <w:tcW w:w="1276" w:type="dxa"/>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hideMark/>
          </w:tcPr>
          <w:p w:rsidR="00195BE7" w:rsidRPr="001E2F6E" w:rsidRDefault="00195BE7" w:rsidP="00195BE7">
            <w:pPr>
              <w:spacing w:line="240" w:lineRule="exact"/>
              <w:jc w:val="center"/>
              <w:rPr>
                <w:b/>
                <w:bCs/>
                <w:sz w:val="16"/>
                <w:szCs w:val="16"/>
              </w:rPr>
            </w:pPr>
            <w:r w:rsidRPr="001E2F6E">
              <w:rPr>
                <w:b/>
                <w:bCs/>
                <w:sz w:val="16"/>
                <w:szCs w:val="16"/>
              </w:rPr>
              <w:t>z.a.</w:t>
            </w:r>
          </w:p>
        </w:tc>
        <w:tc>
          <w:tcPr>
            <w:tcW w:w="851" w:type="dxa"/>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hideMark/>
          </w:tcPr>
          <w:p w:rsidR="00195BE7" w:rsidRPr="001E2F6E" w:rsidRDefault="00195BE7" w:rsidP="00195BE7">
            <w:pPr>
              <w:spacing w:line="240" w:lineRule="exact"/>
              <w:jc w:val="center"/>
              <w:rPr>
                <w:b/>
                <w:bCs/>
                <w:sz w:val="16"/>
                <w:szCs w:val="16"/>
              </w:rPr>
            </w:pPr>
            <w:r w:rsidRPr="001E2F6E">
              <w:rPr>
                <w:b/>
                <w:bCs/>
                <w:sz w:val="16"/>
                <w:szCs w:val="16"/>
              </w:rPr>
              <w:t>%ber.</w:t>
            </w:r>
          </w:p>
        </w:tc>
        <w:tc>
          <w:tcPr>
            <w:tcW w:w="1276" w:type="dxa"/>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hideMark/>
          </w:tcPr>
          <w:p w:rsidR="00195BE7" w:rsidRPr="001E2F6E" w:rsidRDefault="00195BE7" w:rsidP="00195BE7">
            <w:pPr>
              <w:spacing w:line="240" w:lineRule="exact"/>
              <w:jc w:val="center"/>
              <w:rPr>
                <w:b/>
                <w:bCs/>
                <w:sz w:val="16"/>
                <w:szCs w:val="16"/>
              </w:rPr>
            </w:pPr>
            <w:r w:rsidRPr="001E2F6E">
              <w:rPr>
                <w:b/>
                <w:bCs/>
                <w:sz w:val="16"/>
                <w:szCs w:val="16"/>
              </w:rPr>
              <w:t>z.a.</w:t>
            </w:r>
          </w:p>
        </w:tc>
        <w:tc>
          <w:tcPr>
            <w:tcW w:w="851" w:type="dxa"/>
            <w:tcBorders>
              <w:top w:val="single" w:sz="4" w:space="0" w:color="BFBFBF" w:themeColor="background1" w:themeShade="BF"/>
              <w:bottom w:val="single" w:sz="4" w:space="0" w:color="BFBFBF" w:themeColor="background1" w:themeShade="BF"/>
            </w:tcBorders>
            <w:shd w:val="clear" w:color="auto" w:fill="DBE5F1" w:themeFill="accent1" w:themeFillTint="33"/>
            <w:hideMark/>
          </w:tcPr>
          <w:p w:rsidR="00195BE7" w:rsidRPr="001E2F6E" w:rsidRDefault="00195BE7" w:rsidP="00195BE7">
            <w:pPr>
              <w:spacing w:line="240" w:lineRule="exact"/>
              <w:jc w:val="center"/>
              <w:rPr>
                <w:b/>
                <w:bCs/>
                <w:sz w:val="16"/>
                <w:szCs w:val="16"/>
              </w:rPr>
            </w:pPr>
            <w:r w:rsidRPr="001E2F6E">
              <w:rPr>
                <w:b/>
                <w:bCs/>
                <w:sz w:val="16"/>
                <w:szCs w:val="16"/>
              </w:rPr>
              <w:t>%ber.</w:t>
            </w:r>
          </w:p>
        </w:tc>
      </w:tr>
      <w:tr w:rsidR="00195BE7" w:rsidRPr="001E2F6E" w:rsidTr="00195BE7">
        <w:trPr>
          <w:jc w:val="center"/>
        </w:trPr>
        <w:tc>
          <w:tcPr>
            <w:tcW w:w="1128" w:type="dxa"/>
            <w:tcBorders>
              <w:right w:val="single" w:sz="4" w:space="0" w:color="BFBFBF" w:themeColor="background1" w:themeShade="BF"/>
            </w:tcBorders>
            <w:hideMark/>
          </w:tcPr>
          <w:p w:rsidR="00195BE7" w:rsidRPr="001E2F6E" w:rsidRDefault="00195BE7" w:rsidP="00195BE7">
            <w:pPr>
              <w:spacing w:line="240" w:lineRule="exact"/>
              <w:rPr>
                <w:rFonts w:eastAsia="Times New Roman"/>
                <w:color w:val="000000"/>
                <w:sz w:val="16"/>
                <w:szCs w:val="16"/>
                <w:lang w:eastAsia="es-ES"/>
              </w:rPr>
            </w:pPr>
            <w:r w:rsidRPr="001E2F6E">
              <w:rPr>
                <w:rFonts w:eastAsia="Times New Roman"/>
                <w:color w:val="000000"/>
                <w:sz w:val="16"/>
                <w:szCs w:val="16"/>
                <w:lang w:eastAsia="es-ES"/>
              </w:rPr>
              <w:t>Araba</w:t>
            </w:r>
          </w:p>
        </w:tc>
        <w:tc>
          <w:tcPr>
            <w:tcW w:w="1410" w:type="dxa"/>
            <w:tcBorders>
              <w:left w:val="single" w:sz="4" w:space="0" w:color="BFBFBF" w:themeColor="background1" w:themeShade="BF"/>
            </w:tcBorders>
            <w:vAlign w:val="bottom"/>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300.044.955</w:t>
            </w:r>
          </w:p>
        </w:tc>
        <w:tc>
          <w:tcPr>
            <w:tcW w:w="851" w:type="dxa"/>
            <w:tcBorders>
              <w:right w:val="single" w:sz="4" w:space="0" w:color="BFBFBF" w:themeColor="background1" w:themeShade="BF"/>
            </w:tcBorders>
            <w:vAlign w:val="bottom"/>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11,4</w:t>
            </w:r>
          </w:p>
        </w:tc>
        <w:tc>
          <w:tcPr>
            <w:tcW w:w="1410" w:type="dxa"/>
            <w:tcBorders>
              <w:left w:val="single" w:sz="4" w:space="0" w:color="BFBFBF" w:themeColor="background1" w:themeShade="BF"/>
            </w:tcBorders>
            <w:vAlign w:val="bottom"/>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277.439.644</w:t>
            </w:r>
          </w:p>
        </w:tc>
        <w:tc>
          <w:tcPr>
            <w:tcW w:w="851" w:type="dxa"/>
            <w:tcBorders>
              <w:right w:val="single" w:sz="4" w:space="0" w:color="BFBFBF" w:themeColor="background1" w:themeShade="BF"/>
            </w:tcBorders>
            <w:vAlign w:val="bottom"/>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11,6</w:t>
            </w:r>
          </w:p>
        </w:tc>
        <w:tc>
          <w:tcPr>
            <w:tcW w:w="1276" w:type="dxa"/>
            <w:tcBorders>
              <w:left w:val="single" w:sz="4" w:space="0" w:color="BFBFBF" w:themeColor="background1" w:themeShade="BF"/>
            </w:tcBorders>
            <w:vAlign w:val="bottom"/>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12.500.394</w:t>
            </w:r>
          </w:p>
        </w:tc>
        <w:tc>
          <w:tcPr>
            <w:tcW w:w="851" w:type="dxa"/>
            <w:tcBorders>
              <w:right w:val="single" w:sz="4" w:space="0" w:color="BFBFBF" w:themeColor="background1" w:themeShade="BF"/>
            </w:tcBorders>
            <w:vAlign w:val="bottom"/>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8,5</w:t>
            </w:r>
          </w:p>
        </w:tc>
        <w:tc>
          <w:tcPr>
            <w:tcW w:w="1276" w:type="dxa"/>
            <w:tcBorders>
              <w:left w:val="single" w:sz="4" w:space="0" w:color="BFBFBF" w:themeColor="background1" w:themeShade="BF"/>
            </w:tcBorders>
            <w:vAlign w:val="bottom"/>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10.104.917</w:t>
            </w:r>
          </w:p>
        </w:tc>
        <w:tc>
          <w:tcPr>
            <w:tcW w:w="851" w:type="dxa"/>
            <w:vAlign w:val="bottom"/>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9,9</w:t>
            </w:r>
          </w:p>
        </w:tc>
      </w:tr>
      <w:tr w:rsidR="00195BE7" w:rsidRPr="001E2F6E" w:rsidTr="00195BE7">
        <w:trPr>
          <w:jc w:val="center"/>
        </w:trPr>
        <w:tc>
          <w:tcPr>
            <w:tcW w:w="1128" w:type="dxa"/>
            <w:tcBorders>
              <w:right w:val="single" w:sz="4" w:space="0" w:color="BFBFBF" w:themeColor="background1" w:themeShade="BF"/>
            </w:tcBorders>
            <w:hideMark/>
          </w:tcPr>
          <w:p w:rsidR="00195BE7" w:rsidRPr="001E2F6E" w:rsidRDefault="00195BE7" w:rsidP="00195BE7">
            <w:pPr>
              <w:spacing w:line="240" w:lineRule="exact"/>
              <w:rPr>
                <w:rFonts w:eastAsia="Times New Roman"/>
                <w:color w:val="000000"/>
                <w:sz w:val="16"/>
                <w:szCs w:val="16"/>
                <w:lang w:eastAsia="es-ES"/>
              </w:rPr>
            </w:pPr>
            <w:r w:rsidRPr="001E2F6E">
              <w:rPr>
                <w:rFonts w:eastAsia="Times New Roman"/>
                <w:color w:val="000000"/>
                <w:sz w:val="16"/>
                <w:szCs w:val="16"/>
                <w:lang w:eastAsia="es-ES"/>
              </w:rPr>
              <w:t>Bizkaia</w:t>
            </w:r>
          </w:p>
        </w:tc>
        <w:tc>
          <w:tcPr>
            <w:tcW w:w="1410" w:type="dxa"/>
            <w:tcBorders>
              <w:left w:val="single" w:sz="4" w:space="0" w:color="BFBFBF" w:themeColor="background1" w:themeShade="BF"/>
            </w:tcBorders>
            <w:vAlign w:val="bottom"/>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830.004.114</w:t>
            </w:r>
          </w:p>
        </w:tc>
        <w:tc>
          <w:tcPr>
            <w:tcW w:w="851" w:type="dxa"/>
            <w:tcBorders>
              <w:right w:val="single" w:sz="4" w:space="0" w:color="BFBFBF" w:themeColor="background1" w:themeShade="BF"/>
            </w:tcBorders>
            <w:vAlign w:val="bottom"/>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31,4</w:t>
            </w:r>
          </w:p>
        </w:tc>
        <w:tc>
          <w:tcPr>
            <w:tcW w:w="1410" w:type="dxa"/>
            <w:tcBorders>
              <w:left w:val="single" w:sz="4" w:space="0" w:color="BFBFBF" w:themeColor="background1" w:themeShade="BF"/>
            </w:tcBorders>
            <w:vAlign w:val="bottom"/>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716.281.812</w:t>
            </w:r>
          </w:p>
        </w:tc>
        <w:tc>
          <w:tcPr>
            <w:tcW w:w="851" w:type="dxa"/>
            <w:tcBorders>
              <w:right w:val="single" w:sz="4" w:space="0" w:color="BFBFBF" w:themeColor="background1" w:themeShade="BF"/>
            </w:tcBorders>
            <w:vAlign w:val="bottom"/>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29,9</w:t>
            </w:r>
          </w:p>
        </w:tc>
        <w:tc>
          <w:tcPr>
            <w:tcW w:w="1276" w:type="dxa"/>
            <w:tcBorders>
              <w:left w:val="single" w:sz="4" w:space="0" w:color="BFBFBF" w:themeColor="background1" w:themeShade="BF"/>
            </w:tcBorders>
            <w:vAlign w:val="bottom"/>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71.256.168</w:t>
            </w:r>
          </w:p>
        </w:tc>
        <w:tc>
          <w:tcPr>
            <w:tcW w:w="851" w:type="dxa"/>
            <w:tcBorders>
              <w:right w:val="single" w:sz="4" w:space="0" w:color="BFBFBF" w:themeColor="background1" w:themeShade="BF"/>
            </w:tcBorders>
            <w:vAlign w:val="bottom"/>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48,6</w:t>
            </w:r>
          </w:p>
        </w:tc>
        <w:tc>
          <w:tcPr>
            <w:tcW w:w="1276" w:type="dxa"/>
            <w:tcBorders>
              <w:left w:val="single" w:sz="4" w:space="0" w:color="BFBFBF" w:themeColor="background1" w:themeShade="BF"/>
            </w:tcBorders>
            <w:vAlign w:val="bottom"/>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42.466.134</w:t>
            </w:r>
          </w:p>
        </w:tc>
        <w:tc>
          <w:tcPr>
            <w:tcW w:w="851" w:type="dxa"/>
            <w:vAlign w:val="bottom"/>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41,5</w:t>
            </w:r>
          </w:p>
        </w:tc>
      </w:tr>
      <w:tr w:rsidR="00195BE7" w:rsidRPr="001E2F6E" w:rsidTr="00195BE7">
        <w:trPr>
          <w:jc w:val="center"/>
        </w:trPr>
        <w:tc>
          <w:tcPr>
            <w:tcW w:w="1128" w:type="dxa"/>
            <w:tcBorders>
              <w:bottom w:val="single" w:sz="4" w:space="0" w:color="BFBFBF" w:themeColor="background1" w:themeShade="BF"/>
              <w:right w:val="single" w:sz="4" w:space="0" w:color="BFBFBF" w:themeColor="background1" w:themeShade="BF"/>
            </w:tcBorders>
            <w:hideMark/>
          </w:tcPr>
          <w:p w:rsidR="00195BE7" w:rsidRPr="001E2F6E" w:rsidRDefault="00195BE7" w:rsidP="00195BE7">
            <w:pPr>
              <w:spacing w:line="240" w:lineRule="exact"/>
              <w:rPr>
                <w:rFonts w:eastAsia="Times New Roman"/>
                <w:color w:val="000000"/>
                <w:sz w:val="16"/>
                <w:szCs w:val="16"/>
                <w:lang w:eastAsia="es-ES"/>
              </w:rPr>
            </w:pPr>
            <w:r w:rsidRPr="001E2F6E">
              <w:rPr>
                <w:rFonts w:eastAsia="Times New Roman"/>
                <w:color w:val="000000"/>
                <w:sz w:val="16"/>
                <w:szCs w:val="16"/>
                <w:lang w:eastAsia="es-ES"/>
              </w:rPr>
              <w:t>Gipuzkoa</w:t>
            </w:r>
          </w:p>
        </w:tc>
        <w:tc>
          <w:tcPr>
            <w:tcW w:w="1410" w:type="dxa"/>
            <w:tcBorders>
              <w:left w:val="single" w:sz="4" w:space="0" w:color="BFBFBF" w:themeColor="background1" w:themeShade="BF"/>
              <w:bottom w:val="single" w:sz="4" w:space="0" w:color="BFBFBF" w:themeColor="background1" w:themeShade="BF"/>
            </w:tcBorders>
            <w:vAlign w:val="bottom"/>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1.513.325.499</w:t>
            </w:r>
          </w:p>
        </w:tc>
        <w:tc>
          <w:tcPr>
            <w:tcW w:w="851" w:type="dxa"/>
            <w:tcBorders>
              <w:bottom w:val="single" w:sz="4" w:space="0" w:color="BFBFBF" w:themeColor="background1" w:themeShade="BF"/>
              <w:right w:val="single" w:sz="4" w:space="0" w:color="BFBFBF" w:themeColor="background1" w:themeShade="BF"/>
            </w:tcBorders>
            <w:vAlign w:val="bottom"/>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57,2</w:t>
            </w:r>
          </w:p>
        </w:tc>
        <w:tc>
          <w:tcPr>
            <w:tcW w:w="1410" w:type="dxa"/>
            <w:tcBorders>
              <w:left w:val="single" w:sz="4" w:space="0" w:color="BFBFBF" w:themeColor="background1" w:themeShade="BF"/>
              <w:bottom w:val="single" w:sz="4" w:space="0" w:color="BFBFBF" w:themeColor="background1" w:themeShade="BF"/>
            </w:tcBorders>
            <w:vAlign w:val="bottom"/>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1.400.591.155</w:t>
            </w:r>
          </w:p>
        </w:tc>
        <w:tc>
          <w:tcPr>
            <w:tcW w:w="851" w:type="dxa"/>
            <w:tcBorders>
              <w:bottom w:val="single" w:sz="4" w:space="0" w:color="BFBFBF" w:themeColor="background1" w:themeShade="BF"/>
              <w:right w:val="single" w:sz="4" w:space="0" w:color="BFBFBF" w:themeColor="background1" w:themeShade="BF"/>
            </w:tcBorders>
            <w:vAlign w:val="bottom"/>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58,5</w:t>
            </w:r>
          </w:p>
        </w:tc>
        <w:tc>
          <w:tcPr>
            <w:tcW w:w="1276" w:type="dxa"/>
            <w:tcBorders>
              <w:left w:val="single" w:sz="4" w:space="0" w:color="BFBFBF" w:themeColor="background1" w:themeShade="BF"/>
              <w:bottom w:val="single" w:sz="4" w:space="0" w:color="BFBFBF" w:themeColor="background1" w:themeShade="BF"/>
            </w:tcBorders>
            <w:vAlign w:val="bottom"/>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62.959.301</w:t>
            </w:r>
          </w:p>
        </w:tc>
        <w:tc>
          <w:tcPr>
            <w:tcW w:w="851" w:type="dxa"/>
            <w:tcBorders>
              <w:bottom w:val="single" w:sz="4" w:space="0" w:color="BFBFBF" w:themeColor="background1" w:themeShade="BF"/>
              <w:right w:val="single" w:sz="4" w:space="0" w:color="BFBFBF" w:themeColor="background1" w:themeShade="BF"/>
            </w:tcBorders>
            <w:vAlign w:val="bottom"/>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42,9</w:t>
            </w:r>
          </w:p>
        </w:tc>
        <w:tc>
          <w:tcPr>
            <w:tcW w:w="1276" w:type="dxa"/>
            <w:tcBorders>
              <w:left w:val="single" w:sz="4" w:space="0" w:color="BFBFBF" w:themeColor="background1" w:themeShade="BF"/>
              <w:bottom w:val="single" w:sz="4" w:space="0" w:color="BFBFBF" w:themeColor="background1" w:themeShade="BF"/>
            </w:tcBorders>
            <w:vAlign w:val="bottom"/>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49.775.043</w:t>
            </w:r>
          </w:p>
        </w:tc>
        <w:tc>
          <w:tcPr>
            <w:tcW w:w="851" w:type="dxa"/>
            <w:tcBorders>
              <w:bottom w:val="single" w:sz="4" w:space="0" w:color="BFBFBF" w:themeColor="background1" w:themeShade="BF"/>
            </w:tcBorders>
            <w:vAlign w:val="bottom"/>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48,6</w:t>
            </w:r>
          </w:p>
        </w:tc>
      </w:tr>
      <w:tr w:rsidR="00195BE7" w:rsidRPr="001E2F6E" w:rsidTr="00195BE7">
        <w:trPr>
          <w:jc w:val="center"/>
        </w:trPr>
        <w:tc>
          <w:tcPr>
            <w:tcW w:w="1128" w:type="dxa"/>
            <w:tcBorders>
              <w:top w:val="single" w:sz="4" w:space="0" w:color="BFBFBF" w:themeColor="background1" w:themeShade="BF"/>
              <w:bottom w:val="single" w:sz="4" w:space="0" w:color="BFBFBF" w:themeColor="background1" w:themeShade="BF"/>
              <w:right w:val="single" w:sz="4" w:space="0" w:color="BFBFBF" w:themeColor="background1" w:themeShade="BF"/>
            </w:tcBorders>
            <w:hideMark/>
          </w:tcPr>
          <w:p w:rsidR="00195BE7" w:rsidRPr="001E2F6E" w:rsidRDefault="00195BE7" w:rsidP="00195BE7">
            <w:pPr>
              <w:spacing w:line="240" w:lineRule="exact"/>
              <w:rPr>
                <w:rFonts w:eastAsia="Times New Roman"/>
                <w:b/>
                <w:bCs/>
                <w:color w:val="000000"/>
                <w:sz w:val="16"/>
                <w:szCs w:val="16"/>
                <w:lang w:eastAsia="es-ES"/>
              </w:rPr>
            </w:pPr>
            <w:r w:rsidRPr="001E2F6E">
              <w:rPr>
                <w:rFonts w:eastAsia="Times New Roman"/>
                <w:b/>
                <w:bCs/>
                <w:color w:val="000000"/>
                <w:sz w:val="16"/>
                <w:szCs w:val="16"/>
                <w:lang w:eastAsia="es-ES"/>
              </w:rPr>
              <w:t>GUZTIRA</w:t>
            </w:r>
          </w:p>
        </w:tc>
        <w:tc>
          <w:tcPr>
            <w:tcW w:w="1410" w:type="dxa"/>
            <w:tcBorders>
              <w:top w:val="single" w:sz="4" w:space="0" w:color="BFBFBF" w:themeColor="background1" w:themeShade="BF"/>
              <w:left w:val="single" w:sz="4" w:space="0" w:color="BFBFBF" w:themeColor="background1" w:themeShade="BF"/>
              <w:bottom w:val="single" w:sz="4" w:space="0" w:color="BFBFBF" w:themeColor="background1" w:themeShade="BF"/>
            </w:tcBorders>
            <w:vAlign w:val="bottom"/>
            <w:hideMark/>
          </w:tcPr>
          <w:p w:rsidR="00195BE7" w:rsidRPr="001E2F6E" w:rsidRDefault="00195BE7" w:rsidP="00195BE7">
            <w:pPr>
              <w:spacing w:line="240" w:lineRule="exact"/>
              <w:ind w:right="170"/>
              <w:jc w:val="right"/>
              <w:rPr>
                <w:b/>
                <w:bCs/>
                <w:color w:val="000000"/>
                <w:sz w:val="16"/>
                <w:szCs w:val="16"/>
              </w:rPr>
            </w:pPr>
            <w:r w:rsidRPr="001E2F6E">
              <w:rPr>
                <w:b/>
                <w:bCs/>
                <w:color w:val="000000"/>
                <w:sz w:val="16"/>
                <w:szCs w:val="16"/>
              </w:rPr>
              <w:t>2.643.374.568</w:t>
            </w:r>
          </w:p>
        </w:tc>
        <w:tc>
          <w:tcPr>
            <w:tcW w:w="851" w:type="dxa"/>
            <w:tcBorders>
              <w:top w:val="single" w:sz="4" w:space="0" w:color="BFBFBF" w:themeColor="background1" w:themeShade="BF"/>
              <w:bottom w:val="single" w:sz="4" w:space="0" w:color="BFBFBF" w:themeColor="background1" w:themeShade="BF"/>
              <w:right w:val="single" w:sz="4" w:space="0" w:color="BFBFBF" w:themeColor="background1" w:themeShade="BF"/>
            </w:tcBorders>
            <w:vAlign w:val="bottom"/>
            <w:hideMark/>
          </w:tcPr>
          <w:p w:rsidR="00195BE7" w:rsidRPr="001E2F6E" w:rsidRDefault="00195BE7" w:rsidP="00195BE7">
            <w:pPr>
              <w:spacing w:line="240" w:lineRule="exact"/>
              <w:ind w:right="170"/>
              <w:jc w:val="right"/>
              <w:rPr>
                <w:b/>
                <w:bCs/>
                <w:color w:val="000000"/>
                <w:sz w:val="16"/>
                <w:szCs w:val="16"/>
              </w:rPr>
            </w:pPr>
            <w:r w:rsidRPr="001E2F6E">
              <w:rPr>
                <w:b/>
                <w:bCs/>
                <w:color w:val="000000"/>
                <w:sz w:val="16"/>
                <w:szCs w:val="16"/>
              </w:rPr>
              <w:t>100</w:t>
            </w:r>
          </w:p>
        </w:tc>
        <w:tc>
          <w:tcPr>
            <w:tcW w:w="1410" w:type="dxa"/>
            <w:tcBorders>
              <w:top w:val="single" w:sz="4" w:space="0" w:color="BFBFBF" w:themeColor="background1" w:themeShade="BF"/>
              <w:left w:val="single" w:sz="4" w:space="0" w:color="BFBFBF" w:themeColor="background1" w:themeShade="BF"/>
              <w:bottom w:val="single" w:sz="4" w:space="0" w:color="BFBFBF" w:themeColor="background1" w:themeShade="BF"/>
            </w:tcBorders>
            <w:vAlign w:val="bottom"/>
            <w:hideMark/>
          </w:tcPr>
          <w:p w:rsidR="00195BE7" w:rsidRPr="001E2F6E" w:rsidRDefault="00195BE7" w:rsidP="00195BE7">
            <w:pPr>
              <w:spacing w:line="240" w:lineRule="exact"/>
              <w:ind w:right="170"/>
              <w:jc w:val="right"/>
              <w:rPr>
                <w:b/>
                <w:bCs/>
                <w:color w:val="000000"/>
                <w:sz w:val="16"/>
                <w:szCs w:val="16"/>
              </w:rPr>
            </w:pPr>
            <w:r w:rsidRPr="001E2F6E">
              <w:rPr>
                <w:b/>
                <w:bCs/>
                <w:color w:val="000000"/>
                <w:sz w:val="16"/>
                <w:szCs w:val="16"/>
              </w:rPr>
              <w:t>2.394.312.612</w:t>
            </w:r>
          </w:p>
        </w:tc>
        <w:tc>
          <w:tcPr>
            <w:tcW w:w="851" w:type="dxa"/>
            <w:tcBorders>
              <w:top w:val="single" w:sz="4" w:space="0" w:color="BFBFBF" w:themeColor="background1" w:themeShade="BF"/>
              <w:bottom w:val="single" w:sz="4" w:space="0" w:color="BFBFBF" w:themeColor="background1" w:themeShade="BF"/>
              <w:right w:val="single" w:sz="4" w:space="0" w:color="BFBFBF" w:themeColor="background1" w:themeShade="BF"/>
            </w:tcBorders>
            <w:vAlign w:val="bottom"/>
            <w:hideMark/>
          </w:tcPr>
          <w:p w:rsidR="00195BE7" w:rsidRPr="001E2F6E" w:rsidRDefault="00195BE7" w:rsidP="00195BE7">
            <w:pPr>
              <w:spacing w:line="240" w:lineRule="exact"/>
              <w:ind w:right="170"/>
              <w:jc w:val="right"/>
              <w:rPr>
                <w:b/>
                <w:bCs/>
                <w:color w:val="000000"/>
                <w:sz w:val="16"/>
                <w:szCs w:val="16"/>
              </w:rPr>
            </w:pPr>
            <w:r w:rsidRPr="001E2F6E">
              <w:rPr>
                <w:b/>
                <w:bCs/>
                <w:color w:val="000000"/>
                <w:sz w:val="16"/>
                <w:szCs w:val="16"/>
              </w:rPr>
              <w:t>100</w:t>
            </w:r>
          </w:p>
        </w:tc>
        <w:tc>
          <w:tcPr>
            <w:tcW w:w="1276" w:type="dxa"/>
            <w:tcBorders>
              <w:top w:val="single" w:sz="4" w:space="0" w:color="BFBFBF" w:themeColor="background1" w:themeShade="BF"/>
              <w:left w:val="single" w:sz="4" w:space="0" w:color="BFBFBF" w:themeColor="background1" w:themeShade="BF"/>
              <w:bottom w:val="single" w:sz="4" w:space="0" w:color="BFBFBF" w:themeColor="background1" w:themeShade="BF"/>
            </w:tcBorders>
            <w:vAlign w:val="bottom"/>
            <w:hideMark/>
          </w:tcPr>
          <w:p w:rsidR="00195BE7" w:rsidRPr="001E2F6E" w:rsidRDefault="00195BE7" w:rsidP="00195BE7">
            <w:pPr>
              <w:spacing w:line="240" w:lineRule="exact"/>
              <w:ind w:right="170"/>
              <w:jc w:val="right"/>
              <w:rPr>
                <w:b/>
                <w:bCs/>
                <w:color w:val="000000"/>
                <w:sz w:val="16"/>
                <w:szCs w:val="16"/>
              </w:rPr>
            </w:pPr>
            <w:r w:rsidRPr="001E2F6E">
              <w:rPr>
                <w:b/>
                <w:bCs/>
                <w:color w:val="000000"/>
                <w:sz w:val="16"/>
                <w:szCs w:val="16"/>
              </w:rPr>
              <w:t>146.715.863</w:t>
            </w:r>
          </w:p>
        </w:tc>
        <w:tc>
          <w:tcPr>
            <w:tcW w:w="851" w:type="dxa"/>
            <w:tcBorders>
              <w:top w:val="single" w:sz="4" w:space="0" w:color="BFBFBF" w:themeColor="background1" w:themeShade="BF"/>
              <w:bottom w:val="single" w:sz="4" w:space="0" w:color="BFBFBF" w:themeColor="background1" w:themeShade="BF"/>
              <w:right w:val="single" w:sz="4" w:space="0" w:color="BFBFBF" w:themeColor="background1" w:themeShade="BF"/>
            </w:tcBorders>
            <w:vAlign w:val="bottom"/>
            <w:hideMark/>
          </w:tcPr>
          <w:p w:rsidR="00195BE7" w:rsidRPr="001E2F6E" w:rsidRDefault="00195BE7" w:rsidP="00195BE7">
            <w:pPr>
              <w:spacing w:line="240" w:lineRule="exact"/>
              <w:ind w:right="170"/>
              <w:jc w:val="right"/>
              <w:rPr>
                <w:b/>
                <w:bCs/>
                <w:color w:val="000000"/>
                <w:sz w:val="16"/>
                <w:szCs w:val="16"/>
              </w:rPr>
            </w:pPr>
            <w:r w:rsidRPr="001E2F6E">
              <w:rPr>
                <w:b/>
                <w:bCs/>
                <w:snapToGrid w:val="0"/>
                <w:color w:val="000000"/>
                <w:sz w:val="16"/>
                <w:szCs w:val="16"/>
              </w:rPr>
              <w:t>100</w:t>
            </w:r>
          </w:p>
        </w:tc>
        <w:tc>
          <w:tcPr>
            <w:tcW w:w="1276" w:type="dxa"/>
            <w:tcBorders>
              <w:top w:val="single" w:sz="4" w:space="0" w:color="BFBFBF" w:themeColor="background1" w:themeShade="BF"/>
              <w:left w:val="single" w:sz="4" w:space="0" w:color="BFBFBF" w:themeColor="background1" w:themeShade="BF"/>
              <w:bottom w:val="single" w:sz="4" w:space="0" w:color="BFBFBF" w:themeColor="background1" w:themeShade="BF"/>
            </w:tcBorders>
            <w:vAlign w:val="bottom"/>
            <w:hideMark/>
          </w:tcPr>
          <w:p w:rsidR="00195BE7" w:rsidRPr="001E2F6E" w:rsidRDefault="00195BE7" w:rsidP="00195BE7">
            <w:pPr>
              <w:spacing w:line="240" w:lineRule="exact"/>
              <w:ind w:right="170"/>
              <w:jc w:val="right"/>
              <w:rPr>
                <w:b/>
                <w:bCs/>
                <w:color w:val="000000"/>
                <w:sz w:val="16"/>
                <w:szCs w:val="16"/>
              </w:rPr>
            </w:pPr>
            <w:r w:rsidRPr="001E2F6E">
              <w:rPr>
                <w:b/>
                <w:bCs/>
                <w:color w:val="000000"/>
                <w:sz w:val="16"/>
                <w:szCs w:val="16"/>
              </w:rPr>
              <w:t>102.346.094</w:t>
            </w:r>
          </w:p>
        </w:tc>
        <w:tc>
          <w:tcPr>
            <w:tcW w:w="851" w:type="dxa"/>
            <w:tcBorders>
              <w:top w:val="single" w:sz="4" w:space="0" w:color="BFBFBF" w:themeColor="background1" w:themeShade="BF"/>
              <w:bottom w:val="single" w:sz="4" w:space="0" w:color="BFBFBF" w:themeColor="background1" w:themeShade="BF"/>
            </w:tcBorders>
            <w:vAlign w:val="bottom"/>
            <w:hideMark/>
          </w:tcPr>
          <w:p w:rsidR="00195BE7" w:rsidRPr="001E2F6E" w:rsidRDefault="00195BE7" w:rsidP="00195BE7">
            <w:pPr>
              <w:spacing w:line="240" w:lineRule="exact"/>
              <w:ind w:right="170"/>
              <w:jc w:val="right"/>
              <w:rPr>
                <w:b/>
                <w:bCs/>
                <w:color w:val="000000"/>
                <w:sz w:val="16"/>
                <w:szCs w:val="16"/>
              </w:rPr>
            </w:pPr>
            <w:r w:rsidRPr="001E2F6E">
              <w:rPr>
                <w:b/>
                <w:bCs/>
                <w:snapToGrid w:val="0"/>
                <w:color w:val="000000"/>
                <w:sz w:val="16"/>
                <w:szCs w:val="16"/>
              </w:rPr>
              <w:t>100</w:t>
            </w:r>
          </w:p>
        </w:tc>
      </w:tr>
    </w:tbl>
    <w:p w:rsidR="00195BE7" w:rsidRPr="001E2F6E" w:rsidRDefault="00195BE7" w:rsidP="00195BE7">
      <w:pPr>
        <w:spacing w:line="240" w:lineRule="auto"/>
        <w:jc w:val="center"/>
        <w:rPr>
          <w:b/>
          <w:color w:val="1F497D" w:themeColor="text2"/>
          <w:sz w:val="18"/>
          <w:szCs w:val="18"/>
        </w:rPr>
      </w:pPr>
    </w:p>
    <w:p w:rsidR="00195BE7" w:rsidRPr="001E2F6E" w:rsidRDefault="00195BE7" w:rsidP="00195BE7"/>
    <w:p w:rsidR="00195BE7" w:rsidRPr="001E2F6E" w:rsidRDefault="00195BE7" w:rsidP="00195BE7">
      <w:pPr>
        <w:spacing w:line="240" w:lineRule="auto"/>
        <w:jc w:val="center"/>
        <w:rPr>
          <w:b/>
          <w:color w:val="1F497D" w:themeColor="text2"/>
          <w:sz w:val="18"/>
          <w:szCs w:val="18"/>
        </w:rPr>
      </w:pPr>
      <w:bookmarkStart w:id="170" w:name="_Toc391989114"/>
      <w:bookmarkStart w:id="171" w:name="_Toc392585779"/>
      <w:r w:rsidRPr="001E2F6E">
        <w:rPr>
          <w:b/>
          <w:color w:val="1F497D" w:themeColor="text2"/>
          <w:sz w:val="18"/>
          <w:szCs w:val="18"/>
        </w:rPr>
        <w:t>1.</w:t>
      </w:r>
      <w:r w:rsidR="00EB6BA6" w:rsidRPr="001E2F6E">
        <w:rPr>
          <w:b/>
          <w:color w:val="1F497D" w:themeColor="text2"/>
          <w:sz w:val="18"/>
          <w:szCs w:val="18"/>
        </w:rPr>
        <w:fldChar w:fldCharType="begin"/>
      </w:r>
      <w:r w:rsidRPr="001E2F6E">
        <w:rPr>
          <w:b/>
          <w:color w:val="1F497D" w:themeColor="text2"/>
          <w:sz w:val="18"/>
          <w:szCs w:val="18"/>
        </w:rPr>
        <w:instrText xml:space="preserve"> SEQ Cuadro_1. \* ARABIC </w:instrText>
      </w:r>
      <w:r w:rsidR="00EB6BA6" w:rsidRPr="001E2F6E">
        <w:rPr>
          <w:b/>
          <w:color w:val="1F497D" w:themeColor="text2"/>
          <w:sz w:val="18"/>
          <w:szCs w:val="18"/>
        </w:rPr>
        <w:fldChar w:fldCharType="separate"/>
      </w:r>
      <w:r w:rsidR="00A327D4">
        <w:rPr>
          <w:b/>
          <w:noProof/>
          <w:color w:val="1F497D" w:themeColor="text2"/>
          <w:sz w:val="18"/>
          <w:szCs w:val="18"/>
        </w:rPr>
        <w:t>44</w:t>
      </w:r>
      <w:r w:rsidR="00EB6BA6" w:rsidRPr="001E2F6E">
        <w:rPr>
          <w:b/>
          <w:color w:val="1F497D" w:themeColor="text2"/>
          <w:sz w:val="18"/>
          <w:szCs w:val="18"/>
        </w:rPr>
        <w:fldChar w:fldCharType="end"/>
      </w:r>
      <w:r w:rsidRPr="001E2F6E">
        <w:rPr>
          <w:b/>
          <w:color w:val="1F497D" w:themeColor="text2"/>
          <w:sz w:val="18"/>
          <w:szCs w:val="18"/>
        </w:rPr>
        <w:t xml:space="preserve"> Taula BEGd BALIOAREN LURRALDE-BANAKETA, FORMA JURIDIKOAREN ARABERA. 2012 (% horizontalak.)</w:t>
      </w:r>
      <w:bookmarkEnd w:id="170"/>
      <w:bookmarkEnd w:id="171"/>
    </w:p>
    <w:tbl>
      <w:tblPr>
        <w:tblW w:w="5000" w:type="pct"/>
        <w:jc w:val="center"/>
        <w:tblCellMar>
          <w:left w:w="70" w:type="dxa"/>
          <w:right w:w="70" w:type="dxa"/>
        </w:tblCellMar>
        <w:tblLook w:val="04A0" w:firstRow="1" w:lastRow="0" w:firstColumn="1" w:lastColumn="0" w:noHBand="0" w:noVBand="1"/>
      </w:tblPr>
      <w:tblGrid>
        <w:gridCol w:w="1864"/>
        <w:gridCol w:w="1670"/>
        <w:gridCol w:w="1696"/>
        <w:gridCol w:w="2002"/>
        <w:gridCol w:w="1696"/>
      </w:tblGrid>
      <w:tr w:rsidR="00195BE7" w:rsidRPr="001E2F6E" w:rsidTr="00195BE7">
        <w:trPr>
          <w:trHeight w:val="20"/>
          <w:jc w:val="center"/>
        </w:trPr>
        <w:tc>
          <w:tcPr>
            <w:tcW w:w="1044" w:type="pct"/>
            <w:tcBorders>
              <w:top w:val="single" w:sz="8" w:space="0" w:color="BFBFBF"/>
              <w:left w:val="nil"/>
              <w:bottom w:val="single" w:sz="8" w:space="0" w:color="BFBFBF"/>
              <w:right w:val="single" w:sz="8" w:space="0" w:color="BFBFBF"/>
            </w:tcBorders>
            <w:shd w:val="clear" w:color="000000" w:fill="DBE5F1"/>
            <w:hideMark/>
          </w:tcPr>
          <w:p w:rsidR="00195BE7" w:rsidRPr="001E2F6E" w:rsidRDefault="00195BE7" w:rsidP="00195BE7">
            <w:pPr>
              <w:spacing w:line="240" w:lineRule="exact"/>
              <w:rPr>
                <w:rFonts w:ascii="Calibri" w:hAnsi="Calibri"/>
                <w:color w:val="000000"/>
              </w:rPr>
            </w:pPr>
            <w:r w:rsidRPr="001E2F6E">
              <w:rPr>
                <w:rFonts w:ascii="Calibri" w:hAnsi="Calibri"/>
                <w:color w:val="000000"/>
              </w:rPr>
              <w:t> </w:t>
            </w:r>
          </w:p>
        </w:tc>
        <w:tc>
          <w:tcPr>
            <w:tcW w:w="935" w:type="pct"/>
            <w:tcBorders>
              <w:top w:val="single" w:sz="8" w:space="0" w:color="BFBFBF"/>
              <w:left w:val="nil"/>
              <w:bottom w:val="single" w:sz="8" w:space="0" w:color="BFBFBF"/>
              <w:right w:val="single" w:sz="8" w:space="0" w:color="BFBFBF"/>
            </w:tcBorders>
            <w:shd w:val="clear" w:color="000000" w:fill="DBE5F1"/>
            <w:hideMark/>
          </w:tcPr>
          <w:p w:rsidR="00195BE7" w:rsidRPr="001E2F6E" w:rsidRDefault="00195BE7" w:rsidP="00195BE7">
            <w:pPr>
              <w:spacing w:line="240" w:lineRule="exact"/>
              <w:jc w:val="center"/>
              <w:rPr>
                <w:rFonts w:eastAsia="Times New Roman"/>
                <w:b/>
                <w:bCs/>
                <w:color w:val="000000"/>
                <w:sz w:val="16"/>
                <w:szCs w:val="16"/>
                <w:lang w:eastAsia="es-ES"/>
              </w:rPr>
            </w:pPr>
            <w:r w:rsidRPr="001E2F6E">
              <w:rPr>
                <w:rFonts w:eastAsia="Times New Roman"/>
                <w:b/>
                <w:bCs/>
                <w:color w:val="000000"/>
                <w:sz w:val="16"/>
                <w:szCs w:val="16"/>
                <w:lang w:eastAsia="es-ES"/>
              </w:rPr>
              <w:t>GUZTIRA</w:t>
            </w:r>
          </w:p>
        </w:tc>
        <w:tc>
          <w:tcPr>
            <w:tcW w:w="950" w:type="pct"/>
            <w:tcBorders>
              <w:top w:val="single" w:sz="8" w:space="0" w:color="BFBFBF"/>
              <w:left w:val="nil"/>
              <w:bottom w:val="single" w:sz="8" w:space="0" w:color="BFBFBF"/>
              <w:right w:val="single" w:sz="8" w:space="0" w:color="BFBFBF"/>
            </w:tcBorders>
            <w:shd w:val="clear" w:color="000000" w:fill="DBE5F1"/>
            <w:hideMark/>
          </w:tcPr>
          <w:p w:rsidR="00195BE7" w:rsidRPr="001E2F6E" w:rsidRDefault="00195BE7" w:rsidP="00195BE7">
            <w:pPr>
              <w:spacing w:line="240" w:lineRule="exact"/>
              <w:jc w:val="center"/>
              <w:rPr>
                <w:b/>
                <w:bCs/>
                <w:sz w:val="16"/>
                <w:szCs w:val="16"/>
              </w:rPr>
            </w:pPr>
            <w:r w:rsidRPr="001E2F6E">
              <w:rPr>
                <w:b/>
                <w:bCs/>
                <w:sz w:val="16"/>
                <w:szCs w:val="16"/>
              </w:rPr>
              <w:t>Koop.</w:t>
            </w:r>
          </w:p>
        </w:tc>
        <w:tc>
          <w:tcPr>
            <w:tcW w:w="1121" w:type="pct"/>
            <w:tcBorders>
              <w:top w:val="single" w:sz="8" w:space="0" w:color="BFBFBF"/>
              <w:left w:val="nil"/>
              <w:bottom w:val="single" w:sz="8" w:space="0" w:color="BFBFBF"/>
              <w:right w:val="single" w:sz="8" w:space="0" w:color="BFBFBF"/>
            </w:tcBorders>
            <w:shd w:val="clear" w:color="000000" w:fill="DBE5F1"/>
            <w:hideMark/>
          </w:tcPr>
          <w:p w:rsidR="00195BE7" w:rsidRPr="001E2F6E" w:rsidRDefault="00195BE7" w:rsidP="00195BE7">
            <w:pPr>
              <w:spacing w:line="240" w:lineRule="exact"/>
              <w:jc w:val="center"/>
              <w:rPr>
                <w:b/>
                <w:bCs/>
                <w:sz w:val="16"/>
                <w:szCs w:val="16"/>
              </w:rPr>
            </w:pPr>
            <w:r w:rsidRPr="001E2F6E">
              <w:rPr>
                <w:b/>
                <w:bCs/>
                <w:sz w:val="16"/>
                <w:szCs w:val="16"/>
                <w:lang w:val="en-GB"/>
              </w:rPr>
              <w:t>LSA</w:t>
            </w:r>
          </w:p>
        </w:tc>
        <w:tc>
          <w:tcPr>
            <w:tcW w:w="950" w:type="pct"/>
            <w:tcBorders>
              <w:top w:val="single" w:sz="8" w:space="0" w:color="BFBFBF"/>
              <w:left w:val="nil"/>
              <w:bottom w:val="single" w:sz="8" w:space="0" w:color="BFBFBF"/>
              <w:right w:val="nil"/>
            </w:tcBorders>
            <w:shd w:val="clear" w:color="000000" w:fill="DBE5F1"/>
            <w:hideMark/>
          </w:tcPr>
          <w:p w:rsidR="00195BE7" w:rsidRPr="001E2F6E" w:rsidRDefault="00195BE7" w:rsidP="00195BE7">
            <w:pPr>
              <w:spacing w:line="240" w:lineRule="exact"/>
              <w:jc w:val="center"/>
              <w:rPr>
                <w:b/>
                <w:bCs/>
                <w:sz w:val="16"/>
                <w:szCs w:val="16"/>
              </w:rPr>
            </w:pPr>
            <w:r w:rsidRPr="001E2F6E">
              <w:rPr>
                <w:b/>
                <w:bCs/>
                <w:sz w:val="16"/>
                <w:szCs w:val="16"/>
                <w:lang w:val="en-GB"/>
              </w:rPr>
              <w:t>LSM</w:t>
            </w:r>
          </w:p>
        </w:tc>
      </w:tr>
      <w:tr w:rsidR="00195BE7" w:rsidRPr="001E2F6E" w:rsidTr="00195BE7">
        <w:trPr>
          <w:trHeight w:val="20"/>
          <w:jc w:val="center"/>
        </w:trPr>
        <w:tc>
          <w:tcPr>
            <w:tcW w:w="1044" w:type="pct"/>
            <w:tcBorders>
              <w:top w:val="nil"/>
              <w:left w:val="nil"/>
              <w:bottom w:val="nil"/>
              <w:right w:val="single" w:sz="8" w:space="0" w:color="BFBFBF"/>
            </w:tcBorders>
            <w:shd w:val="clear" w:color="auto" w:fill="auto"/>
            <w:hideMark/>
          </w:tcPr>
          <w:p w:rsidR="00195BE7" w:rsidRPr="001E2F6E" w:rsidRDefault="00195BE7" w:rsidP="00195BE7">
            <w:pPr>
              <w:spacing w:line="240" w:lineRule="exact"/>
              <w:rPr>
                <w:rFonts w:eastAsia="Times New Roman"/>
                <w:color w:val="000000"/>
                <w:sz w:val="16"/>
                <w:szCs w:val="16"/>
                <w:lang w:eastAsia="es-ES"/>
              </w:rPr>
            </w:pPr>
            <w:r w:rsidRPr="001E2F6E">
              <w:rPr>
                <w:rFonts w:eastAsia="Times New Roman"/>
                <w:color w:val="000000"/>
                <w:sz w:val="16"/>
                <w:szCs w:val="16"/>
                <w:lang w:eastAsia="es-ES"/>
              </w:rPr>
              <w:t>Araba</w:t>
            </w:r>
          </w:p>
        </w:tc>
        <w:tc>
          <w:tcPr>
            <w:tcW w:w="935" w:type="pct"/>
            <w:tcBorders>
              <w:top w:val="nil"/>
              <w:left w:val="nil"/>
              <w:bottom w:val="nil"/>
              <w:right w:val="single" w:sz="8" w:space="0" w:color="BFBFBF"/>
            </w:tcBorders>
            <w:shd w:val="clear" w:color="auto" w:fill="auto"/>
            <w:vAlign w:val="bottom"/>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100</w:t>
            </w:r>
          </w:p>
        </w:tc>
        <w:tc>
          <w:tcPr>
            <w:tcW w:w="950" w:type="pct"/>
            <w:tcBorders>
              <w:top w:val="nil"/>
              <w:left w:val="nil"/>
              <w:bottom w:val="nil"/>
              <w:right w:val="single" w:sz="8" w:space="0" w:color="BFBFBF"/>
            </w:tcBorders>
            <w:shd w:val="clear" w:color="auto" w:fill="auto"/>
            <w:vAlign w:val="bottom"/>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92,5</w:t>
            </w:r>
          </w:p>
        </w:tc>
        <w:tc>
          <w:tcPr>
            <w:tcW w:w="1121" w:type="pct"/>
            <w:tcBorders>
              <w:top w:val="nil"/>
              <w:left w:val="nil"/>
              <w:bottom w:val="nil"/>
              <w:right w:val="single" w:sz="8" w:space="0" w:color="BFBFBF"/>
            </w:tcBorders>
            <w:shd w:val="clear" w:color="auto" w:fill="auto"/>
            <w:vAlign w:val="bottom"/>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4,2</w:t>
            </w:r>
          </w:p>
        </w:tc>
        <w:tc>
          <w:tcPr>
            <w:tcW w:w="950" w:type="pct"/>
            <w:tcBorders>
              <w:top w:val="nil"/>
              <w:left w:val="nil"/>
              <w:bottom w:val="nil"/>
              <w:right w:val="nil"/>
            </w:tcBorders>
            <w:shd w:val="clear" w:color="auto" w:fill="auto"/>
            <w:vAlign w:val="bottom"/>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3,4</w:t>
            </w:r>
          </w:p>
        </w:tc>
      </w:tr>
      <w:tr w:rsidR="00195BE7" w:rsidRPr="001E2F6E" w:rsidTr="00195BE7">
        <w:trPr>
          <w:trHeight w:val="20"/>
          <w:jc w:val="center"/>
        </w:trPr>
        <w:tc>
          <w:tcPr>
            <w:tcW w:w="1044" w:type="pct"/>
            <w:tcBorders>
              <w:top w:val="nil"/>
              <w:left w:val="nil"/>
              <w:bottom w:val="nil"/>
              <w:right w:val="single" w:sz="8" w:space="0" w:color="BFBFBF"/>
            </w:tcBorders>
            <w:shd w:val="clear" w:color="auto" w:fill="auto"/>
            <w:hideMark/>
          </w:tcPr>
          <w:p w:rsidR="00195BE7" w:rsidRPr="001E2F6E" w:rsidRDefault="00195BE7" w:rsidP="00195BE7">
            <w:pPr>
              <w:spacing w:line="240" w:lineRule="exact"/>
              <w:rPr>
                <w:rFonts w:eastAsia="Times New Roman"/>
                <w:color w:val="000000"/>
                <w:sz w:val="16"/>
                <w:szCs w:val="16"/>
                <w:lang w:eastAsia="es-ES"/>
              </w:rPr>
            </w:pPr>
            <w:r w:rsidRPr="001E2F6E">
              <w:rPr>
                <w:rFonts w:eastAsia="Times New Roman"/>
                <w:color w:val="000000"/>
                <w:sz w:val="16"/>
                <w:szCs w:val="16"/>
                <w:lang w:eastAsia="es-ES"/>
              </w:rPr>
              <w:t>Bizkaia</w:t>
            </w:r>
          </w:p>
        </w:tc>
        <w:tc>
          <w:tcPr>
            <w:tcW w:w="935" w:type="pct"/>
            <w:tcBorders>
              <w:top w:val="nil"/>
              <w:left w:val="nil"/>
              <w:bottom w:val="nil"/>
              <w:right w:val="single" w:sz="8" w:space="0" w:color="BFBFBF"/>
            </w:tcBorders>
            <w:shd w:val="clear" w:color="auto" w:fill="auto"/>
            <w:vAlign w:val="bottom"/>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100</w:t>
            </w:r>
          </w:p>
        </w:tc>
        <w:tc>
          <w:tcPr>
            <w:tcW w:w="950" w:type="pct"/>
            <w:tcBorders>
              <w:top w:val="nil"/>
              <w:left w:val="nil"/>
              <w:bottom w:val="nil"/>
              <w:right w:val="single" w:sz="8" w:space="0" w:color="BFBFBF"/>
            </w:tcBorders>
            <w:shd w:val="clear" w:color="auto" w:fill="auto"/>
            <w:vAlign w:val="bottom"/>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86,3</w:t>
            </w:r>
          </w:p>
        </w:tc>
        <w:tc>
          <w:tcPr>
            <w:tcW w:w="1121" w:type="pct"/>
            <w:tcBorders>
              <w:top w:val="nil"/>
              <w:left w:val="nil"/>
              <w:bottom w:val="nil"/>
              <w:right w:val="single" w:sz="8" w:space="0" w:color="BFBFBF"/>
            </w:tcBorders>
            <w:shd w:val="clear" w:color="auto" w:fill="auto"/>
            <w:vAlign w:val="bottom"/>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8,6</w:t>
            </w:r>
          </w:p>
        </w:tc>
        <w:tc>
          <w:tcPr>
            <w:tcW w:w="950" w:type="pct"/>
            <w:tcBorders>
              <w:top w:val="nil"/>
              <w:left w:val="nil"/>
              <w:bottom w:val="nil"/>
              <w:right w:val="nil"/>
            </w:tcBorders>
            <w:shd w:val="clear" w:color="auto" w:fill="auto"/>
            <w:vAlign w:val="bottom"/>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5,1</w:t>
            </w:r>
          </w:p>
        </w:tc>
      </w:tr>
      <w:tr w:rsidR="00195BE7" w:rsidRPr="001E2F6E" w:rsidTr="00195BE7">
        <w:trPr>
          <w:trHeight w:val="20"/>
          <w:jc w:val="center"/>
        </w:trPr>
        <w:tc>
          <w:tcPr>
            <w:tcW w:w="1044" w:type="pct"/>
            <w:tcBorders>
              <w:top w:val="nil"/>
              <w:left w:val="nil"/>
              <w:bottom w:val="single" w:sz="8" w:space="0" w:color="BFBFBF"/>
              <w:right w:val="single" w:sz="8" w:space="0" w:color="BFBFBF"/>
            </w:tcBorders>
            <w:shd w:val="clear" w:color="auto" w:fill="auto"/>
            <w:hideMark/>
          </w:tcPr>
          <w:p w:rsidR="00195BE7" w:rsidRPr="001E2F6E" w:rsidRDefault="00195BE7" w:rsidP="00195BE7">
            <w:pPr>
              <w:spacing w:line="240" w:lineRule="exact"/>
              <w:rPr>
                <w:rFonts w:eastAsia="Times New Roman"/>
                <w:color w:val="000000"/>
                <w:sz w:val="16"/>
                <w:szCs w:val="16"/>
                <w:lang w:eastAsia="es-ES"/>
              </w:rPr>
            </w:pPr>
            <w:r w:rsidRPr="001E2F6E">
              <w:rPr>
                <w:rFonts w:eastAsia="Times New Roman"/>
                <w:color w:val="000000"/>
                <w:sz w:val="16"/>
                <w:szCs w:val="16"/>
                <w:lang w:eastAsia="es-ES"/>
              </w:rPr>
              <w:t>Gipuzkoa</w:t>
            </w:r>
          </w:p>
        </w:tc>
        <w:tc>
          <w:tcPr>
            <w:tcW w:w="935" w:type="pct"/>
            <w:tcBorders>
              <w:top w:val="nil"/>
              <w:left w:val="nil"/>
              <w:bottom w:val="single" w:sz="8" w:space="0" w:color="BFBFBF"/>
              <w:right w:val="single" w:sz="8" w:space="0" w:color="BFBFBF"/>
            </w:tcBorders>
            <w:shd w:val="clear" w:color="auto" w:fill="auto"/>
            <w:vAlign w:val="bottom"/>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100</w:t>
            </w:r>
          </w:p>
        </w:tc>
        <w:tc>
          <w:tcPr>
            <w:tcW w:w="950" w:type="pct"/>
            <w:tcBorders>
              <w:top w:val="nil"/>
              <w:left w:val="nil"/>
              <w:bottom w:val="single" w:sz="8" w:space="0" w:color="BFBFBF"/>
              <w:right w:val="single" w:sz="8" w:space="0" w:color="BFBFBF"/>
            </w:tcBorders>
            <w:shd w:val="clear" w:color="auto" w:fill="auto"/>
            <w:vAlign w:val="bottom"/>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92,6</w:t>
            </w:r>
          </w:p>
        </w:tc>
        <w:tc>
          <w:tcPr>
            <w:tcW w:w="1121" w:type="pct"/>
            <w:tcBorders>
              <w:top w:val="nil"/>
              <w:left w:val="nil"/>
              <w:bottom w:val="single" w:sz="8" w:space="0" w:color="BFBFBF"/>
              <w:right w:val="single" w:sz="8" w:space="0" w:color="BFBFBF"/>
            </w:tcBorders>
            <w:shd w:val="clear" w:color="auto" w:fill="auto"/>
            <w:vAlign w:val="bottom"/>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4,2</w:t>
            </w:r>
          </w:p>
        </w:tc>
        <w:tc>
          <w:tcPr>
            <w:tcW w:w="950" w:type="pct"/>
            <w:tcBorders>
              <w:top w:val="nil"/>
              <w:left w:val="nil"/>
              <w:bottom w:val="single" w:sz="8" w:space="0" w:color="BFBFBF"/>
              <w:right w:val="nil"/>
            </w:tcBorders>
            <w:shd w:val="clear" w:color="auto" w:fill="auto"/>
            <w:vAlign w:val="bottom"/>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3,3</w:t>
            </w:r>
          </w:p>
        </w:tc>
      </w:tr>
      <w:tr w:rsidR="00195BE7" w:rsidRPr="001E2F6E" w:rsidTr="00195BE7">
        <w:trPr>
          <w:trHeight w:val="20"/>
          <w:jc w:val="center"/>
        </w:trPr>
        <w:tc>
          <w:tcPr>
            <w:tcW w:w="1044" w:type="pct"/>
            <w:tcBorders>
              <w:top w:val="nil"/>
              <w:left w:val="nil"/>
              <w:bottom w:val="single" w:sz="8" w:space="0" w:color="BFBFBF"/>
              <w:right w:val="single" w:sz="8" w:space="0" w:color="BFBFBF"/>
            </w:tcBorders>
            <w:shd w:val="clear" w:color="auto" w:fill="auto"/>
            <w:hideMark/>
          </w:tcPr>
          <w:p w:rsidR="00195BE7" w:rsidRPr="001E2F6E" w:rsidRDefault="00195BE7" w:rsidP="00195BE7">
            <w:pPr>
              <w:spacing w:line="240" w:lineRule="exact"/>
              <w:rPr>
                <w:rFonts w:eastAsia="Times New Roman"/>
                <w:b/>
                <w:bCs/>
                <w:color w:val="000000"/>
                <w:sz w:val="16"/>
                <w:szCs w:val="16"/>
                <w:lang w:eastAsia="es-ES"/>
              </w:rPr>
            </w:pPr>
            <w:r w:rsidRPr="001E2F6E">
              <w:rPr>
                <w:rFonts w:eastAsia="Times New Roman"/>
                <w:b/>
                <w:bCs/>
                <w:color w:val="000000"/>
                <w:sz w:val="16"/>
                <w:szCs w:val="16"/>
                <w:lang w:eastAsia="es-ES"/>
              </w:rPr>
              <w:t>GUZTIRA</w:t>
            </w:r>
          </w:p>
        </w:tc>
        <w:tc>
          <w:tcPr>
            <w:tcW w:w="935" w:type="pct"/>
            <w:tcBorders>
              <w:top w:val="nil"/>
              <w:left w:val="nil"/>
              <w:bottom w:val="single" w:sz="8" w:space="0" w:color="BFBFBF"/>
              <w:right w:val="single" w:sz="8" w:space="0" w:color="BFBFBF"/>
            </w:tcBorders>
            <w:shd w:val="clear" w:color="auto" w:fill="auto"/>
            <w:vAlign w:val="bottom"/>
            <w:hideMark/>
          </w:tcPr>
          <w:p w:rsidR="00195BE7" w:rsidRPr="001E2F6E" w:rsidRDefault="00195BE7" w:rsidP="00195BE7">
            <w:pPr>
              <w:spacing w:line="240" w:lineRule="exact"/>
              <w:ind w:right="170"/>
              <w:jc w:val="right"/>
              <w:rPr>
                <w:b/>
                <w:bCs/>
                <w:color w:val="000000"/>
                <w:sz w:val="16"/>
                <w:szCs w:val="16"/>
              </w:rPr>
            </w:pPr>
            <w:r w:rsidRPr="001E2F6E">
              <w:rPr>
                <w:b/>
                <w:bCs/>
                <w:color w:val="000000"/>
                <w:sz w:val="16"/>
                <w:szCs w:val="16"/>
              </w:rPr>
              <w:t>100</w:t>
            </w:r>
          </w:p>
        </w:tc>
        <w:tc>
          <w:tcPr>
            <w:tcW w:w="950" w:type="pct"/>
            <w:tcBorders>
              <w:top w:val="nil"/>
              <w:left w:val="nil"/>
              <w:bottom w:val="single" w:sz="8" w:space="0" w:color="BFBFBF"/>
              <w:right w:val="single" w:sz="8" w:space="0" w:color="BFBFBF"/>
            </w:tcBorders>
            <w:shd w:val="clear" w:color="auto" w:fill="auto"/>
            <w:vAlign w:val="bottom"/>
            <w:hideMark/>
          </w:tcPr>
          <w:p w:rsidR="00195BE7" w:rsidRPr="001E2F6E" w:rsidRDefault="00195BE7" w:rsidP="00195BE7">
            <w:pPr>
              <w:spacing w:line="240" w:lineRule="exact"/>
              <w:ind w:right="170"/>
              <w:jc w:val="right"/>
              <w:rPr>
                <w:b/>
                <w:bCs/>
                <w:color w:val="000000"/>
                <w:sz w:val="16"/>
                <w:szCs w:val="16"/>
              </w:rPr>
            </w:pPr>
            <w:r w:rsidRPr="001E2F6E">
              <w:rPr>
                <w:b/>
                <w:bCs/>
                <w:color w:val="000000"/>
                <w:sz w:val="16"/>
                <w:szCs w:val="16"/>
              </w:rPr>
              <w:t>90,6</w:t>
            </w:r>
          </w:p>
        </w:tc>
        <w:tc>
          <w:tcPr>
            <w:tcW w:w="1121" w:type="pct"/>
            <w:tcBorders>
              <w:top w:val="nil"/>
              <w:left w:val="nil"/>
              <w:bottom w:val="single" w:sz="8" w:space="0" w:color="BFBFBF"/>
              <w:right w:val="single" w:sz="8" w:space="0" w:color="BFBFBF"/>
            </w:tcBorders>
            <w:shd w:val="clear" w:color="auto" w:fill="auto"/>
            <w:vAlign w:val="bottom"/>
            <w:hideMark/>
          </w:tcPr>
          <w:p w:rsidR="00195BE7" w:rsidRPr="001E2F6E" w:rsidRDefault="00195BE7" w:rsidP="00195BE7">
            <w:pPr>
              <w:spacing w:line="240" w:lineRule="exact"/>
              <w:ind w:right="170"/>
              <w:jc w:val="right"/>
              <w:rPr>
                <w:b/>
                <w:bCs/>
                <w:color w:val="000000"/>
                <w:sz w:val="16"/>
                <w:szCs w:val="16"/>
              </w:rPr>
            </w:pPr>
            <w:r w:rsidRPr="001E2F6E">
              <w:rPr>
                <w:b/>
                <w:bCs/>
                <w:color w:val="000000"/>
                <w:sz w:val="16"/>
                <w:szCs w:val="16"/>
              </w:rPr>
              <w:t>5,6</w:t>
            </w:r>
          </w:p>
        </w:tc>
        <w:tc>
          <w:tcPr>
            <w:tcW w:w="950" w:type="pct"/>
            <w:tcBorders>
              <w:top w:val="nil"/>
              <w:left w:val="nil"/>
              <w:bottom w:val="single" w:sz="8" w:space="0" w:color="BFBFBF"/>
              <w:right w:val="nil"/>
            </w:tcBorders>
            <w:shd w:val="clear" w:color="auto" w:fill="auto"/>
            <w:vAlign w:val="bottom"/>
            <w:hideMark/>
          </w:tcPr>
          <w:p w:rsidR="00195BE7" w:rsidRPr="001E2F6E" w:rsidRDefault="00195BE7" w:rsidP="00195BE7">
            <w:pPr>
              <w:spacing w:line="240" w:lineRule="exact"/>
              <w:ind w:right="170"/>
              <w:jc w:val="right"/>
              <w:rPr>
                <w:b/>
                <w:bCs/>
                <w:color w:val="000000"/>
                <w:sz w:val="16"/>
                <w:szCs w:val="16"/>
              </w:rPr>
            </w:pPr>
            <w:r w:rsidRPr="001E2F6E">
              <w:rPr>
                <w:b/>
                <w:bCs/>
                <w:color w:val="000000"/>
                <w:sz w:val="16"/>
                <w:szCs w:val="16"/>
              </w:rPr>
              <w:t>3,9</w:t>
            </w:r>
          </w:p>
        </w:tc>
      </w:tr>
    </w:tbl>
    <w:p w:rsidR="00195BE7" w:rsidRPr="001E2F6E" w:rsidRDefault="00195BE7" w:rsidP="00195BE7"/>
    <w:p w:rsidR="00195BE7" w:rsidRPr="001E2F6E" w:rsidRDefault="00195BE7" w:rsidP="00195BE7">
      <w:pPr>
        <w:spacing w:line="240" w:lineRule="auto"/>
        <w:jc w:val="center"/>
        <w:rPr>
          <w:b/>
          <w:color w:val="1F497D" w:themeColor="text2"/>
          <w:sz w:val="18"/>
          <w:szCs w:val="18"/>
        </w:rPr>
      </w:pPr>
      <w:bookmarkStart w:id="172" w:name="_Toc391989115"/>
      <w:bookmarkStart w:id="173" w:name="_Toc392585780"/>
      <w:r w:rsidRPr="001E2F6E">
        <w:rPr>
          <w:b/>
          <w:color w:val="1F497D" w:themeColor="text2"/>
          <w:sz w:val="18"/>
          <w:szCs w:val="18"/>
        </w:rPr>
        <w:t>1.</w:t>
      </w:r>
      <w:r w:rsidR="00EB6BA6" w:rsidRPr="001E2F6E">
        <w:rPr>
          <w:b/>
          <w:color w:val="1F497D" w:themeColor="text2"/>
          <w:sz w:val="18"/>
          <w:szCs w:val="18"/>
        </w:rPr>
        <w:fldChar w:fldCharType="begin"/>
      </w:r>
      <w:r w:rsidRPr="001E2F6E">
        <w:rPr>
          <w:b/>
          <w:color w:val="1F497D" w:themeColor="text2"/>
          <w:sz w:val="18"/>
          <w:szCs w:val="18"/>
        </w:rPr>
        <w:instrText xml:space="preserve"> SEQ Cuadro_1. \* ARABIC </w:instrText>
      </w:r>
      <w:r w:rsidR="00EB6BA6" w:rsidRPr="001E2F6E">
        <w:rPr>
          <w:b/>
          <w:color w:val="1F497D" w:themeColor="text2"/>
          <w:sz w:val="18"/>
          <w:szCs w:val="18"/>
        </w:rPr>
        <w:fldChar w:fldCharType="separate"/>
      </w:r>
      <w:r w:rsidR="00A327D4">
        <w:rPr>
          <w:b/>
          <w:noProof/>
          <w:color w:val="1F497D" w:themeColor="text2"/>
          <w:sz w:val="18"/>
          <w:szCs w:val="18"/>
        </w:rPr>
        <w:t>45</w:t>
      </w:r>
      <w:r w:rsidR="00EB6BA6" w:rsidRPr="001E2F6E">
        <w:rPr>
          <w:b/>
          <w:color w:val="1F497D" w:themeColor="text2"/>
          <w:sz w:val="18"/>
          <w:szCs w:val="18"/>
        </w:rPr>
        <w:fldChar w:fldCharType="end"/>
      </w:r>
      <w:r w:rsidRPr="001E2F6E">
        <w:rPr>
          <w:b/>
          <w:color w:val="1F497D" w:themeColor="text2"/>
          <w:sz w:val="18"/>
          <w:szCs w:val="18"/>
        </w:rPr>
        <w:t xml:space="preserve"> Taula GIZARTE-EKONOMIAREN BEGd-aren ARLOZ ARLOKO BANAKETA, LURRALDE HISTORIKOAREN ARABERA 2012. (</w:t>
      </w:r>
      <w:r w:rsidR="00462130" w:rsidRPr="001E2F6E">
        <w:rPr>
          <w:b/>
          <w:color w:val="1F497D" w:themeColor="text2"/>
          <w:sz w:val="18"/>
          <w:szCs w:val="18"/>
        </w:rPr>
        <w:t>zifra absolutuak</w:t>
      </w:r>
      <w:r w:rsidRPr="001E2F6E">
        <w:rPr>
          <w:b/>
          <w:color w:val="1F497D" w:themeColor="text2"/>
          <w:sz w:val="18"/>
          <w:szCs w:val="18"/>
        </w:rPr>
        <w:t xml:space="preserve"> euroan, %bertikalak.)</w:t>
      </w:r>
      <w:bookmarkEnd w:id="172"/>
      <w:bookmarkEnd w:id="173"/>
    </w:p>
    <w:tbl>
      <w:tblPr>
        <w:tblW w:w="0" w:type="auto"/>
        <w:jc w:val="center"/>
        <w:tblInd w:w="-1293" w:type="dxa"/>
        <w:tblLook w:val="04A0" w:firstRow="1" w:lastRow="0" w:firstColumn="1" w:lastColumn="0" w:noHBand="0" w:noVBand="1"/>
      </w:tblPr>
      <w:tblGrid>
        <w:gridCol w:w="1566"/>
        <w:gridCol w:w="1574"/>
        <w:gridCol w:w="698"/>
        <w:gridCol w:w="1276"/>
        <w:gridCol w:w="716"/>
        <w:gridCol w:w="1276"/>
        <w:gridCol w:w="851"/>
        <w:gridCol w:w="1410"/>
        <w:gridCol w:w="851"/>
      </w:tblGrid>
      <w:tr w:rsidR="00195BE7" w:rsidRPr="001E2F6E" w:rsidTr="00195BE7">
        <w:trPr>
          <w:jc w:val="center"/>
        </w:trPr>
        <w:tc>
          <w:tcPr>
            <w:tcW w:w="1566" w:type="dxa"/>
            <w:vMerge w:val="restart"/>
            <w:tcBorders>
              <w:top w:val="single" w:sz="4" w:space="0" w:color="BFBFBF" w:themeColor="background1" w:themeShade="BF"/>
              <w:right w:val="single" w:sz="4" w:space="0" w:color="BFBFBF" w:themeColor="background1" w:themeShade="BF"/>
            </w:tcBorders>
            <w:shd w:val="clear" w:color="auto" w:fill="DBE5F1" w:themeFill="accent1" w:themeFillTint="33"/>
            <w:vAlign w:val="center"/>
            <w:hideMark/>
          </w:tcPr>
          <w:p w:rsidR="00195BE7" w:rsidRPr="001E2F6E" w:rsidRDefault="00195BE7" w:rsidP="00195BE7">
            <w:pPr>
              <w:spacing w:line="240" w:lineRule="exact"/>
              <w:jc w:val="center"/>
              <w:rPr>
                <w:b/>
                <w:sz w:val="16"/>
                <w:szCs w:val="16"/>
              </w:rPr>
            </w:pPr>
          </w:p>
        </w:tc>
        <w:tc>
          <w:tcPr>
            <w:tcW w:w="2272"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hideMark/>
          </w:tcPr>
          <w:p w:rsidR="00195BE7" w:rsidRPr="001E2F6E" w:rsidRDefault="00195BE7" w:rsidP="00195BE7">
            <w:pPr>
              <w:spacing w:line="240" w:lineRule="exact"/>
              <w:jc w:val="center"/>
              <w:rPr>
                <w:b/>
                <w:bCs/>
                <w:sz w:val="16"/>
                <w:szCs w:val="16"/>
              </w:rPr>
            </w:pPr>
            <w:r w:rsidRPr="001E2F6E">
              <w:rPr>
                <w:b/>
                <w:bCs/>
                <w:sz w:val="16"/>
                <w:szCs w:val="16"/>
              </w:rPr>
              <w:t>EAE</w:t>
            </w:r>
          </w:p>
        </w:tc>
        <w:tc>
          <w:tcPr>
            <w:tcW w:w="1992"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hideMark/>
          </w:tcPr>
          <w:p w:rsidR="00195BE7" w:rsidRPr="001E2F6E" w:rsidRDefault="00195BE7" w:rsidP="00195BE7">
            <w:pPr>
              <w:spacing w:line="240" w:lineRule="exact"/>
              <w:jc w:val="center"/>
              <w:rPr>
                <w:b/>
                <w:bCs/>
                <w:sz w:val="16"/>
                <w:szCs w:val="16"/>
              </w:rPr>
            </w:pPr>
            <w:r w:rsidRPr="001E2F6E">
              <w:rPr>
                <w:b/>
                <w:bCs/>
                <w:sz w:val="16"/>
                <w:szCs w:val="16"/>
              </w:rPr>
              <w:t>Araba</w:t>
            </w:r>
          </w:p>
        </w:tc>
        <w:tc>
          <w:tcPr>
            <w:tcW w:w="212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hideMark/>
          </w:tcPr>
          <w:p w:rsidR="00195BE7" w:rsidRPr="001E2F6E" w:rsidRDefault="00195BE7" w:rsidP="00195BE7">
            <w:pPr>
              <w:spacing w:line="240" w:lineRule="exact"/>
              <w:jc w:val="center"/>
              <w:rPr>
                <w:b/>
                <w:bCs/>
                <w:sz w:val="16"/>
                <w:szCs w:val="16"/>
              </w:rPr>
            </w:pPr>
            <w:r w:rsidRPr="001E2F6E">
              <w:rPr>
                <w:b/>
                <w:bCs/>
                <w:sz w:val="16"/>
                <w:szCs w:val="16"/>
                <w:lang w:val="en-GB"/>
              </w:rPr>
              <w:t>Bizkaia</w:t>
            </w:r>
          </w:p>
        </w:tc>
        <w:tc>
          <w:tcPr>
            <w:tcW w:w="2261" w:type="dxa"/>
            <w:gridSpan w:val="2"/>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hideMark/>
          </w:tcPr>
          <w:p w:rsidR="00195BE7" w:rsidRPr="001E2F6E" w:rsidRDefault="00195BE7" w:rsidP="00195BE7">
            <w:pPr>
              <w:spacing w:line="240" w:lineRule="exact"/>
              <w:jc w:val="center"/>
              <w:rPr>
                <w:b/>
                <w:bCs/>
                <w:sz w:val="16"/>
                <w:szCs w:val="16"/>
              </w:rPr>
            </w:pPr>
            <w:r w:rsidRPr="001E2F6E">
              <w:rPr>
                <w:b/>
                <w:bCs/>
                <w:sz w:val="16"/>
                <w:szCs w:val="16"/>
                <w:lang w:val="en-GB"/>
              </w:rPr>
              <w:t>Gipuzkoa</w:t>
            </w:r>
          </w:p>
        </w:tc>
      </w:tr>
      <w:tr w:rsidR="00195BE7" w:rsidRPr="001E2F6E" w:rsidTr="00195BE7">
        <w:trPr>
          <w:jc w:val="center"/>
        </w:trPr>
        <w:tc>
          <w:tcPr>
            <w:tcW w:w="1566" w:type="dxa"/>
            <w:vMerge/>
            <w:tcBorders>
              <w:bottom w:val="single" w:sz="4" w:space="0" w:color="BFBFBF" w:themeColor="background1" w:themeShade="BF"/>
              <w:right w:val="single" w:sz="4" w:space="0" w:color="BFBFBF" w:themeColor="background1" w:themeShade="BF"/>
            </w:tcBorders>
            <w:shd w:val="clear" w:color="auto" w:fill="DBE5F1" w:themeFill="accent1" w:themeFillTint="33"/>
            <w:hideMark/>
          </w:tcPr>
          <w:p w:rsidR="00195BE7" w:rsidRPr="001E2F6E" w:rsidRDefault="00195BE7" w:rsidP="00195BE7">
            <w:pPr>
              <w:spacing w:line="240" w:lineRule="exact"/>
              <w:rPr>
                <w:sz w:val="16"/>
                <w:szCs w:val="16"/>
              </w:rPr>
            </w:pPr>
          </w:p>
        </w:tc>
        <w:tc>
          <w:tcPr>
            <w:tcW w:w="1574" w:type="dxa"/>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hideMark/>
          </w:tcPr>
          <w:p w:rsidR="00195BE7" w:rsidRPr="001E2F6E" w:rsidRDefault="00195BE7" w:rsidP="00195BE7">
            <w:pPr>
              <w:spacing w:line="240" w:lineRule="exact"/>
              <w:jc w:val="center"/>
              <w:rPr>
                <w:b/>
                <w:bCs/>
                <w:sz w:val="16"/>
                <w:szCs w:val="16"/>
              </w:rPr>
            </w:pPr>
            <w:r w:rsidRPr="001E2F6E">
              <w:rPr>
                <w:b/>
                <w:bCs/>
                <w:sz w:val="16"/>
                <w:szCs w:val="16"/>
              </w:rPr>
              <w:t>z.a.</w:t>
            </w:r>
          </w:p>
        </w:tc>
        <w:tc>
          <w:tcPr>
            <w:tcW w:w="698" w:type="dxa"/>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hideMark/>
          </w:tcPr>
          <w:p w:rsidR="00195BE7" w:rsidRPr="001E2F6E" w:rsidRDefault="00195BE7" w:rsidP="00195BE7">
            <w:pPr>
              <w:spacing w:line="240" w:lineRule="exact"/>
              <w:jc w:val="center"/>
              <w:rPr>
                <w:b/>
                <w:bCs/>
                <w:sz w:val="16"/>
                <w:szCs w:val="16"/>
              </w:rPr>
            </w:pPr>
            <w:r w:rsidRPr="001E2F6E">
              <w:rPr>
                <w:b/>
                <w:bCs/>
                <w:sz w:val="16"/>
                <w:szCs w:val="16"/>
              </w:rPr>
              <w:t>%ber.</w:t>
            </w:r>
          </w:p>
        </w:tc>
        <w:tc>
          <w:tcPr>
            <w:tcW w:w="1276" w:type="dxa"/>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hideMark/>
          </w:tcPr>
          <w:p w:rsidR="00195BE7" w:rsidRPr="001E2F6E" w:rsidRDefault="00195BE7" w:rsidP="00195BE7">
            <w:pPr>
              <w:spacing w:line="240" w:lineRule="exact"/>
              <w:jc w:val="center"/>
              <w:rPr>
                <w:b/>
                <w:bCs/>
                <w:sz w:val="16"/>
                <w:szCs w:val="16"/>
              </w:rPr>
            </w:pPr>
            <w:r w:rsidRPr="001E2F6E">
              <w:rPr>
                <w:b/>
                <w:bCs/>
                <w:sz w:val="16"/>
                <w:szCs w:val="16"/>
              </w:rPr>
              <w:t>z.a.</w:t>
            </w:r>
          </w:p>
        </w:tc>
        <w:tc>
          <w:tcPr>
            <w:tcW w:w="716" w:type="dxa"/>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hideMark/>
          </w:tcPr>
          <w:p w:rsidR="00195BE7" w:rsidRPr="001E2F6E" w:rsidRDefault="00195BE7" w:rsidP="00195BE7">
            <w:pPr>
              <w:spacing w:line="240" w:lineRule="exact"/>
              <w:jc w:val="center"/>
              <w:rPr>
                <w:b/>
                <w:bCs/>
                <w:sz w:val="16"/>
                <w:szCs w:val="16"/>
              </w:rPr>
            </w:pPr>
            <w:r w:rsidRPr="001E2F6E">
              <w:rPr>
                <w:b/>
                <w:bCs/>
                <w:sz w:val="16"/>
                <w:szCs w:val="16"/>
              </w:rPr>
              <w:t>%ber.</w:t>
            </w:r>
          </w:p>
        </w:tc>
        <w:tc>
          <w:tcPr>
            <w:tcW w:w="1276" w:type="dxa"/>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hideMark/>
          </w:tcPr>
          <w:p w:rsidR="00195BE7" w:rsidRPr="001E2F6E" w:rsidRDefault="00195BE7" w:rsidP="00195BE7">
            <w:pPr>
              <w:spacing w:line="240" w:lineRule="exact"/>
              <w:jc w:val="center"/>
              <w:rPr>
                <w:b/>
                <w:bCs/>
                <w:sz w:val="16"/>
                <w:szCs w:val="16"/>
              </w:rPr>
            </w:pPr>
            <w:r w:rsidRPr="001E2F6E">
              <w:rPr>
                <w:b/>
                <w:bCs/>
                <w:sz w:val="16"/>
                <w:szCs w:val="16"/>
              </w:rPr>
              <w:t>z.a.</w:t>
            </w:r>
          </w:p>
        </w:tc>
        <w:tc>
          <w:tcPr>
            <w:tcW w:w="851" w:type="dxa"/>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hideMark/>
          </w:tcPr>
          <w:p w:rsidR="00195BE7" w:rsidRPr="001E2F6E" w:rsidRDefault="00195BE7" w:rsidP="00195BE7">
            <w:pPr>
              <w:spacing w:line="240" w:lineRule="exact"/>
              <w:jc w:val="center"/>
              <w:rPr>
                <w:b/>
                <w:bCs/>
                <w:sz w:val="16"/>
                <w:szCs w:val="16"/>
              </w:rPr>
            </w:pPr>
            <w:r w:rsidRPr="001E2F6E">
              <w:rPr>
                <w:b/>
                <w:bCs/>
                <w:sz w:val="16"/>
                <w:szCs w:val="16"/>
              </w:rPr>
              <w:t>%ber.</w:t>
            </w:r>
          </w:p>
        </w:tc>
        <w:tc>
          <w:tcPr>
            <w:tcW w:w="1410" w:type="dxa"/>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hideMark/>
          </w:tcPr>
          <w:p w:rsidR="00195BE7" w:rsidRPr="001E2F6E" w:rsidRDefault="00195BE7" w:rsidP="00195BE7">
            <w:pPr>
              <w:spacing w:line="240" w:lineRule="exact"/>
              <w:jc w:val="center"/>
              <w:rPr>
                <w:b/>
                <w:bCs/>
                <w:sz w:val="16"/>
                <w:szCs w:val="16"/>
              </w:rPr>
            </w:pPr>
            <w:r w:rsidRPr="001E2F6E">
              <w:rPr>
                <w:b/>
                <w:bCs/>
                <w:sz w:val="16"/>
                <w:szCs w:val="16"/>
              </w:rPr>
              <w:t>z.a.</w:t>
            </w:r>
          </w:p>
        </w:tc>
        <w:tc>
          <w:tcPr>
            <w:tcW w:w="851" w:type="dxa"/>
            <w:tcBorders>
              <w:top w:val="single" w:sz="4" w:space="0" w:color="BFBFBF" w:themeColor="background1" w:themeShade="BF"/>
              <w:bottom w:val="single" w:sz="4" w:space="0" w:color="BFBFBF" w:themeColor="background1" w:themeShade="BF"/>
            </w:tcBorders>
            <w:shd w:val="clear" w:color="auto" w:fill="DBE5F1" w:themeFill="accent1" w:themeFillTint="33"/>
            <w:hideMark/>
          </w:tcPr>
          <w:p w:rsidR="00195BE7" w:rsidRPr="001E2F6E" w:rsidRDefault="00195BE7" w:rsidP="00195BE7">
            <w:pPr>
              <w:spacing w:line="240" w:lineRule="exact"/>
              <w:jc w:val="center"/>
              <w:rPr>
                <w:b/>
                <w:bCs/>
                <w:sz w:val="16"/>
                <w:szCs w:val="16"/>
              </w:rPr>
            </w:pPr>
            <w:r w:rsidRPr="001E2F6E">
              <w:rPr>
                <w:b/>
                <w:bCs/>
                <w:sz w:val="16"/>
                <w:szCs w:val="16"/>
              </w:rPr>
              <w:t>%ber.</w:t>
            </w:r>
          </w:p>
        </w:tc>
      </w:tr>
      <w:tr w:rsidR="00195BE7" w:rsidRPr="001E2F6E" w:rsidTr="00195BE7">
        <w:trPr>
          <w:jc w:val="center"/>
        </w:trPr>
        <w:tc>
          <w:tcPr>
            <w:tcW w:w="1566" w:type="dxa"/>
            <w:tcBorders>
              <w:right w:val="single" w:sz="4" w:space="0" w:color="BFBFBF" w:themeColor="background1" w:themeShade="BF"/>
            </w:tcBorders>
            <w:vAlign w:val="bottom"/>
            <w:hideMark/>
          </w:tcPr>
          <w:p w:rsidR="00195BE7" w:rsidRPr="001E2F6E" w:rsidRDefault="00195BE7" w:rsidP="00195BE7">
            <w:pPr>
              <w:spacing w:line="240" w:lineRule="exact"/>
              <w:rPr>
                <w:sz w:val="16"/>
                <w:szCs w:val="16"/>
                <w:lang w:val="eu-ES"/>
              </w:rPr>
            </w:pPr>
            <w:r w:rsidRPr="001E2F6E">
              <w:rPr>
                <w:sz w:val="16"/>
                <w:szCs w:val="16"/>
                <w:lang w:val="eu-ES"/>
              </w:rPr>
              <w:t>Lehen sektorea</w:t>
            </w:r>
          </w:p>
        </w:tc>
        <w:tc>
          <w:tcPr>
            <w:tcW w:w="1574" w:type="dxa"/>
            <w:tcBorders>
              <w:left w:val="single" w:sz="4" w:space="0" w:color="BFBFBF" w:themeColor="background1" w:themeShade="BF"/>
            </w:tcBorders>
            <w:vAlign w:val="bottom"/>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1.558.013</w:t>
            </w:r>
          </w:p>
        </w:tc>
        <w:tc>
          <w:tcPr>
            <w:tcW w:w="698" w:type="dxa"/>
            <w:tcBorders>
              <w:right w:val="single" w:sz="4" w:space="0" w:color="BFBFBF" w:themeColor="background1" w:themeShade="BF"/>
            </w:tcBorders>
            <w:vAlign w:val="bottom"/>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0,1</w:t>
            </w:r>
          </w:p>
        </w:tc>
        <w:tc>
          <w:tcPr>
            <w:tcW w:w="1276" w:type="dxa"/>
            <w:tcBorders>
              <w:left w:val="single" w:sz="4" w:space="0" w:color="BFBFBF" w:themeColor="background1" w:themeShade="BF"/>
            </w:tcBorders>
            <w:vAlign w:val="bottom"/>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1.189.776</w:t>
            </w:r>
          </w:p>
        </w:tc>
        <w:tc>
          <w:tcPr>
            <w:tcW w:w="716" w:type="dxa"/>
            <w:tcBorders>
              <w:right w:val="single" w:sz="4" w:space="0" w:color="BFBFBF" w:themeColor="background1" w:themeShade="BF"/>
            </w:tcBorders>
            <w:vAlign w:val="bottom"/>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0,4</w:t>
            </w:r>
          </w:p>
        </w:tc>
        <w:tc>
          <w:tcPr>
            <w:tcW w:w="1276" w:type="dxa"/>
            <w:tcBorders>
              <w:left w:val="single" w:sz="4" w:space="0" w:color="BFBFBF" w:themeColor="background1" w:themeShade="BF"/>
            </w:tcBorders>
            <w:vAlign w:val="bottom"/>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352.193</w:t>
            </w:r>
          </w:p>
        </w:tc>
        <w:tc>
          <w:tcPr>
            <w:tcW w:w="851" w:type="dxa"/>
            <w:tcBorders>
              <w:right w:val="single" w:sz="4" w:space="0" w:color="BFBFBF" w:themeColor="background1" w:themeShade="BF"/>
            </w:tcBorders>
            <w:vAlign w:val="bottom"/>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0,0</w:t>
            </w:r>
          </w:p>
        </w:tc>
        <w:tc>
          <w:tcPr>
            <w:tcW w:w="1410" w:type="dxa"/>
            <w:tcBorders>
              <w:left w:val="single" w:sz="4" w:space="0" w:color="BFBFBF" w:themeColor="background1" w:themeShade="BF"/>
            </w:tcBorders>
            <w:vAlign w:val="bottom"/>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16.044</w:t>
            </w:r>
          </w:p>
        </w:tc>
        <w:tc>
          <w:tcPr>
            <w:tcW w:w="851" w:type="dxa"/>
            <w:vAlign w:val="bottom"/>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0,0</w:t>
            </w:r>
          </w:p>
        </w:tc>
      </w:tr>
      <w:tr w:rsidR="00195BE7" w:rsidRPr="001E2F6E" w:rsidTr="00195BE7">
        <w:trPr>
          <w:jc w:val="center"/>
        </w:trPr>
        <w:tc>
          <w:tcPr>
            <w:tcW w:w="1566" w:type="dxa"/>
            <w:tcBorders>
              <w:right w:val="single" w:sz="4" w:space="0" w:color="BFBFBF" w:themeColor="background1" w:themeShade="BF"/>
            </w:tcBorders>
            <w:vAlign w:val="bottom"/>
            <w:hideMark/>
          </w:tcPr>
          <w:p w:rsidR="00195BE7" w:rsidRPr="001E2F6E" w:rsidRDefault="00195BE7" w:rsidP="00195BE7">
            <w:pPr>
              <w:spacing w:line="240" w:lineRule="exact"/>
              <w:rPr>
                <w:sz w:val="16"/>
                <w:szCs w:val="16"/>
                <w:lang w:val="eu-ES"/>
              </w:rPr>
            </w:pPr>
            <w:r w:rsidRPr="001E2F6E">
              <w:rPr>
                <w:sz w:val="16"/>
                <w:szCs w:val="16"/>
                <w:lang w:val="eu-ES"/>
              </w:rPr>
              <w:t>Industria</w:t>
            </w:r>
          </w:p>
        </w:tc>
        <w:tc>
          <w:tcPr>
            <w:tcW w:w="1574" w:type="dxa"/>
            <w:tcBorders>
              <w:left w:val="single" w:sz="4" w:space="0" w:color="BFBFBF" w:themeColor="background1" w:themeShade="BF"/>
            </w:tcBorders>
            <w:vAlign w:val="bottom"/>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1.363.525.421</w:t>
            </w:r>
          </w:p>
        </w:tc>
        <w:tc>
          <w:tcPr>
            <w:tcW w:w="698" w:type="dxa"/>
            <w:tcBorders>
              <w:right w:val="single" w:sz="4" w:space="0" w:color="BFBFBF" w:themeColor="background1" w:themeShade="BF"/>
            </w:tcBorders>
            <w:vAlign w:val="bottom"/>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51,6</w:t>
            </w:r>
          </w:p>
        </w:tc>
        <w:tc>
          <w:tcPr>
            <w:tcW w:w="1276" w:type="dxa"/>
            <w:tcBorders>
              <w:left w:val="single" w:sz="4" w:space="0" w:color="BFBFBF" w:themeColor="background1" w:themeShade="BF"/>
            </w:tcBorders>
            <w:vAlign w:val="bottom"/>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114.537.437</w:t>
            </w:r>
          </w:p>
        </w:tc>
        <w:tc>
          <w:tcPr>
            <w:tcW w:w="716" w:type="dxa"/>
            <w:tcBorders>
              <w:right w:val="single" w:sz="4" w:space="0" w:color="BFBFBF" w:themeColor="background1" w:themeShade="BF"/>
            </w:tcBorders>
            <w:vAlign w:val="bottom"/>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38,2</w:t>
            </w:r>
          </w:p>
        </w:tc>
        <w:tc>
          <w:tcPr>
            <w:tcW w:w="1276" w:type="dxa"/>
            <w:tcBorders>
              <w:left w:val="single" w:sz="4" w:space="0" w:color="BFBFBF" w:themeColor="background1" w:themeShade="BF"/>
            </w:tcBorders>
            <w:vAlign w:val="bottom"/>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317.669.299</w:t>
            </w:r>
          </w:p>
        </w:tc>
        <w:tc>
          <w:tcPr>
            <w:tcW w:w="851" w:type="dxa"/>
            <w:tcBorders>
              <w:right w:val="single" w:sz="4" w:space="0" w:color="BFBFBF" w:themeColor="background1" w:themeShade="BF"/>
            </w:tcBorders>
            <w:vAlign w:val="bottom"/>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38,3</w:t>
            </w:r>
          </w:p>
        </w:tc>
        <w:tc>
          <w:tcPr>
            <w:tcW w:w="1410" w:type="dxa"/>
            <w:tcBorders>
              <w:left w:val="single" w:sz="4" w:space="0" w:color="BFBFBF" w:themeColor="background1" w:themeShade="BF"/>
            </w:tcBorders>
            <w:vAlign w:val="bottom"/>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931.318.684</w:t>
            </w:r>
          </w:p>
        </w:tc>
        <w:tc>
          <w:tcPr>
            <w:tcW w:w="851" w:type="dxa"/>
            <w:vAlign w:val="bottom"/>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61,5</w:t>
            </w:r>
          </w:p>
        </w:tc>
      </w:tr>
      <w:tr w:rsidR="00195BE7" w:rsidRPr="001E2F6E" w:rsidTr="00195BE7">
        <w:trPr>
          <w:jc w:val="center"/>
        </w:trPr>
        <w:tc>
          <w:tcPr>
            <w:tcW w:w="1566" w:type="dxa"/>
            <w:tcBorders>
              <w:right w:val="single" w:sz="4" w:space="0" w:color="BFBFBF" w:themeColor="background1" w:themeShade="BF"/>
            </w:tcBorders>
            <w:vAlign w:val="bottom"/>
            <w:hideMark/>
          </w:tcPr>
          <w:p w:rsidR="00195BE7" w:rsidRPr="001E2F6E" w:rsidRDefault="00195BE7" w:rsidP="00195BE7">
            <w:pPr>
              <w:spacing w:line="240" w:lineRule="exact"/>
              <w:rPr>
                <w:sz w:val="16"/>
                <w:szCs w:val="16"/>
                <w:lang w:val="eu-ES"/>
              </w:rPr>
            </w:pPr>
            <w:r w:rsidRPr="001E2F6E">
              <w:rPr>
                <w:sz w:val="16"/>
                <w:szCs w:val="16"/>
                <w:lang w:val="eu-ES"/>
              </w:rPr>
              <w:t>Eraikuntza</w:t>
            </w:r>
          </w:p>
        </w:tc>
        <w:tc>
          <w:tcPr>
            <w:tcW w:w="1574" w:type="dxa"/>
            <w:tcBorders>
              <w:left w:val="single" w:sz="4" w:space="0" w:color="BFBFBF" w:themeColor="background1" w:themeShade="BF"/>
            </w:tcBorders>
            <w:vAlign w:val="bottom"/>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58.440.259</w:t>
            </w:r>
          </w:p>
        </w:tc>
        <w:tc>
          <w:tcPr>
            <w:tcW w:w="698" w:type="dxa"/>
            <w:tcBorders>
              <w:right w:val="single" w:sz="4" w:space="0" w:color="BFBFBF" w:themeColor="background1" w:themeShade="BF"/>
            </w:tcBorders>
            <w:vAlign w:val="bottom"/>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2,2</w:t>
            </w:r>
          </w:p>
        </w:tc>
        <w:tc>
          <w:tcPr>
            <w:tcW w:w="1276" w:type="dxa"/>
            <w:tcBorders>
              <w:left w:val="single" w:sz="4" w:space="0" w:color="BFBFBF" w:themeColor="background1" w:themeShade="BF"/>
            </w:tcBorders>
            <w:vAlign w:val="bottom"/>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11.364.378</w:t>
            </w:r>
          </w:p>
        </w:tc>
        <w:tc>
          <w:tcPr>
            <w:tcW w:w="716" w:type="dxa"/>
            <w:tcBorders>
              <w:right w:val="single" w:sz="4" w:space="0" w:color="BFBFBF" w:themeColor="background1" w:themeShade="BF"/>
            </w:tcBorders>
            <w:vAlign w:val="bottom"/>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3,8</w:t>
            </w:r>
          </w:p>
        </w:tc>
        <w:tc>
          <w:tcPr>
            <w:tcW w:w="1276" w:type="dxa"/>
            <w:tcBorders>
              <w:left w:val="single" w:sz="4" w:space="0" w:color="BFBFBF" w:themeColor="background1" w:themeShade="BF"/>
            </w:tcBorders>
            <w:vAlign w:val="bottom"/>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29.281.391</w:t>
            </w:r>
          </w:p>
        </w:tc>
        <w:tc>
          <w:tcPr>
            <w:tcW w:w="851" w:type="dxa"/>
            <w:tcBorders>
              <w:right w:val="single" w:sz="4" w:space="0" w:color="BFBFBF" w:themeColor="background1" w:themeShade="BF"/>
            </w:tcBorders>
            <w:vAlign w:val="bottom"/>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3,5</w:t>
            </w:r>
          </w:p>
        </w:tc>
        <w:tc>
          <w:tcPr>
            <w:tcW w:w="1410" w:type="dxa"/>
            <w:tcBorders>
              <w:left w:val="single" w:sz="4" w:space="0" w:color="BFBFBF" w:themeColor="background1" w:themeShade="BF"/>
            </w:tcBorders>
            <w:vAlign w:val="bottom"/>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17.794.489</w:t>
            </w:r>
          </w:p>
        </w:tc>
        <w:tc>
          <w:tcPr>
            <w:tcW w:w="851" w:type="dxa"/>
            <w:vAlign w:val="bottom"/>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1,2</w:t>
            </w:r>
          </w:p>
        </w:tc>
      </w:tr>
      <w:tr w:rsidR="00195BE7" w:rsidRPr="001E2F6E" w:rsidTr="00195BE7">
        <w:trPr>
          <w:jc w:val="center"/>
        </w:trPr>
        <w:tc>
          <w:tcPr>
            <w:tcW w:w="1566" w:type="dxa"/>
            <w:tcBorders>
              <w:bottom w:val="single" w:sz="4" w:space="0" w:color="BFBFBF" w:themeColor="background1" w:themeShade="BF"/>
              <w:right w:val="single" w:sz="4" w:space="0" w:color="BFBFBF" w:themeColor="background1" w:themeShade="BF"/>
            </w:tcBorders>
            <w:vAlign w:val="bottom"/>
            <w:hideMark/>
          </w:tcPr>
          <w:p w:rsidR="00195BE7" w:rsidRPr="001E2F6E" w:rsidRDefault="00195BE7" w:rsidP="00195BE7">
            <w:pPr>
              <w:spacing w:line="240" w:lineRule="exact"/>
              <w:rPr>
                <w:sz w:val="16"/>
                <w:szCs w:val="16"/>
                <w:lang w:val="eu-ES"/>
              </w:rPr>
            </w:pPr>
            <w:r w:rsidRPr="001E2F6E">
              <w:rPr>
                <w:sz w:val="16"/>
                <w:szCs w:val="16"/>
                <w:lang w:val="eu-ES"/>
              </w:rPr>
              <w:t>Zerbitzuak</w:t>
            </w:r>
          </w:p>
        </w:tc>
        <w:tc>
          <w:tcPr>
            <w:tcW w:w="1574" w:type="dxa"/>
            <w:tcBorders>
              <w:left w:val="single" w:sz="4" w:space="0" w:color="BFBFBF" w:themeColor="background1" w:themeShade="BF"/>
              <w:bottom w:val="single" w:sz="4" w:space="0" w:color="BFBFBF" w:themeColor="background1" w:themeShade="BF"/>
            </w:tcBorders>
            <w:vAlign w:val="bottom"/>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1.219.850.876</w:t>
            </w:r>
          </w:p>
        </w:tc>
        <w:tc>
          <w:tcPr>
            <w:tcW w:w="698" w:type="dxa"/>
            <w:tcBorders>
              <w:bottom w:val="single" w:sz="4" w:space="0" w:color="BFBFBF" w:themeColor="background1" w:themeShade="BF"/>
              <w:right w:val="single" w:sz="4" w:space="0" w:color="BFBFBF" w:themeColor="background1" w:themeShade="BF"/>
            </w:tcBorders>
            <w:vAlign w:val="bottom"/>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46,1</w:t>
            </w:r>
          </w:p>
        </w:tc>
        <w:tc>
          <w:tcPr>
            <w:tcW w:w="1276" w:type="dxa"/>
            <w:tcBorders>
              <w:left w:val="single" w:sz="4" w:space="0" w:color="BFBFBF" w:themeColor="background1" w:themeShade="BF"/>
              <w:bottom w:val="single" w:sz="4" w:space="0" w:color="BFBFBF" w:themeColor="background1" w:themeShade="BF"/>
            </w:tcBorders>
            <w:vAlign w:val="bottom"/>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172.953.364</w:t>
            </w:r>
          </w:p>
        </w:tc>
        <w:tc>
          <w:tcPr>
            <w:tcW w:w="716" w:type="dxa"/>
            <w:tcBorders>
              <w:bottom w:val="single" w:sz="4" w:space="0" w:color="BFBFBF" w:themeColor="background1" w:themeShade="BF"/>
              <w:right w:val="single" w:sz="4" w:space="0" w:color="BFBFBF" w:themeColor="background1" w:themeShade="BF"/>
            </w:tcBorders>
            <w:vAlign w:val="bottom"/>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57,6</w:t>
            </w:r>
          </w:p>
        </w:tc>
        <w:tc>
          <w:tcPr>
            <w:tcW w:w="1276" w:type="dxa"/>
            <w:tcBorders>
              <w:left w:val="single" w:sz="4" w:space="0" w:color="BFBFBF" w:themeColor="background1" w:themeShade="BF"/>
              <w:bottom w:val="single" w:sz="4" w:space="0" w:color="BFBFBF" w:themeColor="background1" w:themeShade="BF"/>
            </w:tcBorders>
            <w:vAlign w:val="bottom"/>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482.701.231</w:t>
            </w:r>
          </w:p>
        </w:tc>
        <w:tc>
          <w:tcPr>
            <w:tcW w:w="851" w:type="dxa"/>
            <w:tcBorders>
              <w:bottom w:val="single" w:sz="4" w:space="0" w:color="BFBFBF" w:themeColor="background1" w:themeShade="BF"/>
              <w:right w:val="single" w:sz="4" w:space="0" w:color="BFBFBF" w:themeColor="background1" w:themeShade="BF"/>
            </w:tcBorders>
            <w:vAlign w:val="bottom"/>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58,2</w:t>
            </w:r>
          </w:p>
        </w:tc>
        <w:tc>
          <w:tcPr>
            <w:tcW w:w="1410" w:type="dxa"/>
            <w:tcBorders>
              <w:left w:val="single" w:sz="4" w:space="0" w:color="BFBFBF" w:themeColor="background1" w:themeShade="BF"/>
              <w:bottom w:val="single" w:sz="4" w:space="0" w:color="BFBFBF" w:themeColor="background1" w:themeShade="BF"/>
            </w:tcBorders>
            <w:vAlign w:val="bottom"/>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564.196.281</w:t>
            </w:r>
          </w:p>
        </w:tc>
        <w:tc>
          <w:tcPr>
            <w:tcW w:w="851" w:type="dxa"/>
            <w:tcBorders>
              <w:bottom w:val="single" w:sz="4" w:space="0" w:color="BFBFBF" w:themeColor="background1" w:themeShade="BF"/>
            </w:tcBorders>
            <w:vAlign w:val="bottom"/>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37,3</w:t>
            </w:r>
          </w:p>
        </w:tc>
      </w:tr>
      <w:tr w:rsidR="00195BE7" w:rsidRPr="001E2F6E" w:rsidTr="00195BE7">
        <w:trPr>
          <w:jc w:val="center"/>
        </w:trPr>
        <w:tc>
          <w:tcPr>
            <w:tcW w:w="1566" w:type="dxa"/>
            <w:tcBorders>
              <w:top w:val="single" w:sz="4" w:space="0" w:color="BFBFBF" w:themeColor="background1" w:themeShade="BF"/>
              <w:bottom w:val="single" w:sz="4" w:space="0" w:color="BFBFBF" w:themeColor="background1" w:themeShade="BF"/>
              <w:right w:val="single" w:sz="4" w:space="0" w:color="BFBFBF" w:themeColor="background1" w:themeShade="BF"/>
            </w:tcBorders>
            <w:vAlign w:val="bottom"/>
            <w:hideMark/>
          </w:tcPr>
          <w:p w:rsidR="00195BE7" w:rsidRPr="001E2F6E" w:rsidRDefault="00195BE7" w:rsidP="00195BE7">
            <w:pPr>
              <w:spacing w:line="240" w:lineRule="exact"/>
              <w:rPr>
                <w:b/>
                <w:bCs/>
                <w:sz w:val="16"/>
                <w:szCs w:val="16"/>
                <w:lang w:val="eu-ES"/>
              </w:rPr>
            </w:pPr>
            <w:r w:rsidRPr="001E2F6E">
              <w:rPr>
                <w:b/>
                <w:bCs/>
                <w:sz w:val="16"/>
                <w:szCs w:val="16"/>
                <w:lang w:val="eu-ES"/>
              </w:rPr>
              <w:t>GUZTIRA</w:t>
            </w:r>
          </w:p>
        </w:tc>
        <w:tc>
          <w:tcPr>
            <w:tcW w:w="1574" w:type="dxa"/>
            <w:tcBorders>
              <w:top w:val="single" w:sz="4" w:space="0" w:color="BFBFBF" w:themeColor="background1" w:themeShade="BF"/>
              <w:left w:val="single" w:sz="4" w:space="0" w:color="BFBFBF" w:themeColor="background1" w:themeShade="BF"/>
              <w:bottom w:val="single" w:sz="4" w:space="0" w:color="BFBFBF" w:themeColor="background1" w:themeShade="BF"/>
            </w:tcBorders>
            <w:vAlign w:val="bottom"/>
            <w:hideMark/>
          </w:tcPr>
          <w:p w:rsidR="00195BE7" w:rsidRPr="001E2F6E" w:rsidRDefault="00195BE7" w:rsidP="00195BE7">
            <w:pPr>
              <w:spacing w:line="240" w:lineRule="exact"/>
              <w:ind w:right="170"/>
              <w:jc w:val="right"/>
              <w:rPr>
                <w:b/>
                <w:bCs/>
                <w:color w:val="000000"/>
                <w:sz w:val="16"/>
                <w:szCs w:val="16"/>
              </w:rPr>
            </w:pPr>
            <w:r w:rsidRPr="001E2F6E">
              <w:rPr>
                <w:b/>
                <w:bCs/>
                <w:color w:val="000000"/>
                <w:sz w:val="16"/>
                <w:szCs w:val="16"/>
              </w:rPr>
              <w:t>2.643.374.568</w:t>
            </w:r>
          </w:p>
        </w:tc>
        <w:tc>
          <w:tcPr>
            <w:tcW w:w="698" w:type="dxa"/>
            <w:tcBorders>
              <w:top w:val="single" w:sz="4" w:space="0" w:color="BFBFBF" w:themeColor="background1" w:themeShade="BF"/>
              <w:bottom w:val="single" w:sz="4" w:space="0" w:color="BFBFBF" w:themeColor="background1" w:themeShade="BF"/>
              <w:right w:val="single" w:sz="4" w:space="0" w:color="BFBFBF" w:themeColor="background1" w:themeShade="BF"/>
            </w:tcBorders>
            <w:vAlign w:val="bottom"/>
            <w:hideMark/>
          </w:tcPr>
          <w:p w:rsidR="00195BE7" w:rsidRPr="001E2F6E" w:rsidRDefault="00195BE7" w:rsidP="00195BE7">
            <w:pPr>
              <w:spacing w:line="240" w:lineRule="exact"/>
              <w:ind w:right="170"/>
              <w:jc w:val="right"/>
              <w:rPr>
                <w:b/>
                <w:bCs/>
                <w:color w:val="000000"/>
                <w:sz w:val="16"/>
                <w:szCs w:val="16"/>
              </w:rPr>
            </w:pPr>
            <w:r w:rsidRPr="001E2F6E">
              <w:rPr>
                <w:b/>
                <w:bCs/>
                <w:color w:val="000000"/>
                <w:sz w:val="16"/>
                <w:szCs w:val="16"/>
              </w:rPr>
              <w:t>100</w:t>
            </w:r>
          </w:p>
        </w:tc>
        <w:tc>
          <w:tcPr>
            <w:tcW w:w="1276" w:type="dxa"/>
            <w:tcBorders>
              <w:top w:val="single" w:sz="4" w:space="0" w:color="BFBFBF" w:themeColor="background1" w:themeShade="BF"/>
              <w:left w:val="single" w:sz="4" w:space="0" w:color="BFBFBF" w:themeColor="background1" w:themeShade="BF"/>
              <w:bottom w:val="single" w:sz="4" w:space="0" w:color="BFBFBF" w:themeColor="background1" w:themeShade="BF"/>
            </w:tcBorders>
            <w:vAlign w:val="bottom"/>
            <w:hideMark/>
          </w:tcPr>
          <w:p w:rsidR="00195BE7" w:rsidRPr="001E2F6E" w:rsidRDefault="00195BE7" w:rsidP="00195BE7">
            <w:pPr>
              <w:spacing w:line="240" w:lineRule="exact"/>
              <w:ind w:right="170"/>
              <w:jc w:val="right"/>
              <w:rPr>
                <w:b/>
                <w:bCs/>
                <w:color w:val="000000"/>
                <w:sz w:val="16"/>
                <w:szCs w:val="16"/>
              </w:rPr>
            </w:pPr>
            <w:r w:rsidRPr="001E2F6E">
              <w:rPr>
                <w:b/>
                <w:bCs/>
                <w:color w:val="000000"/>
                <w:sz w:val="16"/>
                <w:szCs w:val="16"/>
              </w:rPr>
              <w:t>300.044.955</w:t>
            </w:r>
          </w:p>
        </w:tc>
        <w:tc>
          <w:tcPr>
            <w:tcW w:w="716" w:type="dxa"/>
            <w:tcBorders>
              <w:top w:val="single" w:sz="4" w:space="0" w:color="BFBFBF" w:themeColor="background1" w:themeShade="BF"/>
              <w:bottom w:val="single" w:sz="4" w:space="0" w:color="BFBFBF" w:themeColor="background1" w:themeShade="BF"/>
              <w:right w:val="single" w:sz="4" w:space="0" w:color="BFBFBF" w:themeColor="background1" w:themeShade="BF"/>
            </w:tcBorders>
            <w:vAlign w:val="bottom"/>
            <w:hideMark/>
          </w:tcPr>
          <w:p w:rsidR="00195BE7" w:rsidRPr="001E2F6E" w:rsidRDefault="00195BE7" w:rsidP="00195BE7">
            <w:pPr>
              <w:spacing w:line="240" w:lineRule="exact"/>
              <w:ind w:right="170"/>
              <w:jc w:val="right"/>
              <w:rPr>
                <w:b/>
                <w:bCs/>
                <w:color w:val="000000"/>
                <w:sz w:val="16"/>
                <w:szCs w:val="16"/>
              </w:rPr>
            </w:pPr>
            <w:r w:rsidRPr="001E2F6E">
              <w:rPr>
                <w:b/>
                <w:bCs/>
                <w:color w:val="000000"/>
                <w:sz w:val="16"/>
                <w:szCs w:val="16"/>
              </w:rPr>
              <w:t>100</w:t>
            </w:r>
          </w:p>
        </w:tc>
        <w:tc>
          <w:tcPr>
            <w:tcW w:w="1276" w:type="dxa"/>
            <w:tcBorders>
              <w:top w:val="single" w:sz="4" w:space="0" w:color="BFBFBF" w:themeColor="background1" w:themeShade="BF"/>
              <w:left w:val="single" w:sz="4" w:space="0" w:color="BFBFBF" w:themeColor="background1" w:themeShade="BF"/>
              <w:bottom w:val="single" w:sz="4" w:space="0" w:color="BFBFBF" w:themeColor="background1" w:themeShade="BF"/>
            </w:tcBorders>
            <w:vAlign w:val="bottom"/>
            <w:hideMark/>
          </w:tcPr>
          <w:p w:rsidR="00195BE7" w:rsidRPr="001E2F6E" w:rsidRDefault="00195BE7" w:rsidP="00195BE7">
            <w:pPr>
              <w:spacing w:line="240" w:lineRule="exact"/>
              <w:ind w:right="170"/>
              <w:jc w:val="right"/>
              <w:rPr>
                <w:b/>
                <w:bCs/>
                <w:color w:val="000000"/>
                <w:sz w:val="16"/>
                <w:szCs w:val="16"/>
              </w:rPr>
            </w:pPr>
            <w:r w:rsidRPr="001E2F6E">
              <w:rPr>
                <w:b/>
                <w:bCs/>
                <w:color w:val="000000"/>
                <w:sz w:val="16"/>
                <w:szCs w:val="16"/>
              </w:rPr>
              <w:t>830.004.114</w:t>
            </w:r>
          </w:p>
        </w:tc>
        <w:tc>
          <w:tcPr>
            <w:tcW w:w="851" w:type="dxa"/>
            <w:tcBorders>
              <w:top w:val="single" w:sz="4" w:space="0" w:color="BFBFBF" w:themeColor="background1" w:themeShade="BF"/>
              <w:bottom w:val="single" w:sz="4" w:space="0" w:color="BFBFBF" w:themeColor="background1" w:themeShade="BF"/>
              <w:right w:val="single" w:sz="4" w:space="0" w:color="BFBFBF" w:themeColor="background1" w:themeShade="BF"/>
            </w:tcBorders>
            <w:vAlign w:val="bottom"/>
            <w:hideMark/>
          </w:tcPr>
          <w:p w:rsidR="00195BE7" w:rsidRPr="001E2F6E" w:rsidRDefault="00195BE7" w:rsidP="00195BE7">
            <w:pPr>
              <w:spacing w:line="240" w:lineRule="exact"/>
              <w:ind w:right="170"/>
              <w:jc w:val="right"/>
              <w:rPr>
                <w:b/>
                <w:bCs/>
                <w:color w:val="000000"/>
                <w:sz w:val="16"/>
                <w:szCs w:val="16"/>
              </w:rPr>
            </w:pPr>
            <w:r w:rsidRPr="001E2F6E">
              <w:rPr>
                <w:b/>
                <w:bCs/>
                <w:color w:val="000000"/>
                <w:sz w:val="16"/>
                <w:szCs w:val="16"/>
              </w:rPr>
              <w:t>100</w:t>
            </w:r>
          </w:p>
        </w:tc>
        <w:tc>
          <w:tcPr>
            <w:tcW w:w="1410" w:type="dxa"/>
            <w:tcBorders>
              <w:top w:val="single" w:sz="4" w:space="0" w:color="BFBFBF" w:themeColor="background1" w:themeShade="BF"/>
              <w:left w:val="single" w:sz="4" w:space="0" w:color="BFBFBF" w:themeColor="background1" w:themeShade="BF"/>
              <w:bottom w:val="single" w:sz="4" w:space="0" w:color="BFBFBF" w:themeColor="background1" w:themeShade="BF"/>
            </w:tcBorders>
            <w:vAlign w:val="bottom"/>
            <w:hideMark/>
          </w:tcPr>
          <w:p w:rsidR="00195BE7" w:rsidRPr="001E2F6E" w:rsidRDefault="00195BE7" w:rsidP="00195BE7">
            <w:pPr>
              <w:spacing w:line="240" w:lineRule="exact"/>
              <w:ind w:right="170"/>
              <w:jc w:val="right"/>
              <w:rPr>
                <w:b/>
                <w:bCs/>
                <w:color w:val="000000"/>
                <w:sz w:val="16"/>
                <w:szCs w:val="16"/>
              </w:rPr>
            </w:pPr>
            <w:r w:rsidRPr="001E2F6E">
              <w:rPr>
                <w:b/>
                <w:bCs/>
                <w:color w:val="000000"/>
                <w:sz w:val="16"/>
                <w:szCs w:val="16"/>
              </w:rPr>
              <w:t>1.513.325.498</w:t>
            </w:r>
          </w:p>
        </w:tc>
        <w:tc>
          <w:tcPr>
            <w:tcW w:w="851" w:type="dxa"/>
            <w:tcBorders>
              <w:top w:val="single" w:sz="4" w:space="0" w:color="BFBFBF" w:themeColor="background1" w:themeShade="BF"/>
              <w:bottom w:val="single" w:sz="4" w:space="0" w:color="BFBFBF" w:themeColor="background1" w:themeShade="BF"/>
            </w:tcBorders>
            <w:vAlign w:val="bottom"/>
            <w:hideMark/>
          </w:tcPr>
          <w:p w:rsidR="00195BE7" w:rsidRPr="001E2F6E" w:rsidRDefault="00195BE7" w:rsidP="00195BE7">
            <w:pPr>
              <w:spacing w:line="240" w:lineRule="exact"/>
              <w:ind w:right="170"/>
              <w:jc w:val="right"/>
              <w:rPr>
                <w:b/>
                <w:bCs/>
                <w:color w:val="000000"/>
                <w:sz w:val="16"/>
                <w:szCs w:val="16"/>
              </w:rPr>
            </w:pPr>
            <w:r w:rsidRPr="001E2F6E">
              <w:rPr>
                <w:b/>
                <w:bCs/>
                <w:color w:val="000000"/>
                <w:sz w:val="16"/>
                <w:szCs w:val="16"/>
              </w:rPr>
              <w:t>100</w:t>
            </w:r>
          </w:p>
        </w:tc>
      </w:tr>
    </w:tbl>
    <w:p w:rsidR="00195BE7" w:rsidRPr="001E2F6E" w:rsidRDefault="00195BE7" w:rsidP="00195BE7">
      <w:pPr>
        <w:spacing w:line="240" w:lineRule="auto"/>
        <w:rPr>
          <w:b/>
          <w:color w:val="1F497D" w:themeColor="text2"/>
          <w:sz w:val="18"/>
          <w:szCs w:val="18"/>
        </w:rPr>
      </w:pPr>
    </w:p>
    <w:p w:rsidR="00195BE7" w:rsidRPr="001E2F6E" w:rsidRDefault="00195BE7" w:rsidP="00195BE7">
      <w:pPr>
        <w:rPr>
          <w:b/>
          <w:color w:val="1F497D" w:themeColor="text2"/>
          <w:sz w:val="18"/>
          <w:szCs w:val="18"/>
        </w:rPr>
      </w:pPr>
    </w:p>
    <w:p w:rsidR="00195BE7" w:rsidRPr="001E2F6E" w:rsidRDefault="00195BE7" w:rsidP="00195BE7">
      <w:pPr>
        <w:spacing w:line="240" w:lineRule="auto"/>
        <w:jc w:val="center"/>
        <w:rPr>
          <w:b/>
          <w:color w:val="1F497D" w:themeColor="text2"/>
          <w:sz w:val="18"/>
          <w:szCs w:val="18"/>
        </w:rPr>
      </w:pPr>
      <w:bookmarkStart w:id="174" w:name="_Toc391989116"/>
      <w:bookmarkStart w:id="175" w:name="_Toc392585781"/>
      <w:r w:rsidRPr="001E2F6E">
        <w:rPr>
          <w:b/>
          <w:color w:val="1F497D" w:themeColor="text2"/>
          <w:sz w:val="18"/>
          <w:szCs w:val="18"/>
        </w:rPr>
        <w:t>1.</w:t>
      </w:r>
      <w:r w:rsidR="00EB6BA6" w:rsidRPr="001E2F6E">
        <w:rPr>
          <w:b/>
          <w:color w:val="1F497D" w:themeColor="text2"/>
          <w:sz w:val="18"/>
          <w:szCs w:val="18"/>
        </w:rPr>
        <w:fldChar w:fldCharType="begin"/>
      </w:r>
      <w:r w:rsidRPr="001E2F6E">
        <w:rPr>
          <w:b/>
          <w:color w:val="1F497D" w:themeColor="text2"/>
          <w:sz w:val="18"/>
          <w:szCs w:val="18"/>
        </w:rPr>
        <w:instrText xml:space="preserve"> SEQ Cuadro_1. \* ARABIC </w:instrText>
      </w:r>
      <w:r w:rsidR="00EB6BA6" w:rsidRPr="001E2F6E">
        <w:rPr>
          <w:b/>
          <w:color w:val="1F497D" w:themeColor="text2"/>
          <w:sz w:val="18"/>
          <w:szCs w:val="18"/>
        </w:rPr>
        <w:fldChar w:fldCharType="separate"/>
      </w:r>
      <w:r w:rsidR="00A327D4">
        <w:rPr>
          <w:b/>
          <w:noProof/>
          <w:color w:val="1F497D" w:themeColor="text2"/>
          <w:sz w:val="18"/>
          <w:szCs w:val="18"/>
        </w:rPr>
        <w:t>46</w:t>
      </w:r>
      <w:r w:rsidR="00EB6BA6" w:rsidRPr="001E2F6E">
        <w:rPr>
          <w:b/>
          <w:color w:val="1F497D" w:themeColor="text2"/>
          <w:sz w:val="18"/>
          <w:szCs w:val="18"/>
        </w:rPr>
        <w:fldChar w:fldCharType="end"/>
      </w:r>
      <w:r w:rsidRPr="001E2F6E">
        <w:rPr>
          <w:b/>
          <w:color w:val="1F497D" w:themeColor="text2"/>
          <w:sz w:val="18"/>
          <w:szCs w:val="18"/>
        </w:rPr>
        <w:t xml:space="preserve"> Taula PRODUKTIBITATE ANTZEMANGARRIA LURRALDE HISTORIKOAREN ARABERA 2008-2012. (Euro kopurua, milakoan /Enplegatua)</w:t>
      </w:r>
      <w:bookmarkEnd w:id="174"/>
      <w:bookmarkEnd w:id="175"/>
    </w:p>
    <w:tbl>
      <w:tblPr>
        <w:tblW w:w="5000" w:type="pct"/>
        <w:jc w:val="center"/>
        <w:tblCellMar>
          <w:left w:w="70" w:type="dxa"/>
          <w:right w:w="70" w:type="dxa"/>
        </w:tblCellMar>
        <w:tblLook w:val="04A0" w:firstRow="1" w:lastRow="0" w:firstColumn="1" w:lastColumn="0" w:noHBand="0" w:noVBand="1"/>
      </w:tblPr>
      <w:tblGrid>
        <w:gridCol w:w="1864"/>
        <w:gridCol w:w="1670"/>
        <w:gridCol w:w="1696"/>
        <w:gridCol w:w="2002"/>
        <w:gridCol w:w="1696"/>
      </w:tblGrid>
      <w:tr w:rsidR="00195BE7" w:rsidRPr="001E2F6E" w:rsidTr="00195BE7">
        <w:trPr>
          <w:jc w:val="center"/>
        </w:trPr>
        <w:tc>
          <w:tcPr>
            <w:tcW w:w="1044" w:type="pct"/>
            <w:tcBorders>
              <w:top w:val="single" w:sz="8" w:space="0" w:color="BFBFBF"/>
              <w:left w:val="nil"/>
              <w:bottom w:val="single" w:sz="8" w:space="0" w:color="BFBFBF"/>
              <w:right w:val="single" w:sz="8" w:space="0" w:color="BFBFBF"/>
            </w:tcBorders>
            <w:shd w:val="clear" w:color="000000" w:fill="DBE5F1"/>
            <w:hideMark/>
          </w:tcPr>
          <w:p w:rsidR="00195BE7" w:rsidRPr="001E2F6E" w:rsidRDefault="00195BE7" w:rsidP="00195BE7">
            <w:pPr>
              <w:spacing w:line="240" w:lineRule="exact"/>
              <w:rPr>
                <w:rFonts w:ascii="Calibri" w:hAnsi="Calibri"/>
                <w:color w:val="000000"/>
              </w:rPr>
            </w:pPr>
            <w:r w:rsidRPr="001E2F6E">
              <w:rPr>
                <w:rFonts w:ascii="Calibri" w:hAnsi="Calibri"/>
                <w:color w:val="000000"/>
              </w:rPr>
              <w:t> </w:t>
            </w:r>
          </w:p>
        </w:tc>
        <w:tc>
          <w:tcPr>
            <w:tcW w:w="935" w:type="pct"/>
            <w:tcBorders>
              <w:top w:val="single" w:sz="8" w:space="0" w:color="BFBFBF"/>
              <w:left w:val="nil"/>
              <w:bottom w:val="single" w:sz="8" w:space="0" w:color="BFBFBF"/>
              <w:right w:val="single" w:sz="8" w:space="0" w:color="BFBFBF"/>
            </w:tcBorders>
            <w:shd w:val="clear" w:color="000000" w:fill="DBE5F1"/>
            <w:hideMark/>
          </w:tcPr>
          <w:p w:rsidR="00195BE7" w:rsidRPr="001E2F6E" w:rsidRDefault="00195BE7" w:rsidP="00195BE7">
            <w:pPr>
              <w:spacing w:line="240" w:lineRule="exact"/>
              <w:jc w:val="center"/>
              <w:rPr>
                <w:b/>
                <w:bCs/>
                <w:sz w:val="16"/>
                <w:szCs w:val="16"/>
              </w:rPr>
            </w:pPr>
            <w:r w:rsidRPr="001E2F6E">
              <w:rPr>
                <w:b/>
                <w:bCs/>
                <w:sz w:val="16"/>
                <w:szCs w:val="16"/>
              </w:rPr>
              <w:t>Araba</w:t>
            </w:r>
          </w:p>
        </w:tc>
        <w:tc>
          <w:tcPr>
            <w:tcW w:w="950" w:type="pct"/>
            <w:tcBorders>
              <w:top w:val="single" w:sz="8" w:space="0" w:color="BFBFBF"/>
              <w:left w:val="nil"/>
              <w:bottom w:val="single" w:sz="8" w:space="0" w:color="BFBFBF"/>
              <w:right w:val="single" w:sz="8" w:space="0" w:color="BFBFBF"/>
            </w:tcBorders>
            <w:shd w:val="clear" w:color="000000" w:fill="DBE5F1"/>
            <w:hideMark/>
          </w:tcPr>
          <w:p w:rsidR="00195BE7" w:rsidRPr="001E2F6E" w:rsidRDefault="00195BE7" w:rsidP="00195BE7">
            <w:pPr>
              <w:spacing w:line="240" w:lineRule="exact"/>
              <w:jc w:val="center"/>
              <w:rPr>
                <w:b/>
                <w:bCs/>
                <w:sz w:val="16"/>
                <w:szCs w:val="16"/>
              </w:rPr>
            </w:pPr>
            <w:r w:rsidRPr="001E2F6E">
              <w:rPr>
                <w:b/>
                <w:bCs/>
                <w:sz w:val="16"/>
                <w:szCs w:val="16"/>
                <w:lang w:val="en-GB"/>
              </w:rPr>
              <w:t>Bizkaia</w:t>
            </w:r>
          </w:p>
        </w:tc>
        <w:tc>
          <w:tcPr>
            <w:tcW w:w="1121" w:type="pct"/>
            <w:tcBorders>
              <w:top w:val="single" w:sz="8" w:space="0" w:color="BFBFBF"/>
              <w:left w:val="nil"/>
              <w:bottom w:val="single" w:sz="8" w:space="0" w:color="BFBFBF"/>
              <w:right w:val="single" w:sz="8" w:space="0" w:color="BFBFBF"/>
            </w:tcBorders>
            <w:shd w:val="clear" w:color="000000" w:fill="DBE5F1"/>
            <w:hideMark/>
          </w:tcPr>
          <w:p w:rsidR="00195BE7" w:rsidRPr="001E2F6E" w:rsidRDefault="00195BE7" w:rsidP="00195BE7">
            <w:pPr>
              <w:spacing w:line="240" w:lineRule="exact"/>
              <w:jc w:val="center"/>
              <w:rPr>
                <w:b/>
                <w:bCs/>
                <w:sz w:val="16"/>
                <w:szCs w:val="16"/>
              </w:rPr>
            </w:pPr>
            <w:r w:rsidRPr="001E2F6E">
              <w:rPr>
                <w:b/>
                <w:bCs/>
                <w:sz w:val="16"/>
                <w:szCs w:val="16"/>
                <w:lang w:val="en-GB"/>
              </w:rPr>
              <w:t>Gipuzkoa</w:t>
            </w:r>
          </w:p>
        </w:tc>
        <w:tc>
          <w:tcPr>
            <w:tcW w:w="950" w:type="pct"/>
            <w:tcBorders>
              <w:top w:val="single" w:sz="8" w:space="0" w:color="BFBFBF"/>
              <w:left w:val="nil"/>
              <w:bottom w:val="single" w:sz="8" w:space="0" w:color="BFBFBF"/>
              <w:right w:val="nil"/>
            </w:tcBorders>
            <w:shd w:val="clear" w:color="000000" w:fill="DBE5F1"/>
            <w:hideMark/>
          </w:tcPr>
          <w:p w:rsidR="00195BE7" w:rsidRPr="001E2F6E" w:rsidRDefault="00195BE7" w:rsidP="00195BE7">
            <w:pPr>
              <w:spacing w:line="240" w:lineRule="exact"/>
              <w:jc w:val="center"/>
              <w:rPr>
                <w:rFonts w:eastAsia="Times New Roman"/>
                <w:b/>
                <w:bCs/>
                <w:color w:val="000000"/>
                <w:sz w:val="16"/>
                <w:szCs w:val="16"/>
                <w:lang w:eastAsia="es-ES"/>
              </w:rPr>
            </w:pPr>
            <w:r w:rsidRPr="001E2F6E">
              <w:rPr>
                <w:rFonts w:eastAsia="Times New Roman"/>
                <w:b/>
                <w:bCs/>
                <w:color w:val="000000"/>
                <w:sz w:val="16"/>
                <w:szCs w:val="16"/>
                <w:lang w:eastAsia="es-ES"/>
              </w:rPr>
              <w:t>EAE</w:t>
            </w:r>
          </w:p>
        </w:tc>
      </w:tr>
      <w:tr w:rsidR="00195BE7" w:rsidRPr="001E2F6E" w:rsidTr="00195BE7">
        <w:trPr>
          <w:jc w:val="center"/>
        </w:trPr>
        <w:tc>
          <w:tcPr>
            <w:tcW w:w="1044" w:type="pct"/>
            <w:tcBorders>
              <w:top w:val="nil"/>
              <w:left w:val="nil"/>
              <w:bottom w:val="nil"/>
              <w:right w:val="single" w:sz="8" w:space="0" w:color="BFBFBF"/>
            </w:tcBorders>
            <w:shd w:val="clear" w:color="auto" w:fill="auto"/>
            <w:hideMark/>
          </w:tcPr>
          <w:p w:rsidR="00195BE7" w:rsidRPr="001E2F6E" w:rsidRDefault="00195BE7" w:rsidP="00195BE7">
            <w:pPr>
              <w:spacing w:line="240" w:lineRule="exact"/>
              <w:ind w:right="170"/>
              <w:rPr>
                <w:color w:val="000000"/>
                <w:sz w:val="16"/>
                <w:szCs w:val="16"/>
              </w:rPr>
            </w:pPr>
            <w:r w:rsidRPr="001E2F6E">
              <w:rPr>
                <w:color w:val="000000"/>
                <w:sz w:val="16"/>
                <w:szCs w:val="16"/>
              </w:rPr>
              <w:t>2008</w:t>
            </w:r>
          </w:p>
        </w:tc>
        <w:tc>
          <w:tcPr>
            <w:tcW w:w="935" w:type="pct"/>
            <w:tcBorders>
              <w:top w:val="nil"/>
              <w:left w:val="nil"/>
              <w:bottom w:val="nil"/>
              <w:right w:val="single" w:sz="8" w:space="0" w:color="BFBFBF"/>
            </w:tcBorders>
            <w:shd w:val="clear" w:color="auto" w:fill="auto"/>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51.807</w:t>
            </w:r>
          </w:p>
        </w:tc>
        <w:tc>
          <w:tcPr>
            <w:tcW w:w="950" w:type="pct"/>
            <w:tcBorders>
              <w:top w:val="nil"/>
              <w:left w:val="nil"/>
              <w:bottom w:val="nil"/>
              <w:right w:val="single" w:sz="8" w:space="0" w:color="BFBFBF"/>
            </w:tcBorders>
            <w:shd w:val="clear" w:color="auto" w:fill="auto"/>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40.031</w:t>
            </w:r>
          </w:p>
        </w:tc>
        <w:tc>
          <w:tcPr>
            <w:tcW w:w="1121" w:type="pct"/>
            <w:tcBorders>
              <w:top w:val="nil"/>
              <w:left w:val="nil"/>
              <w:bottom w:val="nil"/>
              <w:right w:val="single" w:sz="8" w:space="0" w:color="BFBFBF"/>
            </w:tcBorders>
            <w:shd w:val="clear" w:color="auto" w:fill="auto"/>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50.918</w:t>
            </w:r>
          </w:p>
        </w:tc>
        <w:tc>
          <w:tcPr>
            <w:tcW w:w="950" w:type="pct"/>
            <w:tcBorders>
              <w:top w:val="nil"/>
              <w:left w:val="nil"/>
              <w:bottom w:val="nil"/>
              <w:right w:val="nil"/>
            </w:tcBorders>
            <w:shd w:val="clear" w:color="auto" w:fill="auto"/>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46.755</w:t>
            </w:r>
          </w:p>
        </w:tc>
      </w:tr>
      <w:tr w:rsidR="00195BE7" w:rsidRPr="001E2F6E" w:rsidTr="00195BE7">
        <w:trPr>
          <w:jc w:val="center"/>
        </w:trPr>
        <w:tc>
          <w:tcPr>
            <w:tcW w:w="1044" w:type="pct"/>
            <w:tcBorders>
              <w:top w:val="nil"/>
              <w:left w:val="nil"/>
              <w:bottom w:val="nil"/>
              <w:right w:val="single" w:sz="8" w:space="0" w:color="BFBFBF"/>
            </w:tcBorders>
            <w:shd w:val="clear" w:color="auto" w:fill="auto"/>
            <w:hideMark/>
          </w:tcPr>
          <w:p w:rsidR="00195BE7" w:rsidRPr="001E2F6E" w:rsidRDefault="00195BE7" w:rsidP="00195BE7">
            <w:pPr>
              <w:spacing w:line="240" w:lineRule="exact"/>
              <w:ind w:right="170"/>
              <w:rPr>
                <w:color w:val="000000"/>
                <w:sz w:val="16"/>
                <w:szCs w:val="16"/>
              </w:rPr>
            </w:pPr>
            <w:r w:rsidRPr="001E2F6E">
              <w:rPr>
                <w:color w:val="000000"/>
                <w:sz w:val="16"/>
                <w:szCs w:val="16"/>
              </w:rPr>
              <w:t>2010</w:t>
            </w:r>
          </w:p>
        </w:tc>
        <w:tc>
          <w:tcPr>
            <w:tcW w:w="935" w:type="pct"/>
            <w:tcBorders>
              <w:top w:val="nil"/>
              <w:left w:val="nil"/>
              <w:bottom w:val="nil"/>
              <w:right w:val="single" w:sz="8" w:space="0" w:color="BFBFBF"/>
            </w:tcBorders>
            <w:shd w:val="clear" w:color="auto" w:fill="auto"/>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52.465</w:t>
            </w:r>
          </w:p>
        </w:tc>
        <w:tc>
          <w:tcPr>
            <w:tcW w:w="950" w:type="pct"/>
            <w:tcBorders>
              <w:top w:val="nil"/>
              <w:left w:val="nil"/>
              <w:bottom w:val="nil"/>
              <w:right w:val="single" w:sz="8" w:space="0" w:color="BFBFBF"/>
            </w:tcBorders>
            <w:shd w:val="clear" w:color="auto" w:fill="auto"/>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41.175</w:t>
            </w:r>
          </w:p>
        </w:tc>
        <w:tc>
          <w:tcPr>
            <w:tcW w:w="1121" w:type="pct"/>
            <w:tcBorders>
              <w:top w:val="nil"/>
              <w:left w:val="nil"/>
              <w:bottom w:val="nil"/>
              <w:right w:val="single" w:sz="8" w:space="0" w:color="BFBFBF"/>
            </w:tcBorders>
            <w:shd w:val="clear" w:color="auto" w:fill="auto"/>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50.857</w:t>
            </w:r>
          </w:p>
        </w:tc>
        <w:tc>
          <w:tcPr>
            <w:tcW w:w="950" w:type="pct"/>
            <w:tcBorders>
              <w:top w:val="nil"/>
              <w:left w:val="nil"/>
              <w:bottom w:val="nil"/>
              <w:right w:val="nil"/>
            </w:tcBorders>
            <w:shd w:val="clear" w:color="auto" w:fill="auto"/>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47.126</w:t>
            </w:r>
          </w:p>
        </w:tc>
      </w:tr>
      <w:tr w:rsidR="00195BE7" w:rsidRPr="001E2F6E" w:rsidTr="00195BE7">
        <w:trPr>
          <w:jc w:val="center"/>
        </w:trPr>
        <w:tc>
          <w:tcPr>
            <w:tcW w:w="1044" w:type="pct"/>
            <w:tcBorders>
              <w:top w:val="nil"/>
              <w:left w:val="nil"/>
              <w:bottom w:val="single" w:sz="8" w:space="0" w:color="BFBFBF"/>
              <w:right w:val="single" w:sz="8" w:space="0" w:color="BFBFBF"/>
            </w:tcBorders>
            <w:shd w:val="clear" w:color="auto" w:fill="auto"/>
            <w:hideMark/>
          </w:tcPr>
          <w:p w:rsidR="00195BE7" w:rsidRPr="001E2F6E" w:rsidRDefault="00195BE7" w:rsidP="00195BE7">
            <w:pPr>
              <w:spacing w:line="240" w:lineRule="exact"/>
              <w:ind w:right="170"/>
              <w:rPr>
                <w:color w:val="000000"/>
                <w:sz w:val="16"/>
                <w:szCs w:val="16"/>
              </w:rPr>
            </w:pPr>
            <w:r w:rsidRPr="001E2F6E">
              <w:rPr>
                <w:color w:val="000000"/>
                <w:sz w:val="16"/>
                <w:szCs w:val="16"/>
              </w:rPr>
              <w:t>2012</w:t>
            </w:r>
          </w:p>
        </w:tc>
        <w:tc>
          <w:tcPr>
            <w:tcW w:w="935" w:type="pct"/>
            <w:tcBorders>
              <w:top w:val="nil"/>
              <w:left w:val="nil"/>
              <w:bottom w:val="single" w:sz="8" w:space="0" w:color="BFBFBF"/>
              <w:right w:val="single" w:sz="8" w:space="0" w:color="BFBFBF"/>
            </w:tcBorders>
            <w:shd w:val="clear" w:color="auto" w:fill="auto"/>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51.321</w:t>
            </w:r>
          </w:p>
        </w:tc>
        <w:tc>
          <w:tcPr>
            <w:tcW w:w="950" w:type="pct"/>
            <w:tcBorders>
              <w:top w:val="nil"/>
              <w:left w:val="nil"/>
              <w:bottom w:val="single" w:sz="8" w:space="0" w:color="BFBFBF"/>
              <w:right w:val="single" w:sz="8" w:space="0" w:color="BFBFBF"/>
            </w:tcBorders>
            <w:shd w:val="clear" w:color="auto" w:fill="auto"/>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39.361</w:t>
            </w:r>
          </w:p>
        </w:tc>
        <w:tc>
          <w:tcPr>
            <w:tcW w:w="1121" w:type="pct"/>
            <w:tcBorders>
              <w:top w:val="nil"/>
              <w:left w:val="nil"/>
              <w:bottom w:val="single" w:sz="8" w:space="0" w:color="BFBFBF"/>
              <w:right w:val="single" w:sz="8" w:space="0" w:color="BFBFBF"/>
            </w:tcBorders>
            <w:shd w:val="clear" w:color="auto" w:fill="auto"/>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52.409</w:t>
            </w:r>
          </w:p>
        </w:tc>
        <w:tc>
          <w:tcPr>
            <w:tcW w:w="950" w:type="pct"/>
            <w:tcBorders>
              <w:top w:val="nil"/>
              <w:left w:val="nil"/>
              <w:bottom w:val="single" w:sz="8" w:space="0" w:color="BFBFBF"/>
              <w:right w:val="nil"/>
            </w:tcBorders>
            <w:shd w:val="clear" w:color="auto" w:fill="auto"/>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47.364</w:t>
            </w:r>
          </w:p>
        </w:tc>
      </w:tr>
    </w:tbl>
    <w:p w:rsidR="00195BE7" w:rsidRPr="001E2F6E" w:rsidRDefault="00195BE7" w:rsidP="00195BE7"/>
    <w:p w:rsidR="00195BE7" w:rsidRPr="001E2F6E" w:rsidRDefault="00195BE7" w:rsidP="00195BE7">
      <w:pPr>
        <w:spacing w:line="240" w:lineRule="auto"/>
        <w:jc w:val="center"/>
        <w:rPr>
          <w:b/>
          <w:color w:val="1F497D" w:themeColor="text2"/>
          <w:sz w:val="18"/>
          <w:szCs w:val="18"/>
        </w:rPr>
      </w:pPr>
      <w:bookmarkStart w:id="176" w:name="_Toc391989117"/>
      <w:bookmarkStart w:id="177" w:name="_Toc392585782"/>
      <w:r w:rsidRPr="001E2F6E">
        <w:rPr>
          <w:b/>
          <w:color w:val="1F497D" w:themeColor="text2"/>
          <w:sz w:val="18"/>
          <w:szCs w:val="18"/>
        </w:rPr>
        <w:t>1.</w:t>
      </w:r>
      <w:r w:rsidR="00EB6BA6" w:rsidRPr="001E2F6E">
        <w:rPr>
          <w:b/>
          <w:color w:val="1F497D" w:themeColor="text2"/>
          <w:sz w:val="18"/>
          <w:szCs w:val="18"/>
        </w:rPr>
        <w:fldChar w:fldCharType="begin"/>
      </w:r>
      <w:r w:rsidRPr="001E2F6E">
        <w:rPr>
          <w:b/>
          <w:color w:val="1F497D" w:themeColor="text2"/>
          <w:sz w:val="18"/>
          <w:szCs w:val="18"/>
        </w:rPr>
        <w:instrText xml:space="preserve"> SEQ Cuadro_1. \* ARABIC </w:instrText>
      </w:r>
      <w:r w:rsidR="00EB6BA6" w:rsidRPr="001E2F6E">
        <w:rPr>
          <w:b/>
          <w:color w:val="1F497D" w:themeColor="text2"/>
          <w:sz w:val="18"/>
          <w:szCs w:val="18"/>
        </w:rPr>
        <w:fldChar w:fldCharType="separate"/>
      </w:r>
      <w:r w:rsidR="00A327D4">
        <w:rPr>
          <w:b/>
          <w:noProof/>
          <w:color w:val="1F497D" w:themeColor="text2"/>
          <w:sz w:val="18"/>
          <w:szCs w:val="18"/>
        </w:rPr>
        <w:t>47</w:t>
      </w:r>
      <w:r w:rsidR="00EB6BA6" w:rsidRPr="001E2F6E">
        <w:rPr>
          <w:b/>
          <w:color w:val="1F497D" w:themeColor="text2"/>
          <w:sz w:val="18"/>
          <w:szCs w:val="18"/>
        </w:rPr>
        <w:fldChar w:fldCharType="end"/>
      </w:r>
      <w:r w:rsidRPr="001E2F6E">
        <w:rPr>
          <w:b/>
          <w:color w:val="1F497D" w:themeColor="text2"/>
          <w:sz w:val="18"/>
          <w:szCs w:val="18"/>
        </w:rPr>
        <w:t xml:space="preserve"> Taula LURRALDE-PRODUKTIBITATE ANTZEMANGARRIA, FORMA JURIDIKOAREN ARABERA. 2012 (Euroak/Enplegatua)</w:t>
      </w:r>
      <w:bookmarkEnd w:id="176"/>
      <w:bookmarkEnd w:id="177"/>
    </w:p>
    <w:tbl>
      <w:tblPr>
        <w:tblW w:w="5000" w:type="pct"/>
        <w:jc w:val="center"/>
        <w:tblCellMar>
          <w:left w:w="70" w:type="dxa"/>
          <w:right w:w="70" w:type="dxa"/>
        </w:tblCellMar>
        <w:tblLook w:val="04A0" w:firstRow="1" w:lastRow="0" w:firstColumn="1" w:lastColumn="0" w:noHBand="0" w:noVBand="1"/>
      </w:tblPr>
      <w:tblGrid>
        <w:gridCol w:w="1864"/>
        <w:gridCol w:w="1670"/>
        <w:gridCol w:w="1696"/>
        <w:gridCol w:w="2002"/>
        <w:gridCol w:w="1696"/>
      </w:tblGrid>
      <w:tr w:rsidR="00195BE7" w:rsidRPr="001E2F6E" w:rsidTr="00195BE7">
        <w:trPr>
          <w:jc w:val="center"/>
        </w:trPr>
        <w:tc>
          <w:tcPr>
            <w:tcW w:w="1044" w:type="pct"/>
            <w:tcBorders>
              <w:top w:val="single" w:sz="8" w:space="0" w:color="BFBFBF"/>
              <w:left w:val="nil"/>
              <w:bottom w:val="single" w:sz="8" w:space="0" w:color="BFBFBF"/>
              <w:right w:val="single" w:sz="8" w:space="0" w:color="BFBFBF"/>
            </w:tcBorders>
            <w:shd w:val="clear" w:color="000000" w:fill="DBE5F1"/>
            <w:hideMark/>
          </w:tcPr>
          <w:p w:rsidR="00195BE7" w:rsidRPr="001E2F6E" w:rsidRDefault="00195BE7" w:rsidP="00195BE7">
            <w:pPr>
              <w:spacing w:line="240" w:lineRule="exact"/>
              <w:rPr>
                <w:rFonts w:ascii="Calibri" w:hAnsi="Calibri"/>
                <w:color w:val="000000"/>
              </w:rPr>
            </w:pPr>
            <w:r w:rsidRPr="001E2F6E">
              <w:rPr>
                <w:rFonts w:ascii="Calibri" w:hAnsi="Calibri"/>
                <w:color w:val="000000"/>
              </w:rPr>
              <w:t> </w:t>
            </w:r>
          </w:p>
        </w:tc>
        <w:tc>
          <w:tcPr>
            <w:tcW w:w="935" w:type="pct"/>
            <w:tcBorders>
              <w:top w:val="single" w:sz="8" w:space="0" w:color="BFBFBF"/>
              <w:left w:val="nil"/>
              <w:bottom w:val="single" w:sz="8" w:space="0" w:color="BFBFBF"/>
              <w:right w:val="single" w:sz="8" w:space="0" w:color="BFBFBF"/>
            </w:tcBorders>
            <w:shd w:val="clear" w:color="000000" w:fill="DBE5F1"/>
            <w:hideMark/>
          </w:tcPr>
          <w:p w:rsidR="00195BE7" w:rsidRPr="001E2F6E" w:rsidRDefault="00195BE7" w:rsidP="00195BE7">
            <w:pPr>
              <w:spacing w:line="240" w:lineRule="exact"/>
              <w:jc w:val="center"/>
              <w:rPr>
                <w:b/>
                <w:bCs/>
                <w:sz w:val="16"/>
                <w:szCs w:val="16"/>
              </w:rPr>
            </w:pPr>
            <w:r w:rsidRPr="001E2F6E">
              <w:rPr>
                <w:b/>
                <w:bCs/>
                <w:sz w:val="16"/>
                <w:szCs w:val="16"/>
              </w:rPr>
              <w:t>Araba</w:t>
            </w:r>
          </w:p>
        </w:tc>
        <w:tc>
          <w:tcPr>
            <w:tcW w:w="950" w:type="pct"/>
            <w:tcBorders>
              <w:top w:val="single" w:sz="8" w:space="0" w:color="BFBFBF"/>
              <w:left w:val="nil"/>
              <w:bottom w:val="single" w:sz="8" w:space="0" w:color="BFBFBF"/>
              <w:right w:val="single" w:sz="8" w:space="0" w:color="BFBFBF"/>
            </w:tcBorders>
            <w:shd w:val="clear" w:color="000000" w:fill="DBE5F1"/>
            <w:hideMark/>
          </w:tcPr>
          <w:p w:rsidR="00195BE7" w:rsidRPr="001E2F6E" w:rsidRDefault="00195BE7" w:rsidP="00195BE7">
            <w:pPr>
              <w:spacing w:line="240" w:lineRule="exact"/>
              <w:jc w:val="center"/>
              <w:rPr>
                <w:b/>
                <w:bCs/>
                <w:sz w:val="16"/>
                <w:szCs w:val="16"/>
              </w:rPr>
            </w:pPr>
            <w:r w:rsidRPr="001E2F6E">
              <w:rPr>
                <w:b/>
                <w:bCs/>
                <w:sz w:val="16"/>
                <w:szCs w:val="16"/>
                <w:lang w:val="en-GB"/>
              </w:rPr>
              <w:t>Bizkaia</w:t>
            </w:r>
          </w:p>
        </w:tc>
        <w:tc>
          <w:tcPr>
            <w:tcW w:w="1121" w:type="pct"/>
            <w:tcBorders>
              <w:top w:val="single" w:sz="8" w:space="0" w:color="BFBFBF"/>
              <w:left w:val="nil"/>
              <w:bottom w:val="single" w:sz="8" w:space="0" w:color="BFBFBF"/>
              <w:right w:val="single" w:sz="8" w:space="0" w:color="BFBFBF"/>
            </w:tcBorders>
            <w:shd w:val="clear" w:color="000000" w:fill="DBE5F1"/>
            <w:hideMark/>
          </w:tcPr>
          <w:p w:rsidR="00195BE7" w:rsidRPr="001E2F6E" w:rsidRDefault="00195BE7" w:rsidP="00195BE7">
            <w:pPr>
              <w:spacing w:line="240" w:lineRule="exact"/>
              <w:jc w:val="center"/>
              <w:rPr>
                <w:b/>
                <w:bCs/>
                <w:sz w:val="16"/>
                <w:szCs w:val="16"/>
              </w:rPr>
            </w:pPr>
            <w:r w:rsidRPr="001E2F6E">
              <w:rPr>
                <w:b/>
                <w:bCs/>
                <w:sz w:val="16"/>
                <w:szCs w:val="16"/>
                <w:lang w:val="en-GB"/>
              </w:rPr>
              <w:t>Gipuzkoa</w:t>
            </w:r>
          </w:p>
        </w:tc>
        <w:tc>
          <w:tcPr>
            <w:tcW w:w="950" w:type="pct"/>
            <w:tcBorders>
              <w:top w:val="single" w:sz="8" w:space="0" w:color="BFBFBF"/>
              <w:left w:val="nil"/>
              <w:bottom w:val="single" w:sz="8" w:space="0" w:color="BFBFBF"/>
              <w:right w:val="nil"/>
            </w:tcBorders>
            <w:shd w:val="clear" w:color="000000" w:fill="DBE5F1"/>
            <w:hideMark/>
          </w:tcPr>
          <w:p w:rsidR="00195BE7" w:rsidRPr="001E2F6E" w:rsidRDefault="00195BE7" w:rsidP="00195BE7">
            <w:pPr>
              <w:spacing w:line="240" w:lineRule="exact"/>
              <w:jc w:val="center"/>
              <w:rPr>
                <w:rFonts w:eastAsia="Times New Roman"/>
                <w:b/>
                <w:bCs/>
                <w:color w:val="000000"/>
                <w:sz w:val="16"/>
                <w:szCs w:val="16"/>
                <w:lang w:eastAsia="es-ES"/>
              </w:rPr>
            </w:pPr>
            <w:r w:rsidRPr="001E2F6E">
              <w:rPr>
                <w:rFonts w:eastAsia="Times New Roman"/>
                <w:b/>
                <w:bCs/>
                <w:color w:val="000000"/>
                <w:sz w:val="16"/>
                <w:szCs w:val="16"/>
                <w:lang w:eastAsia="es-ES"/>
              </w:rPr>
              <w:t>EAE</w:t>
            </w:r>
          </w:p>
        </w:tc>
      </w:tr>
      <w:tr w:rsidR="00195BE7" w:rsidRPr="001E2F6E" w:rsidTr="00195BE7">
        <w:trPr>
          <w:jc w:val="center"/>
        </w:trPr>
        <w:tc>
          <w:tcPr>
            <w:tcW w:w="1044" w:type="pct"/>
            <w:tcBorders>
              <w:top w:val="nil"/>
              <w:left w:val="nil"/>
              <w:bottom w:val="nil"/>
              <w:right w:val="single" w:sz="8" w:space="0" w:color="BFBFBF"/>
            </w:tcBorders>
            <w:shd w:val="clear" w:color="auto" w:fill="auto"/>
            <w:hideMark/>
          </w:tcPr>
          <w:p w:rsidR="00195BE7" w:rsidRPr="001E2F6E" w:rsidRDefault="00195BE7" w:rsidP="00195BE7">
            <w:pPr>
              <w:spacing w:line="240" w:lineRule="exact"/>
              <w:rPr>
                <w:rFonts w:eastAsia="Times New Roman"/>
                <w:color w:val="000000"/>
                <w:sz w:val="16"/>
                <w:szCs w:val="16"/>
                <w:lang w:eastAsia="es-ES"/>
              </w:rPr>
            </w:pPr>
            <w:r w:rsidRPr="001E2F6E">
              <w:rPr>
                <w:rFonts w:eastAsia="Times New Roman"/>
                <w:color w:val="000000"/>
                <w:sz w:val="16"/>
                <w:szCs w:val="16"/>
                <w:lang w:val="en-GB" w:eastAsia="es-ES"/>
              </w:rPr>
              <w:t>Koop.</w:t>
            </w:r>
          </w:p>
        </w:tc>
        <w:tc>
          <w:tcPr>
            <w:tcW w:w="935" w:type="pct"/>
            <w:tcBorders>
              <w:top w:val="nil"/>
              <w:left w:val="nil"/>
              <w:bottom w:val="nil"/>
              <w:right w:val="single" w:sz="8" w:space="0" w:color="BFBFBF"/>
            </w:tcBorders>
            <w:shd w:val="clear" w:color="auto" w:fill="auto"/>
            <w:vAlign w:val="center"/>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55.674</w:t>
            </w:r>
          </w:p>
        </w:tc>
        <w:tc>
          <w:tcPr>
            <w:tcW w:w="950" w:type="pct"/>
            <w:tcBorders>
              <w:top w:val="nil"/>
              <w:left w:val="nil"/>
              <w:bottom w:val="nil"/>
              <w:right w:val="single" w:sz="8" w:space="0" w:color="BFBFBF"/>
            </w:tcBorders>
            <w:shd w:val="clear" w:color="auto" w:fill="auto"/>
            <w:vAlign w:val="center"/>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40.458</w:t>
            </w:r>
          </w:p>
        </w:tc>
        <w:tc>
          <w:tcPr>
            <w:tcW w:w="1121" w:type="pct"/>
            <w:tcBorders>
              <w:top w:val="nil"/>
              <w:left w:val="nil"/>
              <w:bottom w:val="nil"/>
              <w:right w:val="single" w:sz="8" w:space="0" w:color="BFBFBF"/>
            </w:tcBorders>
            <w:shd w:val="clear" w:color="auto" w:fill="auto"/>
            <w:vAlign w:val="center"/>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55.373</w:t>
            </w:r>
          </w:p>
        </w:tc>
        <w:tc>
          <w:tcPr>
            <w:tcW w:w="950" w:type="pct"/>
            <w:tcBorders>
              <w:top w:val="nil"/>
              <w:left w:val="nil"/>
              <w:bottom w:val="nil"/>
              <w:right w:val="nil"/>
            </w:tcBorders>
            <w:shd w:val="clear" w:color="auto" w:fill="auto"/>
            <w:vAlign w:val="center"/>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55.674</w:t>
            </w:r>
          </w:p>
        </w:tc>
      </w:tr>
      <w:tr w:rsidR="00195BE7" w:rsidRPr="001E2F6E" w:rsidTr="00195BE7">
        <w:trPr>
          <w:jc w:val="center"/>
        </w:trPr>
        <w:tc>
          <w:tcPr>
            <w:tcW w:w="1044" w:type="pct"/>
            <w:tcBorders>
              <w:top w:val="nil"/>
              <w:left w:val="nil"/>
              <w:bottom w:val="nil"/>
              <w:right w:val="single" w:sz="8" w:space="0" w:color="BFBFBF"/>
            </w:tcBorders>
            <w:shd w:val="clear" w:color="auto" w:fill="auto"/>
            <w:hideMark/>
          </w:tcPr>
          <w:p w:rsidR="00195BE7" w:rsidRPr="001E2F6E" w:rsidRDefault="00195BE7" w:rsidP="00195BE7">
            <w:pPr>
              <w:spacing w:line="240" w:lineRule="exact"/>
              <w:rPr>
                <w:rFonts w:eastAsia="Times New Roman"/>
                <w:color w:val="000000"/>
                <w:sz w:val="16"/>
                <w:szCs w:val="16"/>
                <w:lang w:eastAsia="es-ES"/>
              </w:rPr>
            </w:pPr>
            <w:r w:rsidRPr="001E2F6E">
              <w:rPr>
                <w:rFonts w:eastAsia="Times New Roman"/>
                <w:color w:val="000000"/>
                <w:sz w:val="16"/>
                <w:szCs w:val="16"/>
                <w:lang w:val="en-GB" w:eastAsia="es-ES"/>
              </w:rPr>
              <w:t>LSA</w:t>
            </w:r>
          </w:p>
        </w:tc>
        <w:tc>
          <w:tcPr>
            <w:tcW w:w="935" w:type="pct"/>
            <w:tcBorders>
              <w:top w:val="nil"/>
              <w:left w:val="nil"/>
              <w:bottom w:val="nil"/>
              <w:right w:val="single" w:sz="8" w:space="0" w:color="BFBFBF"/>
            </w:tcBorders>
            <w:shd w:val="clear" w:color="auto" w:fill="auto"/>
            <w:vAlign w:val="center"/>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26.289</w:t>
            </w:r>
          </w:p>
        </w:tc>
        <w:tc>
          <w:tcPr>
            <w:tcW w:w="950" w:type="pct"/>
            <w:tcBorders>
              <w:top w:val="nil"/>
              <w:left w:val="nil"/>
              <w:bottom w:val="nil"/>
              <w:right w:val="single" w:sz="8" w:space="0" w:color="BFBFBF"/>
            </w:tcBorders>
            <w:shd w:val="clear" w:color="auto" w:fill="auto"/>
            <w:vAlign w:val="center"/>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38.310</w:t>
            </w:r>
          </w:p>
        </w:tc>
        <w:tc>
          <w:tcPr>
            <w:tcW w:w="1121" w:type="pct"/>
            <w:tcBorders>
              <w:top w:val="nil"/>
              <w:left w:val="nil"/>
              <w:bottom w:val="nil"/>
              <w:right w:val="single" w:sz="8" w:space="0" w:color="BFBFBF"/>
            </w:tcBorders>
            <w:shd w:val="clear" w:color="auto" w:fill="auto"/>
            <w:vAlign w:val="center"/>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37.708</w:t>
            </w:r>
          </w:p>
        </w:tc>
        <w:tc>
          <w:tcPr>
            <w:tcW w:w="950" w:type="pct"/>
            <w:tcBorders>
              <w:top w:val="nil"/>
              <w:left w:val="nil"/>
              <w:bottom w:val="nil"/>
              <w:right w:val="nil"/>
            </w:tcBorders>
            <w:shd w:val="clear" w:color="auto" w:fill="auto"/>
            <w:vAlign w:val="center"/>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36.632</w:t>
            </w:r>
          </w:p>
        </w:tc>
      </w:tr>
      <w:tr w:rsidR="00195BE7" w:rsidRPr="001E2F6E" w:rsidTr="00195BE7">
        <w:trPr>
          <w:jc w:val="center"/>
        </w:trPr>
        <w:tc>
          <w:tcPr>
            <w:tcW w:w="1044" w:type="pct"/>
            <w:tcBorders>
              <w:top w:val="nil"/>
              <w:left w:val="nil"/>
              <w:bottom w:val="single" w:sz="4" w:space="0" w:color="BFBFBF" w:themeColor="background1" w:themeShade="BF"/>
              <w:right w:val="single" w:sz="8" w:space="0" w:color="BFBFBF"/>
            </w:tcBorders>
            <w:shd w:val="clear" w:color="auto" w:fill="auto"/>
            <w:hideMark/>
          </w:tcPr>
          <w:p w:rsidR="00195BE7" w:rsidRPr="001E2F6E" w:rsidRDefault="00195BE7" w:rsidP="00195BE7">
            <w:pPr>
              <w:spacing w:line="240" w:lineRule="exact"/>
              <w:rPr>
                <w:rFonts w:eastAsia="Times New Roman"/>
                <w:color w:val="000000"/>
                <w:sz w:val="16"/>
                <w:szCs w:val="16"/>
                <w:lang w:eastAsia="es-ES"/>
              </w:rPr>
            </w:pPr>
            <w:r w:rsidRPr="001E2F6E">
              <w:rPr>
                <w:rFonts w:eastAsia="Times New Roman"/>
                <w:color w:val="000000"/>
                <w:sz w:val="16"/>
                <w:szCs w:val="16"/>
                <w:lang w:val="en-GB" w:eastAsia="es-ES"/>
              </w:rPr>
              <w:t>LSM</w:t>
            </w:r>
          </w:p>
        </w:tc>
        <w:tc>
          <w:tcPr>
            <w:tcW w:w="935" w:type="pct"/>
            <w:tcBorders>
              <w:top w:val="nil"/>
              <w:left w:val="nil"/>
              <w:bottom w:val="single" w:sz="4" w:space="0" w:color="BFBFBF" w:themeColor="background1" w:themeShade="BF"/>
              <w:right w:val="single" w:sz="8" w:space="0" w:color="BFBFBF"/>
            </w:tcBorders>
            <w:shd w:val="clear" w:color="auto" w:fill="auto"/>
            <w:vAlign w:val="center"/>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26.066</w:t>
            </w:r>
          </w:p>
        </w:tc>
        <w:tc>
          <w:tcPr>
            <w:tcW w:w="950" w:type="pct"/>
            <w:tcBorders>
              <w:top w:val="nil"/>
              <w:left w:val="nil"/>
              <w:bottom w:val="single" w:sz="4" w:space="0" w:color="BFBFBF" w:themeColor="background1" w:themeShade="BF"/>
              <w:right w:val="single" w:sz="8" w:space="0" w:color="BFBFBF"/>
            </w:tcBorders>
            <w:shd w:val="clear" w:color="auto" w:fill="auto"/>
            <w:vAlign w:val="center"/>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27.887</w:t>
            </w:r>
          </w:p>
        </w:tc>
        <w:tc>
          <w:tcPr>
            <w:tcW w:w="1121" w:type="pct"/>
            <w:tcBorders>
              <w:top w:val="nil"/>
              <w:left w:val="nil"/>
              <w:bottom w:val="single" w:sz="4" w:space="0" w:color="BFBFBF" w:themeColor="background1" w:themeShade="BF"/>
              <w:right w:val="single" w:sz="8" w:space="0" w:color="BFBFBF"/>
            </w:tcBorders>
            <w:shd w:val="clear" w:color="auto" w:fill="auto"/>
            <w:vAlign w:val="center"/>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26.028</w:t>
            </w:r>
          </w:p>
        </w:tc>
        <w:tc>
          <w:tcPr>
            <w:tcW w:w="950" w:type="pct"/>
            <w:tcBorders>
              <w:top w:val="nil"/>
              <w:left w:val="nil"/>
              <w:bottom w:val="single" w:sz="4" w:space="0" w:color="BFBFBF" w:themeColor="background1" w:themeShade="BF"/>
              <w:right w:val="nil"/>
            </w:tcBorders>
            <w:shd w:val="clear" w:color="auto" w:fill="auto"/>
            <w:vAlign w:val="center"/>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26.772</w:t>
            </w:r>
          </w:p>
        </w:tc>
      </w:tr>
      <w:tr w:rsidR="00195BE7" w:rsidRPr="001E2F6E" w:rsidTr="00195BE7">
        <w:trPr>
          <w:jc w:val="center"/>
        </w:trPr>
        <w:tc>
          <w:tcPr>
            <w:tcW w:w="1044" w:type="pct"/>
            <w:tcBorders>
              <w:top w:val="single" w:sz="4" w:space="0" w:color="BFBFBF" w:themeColor="background1" w:themeShade="BF"/>
              <w:left w:val="nil"/>
              <w:bottom w:val="single" w:sz="8" w:space="0" w:color="BFBFBF"/>
              <w:right w:val="single" w:sz="8" w:space="0" w:color="BFBFBF"/>
            </w:tcBorders>
            <w:shd w:val="clear" w:color="auto" w:fill="auto"/>
          </w:tcPr>
          <w:p w:rsidR="00195BE7" w:rsidRPr="001E2F6E" w:rsidRDefault="00195BE7" w:rsidP="00195BE7">
            <w:pPr>
              <w:spacing w:line="240" w:lineRule="exact"/>
              <w:rPr>
                <w:rFonts w:eastAsia="Times New Roman"/>
                <w:b/>
                <w:bCs/>
                <w:color w:val="000000"/>
                <w:sz w:val="16"/>
                <w:szCs w:val="16"/>
                <w:lang w:eastAsia="es-ES"/>
              </w:rPr>
            </w:pPr>
            <w:r w:rsidRPr="001E2F6E">
              <w:rPr>
                <w:rFonts w:eastAsia="Times New Roman"/>
                <w:b/>
                <w:bCs/>
                <w:color w:val="000000"/>
                <w:sz w:val="16"/>
                <w:szCs w:val="16"/>
                <w:lang w:eastAsia="es-ES"/>
              </w:rPr>
              <w:t>GUZTIRA</w:t>
            </w:r>
          </w:p>
        </w:tc>
        <w:tc>
          <w:tcPr>
            <w:tcW w:w="935" w:type="pct"/>
            <w:tcBorders>
              <w:top w:val="single" w:sz="4" w:space="0" w:color="BFBFBF" w:themeColor="background1" w:themeShade="BF"/>
              <w:left w:val="nil"/>
              <w:bottom w:val="single" w:sz="8" w:space="0" w:color="BFBFBF"/>
              <w:right w:val="single" w:sz="8" w:space="0" w:color="BFBFBF"/>
            </w:tcBorders>
            <w:shd w:val="clear" w:color="auto" w:fill="auto"/>
            <w:vAlign w:val="center"/>
          </w:tcPr>
          <w:p w:rsidR="00195BE7" w:rsidRPr="001E2F6E" w:rsidRDefault="00195BE7" w:rsidP="00195BE7">
            <w:pPr>
              <w:spacing w:line="240" w:lineRule="exact"/>
              <w:ind w:right="170"/>
              <w:jc w:val="right"/>
              <w:rPr>
                <w:b/>
                <w:bCs/>
                <w:color w:val="000000"/>
                <w:sz w:val="16"/>
                <w:szCs w:val="16"/>
              </w:rPr>
            </w:pPr>
            <w:r w:rsidRPr="001E2F6E">
              <w:rPr>
                <w:b/>
                <w:bCs/>
                <w:color w:val="000000"/>
                <w:sz w:val="16"/>
                <w:szCs w:val="16"/>
              </w:rPr>
              <w:t>51.321</w:t>
            </w:r>
          </w:p>
        </w:tc>
        <w:tc>
          <w:tcPr>
            <w:tcW w:w="950" w:type="pct"/>
            <w:tcBorders>
              <w:top w:val="single" w:sz="4" w:space="0" w:color="BFBFBF" w:themeColor="background1" w:themeShade="BF"/>
              <w:left w:val="nil"/>
              <w:bottom w:val="single" w:sz="8" w:space="0" w:color="BFBFBF"/>
              <w:right w:val="single" w:sz="8" w:space="0" w:color="BFBFBF"/>
            </w:tcBorders>
            <w:shd w:val="clear" w:color="auto" w:fill="auto"/>
            <w:vAlign w:val="center"/>
          </w:tcPr>
          <w:p w:rsidR="00195BE7" w:rsidRPr="001E2F6E" w:rsidRDefault="00195BE7" w:rsidP="00195BE7">
            <w:pPr>
              <w:spacing w:line="240" w:lineRule="exact"/>
              <w:ind w:right="170"/>
              <w:jc w:val="right"/>
              <w:rPr>
                <w:b/>
                <w:bCs/>
                <w:color w:val="000000"/>
                <w:sz w:val="16"/>
                <w:szCs w:val="16"/>
              </w:rPr>
            </w:pPr>
            <w:r w:rsidRPr="001E2F6E">
              <w:rPr>
                <w:b/>
                <w:bCs/>
                <w:color w:val="000000"/>
                <w:sz w:val="16"/>
                <w:szCs w:val="16"/>
              </w:rPr>
              <w:t>39.361</w:t>
            </w:r>
          </w:p>
        </w:tc>
        <w:tc>
          <w:tcPr>
            <w:tcW w:w="1121" w:type="pct"/>
            <w:tcBorders>
              <w:top w:val="single" w:sz="4" w:space="0" w:color="BFBFBF" w:themeColor="background1" w:themeShade="BF"/>
              <w:left w:val="nil"/>
              <w:bottom w:val="single" w:sz="8" w:space="0" w:color="BFBFBF"/>
              <w:right w:val="single" w:sz="8" w:space="0" w:color="BFBFBF"/>
            </w:tcBorders>
            <w:shd w:val="clear" w:color="auto" w:fill="auto"/>
            <w:vAlign w:val="center"/>
          </w:tcPr>
          <w:p w:rsidR="00195BE7" w:rsidRPr="001E2F6E" w:rsidRDefault="00195BE7" w:rsidP="00195BE7">
            <w:pPr>
              <w:spacing w:line="240" w:lineRule="exact"/>
              <w:ind w:right="170"/>
              <w:jc w:val="right"/>
              <w:rPr>
                <w:b/>
                <w:bCs/>
                <w:color w:val="000000"/>
                <w:sz w:val="16"/>
                <w:szCs w:val="16"/>
              </w:rPr>
            </w:pPr>
            <w:r w:rsidRPr="001E2F6E">
              <w:rPr>
                <w:b/>
                <w:bCs/>
                <w:color w:val="000000"/>
                <w:sz w:val="16"/>
                <w:szCs w:val="16"/>
              </w:rPr>
              <w:t>52.409</w:t>
            </w:r>
          </w:p>
        </w:tc>
        <w:tc>
          <w:tcPr>
            <w:tcW w:w="950" w:type="pct"/>
            <w:tcBorders>
              <w:top w:val="single" w:sz="4" w:space="0" w:color="BFBFBF" w:themeColor="background1" w:themeShade="BF"/>
              <w:left w:val="nil"/>
              <w:bottom w:val="single" w:sz="8" w:space="0" w:color="BFBFBF"/>
              <w:right w:val="nil"/>
            </w:tcBorders>
            <w:shd w:val="clear" w:color="auto" w:fill="auto"/>
            <w:vAlign w:val="center"/>
          </w:tcPr>
          <w:p w:rsidR="00195BE7" w:rsidRPr="001E2F6E" w:rsidRDefault="00195BE7" w:rsidP="00195BE7">
            <w:pPr>
              <w:spacing w:line="240" w:lineRule="exact"/>
              <w:ind w:right="170"/>
              <w:jc w:val="right"/>
              <w:rPr>
                <w:b/>
                <w:bCs/>
                <w:color w:val="000000"/>
                <w:sz w:val="16"/>
                <w:szCs w:val="16"/>
              </w:rPr>
            </w:pPr>
            <w:r w:rsidRPr="001E2F6E">
              <w:rPr>
                <w:b/>
                <w:bCs/>
                <w:color w:val="000000"/>
                <w:sz w:val="16"/>
                <w:szCs w:val="16"/>
              </w:rPr>
              <w:t>47.364</w:t>
            </w:r>
          </w:p>
        </w:tc>
      </w:tr>
    </w:tbl>
    <w:p w:rsidR="00195BE7" w:rsidRPr="001E2F6E" w:rsidRDefault="00195BE7" w:rsidP="00195BE7">
      <w:pPr>
        <w:pStyle w:val="Ttulo1"/>
        <w:ind w:left="708" w:hanging="708"/>
        <w:rPr>
          <w:color w:val="1F497D" w:themeColor="text2"/>
          <w:sz w:val="26"/>
          <w:szCs w:val="26"/>
        </w:rPr>
      </w:pPr>
    </w:p>
    <w:p w:rsidR="00195BE7" w:rsidRPr="001E2F6E" w:rsidRDefault="00195BE7" w:rsidP="00195BE7">
      <w:pPr>
        <w:rPr>
          <w:rFonts w:eastAsia="Times New Roman" w:cs="Times New Roman"/>
          <w:snapToGrid w:val="0"/>
          <w:lang w:eastAsia="es-ES"/>
        </w:rPr>
      </w:pPr>
      <w:r w:rsidRPr="001E2F6E">
        <w:br w:type="page"/>
      </w:r>
    </w:p>
    <w:p w:rsidR="00195BE7" w:rsidRPr="001E2F6E" w:rsidRDefault="00195BE7" w:rsidP="00195BE7">
      <w:pPr>
        <w:pStyle w:val="Ttulo1"/>
        <w:ind w:left="708" w:hanging="708"/>
        <w:rPr>
          <w:color w:val="1F497D" w:themeColor="text2"/>
          <w:sz w:val="26"/>
          <w:szCs w:val="26"/>
        </w:rPr>
      </w:pPr>
      <w:bookmarkStart w:id="178" w:name="_Toc391989019"/>
      <w:bookmarkStart w:id="179" w:name="_Toc392585682"/>
      <w:r w:rsidRPr="001E2F6E">
        <w:rPr>
          <w:color w:val="1F497D" w:themeColor="text2"/>
          <w:sz w:val="26"/>
          <w:szCs w:val="26"/>
        </w:rPr>
        <w:lastRenderedPageBreak/>
        <w:t>4.-</w:t>
      </w:r>
      <w:r w:rsidRPr="001E2F6E">
        <w:rPr>
          <w:color w:val="1F497D" w:themeColor="text2"/>
          <w:sz w:val="26"/>
          <w:szCs w:val="26"/>
        </w:rPr>
        <w:tab/>
      </w:r>
      <w:r w:rsidRPr="001E2F6E">
        <w:rPr>
          <w:color w:val="1F497D" w:themeColor="text2"/>
          <w:sz w:val="26"/>
          <w:szCs w:val="26"/>
          <w:lang w:val="eu-ES"/>
        </w:rPr>
        <w:t>GIZARTE-EKONOMIAREN ESPORTAZIOAK</w:t>
      </w:r>
      <w:bookmarkEnd w:id="178"/>
      <w:bookmarkEnd w:id="179"/>
    </w:p>
    <w:p w:rsidR="00195BE7" w:rsidRPr="001E2F6E" w:rsidRDefault="00195BE7" w:rsidP="00195BE7">
      <w:pPr>
        <w:rPr>
          <w:lang w:val="es-ES_tradnl"/>
        </w:rPr>
      </w:pPr>
    </w:p>
    <w:p w:rsidR="00195BE7" w:rsidRPr="001E2F6E" w:rsidRDefault="00195BE7" w:rsidP="00195BE7">
      <w:pPr>
        <w:rPr>
          <w:lang w:val="es-ES_tradnl"/>
        </w:rPr>
      </w:pPr>
    </w:p>
    <w:p w:rsidR="00195BE7" w:rsidRPr="001E2F6E" w:rsidRDefault="00195BE7" w:rsidP="00195BE7">
      <w:pPr>
        <w:pStyle w:val="Textoindependiente"/>
        <w:jc w:val="center"/>
        <w:rPr>
          <w:rFonts w:ascii="Arial" w:hAnsi="Arial" w:cs="Arial"/>
          <w:b/>
          <w:color w:val="1F497D" w:themeColor="text2"/>
          <w:sz w:val="18"/>
          <w:szCs w:val="18"/>
          <w:lang w:val="es-ES_tradnl"/>
        </w:rPr>
      </w:pPr>
      <w:bookmarkStart w:id="180" w:name="_Toc391989159"/>
      <w:bookmarkStart w:id="181" w:name="_Toc392585824"/>
      <w:r w:rsidRPr="001E2F6E">
        <w:rPr>
          <w:rFonts w:ascii="Arial" w:hAnsi="Arial" w:cs="Arial"/>
          <w:b/>
          <w:color w:val="1F497D" w:themeColor="text2"/>
          <w:sz w:val="18"/>
          <w:szCs w:val="18"/>
          <w:lang w:val="es-ES_tradnl"/>
        </w:rPr>
        <w:t>1.</w:t>
      </w:r>
      <w:r w:rsidR="00EB6BA6" w:rsidRPr="001E2F6E">
        <w:rPr>
          <w:rFonts w:ascii="Arial" w:hAnsi="Arial" w:cs="Arial"/>
          <w:b/>
          <w:color w:val="1F497D" w:themeColor="text2"/>
          <w:sz w:val="18"/>
          <w:szCs w:val="18"/>
          <w:lang w:val="es-ES_tradnl"/>
        </w:rPr>
        <w:fldChar w:fldCharType="begin"/>
      </w:r>
      <w:r w:rsidRPr="001E2F6E">
        <w:rPr>
          <w:rFonts w:ascii="Arial" w:hAnsi="Arial" w:cs="Arial"/>
          <w:b/>
          <w:color w:val="1F497D" w:themeColor="text2"/>
          <w:sz w:val="18"/>
          <w:szCs w:val="18"/>
          <w:lang w:val="es-ES_tradnl"/>
        </w:rPr>
        <w:instrText xml:space="preserve"> SEQ Gráfico_1. \* ARABIC </w:instrText>
      </w:r>
      <w:r w:rsidR="00EB6BA6" w:rsidRPr="001E2F6E">
        <w:rPr>
          <w:rFonts w:ascii="Arial" w:hAnsi="Arial" w:cs="Arial"/>
          <w:b/>
          <w:color w:val="1F497D" w:themeColor="text2"/>
          <w:sz w:val="18"/>
          <w:szCs w:val="18"/>
          <w:lang w:val="es-ES_tradnl"/>
        </w:rPr>
        <w:fldChar w:fldCharType="separate"/>
      </w:r>
      <w:r w:rsidR="00A327D4">
        <w:rPr>
          <w:rFonts w:ascii="Arial" w:hAnsi="Arial" w:cs="Arial"/>
          <w:b/>
          <w:noProof/>
          <w:color w:val="1F497D" w:themeColor="text2"/>
          <w:sz w:val="18"/>
          <w:szCs w:val="18"/>
          <w:lang w:val="es-ES_tradnl"/>
        </w:rPr>
        <w:t>14</w:t>
      </w:r>
      <w:r w:rsidR="00EB6BA6" w:rsidRPr="001E2F6E">
        <w:rPr>
          <w:rFonts w:ascii="Arial" w:hAnsi="Arial" w:cs="Arial"/>
          <w:b/>
          <w:color w:val="1F497D" w:themeColor="text2"/>
          <w:sz w:val="18"/>
          <w:szCs w:val="18"/>
          <w:lang w:val="es-ES_tradnl"/>
        </w:rPr>
        <w:fldChar w:fldCharType="end"/>
      </w:r>
      <w:r w:rsidRPr="001E2F6E">
        <w:rPr>
          <w:rFonts w:ascii="Arial" w:hAnsi="Arial" w:cs="Arial"/>
          <w:b/>
          <w:color w:val="1F497D" w:themeColor="text2"/>
          <w:sz w:val="18"/>
          <w:szCs w:val="18"/>
          <w:lang w:val="es-ES_tradnl"/>
        </w:rPr>
        <w:t xml:space="preserve"> Irudia KANPOKO MERKATUETARAKO IREKITZE-MAILAREN BILAKAERA (esportazioen bolumena fakturazio osoaren gainean). 1994-2012</w:t>
      </w:r>
      <w:bookmarkEnd w:id="180"/>
      <w:bookmarkEnd w:id="181"/>
    </w:p>
    <w:p w:rsidR="00195BE7" w:rsidRPr="001E2F6E" w:rsidRDefault="00195BE7" w:rsidP="00195BE7">
      <w:pPr>
        <w:pStyle w:val="Textoindependiente"/>
        <w:spacing w:line="312" w:lineRule="auto"/>
        <w:jc w:val="center"/>
        <w:rPr>
          <w:rFonts w:ascii="Arial" w:hAnsi="Arial" w:cs="Arial"/>
          <w:b/>
          <w:color w:val="1F497D" w:themeColor="text2"/>
          <w:sz w:val="18"/>
          <w:szCs w:val="18"/>
          <w:lang w:val="es-ES_tradnl"/>
        </w:rPr>
      </w:pPr>
      <w:r w:rsidRPr="001E2F6E">
        <w:rPr>
          <w:rFonts w:ascii="Arial" w:hAnsi="Arial" w:cs="Arial"/>
          <w:b/>
          <w:noProof/>
          <w:color w:val="1F497D" w:themeColor="text2"/>
          <w:sz w:val="18"/>
          <w:szCs w:val="18"/>
        </w:rPr>
        <w:drawing>
          <wp:anchor distT="0" distB="0" distL="114300" distR="114300" simplePos="0" relativeHeight="251685888" behindDoc="0" locked="0" layoutInCell="1" allowOverlap="1" wp14:anchorId="7341DD45" wp14:editId="40D29A80">
            <wp:simplePos x="0" y="0"/>
            <wp:positionH relativeFrom="column">
              <wp:posOffset>196215</wp:posOffset>
            </wp:positionH>
            <wp:positionV relativeFrom="paragraph">
              <wp:posOffset>86995</wp:posOffset>
            </wp:positionV>
            <wp:extent cx="4895850" cy="1828800"/>
            <wp:effectExtent l="0" t="0" r="0" b="0"/>
            <wp:wrapNone/>
            <wp:docPr id="76" name="Objeto 45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anchor>
        </w:drawing>
      </w:r>
    </w:p>
    <w:p w:rsidR="00195BE7" w:rsidRPr="001E2F6E" w:rsidRDefault="00195BE7" w:rsidP="00195BE7">
      <w:pPr>
        <w:pStyle w:val="Textoindependiente"/>
        <w:spacing w:line="312" w:lineRule="auto"/>
        <w:jc w:val="center"/>
        <w:rPr>
          <w:rFonts w:ascii="Arial" w:hAnsi="Arial" w:cs="Arial"/>
          <w:b/>
          <w:color w:val="1F497D" w:themeColor="text2"/>
          <w:sz w:val="18"/>
          <w:szCs w:val="18"/>
          <w:lang w:val="es-ES_tradnl"/>
        </w:rPr>
      </w:pPr>
    </w:p>
    <w:p w:rsidR="00195BE7" w:rsidRPr="001E2F6E" w:rsidRDefault="00195BE7" w:rsidP="00195BE7">
      <w:pPr>
        <w:pStyle w:val="Textoindependiente"/>
        <w:spacing w:line="312" w:lineRule="auto"/>
        <w:jc w:val="center"/>
        <w:rPr>
          <w:rFonts w:ascii="Arial" w:hAnsi="Arial" w:cs="Arial"/>
          <w:b/>
          <w:color w:val="1F497D" w:themeColor="text2"/>
          <w:sz w:val="18"/>
          <w:szCs w:val="18"/>
          <w:lang w:val="es-ES_tradnl"/>
        </w:rPr>
      </w:pPr>
    </w:p>
    <w:p w:rsidR="00195BE7" w:rsidRPr="001E2F6E" w:rsidRDefault="00195BE7" w:rsidP="00195BE7">
      <w:pPr>
        <w:pStyle w:val="Textoindependiente"/>
        <w:spacing w:line="312" w:lineRule="auto"/>
        <w:jc w:val="center"/>
        <w:rPr>
          <w:rFonts w:ascii="Arial" w:hAnsi="Arial" w:cs="Arial"/>
          <w:b/>
          <w:color w:val="1F497D" w:themeColor="text2"/>
          <w:sz w:val="18"/>
          <w:szCs w:val="18"/>
          <w:lang w:val="es-ES_tradnl"/>
        </w:rPr>
      </w:pPr>
    </w:p>
    <w:p w:rsidR="00195BE7" w:rsidRPr="001E2F6E" w:rsidRDefault="00195BE7" w:rsidP="00195BE7">
      <w:pPr>
        <w:pStyle w:val="Textoindependiente"/>
        <w:spacing w:line="312" w:lineRule="auto"/>
        <w:jc w:val="center"/>
        <w:rPr>
          <w:rFonts w:ascii="Arial" w:hAnsi="Arial" w:cs="Arial"/>
          <w:b/>
          <w:color w:val="1F497D" w:themeColor="text2"/>
          <w:sz w:val="18"/>
          <w:szCs w:val="18"/>
          <w:lang w:val="es-ES_tradnl"/>
        </w:rPr>
      </w:pPr>
    </w:p>
    <w:p w:rsidR="00195BE7" w:rsidRPr="001E2F6E" w:rsidRDefault="00195BE7" w:rsidP="00195BE7">
      <w:pPr>
        <w:pStyle w:val="Textoindependiente"/>
        <w:spacing w:line="312" w:lineRule="auto"/>
        <w:jc w:val="center"/>
        <w:rPr>
          <w:rFonts w:ascii="Arial" w:hAnsi="Arial" w:cs="Arial"/>
          <w:b/>
          <w:color w:val="1F497D" w:themeColor="text2"/>
          <w:sz w:val="18"/>
          <w:szCs w:val="18"/>
          <w:lang w:val="es-ES_tradnl"/>
        </w:rPr>
      </w:pPr>
    </w:p>
    <w:p w:rsidR="00195BE7" w:rsidRPr="001E2F6E" w:rsidRDefault="00195BE7" w:rsidP="00195BE7">
      <w:pPr>
        <w:pStyle w:val="Textoindependiente"/>
        <w:spacing w:line="312" w:lineRule="auto"/>
        <w:jc w:val="center"/>
        <w:rPr>
          <w:rFonts w:ascii="Arial" w:hAnsi="Arial" w:cs="Arial"/>
          <w:b/>
          <w:color w:val="1F497D" w:themeColor="text2"/>
          <w:sz w:val="18"/>
          <w:szCs w:val="18"/>
          <w:lang w:val="es-ES_tradnl"/>
        </w:rPr>
      </w:pPr>
    </w:p>
    <w:p w:rsidR="00195BE7" w:rsidRPr="001E2F6E" w:rsidRDefault="00195BE7" w:rsidP="00195BE7">
      <w:pPr>
        <w:pStyle w:val="Textoindependiente"/>
        <w:spacing w:line="312" w:lineRule="auto"/>
        <w:jc w:val="center"/>
        <w:rPr>
          <w:rFonts w:ascii="Arial" w:hAnsi="Arial" w:cs="Arial"/>
          <w:b/>
          <w:color w:val="1F497D" w:themeColor="text2"/>
          <w:sz w:val="18"/>
          <w:szCs w:val="18"/>
          <w:lang w:val="es-ES_tradnl"/>
        </w:rPr>
      </w:pPr>
    </w:p>
    <w:p w:rsidR="00195BE7" w:rsidRPr="001E2F6E" w:rsidRDefault="00195BE7" w:rsidP="00195BE7">
      <w:pPr>
        <w:pStyle w:val="Textoindependiente"/>
        <w:spacing w:line="312" w:lineRule="auto"/>
        <w:jc w:val="center"/>
        <w:rPr>
          <w:rFonts w:ascii="Arial" w:hAnsi="Arial" w:cs="Arial"/>
          <w:b/>
          <w:color w:val="1F497D" w:themeColor="text2"/>
          <w:sz w:val="18"/>
          <w:szCs w:val="18"/>
          <w:lang w:val="es-ES_tradnl"/>
        </w:rPr>
      </w:pPr>
    </w:p>
    <w:p w:rsidR="00195BE7" w:rsidRPr="001E2F6E" w:rsidRDefault="00195BE7" w:rsidP="00195BE7">
      <w:pPr>
        <w:pStyle w:val="Textoindependiente"/>
        <w:spacing w:line="312" w:lineRule="auto"/>
        <w:rPr>
          <w:rFonts w:ascii="Tahoma" w:hAnsi="Tahoma" w:cs="Arial"/>
          <w:b/>
          <w:i/>
          <w:sz w:val="16"/>
          <w:szCs w:val="16"/>
          <w:lang w:val="es-ES_tradnl"/>
        </w:rPr>
      </w:pPr>
    </w:p>
    <w:p w:rsidR="00195BE7" w:rsidRPr="001E2F6E" w:rsidRDefault="00195BE7" w:rsidP="00195BE7">
      <w:pPr>
        <w:pStyle w:val="Textoindependiente"/>
        <w:spacing w:line="312" w:lineRule="auto"/>
        <w:rPr>
          <w:rFonts w:ascii="Tahoma" w:hAnsi="Tahoma" w:cs="Arial"/>
          <w:b/>
          <w:i/>
          <w:sz w:val="16"/>
          <w:szCs w:val="16"/>
          <w:lang w:val="es-ES_tradnl"/>
        </w:rPr>
      </w:pPr>
    </w:p>
    <w:p w:rsidR="00195BE7" w:rsidRPr="001E2F6E" w:rsidRDefault="00195BE7" w:rsidP="00195BE7">
      <w:pPr>
        <w:pStyle w:val="Textoindependiente"/>
        <w:jc w:val="center"/>
        <w:rPr>
          <w:rFonts w:ascii="Arial" w:hAnsi="Arial" w:cs="Arial"/>
          <w:b/>
          <w:color w:val="1F497D" w:themeColor="text2"/>
          <w:sz w:val="18"/>
          <w:szCs w:val="18"/>
          <w:lang w:val="es-ES_tradnl"/>
        </w:rPr>
      </w:pPr>
    </w:p>
    <w:p w:rsidR="00195BE7" w:rsidRPr="001E2F6E" w:rsidRDefault="00195BE7" w:rsidP="00195BE7">
      <w:pPr>
        <w:spacing w:line="240" w:lineRule="auto"/>
        <w:jc w:val="center"/>
        <w:rPr>
          <w:b/>
          <w:color w:val="1F497D" w:themeColor="text2"/>
          <w:sz w:val="18"/>
          <w:szCs w:val="18"/>
          <w:lang w:val="es-ES_tradnl"/>
        </w:rPr>
      </w:pPr>
      <w:bookmarkStart w:id="182" w:name="_Toc391989160"/>
      <w:bookmarkStart w:id="183" w:name="_Toc392585825"/>
      <w:r w:rsidRPr="001E2F6E">
        <w:rPr>
          <w:b/>
          <w:color w:val="1F497D" w:themeColor="text2"/>
          <w:sz w:val="18"/>
          <w:szCs w:val="18"/>
        </w:rPr>
        <w:t>1.</w:t>
      </w:r>
      <w:r w:rsidR="00EB6BA6" w:rsidRPr="001E2F6E">
        <w:rPr>
          <w:b/>
          <w:color w:val="1F497D" w:themeColor="text2"/>
          <w:sz w:val="18"/>
          <w:szCs w:val="18"/>
        </w:rPr>
        <w:fldChar w:fldCharType="begin"/>
      </w:r>
      <w:r w:rsidRPr="001E2F6E">
        <w:rPr>
          <w:b/>
          <w:color w:val="1F497D" w:themeColor="text2"/>
          <w:sz w:val="18"/>
          <w:szCs w:val="18"/>
        </w:rPr>
        <w:instrText xml:space="preserve"> SEQ Gráfico_1. \* ARABIC </w:instrText>
      </w:r>
      <w:r w:rsidR="00EB6BA6" w:rsidRPr="001E2F6E">
        <w:rPr>
          <w:b/>
          <w:color w:val="1F497D" w:themeColor="text2"/>
          <w:sz w:val="18"/>
          <w:szCs w:val="18"/>
        </w:rPr>
        <w:fldChar w:fldCharType="separate"/>
      </w:r>
      <w:r w:rsidR="00A327D4">
        <w:rPr>
          <w:b/>
          <w:noProof/>
          <w:color w:val="1F497D" w:themeColor="text2"/>
          <w:sz w:val="18"/>
          <w:szCs w:val="18"/>
        </w:rPr>
        <w:t>15</w:t>
      </w:r>
      <w:r w:rsidR="00EB6BA6" w:rsidRPr="001E2F6E">
        <w:rPr>
          <w:b/>
          <w:color w:val="1F497D" w:themeColor="text2"/>
          <w:sz w:val="18"/>
          <w:szCs w:val="18"/>
        </w:rPr>
        <w:fldChar w:fldCharType="end"/>
      </w:r>
      <w:r w:rsidRPr="001E2F6E">
        <w:rPr>
          <w:b/>
          <w:color w:val="1F497D" w:themeColor="text2"/>
          <w:sz w:val="18"/>
          <w:szCs w:val="18"/>
        </w:rPr>
        <w:t xml:space="preserve"> Irudia </w:t>
      </w:r>
      <w:r w:rsidRPr="001E2F6E">
        <w:rPr>
          <w:rFonts w:eastAsia="Times New Roman"/>
          <w:b/>
          <w:color w:val="1F497D" w:themeColor="text2"/>
          <w:sz w:val="18"/>
          <w:szCs w:val="18"/>
          <w:lang w:val="es-ES_tradnl" w:eastAsia="es-ES"/>
        </w:rPr>
        <w:t>ESPORTAZIOEK ENPRESA ESPORTATZAILEEN FAKTURAZIO OSOAREN GAINEAN DUTEN PISU ERLATIBOAREN BILAKAERA. 2012</w:t>
      </w:r>
      <w:bookmarkEnd w:id="182"/>
      <w:bookmarkEnd w:id="183"/>
    </w:p>
    <w:p w:rsidR="00195BE7" w:rsidRPr="001E2F6E" w:rsidRDefault="00195BE7" w:rsidP="00195BE7">
      <w:pPr>
        <w:rPr>
          <w:lang w:val="es-ES_tradnl"/>
        </w:rPr>
      </w:pPr>
      <w:r w:rsidRPr="001E2F6E">
        <w:rPr>
          <w:noProof/>
          <w:lang w:eastAsia="es-ES"/>
        </w:rPr>
        <w:drawing>
          <wp:anchor distT="0" distB="0" distL="114300" distR="114300" simplePos="0" relativeHeight="251684864" behindDoc="0" locked="0" layoutInCell="1" allowOverlap="1" wp14:anchorId="6A7DF2B2" wp14:editId="7CD47A77">
            <wp:simplePos x="0" y="0"/>
            <wp:positionH relativeFrom="column">
              <wp:posOffset>295275</wp:posOffset>
            </wp:positionH>
            <wp:positionV relativeFrom="paragraph">
              <wp:posOffset>60325</wp:posOffset>
            </wp:positionV>
            <wp:extent cx="4893310" cy="1419225"/>
            <wp:effectExtent l="0" t="0" r="0" b="0"/>
            <wp:wrapNone/>
            <wp:docPr id="77" name="Objeto 47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anchor>
        </w:drawing>
      </w:r>
    </w:p>
    <w:p w:rsidR="00195BE7" w:rsidRPr="001E2F6E" w:rsidRDefault="00195BE7" w:rsidP="00195BE7">
      <w:pPr>
        <w:rPr>
          <w:lang w:val="es-ES_tradnl"/>
        </w:rPr>
      </w:pPr>
    </w:p>
    <w:p w:rsidR="00195BE7" w:rsidRPr="001E2F6E" w:rsidRDefault="00195BE7" w:rsidP="00195BE7">
      <w:pPr>
        <w:rPr>
          <w:lang w:val="es-ES_tradnl"/>
        </w:rPr>
      </w:pPr>
    </w:p>
    <w:p w:rsidR="00195BE7" w:rsidRPr="001E2F6E" w:rsidRDefault="00195BE7" w:rsidP="00195BE7">
      <w:pPr>
        <w:rPr>
          <w:lang w:val="es-ES_tradnl"/>
        </w:rPr>
      </w:pPr>
    </w:p>
    <w:p w:rsidR="00195BE7" w:rsidRPr="001E2F6E" w:rsidRDefault="00195BE7" w:rsidP="00195BE7">
      <w:pPr>
        <w:rPr>
          <w:lang w:val="es-ES_tradnl"/>
        </w:rPr>
      </w:pPr>
    </w:p>
    <w:p w:rsidR="00195BE7" w:rsidRPr="001E2F6E" w:rsidRDefault="00195BE7" w:rsidP="00195BE7">
      <w:pPr>
        <w:rPr>
          <w:lang w:val="es-ES_tradnl"/>
        </w:rPr>
      </w:pPr>
    </w:p>
    <w:p w:rsidR="00195BE7" w:rsidRPr="001E2F6E" w:rsidRDefault="00195BE7" w:rsidP="00195BE7">
      <w:pPr>
        <w:rPr>
          <w:lang w:val="es-ES_tradnl"/>
        </w:rPr>
      </w:pPr>
    </w:p>
    <w:p w:rsidR="00195BE7" w:rsidRPr="001E2F6E" w:rsidRDefault="00195BE7" w:rsidP="00195BE7"/>
    <w:p w:rsidR="00195BE7" w:rsidRPr="001E2F6E" w:rsidRDefault="00195BE7" w:rsidP="00195BE7">
      <w:pPr>
        <w:pStyle w:val="Textoindependiente"/>
        <w:jc w:val="center"/>
        <w:rPr>
          <w:rFonts w:ascii="Arial" w:hAnsi="Arial" w:cs="Arial"/>
          <w:b/>
          <w:color w:val="1F497D" w:themeColor="text2"/>
          <w:sz w:val="18"/>
          <w:szCs w:val="18"/>
          <w:lang w:val="es-ES_tradnl"/>
        </w:rPr>
      </w:pPr>
      <w:bookmarkStart w:id="184" w:name="_Toc391989161"/>
      <w:bookmarkStart w:id="185" w:name="_Toc392585826"/>
      <w:r w:rsidRPr="001E2F6E">
        <w:rPr>
          <w:rFonts w:ascii="Arial" w:eastAsiaTheme="minorHAnsi" w:hAnsi="Arial" w:cs="Arial"/>
          <w:b/>
          <w:color w:val="1F497D" w:themeColor="text2"/>
          <w:sz w:val="18"/>
          <w:szCs w:val="18"/>
          <w:lang w:val="es-ES_tradnl" w:eastAsia="en-US"/>
        </w:rPr>
        <w:t>1.</w:t>
      </w:r>
      <w:r w:rsidR="00EB6BA6" w:rsidRPr="001E2F6E">
        <w:rPr>
          <w:rFonts w:ascii="Arial" w:eastAsiaTheme="minorHAnsi" w:hAnsi="Arial" w:cs="Arial"/>
          <w:b/>
          <w:color w:val="1F497D" w:themeColor="text2"/>
          <w:sz w:val="18"/>
          <w:szCs w:val="18"/>
          <w:lang w:val="es-ES_tradnl" w:eastAsia="en-US"/>
        </w:rPr>
        <w:fldChar w:fldCharType="begin"/>
      </w:r>
      <w:r w:rsidRPr="001E2F6E">
        <w:rPr>
          <w:rFonts w:ascii="Arial" w:eastAsiaTheme="minorHAnsi" w:hAnsi="Arial" w:cs="Arial"/>
          <w:b/>
          <w:color w:val="1F497D" w:themeColor="text2"/>
          <w:sz w:val="18"/>
          <w:szCs w:val="18"/>
          <w:lang w:val="es-ES_tradnl" w:eastAsia="en-US"/>
        </w:rPr>
        <w:instrText xml:space="preserve"> SEQ Gráfico_1. \* ARABIC </w:instrText>
      </w:r>
      <w:r w:rsidR="00EB6BA6" w:rsidRPr="001E2F6E">
        <w:rPr>
          <w:rFonts w:ascii="Arial" w:eastAsiaTheme="minorHAnsi" w:hAnsi="Arial" w:cs="Arial"/>
          <w:b/>
          <w:color w:val="1F497D" w:themeColor="text2"/>
          <w:sz w:val="18"/>
          <w:szCs w:val="18"/>
          <w:lang w:val="es-ES_tradnl" w:eastAsia="en-US"/>
        </w:rPr>
        <w:fldChar w:fldCharType="separate"/>
      </w:r>
      <w:r w:rsidR="00A327D4">
        <w:rPr>
          <w:rFonts w:ascii="Arial" w:eastAsiaTheme="minorHAnsi" w:hAnsi="Arial" w:cs="Arial"/>
          <w:b/>
          <w:noProof/>
          <w:color w:val="1F497D" w:themeColor="text2"/>
          <w:sz w:val="18"/>
          <w:szCs w:val="18"/>
          <w:lang w:val="es-ES_tradnl" w:eastAsia="en-US"/>
        </w:rPr>
        <w:t>16</w:t>
      </w:r>
      <w:r w:rsidR="00EB6BA6" w:rsidRPr="001E2F6E">
        <w:rPr>
          <w:rFonts w:ascii="Arial" w:eastAsiaTheme="minorHAnsi" w:hAnsi="Arial" w:cs="Arial"/>
          <w:b/>
          <w:color w:val="1F497D" w:themeColor="text2"/>
          <w:sz w:val="18"/>
          <w:szCs w:val="18"/>
          <w:lang w:val="es-ES_tradnl" w:eastAsia="en-US"/>
        </w:rPr>
        <w:fldChar w:fldCharType="end"/>
      </w:r>
      <w:r w:rsidRPr="001E2F6E">
        <w:rPr>
          <w:rFonts w:ascii="Arial" w:eastAsiaTheme="minorHAnsi" w:hAnsi="Arial" w:cs="Arial"/>
          <w:b/>
          <w:color w:val="1F497D" w:themeColor="text2"/>
          <w:sz w:val="18"/>
          <w:szCs w:val="18"/>
          <w:lang w:val="es-ES_tradnl" w:eastAsia="en-US"/>
        </w:rPr>
        <w:t xml:space="preserve"> Irudia </w:t>
      </w:r>
      <w:r w:rsidRPr="001E2F6E">
        <w:rPr>
          <w:rFonts w:ascii="Arial" w:hAnsi="Arial" w:cs="Arial"/>
          <w:b/>
          <w:color w:val="1F497D" w:themeColor="text2"/>
          <w:sz w:val="18"/>
          <w:szCs w:val="18"/>
          <w:lang w:val="es-ES_tradnl"/>
        </w:rPr>
        <w:t>GIZARTE-EKONOMIAREN ALORREKO ENPRESEN ESPORTAZIOEN NORAKOA. 2012</w:t>
      </w:r>
      <w:bookmarkEnd w:id="184"/>
      <w:bookmarkEnd w:id="185"/>
    </w:p>
    <w:p w:rsidR="00195BE7" w:rsidRPr="001E2F6E" w:rsidRDefault="00195BE7" w:rsidP="00195BE7">
      <w:pPr>
        <w:pStyle w:val="Textoindependiente"/>
        <w:jc w:val="center"/>
        <w:rPr>
          <w:rFonts w:ascii="Arial" w:hAnsi="Arial" w:cs="Arial"/>
          <w:b/>
          <w:color w:val="1F497D" w:themeColor="text2"/>
          <w:sz w:val="18"/>
          <w:szCs w:val="18"/>
          <w:lang w:val="es-ES_tradnl"/>
        </w:rPr>
      </w:pPr>
      <w:r w:rsidRPr="001E2F6E">
        <w:rPr>
          <w:rFonts w:ascii="Arial" w:hAnsi="Arial" w:cs="Arial"/>
          <w:b/>
          <w:color w:val="1F497D" w:themeColor="text2"/>
          <w:sz w:val="18"/>
          <w:szCs w:val="18"/>
          <w:lang w:val="es-ES_tradnl"/>
        </w:rPr>
        <w:t xml:space="preserve"> (norakoaren araberako esportazio guztien %)</w:t>
      </w:r>
    </w:p>
    <w:p w:rsidR="00195BE7" w:rsidRPr="001E2F6E" w:rsidRDefault="00195BE7" w:rsidP="00195BE7">
      <w:pPr>
        <w:pStyle w:val="Textoindependiente"/>
        <w:jc w:val="center"/>
        <w:rPr>
          <w:rFonts w:ascii="Arial" w:hAnsi="Arial" w:cs="Arial"/>
          <w:b/>
          <w:color w:val="1F497D" w:themeColor="text2"/>
          <w:sz w:val="18"/>
          <w:szCs w:val="18"/>
          <w:lang w:val="es-ES_tradnl"/>
        </w:rPr>
      </w:pPr>
    </w:p>
    <w:p w:rsidR="00195BE7" w:rsidRPr="001E2F6E" w:rsidRDefault="00195BE7" w:rsidP="00195BE7">
      <w:pPr>
        <w:pStyle w:val="Textoindependiente"/>
        <w:spacing w:line="312" w:lineRule="auto"/>
        <w:rPr>
          <w:rFonts w:ascii="Arial" w:hAnsi="Arial" w:cs="Arial"/>
          <w:b/>
          <w:color w:val="1F497D" w:themeColor="text2"/>
          <w:sz w:val="18"/>
          <w:szCs w:val="18"/>
          <w:lang w:val="es-ES_tradnl"/>
        </w:rPr>
      </w:pPr>
      <w:r w:rsidRPr="001E2F6E">
        <w:rPr>
          <w:rFonts w:ascii="Arial" w:hAnsi="Arial" w:cs="Arial"/>
          <w:b/>
          <w:noProof/>
          <w:color w:val="1F497D" w:themeColor="text2"/>
          <w:sz w:val="18"/>
          <w:szCs w:val="18"/>
        </w:rPr>
        <w:drawing>
          <wp:anchor distT="0" distB="0" distL="114300" distR="114300" simplePos="0" relativeHeight="251703296" behindDoc="0" locked="0" layoutInCell="1" allowOverlap="1" wp14:anchorId="7E6B2555" wp14:editId="6F8422B1">
            <wp:simplePos x="0" y="0"/>
            <wp:positionH relativeFrom="column">
              <wp:posOffset>196215</wp:posOffset>
            </wp:positionH>
            <wp:positionV relativeFrom="paragraph">
              <wp:posOffset>60960</wp:posOffset>
            </wp:positionV>
            <wp:extent cx="4857750" cy="2428875"/>
            <wp:effectExtent l="0" t="0" r="0" b="0"/>
            <wp:wrapNone/>
            <wp:docPr id="476" name="Objeto 47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anchor>
        </w:drawing>
      </w:r>
    </w:p>
    <w:p w:rsidR="00195BE7" w:rsidRPr="001E2F6E" w:rsidRDefault="00195BE7" w:rsidP="00195BE7">
      <w:pPr>
        <w:pStyle w:val="Textoindependiente"/>
        <w:spacing w:line="312" w:lineRule="auto"/>
        <w:rPr>
          <w:rFonts w:ascii="Arial" w:hAnsi="Arial" w:cs="Arial"/>
          <w:sz w:val="20"/>
          <w:lang w:val="es-ES_tradnl"/>
        </w:rPr>
      </w:pPr>
    </w:p>
    <w:p w:rsidR="00195BE7" w:rsidRPr="001E2F6E" w:rsidRDefault="00195BE7" w:rsidP="00195BE7">
      <w:pPr>
        <w:pStyle w:val="Textoindependiente"/>
        <w:spacing w:line="312" w:lineRule="auto"/>
        <w:rPr>
          <w:rFonts w:ascii="Arial" w:hAnsi="Arial" w:cs="Arial"/>
          <w:sz w:val="20"/>
          <w:lang w:val="es-ES_tradnl"/>
        </w:rPr>
      </w:pPr>
    </w:p>
    <w:p w:rsidR="00195BE7" w:rsidRPr="001E2F6E" w:rsidRDefault="00195BE7" w:rsidP="00195BE7">
      <w:pPr>
        <w:pStyle w:val="Textoindependiente"/>
        <w:spacing w:line="312" w:lineRule="auto"/>
        <w:rPr>
          <w:rFonts w:ascii="Arial" w:hAnsi="Arial" w:cs="Arial"/>
          <w:sz w:val="20"/>
          <w:lang w:val="es-ES_tradnl"/>
        </w:rPr>
      </w:pPr>
    </w:p>
    <w:p w:rsidR="00195BE7" w:rsidRPr="001E2F6E" w:rsidRDefault="00195BE7" w:rsidP="00195BE7">
      <w:pPr>
        <w:pStyle w:val="Textoindependiente"/>
        <w:spacing w:line="312" w:lineRule="auto"/>
        <w:rPr>
          <w:rFonts w:ascii="Arial" w:hAnsi="Arial" w:cs="Arial"/>
          <w:sz w:val="20"/>
          <w:lang w:val="es-ES_tradnl"/>
        </w:rPr>
      </w:pPr>
    </w:p>
    <w:p w:rsidR="00195BE7" w:rsidRPr="001E2F6E" w:rsidRDefault="00195BE7" w:rsidP="00195BE7">
      <w:pPr>
        <w:pStyle w:val="Textoindependiente"/>
        <w:spacing w:line="312" w:lineRule="auto"/>
        <w:rPr>
          <w:rFonts w:ascii="Arial" w:hAnsi="Arial" w:cs="Arial"/>
          <w:sz w:val="20"/>
          <w:lang w:val="es-ES_tradnl"/>
        </w:rPr>
      </w:pPr>
    </w:p>
    <w:p w:rsidR="00195BE7" w:rsidRPr="001E2F6E" w:rsidRDefault="00195BE7" w:rsidP="00195BE7">
      <w:pPr>
        <w:pStyle w:val="Textoindependiente"/>
        <w:spacing w:line="312" w:lineRule="auto"/>
        <w:rPr>
          <w:rFonts w:ascii="Arial" w:hAnsi="Arial" w:cs="Arial"/>
          <w:sz w:val="20"/>
          <w:lang w:val="es-ES_tradnl"/>
        </w:rPr>
      </w:pPr>
    </w:p>
    <w:p w:rsidR="00195BE7" w:rsidRPr="001E2F6E" w:rsidRDefault="00195BE7" w:rsidP="00195BE7">
      <w:pPr>
        <w:pStyle w:val="Textoindependiente"/>
        <w:spacing w:line="312" w:lineRule="auto"/>
        <w:rPr>
          <w:rFonts w:ascii="Arial" w:hAnsi="Arial" w:cs="Arial"/>
          <w:b/>
          <w:i/>
          <w:noProof/>
          <w:sz w:val="20"/>
        </w:rPr>
      </w:pPr>
    </w:p>
    <w:p w:rsidR="00195BE7" w:rsidRPr="001E2F6E" w:rsidRDefault="00195BE7" w:rsidP="00195BE7">
      <w:pPr>
        <w:pStyle w:val="Textoindependiente"/>
        <w:spacing w:line="312" w:lineRule="auto"/>
        <w:rPr>
          <w:rFonts w:ascii="Arial" w:hAnsi="Arial" w:cs="Arial"/>
          <w:b/>
          <w:i/>
          <w:noProof/>
          <w:sz w:val="20"/>
        </w:rPr>
      </w:pPr>
    </w:p>
    <w:p w:rsidR="00195BE7" w:rsidRPr="001E2F6E" w:rsidRDefault="00195BE7" w:rsidP="00195BE7">
      <w:pPr>
        <w:pStyle w:val="Textoindependiente"/>
        <w:spacing w:line="312" w:lineRule="auto"/>
        <w:rPr>
          <w:rFonts w:ascii="Arial" w:hAnsi="Arial" w:cs="Arial"/>
          <w:b/>
          <w:i/>
          <w:noProof/>
          <w:sz w:val="20"/>
        </w:rPr>
      </w:pPr>
    </w:p>
    <w:p w:rsidR="00195BE7" w:rsidRPr="001E2F6E" w:rsidRDefault="00195BE7" w:rsidP="00195BE7">
      <w:pPr>
        <w:pStyle w:val="Textoindependiente"/>
        <w:spacing w:line="312" w:lineRule="auto"/>
        <w:rPr>
          <w:rFonts w:ascii="Arial" w:hAnsi="Arial" w:cs="Arial"/>
          <w:sz w:val="20"/>
        </w:rPr>
      </w:pPr>
    </w:p>
    <w:p w:rsidR="00195BE7" w:rsidRPr="001E2F6E" w:rsidRDefault="00195BE7" w:rsidP="00195BE7">
      <w:pPr>
        <w:pStyle w:val="Textoindependiente"/>
        <w:spacing w:line="312" w:lineRule="auto"/>
        <w:rPr>
          <w:rFonts w:ascii="Arial" w:hAnsi="Arial" w:cs="Arial"/>
          <w:sz w:val="20"/>
        </w:rPr>
      </w:pPr>
    </w:p>
    <w:p w:rsidR="00195BE7" w:rsidRPr="001E2F6E" w:rsidRDefault="00195BE7" w:rsidP="00195BE7">
      <w:pPr>
        <w:pStyle w:val="Textoindependiente"/>
        <w:spacing w:line="312" w:lineRule="auto"/>
        <w:rPr>
          <w:rFonts w:ascii="Arial" w:hAnsi="Arial" w:cs="Arial"/>
          <w:sz w:val="20"/>
        </w:rPr>
      </w:pPr>
    </w:p>
    <w:p w:rsidR="00195BE7" w:rsidRPr="001E2F6E" w:rsidRDefault="00195BE7" w:rsidP="00195BE7">
      <w:pPr>
        <w:pStyle w:val="Textoindependiente"/>
        <w:spacing w:line="312" w:lineRule="auto"/>
        <w:rPr>
          <w:rFonts w:ascii="Arial" w:hAnsi="Arial" w:cs="Arial"/>
          <w:sz w:val="20"/>
        </w:rPr>
      </w:pPr>
    </w:p>
    <w:p w:rsidR="00195BE7" w:rsidRPr="001E2F6E" w:rsidRDefault="00195BE7" w:rsidP="00195BE7">
      <w:pPr>
        <w:pStyle w:val="Textoindependiente"/>
        <w:spacing w:line="312" w:lineRule="auto"/>
        <w:rPr>
          <w:rFonts w:ascii="Arial" w:hAnsi="Arial" w:cs="Arial"/>
          <w:sz w:val="20"/>
        </w:rPr>
      </w:pPr>
    </w:p>
    <w:p w:rsidR="00195BE7" w:rsidRPr="001E2F6E" w:rsidRDefault="00195BE7" w:rsidP="00195BE7">
      <w:pPr>
        <w:pStyle w:val="Textoindependiente"/>
        <w:spacing w:line="312" w:lineRule="auto"/>
        <w:rPr>
          <w:rFonts w:ascii="Arial" w:hAnsi="Arial" w:cs="Arial"/>
          <w:sz w:val="20"/>
        </w:rPr>
      </w:pPr>
    </w:p>
    <w:p w:rsidR="00195BE7" w:rsidRPr="001E2F6E" w:rsidRDefault="00195BE7" w:rsidP="00195BE7">
      <w:pPr>
        <w:pStyle w:val="Textoindependiente"/>
        <w:tabs>
          <w:tab w:val="left" w:pos="0"/>
        </w:tabs>
        <w:spacing w:line="312" w:lineRule="auto"/>
        <w:rPr>
          <w:rFonts w:ascii="Arial" w:hAnsi="Arial" w:cs="Arial"/>
          <w:sz w:val="20"/>
          <w:lang w:val="es-ES_tradnl"/>
        </w:rPr>
      </w:pPr>
      <w:r w:rsidRPr="001E2F6E">
        <w:rPr>
          <w:rFonts w:ascii="Arial" w:hAnsi="Arial" w:cs="Arial"/>
          <w:sz w:val="20"/>
          <w:lang w:val="es-ES_tradnl"/>
        </w:rPr>
        <w:br w:type="page"/>
      </w:r>
    </w:p>
    <w:p w:rsidR="00195BE7" w:rsidRPr="001E2F6E" w:rsidRDefault="00195BE7" w:rsidP="00195BE7">
      <w:pPr>
        <w:spacing w:line="240" w:lineRule="auto"/>
        <w:jc w:val="center"/>
        <w:rPr>
          <w:b/>
          <w:color w:val="1F497D" w:themeColor="text2"/>
          <w:sz w:val="18"/>
          <w:szCs w:val="18"/>
        </w:rPr>
      </w:pPr>
      <w:bookmarkStart w:id="186" w:name="_Toc391989118"/>
      <w:bookmarkStart w:id="187" w:name="_Toc392585783"/>
      <w:r w:rsidRPr="001E2F6E">
        <w:rPr>
          <w:b/>
          <w:color w:val="1F497D" w:themeColor="text2"/>
          <w:sz w:val="18"/>
          <w:szCs w:val="18"/>
        </w:rPr>
        <w:lastRenderedPageBreak/>
        <w:t>1.</w:t>
      </w:r>
      <w:r w:rsidR="00EB6BA6" w:rsidRPr="001E2F6E">
        <w:rPr>
          <w:b/>
          <w:color w:val="1F497D" w:themeColor="text2"/>
          <w:sz w:val="18"/>
          <w:szCs w:val="18"/>
        </w:rPr>
        <w:fldChar w:fldCharType="begin"/>
      </w:r>
      <w:r w:rsidRPr="001E2F6E">
        <w:rPr>
          <w:b/>
          <w:color w:val="1F497D" w:themeColor="text2"/>
          <w:sz w:val="18"/>
          <w:szCs w:val="18"/>
        </w:rPr>
        <w:instrText xml:space="preserve"> SEQ Cuadro_1. \* ARABIC </w:instrText>
      </w:r>
      <w:r w:rsidR="00EB6BA6" w:rsidRPr="001E2F6E">
        <w:rPr>
          <w:b/>
          <w:color w:val="1F497D" w:themeColor="text2"/>
          <w:sz w:val="18"/>
          <w:szCs w:val="18"/>
        </w:rPr>
        <w:fldChar w:fldCharType="separate"/>
      </w:r>
      <w:r w:rsidR="00A327D4">
        <w:rPr>
          <w:b/>
          <w:noProof/>
          <w:color w:val="1F497D" w:themeColor="text2"/>
          <w:sz w:val="18"/>
          <w:szCs w:val="18"/>
        </w:rPr>
        <w:t>48</w:t>
      </w:r>
      <w:r w:rsidR="00EB6BA6" w:rsidRPr="001E2F6E">
        <w:rPr>
          <w:b/>
          <w:color w:val="1F497D" w:themeColor="text2"/>
          <w:sz w:val="18"/>
          <w:szCs w:val="18"/>
        </w:rPr>
        <w:fldChar w:fldCharType="end"/>
      </w:r>
      <w:r w:rsidRPr="001E2F6E">
        <w:rPr>
          <w:b/>
          <w:color w:val="1F497D" w:themeColor="text2"/>
          <w:sz w:val="18"/>
          <w:szCs w:val="18"/>
        </w:rPr>
        <w:t xml:space="preserve"> Taula ESPORTAZIOEN BOLUMENA, ZONAREN ETA BILAKAERAREN ARABERA. 2006, 2008, 2010 eta 2012</w:t>
      </w:r>
      <w:bookmarkEnd w:id="186"/>
      <w:bookmarkEnd w:id="187"/>
    </w:p>
    <w:tbl>
      <w:tblPr>
        <w:tblW w:w="9871" w:type="dxa"/>
        <w:jc w:val="center"/>
        <w:tblLayout w:type="fixed"/>
        <w:tblLook w:val="04A0" w:firstRow="1" w:lastRow="0" w:firstColumn="1" w:lastColumn="0" w:noHBand="0" w:noVBand="1"/>
      </w:tblPr>
      <w:tblGrid>
        <w:gridCol w:w="1070"/>
        <w:gridCol w:w="1417"/>
        <w:gridCol w:w="1417"/>
        <w:gridCol w:w="1417"/>
        <w:gridCol w:w="1417"/>
        <w:gridCol w:w="1044"/>
        <w:gridCol w:w="1044"/>
        <w:gridCol w:w="1045"/>
      </w:tblGrid>
      <w:tr w:rsidR="00195BE7" w:rsidRPr="001E2F6E" w:rsidTr="00195BE7">
        <w:trPr>
          <w:jc w:val="center"/>
        </w:trPr>
        <w:tc>
          <w:tcPr>
            <w:tcW w:w="1070" w:type="dxa"/>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hideMark/>
          </w:tcPr>
          <w:p w:rsidR="00195BE7" w:rsidRPr="001E2F6E" w:rsidRDefault="00195BE7" w:rsidP="00195BE7">
            <w:pPr>
              <w:spacing w:line="240" w:lineRule="exact"/>
              <w:rPr>
                <w:b/>
                <w:bCs/>
                <w:sz w:val="16"/>
                <w:szCs w:val="16"/>
              </w:rPr>
            </w:pPr>
          </w:p>
        </w:tc>
        <w:tc>
          <w:tcPr>
            <w:tcW w:w="141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hideMark/>
          </w:tcPr>
          <w:p w:rsidR="00195BE7" w:rsidRPr="001E2F6E" w:rsidRDefault="00195BE7" w:rsidP="00195BE7">
            <w:pPr>
              <w:spacing w:line="240" w:lineRule="exact"/>
              <w:jc w:val="center"/>
              <w:rPr>
                <w:b/>
                <w:bCs/>
                <w:sz w:val="16"/>
                <w:szCs w:val="16"/>
              </w:rPr>
            </w:pPr>
            <w:r w:rsidRPr="001E2F6E">
              <w:rPr>
                <w:b/>
                <w:bCs/>
                <w:sz w:val="16"/>
                <w:szCs w:val="16"/>
              </w:rPr>
              <w:t>z.a. 2006</w:t>
            </w:r>
          </w:p>
        </w:tc>
        <w:tc>
          <w:tcPr>
            <w:tcW w:w="141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hideMark/>
          </w:tcPr>
          <w:p w:rsidR="00195BE7" w:rsidRPr="001E2F6E" w:rsidRDefault="00195BE7" w:rsidP="00195BE7">
            <w:pPr>
              <w:spacing w:line="240" w:lineRule="exact"/>
              <w:jc w:val="center"/>
              <w:rPr>
                <w:b/>
                <w:bCs/>
                <w:sz w:val="16"/>
                <w:szCs w:val="16"/>
              </w:rPr>
            </w:pPr>
            <w:r w:rsidRPr="001E2F6E">
              <w:rPr>
                <w:b/>
                <w:bCs/>
                <w:sz w:val="16"/>
                <w:szCs w:val="16"/>
              </w:rPr>
              <w:t>z.a. 2008</w:t>
            </w:r>
          </w:p>
        </w:tc>
        <w:tc>
          <w:tcPr>
            <w:tcW w:w="141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hideMark/>
          </w:tcPr>
          <w:p w:rsidR="00195BE7" w:rsidRPr="001E2F6E" w:rsidRDefault="00195BE7" w:rsidP="00195BE7">
            <w:pPr>
              <w:spacing w:line="240" w:lineRule="exact"/>
              <w:jc w:val="center"/>
              <w:rPr>
                <w:b/>
                <w:bCs/>
                <w:sz w:val="16"/>
                <w:szCs w:val="16"/>
              </w:rPr>
            </w:pPr>
            <w:r w:rsidRPr="001E2F6E">
              <w:rPr>
                <w:b/>
                <w:bCs/>
                <w:sz w:val="16"/>
                <w:szCs w:val="16"/>
              </w:rPr>
              <w:t>z.a. 2010</w:t>
            </w:r>
          </w:p>
        </w:tc>
        <w:tc>
          <w:tcPr>
            <w:tcW w:w="141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hideMark/>
          </w:tcPr>
          <w:p w:rsidR="00195BE7" w:rsidRPr="001E2F6E" w:rsidRDefault="00195BE7" w:rsidP="00195BE7">
            <w:pPr>
              <w:spacing w:line="240" w:lineRule="exact"/>
              <w:jc w:val="center"/>
              <w:rPr>
                <w:b/>
                <w:bCs/>
                <w:sz w:val="16"/>
                <w:szCs w:val="16"/>
              </w:rPr>
            </w:pPr>
            <w:r w:rsidRPr="001E2F6E">
              <w:rPr>
                <w:b/>
                <w:bCs/>
                <w:sz w:val="16"/>
                <w:szCs w:val="16"/>
              </w:rPr>
              <w:t>z.a. 2012</w:t>
            </w:r>
          </w:p>
        </w:tc>
        <w:tc>
          <w:tcPr>
            <w:tcW w:w="104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hideMark/>
          </w:tcPr>
          <w:p w:rsidR="00195BE7" w:rsidRPr="001E2F6E" w:rsidRDefault="00195BE7" w:rsidP="00195BE7">
            <w:pPr>
              <w:spacing w:line="240" w:lineRule="exact"/>
              <w:jc w:val="center"/>
              <w:rPr>
                <w:b/>
                <w:bCs/>
                <w:sz w:val="16"/>
                <w:szCs w:val="16"/>
              </w:rPr>
            </w:pPr>
            <w:r w:rsidRPr="001E2F6E">
              <w:rPr>
                <w:b/>
                <w:bCs/>
                <w:sz w:val="16"/>
                <w:szCs w:val="16"/>
              </w:rPr>
              <w:t>∆08/06</w:t>
            </w:r>
          </w:p>
        </w:tc>
        <w:tc>
          <w:tcPr>
            <w:tcW w:w="104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hideMark/>
          </w:tcPr>
          <w:p w:rsidR="00195BE7" w:rsidRPr="001E2F6E" w:rsidRDefault="00195BE7" w:rsidP="00195BE7">
            <w:pPr>
              <w:spacing w:line="240" w:lineRule="exact"/>
              <w:jc w:val="center"/>
              <w:rPr>
                <w:b/>
                <w:bCs/>
                <w:sz w:val="16"/>
                <w:szCs w:val="16"/>
              </w:rPr>
            </w:pPr>
            <w:r w:rsidRPr="001E2F6E">
              <w:rPr>
                <w:b/>
                <w:bCs/>
                <w:sz w:val="16"/>
                <w:szCs w:val="16"/>
              </w:rPr>
              <w:t>∆10/08</w:t>
            </w:r>
          </w:p>
        </w:tc>
        <w:tc>
          <w:tcPr>
            <w:tcW w:w="1045" w:type="dxa"/>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hideMark/>
          </w:tcPr>
          <w:p w:rsidR="00195BE7" w:rsidRPr="001E2F6E" w:rsidRDefault="00195BE7" w:rsidP="00195BE7">
            <w:pPr>
              <w:spacing w:line="240" w:lineRule="exact"/>
              <w:jc w:val="center"/>
              <w:rPr>
                <w:b/>
                <w:bCs/>
                <w:sz w:val="16"/>
                <w:szCs w:val="16"/>
              </w:rPr>
            </w:pPr>
            <w:r w:rsidRPr="001E2F6E">
              <w:rPr>
                <w:b/>
                <w:bCs/>
                <w:sz w:val="16"/>
                <w:szCs w:val="16"/>
              </w:rPr>
              <w:t>∆12/10</w:t>
            </w:r>
          </w:p>
        </w:tc>
      </w:tr>
      <w:tr w:rsidR="00195BE7" w:rsidRPr="001E2F6E" w:rsidTr="00195BE7">
        <w:trPr>
          <w:jc w:val="center"/>
        </w:trPr>
        <w:tc>
          <w:tcPr>
            <w:tcW w:w="1070" w:type="dxa"/>
            <w:tcBorders>
              <w:top w:val="single" w:sz="4" w:space="0" w:color="BFBFBF" w:themeColor="background1" w:themeShade="BF"/>
              <w:right w:val="single" w:sz="4" w:space="0" w:color="BFBFBF" w:themeColor="background1" w:themeShade="BF"/>
            </w:tcBorders>
            <w:vAlign w:val="center"/>
            <w:hideMark/>
          </w:tcPr>
          <w:p w:rsidR="00195BE7" w:rsidRPr="001E2F6E" w:rsidRDefault="00195BE7" w:rsidP="00195BE7">
            <w:pPr>
              <w:spacing w:line="240" w:lineRule="auto"/>
              <w:rPr>
                <w:sz w:val="16"/>
                <w:szCs w:val="16"/>
                <w:lang w:val="eu-ES"/>
              </w:rPr>
            </w:pPr>
            <w:r w:rsidRPr="001E2F6E">
              <w:rPr>
                <w:sz w:val="16"/>
                <w:szCs w:val="16"/>
                <w:lang w:val="eu-ES"/>
              </w:rPr>
              <w:t>Europa</w:t>
            </w:r>
          </w:p>
        </w:tc>
        <w:tc>
          <w:tcPr>
            <w:tcW w:w="1417" w:type="dxa"/>
            <w:tcBorders>
              <w:top w:val="single" w:sz="4" w:space="0" w:color="BFBFBF" w:themeColor="background1" w:themeShade="BF"/>
              <w:left w:val="single" w:sz="4" w:space="0" w:color="BFBFBF" w:themeColor="background1" w:themeShade="BF"/>
              <w:right w:val="single" w:sz="4" w:space="0" w:color="BFBFBF" w:themeColor="background1" w:themeShade="BF"/>
            </w:tcBorders>
            <w:hideMark/>
          </w:tcPr>
          <w:p w:rsidR="00195BE7" w:rsidRPr="001E2F6E" w:rsidRDefault="00195BE7" w:rsidP="00195BE7">
            <w:pPr>
              <w:spacing w:line="240" w:lineRule="exact"/>
              <w:ind w:right="113"/>
              <w:jc w:val="right"/>
              <w:rPr>
                <w:sz w:val="16"/>
                <w:szCs w:val="16"/>
              </w:rPr>
            </w:pPr>
            <w:r w:rsidRPr="001E2F6E">
              <w:rPr>
                <w:bCs/>
                <w:sz w:val="16"/>
                <w:szCs w:val="16"/>
              </w:rPr>
              <w:t>1.675.104.241</w:t>
            </w:r>
          </w:p>
        </w:tc>
        <w:tc>
          <w:tcPr>
            <w:tcW w:w="1417" w:type="dxa"/>
            <w:tcBorders>
              <w:top w:val="single" w:sz="4" w:space="0" w:color="BFBFBF" w:themeColor="background1" w:themeShade="BF"/>
              <w:left w:val="single" w:sz="4" w:space="0" w:color="BFBFBF" w:themeColor="background1" w:themeShade="BF"/>
              <w:right w:val="single" w:sz="4" w:space="0" w:color="BFBFBF" w:themeColor="background1" w:themeShade="BF"/>
            </w:tcBorders>
            <w:hideMark/>
          </w:tcPr>
          <w:p w:rsidR="00195BE7" w:rsidRPr="001E2F6E" w:rsidRDefault="00195BE7" w:rsidP="00195BE7">
            <w:pPr>
              <w:spacing w:line="240" w:lineRule="exact"/>
              <w:ind w:right="113"/>
              <w:jc w:val="right"/>
              <w:rPr>
                <w:sz w:val="16"/>
                <w:szCs w:val="16"/>
              </w:rPr>
            </w:pPr>
            <w:r w:rsidRPr="001E2F6E">
              <w:rPr>
                <w:bCs/>
                <w:sz w:val="16"/>
                <w:szCs w:val="16"/>
              </w:rPr>
              <w:t>1.959.861.909</w:t>
            </w:r>
          </w:p>
        </w:tc>
        <w:tc>
          <w:tcPr>
            <w:tcW w:w="1417" w:type="dxa"/>
            <w:tcBorders>
              <w:top w:val="single" w:sz="4" w:space="0" w:color="BFBFBF" w:themeColor="background1" w:themeShade="BF"/>
              <w:left w:val="single" w:sz="4" w:space="0" w:color="BFBFBF" w:themeColor="background1" w:themeShade="BF"/>
              <w:right w:val="single" w:sz="4" w:space="0" w:color="BFBFBF" w:themeColor="background1" w:themeShade="BF"/>
            </w:tcBorders>
            <w:hideMark/>
          </w:tcPr>
          <w:p w:rsidR="00195BE7" w:rsidRPr="001E2F6E" w:rsidRDefault="00195BE7" w:rsidP="00195BE7">
            <w:pPr>
              <w:spacing w:line="240" w:lineRule="exact"/>
              <w:ind w:right="113"/>
              <w:jc w:val="right"/>
              <w:rPr>
                <w:sz w:val="16"/>
                <w:szCs w:val="16"/>
              </w:rPr>
            </w:pPr>
            <w:r w:rsidRPr="001E2F6E">
              <w:rPr>
                <w:sz w:val="16"/>
                <w:szCs w:val="16"/>
              </w:rPr>
              <w:t>1.397.054.639</w:t>
            </w:r>
          </w:p>
        </w:tc>
        <w:tc>
          <w:tcPr>
            <w:tcW w:w="1417" w:type="dxa"/>
            <w:tcBorders>
              <w:top w:val="single" w:sz="4" w:space="0" w:color="BFBFBF" w:themeColor="background1" w:themeShade="BF"/>
              <w:left w:val="single" w:sz="4" w:space="0" w:color="BFBFBF" w:themeColor="background1" w:themeShade="BF"/>
              <w:right w:val="single" w:sz="4" w:space="0" w:color="BFBFBF" w:themeColor="background1" w:themeShade="BF"/>
            </w:tcBorders>
            <w:hideMark/>
          </w:tcPr>
          <w:p w:rsidR="00195BE7" w:rsidRPr="001E2F6E" w:rsidRDefault="00195BE7" w:rsidP="00195BE7">
            <w:pPr>
              <w:spacing w:line="240" w:lineRule="exact"/>
              <w:ind w:right="113"/>
              <w:jc w:val="right"/>
              <w:rPr>
                <w:sz w:val="16"/>
                <w:szCs w:val="16"/>
              </w:rPr>
            </w:pPr>
            <w:r w:rsidRPr="001E2F6E">
              <w:rPr>
                <w:sz w:val="16"/>
                <w:szCs w:val="16"/>
              </w:rPr>
              <w:t>1.588.386.617</w:t>
            </w:r>
          </w:p>
        </w:tc>
        <w:tc>
          <w:tcPr>
            <w:tcW w:w="1044" w:type="dxa"/>
            <w:tcBorders>
              <w:top w:val="single" w:sz="4" w:space="0" w:color="BFBFBF" w:themeColor="background1" w:themeShade="BF"/>
              <w:left w:val="single" w:sz="4" w:space="0" w:color="BFBFBF" w:themeColor="background1" w:themeShade="BF"/>
              <w:right w:val="single" w:sz="4" w:space="0" w:color="BFBFBF" w:themeColor="background1" w:themeShade="BF"/>
            </w:tcBorders>
            <w:hideMark/>
          </w:tcPr>
          <w:p w:rsidR="00195BE7" w:rsidRPr="001E2F6E" w:rsidRDefault="00195BE7" w:rsidP="00195BE7">
            <w:pPr>
              <w:spacing w:line="240" w:lineRule="exact"/>
              <w:ind w:right="113"/>
              <w:jc w:val="right"/>
              <w:rPr>
                <w:sz w:val="16"/>
                <w:szCs w:val="16"/>
              </w:rPr>
            </w:pPr>
            <w:r w:rsidRPr="001E2F6E">
              <w:rPr>
                <w:sz w:val="16"/>
                <w:szCs w:val="16"/>
              </w:rPr>
              <w:t>%17,00%</w:t>
            </w:r>
          </w:p>
        </w:tc>
        <w:tc>
          <w:tcPr>
            <w:tcW w:w="1044" w:type="dxa"/>
            <w:tcBorders>
              <w:top w:val="single" w:sz="4" w:space="0" w:color="BFBFBF" w:themeColor="background1" w:themeShade="BF"/>
              <w:left w:val="single" w:sz="4" w:space="0" w:color="BFBFBF" w:themeColor="background1" w:themeShade="BF"/>
              <w:right w:val="single" w:sz="4" w:space="0" w:color="BFBFBF" w:themeColor="background1" w:themeShade="BF"/>
            </w:tcBorders>
            <w:hideMark/>
          </w:tcPr>
          <w:p w:rsidR="00195BE7" w:rsidRPr="001E2F6E" w:rsidRDefault="00195BE7" w:rsidP="00195BE7">
            <w:pPr>
              <w:spacing w:line="240" w:lineRule="exact"/>
              <w:ind w:right="113"/>
              <w:jc w:val="right"/>
              <w:rPr>
                <w:sz w:val="16"/>
                <w:szCs w:val="16"/>
              </w:rPr>
            </w:pPr>
            <w:r w:rsidRPr="001E2F6E">
              <w:rPr>
                <w:sz w:val="16"/>
                <w:szCs w:val="16"/>
              </w:rPr>
              <w:t>%-28,70</w:t>
            </w:r>
          </w:p>
        </w:tc>
        <w:tc>
          <w:tcPr>
            <w:tcW w:w="1045" w:type="dxa"/>
            <w:tcBorders>
              <w:top w:val="single" w:sz="4" w:space="0" w:color="BFBFBF" w:themeColor="background1" w:themeShade="BF"/>
              <w:left w:val="single" w:sz="4" w:space="0" w:color="BFBFBF" w:themeColor="background1" w:themeShade="BF"/>
            </w:tcBorders>
            <w:hideMark/>
          </w:tcPr>
          <w:p w:rsidR="00195BE7" w:rsidRPr="001E2F6E" w:rsidRDefault="00195BE7" w:rsidP="00195BE7">
            <w:pPr>
              <w:spacing w:line="240" w:lineRule="exact"/>
              <w:ind w:right="113"/>
              <w:jc w:val="right"/>
              <w:rPr>
                <w:sz w:val="16"/>
                <w:szCs w:val="16"/>
              </w:rPr>
            </w:pPr>
            <w:r w:rsidRPr="001E2F6E">
              <w:rPr>
                <w:sz w:val="16"/>
                <w:szCs w:val="16"/>
              </w:rPr>
              <w:t>%13,7</w:t>
            </w:r>
          </w:p>
        </w:tc>
      </w:tr>
      <w:tr w:rsidR="00195BE7" w:rsidRPr="001E2F6E" w:rsidTr="00195BE7">
        <w:trPr>
          <w:jc w:val="center"/>
        </w:trPr>
        <w:tc>
          <w:tcPr>
            <w:tcW w:w="1070" w:type="dxa"/>
            <w:tcBorders>
              <w:right w:val="single" w:sz="4" w:space="0" w:color="BFBFBF" w:themeColor="background1" w:themeShade="BF"/>
            </w:tcBorders>
            <w:vAlign w:val="center"/>
            <w:hideMark/>
          </w:tcPr>
          <w:p w:rsidR="00195BE7" w:rsidRPr="001E2F6E" w:rsidRDefault="00195BE7" w:rsidP="00195BE7">
            <w:pPr>
              <w:spacing w:line="240" w:lineRule="auto"/>
              <w:rPr>
                <w:sz w:val="16"/>
                <w:szCs w:val="16"/>
                <w:lang w:val="eu-ES"/>
              </w:rPr>
            </w:pPr>
            <w:r w:rsidRPr="001E2F6E">
              <w:rPr>
                <w:sz w:val="16"/>
                <w:szCs w:val="16"/>
                <w:lang w:val="eu-ES"/>
              </w:rPr>
              <w:t>Asia</w:t>
            </w:r>
          </w:p>
        </w:tc>
        <w:tc>
          <w:tcPr>
            <w:tcW w:w="1417" w:type="dxa"/>
            <w:tcBorders>
              <w:left w:val="single" w:sz="4" w:space="0" w:color="BFBFBF" w:themeColor="background1" w:themeShade="BF"/>
              <w:right w:val="single" w:sz="4" w:space="0" w:color="BFBFBF" w:themeColor="background1" w:themeShade="BF"/>
            </w:tcBorders>
            <w:hideMark/>
          </w:tcPr>
          <w:p w:rsidR="00195BE7" w:rsidRPr="001E2F6E" w:rsidRDefault="00195BE7" w:rsidP="00195BE7">
            <w:pPr>
              <w:spacing w:line="240" w:lineRule="exact"/>
              <w:ind w:right="113"/>
              <w:jc w:val="right"/>
              <w:rPr>
                <w:sz w:val="16"/>
                <w:szCs w:val="16"/>
              </w:rPr>
            </w:pPr>
            <w:r w:rsidRPr="001E2F6E">
              <w:rPr>
                <w:bCs/>
                <w:sz w:val="16"/>
                <w:szCs w:val="16"/>
              </w:rPr>
              <w:t>150.042.760</w:t>
            </w:r>
          </w:p>
        </w:tc>
        <w:tc>
          <w:tcPr>
            <w:tcW w:w="1417" w:type="dxa"/>
            <w:tcBorders>
              <w:left w:val="single" w:sz="4" w:space="0" w:color="BFBFBF" w:themeColor="background1" w:themeShade="BF"/>
              <w:right w:val="single" w:sz="4" w:space="0" w:color="BFBFBF" w:themeColor="background1" w:themeShade="BF"/>
            </w:tcBorders>
            <w:hideMark/>
          </w:tcPr>
          <w:p w:rsidR="00195BE7" w:rsidRPr="001E2F6E" w:rsidRDefault="00195BE7" w:rsidP="00195BE7">
            <w:pPr>
              <w:spacing w:line="240" w:lineRule="exact"/>
              <w:ind w:right="113"/>
              <w:jc w:val="right"/>
              <w:rPr>
                <w:sz w:val="16"/>
                <w:szCs w:val="16"/>
              </w:rPr>
            </w:pPr>
            <w:r w:rsidRPr="001E2F6E">
              <w:rPr>
                <w:bCs/>
                <w:sz w:val="16"/>
                <w:szCs w:val="16"/>
              </w:rPr>
              <w:t>189.287.966</w:t>
            </w:r>
          </w:p>
        </w:tc>
        <w:tc>
          <w:tcPr>
            <w:tcW w:w="1417" w:type="dxa"/>
            <w:tcBorders>
              <w:left w:val="single" w:sz="4" w:space="0" w:color="BFBFBF" w:themeColor="background1" w:themeShade="BF"/>
              <w:right w:val="single" w:sz="4" w:space="0" w:color="BFBFBF" w:themeColor="background1" w:themeShade="BF"/>
            </w:tcBorders>
            <w:hideMark/>
          </w:tcPr>
          <w:p w:rsidR="00195BE7" w:rsidRPr="001E2F6E" w:rsidRDefault="00195BE7" w:rsidP="00195BE7">
            <w:pPr>
              <w:spacing w:line="240" w:lineRule="exact"/>
              <w:ind w:right="113"/>
              <w:jc w:val="right"/>
              <w:rPr>
                <w:sz w:val="16"/>
                <w:szCs w:val="16"/>
              </w:rPr>
            </w:pPr>
            <w:r w:rsidRPr="001E2F6E">
              <w:rPr>
                <w:sz w:val="16"/>
                <w:szCs w:val="16"/>
              </w:rPr>
              <w:t>370.036.555</w:t>
            </w:r>
          </w:p>
        </w:tc>
        <w:tc>
          <w:tcPr>
            <w:tcW w:w="1417" w:type="dxa"/>
            <w:tcBorders>
              <w:left w:val="single" w:sz="4" w:space="0" w:color="BFBFBF" w:themeColor="background1" w:themeShade="BF"/>
              <w:right w:val="single" w:sz="4" w:space="0" w:color="BFBFBF" w:themeColor="background1" w:themeShade="BF"/>
            </w:tcBorders>
            <w:hideMark/>
          </w:tcPr>
          <w:p w:rsidR="00195BE7" w:rsidRPr="001E2F6E" w:rsidRDefault="00195BE7" w:rsidP="00195BE7">
            <w:pPr>
              <w:spacing w:line="240" w:lineRule="exact"/>
              <w:ind w:right="113"/>
              <w:jc w:val="right"/>
              <w:rPr>
                <w:sz w:val="16"/>
                <w:szCs w:val="16"/>
              </w:rPr>
            </w:pPr>
            <w:r w:rsidRPr="001E2F6E">
              <w:rPr>
                <w:sz w:val="16"/>
                <w:szCs w:val="16"/>
              </w:rPr>
              <w:t>440.345.111</w:t>
            </w:r>
          </w:p>
        </w:tc>
        <w:tc>
          <w:tcPr>
            <w:tcW w:w="1044" w:type="dxa"/>
            <w:tcBorders>
              <w:left w:val="single" w:sz="4" w:space="0" w:color="BFBFBF" w:themeColor="background1" w:themeShade="BF"/>
              <w:right w:val="single" w:sz="4" w:space="0" w:color="BFBFBF" w:themeColor="background1" w:themeShade="BF"/>
            </w:tcBorders>
            <w:hideMark/>
          </w:tcPr>
          <w:p w:rsidR="00195BE7" w:rsidRPr="001E2F6E" w:rsidRDefault="00195BE7" w:rsidP="00195BE7">
            <w:pPr>
              <w:spacing w:line="240" w:lineRule="exact"/>
              <w:ind w:right="113"/>
              <w:jc w:val="right"/>
              <w:rPr>
                <w:sz w:val="16"/>
                <w:szCs w:val="16"/>
              </w:rPr>
            </w:pPr>
            <w:r w:rsidRPr="001E2F6E">
              <w:rPr>
                <w:sz w:val="16"/>
                <w:szCs w:val="16"/>
              </w:rPr>
              <w:t>%26,20%</w:t>
            </w:r>
          </w:p>
        </w:tc>
        <w:tc>
          <w:tcPr>
            <w:tcW w:w="1044" w:type="dxa"/>
            <w:tcBorders>
              <w:left w:val="single" w:sz="4" w:space="0" w:color="BFBFBF" w:themeColor="background1" w:themeShade="BF"/>
              <w:right w:val="single" w:sz="4" w:space="0" w:color="BFBFBF" w:themeColor="background1" w:themeShade="BF"/>
            </w:tcBorders>
            <w:hideMark/>
          </w:tcPr>
          <w:p w:rsidR="00195BE7" w:rsidRPr="001E2F6E" w:rsidRDefault="00195BE7" w:rsidP="00195BE7">
            <w:pPr>
              <w:spacing w:line="240" w:lineRule="exact"/>
              <w:ind w:right="113"/>
              <w:jc w:val="right"/>
              <w:rPr>
                <w:sz w:val="16"/>
                <w:szCs w:val="16"/>
              </w:rPr>
            </w:pPr>
            <w:r w:rsidRPr="001E2F6E">
              <w:rPr>
                <w:sz w:val="16"/>
                <w:szCs w:val="16"/>
              </w:rPr>
              <w:t>%95,50</w:t>
            </w:r>
          </w:p>
        </w:tc>
        <w:tc>
          <w:tcPr>
            <w:tcW w:w="1045" w:type="dxa"/>
            <w:tcBorders>
              <w:left w:val="single" w:sz="4" w:space="0" w:color="BFBFBF" w:themeColor="background1" w:themeShade="BF"/>
            </w:tcBorders>
            <w:hideMark/>
          </w:tcPr>
          <w:p w:rsidR="00195BE7" w:rsidRPr="001E2F6E" w:rsidRDefault="00195BE7" w:rsidP="00195BE7">
            <w:pPr>
              <w:spacing w:line="240" w:lineRule="exact"/>
              <w:ind w:right="113"/>
              <w:jc w:val="right"/>
              <w:rPr>
                <w:sz w:val="16"/>
                <w:szCs w:val="16"/>
              </w:rPr>
            </w:pPr>
            <w:r w:rsidRPr="001E2F6E">
              <w:rPr>
                <w:sz w:val="16"/>
                <w:szCs w:val="16"/>
              </w:rPr>
              <w:t>%19,0</w:t>
            </w:r>
          </w:p>
        </w:tc>
      </w:tr>
      <w:tr w:rsidR="00195BE7" w:rsidRPr="001E2F6E" w:rsidTr="00195BE7">
        <w:trPr>
          <w:jc w:val="center"/>
        </w:trPr>
        <w:tc>
          <w:tcPr>
            <w:tcW w:w="1070" w:type="dxa"/>
            <w:tcBorders>
              <w:right w:val="single" w:sz="4" w:space="0" w:color="BFBFBF" w:themeColor="background1" w:themeShade="BF"/>
            </w:tcBorders>
            <w:vAlign w:val="center"/>
            <w:hideMark/>
          </w:tcPr>
          <w:p w:rsidR="00195BE7" w:rsidRPr="001E2F6E" w:rsidRDefault="00195BE7" w:rsidP="00195BE7">
            <w:pPr>
              <w:spacing w:line="240" w:lineRule="auto"/>
              <w:rPr>
                <w:sz w:val="16"/>
                <w:szCs w:val="16"/>
                <w:lang w:val="eu-ES"/>
              </w:rPr>
            </w:pPr>
            <w:r w:rsidRPr="001E2F6E">
              <w:rPr>
                <w:sz w:val="16"/>
                <w:szCs w:val="16"/>
                <w:lang w:val="eu-ES"/>
              </w:rPr>
              <w:t>AEB</w:t>
            </w:r>
          </w:p>
        </w:tc>
        <w:tc>
          <w:tcPr>
            <w:tcW w:w="1417" w:type="dxa"/>
            <w:tcBorders>
              <w:left w:val="single" w:sz="4" w:space="0" w:color="BFBFBF" w:themeColor="background1" w:themeShade="BF"/>
              <w:right w:val="single" w:sz="4" w:space="0" w:color="BFBFBF" w:themeColor="background1" w:themeShade="BF"/>
            </w:tcBorders>
            <w:hideMark/>
          </w:tcPr>
          <w:p w:rsidR="00195BE7" w:rsidRPr="001E2F6E" w:rsidRDefault="00195BE7" w:rsidP="00195BE7">
            <w:pPr>
              <w:spacing w:line="240" w:lineRule="exact"/>
              <w:ind w:right="113"/>
              <w:jc w:val="right"/>
              <w:rPr>
                <w:sz w:val="16"/>
                <w:szCs w:val="16"/>
              </w:rPr>
            </w:pPr>
            <w:r w:rsidRPr="001E2F6E">
              <w:rPr>
                <w:bCs/>
                <w:sz w:val="16"/>
                <w:szCs w:val="16"/>
              </w:rPr>
              <w:t>114.211.653</w:t>
            </w:r>
          </w:p>
        </w:tc>
        <w:tc>
          <w:tcPr>
            <w:tcW w:w="1417" w:type="dxa"/>
            <w:tcBorders>
              <w:left w:val="single" w:sz="4" w:space="0" w:color="BFBFBF" w:themeColor="background1" w:themeShade="BF"/>
              <w:right w:val="single" w:sz="4" w:space="0" w:color="BFBFBF" w:themeColor="background1" w:themeShade="BF"/>
            </w:tcBorders>
            <w:hideMark/>
          </w:tcPr>
          <w:p w:rsidR="00195BE7" w:rsidRPr="001E2F6E" w:rsidRDefault="00195BE7" w:rsidP="00195BE7">
            <w:pPr>
              <w:spacing w:line="240" w:lineRule="exact"/>
              <w:ind w:right="113"/>
              <w:jc w:val="right"/>
              <w:rPr>
                <w:sz w:val="16"/>
                <w:szCs w:val="16"/>
              </w:rPr>
            </w:pPr>
            <w:r w:rsidRPr="001E2F6E">
              <w:rPr>
                <w:bCs/>
                <w:sz w:val="16"/>
                <w:szCs w:val="16"/>
              </w:rPr>
              <w:t>24.409.658</w:t>
            </w:r>
          </w:p>
        </w:tc>
        <w:tc>
          <w:tcPr>
            <w:tcW w:w="1417" w:type="dxa"/>
            <w:tcBorders>
              <w:left w:val="single" w:sz="4" w:space="0" w:color="BFBFBF" w:themeColor="background1" w:themeShade="BF"/>
              <w:right w:val="single" w:sz="4" w:space="0" w:color="BFBFBF" w:themeColor="background1" w:themeShade="BF"/>
            </w:tcBorders>
            <w:hideMark/>
          </w:tcPr>
          <w:p w:rsidR="00195BE7" w:rsidRPr="001E2F6E" w:rsidRDefault="00195BE7" w:rsidP="00195BE7">
            <w:pPr>
              <w:spacing w:line="240" w:lineRule="exact"/>
              <w:ind w:right="113"/>
              <w:jc w:val="right"/>
              <w:rPr>
                <w:sz w:val="16"/>
                <w:szCs w:val="16"/>
              </w:rPr>
            </w:pPr>
            <w:r w:rsidRPr="001E2F6E">
              <w:rPr>
                <w:sz w:val="16"/>
                <w:szCs w:val="16"/>
              </w:rPr>
              <w:t>148.965.042</w:t>
            </w:r>
          </w:p>
        </w:tc>
        <w:tc>
          <w:tcPr>
            <w:tcW w:w="1417" w:type="dxa"/>
            <w:tcBorders>
              <w:left w:val="single" w:sz="4" w:space="0" w:color="BFBFBF" w:themeColor="background1" w:themeShade="BF"/>
              <w:right w:val="single" w:sz="4" w:space="0" w:color="BFBFBF" w:themeColor="background1" w:themeShade="BF"/>
            </w:tcBorders>
            <w:hideMark/>
          </w:tcPr>
          <w:p w:rsidR="00195BE7" w:rsidRPr="001E2F6E" w:rsidRDefault="00195BE7" w:rsidP="00195BE7">
            <w:pPr>
              <w:spacing w:line="240" w:lineRule="exact"/>
              <w:ind w:right="113"/>
              <w:jc w:val="right"/>
              <w:rPr>
                <w:sz w:val="16"/>
                <w:szCs w:val="16"/>
              </w:rPr>
            </w:pPr>
            <w:r w:rsidRPr="001E2F6E">
              <w:rPr>
                <w:sz w:val="16"/>
                <w:szCs w:val="16"/>
              </w:rPr>
              <w:t>193.840.989</w:t>
            </w:r>
          </w:p>
        </w:tc>
        <w:tc>
          <w:tcPr>
            <w:tcW w:w="1044" w:type="dxa"/>
            <w:tcBorders>
              <w:left w:val="single" w:sz="4" w:space="0" w:color="BFBFBF" w:themeColor="background1" w:themeShade="BF"/>
              <w:right w:val="single" w:sz="4" w:space="0" w:color="BFBFBF" w:themeColor="background1" w:themeShade="BF"/>
            </w:tcBorders>
            <w:hideMark/>
          </w:tcPr>
          <w:p w:rsidR="00195BE7" w:rsidRPr="001E2F6E" w:rsidRDefault="00195BE7" w:rsidP="00195BE7">
            <w:pPr>
              <w:spacing w:line="240" w:lineRule="exact"/>
              <w:ind w:right="113"/>
              <w:jc w:val="right"/>
              <w:rPr>
                <w:sz w:val="16"/>
                <w:szCs w:val="16"/>
              </w:rPr>
            </w:pPr>
            <w:r w:rsidRPr="001E2F6E">
              <w:rPr>
                <w:sz w:val="16"/>
                <w:szCs w:val="16"/>
              </w:rPr>
              <w:t>%-78,60</w:t>
            </w:r>
          </w:p>
        </w:tc>
        <w:tc>
          <w:tcPr>
            <w:tcW w:w="1044" w:type="dxa"/>
            <w:tcBorders>
              <w:left w:val="single" w:sz="4" w:space="0" w:color="BFBFBF" w:themeColor="background1" w:themeShade="BF"/>
              <w:right w:val="single" w:sz="4" w:space="0" w:color="BFBFBF" w:themeColor="background1" w:themeShade="BF"/>
            </w:tcBorders>
            <w:hideMark/>
          </w:tcPr>
          <w:p w:rsidR="00195BE7" w:rsidRPr="001E2F6E" w:rsidRDefault="00195BE7" w:rsidP="00195BE7">
            <w:pPr>
              <w:spacing w:line="240" w:lineRule="exact"/>
              <w:ind w:right="113"/>
              <w:jc w:val="right"/>
              <w:rPr>
                <w:sz w:val="16"/>
                <w:szCs w:val="16"/>
              </w:rPr>
            </w:pPr>
            <w:r w:rsidRPr="001E2F6E">
              <w:rPr>
                <w:sz w:val="16"/>
                <w:szCs w:val="16"/>
              </w:rPr>
              <w:t>%510,30</w:t>
            </w:r>
          </w:p>
        </w:tc>
        <w:tc>
          <w:tcPr>
            <w:tcW w:w="1045" w:type="dxa"/>
            <w:tcBorders>
              <w:left w:val="single" w:sz="4" w:space="0" w:color="BFBFBF" w:themeColor="background1" w:themeShade="BF"/>
            </w:tcBorders>
            <w:hideMark/>
          </w:tcPr>
          <w:p w:rsidR="00195BE7" w:rsidRPr="001E2F6E" w:rsidRDefault="00195BE7" w:rsidP="00195BE7">
            <w:pPr>
              <w:spacing w:line="240" w:lineRule="exact"/>
              <w:ind w:right="113"/>
              <w:jc w:val="right"/>
              <w:rPr>
                <w:sz w:val="16"/>
                <w:szCs w:val="16"/>
              </w:rPr>
            </w:pPr>
            <w:r w:rsidRPr="001E2F6E">
              <w:rPr>
                <w:sz w:val="16"/>
                <w:szCs w:val="16"/>
              </w:rPr>
              <w:t>%30,1</w:t>
            </w:r>
          </w:p>
        </w:tc>
      </w:tr>
      <w:tr w:rsidR="00195BE7" w:rsidRPr="001E2F6E" w:rsidTr="00195BE7">
        <w:trPr>
          <w:jc w:val="center"/>
        </w:trPr>
        <w:tc>
          <w:tcPr>
            <w:tcW w:w="1070" w:type="dxa"/>
            <w:tcBorders>
              <w:right w:val="single" w:sz="4" w:space="0" w:color="BFBFBF" w:themeColor="background1" w:themeShade="BF"/>
            </w:tcBorders>
            <w:vAlign w:val="center"/>
            <w:hideMark/>
          </w:tcPr>
          <w:p w:rsidR="00195BE7" w:rsidRPr="001E2F6E" w:rsidRDefault="00195BE7" w:rsidP="00195BE7">
            <w:pPr>
              <w:spacing w:line="240" w:lineRule="auto"/>
              <w:rPr>
                <w:bCs/>
                <w:sz w:val="16"/>
                <w:szCs w:val="16"/>
                <w:lang w:val="eu-ES"/>
              </w:rPr>
            </w:pPr>
            <w:r w:rsidRPr="001E2F6E">
              <w:rPr>
                <w:bCs/>
                <w:sz w:val="16"/>
                <w:szCs w:val="16"/>
                <w:lang w:val="eu-ES"/>
              </w:rPr>
              <w:t>Hegoaldeko Amerika</w:t>
            </w:r>
          </w:p>
        </w:tc>
        <w:tc>
          <w:tcPr>
            <w:tcW w:w="1417" w:type="dxa"/>
            <w:tcBorders>
              <w:left w:val="single" w:sz="4" w:space="0" w:color="BFBFBF" w:themeColor="background1" w:themeShade="BF"/>
              <w:right w:val="single" w:sz="4" w:space="0" w:color="BFBFBF" w:themeColor="background1" w:themeShade="BF"/>
            </w:tcBorders>
            <w:hideMark/>
          </w:tcPr>
          <w:p w:rsidR="00195BE7" w:rsidRPr="001E2F6E" w:rsidRDefault="00195BE7" w:rsidP="00195BE7">
            <w:pPr>
              <w:spacing w:line="240" w:lineRule="exact"/>
              <w:ind w:right="113"/>
              <w:jc w:val="right"/>
              <w:rPr>
                <w:sz w:val="16"/>
                <w:szCs w:val="16"/>
              </w:rPr>
            </w:pPr>
            <w:r w:rsidRPr="001E2F6E">
              <w:rPr>
                <w:bCs/>
                <w:sz w:val="16"/>
                <w:szCs w:val="16"/>
              </w:rPr>
              <w:t>125.408.874</w:t>
            </w:r>
          </w:p>
        </w:tc>
        <w:tc>
          <w:tcPr>
            <w:tcW w:w="1417" w:type="dxa"/>
            <w:tcBorders>
              <w:left w:val="single" w:sz="4" w:space="0" w:color="BFBFBF" w:themeColor="background1" w:themeShade="BF"/>
              <w:right w:val="single" w:sz="4" w:space="0" w:color="BFBFBF" w:themeColor="background1" w:themeShade="BF"/>
            </w:tcBorders>
            <w:hideMark/>
          </w:tcPr>
          <w:p w:rsidR="00195BE7" w:rsidRPr="001E2F6E" w:rsidRDefault="00195BE7" w:rsidP="00195BE7">
            <w:pPr>
              <w:spacing w:line="240" w:lineRule="exact"/>
              <w:ind w:right="113"/>
              <w:jc w:val="right"/>
              <w:rPr>
                <w:sz w:val="16"/>
                <w:szCs w:val="16"/>
              </w:rPr>
            </w:pPr>
            <w:r w:rsidRPr="001E2F6E">
              <w:rPr>
                <w:bCs/>
                <w:sz w:val="16"/>
                <w:szCs w:val="16"/>
              </w:rPr>
              <w:t>166.542.425</w:t>
            </w:r>
          </w:p>
        </w:tc>
        <w:tc>
          <w:tcPr>
            <w:tcW w:w="1417" w:type="dxa"/>
            <w:tcBorders>
              <w:left w:val="single" w:sz="4" w:space="0" w:color="BFBFBF" w:themeColor="background1" w:themeShade="BF"/>
              <w:right w:val="single" w:sz="4" w:space="0" w:color="BFBFBF" w:themeColor="background1" w:themeShade="BF"/>
            </w:tcBorders>
            <w:hideMark/>
          </w:tcPr>
          <w:p w:rsidR="00195BE7" w:rsidRPr="001E2F6E" w:rsidRDefault="00195BE7" w:rsidP="00195BE7">
            <w:pPr>
              <w:spacing w:line="240" w:lineRule="exact"/>
              <w:ind w:right="113"/>
              <w:jc w:val="right"/>
              <w:rPr>
                <w:sz w:val="16"/>
                <w:szCs w:val="16"/>
              </w:rPr>
            </w:pPr>
            <w:r w:rsidRPr="001E2F6E">
              <w:rPr>
                <w:sz w:val="16"/>
                <w:szCs w:val="16"/>
              </w:rPr>
              <w:t>210.994.736</w:t>
            </w:r>
          </w:p>
        </w:tc>
        <w:tc>
          <w:tcPr>
            <w:tcW w:w="1417" w:type="dxa"/>
            <w:tcBorders>
              <w:left w:val="single" w:sz="4" w:space="0" w:color="BFBFBF" w:themeColor="background1" w:themeShade="BF"/>
              <w:right w:val="single" w:sz="4" w:space="0" w:color="BFBFBF" w:themeColor="background1" w:themeShade="BF"/>
            </w:tcBorders>
            <w:hideMark/>
          </w:tcPr>
          <w:p w:rsidR="00195BE7" w:rsidRPr="001E2F6E" w:rsidRDefault="00195BE7" w:rsidP="00195BE7">
            <w:pPr>
              <w:spacing w:line="240" w:lineRule="exact"/>
              <w:ind w:right="113"/>
              <w:jc w:val="right"/>
              <w:rPr>
                <w:sz w:val="16"/>
                <w:szCs w:val="16"/>
              </w:rPr>
            </w:pPr>
            <w:r w:rsidRPr="001E2F6E">
              <w:rPr>
                <w:sz w:val="16"/>
                <w:szCs w:val="16"/>
              </w:rPr>
              <w:t>295.090.191</w:t>
            </w:r>
          </w:p>
        </w:tc>
        <w:tc>
          <w:tcPr>
            <w:tcW w:w="1044" w:type="dxa"/>
            <w:tcBorders>
              <w:left w:val="single" w:sz="4" w:space="0" w:color="BFBFBF" w:themeColor="background1" w:themeShade="BF"/>
              <w:right w:val="single" w:sz="4" w:space="0" w:color="BFBFBF" w:themeColor="background1" w:themeShade="BF"/>
            </w:tcBorders>
            <w:hideMark/>
          </w:tcPr>
          <w:p w:rsidR="00195BE7" w:rsidRPr="001E2F6E" w:rsidRDefault="00195BE7" w:rsidP="00195BE7">
            <w:pPr>
              <w:spacing w:line="240" w:lineRule="exact"/>
              <w:ind w:right="113"/>
              <w:jc w:val="right"/>
              <w:rPr>
                <w:sz w:val="16"/>
                <w:szCs w:val="16"/>
              </w:rPr>
            </w:pPr>
            <w:r w:rsidRPr="001E2F6E">
              <w:rPr>
                <w:sz w:val="16"/>
                <w:szCs w:val="16"/>
              </w:rPr>
              <w:t>%32,80</w:t>
            </w:r>
          </w:p>
        </w:tc>
        <w:tc>
          <w:tcPr>
            <w:tcW w:w="1044" w:type="dxa"/>
            <w:tcBorders>
              <w:left w:val="single" w:sz="4" w:space="0" w:color="BFBFBF" w:themeColor="background1" w:themeShade="BF"/>
              <w:right w:val="single" w:sz="4" w:space="0" w:color="BFBFBF" w:themeColor="background1" w:themeShade="BF"/>
            </w:tcBorders>
            <w:hideMark/>
          </w:tcPr>
          <w:p w:rsidR="00195BE7" w:rsidRPr="001E2F6E" w:rsidRDefault="00195BE7" w:rsidP="00195BE7">
            <w:pPr>
              <w:spacing w:line="240" w:lineRule="exact"/>
              <w:ind w:right="113"/>
              <w:jc w:val="right"/>
              <w:rPr>
                <w:sz w:val="16"/>
                <w:szCs w:val="16"/>
              </w:rPr>
            </w:pPr>
            <w:r w:rsidRPr="001E2F6E">
              <w:rPr>
                <w:sz w:val="16"/>
                <w:szCs w:val="16"/>
              </w:rPr>
              <w:t>%26,70</w:t>
            </w:r>
          </w:p>
        </w:tc>
        <w:tc>
          <w:tcPr>
            <w:tcW w:w="1045" w:type="dxa"/>
            <w:tcBorders>
              <w:left w:val="single" w:sz="4" w:space="0" w:color="BFBFBF" w:themeColor="background1" w:themeShade="BF"/>
            </w:tcBorders>
            <w:hideMark/>
          </w:tcPr>
          <w:p w:rsidR="00195BE7" w:rsidRPr="001E2F6E" w:rsidRDefault="00195BE7" w:rsidP="00195BE7">
            <w:pPr>
              <w:spacing w:line="240" w:lineRule="exact"/>
              <w:ind w:right="113"/>
              <w:jc w:val="right"/>
              <w:rPr>
                <w:sz w:val="16"/>
                <w:szCs w:val="16"/>
              </w:rPr>
            </w:pPr>
            <w:r w:rsidRPr="001E2F6E">
              <w:rPr>
                <w:sz w:val="16"/>
                <w:szCs w:val="16"/>
              </w:rPr>
              <w:t>%39,9</w:t>
            </w:r>
          </w:p>
        </w:tc>
      </w:tr>
      <w:tr w:rsidR="00195BE7" w:rsidRPr="001E2F6E" w:rsidTr="00195BE7">
        <w:trPr>
          <w:jc w:val="center"/>
        </w:trPr>
        <w:tc>
          <w:tcPr>
            <w:tcW w:w="1070" w:type="dxa"/>
            <w:tcBorders>
              <w:bottom w:val="single" w:sz="4" w:space="0" w:color="BFBFBF" w:themeColor="background1" w:themeShade="BF"/>
              <w:right w:val="single" w:sz="4" w:space="0" w:color="BFBFBF" w:themeColor="background1" w:themeShade="BF"/>
            </w:tcBorders>
            <w:vAlign w:val="center"/>
            <w:hideMark/>
          </w:tcPr>
          <w:p w:rsidR="00195BE7" w:rsidRPr="001E2F6E" w:rsidRDefault="00195BE7" w:rsidP="00195BE7">
            <w:pPr>
              <w:spacing w:line="240" w:lineRule="auto"/>
              <w:rPr>
                <w:bCs/>
                <w:sz w:val="16"/>
                <w:szCs w:val="16"/>
                <w:lang w:val="eu-ES"/>
              </w:rPr>
            </w:pPr>
            <w:r w:rsidRPr="001E2F6E">
              <w:rPr>
                <w:bCs/>
                <w:sz w:val="16"/>
                <w:szCs w:val="16"/>
                <w:lang w:val="eu-ES"/>
              </w:rPr>
              <w:t>Beste batzuk</w:t>
            </w:r>
          </w:p>
        </w:tc>
        <w:tc>
          <w:tcPr>
            <w:tcW w:w="1417" w:type="dxa"/>
            <w:tcBorders>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195BE7" w:rsidRPr="001E2F6E" w:rsidRDefault="00195BE7" w:rsidP="00195BE7">
            <w:pPr>
              <w:spacing w:line="240" w:lineRule="exact"/>
              <w:ind w:right="113"/>
              <w:jc w:val="right"/>
              <w:rPr>
                <w:sz w:val="16"/>
                <w:szCs w:val="16"/>
              </w:rPr>
            </w:pPr>
            <w:r w:rsidRPr="001E2F6E">
              <w:rPr>
                <w:bCs/>
                <w:sz w:val="16"/>
                <w:szCs w:val="16"/>
              </w:rPr>
              <w:t>174.676.645</w:t>
            </w:r>
          </w:p>
        </w:tc>
        <w:tc>
          <w:tcPr>
            <w:tcW w:w="1417" w:type="dxa"/>
            <w:tcBorders>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195BE7" w:rsidRPr="001E2F6E" w:rsidRDefault="00195BE7" w:rsidP="00195BE7">
            <w:pPr>
              <w:spacing w:line="240" w:lineRule="exact"/>
              <w:ind w:right="113"/>
              <w:jc w:val="right"/>
              <w:rPr>
                <w:sz w:val="16"/>
                <w:szCs w:val="16"/>
              </w:rPr>
            </w:pPr>
            <w:r w:rsidRPr="001E2F6E">
              <w:rPr>
                <w:bCs/>
                <w:sz w:val="16"/>
                <w:szCs w:val="16"/>
              </w:rPr>
              <w:t>85.507.342</w:t>
            </w:r>
          </w:p>
        </w:tc>
        <w:tc>
          <w:tcPr>
            <w:tcW w:w="1417" w:type="dxa"/>
            <w:tcBorders>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195BE7" w:rsidRPr="001E2F6E" w:rsidRDefault="00195BE7" w:rsidP="00195BE7">
            <w:pPr>
              <w:spacing w:line="240" w:lineRule="exact"/>
              <w:ind w:right="113"/>
              <w:jc w:val="right"/>
              <w:rPr>
                <w:sz w:val="16"/>
                <w:szCs w:val="16"/>
              </w:rPr>
            </w:pPr>
            <w:r w:rsidRPr="001E2F6E">
              <w:rPr>
                <w:sz w:val="16"/>
                <w:szCs w:val="16"/>
              </w:rPr>
              <w:t>123.433.888</w:t>
            </w:r>
          </w:p>
        </w:tc>
        <w:tc>
          <w:tcPr>
            <w:tcW w:w="1417" w:type="dxa"/>
            <w:tcBorders>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195BE7" w:rsidRPr="001E2F6E" w:rsidRDefault="00195BE7" w:rsidP="00195BE7">
            <w:pPr>
              <w:spacing w:line="240" w:lineRule="exact"/>
              <w:ind w:right="113"/>
              <w:jc w:val="right"/>
              <w:rPr>
                <w:sz w:val="16"/>
                <w:szCs w:val="16"/>
              </w:rPr>
            </w:pPr>
            <w:r w:rsidRPr="001E2F6E">
              <w:rPr>
                <w:sz w:val="16"/>
                <w:szCs w:val="16"/>
              </w:rPr>
              <w:t>155.592.307</w:t>
            </w:r>
          </w:p>
        </w:tc>
        <w:tc>
          <w:tcPr>
            <w:tcW w:w="1044" w:type="dxa"/>
            <w:tcBorders>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195BE7" w:rsidRPr="001E2F6E" w:rsidRDefault="00195BE7" w:rsidP="00195BE7">
            <w:pPr>
              <w:spacing w:line="240" w:lineRule="exact"/>
              <w:ind w:right="113"/>
              <w:jc w:val="right"/>
              <w:rPr>
                <w:sz w:val="16"/>
                <w:szCs w:val="16"/>
              </w:rPr>
            </w:pPr>
            <w:r w:rsidRPr="001E2F6E">
              <w:rPr>
                <w:sz w:val="16"/>
                <w:szCs w:val="16"/>
              </w:rPr>
              <w:t>%-51,00</w:t>
            </w:r>
          </w:p>
        </w:tc>
        <w:tc>
          <w:tcPr>
            <w:tcW w:w="1044" w:type="dxa"/>
            <w:tcBorders>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195BE7" w:rsidRPr="001E2F6E" w:rsidRDefault="00195BE7" w:rsidP="00195BE7">
            <w:pPr>
              <w:spacing w:line="240" w:lineRule="exact"/>
              <w:ind w:right="113"/>
              <w:jc w:val="right"/>
              <w:rPr>
                <w:sz w:val="16"/>
                <w:szCs w:val="16"/>
              </w:rPr>
            </w:pPr>
            <w:r w:rsidRPr="001E2F6E">
              <w:rPr>
                <w:sz w:val="16"/>
                <w:szCs w:val="16"/>
              </w:rPr>
              <w:t>%44,40</w:t>
            </w:r>
          </w:p>
        </w:tc>
        <w:tc>
          <w:tcPr>
            <w:tcW w:w="1045" w:type="dxa"/>
            <w:tcBorders>
              <w:left w:val="single" w:sz="4" w:space="0" w:color="BFBFBF" w:themeColor="background1" w:themeShade="BF"/>
              <w:bottom w:val="single" w:sz="4" w:space="0" w:color="BFBFBF" w:themeColor="background1" w:themeShade="BF"/>
            </w:tcBorders>
            <w:hideMark/>
          </w:tcPr>
          <w:p w:rsidR="00195BE7" w:rsidRPr="001E2F6E" w:rsidRDefault="00195BE7" w:rsidP="00195BE7">
            <w:pPr>
              <w:spacing w:line="240" w:lineRule="exact"/>
              <w:ind w:right="113"/>
              <w:jc w:val="right"/>
              <w:rPr>
                <w:sz w:val="16"/>
                <w:szCs w:val="16"/>
              </w:rPr>
            </w:pPr>
            <w:r w:rsidRPr="001E2F6E">
              <w:rPr>
                <w:sz w:val="16"/>
                <w:szCs w:val="16"/>
              </w:rPr>
              <w:t>%26,1</w:t>
            </w:r>
          </w:p>
        </w:tc>
      </w:tr>
      <w:tr w:rsidR="00195BE7" w:rsidRPr="001E2F6E" w:rsidTr="00195BE7">
        <w:trPr>
          <w:jc w:val="center"/>
        </w:trPr>
        <w:tc>
          <w:tcPr>
            <w:tcW w:w="1070" w:type="dxa"/>
            <w:tcBorders>
              <w:top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rsidR="00195BE7" w:rsidRPr="001E2F6E" w:rsidRDefault="00195BE7" w:rsidP="00195BE7">
            <w:pPr>
              <w:spacing w:line="240" w:lineRule="exact"/>
              <w:rPr>
                <w:b/>
                <w:bCs/>
                <w:sz w:val="16"/>
                <w:szCs w:val="16"/>
              </w:rPr>
            </w:pPr>
            <w:r w:rsidRPr="001E2F6E">
              <w:rPr>
                <w:b/>
                <w:bCs/>
                <w:sz w:val="16"/>
                <w:szCs w:val="16"/>
              </w:rPr>
              <w:t>GUZTIRA</w:t>
            </w:r>
          </w:p>
        </w:tc>
        <w:tc>
          <w:tcPr>
            <w:tcW w:w="141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195BE7" w:rsidRPr="001E2F6E" w:rsidRDefault="00195BE7" w:rsidP="00195BE7">
            <w:pPr>
              <w:spacing w:line="240" w:lineRule="exact"/>
              <w:ind w:right="113"/>
              <w:jc w:val="right"/>
              <w:rPr>
                <w:b/>
                <w:bCs/>
                <w:sz w:val="16"/>
                <w:szCs w:val="16"/>
              </w:rPr>
            </w:pPr>
            <w:r w:rsidRPr="001E2F6E">
              <w:rPr>
                <w:b/>
                <w:bCs/>
                <w:sz w:val="16"/>
                <w:szCs w:val="16"/>
              </w:rPr>
              <w:t>2.239.444.173</w:t>
            </w:r>
          </w:p>
        </w:tc>
        <w:tc>
          <w:tcPr>
            <w:tcW w:w="141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195BE7" w:rsidRPr="001E2F6E" w:rsidRDefault="00195BE7" w:rsidP="00195BE7">
            <w:pPr>
              <w:spacing w:line="240" w:lineRule="exact"/>
              <w:ind w:right="113"/>
              <w:jc w:val="right"/>
              <w:rPr>
                <w:b/>
                <w:bCs/>
                <w:sz w:val="16"/>
                <w:szCs w:val="16"/>
              </w:rPr>
            </w:pPr>
            <w:r w:rsidRPr="001E2F6E">
              <w:rPr>
                <w:b/>
                <w:bCs/>
                <w:sz w:val="16"/>
                <w:szCs w:val="16"/>
              </w:rPr>
              <w:t>2.425.609.299</w:t>
            </w:r>
          </w:p>
        </w:tc>
        <w:tc>
          <w:tcPr>
            <w:tcW w:w="141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195BE7" w:rsidRPr="001E2F6E" w:rsidRDefault="00195BE7" w:rsidP="00195BE7">
            <w:pPr>
              <w:spacing w:line="240" w:lineRule="exact"/>
              <w:ind w:right="113"/>
              <w:jc w:val="right"/>
              <w:rPr>
                <w:b/>
                <w:bCs/>
                <w:sz w:val="16"/>
                <w:szCs w:val="16"/>
              </w:rPr>
            </w:pPr>
            <w:r w:rsidRPr="001E2F6E">
              <w:rPr>
                <w:b/>
                <w:bCs/>
                <w:sz w:val="16"/>
                <w:szCs w:val="16"/>
              </w:rPr>
              <w:t>2.250.484.862</w:t>
            </w:r>
          </w:p>
        </w:tc>
        <w:tc>
          <w:tcPr>
            <w:tcW w:w="141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195BE7" w:rsidRPr="001E2F6E" w:rsidRDefault="00195BE7" w:rsidP="00195BE7">
            <w:pPr>
              <w:spacing w:line="240" w:lineRule="exact"/>
              <w:ind w:right="113"/>
              <w:jc w:val="right"/>
              <w:rPr>
                <w:b/>
                <w:bCs/>
                <w:sz w:val="16"/>
                <w:szCs w:val="16"/>
              </w:rPr>
            </w:pPr>
            <w:r w:rsidRPr="001E2F6E">
              <w:rPr>
                <w:b/>
                <w:bCs/>
                <w:sz w:val="16"/>
                <w:szCs w:val="16"/>
              </w:rPr>
              <w:t>2.673.255.215</w:t>
            </w:r>
          </w:p>
        </w:tc>
        <w:tc>
          <w:tcPr>
            <w:tcW w:w="104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195BE7" w:rsidRPr="001E2F6E" w:rsidRDefault="00195BE7" w:rsidP="00195BE7">
            <w:pPr>
              <w:spacing w:line="240" w:lineRule="exact"/>
              <w:ind w:right="113"/>
              <w:jc w:val="right"/>
              <w:rPr>
                <w:b/>
                <w:bCs/>
                <w:sz w:val="16"/>
                <w:szCs w:val="16"/>
              </w:rPr>
            </w:pPr>
            <w:r w:rsidRPr="001E2F6E">
              <w:rPr>
                <w:b/>
                <w:bCs/>
                <w:sz w:val="16"/>
                <w:szCs w:val="16"/>
              </w:rPr>
              <w:t>%8,30</w:t>
            </w:r>
          </w:p>
        </w:tc>
        <w:tc>
          <w:tcPr>
            <w:tcW w:w="104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195BE7" w:rsidRPr="001E2F6E" w:rsidRDefault="00195BE7" w:rsidP="00195BE7">
            <w:pPr>
              <w:spacing w:line="240" w:lineRule="exact"/>
              <w:ind w:right="113"/>
              <w:jc w:val="right"/>
              <w:rPr>
                <w:b/>
                <w:bCs/>
                <w:sz w:val="16"/>
                <w:szCs w:val="16"/>
              </w:rPr>
            </w:pPr>
            <w:r w:rsidRPr="001E2F6E">
              <w:rPr>
                <w:b/>
                <w:bCs/>
                <w:sz w:val="16"/>
                <w:szCs w:val="16"/>
              </w:rPr>
              <w:t>%-7,20</w:t>
            </w:r>
          </w:p>
        </w:tc>
        <w:tc>
          <w:tcPr>
            <w:tcW w:w="1045" w:type="dxa"/>
            <w:tcBorders>
              <w:top w:val="single" w:sz="4" w:space="0" w:color="BFBFBF" w:themeColor="background1" w:themeShade="BF"/>
              <w:left w:val="single" w:sz="4" w:space="0" w:color="BFBFBF" w:themeColor="background1" w:themeShade="BF"/>
              <w:bottom w:val="single" w:sz="4" w:space="0" w:color="BFBFBF" w:themeColor="background1" w:themeShade="BF"/>
            </w:tcBorders>
            <w:hideMark/>
          </w:tcPr>
          <w:p w:rsidR="00195BE7" w:rsidRPr="001E2F6E" w:rsidRDefault="00195BE7" w:rsidP="00195BE7">
            <w:pPr>
              <w:spacing w:line="240" w:lineRule="exact"/>
              <w:ind w:right="113"/>
              <w:jc w:val="right"/>
              <w:rPr>
                <w:b/>
                <w:bCs/>
                <w:sz w:val="16"/>
                <w:szCs w:val="16"/>
              </w:rPr>
            </w:pPr>
            <w:r w:rsidRPr="001E2F6E">
              <w:rPr>
                <w:b/>
                <w:bCs/>
                <w:sz w:val="16"/>
                <w:szCs w:val="16"/>
              </w:rPr>
              <w:t>%18,8</w:t>
            </w:r>
          </w:p>
        </w:tc>
      </w:tr>
    </w:tbl>
    <w:p w:rsidR="00195BE7" w:rsidRPr="001E2F6E" w:rsidRDefault="00195BE7" w:rsidP="00195BE7">
      <w:pPr>
        <w:pStyle w:val="Textoindependiente"/>
        <w:tabs>
          <w:tab w:val="left" w:pos="567"/>
        </w:tabs>
        <w:ind w:left="567" w:hanging="567"/>
        <w:rPr>
          <w:rFonts w:ascii="Arial" w:hAnsi="Arial" w:cs="Arial"/>
          <w:sz w:val="20"/>
          <w:lang w:val="es-ES_tradnl"/>
        </w:rPr>
      </w:pPr>
    </w:p>
    <w:p w:rsidR="00195BE7" w:rsidRPr="001E2F6E" w:rsidRDefault="00195BE7" w:rsidP="00195BE7">
      <w:pPr>
        <w:pStyle w:val="Textoindependiente"/>
        <w:tabs>
          <w:tab w:val="left" w:pos="567"/>
        </w:tabs>
        <w:ind w:left="567" w:hanging="567"/>
        <w:rPr>
          <w:rFonts w:ascii="Arial" w:hAnsi="Arial" w:cs="Arial"/>
          <w:sz w:val="20"/>
          <w:lang w:val="es-ES_tradnl"/>
        </w:rPr>
      </w:pPr>
    </w:p>
    <w:p w:rsidR="00195BE7" w:rsidRPr="001E2F6E" w:rsidRDefault="00195BE7" w:rsidP="00195BE7">
      <w:pPr>
        <w:spacing w:line="240" w:lineRule="auto"/>
        <w:jc w:val="center"/>
        <w:rPr>
          <w:b/>
          <w:color w:val="1F497D" w:themeColor="text2"/>
          <w:sz w:val="18"/>
          <w:szCs w:val="18"/>
        </w:rPr>
      </w:pPr>
      <w:bookmarkStart w:id="188" w:name="_Toc391989119"/>
      <w:bookmarkStart w:id="189" w:name="_Toc392585784"/>
      <w:r w:rsidRPr="001E2F6E">
        <w:rPr>
          <w:b/>
          <w:color w:val="1F497D" w:themeColor="text2"/>
          <w:sz w:val="18"/>
          <w:szCs w:val="18"/>
        </w:rPr>
        <w:t>1.</w:t>
      </w:r>
      <w:r w:rsidR="00EB6BA6" w:rsidRPr="001E2F6E">
        <w:rPr>
          <w:b/>
          <w:color w:val="1F497D" w:themeColor="text2"/>
          <w:sz w:val="18"/>
          <w:szCs w:val="18"/>
        </w:rPr>
        <w:fldChar w:fldCharType="begin"/>
      </w:r>
      <w:r w:rsidRPr="001E2F6E">
        <w:rPr>
          <w:b/>
          <w:color w:val="1F497D" w:themeColor="text2"/>
          <w:sz w:val="18"/>
          <w:szCs w:val="18"/>
        </w:rPr>
        <w:instrText xml:space="preserve"> SEQ Cuadro_1. \* ARABIC </w:instrText>
      </w:r>
      <w:r w:rsidR="00EB6BA6" w:rsidRPr="001E2F6E">
        <w:rPr>
          <w:b/>
          <w:color w:val="1F497D" w:themeColor="text2"/>
          <w:sz w:val="18"/>
          <w:szCs w:val="18"/>
        </w:rPr>
        <w:fldChar w:fldCharType="separate"/>
      </w:r>
      <w:r w:rsidR="00A327D4">
        <w:rPr>
          <w:b/>
          <w:noProof/>
          <w:color w:val="1F497D" w:themeColor="text2"/>
          <w:sz w:val="18"/>
          <w:szCs w:val="18"/>
        </w:rPr>
        <w:t>49</w:t>
      </w:r>
      <w:r w:rsidR="00EB6BA6" w:rsidRPr="001E2F6E">
        <w:rPr>
          <w:b/>
          <w:color w:val="1F497D" w:themeColor="text2"/>
          <w:sz w:val="18"/>
          <w:szCs w:val="18"/>
        </w:rPr>
        <w:fldChar w:fldCharType="end"/>
      </w:r>
      <w:r w:rsidRPr="001E2F6E">
        <w:rPr>
          <w:b/>
          <w:color w:val="1F497D" w:themeColor="text2"/>
          <w:sz w:val="18"/>
          <w:szCs w:val="18"/>
        </w:rPr>
        <w:t xml:space="preserve"> Taula BARNE-SALMENTEN ETA KANPO-SALMENTEN BILAKAERA 2010-2012</w:t>
      </w:r>
      <w:bookmarkEnd w:id="188"/>
      <w:bookmarkEnd w:id="189"/>
    </w:p>
    <w:tbl>
      <w:tblPr>
        <w:tblW w:w="5000" w:type="pct"/>
        <w:jc w:val="center"/>
        <w:tblCellMar>
          <w:left w:w="70" w:type="dxa"/>
          <w:right w:w="70" w:type="dxa"/>
        </w:tblCellMar>
        <w:tblLook w:val="04A0" w:firstRow="1" w:lastRow="0" w:firstColumn="1" w:lastColumn="0" w:noHBand="0" w:noVBand="1"/>
      </w:tblPr>
      <w:tblGrid>
        <w:gridCol w:w="3861"/>
        <w:gridCol w:w="1337"/>
        <w:gridCol w:w="1337"/>
        <w:gridCol w:w="1057"/>
        <w:gridCol w:w="1336"/>
      </w:tblGrid>
      <w:tr w:rsidR="00195BE7" w:rsidRPr="001E2F6E" w:rsidTr="00195BE7">
        <w:trPr>
          <w:jc w:val="center"/>
        </w:trPr>
        <w:tc>
          <w:tcPr>
            <w:tcW w:w="2162" w:type="pct"/>
            <w:tcBorders>
              <w:top w:val="single" w:sz="8" w:space="0" w:color="BFBFBF"/>
              <w:left w:val="nil"/>
              <w:bottom w:val="single" w:sz="8" w:space="0" w:color="BFBFBF"/>
              <w:right w:val="single" w:sz="8" w:space="0" w:color="BFBFBF"/>
            </w:tcBorders>
            <w:shd w:val="clear" w:color="000000" w:fill="DBE5F1"/>
            <w:hideMark/>
          </w:tcPr>
          <w:p w:rsidR="00195BE7" w:rsidRPr="001E2F6E" w:rsidRDefault="00195BE7" w:rsidP="00195BE7">
            <w:pPr>
              <w:spacing w:line="240" w:lineRule="exact"/>
              <w:rPr>
                <w:rFonts w:ascii="Calibri" w:hAnsi="Calibri"/>
                <w:color w:val="000000"/>
              </w:rPr>
            </w:pPr>
            <w:r w:rsidRPr="001E2F6E">
              <w:rPr>
                <w:rFonts w:ascii="Calibri" w:hAnsi="Calibri"/>
                <w:color w:val="000000"/>
              </w:rPr>
              <w:t> </w:t>
            </w:r>
          </w:p>
        </w:tc>
        <w:tc>
          <w:tcPr>
            <w:tcW w:w="749" w:type="pct"/>
            <w:tcBorders>
              <w:top w:val="single" w:sz="8" w:space="0" w:color="BFBFBF"/>
              <w:left w:val="nil"/>
              <w:bottom w:val="single" w:sz="8" w:space="0" w:color="BFBFBF"/>
              <w:right w:val="single" w:sz="8" w:space="0" w:color="BFBFBF"/>
            </w:tcBorders>
            <w:shd w:val="clear" w:color="000000" w:fill="DBE5F1"/>
            <w:vAlign w:val="bottom"/>
            <w:hideMark/>
          </w:tcPr>
          <w:p w:rsidR="00195BE7" w:rsidRPr="001E2F6E" w:rsidRDefault="00195BE7" w:rsidP="00195BE7">
            <w:pPr>
              <w:spacing w:line="240" w:lineRule="exact"/>
              <w:jc w:val="center"/>
              <w:rPr>
                <w:b/>
                <w:bCs/>
                <w:color w:val="000000"/>
                <w:sz w:val="16"/>
                <w:szCs w:val="16"/>
              </w:rPr>
            </w:pPr>
            <w:r w:rsidRPr="001E2F6E">
              <w:rPr>
                <w:b/>
                <w:bCs/>
                <w:color w:val="000000"/>
                <w:sz w:val="16"/>
                <w:szCs w:val="16"/>
              </w:rPr>
              <w:t>2010</w:t>
            </w:r>
          </w:p>
        </w:tc>
        <w:tc>
          <w:tcPr>
            <w:tcW w:w="749" w:type="pct"/>
            <w:tcBorders>
              <w:top w:val="single" w:sz="8" w:space="0" w:color="BFBFBF"/>
              <w:left w:val="nil"/>
              <w:bottom w:val="single" w:sz="8" w:space="0" w:color="BFBFBF"/>
              <w:right w:val="single" w:sz="8" w:space="0" w:color="BFBFBF"/>
            </w:tcBorders>
            <w:shd w:val="clear" w:color="000000" w:fill="DBE5F1"/>
            <w:vAlign w:val="bottom"/>
            <w:hideMark/>
          </w:tcPr>
          <w:p w:rsidR="00195BE7" w:rsidRPr="001E2F6E" w:rsidRDefault="00195BE7" w:rsidP="00195BE7">
            <w:pPr>
              <w:spacing w:line="240" w:lineRule="exact"/>
              <w:jc w:val="center"/>
              <w:rPr>
                <w:b/>
                <w:bCs/>
                <w:color w:val="000000"/>
                <w:sz w:val="16"/>
                <w:szCs w:val="16"/>
              </w:rPr>
            </w:pPr>
            <w:r w:rsidRPr="001E2F6E">
              <w:rPr>
                <w:b/>
                <w:bCs/>
                <w:color w:val="000000"/>
                <w:sz w:val="16"/>
                <w:szCs w:val="16"/>
              </w:rPr>
              <w:t>2012</w:t>
            </w:r>
          </w:p>
        </w:tc>
        <w:tc>
          <w:tcPr>
            <w:tcW w:w="592" w:type="pct"/>
            <w:tcBorders>
              <w:top w:val="single" w:sz="8" w:space="0" w:color="BFBFBF"/>
              <w:left w:val="nil"/>
              <w:bottom w:val="single" w:sz="8" w:space="0" w:color="BFBFBF"/>
              <w:right w:val="single" w:sz="8" w:space="0" w:color="BFBFBF"/>
            </w:tcBorders>
            <w:shd w:val="clear" w:color="000000" w:fill="DBE5F1"/>
            <w:vAlign w:val="bottom"/>
            <w:hideMark/>
          </w:tcPr>
          <w:p w:rsidR="00195BE7" w:rsidRPr="001E2F6E" w:rsidRDefault="00195BE7" w:rsidP="00195BE7">
            <w:pPr>
              <w:spacing w:line="240" w:lineRule="exact"/>
              <w:jc w:val="center"/>
              <w:rPr>
                <w:b/>
                <w:bCs/>
                <w:color w:val="000000"/>
                <w:sz w:val="16"/>
                <w:szCs w:val="16"/>
              </w:rPr>
            </w:pPr>
            <w:r w:rsidRPr="001E2F6E">
              <w:rPr>
                <w:b/>
                <w:bCs/>
                <w:color w:val="000000"/>
                <w:sz w:val="16"/>
                <w:szCs w:val="16"/>
                <w:lang w:val="pt-BR"/>
              </w:rPr>
              <w:t>%∆12/10</w:t>
            </w:r>
          </w:p>
        </w:tc>
        <w:tc>
          <w:tcPr>
            <w:tcW w:w="748" w:type="pct"/>
            <w:tcBorders>
              <w:top w:val="single" w:sz="8" w:space="0" w:color="BFBFBF"/>
              <w:left w:val="nil"/>
              <w:bottom w:val="single" w:sz="8" w:space="0" w:color="BFBFBF"/>
              <w:right w:val="nil"/>
            </w:tcBorders>
            <w:shd w:val="clear" w:color="000000" w:fill="DBE5F1"/>
            <w:vAlign w:val="bottom"/>
            <w:hideMark/>
          </w:tcPr>
          <w:p w:rsidR="00195BE7" w:rsidRPr="001E2F6E" w:rsidRDefault="00195BE7" w:rsidP="00195BE7">
            <w:pPr>
              <w:spacing w:line="240" w:lineRule="exact"/>
              <w:jc w:val="center"/>
              <w:rPr>
                <w:b/>
                <w:bCs/>
                <w:color w:val="000000"/>
                <w:sz w:val="16"/>
                <w:szCs w:val="16"/>
              </w:rPr>
            </w:pPr>
            <w:r w:rsidRPr="001E2F6E">
              <w:rPr>
                <w:b/>
                <w:bCs/>
                <w:color w:val="000000"/>
                <w:sz w:val="16"/>
                <w:szCs w:val="16"/>
                <w:lang w:val="pt-BR"/>
              </w:rPr>
              <w:t>z.a. ∆12/10</w:t>
            </w:r>
          </w:p>
        </w:tc>
      </w:tr>
      <w:tr w:rsidR="00195BE7" w:rsidRPr="001E2F6E" w:rsidTr="00195BE7">
        <w:trPr>
          <w:jc w:val="center"/>
        </w:trPr>
        <w:tc>
          <w:tcPr>
            <w:tcW w:w="2162" w:type="pct"/>
            <w:tcBorders>
              <w:top w:val="nil"/>
              <w:left w:val="nil"/>
              <w:bottom w:val="nil"/>
              <w:right w:val="single" w:sz="8" w:space="0" w:color="BFBFBF"/>
            </w:tcBorders>
            <w:shd w:val="clear" w:color="auto" w:fill="auto"/>
            <w:hideMark/>
          </w:tcPr>
          <w:p w:rsidR="00195BE7" w:rsidRPr="001E2F6E" w:rsidRDefault="00195BE7" w:rsidP="00195BE7">
            <w:pPr>
              <w:spacing w:line="240" w:lineRule="exact"/>
              <w:rPr>
                <w:rFonts w:eastAsia="Times New Roman"/>
                <w:b/>
                <w:bCs/>
                <w:color w:val="000000"/>
                <w:sz w:val="16"/>
                <w:szCs w:val="16"/>
                <w:lang w:eastAsia="es-ES"/>
              </w:rPr>
            </w:pPr>
            <w:r w:rsidRPr="001E2F6E">
              <w:rPr>
                <w:b/>
                <w:sz w:val="16"/>
                <w:szCs w:val="16"/>
              </w:rPr>
              <w:t>Fakturazio osoa</w:t>
            </w:r>
          </w:p>
        </w:tc>
        <w:tc>
          <w:tcPr>
            <w:tcW w:w="749" w:type="pct"/>
            <w:tcBorders>
              <w:top w:val="nil"/>
              <w:left w:val="nil"/>
              <w:bottom w:val="nil"/>
              <w:right w:val="single" w:sz="8" w:space="0" w:color="BFBFBF"/>
            </w:tcBorders>
            <w:shd w:val="clear" w:color="auto" w:fill="auto"/>
            <w:vAlign w:val="bottom"/>
            <w:hideMark/>
          </w:tcPr>
          <w:p w:rsidR="00195BE7" w:rsidRPr="001E2F6E" w:rsidRDefault="00195BE7" w:rsidP="00195BE7">
            <w:pPr>
              <w:spacing w:line="240" w:lineRule="exact"/>
              <w:ind w:right="170"/>
              <w:jc w:val="right"/>
              <w:rPr>
                <w:b/>
                <w:bCs/>
                <w:color w:val="000000"/>
                <w:sz w:val="16"/>
                <w:szCs w:val="16"/>
              </w:rPr>
            </w:pPr>
            <w:r w:rsidRPr="001E2F6E">
              <w:rPr>
                <w:b/>
                <w:bCs/>
                <w:color w:val="000000"/>
                <w:sz w:val="16"/>
                <w:szCs w:val="16"/>
              </w:rPr>
              <w:t>8.563.275.439</w:t>
            </w:r>
          </w:p>
        </w:tc>
        <w:tc>
          <w:tcPr>
            <w:tcW w:w="749" w:type="pct"/>
            <w:tcBorders>
              <w:top w:val="nil"/>
              <w:left w:val="nil"/>
              <w:bottom w:val="nil"/>
              <w:right w:val="single" w:sz="8" w:space="0" w:color="BFBFBF"/>
            </w:tcBorders>
            <w:shd w:val="clear" w:color="auto" w:fill="auto"/>
            <w:vAlign w:val="bottom"/>
            <w:hideMark/>
          </w:tcPr>
          <w:p w:rsidR="00195BE7" w:rsidRPr="001E2F6E" w:rsidRDefault="00195BE7" w:rsidP="00195BE7">
            <w:pPr>
              <w:spacing w:line="240" w:lineRule="exact"/>
              <w:ind w:right="170"/>
              <w:jc w:val="right"/>
              <w:rPr>
                <w:b/>
                <w:bCs/>
                <w:color w:val="000000"/>
                <w:sz w:val="16"/>
                <w:szCs w:val="16"/>
              </w:rPr>
            </w:pPr>
            <w:r w:rsidRPr="001E2F6E">
              <w:rPr>
                <w:b/>
                <w:bCs/>
                <w:color w:val="000000"/>
                <w:sz w:val="16"/>
                <w:szCs w:val="16"/>
              </w:rPr>
              <w:t>8.283.006.345</w:t>
            </w:r>
          </w:p>
        </w:tc>
        <w:tc>
          <w:tcPr>
            <w:tcW w:w="592" w:type="pct"/>
            <w:tcBorders>
              <w:top w:val="nil"/>
              <w:left w:val="nil"/>
              <w:bottom w:val="nil"/>
              <w:right w:val="single" w:sz="8" w:space="0" w:color="BFBFBF"/>
            </w:tcBorders>
            <w:shd w:val="clear" w:color="auto" w:fill="auto"/>
            <w:vAlign w:val="bottom"/>
            <w:hideMark/>
          </w:tcPr>
          <w:p w:rsidR="00195BE7" w:rsidRPr="001E2F6E" w:rsidRDefault="00195BE7" w:rsidP="00195BE7">
            <w:pPr>
              <w:spacing w:line="240" w:lineRule="exact"/>
              <w:ind w:right="170"/>
              <w:jc w:val="right"/>
              <w:rPr>
                <w:b/>
                <w:bCs/>
                <w:color w:val="000000"/>
                <w:sz w:val="16"/>
                <w:szCs w:val="16"/>
              </w:rPr>
            </w:pPr>
            <w:r w:rsidRPr="001E2F6E">
              <w:rPr>
                <w:b/>
                <w:bCs/>
                <w:color w:val="000000"/>
                <w:sz w:val="16"/>
                <w:szCs w:val="16"/>
              </w:rPr>
              <w:t>%-3,3</w:t>
            </w:r>
          </w:p>
        </w:tc>
        <w:tc>
          <w:tcPr>
            <w:tcW w:w="748" w:type="pct"/>
            <w:tcBorders>
              <w:top w:val="nil"/>
              <w:left w:val="nil"/>
              <w:bottom w:val="nil"/>
              <w:right w:val="single" w:sz="8" w:space="0" w:color="BFBFBF"/>
            </w:tcBorders>
            <w:shd w:val="clear" w:color="auto" w:fill="auto"/>
            <w:vAlign w:val="bottom"/>
            <w:hideMark/>
          </w:tcPr>
          <w:p w:rsidR="00195BE7" w:rsidRPr="001E2F6E" w:rsidRDefault="00195BE7" w:rsidP="00195BE7">
            <w:pPr>
              <w:spacing w:line="240" w:lineRule="exact"/>
              <w:ind w:right="170"/>
              <w:jc w:val="right"/>
              <w:rPr>
                <w:b/>
                <w:bCs/>
                <w:color w:val="000000"/>
                <w:sz w:val="16"/>
                <w:szCs w:val="16"/>
              </w:rPr>
            </w:pPr>
            <w:r w:rsidRPr="001E2F6E">
              <w:rPr>
                <w:b/>
                <w:bCs/>
                <w:color w:val="000000"/>
                <w:sz w:val="16"/>
                <w:szCs w:val="16"/>
              </w:rPr>
              <w:t>-280.269.094</w:t>
            </w:r>
          </w:p>
        </w:tc>
      </w:tr>
      <w:tr w:rsidR="00195BE7" w:rsidRPr="001E2F6E" w:rsidTr="00195BE7">
        <w:trPr>
          <w:jc w:val="center"/>
        </w:trPr>
        <w:tc>
          <w:tcPr>
            <w:tcW w:w="2162" w:type="pct"/>
            <w:tcBorders>
              <w:top w:val="nil"/>
              <w:left w:val="nil"/>
              <w:bottom w:val="nil"/>
              <w:right w:val="single" w:sz="8" w:space="0" w:color="BFBFBF"/>
            </w:tcBorders>
            <w:shd w:val="clear" w:color="auto" w:fill="auto"/>
            <w:hideMark/>
          </w:tcPr>
          <w:p w:rsidR="00195BE7" w:rsidRPr="001E2F6E" w:rsidRDefault="00195BE7" w:rsidP="00195BE7">
            <w:pPr>
              <w:tabs>
                <w:tab w:val="left" w:pos="254"/>
              </w:tabs>
              <w:spacing w:line="240" w:lineRule="exact"/>
              <w:rPr>
                <w:rFonts w:eastAsia="Times New Roman"/>
                <w:b/>
                <w:bCs/>
                <w:color w:val="000000"/>
                <w:sz w:val="16"/>
                <w:szCs w:val="16"/>
                <w:lang w:eastAsia="es-ES"/>
              </w:rPr>
            </w:pPr>
            <w:r w:rsidRPr="001E2F6E">
              <w:rPr>
                <w:rFonts w:eastAsia="Times New Roman"/>
                <w:b/>
                <w:bCs/>
                <w:color w:val="000000"/>
                <w:sz w:val="16"/>
                <w:szCs w:val="16"/>
                <w:lang w:eastAsia="es-ES"/>
              </w:rPr>
              <w:tab/>
              <w:t>Esportatzen ez dutenen fakturazioa</w:t>
            </w:r>
          </w:p>
        </w:tc>
        <w:tc>
          <w:tcPr>
            <w:tcW w:w="749" w:type="pct"/>
            <w:tcBorders>
              <w:top w:val="nil"/>
              <w:left w:val="nil"/>
              <w:bottom w:val="nil"/>
              <w:right w:val="single" w:sz="8" w:space="0" w:color="BFBFBF"/>
            </w:tcBorders>
            <w:shd w:val="clear" w:color="auto" w:fill="auto"/>
            <w:vAlign w:val="bottom"/>
            <w:hideMark/>
          </w:tcPr>
          <w:p w:rsidR="00195BE7" w:rsidRPr="001E2F6E" w:rsidRDefault="00195BE7" w:rsidP="00195BE7">
            <w:pPr>
              <w:spacing w:line="240" w:lineRule="exact"/>
              <w:ind w:right="170"/>
              <w:jc w:val="right"/>
              <w:rPr>
                <w:b/>
                <w:bCs/>
                <w:color w:val="000000"/>
                <w:sz w:val="16"/>
                <w:szCs w:val="16"/>
              </w:rPr>
            </w:pPr>
            <w:r w:rsidRPr="001E2F6E">
              <w:rPr>
                <w:b/>
                <w:bCs/>
                <w:color w:val="000000"/>
                <w:sz w:val="16"/>
                <w:szCs w:val="16"/>
              </w:rPr>
              <w:t>4.403.768.701</w:t>
            </w:r>
          </w:p>
        </w:tc>
        <w:tc>
          <w:tcPr>
            <w:tcW w:w="749" w:type="pct"/>
            <w:tcBorders>
              <w:top w:val="nil"/>
              <w:left w:val="nil"/>
              <w:bottom w:val="nil"/>
              <w:right w:val="single" w:sz="8" w:space="0" w:color="BFBFBF"/>
            </w:tcBorders>
            <w:shd w:val="clear" w:color="auto" w:fill="auto"/>
            <w:vAlign w:val="bottom"/>
            <w:hideMark/>
          </w:tcPr>
          <w:p w:rsidR="00195BE7" w:rsidRPr="001E2F6E" w:rsidRDefault="00195BE7" w:rsidP="00195BE7">
            <w:pPr>
              <w:spacing w:line="240" w:lineRule="exact"/>
              <w:ind w:right="170"/>
              <w:jc w:val="right"/>
              <w:rPr>
                <w:b/>
                <w:bCs/>
                <w:color w:val="000000"/>
                <w:sz w:val="16"/>
                <w:szCs w:val="16"/>
              </w:rPr>
            </w:pPr>
            <w:r w:rsidRPr="001E2F6E">
              <w:rPr>
                <w:b/>
                <w:bCs/>
                <w:color w:val="000000"/>
                <w:sz w:val="16"/>
                <w:szCs w:val="16"/>
              </w:rPr>
              <w:t>3.806.223.169</w:t>
            </w:r>
          </w:p>
        </w:tc>
        <w:tc>
          <w:tcPr>
            <w:tcW w:w="592" w:type="pct"/>
            <w:tcBorders>
              <w:top w:val="nil"/>
              <w:left w:val="nil"/>
              <w:bottom w:val="nil"/>
              <w:right w:val="single" w:sz="8" w:space="0" w:color="BFBFBF"/>
            </w:tcBorders>
            <w:shd w:val="clear" w:color="auto" w:fill="auto"/>
            <w:vAlign w:val="bottom"/>
            <w:hideMark/>
          </w:tcPr>
          <w:p w:rsidR="00195BE7" w:rsidRPr="001E2F6E" w:rsidRDefault="00195BE7" w:rsidP="00195BE7">
            <w:pPr>
              <w:spacing w:line="240" w:lineRule="exact"/>
              <w:ind w:right="170"/>
              <w:jc w:val="right"/>
              <w:rPr>
                <w:b/>
                <w:bCs/>
                <w:color w:val="000000"/>
                <w:sz w:val="16"/>
                <w:szCs w:val="16"/>
              </w:rPr>
            </w:pPr>
            <w:r w:rsidRPr="001E2F6E">
              <w:rPr>
                <w:b/>
                <w:bCs/>
                <w:color w:val="000000"/>
                <w:sz w:val="16"/>
                <w:szCs w:val="16"/>
              </w:rPr>
              <w:t>%-13,6</w:t>
            </w:r>
          </w:p>
        </w:tc>
        <w:tc>
          <w:tcPr>
            <w:tcW w:w="748" w:type="pct"/>
            <w:tcBorders>
              <w:top w:val="nil"/>
              <w:left w:val="nil"/>
              <w:bottom w:val="nil"/>
              <w:right w:val="single" w:sz="8" w:space="0" w:color="BFBFBF"/>
            </w:tcBorders>
            <w:shd w:val="clear" w:color="auto" w:fill="auto"/>
            <w:vAlign w:val="bottom"/>
            <w:hideMark/>
          </w:tcPr>
          <w:p w:rsidR="00195BE7" w:rsidRPr="001E2F6E" w:rsidRDefault="00195BE7" w:rsidP="00195BE7">
            <w:pPr>
              <w:spacing w:line="240" w:lineRule="exact"/>
              <w:ind w:right="170"/>
              <w:jc w:val="right"/>
              <w:rPr>
                <w:b/>
                <w:bCs/>
                <w:color w:val="000000"/>
                <w:sz w:val="16"/>
                <w:szCs w:val="16"/>
              </w:rPr>
            </w:pPr>
            <w:r w:rsidRPr="001E2F6E">
              <w:rPr>
                <w:b/>
                <w:bCs/>
                <w:color w:val="000000"/>
                <w:sz w:val="16"/>
                <w:szCs w:val="16"/>
              </w:rPr>
              <w:t>-597.545.532</w:t>
            </w:r>
          </w:p>
        </w:tc>
      </w:tr>
      <w:tr w:rsidR="00195BE7" w:rsidRPr="001E2F6E" w:rsidTr="00195BE7">
        <w:trPr>
          <w:jc w:val="center"/>
        </w:trPr>
        <w:tc>
          <w:tcPr>
            <w:tcW w:w="2162" w:type="pct"/>
            <w:tcBorders>
              <w:top w:val="nil"/>
              <w:left w:val="nil"/>
              <w:bottom w:val="nil"/>
              <w:right w:val="single" w:sz="8" w:space="0" w:color="BFBFBF"/>
            </w:tcBorders>
            <w:shd w:val="clear" w:color="auto" w:fill="auto"/>
            <w:hideMark/>
          </w:tcPr>
          <w:p w:rsidR="00195BE7" w:rsidRPr="001E2F6E" w:rsidRDefault="00195BE7" w:rsidP="00195BE7">
            <w:pPr>
              <w:tabs>
                <w:tab w:val="left" w:pos="254"/>
              </w:tabs>
              <w:spacing w:line="240" w:lineRule="exact"/>
              <w:rPr>
                <w:rFonts w:eastAsia="Times New Roman"/>
                <w:b/>
                <w:bCs/>
                <w:color w:val="000000"/>
                <w:sz w:val="16"/>
                <w:szCs w:val="16"/>
                <w:lang w:eastAsia="es-ES"/>
              </w:rPr>
            </w:pPr>
            <w:r w:rsidRPr="001E2F6E">
              <w:rPr>
                <w:rFonts w:eastAsia="Times New Roman"/>
                <w:b/>
                <w:bCs/>
                <w:color w:val="000000"/>
                <w:sz w:val="16"/>
                <w:szCs w:val="16"/>
                <w:lang w:eastAsia="es-ES"/>
              </w:rPr>
              <w:tab/>
            </w:r>
            <w:r w:rsidRPr="001E2F6E">
              <w:rPr>
                <w:b/>
                <w:sz w:val="16"/>
                <w:szCs w:val="16"/>
              </w:rPr>
              <w:t>Esportatzaileen fakturazioa</w:t>
            </w:r>
          </w:p>
        </w:tc>
        <w:tc>
          <w:tcPr>
            <w:tcW w:w="749" w:type="pct"/>
            <w:tcBorders>
              <w:top w:val="nil"/>
              <w:left w:val="nil"/>
              <w:bottom w:val="nil"/>
              <w:right w:val="single" w:sz="8" w:space="0" w:color="BFBFBF"/>
            </w:tcBorders>
            <w:shd w:val="clear" w:color="auto" w:fill="auto"/>
            <w:vAlign w:val="bottom"/>
            <w:hideMark/>
          </w:tcPr>
          <w:p w:rsidR="00195BE7" w:rsidRPr="001E2F6E" w:rsidRDefault="00195BE7" w:rsidP="00195BE7">
            <w:pPr>
              <w:spacing w:line="240" w:lineRule="exact"/>
              <w:ind w:right="170"/>
              <w:jc w:val="right"/>
              <w:rPr>
                <w:b/>
                <w:bCs/>
                <w:color w:val="000000"/>
                <w:sz w:val="16"/>
                <w:szCs w:val="16"/>
              </w:rPr>
            </w:pPr>
            <w:r w:rsidRPr="001E2F6E">
              <w:rPr>
                <w:b/>
                <w:bCs/>
                <w:color w:val="000000"/>
                <w:sz w:val="16"/>
                <w:szCs w:val="16"/>
              </w:rPr>
              <w:t>4.159.506.738</w:t>
            </w:r>
          </w:p>
        </w:tc>
        <w:tc>
          <w:tcPr>
            <w:tcW w:w="749" w:type="pct"/>
            <w:tcBorders>
              <w:top w:val="nil"/>
              <w:left w:val="nil"/>
              <w:bottom w:val="nil"/>
              <w:right w:val="single" w:sz="8" w:space="0" w:color="BFBFBF"/>
            </w:tcBorders>
            <w:shd w:val="clear" w:color="auto" w:fill="auto"/>
            <w:vAlign w:val="bottom"/>
            <w:hideMark/>
          </w:tcPr>
          <w:p w:rsidR="00195BE7" w:rsidRPr="001E2F6E" w:rsidRDefault="00195BE7" w:rsidP="00195BE7">
            <w:pPr>
              <w:spacing w:line="240" w:lineRule="exact"/>
              <w:ind w:right="170"/>
              <w:jc w:val="right"/>
              <w:rPr>
                <w:b/>
                <w:bCs/>
                <w:color w:val="000000"/>
                <w:sz w:val="16"/>
                <w:szCs w:val="16"/>
              </w:rPr>
            </w:pPr>
            <w:r w:rsidRPr="001E2F6E">
              <w:rPr>
                <w:b/>
                <w:bCs/>
                <w:color w:val="000000"/>
                <w:sz w:val="16"/>
                <w:szCs w:val="16"/>
              </w:rPr>
              <w:t>4.476.783.176</w:t>
            </w:r>
          </w:p>
        </w:tc>
        <w:tc>
          <w:tcPr>
            <w:tcW w:w="592" w:type="pct"/>
            <w:tcBorders>
              <w:top w:val="nil"/>
              <w:left w:val="nil"/>
              <w:bottom w:val="nil"/>
              <w:right w:val="single" w:sz="8" w:space="0" w:color="BFBFBF"/>
            </w:tcBorders>
            <w:shd w:val="clear" w:color="auto" w:fill="auto"/>
            <w:vAlign w:val="bottom"/>
            <w:hideMark/>
          </w:tcPr>
          <w:p w:rsidR="00195BE7" w:rsidRPr="001E2F6E" w:rsidRDefault="00195BE7" w:rsidP="00195BE7">
            <w:pPr>
              <w:spacing w:line="240" w:lineRule="exact"/>
              <w:ind w:right="170"/>
              <w:jc w:val="right"/>
              <w:rPr>
                <w:b/>
                <w:bCs/>
                <w:color w:val="000000"/>
                <w:sz w:val="16"/>
                <w:szCs w:val="16"/>
              </w:rPr>
            </w:pPr>
            <w:r w:rsidRPr="001E2F6E">
              <w:rPr>
                <w:b/>
                <w:bCs/>
                <w:color w:val="000000"/>
                <w:sz w:val="16"/>
                <w:szCs w:val="16"/>
              </w:rPr>
              <w:t>%7,6</w:t>
            </w:r>
          </w:p>
        </w:tc>
        <w:tc>
          <w:tcPr>
            <w:tcW w:w="748" w:type="pct"/>
            <w:tcBorders>
              <w:top w:val="nil"/>
              <w:left w:val="nil"/>
              <w:bottom w:val="nil"/>
              <w:right w:val="single" w:sz="8" w:space="0" w:color="BFBFBF"/>
            </w:tcBorders>
            <w:shd w:val="clear" w:color="auto" w:fill="auto"/>
            <w:vAlign w:val="bottom"/>
            <w:hideMark/>
          </w:tcPr>
          <w:p w:rsidR="00195BE7" w:rsidRPr="001E2F6E" w:rsidRDefault="00195BE7" w:rsidP="00195BE7">
            <w:pPr>
              <w:spacing w:line="240" w:lineRule="exact"/>
              <w:ind w:right="170"/>
              <w:jc w:val="right"/>
              <w:rPr>
                <w:b/>
                <w:bCs/>
                <w:color w:val="000000"/>
                <w:sz w:val="16"/>
                <w:szCs w:val="16"/>
              </w:rPr>
            </w:pPr>
            <w:r w:rsidRPr="001E2F6E">
              <w:rPr>
                <w:b/>
                <w:bCs/>
                <w:color w:val="000000"/>
                <w:sz w:val="16"/>
                <w:szCs w:val="16"/>
              </w:rPr>
              <w:t>317.276.438</w:t>
            </w:r>
          </w:p>
        </w:tc>
      </w:tr>
      <w:tr w:rsidR="00195BE7" w:rsidRPr="001E2F6E" w:rsidTr="00195BE7">
        <w:trPr>
          <w:jc w:val="center"/>
        </w:trPr>
        <w:tc>
          <w:tcPr>
            <w:tcW w:w="2162" w:type="pct"/>
            <w:tcBorders>
              <w:top w:val="nil"/>
              <w:left w:val="nil"/>
              <w:bottom w:val="nil"/>
              <w:right w:val="single" w:sz="8" w:space="0" w:color="BFBFBF"/>
            </w:tcBorders>
            <w:shd w:val="clear" w:color="auto" w:fill="auto"/>
            <w:vAlign w:val="bottom"/>
            <w:hideMark/>
          </w:tcPr>
          <w:p w:rsidR="00195BE7" w:rsidRPr="001E2F6E" w:rsidRDefault="00195BE7" w:rsidP="00195BE7">
            <w:pPr>
              <w:tabs>
                <w:tab w:val="left" w:pos="306"/>
              </w:tabs>
              <w:spacing w:line="240" w:lineRule="auto"/>
              <w:rPr>
                <w:sz w:val="16"/>
                <w:szCs w:val="16"/>
              </w:rPr>
            </w:pPr>
            <w:r w:rsidRPr="001E2F6E">
              <w:rPr>
                <w:sz w:val="16"/>
                <w:szCs w:val="16"/>
              </w:rPr>
              <w:tab/>
              <w:t>a)Barne-salmentak</w:t>
            </w:r>
          </w:p>
        </w:tc>
        <w:tc>
          <w:tcPr>
            <w:tcW w:w="749" w:type="pct"/>
            <w:tcBorders>
              <w:top w:val="nil"/>
              <w:left w:val="nil"/>
              <w:bottom w:val="nil"/>
              <w:right w:val="single" w:sz="8" w:space="0" w:color="BFBFBF"/>
            </w:tcBorders>
            <w:shd w:val="clear" w:color="auto" w:fill="auto"/>
            <w:vAlign w:val="bottom"/>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1.909.021.877</w:t>
            </w:r>
          </w:p>
        </w:tc>
        <w:tc>
          <w:tcPr>
            <w:tcW w:w="749" w:type="pct"/>
            <w:tcBorders>
              <w:top w:val="nil"/>
              <w:left w:val="nil"/>
              <w:bottom w:val="nil"/>
              <w:right w:val="single" w:sz="8" w:space="0" w:color="BFBFBF"/>
            </w:tcBorders>
            <w:shd w:val="clear" w:color="auto" w:fill="auto"/>
            <w:vAlign w:val="bottom"/>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1.803.527.961</w:t>
            </w:r>
          </w:p>
        </w:tc>
        <w:tc>
          <w:tcPr>
            <w:tcW w:w="592" w:type="pct"/>
            <w:tcBorders>
              <w:top w:val="nil"/>
              <w:left w:val="nil"/>
              <w:bottom w:val="nil"/>
              <w:right w:val="single" w:sz="8" w:space="0" w:color="BFBFBF"/>
            </w:tcBorders>
            <w:shd w:val="clear" w:color="auto" w:fill="auto"/>
            <w:vAlign w:val="bottom"/>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%-5,5</w:t>
            </w:r>
          </w:p>
        </w:tc>
        <w:tc>
          <w:tcPr>
            <w:tcW w:w="748" w:type="pct"/>
            <w:tcBorders>
              <w:top w:val="nil"/>
              <w:left w:val="nil"/>
              <w:bottom w:val="nil"/>
              <w:right w:val="single" w:sz="8" w:space="0" w:color="BFBFBF"/>
            </w:tcBorders>
            <w:shd w:val="clear" w:color="auto" w:fill="auto"/>
            <w:vAlign w:val="bottom"/>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-105.493.916</w:t>
            </w:r>
          </w:p>
        </w:tc>
      </w:tr>
      <w:tr w:rsidR="00195BE7" w:rsidRPr="001E2F6E" w:rsidTr="00195BE7">
        <w:trPr>
          <w:jc w:val="center"/>
        </w:trPr>
        <w:tc>
          <w:tcPr>
            <w:tcW w:w="2162" w:type="pct"/>
            <w:tcBorders>
              <w:top w:val="nil"/>
              <w:left w:val="nil"/>
              <w:bottom w:val="nil"/>
              <w:right w:val="single" w:sz="8" w:space="0" w:color="BFBFBF"/>
            </w:tcBorders>
            <w:shd w:val="clear" w:color="auto" w:fill="auto"/>
            <w:vAlign w:val="bottom"/>
            <w:hideMark/>
          </w:tcPr>
          <w:p w:rsidR="00195BE7" w:rsidRPr="001E2F6E" w:rsidRDefault="00195BE7" w:rsidP="00195BE7">
            <w:pPr>
              <w:tabs>
                <w:tab w:val="left" w:pos="306"/>
              </w:tabs>
              <w:spacing w:line="240" w:lineRule="auto"/>
              <w:rPr>
                <w:sz w:val="16"/>
                <w:szCs w:val="16"/>
              </w:rPr>
            </w:pPr>
            <w:r w:rsidRPr="001E2F6E">
              <w:rPr>
                <w:sz w:val="16"/>
                <w:szCs w:val="16"/>
              </w:rPr>
              <w:tab/>
              <w:t>b)Kanpo-salmentak: Esportazioak</w:t>
            </w:r>
          </w:p>
        </w:tc>
        <w:tc>
          <w:tcPr>
            <w:tcW w:w="749" w:type="pct"/>
            <w:tcBorders>
              <w:top w:val="nil"/>
              <w:left w:val="nil"/>
              <w:bottom w:val="nil"/>
              <w:right w:val="single" w:sz="8" w:space="0" w:color="BFBFBF"/>
            </w:tcBorders>
            <w:shd w:val="clear" w:color="auto" w:fill="auto"/>
            <w:vAlign w:val="bottom"/>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2.250.484.862</w:t>
            </w:r>
          </w:p>
        </w:tc>
        <w:tc>
          <w:tcPr>
            <w:tcW w:w="749" w:type="pct"/>
            <w:tcBorders>
              <w:top w:val="nil"/>
              <w:left w:val="nil"/>
              <w:bottom w:val="nil"/>
              <w:right w:val="single" w:sz="8" w:space="0" w:color="BFBFBF"/>
            </w:tcBorders>
            <w:shd w:val="clear" w:color="auto" w:fill="auto"/>
            <w:vAlign w:val="bottom"/>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2.673.255.215</w:t>
            </w:r>
          </w:p>
        </w:tc>
        <w:tc>
          <w:tcPr>
            <w:tcW w:w="592" w:type="pct"/>
            <w:tcBorders>
              <w:top w:val="nil"/>
              <w:left w:val="nil"/>
              <w:bottom w:val="nil"/>
              <w:right w:val="single" w:sz="8" w:space="0" w:color="BFBFBF"/>
            </w:tcBorders>
            <w:shd w:val="clear" w:color="auto" w:fill="auto"/>
            <w:vAlign w:val="bottom"/>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%18,8</w:t>
            </w:r>
          </w:p>
        </w:tc>
        <w:tc>
          <w:tcPr>
            <w:tcW w:w="748" w:type="pct"/>
            <w:tcBorders>
              <w:top w:val="nil"/>
              <w:left w:val="nil"/>
              <w:bottom w:val="nil"/>
              <w:right w:val="single" w:sz="8" w:space="0" w:color="BFBFBF"/>
            </w:tcBorders>
            <w:shd w:val="clear" w:color="auto" w:fill="auto"/>
            <w:vAlign w:val="bottom"/>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422.770.353</w:t>
            </w:r>
          </w:p>
        </w:tc>
      </w:tr>
      <w:tr w:rsidR="00195BE7" w:rsidRPr="001E2F6E" w:rsidTr="00195BE7">
        <w:trPr>
          <w:jc w:val="center"/>
        </w:trPr>
        <w:tc>
          <w:tcPr>
            <w:tcW w:w="2162" w:type="pct"/>
            <w:tcBorders>
              <w:top w:val="nil"/>
              <w:left w:val="nil"/>
              <w:bottom w:val="nil"/>
              <w:right w:val="single" w:sz="8" w:space="0" w:color="BFBFBF"/>
            </w:tcBorders>
            <w:shd w:val="clear" w:color="auto" w:fill="auto"/>
            <w:vAlign w:val="bottom"/>
            <w:hideMark/>
          </w:tcPr>
          <w:p w:rsidR="00195BE7" w:rsidRPr="001E2F6E" w:rsidRDefault="00195BE7" w:rsidP="00195BE7">
            <w:pPr>
              <w:tabs>
                <w:tab w:val="left" w:pos="366"/>
                <w:tab w:val="left" w:pos="780"/>
              </w:tabs>
              <w:spacing w:line="240" w:lineRule="auto"/>
              <w:rPr>
                <w:sz w:val="16"/>
                <w:szCs w:val="16"/>
              </w:rPr>
            </w:pPr>
            <w:r w:rsidRPr="001E2F6E">
              <w:rPr>
                <w:sz w:val="16"/>
                <w:szCs w:val="16"/>
              </w:rPr>
              <w:tab/>
              <w:t xml:space="preserve">  b.1. Europarako esportazioak</w:t>
            </w:r>
          </w:p>
        </w:tc>
        <w:tc>
          <w:tcPr>
            <w:tcW w:w="749" w:type="pct"/>
            <w:tcBorders>
              <w:top w:val="nil"/>
              <w:left w:val="nil"/>
              <w:bottom w:val="nil"/>
              <w:right w:val="single" w:sz="8" w:space="0" w:color="BFBFBF"/>
            </w:tcBorders>
            <w:shd w:val="clear" w:color="auto" w:fill="auto"/>
            <w:vAlign w:val="bottom"/>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1.397.054.639</w:t>
            </w:r>
          </w:p>
        </w:tc>
        <w:tc>
          <w:tcPr>
            <w:tcW w:w="749" w:type="pct"/>
            <w:tcBorders>
              <w:top w:val="nil"/>
              <w:left w:val="nil"/>
              <w:bottom w:val="nil"/>
              <w:right w:val="single" w:sz="8" w:space="0" w:color="BFBFBF"/>
            </w:tcBorders>
            <w:shd w:val="clear" w:color="auto" w:fill="auto"/>
            <w:vAlign w:val="bottom"/>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1.588.386.617</w:t>
            </w:r>
          </w:p>
        </w:tc>
        <w:tc>
          <w:tcPr>
            <w:tcW w:w="592" w:type="pct"/>
            <w:tcBorders>
              <w:top w:val="nil"/>
              <w:left w:val="nil"/>
              <w:bottom w:val="nil"/>
              <w:right w:val="single" w:sz="8" w:space="0" w:color="BFBFBF"/>
            </w:tcBorders>
            <w:shd w:val="clear" w:color="auto" w:fill="auto"/>
            <w:vAlign w:val="bottom"/>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%13,7</w:t>
            </w:r>
          </w:p>
        </w:tc>
        <w:tc>
          <w:tcPr>
            <w:tcW w:w="748" w:type="pct"/>
            <w:tcBorders>
              <w:top w:val="nil"/>
              <w:left w:val="nil"/>
              <w:bottom w:val="nil"/>
              <w:right w:val="single" w:sz="8" w:space="0" w:color="BFBFBF"/>
            </w:tcBorders>
            <w:shd w:val="clear" w:color="auto" w:fill="auto"/>
            <w:vAlign w:val="bottom"/>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191.331.978</w:t>
            </w:r>
          </w:p>
        </w:tc>
      </w:tr>
      <w:tr w:rsidR="00195BE7" w:rsidRPr="001E2F6E" w:rsidTr="00195BE7">
        <w:trPr>
          <w:jc w:val="center"/>
        </w:trPr>
        <w:tc>
          <w:tcPr>
            <w:tcW w:w="2162" w:type="pct"/>
            <w:tcBorders>
              <w:top w:val="nil"/>
              <w:left w:val="nil"/>
              <w:bottom w:val="single" w:sz="8" w:space="0" w:color="BFBFBF"/>
              <w:right w:val="single" w:sz="8" w:space="0" w:color="BFBFBF"/>
            </w:tcBorders>
            <w:shd w:val="clear" w:color="auto" w:fill="auto"/>
            <w:vAlign w:val="bottom"/>
            <w:hideMark/>
          </w:tcPr>
          <w:p w:rsidR="00195BE7" w:rsidRPr="001E2F6E" w:rsidRDefault="00195BE7" w:rsidP="00195BE7">
            <w:pPr>
              <w:tabs>
                <w:tab w:val="left" w:pos="429"/>
                <w:tab w:val="left" w:pos="780"/>
              </w:tabs>
              <w:rPr>
                <w:sz w:val="16"/>
                <w:szCs w:val="16"/>
              </w:rPr>
            </w:pPr>
            <w:r w:rsidRPr="001E2F6E">
              <w:rPr>
                <w:sz w:val="16"/>
                <w:szCs w:val="16"/>
              </w:rPr>
              <w:tab/>
              <w:t>b.2. Esportazioak gainerako herrialdeetara</w:t>
            </w:r>
          </w:p>
        </w:tc>
        <w:tc>
          <w:tcPr>
            <w:tcW w:w="749" w:type="pct"/>
            <w:tcBorders>
              <w:top w:val="nil"/>
              <w:left w:val="nil"/>
              <w:bottom w:val="single" w:sz="8" w:space="0" w:color="BFBFBF"/>
              <w:right w:val="single" w:sz="8" w:space="0" w:color="BFBFBF"/>
            </w:tcBorders>
            <w:shd w:val="clear" w:color="auto" w:fill="auto"/>
            <w:vAlign w:val="bottom"/>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853.430.223</w:t>
            </w:r>
          </w:p>
        </w:tc>
        <w:tc>
          <w:tcPr>
            <w:tcW w:w="749" w:type="pct"/>
            <w:tcBorders>
              <w:top w:val="nil"/>
              <w:left w:val="nil"/>
              <w:bottom w:val="single" w:sz="8" w:space="0" w:color="BFBFBF"/>
              <w:right w:val="single" w:sz="8" w:space="0" w:color="BFBFBF"/>
            </w:tcBorders>
            <w:shd w:val="clear" w:color="auto" w:fill="auto"/>
            <w:vAlign w:val="bottom"/>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1.084.868.598</w:t>
            </w:r>
          </w:p>
        </w:tc>
        <w:tc>
          <w:tcPr>
            <w:tcW w:w="592" w:type="pct"/>
            <w:tcBorders>
              <w:top w:val="nil"/>
              <w:left w:val="nil"/>
              <w:bottom w:val="single" w:sz="8" w:space="0" w:color="BFBFBF"/>
              <w:right w:val="single" w:sz="8" w:space="0" w:color="BFBFBF"/>
            </w:tcBorders>
            <w:shd w:val="clear" w:color="auto" w:fill="auto"/>
            <w:vAlign w:val="bottom"/>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%27,1</w:t>
            </w:r>
          </w:p>
        </w:tc>
        <w:tc>
          <w:tcPr>
            <w:tcW w:w="748" w:type="pct"/>
            <w:tcBorders>
              <w:top w:val="nil"/>
              <w:left w:val="nil"/>
              <w:bottom w:val="single" w:sz="8" w:space="0" w:color="BFBFBF"/>
              <w:right w:val="single" w:sz="8" w:space="0" w:color="BFBFBF"/>
            </w:tcBorders>
            <w:shd w:val="clear" w:color="auto" w:fill="auto"/>
            <w:vAlign w:val="bottom"/>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231.438.375</w:t>
            </w:r>
          </w:p>
        </w:tc>
      </w:tr>
    </w:tbl>
    <w:p w:rsidR="00195BE7" w:rsidRPr="001E2F6E" w:rsidRDefault="00195BE7" w:rsidP="00195BE7"/>
    <w:p w:rsidR="00195BE7" w:rsidRPr="001E2F6E" w:rsidRDefault="00195BE7" w:rsidP="00195BE7"/>
    <w:p w:rsidR="00195BE7" w:rsidRPr="001E2F6E" w:rsidRDefault="00195BE7" w:rsidP="00195BE7">
      <w:pPr>
        <w:rPr>
          <w:lang w:val="es-ES_tradnl"/>
        </w:rPr>
      </w:pPr>
    </w:p>
    <w:p w:rsidR="00195BE7" w:rsidRPr="001E2F6E" w:rsidRDefault="00195BE7" w:rsidP="00195BE7">
      <w:pPr>
        <w:pStyle w:val="Ttulo1"/>
        <w:ind w:left="708" w:hanging="708"/>
        <w:rPr>
          <w:color w:val="1F497D" w:themeColor="text2"/>
          <w:sz w:val="22"/>
          <w:szCs w:val="22"/>
        </w:rPr>
      </w:pPr>
      <w:bookmarkStart w:id="190" w:name="_Toc391989020"/>
      <w:bookmarkStart w:id="191" w:name="_Toc392585683"/>
      <w:r w:rsidRPr="001E2F6E">
        <w:rPr>
          <w:color w:val="1F497D" w:themeColor="text2"/>
          <w:sz w:val="22"/>
          <w:szCs w:val="22"/>
        </w:rPr>
        <w:t xml:space="preserve">4.1.- </w:t>
      </w:r>
      <w:r w:rsidRPr="001E2F6E">
        <w:rPr>
          <w:color w:val="1F497D" w:themeColor="text2"/>
          <w:sz w:val="22"/>
          <w:szCs w:val="22"/>
        </w:rPr>
        <w:tab/>
      </w:r>
      <w:r w:rsidRPr="001E2F6E">
        <w:rPr>
          <w:color w:val="1F497D" w:themeColor="text2"/>
          <w:sz w:val="22"/>
          <w:szCs w:val="22"/>
          <w:lang w:val="eu-ES"/>
        </w:rPr>
        <w:t>ESPORTAZIOAK, JARDUERA-SEKTORE, FORMA JURIDIKO ETA ENPRESEN TAMAINAREN ARABERA</w:t>
      </w:r>
      <w:bookmarkEnd w:id="190"/>
      <w:bookmarkEnd w:id="191"/>
    </w:p>
    <w:p w:rsidR="00195BE7" w:rsidRPr="001E2F6E" w:rsidRDefault="00195BE7" w:rsidP="00195BE7">
      <w:pPr>
        <w:rPr>
          <w:lang w:val="es-ES_tradnl"/>
        </w:rPr>
      </w:pPr>
    </w:p>
    <w:p w:rsidR="00195BE7" w:rsidRPr="001E2F6E" w:rsidRDefault="00195BE7" w:rsidP="00195BE7">
      <w:pPr>
        <w:pStyle w:val="Textoindependiente"/>
        <w:jc w:val="center"/>
        <w:rPr>
          <w:rFonts w:ascii="Arial" w:hAnsi="Arial" w:cs="Arial"/>
          <w:b/>
          <w:color w:val="1F497D" w:themeColor="text2"/>
          <w:sz w:val="18"/>
          <w:szCs w:val="18"/>
          <w:lang w:val="es-ES_tradnl"/>
        </w:rPr>
      </w:pPr>
      <w:bookmarkStart w:id="192" w:name="_Toc391989120"/>
      <w:bookmarkStart w:id="193" w:name="_Toc392585785"/>
      <w:r w:rsidRPr="001E2F6E">
        <w:rPr>
          <w:rFonts w:ascii="Arial" w:hAnsi="Arial" w:cs="Arial"/>
          <w:b/>
          <w:color w:val="1F497D" w:themeColor="text2"/>
          <w:sz w:val="18"/>
          <w:szCs w:val="18"/>
          <w:lang w:val="es-ES_tradnl"/>
        </w:rPr>
        <w:t>1.</w:t>
      </w:r>
      <w:r w:rsidR="00EB6BA6" w:rsidRPr="001E2F6E">
        <w:rPr>
          <w:rFonts w:ascii="Arial" w:hAnsi="Arial" w:cs="Arial"/>
          <w:b/>
          <w:color w:val="1F497D" w:themeColor="text2"/>
          <w:sz w:val="18"/>
          <w:szCs w:val="18"/>
          <w:lang w:val="es-ES_tradnl"/>
        </w:rPr>
        <w:fldChar w:fldCharType="begin"/>
      </w:r>
      <w:r w:rsidRPr="001E2F6E">
        <w:rPr>
          <w:rFonts w:ascii="Arial" w:hAnsi="Arial" w:cs="Arial"/>
          <w:b/>
          <w:color w:val="1F497D" w:themeColor="text2"/>
          <w:sz w:val="18"/>
          <w:szCs w:val="18"/>
          <w:lang w:val="es-ES_tradnl"/>
        </w:rPr>
        <w:instrText xml:space="preserve"> SEQ Cuadro_1. \* ARABIC </w:instrText>
      </w:r>
      <w:r w:rsidR="00EB6BA6" w:rsidRPr="001E2F6E">
        <w:rPr>
          <w:rFonts w:ascii="Arial" w:hAnsi="Arial" w:cs="Arial"/>
          <w:b/>
          <w:color w:val="1F497D" w:themeColor="text2"/>
          <w:sz w:val="18"/>
          <w:szCs w:val="18"/>
          <w:lang w:val="es-ES_tradnl"/>
        </w:rPr>
        <w:fldChar w:fldCharType="separate"/>
      </w:r>
      <w:r w:rsidR="00A327D4">
        <w:rPr>
          <w:rFonts w:ascii="Arial" w:hAnsi="Arial" w:cs="Arial"/>
          <w:b/>
          <w:noProof/>
          <w:color w:val="1F497D" w:themeColor="text2"/>
          <w:sz w:val="18"/>
          <w:szCs w:val="18"/>
          <w:lang w:val="es-ES_tradnl"/>
        </w:rPr>
        <w:t>50</w:t>
      </w:r>
      <w:r w:rsidR="00EB6BA6" w:rsidRPr="001E2F6E">
        <w:rPr>
          <w:rFonts w:ascii="Arial" w:hAnsi="Arial" w:cs="Arial"/>
          <w:b/>
          <w:color w:val="1F497D" w:themeColor="text2"/>
          <w:sz w:val="18"/>
          <w:szCs w:val="18"/>
          <w:lang w:val="es-ES_tradnl"/>
        </w:rPr>
        <w:fldChar w:fldCharType="end"/>
      </w:r>
      <w:r w:rsidRPr="001E2F6E">
        <w:rPr>
          <w:rFonts w:ascii="Arial" w:hAnsi="Arial" w:cs="Arial"/>
          <w:b/>
          <w:color w:val="1F497D" w:themeColor="text2"/>
          <w:sz w:val="18"/>
          <w:szCs w:val="18"/>
          <w:lang w:val="es-ES_tradnl"/>
        </w:rPr>
        <w:t xml:space="preserve"> Taula GIZARTE-EKONOMIAREN ESPORTAZIOEN ARLOZ ARLOKO BANAKETA. (</w:t>
      </w:r>
      <w:r w:rsidR="00462130" w:rsidRPr="001E2F6E">
        <w:rPr>
          <w:rFonts w:ascii="Arial" w:hAnsi="Arial" w:cs="Arial"/>
          <w:b/>
          <w:color w:val="1F497D" w:themeColor="text2"/>
          <w:sz w:val="18"/>
          <w:szCs w:val="18"/>
          <w:lang w:val="es-ES_tradnl"/>
        </w:rPr>
        <w:t xml:space="preserve">zifra absolutuak </w:t>
      </w:r>
      <w:r w:rsidRPr="001E2F6E">
        <w:rPr>
          <w:rFonts w:ascii="Arial" w:hAnsi="Arial" w:cs="Arial"/>
          <w:b/>
          <w:color w:val="1F497D" w:themeColor="text2"/>
          <w:sz w:val="18"/>
          <w:szCs w:val="18"/>
          <w:lang w:val="es-ES_tradnl"/>
        </w:rPr>
        <w:t>euro-kopurua,  milakoan, %bertikalak) ETA NEGOZIO-KOPURUAREN GAINEKO PISU ERLATIBOA. 2012</w:t>
      </w:r>
      <w:bookmarkEnd w:id="192"/>
      <w:bookmarkEnd w:id="193"/>
    </w:p>
    <w:tbl>
      <w:tblPr>
        <w:tblW w:w="5000" w:type="pct"/>
        <w:jc w:val="center"/>
        <w:tblBorders>
          <w:top w:val="single" w:sz="4" w:space="0" w:color="BFBFBF" w:themeColor="background1" w:themeShade="BF"/>
          <w:bottom w:val="single" w:sz="4" w:space="0" w:color="BFBFBF" w:themeColor="background1" w:themeShade="BF"/>
        </w:tblBorders>
        <w:tblLook w:val="04A0" w:firstRow="1" w:lastRow="0" w:firstColumn="1" w:lastColumn="0" w:noHBand="0" w:noVBand="1"/>
      </w:tblPr>
      <w:tblGrid>
        <w:gridCol w:w="2376"/>
        <w:gridCol w:w="2375"/>
        <w:gridCol w:w="1532"/>
        <w:gridCol w:w="2721"/>
      </w:tblGrid>
      <w:tr w:rsidR="00195BE7" w:rsidRPr="001E2F6E" w:rsidTr="00195BE7">
        <w:trPr>
          <w:jc w:val="center"/>
        </w:trPr>
        <w:tc>
          <w:tcPr>
            <w:tcW w:w="1319" w:type="pct"/>
            <w:vMerge w:val="restart"/>
            <w:tcBorders>
              <w:top w:val="single" w:sz="4" w:space="0" w:color="BFBFBF" w:themeColor="background1" w:themeShade="BF"/>
              <w:right w:val="single" w:sz="4" w:space="0" w:color="BFBFBF" w:themeColor="background1" w:themeShade="BF"/>
            </w:tcBorders>
            <w:shd w:val="clear" w:color="auto" w:fill="DBE5F1" w:themeFill="accent1" w:themeFillTint="33"/>
            <w:vAlign w:val="center"/>
          </w:tcPr>
          <w:p w:rsidR="00195BE7" w:rsidRPr="001E2F6E" w:rsidRDefault="00195BE7" w:rsidP="00195BE7">
            <w:pPr>
              <w:spacing w:line="240" w:lineRule="exact"/>
              <w:jc w:val="center"/>
              <w:rPr>
                <w:b/>
                <w:bCs/>
                <w:sz w:val="16"/>
                <w:szCs w:val="16"/>
              </w:rPr>
            </w:pPr>
          </w:p>
        </w:tc>
        <w:tc>
          <w:tcPr>
            <w:tcW w:w="2170"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tcPr>
          <w:p w:rsidR="00195BE7" w:rsidRPr="001E2F6E" w:rsidRDefault="00195BE7" w:rsidP="00195BE7">
            <w:pPr>
              <w:spacing w:line="240" w:lineRule="exact"/>
              <w:jc w:val="center"/>
              <w:rPr>
                <w:b/>
                <w:bCs/>
                <w:sz w:val="16"/>
                <w:szCs w:val="16"/>
              </w:rPr>
            </w:pPr>
            <w:r w:rsidRPr="001E2F6E">
              <w:rPr>
                <w:b/>
                <w:bCs/>
                <w:sz w:val="16"/>
                <w:szCs w:val="16"/>
              </w:rPr>
              <w:t>Esportazioak</w:t>
            </w:r>
          </w:p>
        </w:tc>
        <w:tc>
          <w:tcPr>
            <w:tcW w:w="1511"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vAlign w:val="center"/>
          </w:tcPr>
          <w:p w:rsidR="00195BE7" w:rsidRPr="001E2F6E" w:rsidRDefault="00195BE7" w:rsidP="00195BE7">
            <w:pPr>
              <w:spacing w:line="240" w:lineRule="exact"/>
              <w:jc w:val="center"/>
              <w:rPr>
                <w:b/>
                <w:bCs/>
                <w:sz w:val="16"/>
                <w:szCs w:val="16"/>
                <w:lang w:val="pt-BR"/>
              </w:rPr>
            </w:pPr>
            <w:r w:rsidRPr="001E2F6E">
              <w:rPr>
                <w:b/>
                <w:bCs/>
                <w:sz w:val="16"/>
                <w:szCs w:val="16"/>
                <w:lang w:val="pt-BR"/>
              </w:rPr>
              <w:t>Pisu erlatiboa / Negozio-kopuruaren arabera</w:t>
            </w:r>
          </w:p>
        </w:tc>
      </w:tr>
      <w:tr w:rsidR="00195BE7" w:rsidRPr="001E2F6E" w:rsidTr="00195BE7">
        <w:trPr>
          <w:jc w:val="center"/>
        </w:trPr>
        <w:tc>
          <w:tcPr>
            <w:tcW w:w="1319" w:type="pct"/>
            <w:vMerge/>
            <w:tcBorders>
              <w:bottom w:val="single" w:sz="4" w:space="0" w:color="BFBFBF" w:themeColor="background1" w:themeShade="BF"/>
              <w:right w:val="single" w:sz="4" w:space="0" w:color="BFBFBF" w:themeColor="background1" w:themeShade="BF"/>
            </w:tcBorders>
          </w:tcPr>
          <w:p w:rsidR="00195BE7" w:rsidRPr="001E2F6E" w:rsidRDefault="00195BE7" w:rsidP="00195BE7">
            <w:pPr>
              <w:spacing w:line="240" w:lineRule="exact"/>
              <w:rPr>
                <w:b/>
                <w:bCs/>
                <w:sz w:val="16"/>
                <w:szCs w:val="16"/>
                <w:lang w:val="pt-BR"/>
              </w:rPr>
            </w:pPr>
          </w:p>
        </w:tc>
        <w:tc>
          <w:tcPr>
            <w:tcW w:w="1319" w:type="pct"/>
            <w:tcBorders>
              <w:left w:val="single" w:sz="4" w:space="0" w:color="BFBFBF" w:themeColor="background1" w:themeShade="BF"/>
              <w:bottom w:val="single" w:sz="4" w:space="0" w:color="BFBFBF" w:themeColor="background1" w:themeShade="BF"/>
            </w:tcBorders>
            <w:shd w:val="clear" w:color="auto" w:fill="DBE5F1" w:themeFill="accent1" w:themeFillTint="33"/>
          </w:tcPr>
          <w:p w:rsidR="00195BE7" w:rsidRPr="001E2F6E" w:rsidRDefault="00195BE7" w:rsidP="00195BE7">
            <w:pPr>
              <w:spacing w:line="240" w:lineRule="exact"/>
              <w:jc w:val="center"/>
              <w:rPr>
                <w:b/>
                <w:bCs/>
                <w:sz w:val="16"/>
                <w:szCs w:val="16"/>
              </w:rPr>
            </w:pPr>
            <w:r w:rsidRPr="001E2F6E">
              <w:rPr>
                <w:b/>
                <w:bCs/>
                <w:sz w:val="16"/>
                <w:szCs w:val="16"/>
                <w:lang w:val="pt-BR"/>
              </w:rPr>
              <w:t>z</w:t>
            </w:r>
            <w:r w:rsidRPr="001E2F6E">
              <w:rPr>
                <w:b/>
                <w:bCs/>
                <w:sz w:val="16"/>
                <w:szCs w:val="16"/>
              </w:rPr>
              <w:t>.a.</w:t>
            </w:r>
          </w:p>
        </w:tc>
        <w:tc>
          <w:tcPr>
            <w:tcW w:w="851" w:type="pct"/>
            <w:tcBorders>
              <w:bottom w:val="single" w:sz="4" w:space="0" w:color="BFBFBF" w:themeColor="background1" w:themeShade="BF"/>
              <w:right w:val="single" w:sz="4" w:space="0" w:color="BFBFBF" w:themeColor="background1" w:themeShade="BF"/>
            </w:tcBorders>
            <w:shd w:val="clear" w:color="auto" w:fill="DBE5F1" w:themeFill="accent1" w:themeFillTint="33"/>
          </w:tcPr>
          <w:p w:rsidR="00195BE7" w:rsidRPr="001E2F6E" w:rsidRDefault="00195BE7" w:rsidP="00195BE7">
            <w:pPr>
              <w:spacing w:line="240" w:lineRule="exact"/>
              <w:jc w:val="center"/>
              <w:rPr>
                <w:b/>
                <w:bCs/>
                <w:sz w:val="16"/>
                <w:szCs w:val="16"/>
              </w:rPr>
            </w:pPr>
            <w:r w:rsidRPr="001E2F6E">
              <w:rPr>
                <w:b/>
                <w:bCs/>
                <w:sz w:val="16"/>
                <w:szCs w:val="16"/>
              </w:rPr>
              <w:t>%</w:t>
            </w:r>
          </w:p>
        </w:tc>
        <w:tc>
          <w:tcPr>
            <w:tcW w:w="1511" w:type="pct"/>
            <w:tcBorders>
              <w:left w:val="single" w:sz="4" w:space="0" w:color="BFBFBF" w:themeColor="background1" w:themeShade="BF"/>
              <w:bottom w:val="single" w:sz="4" w:space="0" w:color="BFBFBF" w:themeColor="background1" w:themeShade="BF"/>
            </w:tcBorders>
            <w:shd w:val="clear" w:color="auto" w:fill="DBE5F1" w:themeFill="accent1" w:themeFillTint="33"/>
          </w:tcPr>
          <w:p w:rsidR="00195BE7" w:rsidRPr="001E2F6E" w:rsidRDefault="00195BE7" w:rsidP="00195BE7">
            <w:pPr>
              <w:spacing w:line="240" w:lineRule="exact"/>
              <w:jc w:val="center"/>
              <w:rPr>
                <w:b/>
                <w:bCs/>
                <w:sz w:val="16"/>
                <w:szCs w:val="16"/>
              </w:rPr>
            </w:pPr>
            <w:r w:rsidRPr="001E2F6E">
              <w:rPr>
                <w:b/>
                <w:bCs/>
                <w:sz w:val="16"/>
                <w:szCs w:val="16"/>
              </w:rPr>
              <w:t>%</w:t>
            </w:r>
          </w:p>
        </w:tc>
      </w:tr>
      <w:tr w:rsidR="00195BE7" w:rsidRPr="001E2F6E" w:rsidTr="00195BE7">
        <w:trPr>
          <w:jc w:val="center"/>
        </w:trPr>
        <w:tc>
          <w:tcPr>
            <w:tcW w:w="1319" w:type="pct"/>
            <w:tcBorders>
              <w:right w:val="single" w:sz="4" w:space="0" w:color="BFBFBF" w:themeColor="background1" w:themeShade="BF"/>
            </w:tcBorders>
          </w:tcPr>
          <w:p w:rsidR="00195BE7" w:rsidRPr="001E2F6E" w:rsidRDefault="00195BE7" w:rsidP="00195BE7">
            <w:pPr>
              <w:spacing w:line="240" w:lineRule="exact"/>
              <w:rPr>
                <w:sz w:val="16"/>
                <w:szCs w:val="16"/>
              </w:rPr>
            </w:pPr>
            <w:r w:rsidRPr="001E2F6E">
              <w:rPr>
                <w:sz w:val="16"/>
                <w:szCs w:val="16"/>
              </w:rPr>
              <w:t>Industria (*)</w:t>
            </w:r>
          </w:p>
        </w:tc>
        <w:tc>
          <w:tcPr>
            <w:tcW w:w="1319" w:type="pct"/>
            <w:tcBorders>
              <w:left w:val="single" w:sz="4" w:space="0" w:color="BFBFBF" w:themeColor="background1" w:themeShade="BF"/>
            </w:tcBorders>
          </w:tcPr>
          <w:p w:rsidR="00195BE7" w:rsidRPr="001E2F6E" w:rsidRDefault="00195BE7" w:rsidP="00195BE7">
            <w:pPr>
              <w:spacing w:line="240" w:lineRule="exact"/>
              <w:ind w:right="284"/>
              <w:jc w:val="right"/>
              <w:rPr>
                <w:sz w:val="16"/>
                <w:szCs w:val="16"/>
              </w:rPr>
            </w:pPr>
            <w:r w:rsidRPr="001E2F6E">
              <w:rPr>
                <w:sz w:val="16"/>
                <w:szCs w:val="16"/>
              </w:rPr>
              <w:t>2.632.362.217</w:t>
            </w:r>
          </w:p>
        </w:tc>
        <w:tc>
          <w:tcPr>
            <w:tcW w:w="851" w:type="pct"/>
            <w:tcBorders>
              <w:right w:val="single" w:sz="4" w:space="0" w:color="BFBFBF" w:themeColor="background1" w:themeShade="BF"/>
            </w:tcBorders>
          </w:tcPr>
          <w:p w:rsidR="00195BE7" w:rsidRPr="001E2F6E" w:rsidRDefault="00195BE7" w:rsidP="00195BE7">
            <w:pPr>
              <w:spacing w:line="240" w:lineRule="exact"/>
              <w:ind w:right="284"/>
              <w:jc w:val="right"/>
              <w:rPr>
                <w:sz w:val="16"/>
                <w:szCs w:val="16"/>
              </w:rPr>
            </w:pPr>
            <w:r w:rsidRPr="001E2F6E">
              <w:rPr>
                <w:sz w:val="16"/>
                <w:szCs w:val="16"/>
              </w:rPr>
              <w:t>98,5</w:t>
            </w:r>
          </w:p>
        </w:tc>
        <w:tc>
          <w:tcPr>
            <w:tcW w:w="1511" w:type="pct"/>
            <w:tcBorders>
              <w:left w:val="single" w:sz="4" w:space="0" w:color="BFBFBF" w:themeColor="background1" w:themeShade="BF"/>
            </w:tcBorders>
          </w:tcPr>
          <w:p w:rsidR="00195BE7" w:rsidRPr="001E2F6E" w:rsidRDefault="00195BE7" w:rsidP="00195BE7">
            <w:pPr>
              <w:spacing w:line="240" w:lineRule="exact"/>
              <w:jc w:val="center"/>
              <w:rPr>
                <w:sz w:val="16"/>
                <w:szCs w:val="16"/>
              </w:rPr>
            </w:pPr>
            <w:r w:rsidRPr="001E2F6E">
              <w:rPr>
                <w:sz w:val="16"/>
                <w:szCs w:val="16"/>
              </w:rPr>
              <w:t>58,2</w:t>
            </w:r>
          </w:p>
        </w:tc>
      </w:tr>
      <w:tr w:rsidR="00195BE7" w:rsidRPr="001E2F6E" w:rsidTr="00195BE7">
        <w:trPr>
          <w:jc w:val="center"/>
        </w:trPr>
        <w:tc>
          <w:tcPr>
            <w:tcW w:w="1319" w:type="pct"/>
            <w:tcBorders>
              <w:bottom w:val="single" w:sz="4" w:space="0" w:color="BFBFBF" w:themeColor="background1" w:themeShade="BF"/>
              <w:right w:val="single" w:sz="4" w:space="0" w:color="BFBFBF" w:themeColor="background1" w:themeShade="BF"/>
            </w:tcBorders>
          </w:tcPr>
          <w:p w:rsidR="00195BE7" w:rsidRPr="001E2F6E" w:rsidRDefault="00195BE7" w:rsidP="00195BE7">
            <w:pPr>
              <w:spacing w:line="240" w:lineRule="exact"/>
              <w:rPr>
                <w:sz w:val="16"/>
                <w:szCs w:val="16"/>
              </w:rPr>
            </w:pPr>
            <w:r w:rsidRPr="001E2F6E">
              <w:rPr>
                <w:sz w:val="16"/>
                <w:szCs w:val="16"/>
              </w:rPr>
              <w:t xml:space="preserve">Zerbitzuak </w:t>
            </w:r>
          </w:p>
        </w:tc>
        <w:tc>
          <w:tcPr>
            <w:tcW w:w="1319" w:type="pct"/>
            <w:tcBorders>
              <w:left w:val="single" w:sz="4" w:space="0" w:color="BFBFBF" w:themeColor="background1" w:themeShade="BF"/>
              <w:bottom w:val="single" w:sz="4" w:space="0" w:color="BFBFBF" w:themeColor="background1" w:themeShade="BF"/>
            </w:tcBorders>
          </w:tcPr>
          <w:p w:rsidR="00195BE7" w:rsidRPr="001E2F6E" w:rsidRDefault="00195BE7" w:rsidP="00195BE7">
            <w:pPr>
              <w:spacing w:line="240" w:lineRule="exact"/>
              <w:ind w:right="284"/>
              <w:jc w:val="right"/>
              <w:rPr>
                <w:sz w:val="16"/>
                <w:szCs w:val="16"/>
              </w:rPr>
            </w:pPr>
            <w:r w:rsidRPr="001E2F6E">
              <w:rPr>
                <w:sz w:val="16"/>
                <w:szCs w:val="16"/>
              </w:rPr>
              <w:t>40.234.553</w:t>
            </w:r>
          </w:p>
        </w:tc>
        <w:tc>
          <w:tcPr>
            <w:tcW w:w="851" w:type="pct"/>
            <w:tcBorders>
              <w:bottom w:val="single" w:sz="4" w:space="0" w:color="BFBFBF" w:themeColor="background1" w:themeShade="BF"/>
              <w:right w:val="single" w:sz="4" w:space="0" w:color="BFBFBF" w:themeColor="background1" w:themeShade="BF"/>
            </w:tcBorders>
          </w:tcPr>
          <w:p w:rsidR="00195BE7" w:rsidRPr="001E2F6E" w:rsidRDefault="00195BE7" w:rsidP="00195BE7">
            <w:pPr>
              <w:spacing w:line="240" w:lineRule="exact"/>
              <w:ind w:right="284"/>
              <w:jc w:val="right"/>
              <w:rPr>
                <w:sz w:val="16"/>
                <w:szCs w:val="16"/>
              </w:rPr>
            </w:pPr>
            <w:r w:rsidRPr="001E2F6E">
              <w:rPr>
                <w:sz w:val="16"/>
                <w:szCs w:val="16"/>
              </w:rPr>
              <w:t>1,5</w:t>
            </w:r>
          </w:p>
        </w:tc>
        <w:tc>
          <w:tcPr>
            <w:tcW w:w="1511" w:type="pct"/>
            <w:tcBorders>
              <w:left w:val="single" w:sz="4" w:space="0" w:color="BFBFBF" w:themeColor="background1" w:themeShade="BF"/>
              <w:bottom w:val="single" w:sz="4" w:space="0" w:color="BFBFBF" w:themeColor="background1" w:themeShade="BF"/>
            </w:tcBorders>
          </w:tcPr>
          <w:p w:rsidR="00195BE7" w:rsidRPr="001E2F6E" w:rsidRDefault="00195BE7" w:rsidP="00195BE7">
            <w:pPr>
              <w:spacing w:line="240" w:lineRule="exact"/>
              <w:jc w:val="center"/>
              <w:rPr>
                <w:sz w:val="16"/>
                <w:szCs w:val="16"/>
              </w:rPr>
            </w:pPr>
            <w:r w:rsidRPr="001E2F6E">
              <w:rPr>
                <w:sz w:val="16"/>
                <w:szCs w:val="16"/>
              </w:rPr>
              <w:t>1,1</w:t>
            </w:r>
          </w:p>
        </w:tc>
      </w:tr>
      <w:tr w:rsidR="00195BE7" w:rsidRPr="001E2F6E" w:rsidTr="00195BE7">
        <w:trPr>
          <w:jc w:val="center"/>
        </w:trPr>
        <w:tc>
          <w:tcPr>
            <w:tcW w:w="1319" w:type="pct"/>
            <w:tcBorders>
              <w:top w:val="single" w:sz="4" w:space="0" w:color="BFBFBF" w:themeColor="background1" w:themeShade="BF"/>
              <w:bottom w:val="single" w:sz="4" w:space="0" w:color="BFBFBF" w:themeColor="background1" w:themeShade="BF"/>
              <w:right w:val="single" w:sz="4" w:space="0" w:color="BFBFBF" w:themeColor="background1" w:themeShade="BF"/>
            </w:tcBorders>
          </w:tcPr>
          <w:p w:rsidR="00195BE7" w:rsidRPr="001E2F6E" w:rsidRDefault="00195BE7" w:rsidP="00195BE7">
            <w:pPr>
              <w:spacing w:line="240" w:lineRule="exact"/>
              <w:rPr>
                <w:b/>
                <w:bCs/>
                <w:sz w:val="16"/>
                <w:szCs w:val="16"/>
              </w:rPr>
            </w:pPr>
            <w:r w:rsidRPr="001E2F6E">
              <w:rPr>
                <w:b/>
                <w:bCs/>
                <w:sz w:val="16"/>
                <w:szCs w:val="16"/>
                <w:lang w:val="es-ES_tradnl"/>
              </w:rPr>
              <w:t>GUZTIRA</w:t>
            </w:r>
          </w:p>
        </w:tc>
        <w:tc>
          <w:tcPr>
            <w:tcW w:w="1319" w:type="pct"/>
            <w:tcBorders>
              <w:top w:val="single" w:sz="4" w:space="0" w:color="BFBFBF" w:themeColor="background1" w:themeShade="BF"/>
              <w:left w:val="single" w:sz="4" w:space="0" w:color="BFBFBF" w:themeColor="background1" w:themeShade="BF"/>
              <w:bottom w:val="single" w:sz="4" w:space="0" w:color="BFBFBF" w:themeColor="background1" w:themeShade="BF"/>
            </w:tcBorders>
          </w:tcPr>
          <w:p w:rsidR="00195BE7" w:rsidRPr="001E2F6E" w:rsidRDefault="00195BE7" w:rsidP="00195BE7">
            <w:pPr>
              <w:spacing w:line="240" w:lineRule="exact"/>
              <w:ind w:right="284"/>
              <w:jc w:val="right"/>
              <w:rPr>
                <w:sz w:val="16"/>
                <w:szCs w:val="16"/>
              </w:rPr>
            </w:pPr>
            <w:r w:rsidRPr="001E2F6E">
              <w:rPr>
                <w:b/>
                <w:bCs/>
                <w:sz w:val="16"/>
                <w:szCs w:val="16"/>
              </w:rPr>
              <w:t>2.673.255.215</w:t>
            </w:r>
          </w:p>
        </w:tc>
        <w:tc>
          <w:tcPr>
            <w:tcW w:w="851" w:type="pct"/>
            <w:tcBorders>
              <w:top w:val="single" w:sz="4" w:space="0" w:color="BFBFBF" w:themeColor="background1" w:themeShade="BF"/>
              <w:bottom w:val="single" w:sz="4" w:space="0" w:color="BFBFBF" w:themeColor="background1" w:themeShade="BF"/>
              <w:right w:val="single" w:sz="4" w:space="0" w:color="BFBFBF" w:themeColor="background1" w:themeShade="BF"/>
            </w:tcBorders>
          </w:tcPr>
          <w:p w:rsidR="00195BE7" w:rsidRPr="001E2F6E" w:rsidRDefault="00195BE7" w:rsidP="00195BE7">
            <w:pPr>
              <w:spacing w:line="240" w:lineRule="exact"/>
              <w:ind w:right="284"/>
              <w:jc w:val="right"/>
              <w:rPr>
                <w:b/>
                <w:bCs/>
                <w:sz w:val="16"/>
                <w:szCs w:val="16"/>
              </w:rPr>
            </w:pPr>
            <w:r w:rsidRPr="001E2F6E">
              <w:rPr>
                <w:b/>
                <w:bCs/>
                <w:sz w:val="16"/>
                <w:szCs w:val="16"/>
              </w:rPr>
              <w:t>100</w:t>
            </w:r>
          </w:p>
        </w:tc>
        <w:tc>
          <w:tcPr>
            <w:tcW w:w="1511" w:type="pct"/>
            <w:tcBorders>
              <w:top w:val="single" w:sz="4" w:space="0" w:color="BFBFBF" w:themeColor="background1" w:themeShade="BF"/>
              <w:left w:val="single" w:sz="4" w:space="0" w:color="BFBFBF" w:themeColor="background1" w:themeShade="BF"/>
              <w:bottom w:val="single" w:sz="4" w:space="0" w:color="BFBFBF" w:themeColor="background1" w:themeShade="BF"/>
            </w:tcBorders>
          </w:tcPr>
          <w:p w:rsidR="00195BE7" w:rsidRPr="001E2F6E" w:rsidRDefault="00195BE7" w:rsidP="00195BE7">
            <w:pPr>
              <w:spacing w:line="240" w:lineRule="exact"/>
              <w:jc w:val="center"/>
              <w:rPr>
                <w:sz w:val="16"/>
                <w:szCs w:val="16"/>
              </w:rPr>
            </w:pPr>
            <w:r w:rsidRPr="001E2F6E">
              <w:rPr>
                <w:b/>
                <w:bCs/>
                <w:sz w:val="16"/>
                <w:szCs w:val="16"/>
              </w:rPr>
              <w:t>32,3</w:t>
            </w:r>
          </w:p>
        </w:tc>
      </w:tr>
    </w:tbl>
    <w:p w:rsidR="00195BE7" w:rsidRPr="001E2F6E" w:rsidRDefault="00195BE7" w:rsidP="00195BE7">
      <w:pPr>
        <w:pStyle w:val="Textoindependiente3"/>
        <w:spacing w:line="312" w:lineRule="auto"/>
        <w:jc w:val="left"/>
        <w:rPr>
          <w:rFonts w:ascii="Arial" w:hAnsi="Arial" w:cs="Arial"/>
        </w:rPr>
      </w:pPr>
      <w:r w:rsidRPr="001E2F6E">
        <w:rPr>
          <w:rFonts w:ascii="Arial" w:hAnsi="Arial" w:cs="Arial"/>
        </w:rPr>
        <w:t>(*)</w:t>
      </w:r>
      <w:r w:rsidRPr="001E2F6E">
        <w:rPr>
          <w:rFonts w:ascii="Arial" w:hAnsi="Arial" w:cs="Arial"/>
          <w:lang w:val="eu-ES"/>
        </w:rPr>
        <w:t>Eraikuntza ez dago sartua</w:t>
      </w:r>
      <w:r w:rsidRPr="001E2F6E">
        <w:rPr>
          <w:rFonts w:ascii="Arial" w:hAnsi="Arial" w:cs="Arial"/>
        </w:rPr>
        <w:t>.</w:t>
      </w:r>
    </w:p>
    <w:p w:rsidR="00195BE7" w:rsidRPr="001E2F6E" w:rsidRDefault="00195BE7" w:rsidP="00195BE7">
      <w:pPr>
        <w:pStyle w:val="Textoindependiente"/>
        <w:spacing w:line="312" w:lineRule="auto"/>
        <w:rPr>
          <w:rFonts w:ascii="Arial" w:hAnsi="Arial" w:cs="Arial"/>
          <w:sz w:val="20"/>
          <w:lang w:val="es-ES_tradnl"/>
        </w:rPr>
      </w:pPr>
    </w:p>
    <w:p w:rsidR="00195BE7" w:rsidRPr="001E2F6E" w:rsidRDefault="00195BE7" w:rsidP="00195BE7">
      <w:pPr>
        <w:spacing w:line="240" w:lineRule="auto"/>
        <w:jc w:val="center"/>
        <w:rPr>
          <w:b/>
          <w:color w:val="1F497D" w:themeColor="text2"/>
          <w:sz w:val="18"/>
          <w:szCs w:val="18"/>
          <w:lang w:val="eu-ES"/>
        </w:rPr>
      </w:pPr>
      <w:bookmarkStart w:id="194" w:name="_Toc391989121"/>
      <w:bookmarkStart w:id="195" w:name="_Toc392585786"/>
      <w:r w:rsidRPr="001E2F6E">
        <w:rPr>
          <w:b/>
          <w:color w:val="1F497D" w:themeColor="text2"/>
          <w:sz w:val="18"/>
          <w:szCs w:val="18"/>
        </w:rPr>
        <w:t>1.</w:t>
      </w:r>
      <w:r w:rsidR="00EB6BA6" w:rsidRPr="001E2F6E">
        <w:rPr>
          <w:b/>
          <w:color w:val="1F497D" w:themeColor="text2"/>
          <w:sz w:val="18"/>
          <w:szCs w:val="18"/>
        </w:rPr>
        <w:fldChar w:fldCharType="begin"/>
      </w:r>
      <w:r w:rsidRPr="001E2F6E">
        <w:rPr>
          <w:b/>
          <w:color w:val="1F497D" w:themeColor="text2"/>
          <w:sz w:val="18"/>
          <w:szCs w:val="18"/>
        </w:rPr>
        <w:instrText xml:space="preserve"> SEQ Cuadro_1. \* ARABIC </w:instrText>
      </w:r>
      <w:r w:rsidR="00EB6BA6" w:rsidRPr="001E2F6E">
        <w:rPr>
          <w:b/>
          <w:color w:val="1F497D" w:themeColor="text2"/>
          <w:sz w:val="18"/>
          <w:szCs w:val="18"/>
        </w:rPr>
        <w:fldChar w:fldCharType="separate"/>
      </w:r>
      <w:r w:rsidR="00A327D4">
        <w:rPr>
          <w:b/>
          <w:noProof/>
          <w:color w:val="1F497D" w:themeColor="text2"/>
          <w:sz w:val="18"/>
          <w:szCs w:val="18"/>
        </w:rPr>
        <w:t>51</w:t>
      </w:r>
      <w:r w:rsidR="00EB6BA6" w:rsidRPr="001E2F6E">
        <w:rPr>
          <w:b/>
          <w:color w:val="1F497D" w:themeColor="text2"/>
          <w:sz w:val="18"/>
          <w:szCs w:val="18"/>
        </w:rPr>
        <w:fldChar w:fldCharType="end"/>
      </w:r>
      <w:r w:rsidRPr="001E2F6E">
        <w:rPr>
          <w:b/>
          <w:color w:val="1F497D" w:themeColor="text2"/>
          <w:sz w:val="18"/>
          <w:szCs w:val="18"/>
        </w:rPr>
        <w:t xml:space="preserve"> Taula GIZARTE-EKONOMIAKO ESPORTAZIOEN SEKTORE-BANAKETA FORMA JURIDIKOAREN </w:t>
      </w:r>
      <w:r w:rsidRPr="001E2F6E">
        <w:rPr>
          <w:b/>
          <w:color w:val="1F497D" w:themeColor="text2"/>
          <w:sz w:val="18"/>
          <w:szCs w:val="18"/>
          <w:lang w:val="eu-ES"/>
        </w:rPr>
        <w:t>ARABERA (zifra absolutuak milioika eurotan eta % hor</w:t>
      </w:r>
      <w:r w:rsidR="00462130" w:rsidRPr="001E2F6E">
        <w:rPr>
          <w:b/>
          <w:color w:val="1F497D" w:themeColor="text2"/>
          <w:sz w:val="18"/>
          <w:szCs w:val="18"/>
          <w:lang w:val="eu-ES"/>
        </w:rPr>
        <w:t>izontalak</w:t>
      </w:r>
      <w:r w:rsidRPr="001E2F6E">
        <w:rPr>
          <w:b/>
          <w:color w:val="1F497D" w:themeColor="text2"/>
          <w:sz w:val="18"/>
          <w:szCs w:val="18"/>
          <w:lang w:val="eu-ES"/>
        </w:rPr>
        <w:t>). 2012</w:t>
      </w:r>
      <w:bookmarkEnd w:id="194"/>
      <w:bookmarkEnd w:id="195"/>
    </w:p>
    <w:tbl>
      <w:tblPr>
        <w:tblW w:w="5000" w:type="pct"/>
        <w:jc w:val="center"/>
        <w:tblLook w:val="04A0" w:firstRow="1" w:lastRow="0" w:firstColumn="1" w:lastColumn="0" w:noHBand="0" w:noVBand="1"/>
      </w:tblPr>
      <w:tblGrid>
        <w:gridCol w:w="1109"/>
        <w:gridCol w:w="1594"/>
        <w:gridCol w:w="705"/>
        <w:gridCol w:w="1353"/>
        <w:gridCol w:w="661"/>
        <w:gridCol w:w="1130"/>
        <w:gridCol w:w="661"/>
        <w:gridCol w:w="1130"/>
        <w:gridCol w:w="661"/>
      </w:tblGrid>
      <w:tr w:rsidR="00195BE7" w:rsidRPr="001E2F6E" w:rsidTr="00195BE7">
        <w:trPr>
          <w:jc w:val="center"/>
        </w:trPr>
        <w:tc>
          <w:tcPr>
            <w:tcW w:w="650" w:type="pct"/>
            <w:vMerge w:val="restart"/>
            <w:tcBorders>
              <w:top w:val="single" w:sz="4" w:space="0" w:color="BFBFBF" w:themeColor="background1" w:themeShade="BF"/>
              <w:right w:val="single" w:sz="4" w:space="0" w:color="BFBFBF" w:themeColor="background1" w:themeShade="BF"/>
            </w:tcBorders>
            <w:shd w:val="clear" w:color="auto" w:fill="DBE5F1" w:themeFill="accent1" w:themeFillTint="33"/>
            <w:hideMark/>
          </w:tcPr>
          <w:p w:rsidR="00195BE7" w:rsidRPr="001E2F6E" w:rsidRDefault="00195BE7" w:rsidP="00195BE7">
            <w:pPr>
              <w:spacing w:line="240" w:lineRule="exact"/>
              <w:rPr>
                <w:sz w:val="16"/>
                <w:szCs w:val="16"/>
              </w:rPr>
            </w:pPr>
          </w:p>
        </w:tc>
        <w:tc>
          <w:tcPr>
            <w:tcW w:w="1258"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hideMark/>
          </w:tcPr>
          <w:p w:rsidR="00195BE7" w:rsidRPr="001E2F6E" w:rsidRDefault="00195BE7" w:rsidP="00195BE7">
            <w:pPr>
              <w:spacing w:line="240" w:lineRule="exact"/>
              <w:jc w:val="center"/>
              <w:rPr>
                <w:b/>
                <w:bCs/>
                <w:sz w:val="16"/>
                <w:szCs w:val="16"/>
              </w:rPr>
            </w:pPr>
            <w:r w:rsidRPr="001E2F6E">
              <w:rPr>
                <w:b/>
                <w:bCs/>
                <w:sz w:val="16"/>
                <w:szCs w:val="16"/>
                <w:lang w:val="en-GB"/>
              </w:rPr>
              <w:t>GUZTIRA</w:t>
            </w:r>
          </w:p>
        </w:tc>
        <w:tc>
          <w:tcPr>
            <w:tcW w:w="1132"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hideMark/>
          </w:tcPr>
          <w:p w:rsidR="00195BE7" w:rsidRPr="001E2F6E" w:rsidRDefault="00195BE7" w:rsidP="00195BE7">
            <w:pPr>
              <w:spacing w:line="240" w:lineRule="exact"/>
              <w:jc w:val="center"/>
              <w:rPr>
                <w:b/>
                <w:bCs/>
                <w:sz w:val="16"/>
                <w:szCs w:val="16"/>
              </w:rPr>
            </w:pPr>
            <w:r w:rsidRPr="001E2F6E">
              <w:rPr>
                <w:b/>
                <w:bCs/>
                <w:sz w:val="16"/>
                <w:szCs w:val="16"/>
                <w:lang w:val="en-GB"/>
              </w:rPr>
              <w:t>Koop.</w:t>
            </w:r>
          </w:p>
        </w:tc>
        <w:tc>
          <w:tcPr>
            <w:tcW w:w="955"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hideMark/>
          </w:tcPr>
          <w:p w:rsidR="00195BE7" w:rsidRPr="001E2F6E" w:rsidRDefault="00195BE7" w:rsidP="00195BE7">
            <w:pPr>
              <w:spacing w:line="240" w:lineRule="exact"/>
              <w:jc w:val="center"/>
              <w:rPr>
                <w:b/>
                <w:bCs/>
                <w:sz w:val="16"/>
                <w:szCs w:val="16"/>
              </w:rPr>
            </w:pPr>
            <w:r w:rsidRPr="001E2F6E">
              <w:rPr>
                <w:b/>
                <w:bCs/>
                <w:sz w:val="16"/>
                <w:szCs w:val="16"/>
                <w:lang w:val="en-GB"/>
              </w:rPr>
              <w:t>LSA</w:t>
            </w:r>
          </w:p>
        </w:tc>
        <w:tc>
          <w:tcPr>
            <w:tcW w:w="1005" w:type="pct"/>
            <w:gridSpan w:val="2"/>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hideMark/>
          </w:tcPr>
          <w:p w:rsidR="00195BE7" w:rsidRPr="001E2F6E" w:rsidRDefault="00195BE7" w:rsidP="00195BE7">
            <w:pPr>
              <w:spacing w:line="240" w:lineRule="exact"/>
              <w:jc w:val="center"/>
              <w:rPr>
                <w:b/>
                <w:bCs/>
                <w:sz w:val="16"/>
                <w:szCs w:val="16"/>
              </w:rPr>
            </w:pPr>
            <w:r w:rsidRPr="001E2F6E">
              <w:rPr>
                <w:b/>
                <w:bCs/>
                <w:sz w:val="16"/>
                <w:szCs w:val="16"/>
                <w:lang w:val="en-GB"/>
              </w:rPr>
              <w:t>LSM</w:t>
            </w:r>
          </w:p>
        </w:tc>
      </w:tr>
      <w:tr w:rsidR="00195BE7" w:rsidRPr="001E2F6E" w:rsidTr="00195BE7">
        <w:trPr>
          <w:jc w:val="center"/>
        </w:trPr>
        <w:tc>
          <w:tcPr>
            <w:tcW w:w="650" w:type="pct"/>
            <w:vMerge/>
            <w:tcBorders>
              <w:bottom w:val="single" w:sz="4" w:space="0" w:color="BFBFBF" w:themeColor="background1" w:themeShade="BF"/>
              <w:right w:val="single" w:sz="4" w:space="0" w:color="BFBFBF" w:themeColor="background1" w:themeShade="BF"/>
            </w:tcBorders>
            <w:shd w:val="clear" w:color="auto" w:fill="DBE5F1" w:themeFill="accent1" w:themeFillTint="33"/>
            <w:hideMark/>
          </w:tcPr>
          <w:p w:rsidR="00195BE7" w:rsidRPr="001E2F6E" w:rsidRDefault="00195BE7" w:rsidP="00195BE7">
            <w:pPr>
              <w:spacing w:line="240" w:lineRule="exact"/>
              <w:rPr>
                <w:sz w:val="16"/>
                <w:szCs w:val="16"/>
              </w:rPr>
            </w:pPr>
          </w:p>
        </w:tc>
        <w:tc>
          <w:tcPr>
            <w:tcW w:w="919"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hideMark/>
          </w:tcPr>
          <w:p w:rsidR="00195BE7" w:rsidRPr="001E2F6E" w:rsidRDefault="00195BE7" w:rsidP="00195BE7">
            <w:pPr>
              <w:spacing w:line="240" w:lineRule="exact"/>
              <w:jc w:val="center"/>
              <w:rPr>
                <w:b/>
                <w:bCs/>
                <w:sz w:val="16"/>
                <w:szCs w:val="16"/>
              </w:rPr>
            </w:pPr>
            <w:r w:rsidRPr="001E2F6E">
              <w:rPr>
                <w:b/>
                <w:bCs/>
                <w:sz w:val="16"/>
                <w:szCs w:val="16"/>
              </w:rPr>
              <w:t>z.a.</w:t>
            </w:r>
          </w:p>
        </w:tc>
        <w:tc>
          <w:tcPr>
            <w:tcW w:w="339"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hideMark/>
          </w:tcPr>
          <w:p w:rsidR="00195BE7" w:rsidRPr="001E2F6E" w:rsidRDefault="00195BE7" w:rsidP="00195BE7">
            <w:pPr>
              <w:spacing w:line="240" w:lineRule="exact"/>
              <w:jc w:val="center"/>
              <w:rPr>
                <w:b/>
                <w:bCs/>
                <w:sz w:val="16"/>
                <w:szCs w:val="16"/>
              </w:rPr>
            </w:pPr>
            <w:r w:rsidRPr="001E2F6E">
              <w:rPr>
                <w:b/>
                <w:bCs/>
                <w:sz w:val="16"/>
                <w:szCs w:val="16"/>
              </w:rPr>
              <w:t>%hor..</w:t>
            </w:r>
          </w:p>
        </w:tc>
        <w:tc>
          <w:tcPr>
            <w:tcW w:w="768"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hideMark/>
          </w:tcPr>
          <w:p w:rsidR="00195BE7" w:rsidRPr="001E2F6E" w:rsidRDefault="00195BE7" w:rsidP="00195BE7">
            <w:pPr>
              <w:spacing w:line="240" w:lineRule="exact"/>
              <w:jc w:val="center"/>
              <w:rPr>
                <w:b/>
                <w:bCs/>
                <w:sz w:val="16"/>
                <w:szCs w:val="16"/>
              </w:rPr>
            </w:pPr>
            <w:r w:rsidRPr="001E2F6E">
              <w:rPr>
                <w:b/>
                <w:bCs/>
                <w:sz w:val="16"/>
                <w:szCs w:val="16"/>
              </w:rPr>
              <w:t>z.a.</w:t>
            </w:r>
          </w:p>
        </w:tc>
        <w:tc>
          <w:tcPr>
            <w:tcW w:w="364"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hideMark/>
          </w:tcPr>
          <w:p w:rsidR="00195BE7" w:rsidRPr="001E2F6E" w:rsidRDefault="00195BE7" w:rsidP="00195BE7">
            <w:pPr>
              <w:spacing w:line="240" w:lineRule="exact"/>
              <w:jc w:val="center"/>
              <w:rPr>
                <w:b/>
                <w:bCs/>
                <w:sz w:val="16"/>
                <w:szCs w:val="16"/>
              </w:rPr>
            </w:pPr>
            <w:r w:rsidRPr="001E2F6E">
              <w:rPr>
                <w:b/>
                <w:bCs/>
                <w:sz w:val="16"/>
                <w:szCs w:val="16"/>
              </w:rPr>
              <w:t>%hor.</w:t>
            </w:r>
          </w:p>
        </w:tc>
        <w:tc>
          <w:tcPr>
            <w:tcW w:w="642"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hideMark/>
          </w:tcPr>
          <w:p w:rsidR="00195BE7" w:rsidRPr="001E2F6E" w:rsidRDefault="00195BE7" w:rsidP="00195BE7">
            <w:pPr>
              <w:spacing w:line="240" w:lineRule="exact"/>
              <w:jc w:val="center"/>
              <w:rPr>
                <w:b/>
                <w:bCs/>
                <w:sz w:val="16"/>
                <w:szCs w:val="16"/>
              </w:rPr>
            </w:pPr>
            <w:r w:rsidRPr="001E2F6E">
              <w:rPr>
                <w:b/>
                <w:bCs/>
                <w:sz w:val="16"/>
                <w:szCs w:val="16"/>
              </w:rPr>
              <w:t>z.a.</w:t>
            </w:r>
          </w:p>
        </w:tc>
        <w:tc>
          <w:tcPr>
            <w:tcW w:w="313"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hideMark/>
          </w:tcPr>
          <w:p w:rsidR="00195BE7" w:rsidRPr="001E2F6E" w:rsidRDefault="00195BE7" w:rsidP="00195BE7">
            <w:pPr>
              <w:spacing w:line="240" w:lineRule="exact"/>
              <w:jc w:val="center"/>
              <w:rPr>
                <w:b/>
                <w:bCs/>
                <w:sz w:val="16"/>
                <w:szCs w:val="16"/>
              </w:rPr>
            </w:pPr>
            <w:r w:rsidRPr="001E2F6E">
              <w:rPr>
                <w:b/>
                <w:bCs/>
                <w:sz w:val="16"/>
                <w:szCs w:val="16"/>
              </w:rPr>
              <w:t>%hor.</w:t>
            </w:r>
          </w:p>
        </w:tc>
        <w:tc>
          <w:tcPr>
            <w:tcW w:w="642"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hideMark/>
          </w:tcPr>
          <w:p w:rsidR="00195BE7" w:rsidRPr="001E2F6E" w:rsidRDefault="00195BE7" w:rsidP="00195BE7">
            <w:pPr>
              <w:spacing w:line="240" w:lineRule="exact"/>
              <w:jc w:val="center"/>
              <w:rPr>
                <w:b/>
                <w:bCs/>
                <w:sz w:val="16"/>
                <w:szCs w:val="16"/>
              </w:rPr>
            </w:pPr>
            <w:r w:rsidRPr="001E2F6E">
              <w:rPr>
                <w:b/>
                <w:bCs/>
                <w:sz w:val="16"/>
                <w:szCs w:val="16"/>
              </w:rPr>
              <w:t>z.a.</w:t>
            </w:r>
          </w:p>
        </w:tc>
        <w:tc>
          <w:tcPr>
            <w:tcW w:w="363" w:type="pct"/>
            <w:tcBorders>
              <w:top w:val="single" w:sz="4" w:space="0" w:color="BFBFBF" w:themeColor="background1" w:themeShade="BF"/>
              <w:bottom w:val="single" w:sz="4" w:space="0" w:color="BFBFBF" w:themeColor="background1" w:themeShade="BF"/>
            </w:tcBorders>
            <w:shd w:val="clear" w:color="auto" w:fill="DBE5F1" w:themeFill="accent1" w:themeFillTint="33"/>
            <w:hideMark/>
          </w:tcPr>
          <w:p w:rsidR="00195BE7" w:rsidRPr="001E2F6E" w:rsidRDefault="00195BE7" w:rsidP="00195BE7">
            <w:pPr>
              <w:spacing w:line="240" w:lineRule="exact"/>
              <w:jc w:val="center"/>
              <w:rPr>
                <w:b/>
                <w:bCs/>
                <w:sz w:val="16"/>
                <w:szCs w:val="16"/>
              </w:rPr>
            </w:pPr>
            <w:r w:rsidRPr="001E2F6E">
              <w:rPr>
                <w:b/>
                <w:bCs/>
                <w:sz w:val="16"/>
                <w:szCs w:val="16"/>
              </w:rPr>
              <w:t>%hor.</w:t>
            </w:r>
          </w:p>
        </w:tc>
      </w:tr>
      <w:tr w:rsidR="00195BE7" w:rsidRPr="001E2F6E" w:rsidTr="00195BE7">
        <w:trPr>
          <w:jc w:val="center"/>
        </w:trPr>
        <w:tc>
          <w:tcPr>
            <w:tcW w:w="650" w:type="pct"/>
            <w:tcBorders>
              <w:top w:val="single" w:sz="4" w:space="0" w:color="BFBFBF" w:themeColor="background1" w:themeShade="BF"/>
              <w:right w:val="single" w:sz="4" w:space="0" w:color="BFBFBF" w:themeColor="background1" w:themeShade="BF"/>
            </w:tcBorders>
            <w:hideMark/>
          </w:tcPr>
          <w:p w:rsidR="00195BE7" w:rsidRPr="001E2F6E" w:rsidRDefault="00195BE7" w:rsidP="00195BE7">
            <w:pPr>
              <w:spacing w:line="240" w:lineRule="exact"/>
              <w:rPr>
                <w:sz w:val="16"/>
                <w:szCs w:val="16"/>
              </w:rPr>
            </w:pPr>
            <w:r w:rsidRPr="001E2F6E">
              <w:rPr>
                <w:sz w:val="16"/>
                <w:szCs w:val="16"/>
              </w:rPr>
              <w:t xml:space="preserve">Industria </w:t>
            </w:r>
          </w:p>
        </w:tc>
        <w:tc>
          <w:tcPr>
            <w:tcW w:w="919" w:type="pct"/>
            <w:tcBorders>
              <w:top w:val="single" w:sz="4" w:space="0" w:color="BFBFBF" w:themeColor="background1" w:themeShade="BF"/>
              <w:left w:val="single" w:sz="4" w:space="0" w:color="BFBFBF" w:themeColor="background1" w:themeShade="BF"/>
            </w:tcBorders>
            <w:noWrap/>
            <w:hideMark/>
          </w:tcPr>
          <w:p w:rsidR="00195BE7" w:rsidRPr="001E2F6E" w:rsidRDefault="00195BE7" w:rsidP="00195BE7">
            <w:pPr>
              <w:spacing w:line="240" w:lineRule="exact"/>
              <w:ind w:right="113"/>
              <w:jc w:val="right"/>
              <w:rPr>
                <w:sz w:val="16"/>
                <w:szCs w:val="16"/>
              </w:rPr>
            </w:pPr>
            <w:r w:rsidRPr="001E2F6E">
              <w:rPr>
                <w:sz w:val="16"/>
                <w:szCs w:val="16"/>
              </w:rPr>
              <w:t>2.632.362.217</w:t>
            </w:r>
          </w:p>
        </w:tc>
        <w:tc>
          <w:tcPr>
            <w:tcW w:w="339" w:type="pct"/>
            <w:tcBorders>
              <w:top w:val="single" w:sz="4" w:space="0" w:color="BFBFBF" w:themeColor="background1" w:themeShade="BF"/>
              <w:right w:val="single" w:sz="4" w:space="0" w:color="BFBFBF" w:themeColor="background1" w:themeShade="BF"/>
            </w:tcBorders>
            <w:hideMark/>
          </w:tcPr>
          <w:p w:rsidR="00195BE7" w:rsidRPr="001E2F6E" w:rsidRDefault="00195BE7" w:rsidP="00195BE7">
            <w:pPr>
              <w:spacing w:line="240" w:lineRule="exact"/>
              <w:ind w:right="113"/>
              <w:jc w:val="right"/>
              <w:rPr>
                <w:sz w:val="16"/>
                <w:szCs w:val="16"/>
              </w:rPr>
            </w:pPr>
            <w:r w:rsidRPr="001E2F6E">
              <w:rPr>
                <w:sz w:val="16"/>
                <w:szCs w:val="16"/>
              </w:rPr>
              <w:t>100</w:t>
            </w:r>
          </w:p>
        </w:tc>
        <w:tc>
          <w:tcPr>
            <w:tcW w:w="768" w:type="pct"/>
            <w:tcBorders>
              <w:top w:val="single" w:sz="4" w:space="0" w:color="BFBFBF" w:themeColor="background1" w:themeShade="BF"/>
              <w:left w:val="single" w:sz="4" w:space="0" w:color="BFBFBF" w:themeColor="background1" w:themeShade="BF"/>
            </w:tcBorders>
            <w:noWrap/>
            <w:hideMark/>
          </w:tcPr>
          <w:p w:rsidR="00195BE7" w:rsidRPr="001E2F6E" w:rsidRDefault="00195BE7" w:rsidP="00195BE7">
            <w:pPr>
              <w:spacing w:line="240" w:lineRule="exact"/>
              <w:ind w:right="113"/>
              <w:jc w:val="right"/>
              <w:rPr>
                <w:sz w:val="16"/>
                <w:szCs w:val="16"/>
              </w:rPr>
            </w:pPr>
            <w:r w:rsidRPr="001E2F6E">
              <w:rPr>
                <w:sz w:val="16"/>
                <w:szCs w:val="16"/>
              </w:rPr>
              <w:t>2.531.091.571</w:t>
            </w:r>
          </w:p>
        </w:tc>
        <w:tc>
          <w:tcPr>
            <w:tcW w:w="364" w:type="pct"/>
            <w:tcBorders>
              <w:top w:val="single" w:sz="4" w:space="0" w:color="BFBFBF" w:themeColor="background1" w:themeShade="BF"/>
              <w:right w:val="single" w:sz="4" w:space="0" w:color="BFBFBF" w:themeColor="background1" w:themeShade="BF"/>
            </w:tcBorders>
            <w:hideMark/>
          </w:tcPr>
          <w:p w:rsidR="00195BE7" w:rsidRPr="001E2F6E" w:rsidRDefault="00195BE7" w:rsidP="00195BE7">
            <w:pPr>
              <w:spacing w:line="240" w:lineRule="exact"/>
              <w:ind w:right="113"/>
              <w:jc w:val="right"/>
              <w:rPr>
                <w:sz w:val="16"/>
                <w:szCs w:val="16"/>
              </w:rPr>
            </w:pPr>
            <w:r w:rsidRPr="001E2F6E">
              <w:rPr>
                <w:sz w:val="16"/>
                <w:szCs w:val="16"/>
              </w:rPr>
              <w:t>96,2</w:t>
            </w:r>
          </w:p>
        </w:tc>
        <w:tc>
          <w:tcPr>
            <w:tcW w:w="642" w:type="pct"/>
            <w:tcBorders>
              <w:top w:val="single" w:sz="4" w:space="0" w:color="BFBFBF" w:themeColor="background1" w:themeShade="BF"/>
              <w:left w:val="single" w:sz="4" w:space="0" w:color="BFBFBF" w:themeColor="background1" w:themeShade="BF"/>
            </w:tcBorders>
            <w:noWrap/>
            <w:hideMark/>
          </w:tcPr>
          <w:p w:rsidR="00195BE7" w:rsidRPr="001E2F6E" w:rsidRDefault="00195BE7" w:rsidP="00195BE7">
            <w:pPr>
              <w:spacing w:line="240" w:lineRule="exact"/>
              <w:ind w:right="113"/>
              <w:jc w:val="right"/>
              <w:rPr>
                <w:sz w:val="16"/>
                <w:szCs w:val="16"/>
              </w:rPr>
            </w:pPr>
            <w:r w:rsidRPr="001E2F6E">
              <w:rPr>
                <w:sz w:val="16"/>
                <w:szCs w:val="16"/>
              </w:rPr>
              <w:t>82.955.361</w:t>
            </w:r>
          </w:p>
        </w:tc>
        <w:tc>
          <w:tcPr>
            <w:tcW w:w="313" w:type="pct"/>
            <w:tcBorders>
              <w:top w:val="single" w:sz="4" w:space="0" w:color="BFBFBF" w:themeColor="background1" w:themeShade="BF"/>
              <w:right w:val="single" w:sz="4" w:space="0" w:color="BFBFBF" w:themeColor="background1" w:themeShade="BF"/>
            </w:tcBorders>
            <w:hideMark/>
          </w:tcPr>
          <w:p w:rsidR="00195BE7" w:rsidRPr="001E2F6E" w:rsidRDefault="00195BE7" w:rsidP="00195BE7">
            <w:pPr>
              <w:spacing w:line="240" w:lineRule="exact"/>
              <w:ind w:right="113"/>
              <w:jc w:val="right"/>
              <w:rPr>
                <w:sz w:val="16"/>
                <w:szCs w:val="16"/>
              </w:rPr>
            </w:pPr>
            <w:r w:rsidRPr="001E2F6E">
              <w:rPr>
                <w:sz w:val="16"/>
                <w:szCs w:val="16"/>
              </w:rPr>
              <w:t>3,2</w:t>
            </w:r>
          </w:p>
        </w:tc>
        <w:tc>
          <w:tcPr>
            <w:tcW w:w="642" w:type="pct"/>
            <w:tcBorders>
              <w:top w:val="single" w:sz="4" w:space="0" w:color="BFBFBF" w:themeColor="background1" w:themeShade="BF"/>
              <w:left w:val="single" w:sz="4" w:space="0" w:color="BFBFBF" w:themeColor="background1" w:themeShade="BF"/>
            </w:tcBorders>
            <w:noWrap/>
            <w:hideMark/>
          </w:tcPr>
          <w:p w:rsidR="00195BE7" w:rsidRPr="001E2F6E" w:rsidRDefault="00195BE7" w:rsidP="00195BE7">
            <w:pPr>
              <w:spacing w:line="240" w:lineRule="exact"/>
              <w:ind w:right="113"/>
              <w:jc w:val="right"/>
              <w:rPr>
                <w:sz w:val="16"/>
                <w:szCs w:val="16"/>
              </w:rPr>
            </w:pPr>
            <w:r w:rsidRPr="001E2F6E">
              <w:rPr>
                <w:sz w:val="16"/>
                <w:szCs w:val="16"/>
              </w:rPr>
              <w:t>18.315.285</w:t>
            </w:r>
          </w:p>
        </w:tc>
        <w:tc>
          <w:tcPr>
            <w:tcW w:w="363" w:type="pct"/>
            <w:tcBorders>
              <w:top w:val="single" w:sz="4" w:space="0" w:color="BFBFBF" w:themeColor="background1" w:themeShade="BF"/>
            </w:tcBorders>
            <w:hideMark/>
          </w:tcPr>
          <w:p w:rsidR="00195BE7" w:rsidRPr="001E2F6E" w:rsidRDefault="00195BE7" w:rsidP="00195BE7">
            <w:pPr>
              <w:spacing w:line="240" w:lineRule="exact"/>
              <w:ind w:right="113"/>
              <w:jc w:val="right"/>
              <w:rPr>
                <w:sz w:val="16"/>
                <w:szCs w:val="16"/>
              </w:rPr>
            </w:pPr>
            <w:r w:rsidRPr="001E2F6E">
              <w:rPr>
                <w:sz w:val="16"/>
                <w:szCs w:val="16"/>
              </w:rPr>
              <w:t>0,7</w:t>
            </w:r>
          </w:p>
        </w:tc>
      </w:tr>
      <w:tr w:rsidR="00195BE7" w:rsidRPr="001E2F6E" w:rsidTr="00195BE7">
        <w:trPr>
          <w:jc w:val="center"/>
        </w:trPr>
        <w:tc>
          <w:tcPr>
            <w:tcW w:w="650" w:type="pct"/>
            <w:tcBorders>
              <w:bottom w:val="single" w:sz="4" w:space="0" w:color="BFBFBF" w:themeColor="background1" w:themeShade="BF"/>
              <w:right w:val="single" w:sz="4" w:space="0" w:color="BFBFBF" w:themeColor="background1" w:themeShade="BF"/>
            </w:tcBorders>
            <w:hideMark/>
          </w:tcPr>
          <w:p w:rsidR="00195BE7" w:rsidRPr="001E2F6E" w:rsidRDefault="00195BE7" w:rsidP="00195BE7">
            <w:pPr>
              <w:spacing w:line="240" w:lineRule="exact"/>
              <w:rPr>
                <w:sz w:val="16"/>
                <w:szCs w:val="16"/>
              </w:rPr>
            </w:pPr>
            <w:r w:rsidRPr="001E2F6E">
              <w:rPr>
                <w:sz w:val="16"/>
                <w:szCs w:val="16"/>
              </w:rPr>
              <w:t xml:space="preserve">Zerbitzuak </w:t>
            </w:r>
          </w:p>
        </w:tc>
        <w:tc>
          <w:tcPr>
            <w:tcW w:w="919" w:type="pct"/>
            <w:tcBorders>
              <w:left w:val="single" w:sz="4" w:space="0" w:color="BFBFBF" w:themeColor="background1" w:themeShade="BF"/>
              <w:bottom w:val="single" w:sz="4" w:space="0" w:color="BFBFBF" w:themeColor="background1" w:themeShade="BF"/>
            </w:tcBorders>
            <w:noWrap/>
            <w:hideMark/>
          </w:tcPr>
          <w:p w:rsidR="00195BE7" w:rsidRPr="001E2F6E" w:rsidRDefault="00195BE7" w:rsidP="00195BE7">
            <w:pPr>
              <w:spacing w:line="240" w:lineRule="exact"/>
              <w:ind w:right="113"/>
              <w:jc w:val="right"/>
              <w:rPr>
                <w:sz w:val="16"/>
                <w:szCs w:val="16"/>
              </w:rPr>
            </w:pPr>
            <w:r w:rsidRPr="001E2F6E">
              <w:rPr>
                <w:sz w:val="16"/>
                <w:szCs w:val="16"/>
              </w:rPr>
              <w:t>40.234.553</w:t>
            </w:r>
          </w:p>
        </w:tc>
        <w:tc>
          <w:tcPr>
            <w:tcW w:w="339" w:type="pct"/>
            <w:tcBorders>
              <w:bottom w:val="single" w:sz="4" w:space="0" w:color="BFBFBF" w:themeColor="background1" w:themeShade="BF"/>
              <w:right w:val="single" w:sz="4" w:space="0" w:color="BFBFBF" w:themeColor="background1" w:themeShade="BF"/>
            </w:tcBorders>
            <w:hideMark/>
          </w:tcPr>
          <w:p w:rsidR="00195BE7" w:rsidRPr="001E2F6E" w:rsidRDefault="00195BE7" w:rsidP="00195BE7">
            <w:pPr>
              <w:spacing w:line="240" w:lineRule="exact"/>
              <w:ind w:right="113"/>
              <w:jc w:val="right"/>
              <w:rPr>
                <w:sz w:val="16"/>
                <w:szCs w:val="16"/>
              </w:rPr>
            </w:pPr>
            <w:r w:rsidRPr="001E2F6E">
              <w:rPr>
                <w:sz w:val="16"/>
                <w:szCs w:val="16"/>
              </w:rPr>
              <w:t>100</w:t>
            </w:r>
          </w:p>
        </w:tc>
        <w:tc>
          <w:tcPr>
            <w:tcW w:w="768" w:type="pct"/>
            <w:tcBorders>
              <w:left w:val="single" w:sz="4" w:space="0" w:color="BFBFBF" w:themeColor="background1" w:themeShade="BF"/>
              <w:bottom w:val="single" w:sz="4" w:space="0" w:color="BFBFBF" w:themeColor="background1" w:themeShade="BF"/>
            </w:tcBorders>
            <w:noWrap/>
            <w:hideMark/>
          </w:tcPr>
          <w:p w:rsidR="00195BE7" w:rsidRPr="001E2F6E" w:rsidRDefault="00195BE7" w:rsidP="00195BE7">
            <w:pPr>
              <w:spacing w:line="240" w:lineRule="exact"/>
              <w:ind w:right="113"/>
              <w:jc w:val="right"/>
              <w:rPr>
                <w:sz w:val="16"/>
                <w:szCs w:val="16"/>
              </w:rPr>
            </w:pPr>
            <w:r w:rsidRPr="001E2F6E">
              <w:rPr>
                <w:sz w:val="16"/>
                <w:szCs w:val="16"/>
              </w:rPr>
              <w:t>26.623.768</w:t>
            </w:r>
          </w:p>
        </w:tc>
        <w:tc>
          <w:tcPr>
            <w:tcW w:w="364" w:type="pct"/>
            <w:tcBorders>
              <w:bottom w:val="single" w:sz="4" w:space="0" w:color="BFBFBF" w:themeColor="background1" w:themeShade="BF"/>
              <w:right w:val="single" w:sz="4" w:space="0" w:color="BFBFBF" w:themeColor="background1" w:themeShade="BF"/>
            </w:tcBorders>
            <w:hideMark/>
          </w:tcPr>
          <w:p w:rsidR="00195BE7" w:rsidRPr="001E2F6E" w:rsidRDefault="00195BE7" w:rsidP="00195BE7">
            <w:pPr>
              <w:spacing w:line="240" w:lineRule="exact"/>
              <w:ind w:right="113"/>
              <w:jc w:val="right"/>
              <w:rPr>
                <w:sz w:val="16"/>
                <w:szCs w:val="16"/>
              </w:rPr>
            </w:pPr>
            <w:r w:rsidRPr="001E2F6E">
              <w:rPr>
                <w:sz w:val="16"/>
                <w:szCs w:val="16"/>
              </w:rPr>
              <w:t>66,2</w:t>
            </w:r>
          </w:p>
        </w:tc>
        <w:tc>
          <w:tcPr>
            <w:tcW w:w="642" w:type="pct"/>
            <w:tcBorders>
              <w:left w:val="single" w:sz="4" w:space="0" w:color="BFBFBF" w:themeColor="background1" w:themeShade="BF"/>
              <w:bottom w:val="single" w:sz="4" w:space="0" w:color="BFBFBF" w:themeColor="background1" w:themeShade="BF"/>
            </w:tcBorders>
            <w:noWrap/>
            <w:hideMark/>
          </w:tcPr>
          <w:p w:rsidR="00195BE7" w:rsidRPr="001E2F6E" w:rsidRDefault="00195BE7" w:rsidP="00195BE7">
            <w:pPr>
              <w:spacing w:line="240" w:lineRule="exact"/>
              <w:ind w:right="113"/>
              <w:jc w:val="right"/>
              <w:rPr>
                <w:sz w:val="16"/>
                <w:szCs w:val="16"/>
              </w:rPr>
            </w:pPr>
            <w:r w:rsidRPr="001E2F6E">
              <w:rPr>
                <w:sz w:val="16"/>
                <w:szCs w:val="16"/>
              </w:rPr>
              <w:t>278.503</w:t>
            </w:r>
          </w:p>
        </w:tc>
        <w:tc>
          <w:tcPr>
            <w:tcW w:w="313" w:type="pct"/>
            <w:tcBorders>
              <w:bottom w:val="single" w:sz="4" w:space="0" w:color="BFBFBF" w:themeColor="background1" w:themeShade="BF"/>
              <w:right w:val="single" w:sz="4" w:space="0" w:color="BFBFBF" w:themeColor="background1" w:themeShade="BF"/>
            </w:tcBorders>
            <w:hideMark/>
          </w:tcPr>
          <w:p w:rsidR="00195BE7" w:rsidRPr="001E2F6E" w:rsidRDefault="00195BE7" w:rsidP="00195BE7">
            <w:pPr>
              <w:spacing w:line="240" w:lineRule="exact"/>
              <w:ind w:right="113"/>
              <w:jc w:val="right"/>
              <w:rPr>
                <w:sz w:val="16"/>
                <w:szCs w:val="16"/>
              </w:rPr>
            </w:pPr>
            <w:r w:rsidRPr="001E2F6E">
              <w:rPr>
                <w:sz w:val="16"/>
                <w:szCs w:val="16"/>
              </w:rPr>
              <w:t>0,7</w:t>
            </w:r>
          </w:p>
        </w:tc>
        <w:tc>
          <w:tcPr>
            <w:tcW w:w="642" w:type="pct"/>
            <w:tcBorders>
              <w:left w:val="single" w:sz="4" w:space="0" w:color="BFBFBF" w:themeColor="background1" w:themeShade="BF"/>
              <w:bottom w:val="single" w:sz="4" w:space="0" w:color="BFBFBF" w:themeColor="background1" w:themeShade="BF"/>
            </w:tcBorders>
            <w:noWrap/>
            <w:hideMark/>
          </w:tcPr>
          <w:p w:rsidR="00195BE7" w:rsidRPr="001E2F6E" w:rsidRDefault="00195BE7" w:rsidP="00195BE7">
            <w:pPr>
              <w:spacing w:line="240" w:lineRule="exact"/>
              <w:ind w:right="113"/>
              <w:jc w:val="right"/>
              <w:rPr>
                <w:sz w:val="16"/>
                <w:szCs w:val="16"/>
              </w:rPr>
            </w:pPr>
            <w:r w:rsidRPr="001E2F6E">
              <w:rPr>
                <w:sz w:val="16"/>
                <w:szCs w:val="16"/>
              </w:rPr>
              <w:t>13.332.282</w:t>
            </w:r>
          </w:p>
        </w:tc>
        <w:tc>
          <w:tcPr>
            <w:tcW w:w="363" w:type="pct"/>
            <w:tcBorders>
              <w:bottom w:val="single" w:sz="4" w:space="0" w:color="BFBFBF" w:themeColor="background1" w:themeShade="BF"/>
            </w:tcBorders>
            <w:hideMark/>
          </w:tcPr>
          <w:p w:rsidR="00195BE7" w:rsidRPr="001E2F6E" w:rsidRDefault="00195BE7" w:rsidP="00195BE7">
            <w:pPr>
              <w:spacing w:line="240" w:lineRule="exact"/>
              <w:ind w:right="113"/>
              <w:jc w:val="right"/>
              <w:rPr>
                <w:sz w:val="16"/>
                <w:szCs w:val="16"/>
              </w:rPr>
            </w:pPr>
            <w:r w:rsidRPr="001E2F6E">
              <w:rPr>
                <w:sz w:val="16"/>
                <w:szCs w:val="16"/>
              </w:rPr>
              <w:t>33,1</w:t>
            </w:r>
          </w:p>
        </w:tc>
      </w:tr>
      <w:tr w:rsidR="00195BE7" w:rsidRPr="001E2F6E" w:rsidTr="00195BE7">
        <w:trPr>
          <w:jc w:val="center"/>
        </w:trPr>
        <w:tc>
          <w:tcPr>
            <w:tcW w:w="650" w:type="pct"/>
            <w:tcBorders>
              <w:top w:val="single" w:sz="4" w:space="0" w:color="BFBFBF" w:themeColor="background1" w:themeShade="BF"/>
              <w:bottom w:val="single" w:sz="4" w:space="0" w:color="BFBFBF" w:themeColor="background1" w:themeShade="BF"/>
              <w:right w:val="single" w:sz="4" w:space="0" w:color="BFBFBF" w:themeColor="background1" w:themeShade="BF"/>
            </w:tcBorders>
            <w:hideMark/>
          </w:tcPr>
          <w:p w:rsidR="00195BE7" w:rsidRPr="001E2F6E" w:rsidRDefault="00195BE7" w:rsidP="00195BE7">
            <w:pPr>
              <w:spacing w:line="240" w:lineRule="exact"/>
              <w:rPr>
                <w:b/>
                <w:bCs/>
                <w:sz w:val="16"/>
                <w:szCs w:val="16"/>
              </w:rPr>
            </w:pPr>
            <w:r w:rsidRPr="001E2F6E">
              <w:rPr>
                <w:b/>
                <w:bCs/>
                <w:sz w:val="16"/>
                <w:szCs w:val="16"/>
                <w:lang w:val="es-ES_tradnl"/>
              </w:rPr>
              <w:t>GUZTIRA</w:t>
            </w:r>
          </w:p>
        </w:tc>
        <w:tc>
          <w:tcPr>
            <w:tcW w:w="919" w:type="pct"/>
            <w:tcBorders>
              <w:top w:val="single" w:sz="4" w:space="0" w:color="BFBFBF" w:themeColor="background1" w:themeShade="BF"/>
              <w:left w:val="single" w:sz="4" w:space="0" w:color="BFBFBF" w:themeColor="background1" w:themeShade="BF"/>
              <w:bottom w:val="single" w:sz="4" w:space="0" w:color="BFBFBF" w:themeColor="background1" w:themeShade="BF"/>
            </w:tcBorders>
            <w:hideMark/>
          </w:tcPr>
          <w:p w:rsidR="00195BE7" w:rsidRPr="001E2F6E" w:rsidRDefault="00195BE7" w:rsidP="00195BE7">
            <w:pPr>
              <w:spacing w:line="240" w:lineRule="exact"/>
              <w:ind w:right="113"/>
              <w:jc w:val="right"/>
              <w:rPr>
                <w:b/>
                <w:bCs/>
                <w:sz w:val="16"/>
                <w:szCs w:val="16"/>
              </w:rPr>
            </w:pPr>
            <w:r w:rsidRPr="001E2F6E">
              <w:rPr>
                <w:b/>
                <w:bCs/>
                <w:sz w:val="16"/>
                <w:szCs w:val="16"/>
              </w:rPr>
              <w:t>2.673.255.215</w:t>
            </w:r>
          </w:p>
        </w:tc>
        <w:tc>
          <w:tcPr>
            <w:tcW w:w="339" w:type="pct"/>
            <w:tcBorders>
              <w:top w:val="single" w:sz="4" w:space="0" w:color="BFBFBF" w:themeColor="background1" w:themeShade="BF"/>
              <w:bottom w:val="single" w:sz="4" w:space="0" w:color="BFBFBF" w:themeColor="background1" w:themeShade="BF"/>
              <w:right w:val="single" w:sz="4" w:space="0" w:color="BFBFBF" w:themeColor="background1" w:themeShade="BF"/>
            </w:tcBorders>
            <w:hideMark/>
          </w:tcPr>
          <w:p w:rsidR="00195BE7" w:rsidRPr="001E2F6E" w:rsidRDefault="00195BE7" w:rsidP="00195BE7">
            <w:pPr>
              <w:spacing w:line="240" w:lineRule="exact"/>
              <w:ind w:right="113"/>
              <w:jc w:val="right"/>
              <w:rPr>
                <w:b/>
                <w:bCs/>
                <w:sz w:val="16"/>
                <w:szCs w:val="16"/>
              </w:rPr>
            </w:pPr>
            <w:r w:rsidRPr="001E2F6E">
              <w:rPr>
                <w:b/>
                <w:bCs/>
                <w:sz w:val="16"/>
                <w:szCs w:val="16"/>
              </w:rPr>
              <w:t>100</w:t>
            </w:r>
          </w:p>
        </w:tc>
        <w:tc>
          <w:tcPr>
            <w:tcW w:w="768" w:type="pct"/>
            <w:tcBorders>
              <w:top w:val="single" w:sz="4" w:space="0" w:color="BFBFBF" w:themeColor="background1" w:themeShade="BF"/>
              <w:left w:val="single" w:sz="4" w:space="0" w:color="BFBFBF" w:themeColor="background1" w:themeShade="BF"/>
              <w:bottom w:val="single" w:sz="4" w:space="0" w:color="BFBFBF" w:themeColor="background1" w:themeShade="BF"/>
            </w:tcBorders>
            <w:hideMark/>
          </w:tcPr>
          <w:p w:rsidR="00195BE7" w:rsidRPr="001E2F6E" w:rsidRDefault="00195BE7" w:rsidP="00195BE7">
            <w:pPr>
              <w:spacing w:line="240" w:lineRule="exact"/>
              <w:ind w:right="113"/>
              <w:jc w:val="right"/>
              <w:rPr>
                <w:b/>
                <w:bCs/>
                <w:sz w:val="16"/>
                <w:szCs w:val="16"/>
              </w:rPr>
            </w:pPr>
            <w:r w:rsidRPr="001E2F6E">
              <w:rPr>
                <w:b/>
                <w:bCs/>
                <w:sz w:val="16"/>
                <w:szCs w:val="16"/>
              </w:rPr>
              <w:t>2.558.373.784</w:t>
            </w:r>
          </w:p>
        </w:tc>
        <w:tc>
          <w:tcPr>
            <w:tcW w:w="364" w:type="pct"/>
            <w:tcBorders>
              <w:top w:val="single" w:sz="4" w:space="0" w:color="BFBFBF" w:themeColor="background1" w:themeShade="BF"/>
              <w:bottom w:val="single" w:sz="4" w:space="0" w:color="BFBFBF" w:themeColor="background1" w:themeShade="BF"/>
              <w:right w:val="single" w:sz="4" w:space="0" w:color="BFBFBF" w:themeColor="background1" w:themeShade="BF"/>
            </w:tcBorders>
            <w:hideMark/>
          </w:tcPr>
          <w:p w:rsidR="00195BE7" w:rsidRPr="001E2F6E" w:rsidRDefault="00195BE7" w:rsidP="00195BE7">
            <w:pPr>
              <w:spacing w:line="240" w:lineRule="exact"/>
              <w:ind w:right="113"/>
              <w:jc w:val="right"/>
              <w:rPr>
                <w:b/>
                <w:bCs/>
                <w:sz w:val="16"/>
                <w:szCs w:val="16"/>
              </w:rPr>
            </w:pPr>
            <w:r w:rsidRPr="001E2F6E">
              <w:rPr>
                <w:b/>
                <w:bCs/>
                <w:sz w:val="16"/>
                <w:szCs w:val="16"/>
              </w:rPr>
              <w:t>96,0</w:t>
            </w:r>
          </w:p>
        </w:tc>
        <w:tc>
          <w:tcPr>
            <w:tcW w:w="642" w:type="pct"/>
            <w:tcBorders>
              <w:top w:val="single" w:sz="4" w:space="0" w:color="BFBFBF" w:themeColor="background1" w:themeShade="BF"/>
              <w:left w:val="single" w:sz="4" w:space="0" w:color="BFBFBF" w:themeColor="background1" w:themeShade="BF"/>
              <w:bottom w:val="single" w:sz="4" w:space="0" w:color="BFBFBF" w:themeColor="background1" w:themeShade="BF"/>
            </w:tcBorders>
            <w:hideMark/>
          </w:tcPr>
          <w:p w:rsidR="00195BE7" w:rsidRPr="001E2F6E" w:rsidRDefault="00195BE7" w:rsidP="00195BE7">
            <w:pPr>
              <w:spacing w:line="240" w:lineRule="exact"/>
              <w:ind w:right="113"/>
              <w:jc w:val="right"/>
              <w:rPr>
                <w:b/>
                <w:bCs/>
                <w:sz w:val="16"/>
                <w:szCs w:val="16"/>
              </w:rPr>
            </w:pPr>
            <w:r w:rsidRPr="001E2F6E">
              <w:rPr>
                <w:b/>
                <w:bCs/>
                <w:sz w:val="16"/>
                <w:szCs w:val="16"/>
              </w:rPr>
              <w:t>83.233.863</w:t>
            </w:r>
          </w:p>
        </w:tc>
        <w:tc>
          <w:tcPr>
            <w:tcW w:w="313" w:type="pct"/>
            <w:tcBorders>
              <w:top w:val="single" w:sz="4" w:space="0" w:color="BFBFBF" w:themeColor="background1" w:themeShade="BF"/>
              <w:bottom w:val="single" w:sz="4" w:space="0" w:color="BFBFBF" w:themeColor="background1" w:themeShade="BF"/>
              <w:right w:val="single" w:sz="4" w:space="0" w:color="BFBFBF" w:themeColor="background1" w:themeShade="BF"/>
            </w:tcBorders>
            <w:hideMark/>
          </w:tcPr>
          <w:p w:rsidR="00195BE7" w:rsidRPr="001E2F6E" w:rsidRDefault="00195BE7" w:rsidP="00195BE7">
            <w:pPr>
              <w:spacing w:line="240" w:lineRule="exact"/>
              <w:ind w:right="113"/>
              <w:jc w:val="right"/>
              <w:rPr>
                <w:b/>
                <w:bCs/>
                <w:sz w:val="16"/>
                <w:szCs w:val="16"/>
              </w:rPr>
            </w:pPr>
            <w:r w:rsidRPr="001E2F6E">
              <w:rPr>
                <w:b/>
                <w:bCs/>
                <w:sz w:val="16"/>
                <w:szCs w:val="16"/>
              </w:rPr>
              <w:t>3,5</w:t>
            </w:r>
          </w:p>
        </w:tc>
        <w:tc>
          <w:tcPr>
            <w:tcW w:w="642" w:type="pct"/>
            <w:tcBorders>
              <w:top w:val="single" w:sz="4" w:space="0" w:color="BFBFBF" w:themeColor="background1" w:themeShade="BF"/>
              <w:left w:val="single" w:sz="4" w:space="0" w:color="BFBFBF" w:themeColor="background1" w:themeShade="BF"/>
              <w:bottom w:val="single" w:sz="4" w:space="0" w:color="BFBFBF" w:themeColor="background1" w:themeShade="BF"/>
            </w:tcBorders>
            <w:hideMark/>
          </w:tcPr>
          <w:p w:rsidR="00195BE7" w:rsidRPr="001E2F6E" w:rsidRDefault="00195BE7" w:rsidP="00195BE7">
            <w:pPr>
              <w:spacing w:line="240" w:lineRule="exact"/>
              <w:ind w:right="113"/>
              <w:jc w:val="right"/>
              <w:rPr>
                <w:b/>
                <w:bCs/>
                <w:sz w:val="16"/>
                <w:szCs w:val="16"/>
              </w:rPr>
            </w:pPr>
            <w:r w:rsidRPr="001E2F6E">
              <w:rPr>
                <w:b/>
                <w:bCs/>
                <w:sz w:val="16"/>
                <w:szCs w:val="16"/>
              </w:rPr>
              <w:t>31.647.567</w:t>
            </w:r>
          </w:p>
        </w:tc>
        <w:tc>
          <w:tcPr>
            <w:tcW w:w="363" w:type="pct"/>
            <w:tcBorders>
              <w:top w:val="single" w:sz="4" w:space="0" w:color="BFBFBF" w:themeColor="background1" w:themeShade="BF"/>
              <w:bottom w:val="single" w:sz="4" w:space="0" w:color="BFBFBF" w:themeColor="background1" w:themeShade="BF"/>
            </w:tcBorders>
            <w:hideMark/>
          </w:tcPr>
          <w:p w:rsidR="00195BE7" w:rsidRPr="001E2F6E" w:rsidRDefault="00195BE7" w:rsidP="00195BE7">
            <w:pPr>
              <w:spacing w:line="240" w:lineRule="exact"/>
              <w:ind w:right="113"/>
              <w:jc w:val="right"/>
              <w:rPr>
                <w:b/>
                <w:bCs/>
                <w:sz w:val="16"/>
                <w:szCs w:val="16"/>
              </w:rPr>
            </w:pPr>
            <w:r w:rsidRPr="001E2F6E">
              <w:rPr>
                <w:b/>
                <w:bCs/>
                <w:sz w:val="16"/>
                <w:szCs w:val="16"/>
              </w:rPr>
              <w:t>0,5</w:t>
            </w:r>
          </w:p>
        </w:tc>
      </w:tr>
    </w:tbl>
    <w:p w:rsidR="00195BE7" w:rsidRPr="001E2F6E" w:rsidRDefault="00195BE7" w:rsidP="00195BE7">
      <w:pPr>
        <w:pStyle w:val="Textoindependiente3"/>
        <w:spacing w:line="312" w:lineRule="auto"/>
        <w:jc w:val="left"/>
        <w:rPr>
          <w:rFonts w:ascii="Arial" w:hAnsi="Arial" w:cs="Arial"/>
        </w:rPr>
      </w:pPr>
      <w:r w:rsidRPr="001E2F6E">
        <w:rPr>
          <w:rFonts w:ascii="Arial" w:hAnsi="Arial" w:cs="Arial"/>
        </w:rPr>
        <w:t>(*)</w:t>
      </w:r>
      <w:r w:rsidRPr="001E2F6E">
        <w:rPr>
          <w:rFonts w:ascii="Arial" w:hAnsi="Arial" w:cs="Arial"/>
          <w:lang w:val="eu-ES"/>
        </w:rPr>
        <w:t>Eraikuntza ez dago sartua</w:t>
      </w:r>
      <w:r w:rsidRPr="001E2F6E">
        <w:rPr>
          <w:rFonts w:ascii="Arial" w:hAnsi="Arial" w:cs="Arial"/>
        </w:rPr>
        <w:t>.</w:t>
      </w:r>
    </w:p>
    <w:p w:rsidR="00195BE7" w:rsidRPr="001E2F6E" w:rsidRDefault="00195BE7" w:rsidP="00195BE7">
      <w:pPr>
        <w:pStyle w:val="Textoindependiente"/>
        <w:spacing w:line="420" w:lineRule="auto"/>
        <w:rPr>
          <w:rFonts w:ascii="Arial" w:hAnsi="Arial" w:cs="Arial"/>
          <w:sz w:val="20"/>
          <w:lang w:val="es-ES_tradnl"/>
        </w:rPr>
      </w:pPr>
    </w:p>
    <w:p w:rsidR="00195BE7" w:rsidRPr="001E2F6E" w:rsidRDefault="00195BE7" w:rsidP="00195BE7">
      <w:pPr>
        <w:pStyle w:val="Textoindependiente"/>
        <w:jc w:val="center"/>
        <w:rPr>
          <w:rFonts w:ascii="Arial" w:hAnsi="Arial" w:cs="Arial"/>
          <w:b/>
          <w:color w:val="1F497D" w:themeColor="text2"/>
          <w:sz w:val="18"/>
          <w:szCs w:val="18"/>
          <w:lang w:val="es-ES_tradnl"/>
        </w:rPr>
      </w:pPr>
      <w:r w:rsidRPr="001E2F6E">
        <w:rPr>
          <w:rFonts w:ascii="Arial" w:hAnsi="Arial" w:cs="Arial"/>
          <w:b/>
          <w:color w:val="000080"/>
          <w:sz w:val="16"/>
          <w:szCs w:val="16"/>
          <w:lang w:val="es-ES_tradnl"/>
        </w:rPr>
        <w:br w:type="page"/>
      </w:r>
      <w:r w:rsidRPr="001E2F6E">
        <w:rPr>
          <w:rFonts w:ascii="Arial" w:hAnsi="Arial" w:cs="Arial"/>
          <w:b/>
          <w:color w:val="1F497D" w:themeColor="text2"/>
          <w:sz w:val="18"/>
          <w:szCs w:val="18"/>
          <w:lang w:val="es-ES_tradnl"/>
        </w:rPr>
        <w:lastRenderedPageBreak/>
        <w:t xml:space="preserve"> </w:t>
      </w:r>
      <w:bookmarkStart w:id="196" w:name="_Toc391989162"/>
      <w:bookmarkStart w:id="197" w:name="_Toc392585827"/>
      <w:r w:rsidRPr="001E2F6E">
        <w:rPr>
          <w:rFonts w:ascii="Arial" w:hAnsi="Arial" w:cs="Arial"/>
          <w:b/>
          <w:color w:val="1F497D" w:themeColor="text2"/>
          <w:sz w:val="18"/>
          <w:szCs w:val="18"/>
          <w:lang w:val="es-ES_tradnl"/>
        </w:rPr>
        <w:t>1.</w:t>
      </w:r>
      <w:r w:rsidR="00EB6BA6" w:rsidRPr="001E2F6E">
        <w:rPr>
          <w:rFonts w:ascii="Arial" w:hAnsi="Arial" w:cs="Arial"/>
          <w:b/>
          <w:color w:val="1F497D" w:themeColor="text2"/>
          <w:sz w:val="18"/>
          <w:szCs w:val="18"/>
          <w:lang w:val="es-ES_tradnl"/>
        </w:rPr>
        <w:fldChar w:fldCharType="begin"/>
      </w:r>
      <w:r w:rsidRPr="001E2F6E">
        <w:rPr>
          <w:rFonts w:ascii="Arial" w:hAnsi="Arial" w:cs="Arial"/>
          <w:b/>
          <w:color w:val="1F497D" w:themeColor="text2"/>
          <w:sz w:val="18"/>
          <w:szCs w:val="18"/>
          <w:lang w:val="es-ES_tradnl"/>
        </w:rPr>
        <w:instrText xml:space="preserve"> SEQ Gráfico_1. \* ARABIC </w:instrText>
      </w:r>
      <w:r w:rsidR="00EB6BA6" w:rsidRPr="001E2F6E">
        <w:rPr>
          <w:rFonts w:ascii="Arial" w:hAnsi="Arial" w:cs="Arial"/>
          <w:b/>
          <w:color w:val="1F497D" w:themeColor="text2"/>
          <w:sz w:val="18"/>
          <w:szCs w:val="18"/>
          <w:lang w:val="es-ES_tradnl"/>
        </w:rPr>
        <w:fldChar w:fldCharType="separate"/>
      </w:r>
      <w:r w:rsidR="00A327D4">
        <w:rPr>
          <w:rFonts w:ascii="Arial" w:hAnsi="Arial" w:cs="Arial"/>
          <w:b/>
          <w:noProof/>
          <w:color w:val="1F497D" w:themeColor="text2"/>
          <w:sz w:val="18"/>
          <w:szCs w:val="18"/>
          <w:lang w:val="es-ES_tradnl"/>
        </w:rPr>
        <w:t>17</w:t>
      </w:r>
      <w:r w:rsidR="00EB6BA6" w:rsidRPr="001E2F6E">
        <w:rPr>
          <w:rFonts w:ascii="Arial" w:hAnsi="Arial" w:cs="Arial"/>
          <w:b/>
          <w:color w:val="1F497D" w:themeColor="text2"/>
          <w:sz w:val="18"/>
          <w:szCs w:val="18"/>
          <w:lang w:val="es-ES_tradnl"/>
        </w:rPr>
        <w:fldChar w:fldCharType="end"/>
      </w:r>
      <w:r w:rsidRPr="001E2F6E">
        <w:rPr>
          <w:rFonts w:ascii="Arial" w:hAnsi="Arial" w:cs="Arial"/>
          <w:b/>
          <w:color w:val="1F497D" w:themeColor="text2"/>
          <w:sz w:val="18"/>
          <w:szCs w:val="18"/>
          <w:lang w:val="es-ES_tradnl"/>
        </w:rPr>
        <w:t xml:space="preserve"> Irudia ESPORTAZIOEN PISU ERLATIBOAREN KONPARATIBA FAKTURAZIOARI DAGOKIONEZ.</w:t>
      </w:r>
      <w:bookmarkEnd w:id="196"/>
      <w:r w:rsidR="00462130" w:rsidRPr="001E2F6E">
        <w:rPr>
          <w:rFonts w:ascii="Arial" w:hAnsi="Arial" w:cs="Arial"/>
          <w:b/>
          <w:color w:val="1F497D" w:themeColor="text2"/>
          <w:sz w:val="18"/>
          <w:szCs w:val="18"/>
          <w:lang w:val="es-ES_tradnl"/>
        </w:rPr>
        <w:t xml:space="preserve"> </w:t>
      </w:r>
      <w:r w:rsidRPr="001E2F6E">
        <w:rPr>
          <w:rFonts w:ascii="Arial" w:hAnsi="Arial" w:cs="Arial"/>
          <w:b/>
          <w:color w:val="1F497D" w:themeColor="text2"/>
          <w:sz w:val="18"/>
          <w:szCs w:val="18"/>
          <w:lang w:val="es-ES_tradnl"/>
        </w:rPr>
        <w:t>2008-2012. (esportazioen %, fakturazioaren arabera)</w:t>
      </w:r>
      <w:bookmarkEnd w:id="197"/>
    </w:p>
    <w:p w:rsidR="00195BE7" w:rsidRPr="001E2F6E" w:rsidRDefault="00195BE7" w:rsidP="00195BE7">
      <w:pPr>
        <w:pStyle w:val="Textoindependiente"/>
        <w:spacing w:line="312" w:lineRule="auto"/>
        <w:jc w:val="center"/>
        <w:rPr>
          <w:rFonts w:ascii="Arial" w:hAnsi="Arial" w:cs="Arial"/>
          <w:b/>
          <w:color w:val="1F497D" w:themeColor="text2"/>
          <w:sz w:val="18"/>
          <w:szCs w:val="18"/>
          <w:lang w:val="es-ES_tradnl"/>
        </w:rPr>
      </w:pPr>
      <w:r w:rsidRPr="001E2F6E">
        <w:rPr>
          <w:rFonts w:ascii="Arial" w:hAnsi="Arial" w:cs="Arial"/>
          <w:b/>
          <w:noProof/>
          <w:color w:val="1F497D" w:themeColor="text2"/>
          <w:sz w:val="18"/>
          <w:szCs w:val="18"/>
        </w:rPr>
        <w:drawing>
          <wp:anchor distT="0" distB="0" distL="114300" distR="114300" simplePos="0" relativeHeight="251704320" behindDoc="0" locked="0" layoutInCell="1" allowOverlap="1" wp14:anchorId="3B33C109" wp14:editId="4B813CED">
            <wp:simplePos x="0" y="0"/>
            <wp:positionH relativeFrom="column">
              <wp:posOffset>178435</wp:posOffset>
            </wp:positionH>
            <wp:positionV relativeFrom="paragraph">
              <wp:posOffset>92075</wp:posOffset>
            </wp:positionV>
            <wp:extent cx="5362575" cy="2352675"/>
            <wp:effectExtent l="0" t="0" r="0" b="0"/>
            <wp:wrapNone/>
            <wp:docPr id="477" name="Objeto 47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anchor>
        </w:drawing>
      </w:r>
    </w:p>
    <w:p w:rsidR="00195BE7" w:rsidRPr="001E2F6E" w:rsidRDefault="00195BE7" w:rsidP="00195BE7">
      <w:pPr>
        <w:pStyle w:val="Textoindependiente"/>
        <w:spacing w:line="312" w:lineRule="auto"/>
        <w:jc w:val="center"/>
        <w:rPr>
          <w:rFonts w:ascii="Arial" w:hAnsi="Arial" w:cs="Arial"/>
          <w:b/>
          <w:color w:val="1F497D" w:themeColor="text2"/>
          <w:sz w:val="18"/>
          <w:szCs w:val="18"/>
          <w:lang w:val="es-ES_tradnl"/>
        </w:rPr>
      </w:pPr>
    </w:p>
    <w:p w:rsidR="00195BE7" w:rsidRPr="001E2F6E" w:rsidRDefault="00195BE7" w:rsidP="00195BE7">
      <w:pPr>
        <w:pStyle w:val="Textoindependiente"/>
        <w:spacing w:line="312" w:lineRule="auto"/>
        <w:jc w:val="center"/>
        <w:rPr>
          <w:rFonts w:ascii="Arial" w:hAnsi="Arial" w:cs="Arial"/>
          <w:b/>
          <w:color w:val="1F497D" w:themeColor="text2"/>
          <w:sz w:val="18"/>
          <w:szCs w:val="18"/>
          <w:lang w:val="es-ES_tradnl"/>
        </w:rPr>
      </w:pPr>
    </w:p>
    <w:p w:rsidR="00195BE7" w:rsidRPr="001E2F6E" w:rsidRDefault="00195BE7" w:rsidP="00195BE7">
      <w:pPr>
        <w:pStyle w:val="Textoindependiente"/>
        <w:spacing w:line="312" w:lineRule="auto"/>
        <w:rPr>
          <w:rFonts w:ascii="Tahoma" w:hAnsi="Tahoma" w:cs="Arial"/>
          <w:b/>
          <w:i/>
          <w:color w:val="1F497D" w:themeColor="text2"/>
          <w:sz w:val="18"/>
          <w:szCs w:val="18"/>
          <w:lang w:val="es-ES_tradnl"/>
        </w:rPr>
      </w:pPr>
    </w:p>
    <w:p w:rsidR="00195BE7" w:rsidRPr="001E2F6E" w:rsidRDefault="00195BE7" w:rsidP="00195BE7">
      <w:pPr>
        <w:pStyle w:val="Textoindependiente"/>
        <w:spacing w:line="312" w:lineRule="auto"/>
        <w:rPr>
          <w:rFonts w:ascii="Tahoma" w:hAnsi="Tahoma" w:cs="Arial"/>
          <w:b/>
          <w:i/>
          <w:noProof/>
          <w:sz w:val="16"/>
          <w:szCs w:val="16"/>
        </w:rPr>
      </w:pPr>
    </w:p>
    <w:p w:rsidR="00195BE7" w:rsidRPr="001E2F6E" w:rsidRDefault="00195BE7" w:rsidP="00195BE7">
      <w:pPr>
        <w:pStyle w:val="Encabezado"/>
        <w:tabs>
          <w:tab w:val="clear" w:pos="4252"/>
          <w:tab w:val="clear" w:pos="8504"/>
        </w:tabs>
        <w:rPr>
          <w:lang w:val="es-ES_tradnl"/>
        </w:rPr>
      </w:pPr>
    </w:p>
    <w:p w:rsidR="00195BE7" w:rsidRPr="001E2F6E" w:rsidRDefault="00195BE7" w:rsidP="00195BE7">
      <w:pPr>
        <w:pStyle w:val="Encabezado"/>
        <w:tabs>
          <w:tab w:val="clear" w:pos="4252"/>
          <w:tab w:val="clear" w:pos="8504"/>
        </w:tabs>
        <w:rPr>
          <w:lang w:val="es-ES_tradnl"/>
        </w:rPr>
      </w:pPr>
    </w:p>
    <w:p w:rsidR="00195BE7" w:rsidRPr="001E2F6E" w:rsidRDefault="00195BE7" w:rsidP="00195BE7">
      <w:pPr>
        <w:pStyle w:val="Encabezado"/>
        <w:tabs>
          <w:tab w:val="clear" w:pos="4252"/>
          <w:tab w:val="clear" w:pos="8504"/>
        </w:tabs>
        <w:rPr>
          <w:lang w:val="es-ES_tradnl"/>
        </w:rPr>
      </w:pPr>
    </w:p>
    <w:p w:rsidR="00195BE7" w:rsidRPr="001E2F6E" w:rsidRDefault="00195BE7" w:rsidP="00195BE7">
      <w:pPr>
        <w:pStyle w:val="Encabezado"/>
        <w:tabs>
          <w:tab w:val="clear" w:pos="4252"/>
          <w:tab w:val="clear" w:pos="8504"/>
        </w:tabs>
        <w:rPr>
          <w:lang w:val="es-ES_tradnl"/>
        </w:rPr>
      </w:pPr>
    </w:p>
    <w:p w:rsidR="00195BE7" w:rsidRPr="001E2F6E" w:rsidRDefault="00195BE7" w:rsidP="00195BE7">
      <w:pPr>
        <w:pStyle w:val="Encabezado"/>
        <w:tabs>
          <w:tab w:val="clear" w:pos="4252"/>
          <w:tab w:val="clear" w:pos="8504"/>
        </w:tabs>
        <w:rPr>
          <w:lang w:val="es-ES_tradnl"/>
        </w:rPr>
      </w:pPr>
    </w:p>
    <w:p w:rsidR="00195BE7" w:rsidRPr="001E2F6E" w:rsidRDefault="00195BE7" w:rsidP="00195BE7">
      <w:pPr>
        <w:pStyle w:val="Encabezado"/>
        <w:tabs>
          <w:tab w:val="clear" w:pos="4252"/>
          <w:tab w:val="clear" w:pos="8504"/>
        </w:tabs>
        <w:rPr>
          <w:lang w:val="es-ES_tradnl"/>
        </w:rPr>
      </w:pPr>
    </w:p>
    <w:p w:rsidR="00195BE7" w:rsidRPr="001E2F6E" w:rsidRDefault="00195BE7" w:rsidP="00195BE7">
      <w:pPr>
        <w:pStyle w:val="Encabezado"/>
        <w:tabs>
          <w:tab w:val="clear" w:pos="4252"/>
          <w:tab w:val="clear" w:pos="8504"/>
        </w:tabs>
        <w:rPr>
          <w:lang w:val="es-ES_tradnl"/>
        </w:rPr>
      </w:pPr>
    </w:p>
    <w:p w:rsidR="00195BE7" w:rsidRPr="001E2F6E" w:rsidRDefault="00195BE7" w:rsidP="00195BE7">
      <w:pPr>
        <w:pStyle w:val="Encabezado"/>
        <w:tabs>
          <w:tab w:val="clear" w:pos="4252"/>
          <w:tab w:val="clear" w:pos="8504"/>
        </w:tabs>
        <w:rPr>
          <w:lang w:val="es-ES_tradnl"/>
        </w:rPr>
      </w:pPr>
    </w:p>
    <w:p w:rsidR="00195BE7" w:rsidRPr="001E2F6E" w:rsidRDefault="00195BE7" w:rsidP="00195BE7">
      <w:pPr>
        <w:pStyle w:val="Encabezado"/>
        <w:tabs>
          <w:tab w:val="clear" w:pos="4252"/>
          <w:tab w:val="clear" w:pos="8504"/>
        </w:tabs>
        <w:rPr>
          <w:lang w:val="es-ES_tradnl"/>
        </w:rPr>
      </w:pPr>
    </w:p>
    <w:p w:rsidR="00195BE7" w:rsidRPr="001E2F6E" w:rsidRDefault="00195BE7" w:rsidP="00195BE7">
      <w:pPr>
        <w:pStyle w:val="Encabezado"/>
        <w:tabs>
          <w:tab w:val="clear" w:pos="4252"/>
          <w:tab w:val="clear" w:pos="8504"/>
        </w:tabs>
        <w:rPr>
          <w:lang w:val="es-ES_tradnl"/>
        </w:rPr>
      </w:pPr>
    </w:p>
    <w:p w:rsidR="00195BE7" w:rsidRPr="001E2F6E" w:rsidRDefault="00195BE7" w:rsidP="00195BE7">
      <w:pPr>
        <w:pStyle w:val="Encabezado"/>
        <w:tabs>
          <w:tab w:val="clear" w:pos="4252"/>
          <w:tab w:val="clear" w:pos="8504"/>
        </w:tabs>
        <w:rPr>
          <w:lang w:val="es-ES_tradnl"/>
        </w:rPr>
      </w:pPr>
    </w:p>
    <w:p w:rsidR="00195BE7" w:rsidRPr="001E2F6E" w:rsidRDefault="00195BE7" w:rsidP="00195BE7">
      <w:pPr>
        <w:spacing w:line="240" w:lineRule="auto"/>
        <w:jc w:val="center"/>
        <w:rPr>
          <w:b/>
          <w:color w:val="1F497D" w:themeColor="text2"/>
          <w:sz w:val="18"/>
          <w:szCs w:val="18"/>
        </w:rPr>
      </w:pPr>
      <w:bookmarkStart w:id="198" w:name="_Toc391989122"/>
      <w:bookmarkStart w:id="199" w:name="_Toc392585787"/>
      <w:r w:rsidRPr="001E2F6E">
        <w:rPr>
          <w:b/>
          <w:color w:val="1F497D" w:themeColor="text2"/>
          <w:sz w:val="18"/>
          <w:szCs w:val="18"/>
        </w:rPr>
        <w:t>1.</w:t>
      </w:r>
      <w:r w:rsidR="00EB6BA6" w:rsidRPr="001E2F6E">
        <w:rPr>
          <w:b/>
          <w:color w:val="1F497D" w:themeColor="text2"/>
          <w:sz w:val="18"/>
          <w:szCs w:val="18"/>
        </w:rPr>
        <w:fldChar w:fldCharType="begin"/>
      </w:r>
      <w:r w:rsidRPr="001E2F6E">
        <w:rPr>
          <w:b/>
          <w:color w:val="1F497D" w:themeColor="text2"/>
          <w:sz w:val="18"/>
          <w:szCs w:val="18"/>
        </w:rPr>
        <w:instrText xml:space="preserve"> SEQ Cuadro_1. \* ARABIC </w:instrText>
      </w:r>
      <w:r w:rsidR="00EB6BA6" w:rsidRPr="001E2F6E">
        <w:rPr>
          <w:b/>
          <w:color w:val="1F497D" w:themeColor="text2"/>
          <w:sz w:val="18"/>
          <w:szCs w:val="18"/>
        </w:rPr>
        <w:fldChar w:fldCharType="separate"/>
      </w:r>
      <w:r w:rsidR="00A327D4">
        <w:rPr>
          <w:b/>
          <w:noProof/>
          <w:color w:val="1F497D" w:themeColor="text2"/>
          <w:sz w:val="18"/>
          <w:szCs w:val="18"/>
        </w:rPr>
        <w:t>52</w:t>
      </w:r>
      <w:r w:rsidR="00EB6BA6" w:rsidRPr="001E2F6E">
        <w:rPr>
          <w:b/>
          <w:color w:val="1F497D" w:themeColor="text2"/>
          <w:sz w:val="18"/>
          <w:szCs w:val="18"/>
        </w:rPr>
        <w:fldChar w:fldCharType="end"/>
      </w:r>
      <w:r w:rsidRPr="001E2F6E">
        <w:rPr>
          <w:b/>
          <w:color w:val="1F497D" w:themeColor="text2"/>
          <w:sz w:val="18"/>
          <w:szCs w:val="18"/>
        </w:rPr>
        <w:t xml:space="preserve"> Taula ESPORTAZIOEN BOLUMENA, ENPLEGU-MAILAREN ETA FORMA JURIDIKOAREN ARABERA 2012 (</w:t>
      </w:r>
      <w:r w:rsidR="00462130" w:rsidRPr="001E2F6E">
        <w:rPr>
          <w:b/>
          <w:color w:val="1F497D" w:themeColor="text2"/>
          <w:sz w:val="18"/>
          <w:szCs w:val="18"/>
        </w:rPr>
        <w:t>zifra absolutuak</w:t>
      </w:r>
      <w:r w:rsidRPr="001E2F6E">
        <w:rPr>
          <w:b/>
          <w:color w:val="1F497D" w:themeColor="text2"/>
          <w:sz w:val="18"/>
          <w:szCs w:val="18"/>
        </w:rPr>
        <w:t xml:space="preserve"> eta %bertikalak</w:t>
      </w:r>
      <w:bookmarkEnd w:id="198"/>
      <w:r w:rsidRPr="001E2F6E">
        <w:rPr>
          <w:b/>
          <w:color w:val="1F497D" w:themeColor="text2"/>
          <w:sz w:val="18"/>
          <w:szCs w:val="18"/>
        </w:rPr>
        <w:t>)</w:t>
      </w:r>
      <w:bookmarkEnd w:id="199"/>
    </w:p>
    <w:tbl>
      <w:tblPr>
        <w:tblW w:w="5000" w:type="pct"/>
        <w:tblCellMar>
          <w:left w:w="70" w:type="dxa"/>
          <w:right w:w="70" w:type="dxa"/>
        </w:tblCellMar>
        <w:tblLook w:val="04A0" w:firstRow="1" w:lastRow="0" w:firstColumn="1" w:lastColumn="0" w:noHBand="0" w:noVBand="1"/>
      </w:tblPr>
      <w:tblGrid>
        <w:gridCol w:w="1460"/>
        <w:gridCol w:w="1334"/>
        <w:gridCol w:w="630"/>
        <w:gridCol w:w="1334"/>
        <w:gridCol w:w="702"/>
        <w:gridCol w:w="1111"/>
        <w:gridCol w:w="623"/>
        <w:gridCol w:w="1111"/>
        <w:gridCol w:w="623"/>
      </w:tblGrid>
      <w:tr w:rsidR="00195BE7" w:rsidRPr="001E2F6E" w:rsidTr="00195BE7">
        <w:tc>
          <w:tcPr>
            <w:tcW w:w="818" w:type="pct"/>
            <w:vMerge w:val="restart"/>
            <w:tcBorders>
              <w:top w:val="single" w:sz="8" w:space="0" w:color="BFBFBF"/>
              <w:left w:val="nil"/>
              <w:bottom w:val="single" w:sz="8" w:space="0" w:color="BFBFBF"/>
              <w:right w:val="single" w:sz="4" w:space="0" w:color="BFBFBF" w:themeColor="background1" w:themeShade="BF"/>
            </w:tcBorders>
            <w:shd w:val="clear" w:color="000000" w:fill="DBE5F1"/>
            <w:hideMark/>
          </w:tcPr>
          <w:p w:rsidR="00195BE7" w:rsidRPr="001E2F6E" w:rsidRDefault="00195BE7" w:rsidP="00195BE7">
            <w:pPr>
              <w:spacing w:line="240" w:lineRule="exact"/>
              <w:rPr>
                <w:rFonts w:ascii="Calibri" w:hAnsi="Calibri"/>
                <w:color w:val="000000"/>
              </w:rPr>
            </w:pPr>
            <w:r w:rsidRPr="001E2F6E">
              <w:rPr>
                <w:rFonts w:ascii="Calibri" w:hAnsi="Calibri"/>
                <w:color w:val="000000"/>
              </w:rPr>
              <w:t> </w:t>
            </w:r>
          </w:p>
        </w:tc>
        <w:tc>
          <w:tcPr>
            <w:tcW w:w="1100" w:type="pct"/>
            <w:gridSpan w:val="2"/>
            <w:tcBorders>
              <w:top w:val="single" w:sz="8" w:space="0" w:color="BFBFBF"/>
              <w:left w:val="single" w:sz="4" w:space="0" w:color="BFBFBF" w:themeColor="background1" w:themeShade="BF"/>
              <w:bottom w:val="single" w:sz="8" w:space="0" w:color="BFBFBF"/>
              <w:right w:val="single" w:sz="4" w:space="0" w:color="BFBFBF" w:themeColor="background1" w:themeShade="BF"/>
            </w:tcBorders>
            <w:shd w:val="clear" w:color="000000" w:fill="DBE5F1"/>
            <w:hideMark/>
          </w:tcPr>
          <w:p w:rsidR="00195BE7" w:rsidRPr="001E2F6E" w:rsidRDefault="00195BE7" w:rsidP="00195BE7">
            <w:pPr>
              <w:spacing w:line="240" w:lineRule="exact"/>
              <w:jc w:val="center"/>
              <w:rPr>
                <w:rFonts w:eastAsia="Times New Roman"/>
                <w:b/>
                <w:bCs/>
                <w:color w:val="000000"/>
                <w:sz w:val="16"/>
                <w:szCs w:val="16"/>
                <w:lang w:eastAsia="es-ES"/>
              </w:rPr>
            </w:pPr>
            <w:r w:rsidRPr="001E2F6E">
              <w:rPr>
                <w:rFonts w:eastAsia="Times New Roman"/>
                <w:b/>
                <w:bCs/>
                <w:color w:val="000000"/>
                <w:sz w:val="16"/>
                <w:szCs w:val="16"/>
                <w:lang w:val="en-GB" w:eastAsia="es-ES"/>
              </w:rPr>
              <w:t>GUZTIRA</w:t>
            </w:r>
          </w:p>
        </w:tc>
        <w:tc>
          <w:tcPr>
            <w:tcW w:w="1140" w:type="pct"/>
            <w:gridSpan w:val="2"/>
            <w:tcBorders>
              <w:top w:val="single" w:sz="8" w:space="0" w:color="BFBFBF"/>
              <w:left w:val="single" w:sz="4" w:space="0" w:color="BFBFBF" w:themeColor="background1" w:themeShade="BF"/>
              <w:bottom w:val="single" w:sz="8" w:space="0" w:color="BFBFBF"/>
              <w:right w:val="single" w:sz="4" w:space="0" w:color="BFBFBF" w:themeColor="background1" w:themeShade="BF"/>
            </w:tcBorders>
            <w:shd w:val="clear" w:color="000000" w:fill="DBE5F1"/>
            <w:hideMark/>
          </w:tcPr>
          <w:p w:rsidR="00195BE7" w:rsidRPr="001E2F6E" w:rsidRDefault="00195BE7" w:rsidP="00195BE7">
            <w:pPr>
              <w:spacing w:line="240" w:lineRule="exact"/>
              <w:jc w:val="center"/>
              <w:rPr>
                <w:rFonts w:eastAsia="Times New Roman"/>
                <w:b/>
                <w:bCs/>
                <w:color w:val="000000"/>
                <w:sz w:val="16"/>
                <w:szCs w:val="16"/>
                <w:lang w:eastAsia="es-ES"/>
              </w:rPr>
            </w:pPr>
            <w:r w:rsidRPr="001E2F6E">
              <w:rPr>
                <w:rFonts w:eastAsia="Times New Roman"/>
                <w:b/>
                <w:bCs/>
                <w:color w:val="000000"/>
                <w:sz w:val="16"/>
                <w:szCs w:val="16"/>
                <w:lang w:val="en-GB" w:eastAsia="es-ES"/>
              </w:rPr>
              <w:t>Koop.</w:t>
            </w:r>
          </w:p>
        </w:tc>
        <w:tc>
          <w:tcPr>
            <w:tcW w:w="971" w:type="pct"/>
            <w:gridSpan w:val="2"/>
            <w:tcBorders>
              <w:top w:val="single" w:sz="8" w:space="0" w:color="BFBFBF"/>
              <w:left w:val="single" w:sz="4" w:space="0" w:color="BFBFBF" w:themeColor="background1" w:themeShade="BF"/>
              <w:bottom w:val="single" w:sz="8" w:space="0" w:color="BFBFBF"/>
              <w:right w:val="single" w:sz="4" w:space="0" w:color="BFBFBF" w:themeColor="background1" w:themeShade="BF"/>
            </w:tcBorders>
            <w:shd w:val="clear" w:color="000000" w:fill="DBE5F1"/>
            <w:hideMark/>
          </w:tcPr>
          <w:p w:rsidR="00195BE7" w:rsidRPr="001E2F6E" w:rsidRDefault="00195BE7" w:rsidP="00195BE7">
            <w:pPr>
              <w:spacing w:line="240" w:lineRule="exact"/>
              <w:jc w:val="center"/>
              <w:rPr>
                <w:rFonts w:eastAsia="Times New Roman"/>
                <w:b/>
                <w:bCs/>
                <w:color w:val="000000"/>
                <w:sz w:val="16"/>
                <w:szCs w:val="16"/>
                <w:lang w:eastAsia="es-ES"/>
              </w:rPr>
            </w:pPr>
            <w:r w:rsidRPr="001E2F6E">
              <w:rPr>
                <w:rFonts w:eastAsia="Times New Roman"/>
                <w:b/>
                <w:bCs/>
                <w:color w:val="000000"/>
                <w:sz w:val="16"/>
                <w:szCs w:val="16"/>
                <w:lang w:val="en-GB" w:eastAsia="es-ES"/>
              </w:rPr>
              <w:t>LSA</w:t>
            </w:r>
          </w:p>
        </w:tc>
        <w:tc>
          <w:tcPr>
            <w:tcW w:w="971" w:type="pct"/>
            <w:gridSpan w:val="2"/>
            <w:tcBorders>
              <w:top w:val="single" w:sz="8" w:space="0" w:color="BFBFBF"/>
              <w:left w:val="single" w:sz="4" w:space="0" w:color="BFBFBF" w:themeColor="background1" w:themeShade="BF"/>
              <w:bottom w:val="single" w:sz="8" w:space="0" w:color="BFBFBF"/>
              <w:right w:val="nil"/>
            </w:tcBorders>
            <w:shd w:val="clear" w:color="000000" w:fill="DBE5F1"/>
            <w:hideMark/>
          </w:tcPr>
          <w:p w:rsidR="00195BE7" w:rsidRPr="001E2F6E" w:rsidRDefault="00195BE7" w:rsidP="00195BE7">
            <w:pPr>
              <w:spacing w:line="240" w:lineRule="exact"/>
              <w:jc w:val="center"/>
              <w:rPr>
                <w:rFonts w:eastAsia="Times New Roman"/>
                <w:b/>
                <w:bCs/>
                <w:color w:val="000000"/>
                <w:sz w:val="16"/>
                <w:szCs w:val="16"/>
                <w:lang w:eastAsia="es-ES"/>
              </w:rPr>
            </w:pPr>
            <w:r w:rsidRPr="001E2F6E">
              <w:rPr>
                <w:rFonts w:eastAsia="Times New Roman"/>
                <w:b/>
                <w:bCs/>
                <w:color w:val="000000"/>
                <w:sz w:val="16"/>
                <w:szCs w:val="16"/>
                <w:lang w:val="en-GB" w:eastAsia="es-ES"/>
              </w:rPr>
              <w:t>LSM</w:t>
            </w:r>
          </w:p>
        </w:tc>
      </w:tr>
      <w:tr w:rsidR="00195BE7" w:rsidRPr="001E2F6E" w:rsidTr="00195BE7">
        <w:tc>
          <w:tcPr>
            <w:tcW w:w="818" w:type="pct"/>
            <w:vMerge/>
            <w:tcBorders>
              <w:top w:val="single" w:sz="8" w:space="0" w:color="BFBFBF"/>
              <w:left w:val="nil"/>
              <w:bottom w:val="single" w:sz="8" w:space="0" w:color="BFBFBF"/>
              <w:right w:val="single" w:sz="4" w:space="0" w:color="BFBFBF" w:themeColor="background1" w:themeShade="BF"/>
            </w:tcBorders>
            <w:vAlign w:val="center"/>
            <w:hideMark/>
          </w:tcPr>
          <w:p w:rsidR="00195BE7" w:rsidRPr="001E2F6E" w:rsidRDefault="00195BE7" w:rsidP="00195BE7">
            <w:pPr>
              <w:spacing w:line="240" w:lineRule="exact"/>
              <w:rPr>
                <w:rFonts w:ascii="Calibri" w:hAnsi="Calibri"/>
                <w:color w:val="000000"/>
              </w:rPr>
            </w:pPr>
          </w:p>
        </w:tc>
        <w:tc>
          <w:tcPr>
            <w:tcW w:w="747" w:type="pct"/>
            <w:tcBorders>
              <w:top w:val="nil"/>
              <w:left w:val="single" w:sz="4" w:space="0" w:color="BFBFBF" w:themeColor="background1" w:themeShade="BF"/>
              <w:bottom w:val="single" w:sz="8" w:space="0" w:color="BFBFBF"/>
            </w:tcBorders>
            <w:shd w:val="clear" w:color="000000" w:fill="DBE5F1"/>
            <w:hideMark/>
          </w:tcPr>
          <w:p w:rsidR="00195BE7" w:rsidRPr="001E2F6E" w:rsidRDefault="00195BE7" w:rsidP="00195BE7">
            <w:pPr>
              <w:spacing w:line="240" w:lineRule="exact"/>
              <w:jc w:val="center"/>
              <w:rPr>
                <w:rFonts w:eastAsia="Times New Roman"/>
                <w:b/>
                <w:bCs/>
                <w:color w:val="000000"/>
                <w:sz w:val="16"/>
                <w:szCs w:val="16"/>
                <w:lang w:eastAsia="es-ES"/>
              </w:rPr>
            </w:pPr>
            <w:r w:rsidRPr="001E2F6E">
              <w:rPr>
                <w:rFonts w:eastAsia="Times New Roman"/>
                <w:b/>
                <w:bCs/>
                <w:color w:val="000000"/>
                <w:sz w:val="16"/>
                <w:szCs w:val="16"/>
                <w:lang w:eastAsia="es-ES"/>
              </w:rPr>
              <w:t>z.a.</w:t>
            </w:r>
          </w:p>
        </w:tc>
        <w:tc>
          <w:tcPr>
            <w:tcW w:w="353" w:type="pct"/>
            <w:tcBorders>
              <w:top w:val="nil"/>
              <w:left w:val="nil"/>
              <w:bottom w:val="single" w:sz="8" w:space="0" w:color="BFBFBF"/>
              <w:right w:val="single" w:sz="4" w:space="0" w:color="BFBFBF" w:themeColor="background1" w:themeShade="BF"/>
            </w:tcBorders>
            <w:shd w:val="clear" w:color="000000" w:fill="DBE5F1"/>
            <w:hideMark/>
          </w:tcPr>
          <w:p w:rsidR="00195BE7" w:rsidRPr="001E2F6E" w:rsidRDefault="00195BE7" w:rsidP="00195BE7">
            <w:pPr>
              <w:spacing w:line="240" w:lineRule="exact"/>
              <w:jc w:val="center"/>
              <w:rPr>
                <w:rFonts w:eastAsia="Times New Roman"/>
                <w:b/>
                <w:bCs/>
                <w:color w:val="000000"/>
                <w:sz w:val="16"/>
                <w:szCs w:val="16"/>
                <w:lang w:eastAsia="es-ES"/>
              </w:rPr>
            </w:pPr>
            <w:r w:rsidRPr="001E2F6E">
              <w:rPr>
                <w:rFonts w:eastAsia="Times New Roman"/>
                <w:b/>
                <w:bCs/>
                <w:color w:val="000000"/>
                <w:sz w:val="16"/>
                <w:szCs w:val="16"/>
                <w:lang w:eastAsia="es-ES"/>
              </w:rPr>
              <w:t>%ber.</w:t>
            </w:r>
          </w:p>
        </w:tc>
        <w:tc>
          <w:tcPr>
            <w:tcW w:w="747" w:type="pct"/>
            <w:tcBorders>
              <w:top w:val="nil"/>
              <w:left w:val="single" w:sz="4" w:space="0" w:color="BFBFBF" w:themeColor="background1" w:themeShade="BF"/>
              <w:bottom w:val="single" w:sz="8" w:space="0" w:color="BFBFBF"/>
            </w:tcBorders>
            <w:shd w:val="clear" w:color="000000" w:fill="DBE5F1"/>
            <w:hideMark/>
          </w:tcPr>
          <w:p w:rsidR="00195BE7" w:rsidRPr="001E2F6E" w:rsidRDefault="00195BE7" w:rsidP="00195BE7">
            <w:pPr>
              <w:spacing w:line="240" w:lineRule="exact"/>
              <w:jc w:val="center"/>
              <w:rPr>
                <w:rFonts w:eastAsia="Times New Roman"/>
                <w:b/>
                <w:bCs/>
                <w:color w:val="000000"/>
                <w:sz w:val="16"/>
                <w:szCs w:val="16"/>
                <w:lang w:eastAsia="es-ES"/>
              </w:rPr>
            </w:pPr>
            <w:r w:rsidRPr="001E2F6E">
              <w:rPr>
                <w:rFonts w:eastAsia="Times New Roman"/>
                <w:b/>
                <w:bCs/>
                <w:color w:val="000000"/>
                <w:sz w:val="16"/>
                <w:szCs w:val="16"/>
                <w:lang w:eastAsia="es-ES"/>
              </w:rPr>
              <w:t>z.a.</w:t>
            </w:r>
          </w:p>
        </w:tc>
        <w:tc>
          <w:tcPr>
            <w:tcW w:w="393" w:type="pct"/>
            <w:tcBorders>
              <w:top w:val="nil"/>
              <w:left w:val="nil"/>
              <w:bottom w:val="single" w:sz="8" w:space="0" w:color="BFBFBF"/>
              <w:right w:val="single" w:sz="4" w:space="0" w:color="BFBFBF" w:themeColor="background1" w:themeShade="BF"/>
            </w:tcBorders>
            <w:shd w:val="clear" w:color="000000" w:fill="DBE5F1"/>
            <w:hideMark/>
          </w:tcPr>
          <w:p w:rsidR="00195BE7" w:rsidRPr="001E2F6E" w:rsidRDefault="00195BE7" w:rsidP="00195BE7">
            <w:pPr>
              <w:spacing w:line="240" w:lineRule="exact"/>
              <w:jc w:val="center"/>
              <w:rPr>
                <w:rFonts w:eastAsia="Times New Roman"/>
                <w:b/>
                <w:bCs/>
                <w:color w:val="000000"/>
                <w:sz w:val="16"/>
                <w:szCs w:val="16"/>
                <w:lang w:eastAsia="es-ES"/>
              </w:rPr>
            </w:pPr>
            <w:r w:rsidRPr="001E2F6E">
              <w:rPr>
                <w:rFonts w:eastAsia="Times New Roman"/>
                <w:b/>
                <w:bCs/>
                <w:color w:val="000000"/>
                <w:sz w:val="16"/>
                <w:szCs w:val="16"/>
                <w:lang w:eastAsia="es-ES"/>
              </w:rPr>
              <w:t>%ber.</w:t>
            </w:r>
          </w:p>
        </w:tc>
        <w:tc>
          <w:tcPr>
            <w:tcW w:w="622" w:type="pct"/>
            <w:tcBorders>
              <w:top w:val="nil"/>
              <w:left w:val="single" w:sz="4" w:space="0" w:color="BFBFBF" w:themeColor="background1" w:themeShade="BF"/>
              <w:bottom w:val="single" w:sz="8" w:space="0" w:color="BFBFBF"/>
            </w:tcBorders>
            <w:shd w:val="clear" w:color="000000" w:fill="DBE5F1"/>
            <w:hideMark/>
          </w:tcPr>
          <w:p w:rsidR="00195BE7" w:rsidRPr="001E2F6E" w:rsidRDefault="00195BE7" w:rsidP="00195BE7">
            <w:pPr>
              <w:spacing w:line="240" w:lineRule="exact"/>
              <w:jc w:val="center"/>
              <w:rPr>
                <w:rFonts w:eastAsia="Times New Roman"/>
                <w:b/>
                <w:bCs/>
                <w:color w:val="000000"/>
                <w:sz w:val="16"/>
                <w:szCs w:val="16"/>
                <w:lang w:eastAsia="es-ES"/>
              </w:rPr>
            </w:pPr>
            <w:r w:rsidRPr="001E2F6E">
              <w:rPr>
                <w:rFonts w:eastAsia="Times New Roman"/>
                <w:b/>
                <w:bCs/>
                <w:color w:val="000000"/>
                <w:sz w:val="16"/>
                <w:szCs w:val="16"/>
                <w:lang w:eastAsia="es-ES"/>
              </w:rPr>
              <w:t>z.a.</w:t>
            </w:r>
          </w:p>
        </w:tc>
        <w:tc>
          <w:tcPr>
            <w:tcW w:w="349" w:type="pct"/>
            <w:tcBorders>
              <w:top w:val="nil"/>
              <w:left w:val="nil"/>
              <w:bottom w:val="single" w:sz="8" w:space="0" w:color="BFBFBF"/>
              <w:right w:val="single" w:sz="4" w:space="0" w:color="BFBFBF" w:themeColor="background1" w:themeShade="BF"/>
            </w:tcBorders>
            <w:shd w:val="clear" w:color="000000" w:fill="DBE5F1"/>
            <w:hideMark/>
          </w:tcPr>
          <w:p w:rsidR="00195BE7" w:rsidRPr="001E2F6E" w:rsidRDefault="00195BE7" w:rsidP="00195BE7">
            <w:pPr>
              <w:spacing w:line="240" w:lineRule="exact"/>
              <w:jc w:val="center"/>
              <w:rPr>
                <w:rFonts w:eastAsia="Times New Roman"/>
                <w:b/>
                <w:bCs/>
                <w:color w:val="000000"/>
                <w:sz w:val="16"/>
                <w:szCs w:val="16"/>
                <w:lang w:eastAsia="es-ES"/>
              </w:rPr>
            </w:pPr>
            <w:r w:rsidRPr="001E2F6E">
              <w:rPr>
                <w:rFonts w:eastAsia="Times New Roman"/>
                <w:b/>
                <w:bCs/>
                <w:color w:val="000000"/>
                <w:sz w:val="16"/>
                <w:szCs w:val="16"/>
                <w:lang w:eastAsia="es-ES"/>
              </w:rPr>
              <w:t>%ber.</w:t>
            </w:r>
          </w:p>
        </w:tc>
        <w:tc>
          <w:tcPr>
            <w:tcW w:w="622" w:type="pct"/>
            <w:tcBorders>
              <w:top w:val="nil"/>
              <w:left w:val="single" w:sz="4" w:space="0" w:color="BFBFBF" w:themeColor="background1" w:themeShade="BF"/>
              <w:bottom w:val="single" w:sz="8" w:space="0" w:color="BFBFBF"/>
            </w:tcBorders>
            <w:shd w:val="clear" w:color="000000" w:fill="DBE5F1"/>
            <w:hideMark/>
          </w:tcPr>
          <w:p w:rsidR="00195BE7" w:rsidRPr="001E2F6E" w:rsidRDefault="00195BE7" w:rsidP="00195BE7">
            <w:pPr>
              <w:spacing w:line="240" w:lineRule="exact"/>
              <w:jc w:val="center"/>
              <w:rPr>
                <w:rFonts w:eastAsia="Times New Roman"/>
                <w:b/>
                <w:bCs/>
                <w:color w:val="000000"/>
                <w:sz w:val="16"/>
                <w:szCs w:val="16"/>
                <w:lang w:eastAsia="es-ES"/>
              </w:rPr>
            </w:pPr>
            <w:r w:rsidRPr="001E2F6E">
              <w:rPr>
                <w:rFonts w:eastAsia="Times New Roman"/>
                <w:b/>
                <w:bCs/>
                <w:color w:val="000000"/>
                <w:sz w:val="16"/>
                <w:szCs w:val="16"/>
                <w:lang w:eastAsia="es-ES"/>
              </w:rPr>
              <w:t>z.a.</w:t>
            </w:r>
          </w:p>
        </w:tc>
        <w:tc>
          <w:tcPr>
            <w:tcW w:w="349" w:type="pct"/>
            <w:tcBorders>
              <w:top w:val="nil"/>
              <w:left w:val="nil"/>
              <w:bottom w:val="single" w:sz="8" w:space="0" w:color="BFBFBF"/>
              <w:right w:val="nil"/>
            </w:tcBorders>
            <w:shd w:val="clear" w:color="000000" w:fill="DBE5F1"/>
            <w:hideMark/>
          </w:tcPr>
          <w:p w:rsidR="00195BE7" w:rsidRPr="001E2F6E" w:rsidRDefault="00195BE7" w:rsidP="00195BE7">
            <w:pPr>
              <w:spacing w:line="240" w:lineRule="exact"/>
              <w:jc w:val="center"/>
              <w:rPr>
                <w:rFonts w:eastAsia="Times New Roman"/>
                <w:b/>
                <w:bCs/>
                <w:color w:val="000000"/>
                <w:sz w:val="16"/>
                <w:szCs w:val="16"/>
                <w:lang w:eastAsia="es-ES"/>
              </w:rPr>
            </w:pPr>
            <w:r w:rsidRPr="001E2F6E">
              <w:rPr>
                <w:rFonts w:eastAsia="Times New Roman"/>
                <w:b/>
                <w:bCs/>
                <w:color w:val="000000"/>
                <w:sz w:val="16"/>
                <w:szCs w:val="16"/>
                <w:lang w:eastAsia="es-ES"/>
              </w:rPr>
              <w:t>%ber.</w:t>
            </w:r>
          </w:p>
        </w:tc>
      </w:tr>
      <w:tr w:rsidR="00195BE7" w:rsidRPr="001E2F6E" w:rsidTr="00195BE7">
        <w:tc>
          <w:tcPr>
            <w:tcW w:w="818" w:type="pct"/>
            <w:tcBorders>
              <w:top w:val="nil"/>
              <w:left w:val="nil"/>
              <w:bottom w:val="nil"/>
              <w:right w:val="single" w:sz="4" w:space="0" w:color="BFBFBF" w:themeColor="background1" w:themeShade="BF"/>
            </w:tcBorders>
            <w:shd w:val="clear" w:color="auto" w:fill="auto"/>
            <w:vAlign w:val="bottom"/>
            <w:hideMark/>
          </w:tcPr>
          <w:p w:rsidR="00195BE7" w:rsidRPr="001E2F6E" w:rsidRDefault="00195BE7" w:rsidP="00195BE7">
            <w:pPr>
              <w:spacing w:line="240" w:lineRule="auto"/>
              <w:rPr>
                <w:sz w:val="16"/>
                <w:szCs w:val="16"/>
                <w:lang w:val="eu-ES"/>
              </w:rPr>
            </w:pPr>
            <w:r w:rsidRPr="001E2F6E">
              <w:rPr>
                <w:sz w:val="16"/>
                <w:szCs w:val="16"/>
                <w:lang w:val="eu-ES"/>
              </w:rPr>
              <w:t>5 enplegu arte</w:t>
            </w:r>
          </w:p>
        </w:tc>
        <w:tc>
          <w:tcPr>
            <w:tcW w:w="747" w:type="pct"/>
            <w:tcBorders>
              <w:top w:val="nil"/>
              <w:left w:val="single" w:sz="4" w:space="0" w:color="BFBFBF" w:themeColor="background1" w:themeShade="BF"/>
              <w:bottom w:val="nil"/>
            </w:tcBorders>
            <w:shd w:val="clear" w:color="auto" w:fill="auto"/>
            <w:vAlign w:val="bottom"/>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2.895.772</w:t>
            </w:r>
          </w:p>
        </w:tc>
        <w:tc>
          <w:tcPr>
            <w:tcW w:w="353" w:type="pct"/>
            <w:tcBorders>
              <w:top w:val="nil"/>
              <w:left w:val="nil"/>
              <w:bottom w:val="nil"/>
              <w:right w:val="single" w:sz="4" w:space="0" w:color="BFBFBF" w:themeColor="background1" w:themeShade="BF"/>
            </w:tcBorders>
            <w:shd w:val="clear" w:color="auto" w:fill="auto"/>
            <w:vAlign w:val="bottom"/>
            <w:hideMark/>
          </w:tcPr>
          <w:p w:rsidR="00195BE7" w:rsidRPr="001E2F6E" w:rsidRDefault="00195BE7" w:rsidP="00195BE7">
            <w:pPr>
              <w:spacing w:line="240" w:lineRule="exact"/>
              <w:ind w:right="170"/>
              <w:jc w:val="center"/>
              <w:rPr>
                <w:color w:val="000000"/>
                <w:sz w:val="16"/>
                <w:szCs w:val="16"/>
              </w:rPr>
            </w:pPr>
            <w:r w:rsidRPr="001E2F6E">
              <w:rPr>
                <w:color w:val="000000"/>
                <w:sz w:val="16"/>
                <w:szCs w:val="16"/>
              </w:rPr>
              <w:t>0,1</w:t>
            </w:r>
          </w:p>
        </w:tc>
        <w:tc>
          <w:tcPr>
            <w:tcW w:w="747" w:type="pct"/>
            <w:tcBorders>
              <w:top w:val="nil"/>
              <w:left w:val="single" w:sz="4" w:space="0" w:color="BFBFBF" w:themeColor="background1" w:themeShade="BF"/>
              <w:bottom w:val="nil"/>
            </w:tcBorders>
            <w:shd w:val="clear" w:color="auto" w:fill="auto"/>
            <w:vAlign w:val="bottom"/>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1.968.179</w:t>
            </w:r>
          </w:p>
        </w:tc>
        <w:tc>
          <w:tcPr>
            <w:tcW w:w="393" w:type="pct"/>
            <w:tcBorders>
              <w:top w:val="nil"/>
              <w:left w:val="nil"/>
              <w:bottom w:val="nil"/>
              <w:right w:val="single" w:sz="4" w:space="0" w:color="BFBFBF" w:themeColor="background1" w:themeShade="BF"/>
            </w:tcBorders>
            <w:shd w:val="clear" w:color="auto" w:fill="auto"/>
            <w:vAlign w:val="bottom"/>
            <w:hideMark/>
          </w:tcPr>
          <w:p w:rsidR="00195BE7" w:rsidRPr="001E2F6E" w:rsidRDefault="00195BE7" w:rsidP="00195BE7">
            <w:pPr>
              <w:spacing w:line="240" w:lineRule="exact"/>
              <w:ind w:right="170"/>
              <w:jc w:val="center"/>
              <w:rPr>
                <w:color w:val="000000"/>
                <w:sz w:val="16"/>
                <w:szCs w:val="16"/>
              </w:rPr>
            </w:pPr>
            <w:r w:rsidRPr="001E2F6E">
              <w:rPr>
                <w:color w:val="000000"/>
                <w:sz w:val="16"/>
                <w:szCs w:val="16"/>
              </w:rPr>
              <w:t>0,1</w:t>
            </w:r>
          </w:p>
        </w:tc>
        <w:tc>
          <w:tcPr>
            <w:tcW w:w="622" w:type="pct"/>
            <w:tcBorders>
              <w:top w:val="nil"/>
              <w:left w:val="single" w:sz="4" w:space="0" w:color="BFBFBF" w:themeColor="background1" w:themeShade="BF"/>
              <w:bottom w:val="nil"/>
            </w:tcBorders>
            <w:shd w:val="clear" w:color="auto" w:fill="auto"/>
            <w:vAlign w:val="bottom"/>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282.767</w:t>
            </w:r>
          </w:p>
        </w:tc>
        <w:tc>
          <w:tcPr>
            <w:tcW w:w="349" w:type="pct"/>
            <w:tcBorders>
              <w:top w:val="nil"/>
              <w:left w:val="nil"/>
              <w:bottom w:val="nil"/>
              <w:right w:val="single" w:sz="4" w:space="0" w:color="BFBFBF" w:themeColor="background1" w:themeShade="BF"/>
            </w:tcBorders>
            <w:shd w:val="clear" w:color="auto" w:fill="auto"/>
            <w:vAlign w:val="bottom"/>
            <w:hideMark/>
          </w:tcPr>
          <w:p w:rsidR="00195BE7" w:rsidRPr="001E2F6E" w:rsidRDefault="00195BE7" w:rsidP="00195BE7">
            <w:pPr>
              <w:spacing w:line="240" w:lineRule="exact"/>
              <w:ind w:right="170"/>
              <w:jc w:val="center"/>
              <w:rPr>
                <w:color w:val="000000"/>
                <w:sz w:val="16"/>
                <w:szCs w:val="16"/>
              </w:rPr>
            </w:pPr>
            <w:r w:rsidRPr="001E2F6E">
              <w:rPr>
                <w:color w:val="000000"/>
                <w:sz w:val="16"/>
                <w:szCs w:val="16"/>
              </w:rPr>
              <w:t>0,3</w:t>
            </w:r>
          </w:p>
        </w:tc>
        <w:tc>
          <w:tcPr>
            <w:tcW w:w="622" w:type="pct"/>
            <w:tcBorders>
              <w:top w:val="nil"/>
              <w:left w:val="single" w:sz="4" w:space="0" w:color="BFBFBF" w:themeColor="background1" w:themeShade="BF"/>
              <w:bottom w:val="nil"/>
            </w:tcBorders>
            <w:shd w:val="clear" w:color="auto" w:fill="auto"/>
            <w:vAlign w:val="bottom"/>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644.826</w:t>
            </w:r>
          </w:p>
        </w:tc>
        <w:tc>
          <w:tcPr>
            <w:tcW w:w="349" w:type="pct"/>
            <w:tcBorders>
              <w:top w:val="nil"/>
              <w:left w:val="nil"/>
              <w:bottom w:val="nil"/>
              <w:right w:val="nil"/>
            </w:tcBorders>
            <w:shd w:val="clear" w:color="auto" w:fill="auto"/>
            <w:vAlign w:val="bottom"/>
            <w:hideMark/>
          </w:tcPr>
          <w:p w:rsidR="00195BE7" w:rsidRPr="001E2F6E" w:rsidRDefault="00195BE7" w:rsidP="00195BE7">
            <w:pPr>
              <w:spacing w:line="240" w:lineRule="exact"/>
              <w:ind w:right="170"/>
              <w:jc w:val="center"/>
              <w:rPr>
                <w:color w:val="000000"/>
                <w:sz w:val="16"/>
                <w:szCs w:val="16"/>
              </w:rPr>
            </w:pPr>
            <w:r w:rsidRPr="001E2F6E">
              <w:rPr>
                <w:color w:val="000000"/>
                <w:sz w:val="16"/>
                <w:szCs w:val="16"/>
              </w:rPr>
              <w:t>2,0</w:t>
            </w:r>
          </w:p>
        </w:tc>
      </w:tr>
      <w:tr w:rsidR="00195BE7" w:rsidRPr="001E2F6E" w:rsidTr="00195BE7">
        <w:tc>
          <w:tcPr>
            <w:tcW w:w="818" w:type="pct"/>
            <w:tcBorders>
              <w:top w:val="nil"/>
              <w:left w:val="nil"/>
              <w:bottom w:val="nil"/>
              <w:right w:val="single" w:sz="4" w:space="0" w:color="BFBFBF" w:themeColor="background1" w:themeShade="BF"/>
            </w:tcBorders>
            <w:shd w:val="clear" w:color="auto" w:fill="auto"/>
            <w:vAlign w:val="bottom"/>
            <w:hideMark/>
          </w:tcPr>
          <w:p w:rsidR="00195BE7" w:rsidRPr="001E2F6E" w:rsidRDefault="00195BE7" w:rsidP="00195BE7">
            <w:pPr>
              <w:spacing w:line="240" w:lineRule="auto"/>
              <w:rPr>
                <w:sz w:val="16"/>
                <w:szCs w:val="16"/>
                <w:lang w:val="eu-ES"/>
              </w:rPr>
            </w:pPr>
            <w:r w:rsidRPr="001E2F6E">
              <w:rPr>
                <w:sz w:val="16"/>
                <w:szCs w:val="16"/>
                <w:lang w:val="eu-ES"/>
              </w:rPr>
              <w:t>6 – 15 bitarte</w:t>
            </w:r>
          </w:p>
        </w:tc>
        <w:tc>
          <w:tcPr>
            <w:tcW w:w="747" w:type="pct"/>
            <w:tcBorders>
              <w:top w:val="nil"/>
              <w:left w:val="single" w:sz="4" w:space="0" w:color="BFBFBF" w:themeColor="background1" w:themeShade="BF"/>
              <w:bottom w:val="nil"/>
            </w:tcBorders>
            <w:shd w:val="clear" w:color="auto" w:fill="auto"/>
            <w:vAlign w:val="bottom"/>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9.266.354</w:t>
            </w:r>
          </w:p>
        </w:tc>
        <w:tc>
          <w:tcPr>
            <w:tcW w:w="353" w:type="pct"/>
            <w:tcBorders>
              <w:top w:val="nil"/>
              <w:left w:val="nil"/>
              <w:bottom w:val="nil"/>
              <w:right w:val="single" w:sz="4" w:space="0" w:color="BFBFBF" w:themeColor="background1" w:themeShade="BF"/>
            </w:tcBorders>
            <w:shd w:val="clear" w:color="auto" w:fill="auto"/>
            <w:vAlign w:val="bottom"/>
            <w:hideMark/>
          </w:tcPr>
          <w:p w:rsidR="00195BE7" w:rsidRPr="001E2F6E" w:rsidRDefault="00195BE7" w:rsidP="00195BE7">
            <w:pPr>
              <w:spacing w:line="240" w:lineRule="exact"/>
              <w:ind w:right="170"/>
              <w:jc w:val="center"/>
              <w:rPr>
                <w:color w:val="000000"/>
                <w:sz w:val="16"/>
                <w:szCs w:val="16"/>
              </w:rPr>
            </w:pPr>
            <w:r w:rsidRPr="001E2F6E">
              <w:rPr>
                <w:color w:val="000000"/>
                <w:sz w:val="16"/>
                <w:szCs w:val="16"/>
              </w:rPr>
              <w:t>0,3</w:t>
            </w:r>
          </w:p>
        </w:tc>
        <w:tc>
          <w:tcPr>
            <w:tcW w:w="747" w:type="pct"/>
            <w:tcBorders>
              <w:top w:val="nil"/>
              <w:left w:val="single" w:sz="4" w:space="0" w:color="BFBFBF" w:themeColor="background1" w:themeShade="BF"/>
              <w:bottom w:val="nil"/>
            </w:tcBorders>
            <w:shd w:val="clear" w:color="auto" w:fill="auto"/>
            <w:vAlign w:val="bottom"/>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5.783.688</w:t>
            </w:r>
          </w:p>
        </w:tc>
        <w:tc>
          <w:tcPr>
            <w:tcW w:w="393" w:type="pct"/>
            <w:tcBorders>
              <w:top w:val="nil"/>
              <w:left w:val="nil"/>
              <w:bottom w:val="nil"/>
              <w:right w:val="single" w:sz="4" w:space="0" w:color="BFBFBF" w:themeColor="background1" w:themeShade="BF"/>
            </w:tcBorders>
            <w:shd w:val="clear" w:color="auto" w:fill="auto"/>
            <w:vAlign w:val="bottom"/>
            <w:hideMark/>
          </w:tcPr>
          <w:p w:rsidR="00195BE7" w:rsidRPr="001E2F6E" w:rsidRDefault="00195BE7" w:rsidP="00195BE7">
            <w:pPr>
              <w:spacing w:line="240" w:lineRule="exact"/>
              <w:ind w:right="170"/>
              <w:jc w:val="center"/>
              <w:rPr>
                <w:color w:val="000000"/>
                <w:sz w:val="16"/>
                <w:szCs w:val="16"/>
              </w:rPr>
            </w:pPr>
            <w:r w:rsidRPr="001E2F6E">
              <w:rPr>
                <w:color w:val="000000"/>
                <w:sz w:val="16"/>
                <w:szCs w:val="16"/>
              </w:rPr>
              <w:t>0,2</w:t>
            </w:r>
          </w:p>
        </w:tc>
        <w:tc>
          <w:tcPr>
            <w:tcW w:w="622" w:type="pct"/>
            <w:tcBorders>
              <w:top w:val="nil"/>
              <w:left w:val="single" w:sz="4" w:space="0" w:color="BFBFBF" w:themeColor="background1" w:themeShade="BF"/>
              <w:bottom w:val="nil"/>
            </w:tcBorders>
            <w:shd w:val="clear" w:color="auto" w:fill="auto"/>
            <w:vAlign w:val="bottom"/>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210.105</w:t>
            </w:r>
          </w:p>
        </w:tc>
        <w:tc>
          <w:tcPr>
            <w:tcW w:w="349" w:type="pct"/>
            <w:tcBorders>
              <w:top w:val="nil"/>
              <w:left w:val="nil"/>
              <w:bottom w:val="nil"/>
              <w:right w:val="single" w:sz="4" w:space="0" w:color="BFBFBF" w:themeColor="background1" w:themeShade="BF"/>
            </w:tcBorders>
            <w:shd w:val="clear" w:color="auto" w:fill="auto"/>
            <w:vAlign w:val="bottom"/>
            <w:hideMark/>
          </w:tcPr>
          <w:p w:rsidR="00195BE7" w:rsidRPr="001E2F6E" w:rsidRDefault="00195BE7" w:rsidP="00195BE7">
            <w:pPr>
              <w:spacing w:line="240" w:lineRule="exact"/>
              <w:ind w:right="170"/>
              <w:jc w:val="center"/>
              <w:rPr>
                <w:color w:val="000000"/>
                <w:sz w:val="16"/>
                <w:szCs w:val="16"/>
              </w:rPr>
            </w:pPr>
            <w:r w:rsidRPr="001E2F6E">
              <w:rPr>
                <w:color w:val="000000"/>
                <w:sz w:val="16"/>
                <w:szCs w:val="16"/>
              </w:rPr>
              <w:t>0,3</w:t>
            </w:r>
          </w:p>
        </w:tc>
        <w:tc>
          <w:tcPr>
            <w:tcW w:w="622" w:type="pct"/>
            <w:tcBorders>
              <w:top w:val="nil"/>
              <w:left w:val="single" w:sz="4" w:space="0" w:color="BFBFBF" w:themeColor="background1" w:themeShade="BF"/>
              <w:bottom w:val="nil"/>
            </w:tcBorders>
            <w:shd w:val="clear" w:color="auto" w:fill="auto"/>
            <w:vAlign w:val="bottom"/>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3.272.561</w:t>
            </w:r>
          </w:p>
        </w:tc>
        <w:tc>
          <w:tcPr>
            <w:tcW w:w="349" w:type="pct"/>
            <w:tcBorders>
              <w:top w:val="nil"/>
              <w:left w:val="nil"/>
              <w:bottom w:val="nil"/>
              <w:right w:val="nil"/>
            </w:tcBorders>
            <w:shd w:val="clear" w:color="auto" w:fill="auto"/>
            <w:vAlign w:val="bottom"/>
            <w:hideMark/>
          </w:tcPr>
          <w:p w:rsidR="00195BE7" w:rsidRPr="001E2F6E" w:rsidRDefault="00195BE7" w:rsidP="00195BE7">
            <w:pPr>
              <w:spacing w:line="240" w:lineRule="exact"/>
              <w:ind w:right="170"/>
              <w:jc w:val="center"/>
              <w:rPr>
                <w:color w:val="000000"/>
                <w:sz w:val="16"/>
                <w:szCs w:val="16"/>
              </w:rPr>
            </w:pPr>
            <w:r w:rsidRPr="001E2F6E">
              <w:rPr>
                <w:color w:val="000000"/>
                <w:sz w:val="16"/>
                <w:szCs w:val="16"/>
              </w:rPr>
              <w:t>10,3</w:t>
            </w:r>
          </w:p>
        </w:tc>
      </w:tr>
      <w:tr w:rsidR="00195BE7" w:rsidRPr="001E2F6E" w:rsidTr="00195BE7">
        <w:tc>
          <w:tcPr>
            <w:tcW w:w="818" w:type="pct"/>
            <w:tcBorders>
              <w:top w:val="nil"/>
              <w:left w:val="nil"/>
              <w:bottom w:val="nil"/>
              <w:right w:val="single" w:sz="4" w:space="0" w:color="BFBFBF" w:themeColor="background1" w:themeShade="BF"/>
            </w:tcBorders>
            <w:shd w:val="clear" w:color="auto" w:fill="auto"/>
            <w:vAlign w:val="bottom"/>
            <w:hideMark/>
          </w:tcPr>
          <w:p w:rsidR="00195BE7" w:rsidRPr="001E2F6E" w:rsidRDefault="00195BE7" w:rsidP="00195BE7">
            <w:pPr>
              <w:spacing w:line="240" w:lineRule="auto"/>
              <w:rPr>
                <w:sz w:val="16"/>
                <w:szCs w:val="16"/>
                <w:lang w:val="eu-ES"/>
              </w:rPr>
            </w:pPr>
            <w:r w:rsidRPr="001E2F6E">
              <w:rPr>
                <w:sz w:val="16"/>
                <w:szCs w:val="16"/>
                <w:lang w:val="eu-ES"/>
              </w:rPr>
              <w:t>16 – 50 bitarte</w:t>
            </w:r>
          </w:p>
        </w:tc>
        <w:tc>
          <w:tcPr>
            <w:tcW w:w="747" w:type="pct"/>
            <w:tcBorders>
              <w:top w:val="nil"/>
              <w:left w:val="single" w:sz="4" w:space="0" w:color="BFBFBF" w:themeColor="background1" w:themeShade="BF"/>
              <w:bottom w:val="nil"/>
            </w:tcBorders>
            <w:shd w:val="clear" w:color="auto" w:fill="auto"/>
            <w:vAlign w:val="bottom"/>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95.901.905</w:t>
            </w:r>
          </w:p>
        </w:tc>
        <w:tc>
          <w:tcPr>
            <w:tcW w:w="353" w:type="pct"/>
            <w:tcBorders>
              <w:top w:val="nil"/>
              <w:left w:val="nil"/>
              <w:bottom w:val="nil"/>
              <w:right w:val="single" w:sz="4" w:space="0" w:color="BFBFBF" w:themeColor="background1" w:themeShade="BF"/>
            </w:tcBorders>
            <w:shd w:val="clear" w:color="auto" w:fill="auto"/>
            <w:vAlign w:val="bottom"/>
            <w:hideMark/>
          </w:tcPr>
          <w:p w:rsidR="00195BE7" w:rsidRPr="001E2F6E" w:rsidRDefault="00195BE7" w:rsidP="00195BE7">
            <w:pPr>
              <w:spacing w:line="240" w:lineRule="exact"/>
              <w:ind w:right="170"/>
              <w:jc w:val="center"/>
              <w:rPr>
                <w:color w:val="000000"/>
                <w:sz w:val="16"/>
                <w:szCs w:val="16"/>
              </w:rPr>
            </w:pPr>
            <w:r w:rsidRPr="001E2F6E">
              <w:rPr>
                <w:color w:val="000000"/>
                <w:sz w:val="16"/>
                <w:szCs w:val="16"/>
              </w:rPr>
              <w:t>3,6</w:t>
            </w:r>
          </w:p>
        </w:tc>
        <w:tc>
          <w:tcPr>
            <w:tcW w:w="747" w:type="pct"/>
            <w:tcBorders>
              <w:top w:val="nil"/>
              <w:left w:val="single" w:sz="4" w:space="0" w:color="BFBFBF" w:themeColor="background1" w:themeShade="BF"/>
              <w:bottom w:val="nil"/>
            </w:tcBorders>
            <w:shd w:val="clear" w:color="auto" w:fill="auto"/>
            <w:vAlign w:val="bottom"/>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61.894.683</w:t>
            </w:r>
          </w:p>
        </w:tc>
        <w:tc>
          <w:tcPr>
            <w:tcW w:w="393" w:type="pct"/>
            <w:tcBorders>
              <w:top w:val="nil"/>
              <w:left w:val="nil"/>
              <w:bottom w:val="nil"/>
              <w:right w:val="single" w:sz="4" w:space="0" w:color="BFBFBF" w:themeColor="background1" w:themeShade="BF"/>
            </w:tcBorders>
            <w:shd w:val="clear" w:color="auto" w:fill="auto"/>
            <w:vAlign w:val="bottom"/>
            <w:hideMark/>
          </w:tcPr>
          <w:p w:rsidR="00195BE7" w:rsidRPr="001E2F6E" w:rsidRDefault="00195BE7" w:rsidP="00195BE7">
            <w:pPr>
              <w:spacing w:line="240" w:lineRule="exact"/>
              <w:ind w:right="170"/>
              <w:jc w:val="center"/>
              <w:rPr>
                <w:color w:val="000000"/>
                <w:sz w:val="16"/>
                <w:szCs w:val="16"/>
              </w:rPr>
            </w:pPr>
            <w:r w:rsidRPr="001E2F6E">
              <w:rPr>
                <w:color w:val="000000"/>
                <w:sz w:val="16"/>
                <w:szCs w:val="16"/>
              </w:rPr>
              <w:t>2,4</w:t>
            </w:r>
          </w:p>
        </w:tc>
        <w:tc>
          <w:tcPr>
            <w:tcW w:w="622" w:type="pct"/>
            <w:tcBorders>
              <w:top w:val="nil"/>
              <w:left w:val="single" w:sz="4" w:space="0" w:color="BFBFBF" w:themeColor="background1" w:themeShade="BF"/>
              <w:bottom w:val="nil"/>
            </w:tcBorders>
            <w:shd w:val="clear" w:color="auto" w:fill="auto"/>
            <w:vAlign w:val="bottom"/>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17.635.199</w:t>
            </w:r>
          </w:p>
        </w:tc>
        <w:tc>
          <w:tcPr>
            <w:tcW w:w="349" w:type="pct"/>
            <w:tcBorders>
              <w:top w:val="nil"/>
              <w:left w:val="nil"/>
              <w:bottom w:val="nil"/>
              <w:right w:val="single" w:sz="4" w:space="0" w:color="BFBFBF" w:themeColor="background1" w:themeShade="BF"/>
            </w:tcBorders>
            <w:shd w:val="clear" w:color="auto" w:fill="auto"/>
            <w:vAlign w:val="bottom"/>
            <w:hideMark/>
          </w:tcPr>
          <w:p w:rsidR="00195BE7" w:rsidRPr="001E2F6E" w:rsidRDefault="00195BE7" w:rsidP="00195BE7">
            <w:pPr>
              <w:spacing w:line="240" w:lineRule="exact"/>
              <w:ind w:right="170"/>
              <w:jc w:val="center"/>
              <w:rPr>
                <w:color w:val="000000"/>
                <w:sz w:val="16"/>
                <w:szCs w:val="16"/>
              </w:rPr>
            </w:pPr>
            <w:r w:rsidRPr="001E2F6E">
              <w:rPr>
                <w:color w:val="000000"/>
                <w:sz w:val="16"/>
                <w:szCs w:val="16"/>
              </w:rPr>
              <w:t>21,2</w:t>
            </w:r>
          </w:p>
        </w:tc>
        <w:tc>
          <w:tcPr>
            <w:tcW w:w="622" w:type="pct"/>
            <w:tcBorders>
              <w:top w:val="nil"/>
              <w:left w:val="single" w:sz="4" w:space="0" w:color="BFBFBF" w:themeColor="background1" w:themeShade="BF"/>
              <w:bottom w:val="nil"/>
            </w:tcBorders>
            <w:shd w:val="clear" w:color="auto" w:fill="auto"/>
            <w:vAlign w:val="bottom"/>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16.372.023</w:t>
            </w:r>
          </w:p>
        </w:tc>
        <w:tc>
          <w:tcPr>
            <w:tcW w:w="349" w:type="pct"/>
            <w:tcBorders>
              <w:top w:val="nil"/>
              <w:left w:val="nil"/>
              <w:bottom w:val="nil"/>
              <w:right w:val="nil"/>
            </w:tcBorders>
            <w:shd w:val="clear" w:color="auto" w:fill="auto"/>
            <w:vAlign w:val="bottom"/>
            <w:hideMark/>
          </w:tcPr>
          <w:p w:rsidR="00195BE7" w:rsidRPr="001E2F6E" w:rsidRDefault="00195BE7" w:rsidP="00195BE7">
            <w:pPr>
              <w:spacing w:line="240" w:lineRule="exact"/>
              <w:ind w:right="170"/>
              <w:jc w:val="center"/>
              <w:rPr>
                <w:color w:val="000000"/>
                <w:sz w:val="16"/>
                <w:szCs w:val="16"/>
              </w:rPr>
            </w:pPr>
            <w:r w:rsidRPr="001E2F6E">
              <w:rPr>
                <w:color w:val="000000"/>
                <w:sz w:val="16"/>
                <w:szCs w:val="16"/>
              </w:rPr>
              <w:t>51,7</w:t>
            </w:r>
          </w:p>
        </w:tc>
      </w:tr>
      <w:tr w:rsidR="00195BE7" w:rsidRPr="001E2F6E" w:rsidTr="00195BE7">
        <w:tc>
          <w:tcPr>
            <w:tcW w:w="818" w:type="pct"/>
            <w:tcBorders>
              <w:top w:val="nil"/>
              <w:left w:val="nil"/>
              <w:bottom w:val="nil"/>
              <w:right w:val="single" w:sz="4" w:space="0" w:color="BFBFBF" w:themeColor="background1" w:themeShade="BF"/>
            </w:tcBorders>
            <w:shd w:val="clear" w:color="auto" w:fill="auto"/>
            <w:vAlign w:val="bottom"/>
            <w:hideMark/>
          </w:tcPr>
          <w:p w:rsidR="00195BE7" w:rsidRPr="001E2F6E" w:rsidRDefault="00195BE7" w:rsidP="00195BE7">
            <w:pPr>
              <w:spacing w:line="240" w:lineRule="auto"/>
              <w:rPr>
                <w:sz w:val="16"/>
                <w:szCs w:val="16"/>
                <w:lang w:val="eu-ES"/>
              </w:rPr>
            </w:pPr>
            <w:r w:rsidRPr="001E2F6E">
              <w:rPr>
                <w:sz w:val="16"/>
                <w:szCs w:val="16"/>
                <w:lang w:val="eu-ES"/>
              </w:rPr>
              <w:t>51 – 100 bitarte</w:t>
            </w:r>
          </w:p>
        </w:tc>
        <w:tc>
          <w:tcPr>
            <w:tcW w:w="747" w:type="pct"/>
            <w:tcBorders>
              <w:top w:val="nil"/>
              <w:left w:val="single" w:sz="4" w:space="0" w:color="BFBFBF" w:themeColor="background1" w:themeShade="BF"/>
              <w:bottom w:val="nil"/>
            </w:tcBorders>
            <w:shd w:val="clear" w:color="auto" w:fill="auto"/>
            <w:vAlign w:val="bottom"/>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324.085.279</w:t>
            </w:r>
          </w:p>
        </w:tc>
        <w:tc>
          <w:tcPr>
            <w:tcW w:w="353" w:type="pct"/>
            <w:tcBorders>
              <w:top w:val="nil"/>
              <w:left w:val="nil"/>
              <w:bottom w:val="nil"/>
              <w:right w:val="single" w:sz="4" w:space="0" w:color="BFBFBF" w:themeColor="background1" w:themeShade="BF"/>
            </w:tcBorders>
            <w:shd w:val="clear" w:color="auto" w:fill="auto"/>
            <w:vAlign w:val="bottom"/>
            <w:hideMark/>
          </w:tcPr>
          <w:p w:rsidR="00195BE7" w:rsidRPr="001E2F6E" w:rsidRDefault="00195BE7" w:rsidP="00195BE7">
            <w:pPr>
              <w:spacing w:line="240" w:lineRule="exact"/>
              <w:ind w:right="170"/>
              <w:jc w:val="center"/>
              <w:rPr>
                <w:color w:val="000000"/>
                <w:sz w:val="16"/>
                <w:szCs w:val="16"/>
              </w:rPr>
            </w:pPr>
            <w:r w:rsidRPr="001E2F6E">
              <w:rPr>
                <w:color w:val="000000"/>
                <w:sz w:val="16"/>
                <w:szCs w:val="16"/>
              </w:rPr>
              <w:t>12,1</w:t>
            </w:r>
          </w:p>
        </w:tc>
        <w:tc>
          <w:tcPr>
            <w:tcW w:w="747" w:type="pct"/>
            <w:tcBorders>
              <w:top w:val="nil"/>
              <w:left w:val="single" w:sz="4" w:space="0" w:color="BFBFBF" w:themeColor="background1" w:themeShade="BF"/>
              <w:bottom w:val="nil"/>
            </w:tcBorders>
            <w:shd w:val="clear" w:color="auto" w:fill="auto"/>
            <w:vAlign w:val="bottom"/>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309.967.145</w:t>
            </w:r>
          </w:p>
        </w:tc>
        <w:tc>
          <w:tcPr>
            <w:tcW w:w="393" w:type="pct"/>
            <w:tcBorders>
              <w:top w:val="nil"/>
              <w:left w:val="nil"/>
              <w:bottom w:val="nil"/>
              <w:right w:val="single" w:sz="4" w:space="0" w:color="BFBFBF" w:themeColor="background1" w:themeShade="BF"/>
            </w:tcBorders>
            <w:shd w:val="clear" w:color="auto" w:fill="auto"/>
            <w:vAlign w:val="bottom"/>
            <w:hideMark/>
          </w:tcPr>
          <w:p w:rsidR="00195BE7" w:rsidRPr="001E2F6E" w:rsidRDefault="00195BE7" w:rsidP="00195BE7">
            <w:pPr>
              <w:spacing w:line="240" w:lineRule="exact"/>
              <w:ind w:right="170"/>
              <w:jc w:val="center"/>
              <w:rPr>
                <w:color w:val="000000"/>
                <w:sz w:val="16"/>
                <w:szCs w:val="16"/>
              </w:rPr>
            </w:pPr>
            <w:r w:rsidRPr="001E2F6E">
              <w:rPr>
                <w:color w:val="000000"/>
                <w:sz w:val="16"/>
                <w:szCs w:val="16"/>
              </w:rPr>
              <w:t>12,1</w:t>
            </w:r>
          </w:p>
        </w:tc>
        <w:tc>
          <w:tcPr>
            <w:tcW w:w="622" w:type="pct"/>
            <w:tcBorders>
              <w:top w:val="nil"/>
              <w:left w:val="single" w:sz="4" w:space="0" w:color="BFBFBF" w:themeColor="background1" w:themeShade="BF"/>
              <w:bottom w:val="nil"/>
            </w:tcBorders>
            <w:shd w:val="clear" w:color="auto" w:fill="auto"/>
            <w:vAlign w:val="bottom"/>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14.118.134</w:t>
            </w:r>
          </w:p>
        </w:tc>
        <w:tc>
          <w:tcPr>
            <w:tcW w:w="349" w:type="pct"/>
            <w:tcBorders>
              <w:top w:val="nil"/>
              <w:left w:val="nil"/>
              <w:bottom w:val="nil"/>
              <w:right w:val="single" w:sz="4" w:space="0" w:color="BFBFBF" w:themeColor="background1" w:themeShade="BF"/>
            </w:tcBorders>
            <w:shd w:val="clear" w:color="auto" w:fill="auto"/>
            <w:vAlign w:val="bottom"/>
            <w:hideMark/>
          </w:tcPr>
          <w:p w:rsidR="00195BE7" w:rsidRPr="001E2F6E" w:rsidRDefault="00195BE7" w:rsidP="00195BE7">
            <w:pPr>
              <w:spacing w:line="240" w:lineRule="exact"/>
              <w:ind w:right="170"/>
              <w:jc w:val="center"/>
              <w:rPr>
                <w:color w:val="000000"/>
                <w:sz w:val="16"/>
                <w:szCs w:val="16"/>
              </w:rPr>
            </w:pPr>
            <w:r w:rsidRPr="001E2F6E">
              <w:rPr>
                <w:color w:val="000000"/>
                <w:sz w:val="16"/>
                <w:szCs w:val="16"/>
              </w:rPr>
              <w:t>17,0</w:t>
            </w:r>
          </w:p>
        </w:tc>
        <w:tc>
          <w:tcPr>
            <w:tcW w:w="622" w:type="pct"/>
            <w:tcBorders>
              <w:top w:val="nil"/>
              <w:left w:val="single" w:sz="4" w:space="0" w:color="BFBFBF" w:themeColor="background1" w:themeShade="BF"/>
              <w:bottom w:val="nil"/>
            </w:tcBorders>
            <w:shd w:val="clear" w:color="auto" w:fill="auto"/>
            <w:vAlign w:val="bottom"/>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0</w:t>
            </w:r>
          </w:p>
        </w:tc>
        <w:tc>
          <w:tcPr>
            <w:tcW w:w="349" w:type="pct"/>
            <w:tcBorders>
              <w:top w:val="nil"/>
              <w:left w:val="nil"/>
              <w:bottom w:val="nil"/>
              <w:right w:val="nil"/>
            </w:tcBorders>
            <w:shd w:val="clear" w:color="auto" w:fill="auto"/>
            <w:vAlign w:val="bottom"/>
            <w:hideMark/>
          </w:tcPr>
          <w:p w:rsidR="00195BE7" w:rsidRPr="001E2F6E" w:rsidRDefault="00195BE7" w:rsidP="00195BE7">
            <w:pPr>
              <w:spacing w:line="240" w:lineRule="exact"/>
              <w:ind w:right="170"/>
              <w:jc w:val="center"/>
              <w:rPr>
                <w:color w:val="000000"/>
                <w:sz w:val="16"/>
                <w:szCs w:val="16"/>
              </w:rPr>
            </w:pPr>
            <w:r w:rsidRPr="001E2F6E">
              <w:rPr>
                <w:color w:val="000000"/>
                <w:sz w:val="16"/>
                <w:szCs w:val="16"/>
              </w:rPr>
              <w:t>0,0</w:t>
            </w:r>
          </w:p>
        </w:tc>
      </w:tr>
      <w:tr w:rsidR="00195BE7" w:rsidRPr="001E2F6E" w:rsidTr="00195BE7">
        <w:tc>
          <w:tcPr>
            <w:tcW w:w="818" w:type="pct"/>
            <w:tcBorders>
              <w:top w:val="nil"/>
              <w:left w:val="nil"/>
              <w:bottom w:val="nil"/>
              <w:right w:val="single" w:sz="4" w:space="0" w:color="BFBFBF" w:themeColor="background1" w:themeShade="BF"/>
            </w:tcBorders>
            <w:shd w:val="clear" w:color="auto" w:fill="auto"/>
            <w:vAlign w:val="bottom"/>
            <w:hideMark/>
          </w:tcPr>
          <w:p w:rsidR="00195BE7" w:rsidRPr="001E2F6E" w:rsidRDefault="00195BE7" w:rsidP="00195BE7">
            <w:pPr>
              <w:spacing w:line="240" w:lineRule="auto"/>
              <w:rPr>
                <w:sz w:val="16"/>
                <w:szCs w:val="16"/>
                <w:lang w:val="eu-ES"/>
              </w:rPr>
            </w:pPr>
            <w:r w:rsidRPr="001E2F6E">
              <w:rPr>
                <w:sz w:val="16"/>
                <w:szCs w:val="16"/>
                <w:lang w:val="eu-ES"/>
              </w:rPr>
              <w:t>101 – 200 bitarte</w:t>
            </w:r>
          </w:p>
        </w:tc>
        <w:tc>
          <w:tcPr>
            <w:tcW w:w="747" w:type="pct"/>
            <w:tcBorders>
              <w:top w:val="nil"/>
              <w:left w:val="single" w:sz="4" w:space="0" w:color="BFBFBF" w:themeColor="background1" w:themeShade="BF"/>
              <w:bottom w:val="nil"/>
            </w:tcBorders>
            <w:shd w:val="clear" w:color="auto" w:fill="auto"/>
            <w:vAlign w:val="bottom"/>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234.267.183</w:t>
            </w:r>
          </w:p>
        </w:tc>
        <w:tc>
          <w:tcPr>
            <w:tcW w:w="353" w:type="pct"/>
            <w:tcBorders>
              <w:top w:val="nil"/>
              <w:left w:val="nil"/>
              <w:bottom w:val="nil"/>
              <w:right w:val="single" w:sz="4" w:space="0" w:color="BFBFBF" w:themeColor="background1" w:themeShade="BF"/>
            </w:tcBorders>
            <w:shd w:val="clear" w:color="auto" w:fill="auto"/>
            <w:vAlign w:val="bottom"/>
            <w:hideMark/>
          </w:tcPr>
          <w:p w:rsidR="00195BE7" w:rsidRPr="001E2F6E" w:rsidRDefault="00195BE7" w:rsidP="00195BE7">
            <w:pPr>
              <w:spacing w:line="240" w:lineRule="exact"/>
              <w:ind w:right="170"/>
              <w:jc w:val="center"/>
              <w:rPr>
                <w:color w:val="000000"/>
                <w:sz w:val="16"/>
                <w:szCs w:val="16"/>
              </w:rPr>
            </w:pPr>
            <w:r w:rsidRPr="001E2F6E">
              <w:rPr>
                <w:color w:val="000000"/>
                <w:sz w:val="16"/>
                <w:szCs w:val="16"/>
              </w:rPr>
              <w:t>8,8</w:t>
            </w:r>
          </w:p>
        </w:tc>
        <w:tc>
          <w:tcPr>
            <w:tcW w:w="747" w:type="pct"/>
            <w:tcBorders>
              <w:top w:val="nil"/>
              <w:left w:val="single" w:sz="4" w:space="0" w:color="BFBFBF" w:themeColor="background1" w:themeShade="BF"/>
              <w:bottom w:val="nil"/>
            </w:tcBorders>
            <w:shd w:val="clear" w:color="auto" w:fill="auto"/>
            <w:vAlign w:val="bottom"/>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209.655.044</w:t>
            </w:r>
          </w:p>
        </w:tc>
        <w:tc>
          <w:tcPr>
            <w:tcW w:w="393" w:type="pct"/>
            <w:tcBorders>
              <w:top w:val="nil"/>
              <w:left w:val="nil"/>
              <w:bottom w:val="nil"/>
              <w:right w:val="single" w:sz="4" w:space="0" w:color="BFBFBF" w:themeColor="background1" w:themeShade="BF"/>
            </w:tcBorders>
            <w:shd w:val="clear" w:color="auto" w:fill="auto"/>
            <w:vAlign w:val="bottom"/>
            <w:hideMark/>
          </w:tcPr>
          <w:p w:rsidR="00195BE7" w:rsidRPr="001E2F6E" w:rsidRDefault="00195BE7" w:rsidP="00195BE7">
            <w:pPr>
              <w:spacing w:line="240" w:lineRule="exact"/>
              <w:ind w:right="170"/>
              <w:jc w:val="center"/>
              <w:rPr>
                <w:color w:val="000000"/>
                <w:sz w:val="16"/>
                <w:szCs w:val="16"/>
              </w:rPr>
            </w:pPr>
            <w:r w:rsidRPr="001E2F6E">
              <w:rPr>
                <w:color w:val="000000"/>
                <w:sz w:val="16"/>
                <w:szCs w:val="16"/>
              </w:rPr>
              <w:t>8,2</w:t>
            </w:r>
          </w:p>
        </w:tc>
        <w:tc>
          <w:tcPr>
            <w:tcW w:w="622" w:type="pct"/>
            <w:tcBorders>
              <w:top w:val="nil"/>
              <w:left w:val="single" w:sz="4" w:space="0" w:color="BFBFBF" w:themeColor="background1" w:themeShade="BF"/>
              <w:bottom w:val="nil"/>
            </w:tcBorders>
            <w:shd w:val="clear" w:color="auto" w:fill="auto"/>
            <w:vAlign w:val="bottom"/>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13.253.982</w:t>
            </w:r>
          </w:p>
        </w:tc>
        <w:tc>
          <w:tcPr>
            <w:tcW w:w="349" w:type="pct"/>
            <w:tcBorders>
              <w:top w:val="nil"/>
              <w:left w:val="nil"/>
              <w:bottom w:val="nil"/>
              <w:right w:val="single" w:sz="4" w:space="0" w:color="BFBFBF" w:themeColor="background1" w:themeShade="BF"/>
            </w:tcBorders>
            <w:shd w:val="clear" w:color="auto" w:fill="auto"/>
            <w:vAlign w:val="bottom"/>
            <w:hideMark/>
          </w:tcPr>
          <w:p w:rsidR="00195BE7" w:rsidRPr="001E2F6E" w:rsidRDefault="00195BE7" w:rsidP="00195BE7">
            <w:pPr>
              <w:spacing w:line="240" w:lineRule="exact"/>
              <w:ind w:right="170"/>
              <w:jc w:val="center"/>
              <w:rPr>
                <w:color w:val="000000"/>
                <w:sz w:val="16"/>
                <w:szCs w:val="16"/>
              </w:rPr>
            </w:pPr>
            <w:r w:rsidRPr="001E2F6E">
              <w:rPr>
                <w:color w:val="000000"/>
                <w:sz w:val="16"/>
                <w:szCs w:val="16"/>
              </w:rPr>
              <w:t>15,9</w:t>
            </w:r>
          </w:p>
        </w:tc>
        <w:tc>
          <w:tcPr>
            <w:tcW w:w="622" w:type="pct"/>
            <w:tcBorders>
              <w:top w:val="nil"/>
              <w:left w:val="single" w:sz="4" w:space="0" w:color="BFBFBF" w:themeColor="background1" w:themeShade="BF"/>
              <w:bottom w:val="nil"/>
            </w:tcBorders>
            <w:shd w:val="clear" w:color="auto" w:fill="auto"/>
            <w:vAlign w:val="bottom"/>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11.358.157</w:t>
            </w:r>
          </w:p>
        </w:tc>
        <w:tc>
          <w:tcPr>
            <w:tcW w:w="349" w:type="pct"/>
            <w:tcBorders>
              <w:top w:val="nil"/>
              <w:left w:val="nil"/>
              <w:bottom w:val="nil"/>
              <w:right w:val="nil"/>
            </w:tcBorders>
            <w:shd w:val="clear" w:color="auto" w:fill="auto"/>
            <w:vAlign w:val="bottom"/>
            <w:hideMark/>
          </w:tcPr>
          <w:p w:rsidR="00195BE7" w:rsidRPr="001E2F6E" w:rsidRDefault="00195BE7" w:rsidP="00195BE7">
            <w:pPr>
              <w:spacing w:line="240" w:lineRule="exact"/>
              <w:ind w:right="170"/>
              <w:jc w:val="center"/>
              <w:rPr>
                <w:color w:val="000000"/>
                <w:sz w:val="16"/>
                <w:szCs w:val="16"/>
              </w:rPr>
            </w:pPr>
            <w:r w:rsidRPr="001E2F6E">
              <w:rPr>
                <w:color w:val="000000"/>
                <w:sz w:val="16"/>
                <w:szCs w:val="16"/>
              </w:rPr>
              <w:t>35,9</w:t>
            </w:r>
          </w:p>
        </w:tc>
      </w:tr>
      <w:tr w:rsidR="00195BE7" w:rsidRPr="001E2F6E" w:rsidTr="00195BE7">
        <w:tc>
          <w:tcPr>
            <w:tcW w:w="818" w:type="pct"/>
            <w:tcBorders>
              <w:top w:val="nil"/>
              <w:left w:val="nil"/>
              <w:bottom w:val="nil"/>
              <w:right w:val="single" w:sz="4" w:space="0" w:color="BFBFBF" w:themeColor="background1" w:themeShade="BF"/>
            </w:tcBorders>
            <w:shd w:val="clear" w:color="auto" w:fill="auto"/>
            <w:vAlign w:val="bottom"/>
            <w:hideMark/>
          </w:tcPr>
          <w:p w:rsidR="00195BE7" w:rsidRPr="001E2F6E" w:rsidRDefault="00195BE7" w:rsidP="00195BE7">
            <w:pPr>
              <w:spacing w:line="240" w:lineRule="auto"/>
              <w:rPr>
                <w:sz w:val="16"/>
                <w:szCs w:val="16"/>
                <w:lang w:val="eu-ES"/>
              </w:rPr>
            </w:pPr>
            <w:r w:rsidRPr="001E2F6E">
              <w:rPr>
                <w:sz w:val="16"/>
                <w:szCs w:val="16"/>
                <w:lang w:val="eu-ES"/>
              </w:rPr>
              <w:t>201 – 500 bitarte</w:t>
            </w:r>
          </w:p>
        </w:tc>
        <w:tc>
          <w:tcPr>
            <w:tcW w:w="747" w:type="pct"/>
            <w:tcBorders>
              <w:top w:val="nil"/>
              <w:left w:val="single" w:sz="4" w:space="0" w:color="BFBFBF" w:themeColor="background1" w:themeShade="BF"/>
              <w:bottom w:val="nil"/>
            </w:tcBorders>
            <w:shd w:val="clear" w:color="auto" w:fill="auto"/>
            <w:vAlign w:val="bottom"/>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770.001.776</w:t>
            </w:r>
          </w:p>
        </w:tc>
        <w:tc>
          <w:tcPr>
            <w:tcW w:w="353" w:type="pct"/>
            <w:tcBorders>
              <w:top w:val="nil"/>
              <w:left w:val="nil"/>
              <w:bottom w:val="nil"/>
              <w:right w:val="single" w:sz="4" w:space="0" w:color="BFBFBF" w:themeColor="background1" w:themeShade="BF"/>
            </w:tcBorders>
            <w:shd w:val="clear" w:color="auto" w:fill="auto"/>
            <w:vAlign w:val="bottom"/>
            <w:hideMark/>
          </w:tcPr>
          <w:p w:rsidR="00195BE7" w:rsidRPr="001E2F6E" w:rsidRDefault="00195BE7" w:rsidP="00195BE7">
            <w:pPr>
              <w:spacing w:line="240" w:lineRule="exact"/>
              <w:ind w:right="170"/>
              <w:jc w:val="center"/>
              <w:rPr>
                <w:color w:val="000000"/>
                <w:sz w:val="16"/>
                <w:szCs w:val="16"/>
              </w:rPr>
            </w:pPr>
            <w:r w:rsidRPr="001E2F6E">
              <w:rPr>
                <w:color w:val="000000"/>
                <w:sz w:val="16"/>
                <w:szCs w:val="16"/>
              </w:rPr>
              <w:t>28,8</w:t>
            </w:r>
          </w:p>
        </w:tc>
        <w:tc>
          <w:tcPr>
            <w:tcW w:w="747" w:type="pct"/>
            <w:tcBorders>
              <w:top w:val="nil"/>
              <w:left w:val="single" w:sz="4" w:space="0" w:color="BFBFBF" w:themeColor="background1" w:themeShade="BF"/>
              <w:bottom w:val="nil"/>
            </w:tcBorders>
            <w:shd w:val="clear" w:color="auto" w:fill="auto"/>
            <w:vAlign w:val="bottom"/>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732.268.099</w:t>
            </w:r>
          </w:p>
        </w:tc>
        <w:tc>
          <w:tcPr>
            <w:tcW w:w="393" w:type="pct"/>
            <w:tcBorders>
              <w:top w:val="nil"/>
              <w:left w:val="nil"/>
              <w:bottom w:val="nil"/>
              <w:right w:val="single" w:sz="4" w:space="0" w:color="BFBFBF" w:themeColor="background1" w:themeShade="BF"/>
            </w:tcBorders>
            <w:shd w:val="clear" w:color="auto" w:fill="auto"/>
            <w:vAlign w:val="bottom"/>
            <w:hideMark/>
          </w:tcPr>
          <w:p w:rsidR="00195BE7" w:rsidRPr="001E2F6E" w:rsidRDefault="00195BE7" w:rsidP="00195BE7">
            <w:pPr>
              <w:spacing w:line="240" w:lineRule="exact"/>
              <w:ind w:right="170"/>
              <w:jc w:val="center"/>
              <w:rPr>
                <w:color w:val="000000"/>
                <w:sz w:val="16"/>
                <w:szCs w:val="16"/>
              </w:rPr>
            </w:pPr>
            <w:r w:rsidRPr="001E2F6E">
              <w:rPr>
                <w:color w:val="000000"/>
                <w:sz w:val="16"/>
                <w:szCs w:val="16"/>
              </w:rPr>
              <w:t>28,6</w:t>
            </w:r>
          </w:p>
        </w:tc>
        <w:tc>
          <w:tcPr>
            <w:tcW w:w="622" w:type="pct"/>
            <w:tcBorders>
              <w:top w:val="nil"/>
              <w:left w:val="single" w:sz="4" w:space="0" w:color="BFBFBF" w:themeColor="background1" w:themeShade="BF"/>
              <w:bottom w:val="nil"/>
            </w:tcBorders>
            <w:shd w:val="clear" w:color="auto" w:fill="auto"/>
            <w:vAlign w:val="bottom"/>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37.733.677</w:t>
            </w:r>
          </w:p>
        </w:tc>
        <w:tc>
          <w:tcPr>
            <w:tcW w:w="349" w:type="pct"/>
            <w:tcBorders>
              <w:top w:val="nil"/>
              <w:left w:val="nil"/>
              <w:bottom w:val="nil"/>
              <w:right w:val="single" w:sz="4" w:space="0" w:color="BFBFBF" w:themeColor="background1" w:themeShade="BF"/>
            </w:tcBorders>
            <w:shd w:val="clear" w:color="auto" w:fill="auto"/>
            <w:vAlign w:val="bottom"/>
            <w:hideMark/>
          </w:tcPr>
          <w:p w:rsidR="00195BE7" w:rsidRPr="001E2F6E" w:rsidRDefault="00195BE7" w:rsidP="00195BE7">
            <w:pPr>
              <w:spacing w:line="240" w:lineRule="exact"/>
              <w:ind w:right="170"/>
              <w:jc w:val="center"/>
              <w:rPr>
                <w:color w:val="000000"/>
                <w:sz w:val="16"/>
                <w:szCs w:val="16"/>
              </w:rPr>
            </w:pPr>
            <w:r w:rsidRPr="001E2F6E">
              <w:rPr>
                <w:color w:val="000000"/>
                <w:sz w:val="16"/>
                <w:szCs w:val="16"/>
              </w:rPr>
              <w:t>45,3</w:t>
            </w:r>
          </w:p>
        </w:tc>
        <w:tc>
          <w:tcPr>
            <w:tcW w:w="622" w:type="pct"/>
            <w:tcBorders>
              <w:top w:val="nil"/>
              <w:left w:val="single" w:sz="4" w:space="0" w:color="BFBFBF" w:themeColor="background1" w:themeShade="BF"/>
              <w:bottom w:val="nil"/>
            </w:tcBorders>
            <w:shd w:val="clear" w:color="auto" w:fill="auto"/>
            <w:vAlign w:val="bottom"/>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0</w:t>
            </w:r>
          </w:p>
        </w:tc>
        <w:tc>
          <w:tcPr>
            <w:tcW w:w="349" w:type="pct"/>
            <w:tcBorders>
              <w:top w:val="nil"/>
              <w:left w:val="nil"/>
              <w:bottom w:val="nil"/>
              <w:right w:val="nil"/>
            </w:tcBorders>
            <w:shd w:val="clear" w:color="auto" w:fill="auto"/>
            <w:vAlign w:val="bottom"/>
            <w:hideMark/>
          </w:tcPr>
          <w:p w:rsidR="00195BE7" w:rsidRPr="001E2F6E" w:rsidRDefault="00195BE7" w:rsidP="00195BE7">
            <w:pPr>
              <w:spacing w:line="240" w:lineRule="exact"/>
              <w:ind w:right="170"/>
              <w:jc w:val="center"/>
              <w:rPr>
                <w:color w:val="000000"/>
                <w:sz w:val="16"/>
                <w:szCs w:val="16"/>
              </w:rPr>
            </w:pPr>
            <w:r w:rsidRPr="001E2F6E">
              <w:rPr>
                <w:color w:val="000000"/>
                <w:sz w:val="16"/>
                <w:szCs w:val="16"/>
              </w:rPr>
              <w:t>0,0</w:t>
            </w:r>
          </w:p>
        </w:tc>
      </w:tr>
      <w:tr w:rsidR="00195BE7" w:rsidRPr="001E2F6E" w:rsidTr="00195BE7">
        <w:tc>
          <w:tcPr>
            <w:tcW w:w="818" w:type="pct"/>
            <w:tcBorders>
              <w:top w:val="nil"/>
              <w:left w:val="nil"/>
              <w:bottom w:val="single" w:sz="4" w:space="0" w:color="BFBFBF" w:themeColor="background1" w:themeShade="BF"/>
              <w:right w:val="single" w:sz="4" w:space="0" w:color="BFBFBF" w:themeColor="background1" w:themeShade="BF"/>
            </w:tcBorders>
            <w:shd w:val="clear" w:color="auto" w:fill="auto"/>
            <w:vAlign w:val="bottom"/>
            <w:hideMark/>
          </w:tcPr>
          <w:p w:rsidR="00195BE7" w:rsidRPr="001E2F6E" w:rsidRDefault="00195BE7" w:rsidP="00195BE7">
            <w:pPr>
              <w:spacing w:line="240" w:lineRule="auto"/>
              <w:rPr>
                <w:sz w:val="16"/>
                <w:szCs w:val="16"/>
                <w:lang w:val="eu-ES"/>
              </w:rPr>
            </w:pPr>
            <w:r w:rsidRPr="001E2F6E">
              <w:rPr>
                <w:sz w:val="16"/>
                <w:szCs w:val="16"/>
                <w:lang w:val="eu-ES"/>
              </w:rPr>
              <w:t>500 baino gehiago</w:t>
            </w:r>
          </w:p>
        </w:tc>
        <w:tc>
          <w:tcPr>
            <w:tcW w:w="747" w:type="pct"/>
            <w:tcBorders>
              <w:top w:val="nil"/>
              <w:left w:val="single" w:sz="4" w:space="0" w:color="BFBFBF" w:themeColor="background1" w:themeShade="BF"/>
              <w:bottom w:val="single" w:sz="4" w:space="0" w:color="BFBFBF" w:themeColor="background1" w:themeShade="BF"/>
            </w:tcBorders>
            <w:shd w:val="clear" w:color="auto" w:fill="auto"/>
            <w:noWrap/>
            <w:vAlign w:val="bottom"/>
            <w:hideMark/>
          </w:tcPr>
          <w:p w:rsidR="00195BE7" w:rsidRPr="001E2F6E" w:rsidRDefault="00195BE7" w:rsidP="00195BE7">
            <w:pPr>
              <w:spacing w:line="240" w:lineRule="exact"/>
              <w:ind w:right="170"/>
              <w:jc w:val="center"/>
              <w:rPr>
                <w:color w:val="000000"/>
                <w:sz w:val="16"/>
                <w:szCs w:val="16"/>
              </w:rPr>
            </w:pPr>
            <w:r w:rsidRPr="001E2F6E">
              <w:rPr>
                <w:color w:val="000000"/>
                <w:sz w:val="16"/>
                <w:szCs w:val="16"/>
              </w:rPr>
              <w:t>1.236.836.947</w:t>
            </w:r>
          </w:p>
        </w:tc>
        <w:tc>
          <w:tcPr>
            <w:tcW w:w="353" w:type="pct"/>
            <w:tcBorders>
              <w:top w:val="nil"/>
              <w:left w:val="nil"/>
              <w:bottom w:val="single" w:sz="4" w:space="0" w:color="BFBFBF" w:themeColor="background1" w:themeShade="BF"/>
              <w:right w:val="single" w:sz="4" w:space="0" w:color="BFBFBF" w:themeColor="background1" w:themeShade="BF"/>
            </w:tcBorders>
            <w:shd w:val="clear" w:color="auto" w:fill="auto"/>
            <w:vAlign w:val="bottom"/>
            <w:hideMark/>
          </w:tcPr>
          <w:p w:rsidR="00195BE7" w:rsidRPr="001E2F6E" w:rsidRDefault="00195BE7" w:rsidP="00195BE7">
            <w:pPr>
              <w:spacing w:line="240" w:lineRule="exact"/>
              <w:ind w:right="170"/>
              <w:jc w:val="center"/>
              <w:rPr>
                <w:color w:val="000000"/>
                <w:sz w:val="16"/>
                <w:szCs w:val="16"/>
              </w:rPr>
            </w:pPr>
            <w:r w:rsidRPr="001E2F6E">
              <w:rPr>
                <w:color w:val="000000"/>
                <w:sz w:val="16"/>
                <w:szCs w:val="16"/>
              </w:rPr>
              <w:t>46,3</w:t>
            </w:r>
          </w:p>
        </w:tc>
        <w:tc>
          <w:tcPr>
            <w:tcW w:w="747" w:type="pct"/>
            <w:tcBorders>
              <w:top w:val="nil"/>
              <w:left w:val="single" w:sz="4" w:space="0" w:color="BFBFBF" w:themeColor="background1" w:themeShade="BF"/>
              <w:bottom w:val="single" w:sz="4" w:space="0" w:color="BFBFBF" w:themeColor="background1" w:themeShade="BF"/>
            </w:tcBorders>
            <w:shd w:val="clear" w:color="auto" w:fill="auto"/>
            <w:noWrap/>
            <w:vAlign w:val="bottom"/>
            <w:hideMark/>
          </w:tcPr>
          <w:p w:rsidR="00195BE7" w:rsidRPr="001E2F6E" w:rsidRDefault="00195BE7" w:rsidP="00195BE7">
            <w:pPr>
              <w:spacing w:line="240" w:lineRule="exact"/>
              <w:ind w:right="170"/>
              <w:jc w:val="center"/>
              <w:rPr>
                <w:color w:val="000000"/>
                <w:sz w:val="16"/>
                <w:szCs w:val="16"/>
              </w:rPr>
            </w:pPr>
            <w:r w:rsidRPr="001E2F6E">
              <w:rPr>
                <w:color w:val="000000"/>
                <w:sz w:val="16"/>
                <w:szCs w:val="16"/>
              </w:rPr>
              <w:t>1.236.836.947</w:t>
            </w:r>
          </w:p>
        </w:tc>
        <w:tc>
          <w:tcPr>
            <w:tcW w:w="393" w:type="pct"/>
            <w:tcBorders>
              <w:top w:val="nil"/>
              <w:left w:val="nil"/>
              <w:bottom w:val="single" w:sz="4" w:space="0" w:color="BFBFBF" w:themeColor="background1" w:themeShade="BF"/>
              <w:right w:val="single" w:sz="4" w:space="0" w:color="BFBFBF" w:themeColor="background1" w:themeShade="BF"/>
            </w:tcBorders>
            <w:shd w:val="clear" w:color="auto" w:fill="auto"/>
            <w:vAlign w:val="bottom"/>
            <w:hideMark/>
          </w:tcPr>
          <w:p w:rsidR="00195BE7" w:rsidRPr="001E2F6E" w:rsidRDefault="00195BE7" w:rsidP="00195BE7">
            <w:pPr>
              <w:spacing w:line="240" w:lineRule="exact"/>
              <w:ind w:right="170"/>
              <w:jc w:val="center"/>
              <w:rPr>
                <w:color w:val="000000"/>
                <w:sz w:val="16"/>
                <w:szCs w:val="16"/>
              </w:rPr>
            </w:pPr>
            <w:r w:rsidRPr="001E2F6E">
              <w:rPr>
                <w:color w:val="000000"/>
                <w:sz w:val="16"/>
                <w:szCs w:val="16"/>
              </w:rPr>
              <w:t>48,3</w:t>
            </w:r>
          </w:p>
        </w:tc>
        <w:tc>
          <w:tcPr>
            <w:tcW w:w="622" w:type="pct"/>
            <w:tcBorders>
              <w:top w:val="nil"/>
              <w:left w:val="single" w:sz="4" w:space="0" w:color="BFBFBF" w:themeColor="background1" w:themeShade="BF"/>
              <w:bottom w:val="single" w:sz="4" w:space="0" w:color="BFBFBF" w:themeColor="background1" w:themeShade="BF"/>
            </w:tcBorders>
            <w:shd w:val="clear" w:color="auto" w:fill="auto"/>
            <w:noWrap/>
            <w:vAlign w:val="bottom"/>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0</w:t>
            </w:r>
          </w:p>
        </w:tc>
        <w:tc>
          <w:tcPr>
            <w:tcW w:w="349" w:type="pct"/>
            <w:tcBorders>
              <w:top w:val="nil"/>
              <w:left w:val="nil"/>
              <w:bottom w:val="single" w:sz="4" w:space="0" w:color="BFBFBF" w:themeColor="background1" w:themeShade="BF"/>
              <w:right w:val="single" w:sz="4" w:space="0" w:color="BFBFBF" w:themeColor="background1" w:themeShade="BF"/>
            </w:tcBorders>
            <w:shd w:val="clear" w:color="auto" w:fill="auto"/>
            <w:vAlign w:val="bottom"/>
            <w:hideMark/>
          </w:tcPr>
          <w:p w:rsidR="00195BE7" w:rsidRPr="001E2F6E" w:rsidRDefault="00195BE7" w:rsidP="00195BE7">
            <w:pPr>
              <w:spacing w:line="240" w:lineRule="exact"/>
              <w:ind w:right="170"/>
              <w:jc w:val="center"/>
              <w:rPr>
                <w:color w:val="000000"/>
                <w:sz w:val="16"/>
                <w:szCs w:val="16"/>
              </w:rPr>
            </w:pPr>
            <w:r w:rsidRPr="001E2F6E">
              <w:rPr>
                <w:color w:val="000000"/>
                <w:sz w:val="16"/>
                <w:szCs w:val="16"/>
              </w:rPr>
              <w:t>0,0</w:t>
            </w:r>
          </w:p>
        </w:tc>
        <w:tc>
          <w:tcPr>
            <w:tcW w:w="622" w:type="pct"/>
            <w:tcBorders>
              <w:top w:val="nil"/>
              <w:left w:val="single" w:sz="4" w:space="0" w:color="BFBFBF" w:themeColor="background1" w:themeShade="BF"/>
              <w:bottom w:val="single" w:sz="4" w:space="0" w:color="BFBFBF" w:themeColor="background1" w:themeShade="BF"/>
            </w:tcBorders>
            <w:shd w:val="clear" w:color="auto" w:fill="auto"/>
            <w:vAlign w:val="bottom"/>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0</w:t>
            </w:r>
          </w:p>
        </w:tc>
        <w:tc>
          <w:tcPr>
            <w:tcW w:w="349" w:type="pct"/>
            <w:tcBorders>
              <w:top w:val="nil"/>
              <w:left w:val="nil"/>
              <w:bottom w:val="single" w:sz="4" w:space="0" w:color="BFBFBF" w:themeColor="background1" w:themeShade="BF"/>
              <w:right w:val="nil"/>
            </w:tcBorders>
            <w:shd w:val="clear" w:color="auto" w:fill="auto"/>
            <w:vAlign w:val="bottom"/>
            <w:hideMark/>
          </w:tcPr>
          <w:p w:rsidR="00195BE7" w:rsidRPr="001E2F6E" w:rsidRDefault="00195BE7" w:rsidP="00195BE7">
            <w:pPr>
              <w:spacing w:line="240" w:lineRule="exact"/>
              <w:ind w:right="170"/>
              <w:jc w:val="center"/>
              <w:rPr>
                <w:color w:val="000000"/>
                <w:sz w:val="16"/>
                <w:szCs w:val="16"/>
              </w:rPr>
            </w:pPr>
            <w:r w:rsidRPr="001E2F6E">
              <w:rPr>
                <w:color w:val="000000"/>
                <w:sz w:val="16"/>
                <w:szCs w:val="16"/>
              </w:rPr>
              <w:t>0,0</w:t>
            </w:r>
          </w:p>
        </w:tc>
      </w:tr>
      <w:tr w:rsidR="00195BE7" w:rsidRPr="001E2F6E" w:rsidTr="00195BE7">
        <w:tc>
          <w:tcPr>
            <w:tcW w:w="818" w:type="pct"/>
            <w:tcBorders>
              <w:top w:val="single" w:sz="4" w:space="0" w:color="BFBFBF" w:themeColor="background1" w:themeShade="BF"/>
              <w:left w:val="nil"/>
              <w:bottom w:val="single" w:sz="8" w:space="0" w:color="BFBFBF"/>
              <w:right w:val="single" w:sz="4" w:space="0" w:color="BFBFBF" w:themeColor="background1" w:themeShade="BF"/>
            </w:tcBorders>
            <w:shd w:val="clear" w:color="auto" w:fill="auto"/>
            <w:vAlign w:val="bottom"/>
            <w:hideMark/>
          </w:tcPr>
          <w:p w:rsidR="00195BE7" w:rsidRPr="001E2F6E" w:rsidRDefault="00195BE7" w:rsidP="00195BE7">
            <w:pPr>
              <w:spacing w:line="240" w:lineRule="auto"/>
              <w:rPr>
                <w:b/>
                <w:bCs/>
                <w:sz w:val="16"/>
                <w:szCs w:val="16"/>
                <w:lang w:val="eu-ES"/>
              </w:rPr>
            </w:pPr>
            <w:r w:rsidRPr="001E2F6E">
              <w:rPr>
                <w:b/>
                <w:bCs/>
                <w:sz w:val="16"/>
                <w:szCs w:val="16"/>
                <w:lang w:val="eu-ES"/>
              </w:rPr>
              <w:t>GUZTIRA</w:t>
            </w:r>
          </w:p>
        </w:tc>
        <w:tc>
          <w:tcPr>
            <w:tcW w:w="747" w:type="pct"/>
            <w:tcBorders>
              <w:top w:val="single" w:sz="4" w:space="0" w:color="BFBFBF" w:themeColor="background1" w:themeShade="BF"/>
              <w:left w:val="single" w:sz="4" w:space="0" w:color="BFBFBF" w:themeColor="background1" w:themeShade="BF"/>
              <w:bottom w:val="single" w:sz="8" w:space="0" w:color="BFBFBF"/>
            </w:tcBorders>
            <w:shd w:val="clear" w:color="auto" w:fill="auto"/>
            <w:vAlign w:val="bottom"/>
            <w:hideMark/>
          </w:tcPr>
          <w:p w:rsidR="00195BE7" w:rsidRPr="001E2F6E" w:rsidRDefault="00195BE7" w:rsidP="00195BE7">
            <w:pPr>
              <w:spacing w:line="240" w:lineRule="exact"/>
              <w:ind w:right="170"/>
              <w:jc w:val="center"/>
              <w:rPr>
                <w:b/>
                <w:bCs/>
                <w:color w:val="000000"/>
                <w:sz w:val="16"/>
                <w:szCs w:val="16"/>
              </w:rPr>
            </w:pPr>
            <w:r w:rsidRPr="001E2F6E">
              <w:rPr>
                <w:b/>
                <w:bCs/>
                <w:color w:val="000000"/>
                <w:sz w:val="16"/>
                <w:szCs w:val="16"/>
              </w:rPr>
              <w:t>2.673.255.215</w:t>
            </w:r>
          </w:p>
        </w:tc>
        <w:tc>
          <w:tcPr>
            <w:tcW w:w="353" w:type="pct"/>
            <w:tcBorders>
              <w:top w:val="single" w:sz="4" w:space="0" w:color="BFBFBF" w:themeColor="background1" w:themeShade="BF"/>
              <w:left w:val="nil"/>
              <w:bottom w:val="single" w:sz="8" w:space="0" w:color="BFBFBF"/>
              <w:right w:val="single" w:sz="4" w:space="0" w:color="BFBFBF" w:themeColor="background1" w:themeShade="BF"/>
            </w:tcBorders>
            <w:shd w:val="clear" w:color="auto" w:fill="auto"/>
            <w:vAlign w:val="bottom"/>
            <w:hideMark/>
          </w:tcPr>
          <w:p w:rsidR="00195BE7" w:rsidRPr="001E2F6E" w:rsidRDefault="00195BE7" w:rsidP="00195BE7">
            <w:pPr>
              <w:spacing w:line="240" w:lineRule="exact"/>
              <w:ind w:right="170"/>
              <w:jc w:val="center"/>
              <w:rPr>
                <w:b/>
                <w:bCs/>
                <w:color w:val="000000"/>
                <w:sz w:val="16"/>
                <w:szCs w:val="16"/>
              </w:rPr>
            </w:pPr>
            <w:r w:rsidRPr="001E2F6E">
              <w:rPr>
                <w:b/>
                <w:bCs/>
                <w:color w:val="000000"/>
                <w:sz w:val="16"/>
                <w:szCs w:val="16"/>
              </w:rPr>
              <w:t>100</w:t>
            </w:r>
          </w:p>
        </w:tc>
        <w:tc>
          <w:tcPr>
            <w:tcW w:w="747" w:type="pct"/>
            <w:tcBorders>
              <w:top w:val="single" w:sz="4" w:space="0" w:color="BFBFBF" w:themeColor="background1" w:themeShade="BF"/>
              <w:left w:val="single" w:sz="4" w:space="0" w:color="BFBFBF" w:themeColor="background1" w:themeShade="BF"/>
              <w:bottom w:val="single" w:sz="8" w:space="0" w:color="BFBFBF"/>
            </w:tcBorders>
            <w:shd w:val="clear" w:color="auto" w:fill="auto"/>
            <w:vAlign w:val="bottom"/>
            <w:hideMark/>
          </w:tcPr>
          <w:p w:rsidR="00195BE7" w:rsidRPr="001E2F6E" w:rsidRDefault="00195BE7" w:rsidP="00195BE7">
            <w:pPr>
              <w:spacing w:line="240" w:lineRule="exact"/>
              <w:ind w:right="170"/>
              <w:jc w:val="center"/>
              <w:rPr>
                <w:b/>
                <w:bCs/>
                <w:color w:val="000000"/>
                <w:sz w:val="16"/>
                <w:szCs w:val="16"/>
              </w:rPr>
            </w:pPr>
            <w:r w:rsidRPr="001E2F6E">
              <w:rPr>
                <w:b/>
                <w:bCs/>
                <w:color w:val="000000"/>
                <w:sz w:val="16"/>
                <w:szCs w:val="16"/>
              </w:rPr>
              <w:t>2.558.373.784</w:t>
            </w:r>
          </w:p>
        </w:tc>
        <w:tc>
          <w:tcPr>
            <w:tcW w:w="393" w:type="pct"/>
            <w:tcBorders>
              <w:top w:val="single" w:sz="4" w:space="0" w:color="BFBFBF" w:themeColor="background1" w:themeShade="BF"/>
              <w:left w:val="nil"/>
              <w:bottom w:val="single" w:sz="8" w:space="0" w:color="BFBFBF"/>
              <w:right w:val="single" w:sz="4" w:space="0" w:color="BFBFBF" w:themeColor="background1" w:themeShade="BF"/>
            </w:tcBorders>
            <w:shd w:val="clear" w:color="auto" w:fill="auto"/>
            <w:vAlign w:val="bottom"/>
            <w:hideMark/>
          </w:tcPr>
          <w:p w:rsidR="00195BE7" w:rsidRPr="001E2F6E" w:rsidRDefault="00195BE7" w:rsidP="00195BE7">
            <w:pPr>
              <w:spacing w:line="240" w:lineRule="exact"/>
              <w:ind w:right="170"/>
              <w:jc w:val="center"/>
              <w:rPr>
                <w:b/>
                <w:bCs/>
                <w:color w:val="000000"/>
                <w:sz w:val="16"/>
                <w:szCs w:val="16"/>
              </w:rPr>
            </w:pPr>
            <w:r w:rsidRPr="001E2F6E">
              <w:rPr>
                <w:b/>
                <w:bCs/>
                <w:color w:val="000000"/>
                <w:sz w:val="16"/>
                <w:szCs w:val="16"/>
              </w:rPr>
              <w:t>100</w:t>
            </w:r>
          </w:p>
        </w:tc>
        <w:tc>
          <w:tcPr>
            <w:tcW w:w="622" w:type="pct"/>
            <w:tcBorders>
              <w:top w:val="single" w:sz="4" w:space="0" w:color="BFBFBF" w:themeColor="background1" w:themeShade="BF"/>
              <w:left w:val="single" w:sz="4" w:space="0" w:color="BFBFBF" w:themeColor="background1" w:themeShade="BF"/>
              <w:bottom w:val="single" w:sz="8" w:space="0" w:color="BFBFBF"/>
            </w:tcBorders>
            <w:shd w:val="clear" w:color="auto" w:fill="auto"/>
            <w:vAlign w:val="bottom"/>
            <w:hideMark/>
          </w:tcPr>
          <w:p w:rsidR="00195BE7" w:rsidRPr="001E2F6E" w:rsidRDefault="00195BE7" w:rsidP="00195BE7">
            <w:pPr>
              <w:spacing w:line="240" w:lineRule="exact"/>
              <w:ind w:right="170"/>
              <w:jc w:val="center"/>
              <w:rPr>
                <w:b/>
                <w:bCs/>
                <w:color w:val="000000"/>
                <w:sz w:val="16"/>
                <w:szCs w:val="16"/>
              </w:rPr>
            </w:pPr>
            <w:r w:rsidRPr="001E2F6E">
              <w:rPr>
                <w:b/>
                <w:bCs/>
                <w:color w:val="000000"/>
                <w:sz w:val="16"/>
                <w:szCs w:val="16"/>
              </w:rPr>
              <w:t>83.233.863</w:t>
            </w:r>
          </w:p>
        </w:tc>
        <w:tc>
          <w:tcPr>
            <w:tcW w:w="349" w:type="pct"/>
            <w:tcBorders>
              <w:top w:val="single" w:sz="4" w:space="0" w:color="BFBFBF" w:themeColor="background1" w:themeShade="BF"/>
              <w:left w:val="nil"/>
              <w:bottom w:val="single" w:sz="8" w:space="0" w:color="BFBFBF"/>
              <w:right w:val="single" w:sz="4" w:space="0" w:color="BFBFBF" w:themeColor="background1" w:themeShade="BF"/>
            </w:tcBorders>
            <w:shd w:val="clear" w:color="auto" w:fill="auto"/>
            <w:vAlign w:val="bottom"/>
            <w:hideMark/>
          </w:tcPr>
          <w:p w:rsidR="00195BE7" w:rsidRPr="001E2F6E" w:rsidRDefault="00195BE7" w:rsidP="00195BE7">
            <w:pPr>
              <w:spacing w:line="240" w:lineRule="exact"/>
              <w:ind w:right="170"/>
              <w:jc w:val="center"/>
              <w:rPr>
                <w:b/>
                <w:bCs/>
                <w:color w:val="000000"/>
                <w:sz w:val="16"/>
                <w:szCs w:val="16"/>
              </w:rPr>
            </w:pPr>
            <w:r w:rsidRPr="001E2F6E">
              <w:rPr>
                <w:b/>
                <w:bCs/>
                <w:color w:val="000000"/>
                <w:sz w:val="16"/>
                <w:szCs w:val="16"/>
              </w:rPr>
              <w:t>100</w:t>
            </w:r>
          </w:p>
        </w:tc>
        <w:tc>
          <w:tcPr>
            <w:tcW w:w="622" w:type="pct"/>
            <w:tcBorders>
              <w:top w:val="single" w:sz="4" w:space="0" w:color="BFBFBF" w:themeColor="background1" w:themeShade="BF"/>
              <w:left w:val="single" w:sz="4" w:space="0" w:color="BFBFBF" w:themeColor="background1" w:themeShade="BF"/>
              <w:bottom w:val="single" w:sz="8" w:space="0" w:color="BFBFBF"/>
            </w:tcBorders>
            <w:shd w:val="clear" w:color="auto" w:fill="auto"/>
            <w:vAlign w:val="bottom"/>
            <w:hideMark/>
          </w:tcPr>
          <w:p w:rsidR="00195BE7" w:rsidRPr="001E2F6E" w:rsidRDefault="00195BE7" w:rsidP="00195BE7">
            <w:pPr>
              <w:spacing w:line="240" w:lineRule="exact"/>
              <w:ind w:right="170"/>
              <w:jc w:val="center"/>
              <w:rPr>
                <w:b/>
                <w:bCs/>
                <w:color w:val="000000"/>
                <w:sz w:val="16"/>
                <w:szCs w:val="16"/>
              </w:rPr>
            </w:pPr>
            <w:r w:rsidRPr="001E2F6E">
              <w:rPr>
                <w:b/>
                <w:bCs/>
                <w:color w:val="000000"/>
                <w:sz w:val="16"/>
                <w:szCs w:val="16"/>
              </w:rPr>
              <w:t>31.647.567</w:t>
            </w:r>
          </w:p>
        </w:tc>
        <w:tc>
          <w:tcPr>
            <w:tcW w:w="349" w:type="pct"/>
            <w:tcBorders>
              <w:top w:val="single" w:sz="4" w:space="0" w:color="BFBFBF" w:themeColor="background1" w:themeShade="BF"/>
              <w:left w:val="nil"/>
              <w:bottom w:val="single" w:sz="8" w:space="0" w:color="BFBFBF"/>
              <w:right w:val="nil"/>
            </w:tcBorders>
            <w:shd w:val="clear" w:color="auto" w:fill="auto"/>
            <w:vAlign w:val="bottom"/>
            <w:hideMark/>
          </w:tcPr>
          <w:p w:rsidR="00195BE7" w:rsidRPr="001E2F6E" w:rsidRDefault="00195BE7" w:rsidP="00195BE7">
            <w:pPr>
              <w:spacing w:line="240" w:lineRule="exact"/>
              <w:ind w:right="170"/>
              <w:jc w:val="center"/>
              <w:rPr>
                <w:b/>
                <w:bCs/>
                <w:color w:val="000000"/>
                <w:sz w:val="16"/>
                <w:szCs w:val="16"/>
              </w:rPr>
            </w:pPr>
            <w:r w:rsidRPr="001E2F6E">
              <w:rPr>
                <w:b/>
                <w:bCs/>
                <w:color w:val="000000"/>
                <w:sz w:val="16"/>
                <w:szCs w:val="16"/>
              </w:rPr>
              <w:t>100</w:t>
            </w:r>
          </w:p>
        </w:tc>
      </w:tr>
    </w:tbl>
    <w:p w:rsidR="00195BE7" w:rsidRPr="001E2F6E" w:rsidRDefault="00195BE7" w:rsidP="00195BE7"/>
    <w:p w:rsidR="00195BE7" w:rsidRPr="001E2F6E" w:rsidRDefault="00195BE7" w:rsidP="00195BE7">
      <w:pPr>
        <w:pStyle w:val="Encabezado"/>
        <w:tabs>
          <w:tab w:val="clear" w:pos="4252"/>
          <w:tab w:val="clear" w:pos="8504"/>
        </w:tabs>
        <w:jc w:val="center"/>
        <w:rPr>
          <w:b/>
          <w:color w:val="1F497D" w:themeColor="text2"/>
          <w:sz w:val="18"/>
          <w:szCs w:val="18"/>
          <w:lang w:val="es-ES_tradnl"/>
        </w:rPr>
      </w:pPr>
      <w:bookmarkStart w:id="200" w:name="_Toc392585788"/>
      <w:bookmarkStart w:id="201" w:name="_Toc391989123"/>
      <w:r w:rsidRPr="001E2F6E">
        <w:rPr>
          <w:b/>
          <w:color w:val="1F497D" w:themeColor="text2"/>
          <w:sz w:val="18"/>
          <w:szCs w:val="18"/>
        </w:rPr>
        <w:t>1.</w:t>
      </w:r>
      <w:r w:rsidR="00EB6BA6" w:rsidRPr="001E2F6E">
        <w:rPr>
          <w:b/>
          <w:color w:val="1F497D" w:themeColor="text2"/>
          <w:sz w:val="18"/>
          <w:szCs w:val="18"/>
        </w:rPr>
        <w:fldChar w:fldCharType="begin"/>
      </w:r>
      <w:r w:rsidRPr="001E2F6E">
        <w:rPr>
          <w:b/>
          <w:color w:val="1F497D" w:themeColor="text2"/>
          <w:sz w:val="18"/>
          <w:szCs w:val="18"/>
        </w:rPr>
        <w:instrText xml:space="preserve"> SEQ Cuadro_1. \* ARABIC </w:instrText>
      </w:r>
      <w:r w:rsidR="00EB6BA6" w:rsidRPr="001E2F6E">
        <w:rPr>
          <w:b/>
          <w:color w:val="1F497D" w:themeColor="text2"/>
          <w:sz w:val="18"/>
          <w:szCs w:val="18"/>
        </w:rPr>
        <w:fldChar w:fldCharType="separate"/>
      </w:r>
      <w:r w:rsidR="00A327D4">
        <w:rPr>
          <w:b/>
          <w:noProof/>
          <w:color w:val="1F497D" w:themeColor="text2"/>
          <w:sz w:val="18"/>
          <w:szCs w:val="18"/>
        </w:rPr>
        <w:t>53</w:t>
      </w:r>
      <w:r w:rsidR="00EB6BA6" w:rsidRPr="001E2F6E">
        <w:rPr>
          <w:b/>
          <w:color w:val="1F497D" w:themeColor="text2"/>
          <w:sz w:val="18"/>
          <w:szCs w:val="18"/>
        </w:rPr>
        <w:fldChar w:fldCharType="end"/>
      </w:r>
      <w:r w:rsidRPr="001E2F6E">
        <w:rPr>
          <w:b/>
          <w:color w:val="1F497D" w:themeColor="text2"/>
          <w:sz w:val="18"/>
          <w:szCs w:val="18"/>
        </w:rPr>
        <w:t xml:space="preserve"> Taula </w:t>
      </w:r>
      <w:r w:rsidRPr="001E2F6E">
        <w:rPr>
          <w:b/>
          <w:color w:val="1F497D" w:themeColor="text2"/>
          <w:sz w:val="18"/>
          <w:szCs w:val="18"/>
          <w:lang w:val="es-ES_tradnl"/>
        </w:rPr>
        <w:t>ESPORTAZIOEN BOLUMENAREN PISU ERLATIBOA, FORMA JURIDIKOAREN ETA ENPLEGU-MAILAREN ARABERA (%horizontalak). 2012</w:t>
      </w:r>
      <w:bookmarkEnd w:id="200"/>
      <w:r w:rsidRPr="001E2F6E">
        <w:rPr>
          <w:b/>
          <w:color w:val="1F497D" w:themeColor="text2"/>
          <w:sz w:val="18"/>
          <w:szCs w:val="18"/>
          <w:lang w:val="es-ES_tradnl"/>
        </w:rPr>
        <w:t xml:space="preserve"> </w:t>
      </w:r>
      <w:bookmarkEnd w:id="201"/>
    </w:p>
    <w:tbl>
      <w:tblPr>
        <w:tblW w:w="5000" w:type="pct"/>
        <w:jc w:val="center"/>
        <w:tblBorders>
          <w:top w:val="single" w:sz="4" w:space="0" w:color="BFBFBF" w:themeColor="background1" w:themeShade="BF"/>
          <w:bottom w:val="single" w:sz="4" w:space="0" w:color="BFBFBF" w:themeColor="background1" w:themeShade="BF"/>
        </w:tblBorders>
        <w:tblLook w:val="04A0" w:firstRow="1" w:lastRow="0" w:firstColumn="1" w:lastColumn="0" w:noHBand="0" w:noVBand="1"/>
      </w:tblPr>
      <w:tblGrid>
        <w:gridCol w:w="3001"/>
        <w:gridCol w:w="2001"/>
        <w:gridCol w:w="2001"/>
        <w:gridCol w:w="2001"/>
      </w:tblGrid>
      <w:tr w:rsidR="00195BE7" w:rsidRPr="001E2F6E" w:rsidTr="00195BE7">
        <w:trPr>
          <w:jc w:val="center"/>
        </w:trPr>
        <w:tc>
          <w:tcPr>
            <w:tcW w:w="1666"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noWrap/>
          </w:tcPr>
          <w:p w:rsidR="00195BE7" w:rsidRPr="001E2F6E" w:rsidRDefault="00195BE7" w:rsidP="00195BE7">
            <w:pPr>
              <w:spacing w:line="240" w:lineRule="exact"/>
              <w:rPr>
                <w:b/>
                <w:bCs/>
                <w:sz w:val="16"/>
                <w:szCs w:val="16"/>
              </w:rPr>
            </w:pPr>
          </w:p>
        </w:tc>
        <w:tc>
          <w:tcPr>
            <w:tcW w:w="111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noWrap/>
          </w:tcPr>
          <w:p w:rsidR="00195BE7" w:rsidRPr="001E2F6E" w:rsidRDefault="00195BE7" w:rsidP="00195BE7">
            <w:pPr>
              <w:spacing w:line="240" w:lineRule="exact"/>
              <w:jc w:val="center"/>
              <w:rPr>
                <w:rFonts w:eastAsia="Times New Roman"/>
                <w:b/>
                <w:bCs/>
                <w:color w:val="000000"/>
                <w:sz w:val="16"/>
                <w:szCs w:val="16"/>
                <w:lang w:eastAsia="es-ES"/>
              </w:rPr>
            </w:pPr>
            <w:r w:rsidRPr="001E2F6E">
              <w:rPr>
                <w:rFonts w:eastAsia="Times New Roman"/>
                <w:b/>
                <w:bCs/>
                <w:color w:val="000000"/>
                <w:sz w:val="16"/>
                <w:szCs w:val="16"/>
                <w:lang w:val="en-GB" w:eastAsia="es-ES"/>
              </w:rPr>
              <w:t>Koop.</w:t>
            </w:r>
          </w:p>
        </w:tc>
        <w:tc>
          <w:tcPr>
            <w:tcW w:w="111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tcPr>
          <w:p w:rsidR="00195BE7" w:rsidRPr="001E2F6E" w:rsidRDefault="00195BE7" w:rsidP="00195BE7">
            <w:pPr>
              <w:spacing w:line="240" w:lineRule="exact"/>
              <w:jc w:val="center"/>
              <w:rPr>
                <w:rFonts w:eastAsia="Times New Roman"/>
                <w:b/>
                <w:bCs/>
                <w:color w:val="000000"/>
                <w:sz w:val="16"/>
                <w:szCs w:val="16"/>
                <w:lang w:eastAsia="es-ES"/>
              </w:rPr>
            </w:pPr>
            <w:r w:rsidRPr="001E2F6E">
              <w:rPr>
                <w:rFonts w:eastAsia="Times New Roman"/>
                <w:b/>
                <w:bCs/>
                <w:color w:val="000000"/>
                <w:sz w:val="16"/>
                <w:szCs w:val="16"/>
                <w:lang w:val="en-GB" w:eastAsia="es-ES"/>
              </w:rPr>
              <w:t>LSA</w:t>
            </w:r>
          </w:p>
        </w:tc>
        <w:tc>
          <w:tcPr>
            <w:tcW w:w="1111"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tcPr>
          <w:p w:rsidR="00195BE7" w:rsidRPr="001E2F6E" w:rsidRDefault="00195BE7" w:rsidP="00195BE7">
            <w:pPr>
              <w:spacing w:line="240" w:lineRule="exact"/>
              <w:jc w:val="center"/>
              <w:rPr>
                <w:rFonts w:eastAsia="Times New Roman"/>
                <w:b/>
                <w:bCs/>
                <w:color w:val="000000"/>
                <w:sz w:val="16"/>
                <w:szCs w:val="16"/>
                <w:lang w:eastAsia="es-ES"/>
              </w:rPr>
            </w:pPr>
            <w:r w:rsidRPr="001E2F6E">
              <w:rPr>
                <w:rFonts w:eastAsia="Times New Roman"/>
                <w:b/>
                <w:bCs/>
                <w:color w:val="000000"/>
                <w:sz w:val="16"/>
                <w:szCs w:val="16"/>
                <w:lang w:val="en-GB" w:eastAsia="es-ES"/>
              </w:rPr>
              <w:t>LSM</w:t>
            </w:r>
          </w:p>
        </w:tc>
      </w:tr>
      <w:tr w:rsidR="00195BE7" w:rsidRPr="001E2F6E" w:rsidTr="00195BE7">
        <w:trPr>
          <w:jc w:val="center"/>
        </w:trPr>
        <w:tc>
          <w:tcPr>
            <w:tcW w:w="1666" w:type="pct"/>
            <w:tcBorders>
              <w:top w:val="single" w:sz="4" w:space="0" w:color="BFBFBF" w:themeColor="background1" w:themeShade="BF"/>
              <w:right w:val="single" w:sz="4" w:space="0" w:color="BFBFBF" w:themeColor="background1" w:themeShade="BF"/>
            </w:tcBorders>
            <w:noWrap/>
            <w:vAlign w:val="bottom"/>
          </w:tcPr>
          <w:p w:rsidR="00195BE7" w:rsidRPr="001E2F6E" w:rsidRDefault="00195BE7" w:rsidP="00195BE7">
            <w:pPr>
              <w:spacing w:line="240" w:lineRule="auto"/>
              <w:rPr>
                <w:sz w:val="16"/>
                <w:szCs w:val="16"/>
                <w:lang w:val="eu-ES"/>
              </w:rPr>
            </w:pPr>
            <w:r w:rsidRPr="001E2F6E">
              <w:rPr>
                <w:sz w:val="16"/>
                <w:szCs w:val="16"/>
                <w:lang w:val="eu-ES"/>
              </w:rPr>
              <w:t>5 enplegu arte</w:t>
            </w:r>
          </w:p>
        </w:tc>
        <w:tc>
          <w:tcPr>
            <w:tcW w:w="1111" w:type="pct"/>
            <w:tcBorders>
              <w:top w:val="single" w:sz="4" w:space="0" w:color="BFBFBF" w:themeColor="background1" w:themeShade="BF"/>
              <w:left w:val="single" w:sz="4" w:space="0" w:color="BFBFBF" w:themeColor="background1" w:themeShade="BF"/>
              <w:right w:val="single" w:sz="4" w:space="0" w:color="BFBFBF" w:themeColor="background1" w:themeShade="BF"/>
            </w:tcBorders>
          </w:tcPr>
          <w:p w:rsidR="00195BE7" w:rsidRPr="001E2F6E" w:rsidRDefault="00195BE7" w:rsidP="00195BE7">
            <w:pPr>
              <w:spacing w:line="240" w:lineRule="exact"/>
              <w:ind w:right="170"/>
              <w:jc w:val="right"/>
              <w:rPr>
                <w:color w:val="000000"/>
                <w:sz w:val="16"/>
                <w:szCs w:val="16"/>
              </w:rPr>
            </w:pPr>
            <w:r w:rsidRPr="001E2F6E">
              <w:rPr>
                <w:color w:val="000000"/>
                <w:sz w:val="16"/>
                <w:szCs w:val="16"/>
              </w:rPr>
              <w:t>68,0</w:t>
            </w:r>
          </w:p>
        </w:tc>
        <w:tc>
          <w:tcPr>
            <w:tcW w:w="1111" w:type="pct"/>
            <w:tcBorders>
              <w:top w:val="single" w:sz="4" w:space="0" w:color="BFBFBF" w:themeColor="background1" w:themeShade="BF"/>
              <w:left w:val="single" w:sz="4" w:space="0" w:color="BFBFBF" w:themeColor="background1" w:themeShade="BF"/>
              <w:right w:val="single" w:sz="4" w:space="0" w:color="BFBFBF" w:themeColor="background1" w:themeShade="BF"/>
            </w:tcBorders>
          </w:tcPr>
          <w:p w:rsidR="00195BE7" w:rsidRPr="001E2F6E" w:rsidRDefault="00195BE7" w:rsidP="00195BE7">
            <w:pPr>
              <w:spacing w:line="240" w:lineRule="exact"/>
              <w:ind w:right="170"/>
              <w:jc w:val="right"/>
              <w:rPr>
                <w:color w:val="000000"/>
                <w:sz w:val="16"/>
                <w:szCs w:val="16"/>
              </w:rPr>
            </w:pPr>
            <w:r w:rsidRPr="001E2F6E">
              <w:rPr>
                <w:color w:val="000000"/>
                <w:sz w:val="16"/>
                <w:szCs w:val="16"/>
              </w:rPr>
              <w:t>9,8</w:t>
            </w:r>
          </w:p>
        </w:tc>
        <w:tc>
          <w:tcPr>
            <w:tcW w:w="1111" w:type="pct"/>
            <w:tcBorders>
              <w:top w:val="single" w:sz="4" w:space="0" w:color="BFBFBF" w:themeColor="background1" w:themeShade="BF"/>
              <w:left w:val="single" w:sz="4" w:space="0" w:color="BFBFBF" w:themeColor="background1" w:themeShade="BF"/>
            </w:tcBorders>
          </w:tcPr>
          <w:p w:rsidR="00195BE7" w:rsidRPr="001E2F6E" w:rsidRDefault="00195BE7" w:rsidP="00195BE7">
            <w:pPr>
              <w:spacing w:line="240" w:lineRule="exact"/>
              <w:ind w:right="170"/>
              <w:jc w:val="right"/>
              <w:rPr>
                <w:color w:val="000000"/>
                <w:sz w:val="16"/>
                <w:szCs w:val="16"/>
              </w:rPr>
            </w:pPr>
            <w:r w:rsidRPr="001E2F6E">
              <w:rPr>
                <w:color w:val="000000"/>
                <w:sz w:val="16"/>
                <w:szCs w:val="16"/>
              </w:rPr>
              <w:t>22,3</w:t>
            </w:r>
          </w:p>
        </w:tc>
      </w:tr>
      <w:tr w:rsidR="00195BE7" w:rsidRPr="001E2F6E" w:rsidTr="00195BE7">
        <w:trPr>
          <w:jc w:val="center"/>
        </w:trPr>
        <w:tc>
          <w:tcPr>
            <w:tcW w:w="1666" w:type="pct"/>
            <w:tcBorders>
              <w:right w:val="single" w:sz="4" w:space="0" w:color="BFBFBF" w:themeColor="background1" w:themeShade="BF"/>
            </w:tcBorders>
            <w:noWrap/>
            <w:vAlign w:val="bottom"/>
          </w:tcPr>
          <w:p w:rsidR="00195BE7" w:rsidRPr="001E2F6E" w:rsidRDefault="00195BE7" w:rsidP="00195BE7">
            <w:pPr>
              <w:spacing w:line="240" w:lineRule="auto"/>
              <w:rPr>
                <w:sz w:val="16"/>
                <w:szCs w:val="16"/>
                <w:lang w:val="eu-ES"/>
              </w:rPr>
            </w:pPr>
            <w:r w:rsidRPr="001E2F6E">
              <w:rPr>
                <w:sz w:val="16"/>
                <w:szCs w:val="16"/>
                <w:lang w:val="eu-ES"/>
              </w:rPr>
              <w:t>6 – 15 bitarte</w:t>
            </w:r>
          </w:p>
        </w:tc>
        <w:tc>
          <w:tcPr>
            <w:tcW w:w="1111" w:type="pct"/>
            <w:tcBorders>
              <w:left w:val="single" w:sz="4" w:space="0" w:color="BFBFBF" w:themeColor="background1" w:themeShade="BF"/>
              <w:right w:val="single" w:sz="4" w:space="0" w:color="BFBFBF" w:themeColor="background1" w:themeShade="BF"/>
            </w:tcBorders>
          </w:tcPr>
          <w:p w:rsidR="00195BE7" w:rsidRPr="001E2F6E" w:rsidRDefault="00195BE7" w:rsidP="00195BE7">
            <w:pPr>
              <w:spacing w:line="240" w:lineRule="exact"/>
              <w:ind w:right="170"/>
              <w:jc w:val="right"/>
              <w:rPr>
                <w:color w:val="000000"/>
                <w:sz w:val="16"/>
                <w:szCs w:val="16"/>
              </w:rPr>
            </w:pPr>
            <w:r w:rsidRPr="001E2F6E">
              <w:rPr>
                <w:color w:val="000000"/>
                <w:sz w:val="16"/>
                <w:szCs w:val="16"/>
              </w:rPr>
              <w:t>62,4</w:t>
            </w:r>
          </w:p>
        </w:tc>
        <w:tc>
          <w:tcPr>
            <w:tcW w:w="1111" w:type="pct"/>
            <w:tcBorders>
              <w:left w:val="single" w:sz="4" w:space="0" w:color="BFBFBF" w:themeColor="background1" w:themeShade="BF"/>
              <w:right w:val="single" w:sz="4" w:space="0" w:color="BFBFBF" w:themeColor="background1" w:themeShade="BF"/>
            </w:tcBorders>
          </w:tcPr>
          <w:p w:rsidR="00195BE7" w:rsidRPr="001E2F6E" w:rsidRDefault="00195BE7" w:rsidP="00195BE7">
            <w:pPr>
              <w:spacing w:line="240" w:lineRule="exact"/>
              <w:ind w:right="170"/>
              <w:jc w:val="right"/>
              <w:rPr>
                <w:color w:val="000000"/>
                <w:sz w:val="16"/>
                <w:szCs w:val="16"/>
              </w:rPr>
            </w:pPr>
            <w:r w:rsidRPr="001E2F6E">
              <w:rPr>
                <w:color w:val="000000"/>
                <w:sz w:val="16"/>
                <w:szCs w:val="16"/>
              </w:rPr>
              <w:t>2,3</w:t>
            </w:r>
          </w:p>
        </w:tc>
        <w:tc>
          <w:tcPr>
            <w:tcW w:w="1111" w:type="pct"/>
            <w:tcBorders>
              <w:left w:val="single" w:sz="4" w:space="0" w:color="BFBFBF" w:themeColor="background1" w:themeShade="BF"/>
            </w:tcBorders>
          </w:tcPr>
          <w:p w:rsidR="00195BE7" w:rsidRPr="001E2F6E" w:rsidRDefault="00195BE7" w:rsidP="00195BE7">
            <w:pPr>
              <w:spacing w:line="240" w:lineRule="exact"/>
              <w:ind w:right="170"/>
              <w:jc w:val="right"/>
              <w:rPr>
                <w:color w:val="000000"/>
                <w:sz w:val="16"/>
                <w:szCs w:val="16"/>
              </w:rPr>
            </w:pPr>
            <w:r w:rsidRPr="001E2F6E">
              <w:rPr>
                <w:color w:val="000000"/>
                <w:sz w:val="16"/>
                <w:szCs w:val="16"/>
              </w:rPr>
              <w:t>35,3</w:t>
            </w:r>
          </w:p>
        </w:tc>
      </w:tr>
      <w:tr w:rsidR="00195BE7" w:rsidRPr="001E2F6E" w:rsidTr="00195BE7">
        <w:trPr>
          <w:jc w:val="center"/>
        </w:trPr>
        <w:tc>
          <w:tcPr>
            <w:tcW w:w="1666" w:type="pct"/>
            <w:tcBorders>
              <w:right w:val="single" w:sz="4" w:space="0" w:color="BFBFBF" w:themeColor="background1" w:themeShade="BF"/>
            </w:tcBorders>
            <w:noWrap/>
            <w:vAlign w:val="bottom"/>
          </w:tcPr>
          <w:p w:rsidR="00195BE7" w:rsidRPr="001E2F6E" w:rsidRDefault="00195BE7" w:rsidP="00195BE7">
            <w:pPr>
              <w:spacing w:line="240" w:lineRule="auto"/>
              <w:rPr>
                <w:sz w:val="16"/>
                <w:szCs w:val="16"/>
                <w:lang w:val="eu-ES"/>
              </w:rPr>
            </w:pPr>
            <w:r w:rsidRPr="001E2F6E">
              <w:rPr>
                <w:sz w:val="16"/>
                <w:szCs w:val="16"/>
                <w:lang w:val="eu-ES"/>
              </w:rPr>
              <w:t>16 – 50 bitarte</w:t>
            </w:r>
          </w:p>
        </w:tc>
        <w:tc>
          <w:tcPr>
            <w:tcW w:w="1111" w:type="pct"/>
            <w:tcBorders>
              <w:left w:val="single" w:sz="4" w:space="0" w:color="BFBFBF" w:themeColor="background1" w:themeShade="BF"/>
              <w:right w:val="single" w:sz="4" w:space="0" w:color="BFBFBF" w:themeColor="background1" w:themeShade="BF"/>
            </w:tcBorders>
          </w:tcPr>
          <w:p w:rsidR="00195BE7" w:rsidRPr="001E2F6E" w:rsidRDefault="00195BE7" w:rsidP="00195BE7">
            <w:pPr>
              <w:spacing w:line="240" w:lineRule="exact"/>
              <w:ind w:right="170"/>
              <w:jc w:val="right"/>
              <w:rPr>
                <w:color w:val="000000"/>
                <w:sz w:val="16"/>
                <w:szCs w:val="16"/>
              </w:rPr>
            </w:pPr>
            <w:r w:rsidRPr="001E2F6E">
              <w:rPr>
                <w:color w:val="000000"/>
                <w:sz w:val="16"/>
                <w:szCs w:val="16"/>
              </w:rPr>
              <w:t>64,5</w:t>
            </w:r>
          </w:p>
        </w:tc>
        <w:tc>
          <w:tcPr>
            <w:tcW w:w="1111" w:type="pct"/>
            <w:tcBorders>
              <w:left w:val="single" w:sz="4" w:space="0" w:color="BFBFBF" w:themeColor="background1" w:themeShade="BF"/>
              <w:right w:val="single" w:sz="4" w:space="0" w:color="BFBFBF" w:themeColor="background1" w:themeShade="BF"/>
            </w:tcBorders>
          </w:tcPr>
          <w:p w:rsidR="00195BE7" w:rsidRPr="001E2F6E" w:rsidRDefault="00195BE7" w:rsidP="00195BE7">
            <w:pPr>
              <w:spacing w:line="240" w:lineRule="exact"/>
              <w:ind w:right="170"/>
              <w:jc w:val="right"/>
              <w:rPr>
                <w:color w:val="000000"/>
                <w:sz w:val="16"/>
                <w:szCs w:val="16"/>
              </w:rPr>
            </w:pPr>
            <w:r w:rsidRPr="001E2F6E">
              <w:rPr>
                <w:color w:val="000000"/>
                <w:sz w:val="16"/>
                <w:szCs w:val="16"/>
              </w:rPr>
              <w:t>18,4</w:t>
            </w:r>
          </w:p>
        </w:tc>
        <w:tc>
          <w:tcPr>
            <w:tcW w:w="1111" w:type="pct"/>
            <w:tcBorders>
              <w:left w:val="single" w:sz="4" w:space="0" w:color="BFBFBF" w:themeColor="background1" w:themeShade="BF"/>
            </w:tcBorders>
          </w:tcPr>
          <w:p w:rsidR="00195BE7" w:rsidRPr="001E2F6E" w:rsidRDefault="00195BE7" w:rsidP="00195BE7">
            <w:pPr>
              <w:spacing w:line="240" w:lineRule="exact"/>
              <w:ind w:right="170"/>
              <w:jc w:val="right"/>
              <w:rPr>
                <w:color w:val="000000"/>
                <w:sz w:val="16"/>
                <w:szCs w:val="16"/>
              </w:rPr>
            </w:pPr>
            <w:r w:rsidRPr="001E2F6E">
              <w:rPr>
                <w:color w:val="000000"/>
                <w:sz w:val="16"/>
                <w:szCs w:val="16"/>
              </w:rPr>
              <w:t>17,1</w:t>
            </w:r>
          </w:p>
        </w:tc>
      </w:tr>
      <w:tr w:rsidR="00195BE7" w:rsidRPr="001E2F6E" w:rsidTr="00195BE7">
        <w:trPr>
          <w:jc w:val="center"/>
        </w:trPr>
        <w:tc>
          <w:tcPr>
            <w:tcW w:w="1666" w:type="pct"/>
            <w:tcBorders>
              <w:right w:val="single" w:sz="4" w:space="0" w:color="BFBFBF" w:themeColor="background1" w:themeShade="BF"/>
            </w:tcBorders>
            <w:noWrap/>
            <w:vAlign w:val="bottom"/>
          </w:tcPr>
          <w:p w:rsidR="00195BE7" w:rsidRPr="001E2F6E" w:rsidRDefault="00195BE7" w:rsidP="00195BE7">
            <w:pPr>
              <w:spacing w:line="240" w:lineRule="auto"/>
              <w:rPr>
                <w:sz w:val="16"/>
                <w:szCs w:val="16"/>
                <w:lang w:val="eu-ES"/>
              </w:rPr>
            </w:pPr>
            <w:r w:rsidRPr="001E2F6E">
              <w:rPr>
                <w:sz w:val="16"/>
                <w:szCs w:val="16"/>
                <w:lang w:val="eu-ES"/>
              </w:rPr>
              <w:t>51 – 100 bitarte</w:t>
            </w:r>
          </w:p>
        </w:tc>
        <w:tc>
          <w:tcPr>
            <w:tcW w:w="1111" w:type="pct"/>
            <w:tcBorders>
              <w:left w:val="single" w:sz="4" w:space="0" w:color="BFBFBF" w:themeColor="background1" w:themeShade="BF"/>
              <w:right w:val="single" w:sz="4" w:space="0" w:color="BFBFBF" w:themeColor="background1" w:themeShade="BF"/>
            </w:tcBorders>
          </w:tcPr>
          <w:p w:rsidR="00195BE7" w:rsidRPr="001E2F6E" w:rsidRDefault="00195BE7" w:rsidP="00195BE7">
            <w:pPr>
              <w:spacing w:line="240" w:lineRule="exact"/>
              <w:ind w:right="170"/>
              <w:jc w:val="right"/>
              <w:rPr>
                <w:color w:val="000000"/>
                <w:sz w:val="16"/>
                <w:szCs w:val="16"/>
              </w:rPr>
            </w:pPr>
            <w:r w:rsidRPr="001E2F6E">
              <w:rPr>
                <w:color w:val="000000"/>
                <w:sz w:val="16"/>
                <w:szCs w:val="16"/>
              </w:rPr>
              <w:t>95,6</w:t>
            </w:r>
          </w:p>
        </w:tc>
        <w:tc>
          <w:tcPr>
            <w:tcW w:w="1111" w:type="pct"/>
            <w:tcBorders>
              <w:left w:val="single" w:sz="4" w:space="0" w:color="BFBFBF" w:themeColor="background1" w:themeShade="BF"/>
              <w:right w:val="single" w:sz="4" w:space="0" w:color="BFBFBF" w:themeColor="background1" w:themeShade="BF"/>
            </w:tcBorders>
          </w:tcPr>
          <w:p w:rsidR="00195BE7" w:rsidRPr="001E2F6E" w:rsidRDefault="00195BE7" w:rsidP="00195BE7">
            <w:pPr>
              <w:spacing w:line="240" w:lineRule="exact"/>
              <w:ind w:right="170"/>
              <w:jc w:val="right"/>
              <w:rPr>
                <w:color w:val="000000"/>
                <w:sz w:val="16"/>
                <w:szCs w:val="16"/>
              </w:rPr>
            </w:pPr>
            <w:r w:rsidRPr="001E2F6E">
              <w:rPr>
                <w:color w:val="000000"/>
                <w:sz w:val="16"/>
                <w:szCs w:val="16"/>
              </w:rPr>
              <w:t>4,4</w:t>
            </w:r>
          </w:p>
        </w:tc>
        <w:tc>
          <w:tcPr>
            <w:tcW w:w="1111" w:type="pct"/>
            <w:tcBorders>
              <w:left w:val="single" w:sz="4" w:space="0" w:color="BFBFBF" w:themeColor="background1" w:themeShade="BF"/>
            </w:tcBorders>
          </w:tcPr>
          <w:p w:rsidR="00195BE7" w:rsidRPr="001E2F6E" w:rsidRDefault="00195BE7" w:rsidP="00195BE7">
            <w:pPr>
              <w:spacing w:line="240" w:lineRule="exact"/>
              <w:ind w:right="170"/>
              <w:jc w:val="right"/>
              <w:rPr>
                <w:color w:val="000000"/>
                <w:sz w:val="16"/>
                <w:szCs w:val="16"/>
              </w:rPr>
            </w:pPr>
            <w:r w:rsidRPr="001E2F6E">
              <w:rPr>
                <w:color w:val="000000"/>
                <w:sz w:val="16"/>
                <w:szCs w:val="16"/>
              </w:rPr>
              <w:t>0,0</w:t>
            </w:r>
          </w:p>
        </w:tc>
      </w:tr>
      <w:tr w:rsidR="00195BE7" w:rsidRPr="001E2F6E" w:rsidTr="00195BE7">
        <w:trPr>
          <w:jc w:val="center"/>
        </w:trPr>
        <w:tc>
          <w:tcPr>
            <w:tcW w:w="1666" w:type="pct"/>
            <w:tcBorders>
              <w:right w:val="single" w:sz="4" w:space="0" w:color="BFBFBF" w:themeColor="background1" w:themeShade="BF"/>
            </w:tcBorders>
            <w:noWrap/>
            <w:vAlign w:val="bottom"/>
          </w:tcPr>
          <w:p w:rsidR="00195BE7" w:rsidRPr="001E2F6E" w:rsidRDefault="00195BE7" w:rsidP="00195BE7">
            <w:pPr>
              <w:spacing w:line="240" w:lineRule="auto"/>
              <w:rPr>
                <w:sz w:val="16"/>
                <w:szCs w:val="16"/>
                <w:lang w:val="eu-ES"/>
              </w:rPr>
            </w:pPr>
            <w:r w:rsidRPr="001E2F6E">
              <w:rPr>
                <w:sz w:val="16"/>
                <w:szCs w:val="16"/>
                <w:lang w:val="eu-ES"/>
              </w:rPr>
              <w:t>101 – 200 bitarte</w:t>
            </w:r>
          </w:p>
        </w:tc>
        <w:tc>
          <w:tcPr>
            <w:tcW w:w="1111" w:type="pct"/>
            <w:tcBorders>
              <w:left w:val="single" w:sz="4" w:space="0" w:color="BFBFBF" w:themeColor="background1" w:themeShade="BF"/>
              <w:right w:val="single" w:sz="4" w:space="0" w:color="BFBFBF" w:themeColor="background1" w:themeShade="BF"/>
            </w:tcBorders>
          </w:tcPr>
          <w:p w:rsidR="00195BE7" w:rsidRPr="001E2F6E" w:rsidRDefault="00195BE7" w:rsidP="00195BE7">
            <w:pPr>
              <w:spacing w:line="240" w:lineRule="exact"/>
              <w:ind w:right="170"/>
              <w:jc w:val="right"/>
              <w:rPr>
                <w:color w:val="000000"/>
                <w:sz w:val="16"/>
                <w:szCs w:val="16"/>
              </w:rPr>
            </w:pPr>
            <w:r w:rsidRPr="001E2F6E">
              <w:rPr>
                <w:color w:val="000000"/>
                <w:sz w:val="16"/>
                <w:szCs w:val="16"/>
              </w:rPr>
              <w:t>89,5</w:t>
            </w:r>
          </w:p>
        </w:tc>
        <w:tc>
          <w:tcPr>
            <w:tcW w:w="1111" w:type="pct"/>
            <w:tcBorders>
              <w:left w:val="single" w:sz="4" w:space="0" w:color="BFBFBF" w:themeColor="background1" w:themeShade="BF"/>
              <w:right w:val="single" w:sz="4" w:space="0" w:color="BFBFBF" w:themeColor="background1" w:themeShade="BF"/>
            </w:tcBorders>
          </w:tcPr>
          <w:p w:rsidR="00195BE7" w:rsidRPr="001E2F6E" w:rsidRDefault="00195BE7" w:rsidP="00195BE7">
            <w:pPr>
              <w:spacing w:line="240" w:lineRule="exact"/>
              <w:ind w:right="170"/>
              <w:jc w:val="right"/>
              <w:rPr>
                <w:color w:val="000000"/>
                <w:sz w:val="16"/>
                <w:szCs w:val="16"/>
              </w:rPr>
            </w:pPr>
            <w:r w:rsidRPr="001E2F6E">
              <w:rPr>
                <w:color w:val="000000"/>
                <w:sz w:val="16"/>
                <w:szCs w:val="16"/>
              </w:rPr>
              <w:t>5,7</w:t>
            </w:r>
          </w:p>
        </w:tc>
        <w:tc>
          <w:tcPr>
            <w:tcW w:w="1111" w:type="pct"/>
            <w:tcBorders>
              <w:left w:val="single" w:sz="4" w:space="0" w:color="BFBFBF" w:themeColor="background1" w:themeShade="BF"/>
            </w:tcBorders>
          </w:tcPr>
          <w:p w:rsidR="00195BE7" w:rsidRPr="001E2F6E" w:rsidRDefault="00195BE7" w:rsidP="00195BE7">
            <w:pPr>
              <w:spacing w:line="240" w:lineRule="exact"/>
              <w:ind w:right="170"/>
              <w:jc w:val="right"/>
              <w:rPr>
                <w:color w:val="000000"/>
                <w:sz w:val="16"/>
                <w:szCs w:val="16"/>
              </w:rPr>
            </w:pPr>
            <w:r w:rsidRPr="001E2F6E">
              <w:rPr>
                <w:color w:val="000000"/>
                <w:sz w:val="16"/>
                <w:szCs w:val="16"/>
              </w:rPr>
              <w:t>4,8</w:t>
            </w:r>
          </w:p>
        </w:tc>
      </w:tr>
      <w:tr w:rsidR="00195BE7" w:rsidRPr="001E2F6E" w:rsidTr="00195BE7">
        <w:trPr>
          <w:jc w:val="center"/>
        </w:trPr>
        <w:tc>
          <w:tcPr>
            <w:tcW w:w="1666" w:type="pct"/>
            <w:tcBorders>
              <w:right w:val="single" w:sz="4" w:space="0" w:color="BFBFBF" w:themeColor="background1" w:themeShade="BF"/>
            </w:tcBorders>
            <w:noWrap/>
            <w:vAlign w:val="bottom"/>
          </w:tcPr>
          <w:p w:rsidR="00195BE7" w:rsidRPr="001E2F6E" w:rsidRDefault="00195BE7" w:rsidP="00195BE7">
            <w:pPr>
              <w:spacing w:line="240" w:lineRule="auto"/>
              <w:rPr>
                <w:sz w:val="16"/>
                <w:szCs w:val="16"/>
                <w:lang w:val="eu-ES"/>
              </w:rPr>
            </w:pPr>
            <w:r w:rsidRPr="001E2F6E">
              <w:rPr>
                <w:sz w:val="16"/>
                <w:szCs w:val="16"/>
                <w:lang w:val="eu-ES"/>
              </w:rPr>
              <w:t>201 – 500 bitarte</w:t>
            </w:r>
          </w:p>
        </w:tc>
        <w:tc>
          <w:tcPr>
            <w:tcW w:w="1111" w:type="pct"/>
            <w:tcBorders>
              <w:left w:val="single" w:sz="4" w:space="0" w:color="BFBFBF" w:themeColor="background1" w:themeShade="BF"/>
              <w:right w:val="single" w:sz="4" w:space="0" w:color="BFBFBF" w:themeColor="background1" w:themeShade="BF"/>
            </w:tcBorders>
          </w:tcPr>
          <w:p w:rsidR="00195BE7" w:rsidRPr="001E2F6E" w:rsidRDefault="00195BE7" w:rsidP="00195BE7">
            <w:pPr>
              <w:spacing w:line="240" w:lineRule="exact"/>
              <w:ind w:right="170"/>
              <w:jc w:val="right"/>
              <w:rPr>
                <w:color w:val="000000"/>
                <w:sz w:val="16"/>
                <w:szCs w:val="16"/>
              </w:rPr>
            </w:pPr>
            <w:r w:rsidRPr="001E2F6E">
              <w:rPr>
                <w:color w:val="000000"/>
                <w:sz w:val="16"/>
                <w:szCs w:val="16"/>
              </w:rPr>
              <w:t>95,1</w:t>
            </w:r>
          </w:p>
        </w:tc>
        <w:tc>
          <w:tcPr>
            <w:tcW w:w="1111" w:type="pct"/>
            <w:tcBorders>
              <w:left w:val="single" w:sz="4" w:space="0" w:color="BFBFBF" w:themeColor="background1" w:themeShade="BF"/>
              <w:right w:val="single" w:sz="4" w:space="0" w:color="BFBFBF" w:themeColor="background1" w:themeShade="BF"/>
            </w:tcBorders>
          </w:tcPr>
          <w:p w:rsidR="00195BE7" w:rsidRPr="001E2F6E" w:rsidRDefault="00195BE7" w:rsidP="00195BE7">
            <w:pPr>
              <w:spacing w:line="240" w:lineRule="exact"/>
              <w:ind w:right="170"/>
              <w:jc w:val="right"/>
              <w:rPr>
                <w:color w:val="000000"/>
                <w:sz w:val="16"/>
                <w:szCs w:val="16"/>
              </w:rPr>
            </w:pPr>
            <w:r w:rsidRPr="001E2F6E">
              <w:rPr>
                <w:color w:val="000000"/>
                <w:sz w:val="16"/>
                <w:szCs w:val="16"/>
              </w:rPr>
              <w:t>4,9</w:t>
            </w:r>
          </w:p>
        </w:tc>
        <w:tc>
          <w:tcPr>
            <w:tcW w:w="1111" w:type="pct"/>
            <w:tcBorders>
              <w:left w:val="single" w:sz="4" w:space="0" w:color="BFBFBF" w:themeColor="background1" w:themeShade="BF"/>
            </w:tcBorders>
          </w:tcPr>
          <w:p w:rsidR="00195BE7" w:rsidRPr="001E2F6E" w:rsidRDefault="00195BE7" w:rsidP="00195BE7">
            <w:pPr>
              <w:spacing w:line="240" w:lineRule="exact"/>
              <w:ind w:right="170"/>
              <w:jc w:val="right"/>
              <w:rPr>
                <w:color w:val="000000"/>
                <w:sz w:val="16"/>
                <w:szCs w:val="16"/>
              </w:rPr>
            </w:pPr>
            <w:r w:rsidRPr="001E2F6E">
              <w:rPr>
                <w:color w:val="000000"/>
                <w:sz w:val="16"/>
                <w:szCs w:val="16"/>
              </w:rPr>
              <w:t>0,0</w:t>
            </w:r>
          </w:p>
        </w:tc>
      </w:tr>
      <w:tr w:rsidR="00195BE7" w:rsidRPr="001E2F6E" w:rsidTr="00195BE7">
        <w:trPr>
          <w:jc w:val="center"/>
        </w:trPr>
        <w:tc>
          <w:tcPr>
            <w:tcW w:w="1666" w:type="pct"/>
            <w:tcBorders>
              <w:bottom w:val="single" w:sz="4" w:space="0" w:color="BFBFBF" w:themeColor="background1" w:themeShade="BF"/>
              <w:right w:val="single" w:sz="4" w:space="0" w:color="BFBFBF" w:themeColor="background1" w:themeShade="BF"/>
            </w:tcBorders>
            <w:noWrap/>
            <w:vAlign w:val="bottom"/>
          </w:tcPr>
          <w:p w:rsidR="00195BE7" w:rsidRPr="001E2F6E" w:rsidRDefault="00195BE7" w:rsidP="00195BE7">
            <w:pPr>
              <w:spacing w:line="240" w:lineRule="auto"/>
              <w:rPr>
                <w:sz w:val="16"/>
                <w:szCs w:val="16"/>
                <w:lang w:val="eu-ES"/>
              </w:rPr>
            </w:pPr>
            <w:r w:rsidRPr="001E2F6E">
              <w:rPr>
                <w:sz w:val="16"/>
                <w:szCs w:val="16"/>
                <w:lang w:val="eu-ES"/>
              </w:rPr>
              <w:t>500 baino gehiago</w:t>
            </w:r>
          </w:p>
        </w:tc>
        <w:tc>
          <w:tcPr>
            <w:tcW w:w="1111" w:type="pct"/>
            <w:tcBorders>
              <w:left w:val="single" w:sz="4" w:space="0" w:color="BFBFBF" w:themeColor="background1" w:themeShade="BF"/>
              <w:bottom w:val="single" w:sz="4" w:space="0" w:color="BFBFBF" w:themeColor="background1" w:themeShade="BF"/>
              <w:right w:val="single" w:sz="4" w:space="0" w:color="BFBFBF" w:themeColor="background1" w:themeShade="BF"/>
            </w:tcBorders>
          </w:tcPr>
          <w:p w:rsidR="00195BE7" w:rsidRPr="001E2F6E" w:rsidRDefault="00195BE7" w:rsidP="00195BE7">
            <w:pPr>
              <w:spacing w:line="240" w:lineRule="exact"/>
              <w:ind w:right="170"/>
              <w:jc w:val="right"/>
              <w:rPr>
                <w:color w:val="000000"/>
                <w:sz w:val="16"/>
                <w:szCs w:val="16"/>
              </w:rPr>
            </w:pPr>
            <w:r w:rsidRPr="001E2F6E">
              <w:rPr>
                <w:color w:val="000000"/>
                <w:sz w:val="16"/>
                <w:szCs w:val="16"/>
              </w:rPr>
              <w:t>100,0</w:t>
            </w:r>
          </w:p>
        </w:tc>
        <w:tc>
          <w:tcPr>
            <w:tcW w:w="1111" w:type="pct"/>
            <w:tcBorders>
              <w:left w:val="single" w:sz="4" w:space="0" w:color="BFBFBF" w:themeColor="background1" w:themeShade="BF"/>
              <w:bottom w:val="single" w:sz="4" w:space="0" w:color="BFBFBF" w:themeColor="background1" w:themeShade="BF"/>
              <w:right w:val="single" w:sz="4" w:space="0" w:color="BFBFBF" w:themeColor="background1" w:themeShade="BF"/>
            </w:tcBorders>
          </w:tcPr>
          <w:p w:rsidR="00195BE7" w:rsidRPr="001E2F6E" w:rsidRDefault="00195BE7" w:rsidP="00195BE7">
            <w:pPr>
              <w:spacing w:line="240" w:lineRule="exact"/>
              <w:ind w:right="170"/>
              <w:jc w:val="right"/>
              <w:rPr>
                <w:color w:val="000000"/>
                <w:sz w:val="16"/>
                <w:szCs w:val="16"/>
              </w:rPr>
            </w:pPr>
            <w:r w:rsidRPr="001E2F6E">
              <w:rPr>
                <w:color w:val="000000"/>
                <w:sz w:val="16"/>
                <w:szCs w:val="16"/>
              </w:rPr>
              <w:t>0,0</w:t>
            </w:r>
          </w:p>
        </w:tc>
        <w:tc>
          <w:tcPr>
            <w:tcW w:w="1111" w:type="pct"/>
            <w:tcBorders>
              <w:left w:val="single" w:sz="4" w:space="0" w:color="BFBFBF" w:themeColor="background1" w:themeShade="BF"/>
              <w:bottom w:val="single" w:sz="4" w:space="0" w:color="BFBFBF" w:themeColor="background1" w:themeShade="BF"/>
            </w:tcBorders>
          </w:tcPr>
          <w:p w:rsidR="00195BE7" w:rsidRPr="001E2F6E" w:rsidRDefault="00195BE7" w:rsidP="00195BE7">
            <w:pPr>
              <w:spacing w:line="240" w:lineRule="exact"/>
              <w:ind w:right="170"/>
              <w:jc w:val="right"/>
              <w:rPr>
                <w:color w:val="000000"/>
                <w:sz w:val="16"/>
                <w:szCs w:val="16"/>
              </w:rPr>
            </w:pPr>
            <w:r w:rsidRPr="001E2F6E">
              <w:rPr>
                <w:color w:val="000000"/>
                <w:sz w:val="16"/>
                <w:szCs w:val="16"/>
              </w:rPr>
              <w:t>0,0</w:t>
            </w:r>
          </w:p>
        </w:tc>
      </w:tr>
      <w:tr w:rsidR="00195BE7" w:rsidRPr="001E2F6E" w:rsidTr="00195BE7">
        <w:trPr>
          <w:jc w:val="center"/>
        </w:trPr>
        <w:tc>
          <w:tcPr>
            <w:tcW w:w="1666" w:type="pct"/>
            <w:tcBorders>
              <w:top w:val="single" w:sz="4" w:space="0" w:color="BFBFBF" w:themeColor="background1" w:themeShade="BF"/>
              <w:bottom w:val="single" w:sz="4" w:space="0" w:color="BFBFBF" w:themeColor="background1" w:themeShade="BF"/>
              <w:right w:val="single" w:sz="4" w:space="0" w:color="BFBFBF" w:themeColor="background1" w:themeShade="BF"/>
            </w:tcBorders>
            <w:noWrap/>
            <w:vAlign w:val="bottom"/>
          </w:tcPr>
          <w:p w:rsidR="00195BE7" w:rsidRPr="001E2F6E" w:rsidRDefault="00195BE7" w:rsidP="00195BE7">
            <w:pPr>
              <w:spacing w:line="240" w:lineRule="auto"/>
              <w:rPr>
                <w:b/>
                <w:bCs/>
                <w:sz w:val="16"/>
                <w:szCs w:val="16"/>
                <w:lang w:val="eu-ES"/>
              </w:rPr>
            </w:pPr>
            <w:r w:rsidRPr="001E2F6E">
              <w:rPr>
                <w:b/>
                <w:bCs/>
                <w:sz w:val="16"/>
                <w:szCs w:val="16"/>
                <w:lang w:val="eu-ES"/>
              </w:rPr>
              <w:t>GUZTIRA</w:t>
            </w:r>
          </w:p>
        </w:tc>
        <w:tc>
          <w:tcPr>
            <w:tcW w:w="111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195BE7" w:rsidRPr="001E2F6E" w:rsidRDefault="00195BE7" w:rsidP="00195BE7">
            <w:pPr>
              <w:spacing w:line="240" w:lineRule="exact"/>
              <w:ind w:right="170"/>
              <w:jc w:val="right"/>
              <w:rPr>
                <w:b/>
                <w:bCs/>
                <w:color w:val="000000"/>
                <w:sz w:val="16"/>
                <w:szCs w:val="16"/>
              </w:rPr>
            </w:pPr>
            <w:r w:rsidRPr="001E2F6E">
              <w:rPr>
                <w:b/>
                <w:bCs/>
                <w:sz w:val="16"/>
                <w:szCs w:val="16"/>
              </w:rPr>
              <w:t>96,0</w:t>
            </w:r>
          </w:p>
        </w:tc>
        <w:tc>
          <w:tcPr>
            <w:tcW w:w="111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195BE7" w:rsidRPr="001E2F6E" w:rsidRDefault="00195BE7" w:rsidP="00195BE7">
            <w:pPr>
              <w:spacing w:line="240" w:lineRule="exact"/>
              <w:ind w:right="170"/>
              <w:jc w:val="right"/>
              <w:rPr>
                <w:b/>
                <w:bCs/>
                <w:color w:val="000000"/>
                <w:sz w:val="16"/>
                <w:szCs w:val="16"/>
              </w:rPr>
            </w:pPr>
            <w:r w:rsidRPr="001E2F6E">
              <w:rPr>
                <w:b/>
                <w:bCs/>
                <w:sz w:val="16"/>
                <w:szCs w:val="16"/>
              </w:rPr>
              <w:t>3,5</w:t>
            </w:r>
          </w:p>
        </w:tc>
        <w:tc>
          <w:tcPr>
            <w:tcW w:w="1111" w:type="pct"/>
            <w:tcBorders>
              <w:top w:val="single" w:sz="4" w:space="0" w:color="BFBFBF" w:themeColor="background1" w:themeShade="BF"/>
              <w:left w:val="single" w:sz="4" w:space="0" w:color="BFBFBF" w:themeColor="background1" w:themeShade="BF"/>
              <w:bottom w:val="single" w:sz="4" w:space="0" w:color="BFBFBF" w:themeColor="background1" w:themeShade="BF"/>
            </w:tcBorders>
            <w:noWrap/>
          </w:tcPr>
          <w:p w:rsidR="00195BE7" w:rsidRPr="001E2F6E" w:rsidRDefault="00195BE7" w:rsidP="00195BE7">
            <w:pPr>
              <w:spacing w:line="240" w:lineRule="exact"/>
              <w:ind w:right="170"/>
              <w:jc w:val="right"/>
              <w:rPr>
                <w:b/>
                <w:bCs/>
                <w:color w:val="000000"/>
                <w:sz w:val="16"/>
                <w:szCs w:val="16"/>
              </w:rPr>
            </w:pPr>
            <w:r w:rsidRPr="001E2F6E">
              <w:rPr>
                <w:b/>
                <w:bCs/>
                <w:sz w:val="16"/>
                <w:szCs w:val="16"/>
              </w:rPr>
              <w:t>0,5</w:t>
            </w:r>
          </w:p>
        </w:tc>
      </w:tr>
    </w:tbl>
    <w:p w:rsidR="00195BE7" w:rsidRPr="001E2F6E" w:rsidRDefault="00195BE7" w:rsidP="00195BE7">
      <w:pPr>
        <w:pStyle w:val="Textoindependiente"/>
        <w:spacing w:line="312" w:lineRule="auto"/>
        <w:rPr>
          <w:rFonts w:ascii="Arial" w:hAnsi="Arial" w:cs="Arial"/>
          <w:sz w:val="20"/>
          <w:lang w:val="es-ES_tradnl"/>
        </w:rPr>
      </w:pPr>
    </w:p>
    <w:p w:rsidR="00195BE7" w:rsidRPr="001E2F6E" w:rsidRDefault="00195BE7" w:rsidP="00195BE7">
      <w:pPr>
        <w:spacing w:line="240" w:lineRule="auto"/>
        <w:rPr>
          <w:b/>
          <w:noProof/>
          <w:color w:val="1F497D" w:themeColor="text2"/>
          <w:sz w:val="18"/>
          <w:szCs w:val="18"/>
        </w:rPr>
      </w:pPr>
    </w:p>
    <w:p w:rsidR="00195BE7" w:rsidRPr="001E2F6E" w:rsidRDefault="00195BE7" w:rsidP="00195BE7">
      <w:pPr>
        <w:spacing w:after="200" w:line="276" w:lineRule="auto"/>
        <w:jc w:val="left"/>
        <w:rPr>
          <w:rFonts w:eastAsia="Times New Roman"/>
          <w:b/>
          <w:color w:val="1F497D" w:themeColor="text2"/>
          <w:sz w:val="18"/>
          <w:szCs w:val="18"/>
          <w:lang w:val="es-ES_tradnl" w:eastAsia="es-ES"/>
        </w:rPr>
      </w:pPr>
      <w:r w:rsidRPr="001E2F6E">
        <w:rPr>
          <w:b/>
          <w:color w:val="1F497D" w:themeColor="text2"/>
          <w:sz w:val="18"/>
          <w:szCs w:val="18"/>
          <w:lang w:val="es-ES_tradnl"/>
        </w:rPr>
        <w:br w:type="page"/>
      </w:r>
    </w:p>
    <w:p w:rsidR="00195BE7" w:rsidRPr="001E2F6E" w:rsidRDefault="00195BE7" w:rsidP="00195BE7">
      <w:pPr>
        <w:pStyle w:val="Textoindependiente"/>
        <w:spacing w:line="312" w:lineRule="auto"/>
        <w:jc w:val="center"/>
        <w:rPr>
          <w:rFonts w:ascii="Arial" w:hAnsi="Arial" w:cs="Arial"/>
          <w:b/>
          <w:color w:val="1F497D" w:themeColor="text2"/>
          <w:sz w:val="18"/>
          <w:szCs w:val="18"/>
          <w:lang w:val="es-ES_tradnl"/>
        </w:rPr>
      </w:pPr>
      <w:bookmarkStart w:id="202" w:name="_Toc391989163"/>
      <w:bookmarkStart w:id="203" w:name="_Toc392585828"/>
      <w:r w:rsidRPr="001E2F6E">
        <w:rPr>
          <w:rFonts w:ascii="Arial" w:hAnsi="Arial" w:cs="Arial"/>
          <w:b/>
          <w:color w:val="1F497D" w:themeColor="text2"/>
          <w:sz w:val="18"/>
          <w:szCs w:val="18"/>
          <w:lang w:val="es-ES_tradnl"/>
        </w:rPr>
        <w:lastRenderedPageBreak/>
        <w:t>1.</w:t>
      </w:r>
      <w:r w:rsidR="00EB6BA6" w:rsidRPr="001E2F6E">
        <w:rPr>
          <w:rFonts w:ascii="Arial" w:hAnsi="Arial" w:cs="Arial"/>
          <w:b/>
          <w:color w:val="1F497D" w:themeColor="text2"/>
          <w:sz w:val="18"/>
          <w:szCs w:val="18"/>
          <w:lang w:val="es-ES_tradnl"/>
        </w:rPr>
        <w:fldChar w:fldCharType="begin"/>
      </w:r>
      <w:r w:rsidRPr="001E2F6E">
        <w:rPr>
          <w:rFonts w:ascii="Arial" w:hAnsi="Arial" w:cs="Arial"/>
          <w:b/>
          <w:color w:val="1F497D" w:themeColor="text2"/>
          <w:sz w:val="18"/>
          <w:szCs w:val="18"/>
          <w:lang w:val="es-ES_tradnl"/>
        </w:rPr>
        <w:instrText xml:space="preserve"> SEQ Gráfico_1. \* ARABIC </w:instrText>
      </w:r>
      <w:r w:rsidR="00EB6BA6" w:rsidRPr="001E2F6E">
        <w:rPr>
          <w:rFonts w:ascii="Arial" w:hAnsi="Arial" w:cs="Arial"/>
          <w:b/>
          <w:color w:val="1F497D" w:themeColor="text2"/>
          <w:sz w:val="18"/>
          <w:szCs w:val="18"/>
          <w:lang w:val="es-ES_tradnl"/>
        </w:rPr>
        <w:fldChar w:fldCharType="separate"/>
      </w:r>
      <w:r w:rsidR="00A327D4">
        <w:rPr>
          <w:rFonts w:ascii="Arial" w:hAnsi="Arial" w:cs="Arial"/>
          <w:b/>
          <w:noProof/>
          <w:color w:val="1F497D" w:themeColor="text2"/>
          <w:sz w:val="18"/>
          <w:szCs w:val="18"/>
          <w:lang w:val="es-ES_tradnl"/>
        </w:rPr>
        <w:t>18</w:t>
      </w:r>
      <w:r w:rsidR="00EB6BA6" w:rsidRPr="001E2F6E">
        <w:rPr>
          <w:rFonts w:ascii="Arial" w:hAnsi="Arial" w:cs="Arial"/>
          <w:b/>
          <w:color w:val="1F497D" w:themeColor="text2"/>
          <w:sz w:val="18"/>
          <w:szCs w:val="18"/>
          <w:lang w:val="es-ES_tradnl"/>
        </w:rPr>
        <w:fldChar w:fldCharType="end"/>
      </w:r>
      <w:r w:rsidRPr="001E2F6E">
        <w:rPr>
          <w:rFonts w:ascii="Arial" w:hAnsi="Arial" w:cs="Arial"/>
          <w:b/>
          <w:color w:val="1F497D" w:themeColor="text2"/>
          <w:sz w:val="18"/>
          <w:szCs w:val="18"/>
          <w:lang w:val="es-ES_tradnl"/>
        </w:rPr>
        <w:t xml:space="preserve"> Irudia GIZARTE-EKONOMIAREN ENPRESEN ESPORTAZIOEN JATORRIZKO LURRALDEA. 2012</w:t>
      </w:r>
      <w:bookmarkEnd w:id="202"/>
      <w:r w:rsidR="00462130" w:rsidRPr="001E2F6E">
        <w:rPr>
          <w:rFonts w:ascii="Arial" w:hAnsi="Arial" w:cs="Arial"/>
          <w:b/>
          <w:color w:val="1F497D" w:themeColor="text2"/>
          <w:sz w:val="18"/>
          <w:szCs w:val="18"/>
          <w:lang w:val="es-ES_tradnl"/>
        </w:rPr>
        <w:t xml:space="preserve"> </w:t>
      </w:r>
      <w:r w:rsidRPr="001E2F6E">
        <w:rPr>
          <w:rFonts w:ascii="Arial" w:hAnsi="Arial" w:cs="Arial"/>
          <w:b/>
          <w:color w:val="1F497D" w:themeColor="text2"/>
          <w:sz w:val="18"/>
          <w:szCs w:val="18"/>
          <w:lang w:val="es-ES_tradnl"/>
        </w:rPr>
        <w:t>(esportazioen bolumen osoaren %, jatorrizko Lurralde Historikoaren arabera)</w:t>
      </w:r>
      <w:bookmarkEnd w:id="203"/>
    </w:p>
    <w:p w:rsidR="00195BE7" w:rsidRPr="001E2F6E" w:rsidRDefault="00195BE7" w:rsidP="00195BE7">
      <w:pPr>
        <w:pStyle w:val="Textoindependiente"/>
        <w:spacing w:line="312" w:lineRule="auto"/>
        <w:rPr>
          <w:rFonts w:ascii="Arial" w:hAnsi="Arial" w:cs="Arial"/>
          <w:b/>
          <w:color w:val="1F497D" w:themeColor="text2"/>
          <w:sz w:val="18"/>
          <w:szCs w:val="18"/>
          <w:lang w:val="es-ES_tradnl"/>
        </w:rPr>
      </w:pPr>
    </w:p>
    <w:p w:rsidR="00195BE7" w:rsidRPr="001E2F6E" w:rsidRDefault="00195BE7" w:rsidP="00195BE7">
      <w:pPr>
        <w:pStyle w:val="Textoindependiente"/>
        <w:spacing w:line="312" w:lineRule="auto"/>
        <w:rPr>
          <w:rFonts w:ascii="Arial" w:hAnsi="Arial" w:cs="Arial"/>
          <w:sz w:val="20"/>
          <w:lang w:val="es-ES_tradnl"/>
        </w:rPr>
      </w:pPr>
      <w:r w:rsidRPr="001E2F6E">
        <w:rPr>
          <w:rFonts w:ascii="Arial" w:hAnsi="Arial" w:cs="Arial"/>
          <w:noProof/>
          <w:sz w:val="20"/>
        </w:rPr>
        <w:drawing>
          <wp:anchor distT="0" distB="0" distL="114300" distR="114300" simplePos="0" relativeHeight="251705344" behindDoc="0" locked="0" layoutInCell="1" allowOverlap="1" wp14:anchorId="380B34F4" wp14:editId="20FB3ADA">
            <wp:simplePos x="0" y="0"/>
            <wp:positionH relativeFrom="column">
              <wp:posOffset>822960</wp:posOffset>
            </wp:positionH>
            <wp:positionV relativeFrom="paragraph">
              <wp:posOffset>61595</wp:posOffset>
            </wp:positionV>
            <wp:extent cx="3962400" cy="2628900"/>
            <wp:effectExtent l="0" t="0" r="0" b="0"/>
            <wp:wrapNone/>
            <wp:docPr id="478" name="Objeto 47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anchor>
        </w:drawing>
      </w:r>
    </w:p>
    <w:p w:rsidR="00195BE7" w:rsidRPr="001E2F6E" w:rsidRDefault="00195BE7" w:rsidP="00195BE7">
      <w:pPr>
        <w:pStyle w:val="Textoindependiente"/>
        <w:spacing w:line="312" w:lineRule="auto"/>
        <w:rPr>
          <w:rFonts w:ascii="Arial" w:hAnsi="Arial" w:cs="Arial"/>
          <w:sz w:val="20"/>
          <w:lang w:val="es-ES_tradnl"/>
        </w:rPr>
      </w:pPr>
    </w:p>
    <w:p w:rsidR="00195BE7" w:rsidRPr="001E2F6E" w:rsidRDefault="00195BE7" w:rsidP="00195BE7">
      <w:pPr>
        <w:pStyle w:val="Textoindependiente"/>
        <w:spacing w:line="312" w:lineRule="auto"/>
        <w:rPr>
          <w:rFonts w:ascii="Arial" w:hAnsi="Arial" w:cs="Arial"/>
          <w:sz w:val="20"/>
          <w:lang w:val="es-ES_tradnl"/>
        </w:rPr>
      </w:pPr>
    </w:p>
    <w:p w:rsidR="00195BE7" w:rsidRPr="001E2F6E" w:rsidRDefault="00195BE7" w:rsidP="00195BE7">
      <w:pPr>
        <w:pStyle w:val="Textoindependiente"/>
        <w:spacing w:line="312" w:lineRule="auto"/>
        <w:rPr>
          <w:rFonts w:ascii="Arial" w:hAnsi="Arial" w:cs="Arial"/>
          <w:sz w:val="20"/>
          <w:lang w:val="es-ES_tradnl"/>
        </w:rPr>
      </w:pPr>
    </w:p>
    <w:p w:rsidR="00195BE7" w:rsidRPr="001E2F6E" w:rsidRDefault="00195BE7" w:rsidP="00195BE7">
      <w:pPr>
        <w:pStyle w:val="Textoindependiente"/>
        <w:spacing w:line="312" w:lineRule="auto"/>
        <w:rPr>
          <w:rFonts w:ascii="Arial" w:hAnsi="Arial" w:cs="Arial"/>
          <w:sz w:val="20"/>
          <w:lang w:val="es-ES_tradnl"/>
        </w:rPr>
      </w:pPr>
    </w:p>
    <w:p w:rsidR="00195BE7" w:rsidRPr="001E2F6E" w:rsidRDefault="00195BE7" w:rsidP="00195BE7"/>
    <w:p w:rsidR="00195BE7" w:rsidRPr="001E2F6E" w:rsidRDefault="00195BE7" w:rsidP="00195BE7"/>
    <w:p w:rsidR="00195BE7" w:rsidRPr="001E2F6E" w:rsidRDefault="00195BE7" w:rsidP="00195BE7"/>
    <w:p w:rsidR="00195BE7" w:rsidRPr="001E2F6E" w:rsidRDefault="00195BE7" w:rsidP="00195BE7"/>
    <w:p w:rsidR="00195BE7" w:rsidRPr="001E2F6E" w:rsidRDefault="00195BE7" w:rsidP="00195BE7">
      <w:pPr>
        <w:pStyle w:val="Textoindependiente"/>
        <w:spacing w:line="312" w:lineRule="auto"/>
        <w:ind w:left="708" w:hanging="708"/>
        <w:rPr>
          <w:rFonts w:ascii="Arial" w:hAnsi="Arial" w:cs="Arial"/>
          <w:b/>
          <w:color w:val="000080"/>
          <w:sz w:val="24"/>
          <w:szCs w:val="24"/>
        </w:rPr>
      </w:pPr>
    </w:p>
    <w:p w:rsidR="00195BE7" w:rsidRPr="001E2F6E" w:rsidRDefault="00195BE7" w:rsidP="00195BE7">
      <w:pPr>
        <w:pStyle w:val="Textoindependiente"/>
        <w:spacing w:line="312" w:lineRule="auto"/>
        <w:ind w:left="708" w:hanging="708"/>
        <w:rPr>
          <w:rFonts w:ascii="Arial" w:hAnsi="Arial" w:cs="Arial"/>
          <w:b/>
          <w:color w:val="000080"/>
          <w:sz w:val="24"/>
          <w:szCs w:val="24"/>
        </w:rPr>
      </w:pPr>
    </w:p>
    <w:p w:rsidR="00195BE7" w:rsidRPr="001E2F6E" w:rsidRDefault="00195BE7" w:rsidP="00195BE7">
      <w:pPr>
        <w:pStyle w:val="Textoindependiente"/>
        <w:spacing w:line="312" w:lineRule="auto"/>
        <w:ind w:left="708" w:hanging="708"/>
        <w:rPr>
          <w:rFonts w:ascii="Arial" w:hAnsi="Arial" w:cs="Arial"/>
          <w:b/>
          <w:color w:val="000080"/>
          <w:sz w:val="24"/>
          <w:szCs w:val="24"/>
        </w:rPr>
      </w:pPr>
    </w:p>
    <w:p w:rsidR="00195BE7" w:rsidRPr="001E2F6E" w:rsidRDefault="00195BE7" w:rsidP="00195BE7">
      <w:pPr>
        <w:pStyle w:val="Textoindependiente"/>
        <w:spacing w:line="312" w:lineRule="auto"/>
        <w:ind w:left="708" w:hanging="708"/>
        <w:rPr>
          <w:rFonts w:ascii="Arial" w:hAnsi="Arial" w:cs="Arial"/>
          <w:b/>
          <w:color w:val="000080"/>
          <w:sz w:val="24"/>
          <w:szCs w:val="24"/>
        </w:rPr>
      </w:pPr>
    </w:p>
    <w:p w:rsidR="00195BE7" w:rsidRPr="001E2F6E" w:rsidRDefault="00195BE7" w:rsidP="00195BE7">
      <w:pPr>
        <w:spacing w:line="240" w:lineRule="auto"/>
        <w:rPr>
          <w:b/>
          <w:color w:val="1F497D" w:themeColor="text2"/>
          <w:sz w:val="24"/>
          <w:szCs w:val="24"/>
        </w:rPr>
      </w:pPr>
      <w:r w:rsidRPr="001E2F6E">
        <w:rPr>
          <w:b/>
          <w:color w:val="1F497D" w:themeColor="text2"/>
          <w:sz w:val="24"/>
          <w:szCs w:val="24"/>
        </w:rPr>
        <w:br w:type="page"/>
      </w:r>
    </w:p>
    <w:p w:rsidR="00195BE7" w:rsidRPr="001E2F6E" w:rsidRDefault="00195BE7" w:rsidP="00195BE7">
      <w:pPr>
        <w:pStyle w:val="Ttulo1"/>
        <w:ind w:left="708" w:hanging="708"/>
        <w:rPr>
          <w:color w:val="1F497D" w:themeColor="text2"/>
          <w:sz w:val="26"/>
          <w:szCs w:val="26"/>
        </w:rPr>
      </w:pPr>
      <w:bookmarkStart w:id="204" w:name="_Toc391989021"/>
      <w:bookmarkStart w:id="205" w:name="_Toc392585684"/>
      <w:r w:rsidRPr="001E2F6E">
        <w:rPr>
          <w:color w:val="1F497D" w:themeColor="text2"/>
          <w:sz w:val="26"/>
          <w:szCs w:val="26"/>
        </w:rPr>
        <w:lastRenderedPageBreak/>
        <w:t>5.-</w:t>
      </w:r>
      <w:r w:rsidRPr="001E2F6E">
        <w:rPr>
          <w:color w:val="1F497D" w:themeColor="text2"/>
          <w:sz w:val="26"/>
          <w:szCs w:val="26"/>
        </w:rPr>
        <w:tab/>
      </w:r>
      <w:r w:rsidRPr="001E2F6E">
        <w:rPr>
          <w:color w:val="1F497D" w:themeColor="text2"/>
          <w:sz w:val="26"/>
          <w:szCs w:val="26"/>
          <w:lang w:val="eu-ES"/>
        </w:rPr>
        <w:t>GIZARTE-EKONOMIAREN BESTE MAGNITUDE EKONOMIKO BATZUK</w:t>
      </w:r>
      <w:bookmarkEnd w:id="204"/>
      <w:bookmarkEnd w:id="205"/>
    </w:p>
    <w:p w:rsidR="00195BE7" w:rsidRPr="001E2F6E" w:rsidRDefault="00195BE7" w:rsidP="00195BE7"/>
    <w:p w:rsidR="00195BE7" w:rsidRPr="001E2F6E" w:rsidRDefault="00195BE7" w:rsidP="00195BE7">
      <w:pPr>
        <w:pStyle w:val="Ttulo1"/>
        <w:ind w:left="708" w:hanging="708"/>
        <w:rPr>
          <w:color w:val="1F497D" w:themeColor="text2"/>
          <w:sz w:val="22"/>
          <w:szCs w:val="22"/>
        </w:rPr>
      </w:pPr>
      <w:bookmarkStart w:id="206" w:name="_Toc391989022"/>
      <w:bookmarkStart w:id="207" w:name="_Toc392585685"/>
      <w:r w:rsidRPr="001E2F6E">
        <w:rPr>
          <w:color w:val="1F497D" w:themeColor="text2"/>
          <w:sz w:val="22"/>
          <w:szCs w:val="22"/>
        </w:rPr>
        <w:t>5.1.-</w:t>
      </w:r>
      <w:r w:rsidRPr="001E2F6E">
        <w:rPr>
          <w:color w:val="1F497D" w:themeColor="text2"/>
          <w:sz w:val="22"/>
          <w:szCs w:val="22"/>
        </w:rPr>
        <w:tab/>
        <w:t>GIZARTE-EKONOMIAREN FINANTZIAZIO PROPIOA</w:t>
      </w:r>
      <w:bookmarkEnd w:id="206"/>
      <w:bookmarkEnd w:id="207"/>
    </w:p>
    <w:p w:rsidR="00195BE7" w:rsidRPr="001E2F6E" w:rsidRDefault="00195BE7" w:rsidP="00195BE7">
      <w:pPr>
        <w:rPr>
          <w:color w:val="1F497D" w:themeColor="text2"/>
        </w:rPr>
      </w:pPr>
    </w:p>
    <w:p w:rsidR="00195BE7" w:rsidRPr="001E2F6E" w:rsidRDefault="00195BE7" w:rsidP="00195BE7">
      <w:pPr>
        <w:spacing w:line="240" w:lineRule="auto"/>
        <w:jc w:val="center"/>
        <w:rPr>
          <w:b/>
          <w:color w:val="1F497D" w:themeColor="text2"/>
          <w:sz w:val="18"/>
          <w:szCs w:val="18"/>
        </w:rPr>
      </w:pPr>
      <w:bookmarkStart w:id="208" w:name="_Toc391989124"/>
      <w:bookmarkStart w:id="209" w:name="_Toc392585789"/>
      <w:r w:rsidRPr="001E2F6E">
        <w:rPr>
          <w:b/>
          <w:color w:val="1F497D" w:themeColor="text2"/>
          <w:sz w:val="18"/>
          <w:szCs w:val="18"/>
        </w:rPr>
        <w:t>1.</w:t>
      </w:r>
      <w:r w:rsidR="00EB6BA6" w:rsidRPr="001E2F6E">
        <w:rPr>
          <w:b/>
          <w:color w:val="1F497D" w:themeColor="text2"/>
          <w:sz w:val="18"/>
          <w:szCs w:val="18"/>
        </w:rPr>
        <w:fldChar w:fldCharType="begin"/>
      </w:r>
      <w:r w:rsidRPr="001E2F6E">
        <w:rPr>
          <w:b/>
          <w:color w:val="1F497D" w:themeColor="text2"/>
          <w:sz w:val="18"/>
          <w:szCs w:val="18"/>
        </w:rPr>
        <w:instrText xml:space="preserve"> SEQ Cuadro_1. \* ARABIC </w:instrText>
      </w:r>
      <w:r w:rsidR="00EB6BA6" w:rsidRPr="001E2F6E">
        <w:rPr>
          <w:b/>
          <w:color w:val="1F497D" w:themeColor="text2"/>
          <w:sz w:val="18"/>
          <w:szCs w:val="18"/>
        </w:rPr>
        <w:fldChar w:fldCharType="separate"/>
      </w:r>
      <w:r w:rsidR="00A327D4">
        <w:rPr>
          <w:b/>
          <w:noProof/>
          <w:color w:val="1F497D" w:themeColor="text2"/>
          <w:sz w:val="18"/>
          <w:szCs w:val="18"/>
        </w:rPr>
        <w:t>54</w:t>
      </w:r>
      <w:r w:rsidR="00EB6BA6" w:rsidRPr="001E2F6E">
        <w:rPr>
          <w:b/>
          <w:color w:val="1F497D" w:themeColor="text2"/>
          <w:sz w:val="18"/>
          <w:szCs w:val="18"/>
        </w:rPr>
        <w:fldChar w:fldCharType="end"/>
      </w:r>
      <w:r w:rsidRPr="001E2F6E">
        <w:rPr>
          <w:b/>
          <w:color w:val="1F497D" w:themeColor="text2"/>
          <w:sz w:val="18"/>
          <w:szCs w:val="18"/>
        </w:rPr>
        <w:t xml:space="preserve"> Taula GIZARTE-EKONOMIAREN FUNTS PROPIOEN ARLOZ ARLOKO BANAKETA. 2010 eta 2012</w:t>
      </w:r>
      <w:bookmarkEnd w:id="208"/>
      <w:r w:rsidR="00462130" w:rsidRPr="001E2F6E">
        <w:rPr>
          <w:b/>
          <w:color w:val="1F497D" w:themeColor="text2"/>
          <w:sz w:val="18"/>
          <w:szCs w:val="18"/>
        </w:rPr>
        <w:t xml:space="preserve"> </w:t>
      </w:r>
      <w:r w:rsidRPr="001E2F6E">
        <w:rPr>
          <w:b/>
          <w:color w:val="1F497D" w:themeColor="text2"/>
          <w:sz w:val="18"/>
          <w:szCs w:val="18"/>
        </w:rPr>
        <w:t>(</w:t>
      </w:r>
      <w:r w:rsidR="00462130" w:rsidRPr="001E2F6E">
        <w:rPr>
          <w:b/>
          <w:color w:val="1F497D" w:themeColor="text2"/>
          <w:sz w:val="18"/>
          <w:szCs w:val="18"/>
        </w:rPr>
        <w:t xml:space="preserve">zifra absolutuak </w:t>
      </w:r>
      <w:r w:rsidRPr="001E2F6E">
        <w:rPr>
          <w:b/>
          <w:color w:val="1F497D" w:themeColor="text2"/>
          <w:sz w:val="18"/>
          <w:szCs w:val="18"/>
        </w:rPr>
        <w:t>euro kopurua  milakoan, %bertikalak)</w:t>
      </w:r>
      <w:bookmarkEnd w:id="209"/>
    </w:p>
    <w:tbl>
      <w:tblPr>
        <w:tblW w:w="5000" w:type="pct"/>
        <w:jc w:val="center"/>
        <w:tblCellMar>
          <w:left w:w="70" w:type="dxa"/>
          <w:right w:w="70" w:type="dxa"/>
        </w:tblCellMar>
        <w:tblLook w:val="04A0" w:firstRow="1" w:lastRow="0" w:firstColumn="1" w:lastColumn="0" w:noHBand="0" w:noVBand="1"/>
      </w:tblPr>
      <w:tblGrid>
        <w:gridCol w:w="1925"/>
        <w:gridCol w:w="1971"/>
        <w:gridCol w:w="1355"/>
        <w:gridCol w:w="2698"/>
        <w:gridCol w:w="979"/>
      </w:tblGrid>
      <w:tr w:rsidR="00195BE7" w:rsidRPr="001E2F6E" w:rsidTr="00195BE7">
        <w:trPr>
          <w:jc w:val="center"/>
        </w:trPr>
        <w:tc>
          <w:tcPr>
            <w:tcW w:w="1078" w:type="pct"/>
            <w:tcBorders>
              <w:top w:val="single" w:sz="8" w:space="0" w:color="BFBFBF"/>
              <w:left w:val="nil"/>
              <w:bottom w:val="nil"/>
              <w:right w:val="single" w:sz="8" w:space="0" w:color="BFBFBF"/>
            </w:tcBorders>
            <w:shd w:val="clear" w:color="000000" w:fill="DBE5F1"/>
            <w:hideMark/>
          </w:tcPr>
          <w:p w:rsidR="00195BE7" w:rsidRPr="001E2F6E" w:rsidRDefault="00195BE7" w:rsidP="00195BE7">
            <w:pPr>
              <w:spacing w:line="240" w:lineRule="exact"/>
              <w:rPr>
                <w:rFonts w:ascii="Calibri" w:hAnsi="Calibri"/>
                <w:color w:val="000000"/>
              </w:rPr>
            </w:pPr>
            <w:r w:rsidRPr="001E2F6E">
              <w:rPr>
                <w:rFonts w:ascii="Calibri" w:hAnsi="Calibri"/>
                <w:color w:val="000000"/>
              </w:rPr>
              <w:t> </w:t>
            </w:r>
          </w:p>
        </w:tc>
        <w:tc>
          <w:tcPr>
            <w:tcW w:w="1863" w:type="pct"/>
            <w:gridSpan w:val="2"/>
            <w:tcBorders>
              <w:top w:val="single" w:sz="8" w:space="0" w:color="BFBFBF"/>
              <w:left w:val="nil"/>
              <w:bottom w:val="single" w:sz="8" w:space="0" w:color="BFBFBF"/>
              <w:right w:val="single" w:sz="8" w:space="0" w:color="BFBFBF"/>
            </w:tcBorders>
            <w:shd w:val="clear" w:color="000000" w:fill="DBE5F1"/>
            <w:hideMark/>
          </w:tcPr>
          <w:p w:rsidR="00195BE7" w:rsidRPr="001E2F6E" w:rsidRDefault="00195BE7" w:rsidP="00195BE7">
            <w:pPr>
              <w:spacing w:line="240" w:lineRule="exact"/>
              <w:jc w:val="center"/>
              <w:rPr>
                <w:b/>
                <w:bCs/>
                <w:color w:val="000000"/>
                <w:sz w:val="16"/>
                <w:szCs w:val="16"/>
              </w:rPr>
            </w:pPr>
            <w:r w:rsidRPr="001E2F6E">
              <w:rPr>
                <w:b/>
                <w:bCs/>
                <w:color w:val="000000"/>
                <w:sz w:val="16"/>
                <w:szCs w:val="16"/>
              </w:rPr>
              <w:t>2010</w:t>
            </w:r>
          </w:p>
        </w:tc>
        <w:tc>
          <w:tcPr>
            <w:tcW w:w="2059" w:type="pct"/>
            <w:gridSpan w:val="2"/>
            <w:tcBorders>
              <w:top w:val="single" w:sz="8" w:space="0" w:color="BFBFBF"/>
              <w:left w:val="nil"/>
              <w:bottom w:val="single" w:sz="8" w:space="0" w:color="BFBFBF"/>
              <w:right w:val="nil"/>
            </w:tcBorders>
            <w:shd w:val="clear" w:color="000000" w:fill="DBE5F1"/>
            <w:hideMark/>
          </w:tcPr>
          <w:p w:rsidR="00195BE7" w:rsidRPr="001E2F6E" w:rsidRDefault="00195BE7" w:rsidP="00195BE7">
            <w:pPr>
              <w:spacing w:line="240" w:lineRule="exact"/>
              <w:jc w:val="center"/>
              <w:rPr>
                <w:b/>
                <w:bCs/>
                <w:color w:val="000000"/>
                <w:sz w:val="16"/>
                <w:szCs w:val="16"/>
              </w:rPr>
            </w:pPr>
            <w:r w:rsidRPr="001E2F6E">
              <w:rPr>
                <w:b/>
                <w:bCs/>
                <w:color w:val="000000"/>
                <w:sz w:val="16"/>
                <w:szCs w:val="16"/>
              </w:rPr>
              <w:t>2012</w:t>
            </w:r>
          </w:p>
        </w:tc>
      </w:tr>
      <w:tr w:rsidR="00195BE7" w:rsidRPr="001E2F6E" w:rsidTr="00195BE7">
        <w:trPr>
          <w:jc w:val="center"/>
        </w:trPr>
        <w:tc>
          <w:tcPr>
            <w:tcW w:w="1078" w:type="pct"/>
            <w:tcBorders>
              <w:top w:val="nil"/>
              <w:left w:val="nil"/>
              <w:bottom w:val="single" w:sz="8" w:space="0" w:color="BFBFBF"/>
              <w:right w:val="single" w:sz="8" w:space="0" w:color="BFBFBF"/>
            </w:tcBorders>
            <w:shd w:val="clear" w:color="000000" w:fill="DBE5F1"/>
            <w:hideMark/>
          </w:tcPr>
          <w:p w:rsidR="00195BE7" w:rsidRPr="001E2F6E" w:rsidRDefault="00195BE7" w:rsidP="00195BE7">
            <w:pPr>
              <w:spacing w:line="240" w:lineRule="exact"/>
              <w:rPr>
                <w:rFonts w:ascii="Calibri" w:hAnsi="Calibri"/>
                <w:color w:val="000000"/>
              </w:rPr>
            </w:pPr>
            <w:r w:rsidRPr="001E2F6E">
              <w:rPr>
                <w:rFonts w:ascii="Calibri" w:hAnsi="Calibri"/>
                <w:color w:val="000000"/>
              </w:rPr>
              <w:t> </w:t>
            </w:r>
          </w:p>
        </w:tc>
        <w:tc>
          <w:tcPr>
            <w:tcW w:w="1104" w:type="pct"/>
            <w:tcBorders>
              <w:top w:val="nil"/>
              <w:left w:val="nil"/>
              <w:bottom w:val="single" w:sz="8" w:space="0" w:color="BFBFBF"/>
              <w:right w:val="nil"/>
            </w:tcBorders>
            <w:shd w:val="clear" w:color="000000" w:fill="DBE5F1"/>
            <w:hideMark/>
          </w:tcPr>
          <w:p w:rsidR="00195BE7" w:rsidRPr="001E2F6E" w:rsidRDefault="00195BE7" w:rsidP="00195BE7">
            <w:pPr>
              <w:spacing w:line="240" w:lineRule="exact"/>
              <w:jc w:val="center"/>
              <w:rPr>
                <w:rFonts w:eastAsia="Times New Roman"/>
                <w:b/>
                <w:bCs/>
                <w:color w:val="000000"/>
                <w:sz w:val="16"/>
                <w:szCs w:val="16"/>
                <w:lang w:eastAsia="es-ES"/>
              </w:rPr>
            </w:pPr>
            <w:r w:rsidRPr="001E2F6E">
              <w:rPr>
                <w:rFonts w:eastAsia="Times New Roman"/>
                <w:b/>
                <w:bCs/>
                <w:color w:val="000000"/>
                <w:sz w:val="16"/>
                <w:szCs w:val="16"/>
                <w:lang w:eastAsia="es-ES"/>
              </w:rPr>
              <w:t>Euroak</w:t>
            </w:r>
          </w:p>
        </w:tc>
        <w:tc>
          <w:tcPr>
            <w:tcW w:w="759" w:type="pct"/>
            <w:tcBorders>
              <w:top w:val="nil"/>
              <w:left w:val="nil"/>
              <w:bottom w:val="single" w:sz="8" w:space="0" w:color="BFBFBF"/>
              <w:right w:val="single" w:sz="8" w:space="0" w:color="BFBFBF"/>
            </w:tcBorders>
            <w:shd w:val="clear" w:color="000000" w:fill="DBE5F1"/>
            <w:hideMark/>
          </w:tcPr>
          <w:p w:rsidR="00195BE7" w:rsidRPr="001E2F6E" w:rsidRDefault="00195BE7" w:rsidP="00195BE7">
            <w:pPr>
              <w:spacing w:line="240" w:lineRule="exact"/>
              <w:jc w:val="center"/>
              <w:rPr>
                <w:rFonts w:eastAsia="Times New Roman"/>
                <w:b/>
                <w:bCs/>
                <w:color w:val="000000"/>
                <w:sz w:val="16"/>
                <w:szCs w:val="16"/>
                <w:lang w:eastAsia="es-ES"/>
              </w:rPr>
            </w:pPr>
            <w:r w:rsidRPr="001E2F6E">
              <w:rPr>
                <w:rFonts w:eastAsia="Times New Roman"/>
                <w:b/>
                <w:bCs/>
                <w:color w:val="000000"/>
                <w:sz w:val="16"/>
                <w:szCs w:val="16"/>
                <w:lang w:eastAsia="es-ES"/>
              </w:rPr>
              <w:t>%ber.</w:t>
            </w:r>
          </w:p>
        </w:tc>
        <w:tc>
          <w:tcPr>
            <w:tcW w:w="1511" w:type="pct"/>
            <w:tcBorders>
              <w:top w:val="nil"/>
              <w:left w:val="nil"/>
              <w:bottom w:val="single" w:sz="8" w:space="0" w:color="BFBFBF"/>
              <w:right w:val="nil"/>
            </w:tcBorders>
            <w:shd w:val="clear" w:color="000000" w:fill="DBE5F1"/>
            <w:hideMark/>
          </w:tcPr>
          <w:p w:rsidR="00195BE7" w:rsidRPr="001E2F6E" w:rsidRDefault="00195BE7" w:rsidP="00195BE7">
            <w:pPr>
              <w:spacing w:line="240" w:lineRule="exact"/>
              <w:jc w:val="center"/>
              <w:rPr>
                <w:rFonts w:eastAsia="Times New Roman"/>
                <w:b/>
                <w:bCs/>
                <w:color w:val="000000"/>
                <w:sz w:val="16"/>
                <w:szCs w:val="16"/>
                <w:lang w:eastAsia="es-ES"/>
              </w:rPr>
            </w:pPr>
            <w:r w:rsidRPr="001E2F6E">
              <w:rPr>
                <w:rFonts w:eastAsia="Times New Roman"/>
                <w:b/>
                <w:bCs/>
                <w:color w:val="000000"/>
                <w:sz w:val="16"/>
                <w:szCs w:val="16"/>
                <w:lang w:eastAsia="es-ES"/>
              </w:rPr>
              <w:t>Euroak</w:t>
            </w:r>
          </w:p>
        </w:tc>
        <w:tc>
          <w:tcPr>
            <w:tcW w:w="548" w:type="pct"/>
            <w:tcBorders>
              <w:top w:val="nil"/>
              <w:left w:val="nil"/>
              <w:bottom w:val="single" w:sz="8" w:space="0" w:color="BFBFBF"/>
              <w:right w:val="nil"/>
            </w:tcBorders>
            <w:shd w:val="clear" w:color="000000" w:fill="DBE5F1"/>
            <w:hideMark/>
          </w:tcPr>
          <w:p w:rsidR="00195BE7" w:rsidRPr="001E2F6E" w:rsidRDefault="00195BE7" w:rsidP="00195BE7">
            <w:pPr>
              <w:spacing w:line="240" w:lineRule="exact"/>
              <w:jc w:val="center"/>
              <w:rPr>
                <w:rFonts w:eastAsia="Times New Roman"/>
                <w:b/>
                <w:bCs/>
                <w:color w:val="000000"/>
                <w:sz w:val="16"/>
                <w:szCs w:val="16"/>
                <w:lang w:eastAsia="es-ES"/>
              </w:rPr>
            </w:pPr>
            <w:r w:rsidRPr="001E2F6E">
              <w:rPr>
                <w:rFonts w:eastAsia="Times New Roman"/>
                <w:b/>
                <w:bCs/>
                <w:color w:val="000000"/>
                <w:sz w:val="16"/>
                <w:szCs w:val="16"/>
                <w:lang w:eastAsia="es-ES"/>
              </w:rPr>
              <w:t>%ber.</w:t>
            </w:r>
          </w:p>
        </w:tc>
      </w:tr>
      <w:tr w:rsidR="00195BE7" w:rsidRPr="001E2F6E" w:rsidTr="00195BE7">
        <w:trPr>
          <w:jc w:val="center"/>
        </w:trPr>
        <w:tc>
          <w:tcPr>
            <w:tcW w:w="1078" w:type="pct"/>
            <w:tcBorders>
              <w:top w:val="nil"/>
              <w:left w:val="nil"/>
              <w:bottom w:val="nil"/>
              <w:right w:val="single" w:sz="8" w:space="0" w:color="BFBFBF"/>
            </w:tcBorders>
            <w:shd w:val="clear" w:color="auto" w:fill="auto"/>
            <w:noWrap/>
            <w:vAlign w:val="center"/>
            <w:hideMark/>
          </w:tcPr>
          <w:p w:rsidR="00195BE7" w:rsidRPr="001E2F6E" w:rsidRDefault="00195BE7" w:rsidP="00195BE7">
            <w:pPr>
              <w:spacing w:line="240" w:lineRule="auto"/>
              <w:rPr>
                <w:sz w:val="16"/>
                <w:szCs w:val="16"/>
                <w:lang w:val="eu-ES"/>
              </w:rPr>
            </w:pPr>
            <w:r w:rsidRPr="001E2F6E">
              <w:rPr>
                <w:sz w:val="16"/>
                <w:szCs w:val="16"/>
                <w:lang w:val="eu-ES"/>
              </w:rPr>
              <w:t>Lehen sektorea</w:t>
            </w:r>
          </w:p>
        </w:tc>
        <w:tc>
          <w:tcPr>
            <w:tcW w:w="1104" w:type="pct"/>
            <w:tcBorders>
              <w:top w:val="nil"/>
              <w:left w:val="nil"/>
              <w:bottom w:val="nil"/>
              <w:right w:val="nil"/>
            </w:tcBorders>
            <w:shd w:val="clear" w:color="auto" w:fill="auto"/>
            <w:noWrap/>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6.276.220</w:t>
            </w:r>
          </w:p>
        </w:tc>
        <w:tc>
          <w:tcPr>
            <w:tcW w:w="759" w:type="pct"/>
            <w:tcBorders>
              <w:top w:val="nil"/>
              <w:left w:val="nil"/>
              <w:bottom w:val="nil"/>
              <w:right w:val="single" w:sz="8" w:space="0" w:color="BFBFBF"/>
            </w:tcBorders>
            <w:shd w:val="clear" w:color="auto" w:fill="auto"/>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0,1</w:t>
            </w:r>
          </w:p>
        </w:tc>
        <w:tc>
          <w:tcPr>
            <w:tcW w:w="1511" w:type="pct"/>
            <w:tcBorders>
              <w:top w:val="nil"/>
              <w:left w:val="nil"/>
              <w:bottom w:val="nil"/>
              <w:right w:val="nil"/>
            </w:tcBorders>
            <w:shd w:val="clear" w:color="auto" w:fill="auto"/>
            <w:noWrap/>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6.219.052</w:t>
            </w:r>
          </w:p>
        </w:tc>
        <w:tc>
          <w:tcPr>
            <w:tcW w:w="548" w:type="pct"/>
            <w:tcBorders>
              <w:top w:val="nil"/>
              <w:left w:val="nil"/>
              <w:bottom w:val="nil"/>
              <w:right w:val="nil"/>
            </w:tcBorders>
            <w:shd w:val="clear" w:color="auto" w:fill="auto"/>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0,1</w:t>
            </w:r>
          </w:p>
        </w:tc>
      </w:tr>
      <w:tr w:rsidR="00195BE7" w:rsidRPr="001E2F6E" w:rsidTr="00195BE7">
        <w:trPr>
          <w:jc w:val="center"/>
        </w:trPr>
        <w:tc>
          <w:tcPr>
            <w:tcW w:w="1078" w:type="pct"/>
            <w:tcBorders>
              <w:top w:val="nil"/>
              <w:left w:val="nil"/>
              <w:bottom w:val="nil"/>
              <w:right w:val="single" w:sz="8" w:space="0" w:color="BFBFBF"/>
            </w:tcBorders>
            <w:shd w:val="clear" w:color="auto" w:fill="auto"/>
            <w:vAlign w:val="center"/>
            <w:hideMark/>
          </w:tcPr>
          <w:p w:rsidR="00195BE7" w:rsidRPr="001E2F6E" w:rsidRDefault="00195BE7" w:rsidP="00195BE7">
            <w:pPr>
              <w:spacing w:line="240" w:lineRule="auto"/>
              <w:rPr>
                <w:sz w:val="16"/>
                <w:szCs w:val="16"/>
                <w:lang w:val="eu-ES"/>
              </w:rPr>
            </w:pPr>
            <w:r w:rsidRPr="001E2F6E">
              <w:rPr>
                <w:sz w:val="16"/>
                <w:szCs w:val="16"/>
                <w:lang w:val="eu-ES"/>
              </w:rPr>
              <w:t xml:space="preserve">Industria </w:t>
            </w:r>
          </w:p>
        </w:tc>
        <w:tc>
          <w:tcPr>
            <w:tcW w:w="1104" w:type="pct"/>
            <w:tcBorders>
              <w:top w:val="nil"/>
              <w:left w:val="nil"/>
              <w:bottom w:val="nil"/>
              <w:right w:val="nil"/>
            </w:tcBorders>
            <w:shd w:val="clear" w:color="auto" w:fill="auto"/>
            <w:noWrap/>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2.179.586.578</w:t>
            </w:r>
          </w:p>
        </w:tc>
        <w:tc>
          <w:tcPr>
            <w:tcW w:w="759" w:type="pct"/>
            <w:tcBorders>
              <w:top w:val="nil"/>
              <w:left w:val="nil"/>
              <w:bottom w:val="nil"/>
              <w:right w:val="single" w:sz="8" w:space="0" w:color="BFBFBF"/>
            </w:tcBorders>
            <w:shd w:val="clear" w:color="auto" w:fill="auto"/>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36,8</w:t>
            </w:r>
          </w:p>
        </w:tc>
        <w:tc>
          <w:tcPr>
            <w:tcW w:w="1511" w:type="pct"/>
            <w:tcBorders>
              <w:top w:val="nil"/>
              <w:left w:val="nil"/>
              <w:bottom w:val="nil"/>
              <w:right w:val="nil"/>
            </w:tcBorders>
            <w:shd w:val="clear" w:color="auto" w:fill="auto"/>
            <w:noWrap/>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2.428.715.928</w:t>
            </w:r>
          </w:p>
        </w:tc>
        <w:tc>
          <w:tcPr>
            <w:tcW w:w="548" w:type="pct"/>
            <w:tcBorders>
              <w:top w:val="nil"/>
              <w:left w:val="nil"/>
              <w:bottom w:val="nil"/>
              <w:right w:val="nil"/>
            </w:tcBorders>
            <w:shd w:val="clear" w:color="auto" w:fill="auto"/>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42,5</w:t>
            </w:r>
          </w:p>
        </w:tc>
      </w:tr>
      <w:tr w:rsidR="00195BE7" w:rsidRPr="001E2F6E" w:rsidTr="00195BE7">
        <w:trPr>
          <w:jc w:val="center"/>
        </w:trPr>
        <w:tc>
          <w:tcPr>
            <w:tcW w:w="1078" w:type="pct"/>
            <w:tcBorders>
              <w:top w:val="nil"/>
              <w:left w:val="nil"/>
              <w:bottom w:val="nil"/>
              <w:right w:val="single" w:sz="8" w:space="0" w:color="BFBFBF"/>
            </w:tcBorders>
            <w:shd w:val="clear" w:color="auto" w:fill="auto"/>
            <w:noWrap/>
            <w:vAlign w:val="center"/>
            <w:hideMark/>
          </w:tcPr>
          <w:p w:rsidR="00195BE7" w:rsidRPr="001E2F6E" w:rsidRDefault="00195BE7" w:rsidP="00195BE7">
            <w:pPr>
              <w:spacing w:line="240" w:lineRule="auto"/>
              <w:rPr>
                <w:sz w:val="16"/>
                <w:szCs w:val="16"/>
                <w:lang w:val="eu-ES"/>
              </w:rPr>
            </w:pPr>
            <w:r w:rsidRPr="001E2F6E">
              <w:rPr>
                <w:sz w:val="16"/>
                <w:szCs w:val="16"/>
                <w:lang w:val="eu-ES"/>
              </w:rPr>
              <w:t>Eraikuntza</w:t>
            </w:r>
          </w:p>
        </w:tc>
        <w:tc>
          <w:tcPr>
            <w:tcW w:w="1104" w:type="pct"/>
            <w:tcBorders>
              <w:top w:val="nil"/>
              <w:left w:val="nil"/>
              <w:right w:val="nil"/>
            </w:tcBorders>
            <w:shd w:val="clear" w:color="auto" w:fill="auto"/>
            <w:noWrap/>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57.892.158</w:t>
            </w:r>
          </w:p>
        </w:tc>
        <w:tc>
          <w:tcPr>
            <w:tcW w:w="759" w:type="pct"/>
            <w:tcBorders>
              <w:top w:val="nil"/>
              <w:left w:val="nil"/>
              <w:bottom w:val="nil"/>
              <w:right w:val="single" w:sz="8" w:space="0" w:color="BFBFBF"/>
            </w:tcBorders>
            <w:shd w:val="clear" w:color="auto" w:fill="auto"/>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1,0</w:t>
            </w:r>
          </w:p>
        </w:tc>
        <w:tc>
          <w:tcPr>
            <w:tcW w:w="1511" w:type="pct"/>
            <w:tcBorders>
              <w:top w:val="nil"/>
              <w:left w:val="nil"/>
              <w:right w:val="nil"/>
            </w:tcBorders>
            <w:shd w:val="clear" w:color="auto" w:fill="auto"/>
            <w:noWrap/>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50.949.517</w:t>
            </w:r>
          </w:p>
        </w:tc>
        <w:tc>
          <w:tcPr>
            <w:tcW w:w="548" w:type="pct"/>
            <w:tcBorders>
              <w:top w:val="nil"/>
              <w:left w:val="nil"/>
              <w:right w:val="nil"/>
            </w:tcBorders>
            <w:shd w:val="clear" w:color="auto" w:fill="auto"/>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0,9</w:t>
            </w:r>
          </w:p>
        </w:tc>
      </w:tr>
      <w:tr w:rsidR="00195BE7" w:rsidRPr="001E2F6E" w:rsidTr="00195BE7">
        <w:trPr>
          <w:jc w:val="center"/>
        </w:trPr>
        <w:tc>
          <w:tcPr>
            <w:tcW w:w="1078" w:type="pct"/>
            <w:tcBorders>
              <w:top w:val="nil"/>
              <w:left w:val="nil"/>
              <w:bottom w:val="single" w:sz="8" w:space="0" w:color="BFBFBF"/>
              <w:right w:val="single" w:sz="8" w:space="0" w:color="BFBFBF"/>
            </w:tcBorders>
            <w:shd w:val="clear" w:color="auto" w:fill="auto"/>
            <w:vAlign w:val="center"/>
            <w:hideMark/>
          </w:tcPr>
          <w:p w:rsidR="00195BE7" w:rsidRPr="001E2F6E" w:rsidRDefault="00195BE7" w:rsidP="00195BE7">
            <w:pPr>
              <w:spacing w:line="240" w:lineRule="auto"/>
              <w:rPr>
                <w:sz w:val="16"/>
                <w:szCs w:val="16"/>
                <w:lang w:val="eu-ES"/>
              </w:rPr>
            </w:pPr>
            <w:r w:rsidRPr="001E2F6E">
              <w:rPr>
                <w:sz w:val="16"/>
                <w:szCs w:val="16"/>
                <w:lang w:val="eu-ES"/>
              </w:rPr>
              <w:t xml:space="preserve">Zerbitzuak </w:t>
            </w:r>
          </w:p>
        </w:tc>
        <w:tc>
          <w:tcPr>
            <w:tcW w:w="1104" w:type="pct"/>
            <w:tcBorders>
              <w:top w:val="nil"/>
              <w:left w:val="nil"/>
              <w:bottom w:val="single" w:sz="8" w:space="0" w:color="BFBFBF"/>
            </w:tcBorders>
            <w:shd w:val="clear" w:color="auto" w:fill="auto"/>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footnoteReference w:customMarkFollows="1" w:id="17"/>
              <w:t>3.680.316.122</w:t>
            </w:r>
            <w:r w:rsidRPr="001E2F6E">
              <w:rPr>
                <w:rStyle w:val="Refdenotaalpie"/>
                <w:color w:val="000000"/>
                <w:sz w:val="16"/>
                <w:szCs w:val="16"/>
              </w:rPr>
              <w:footnoteReference w:id="18"/>
            </w:r>
          </w:p>
        </w:tc>
        <w:tc>
          <w:tcPr>
            <w:tcW w:w="759" w:type="pct"/>
            <w:tcBorders>
              <w:top w:val="nil"/>
              <w:left w:val="nil"/>
              <w:bottom w:val="single" w:sz="8" w:space="0" w:color="BFBFBF"/>
              <w:right w:val="single" w:sz="8" w:space="0" w:color="BFBFBF"/>
            </w:tcBorders>
            <w:shd w:val="clear" w:color="auto" w:fill="auto"/>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62,1</w:t>
            </w:r>
          </w:p>
        </w:tc>
        <w:tc>
          <w:tcPr>
            <w:tcW w:w="1511" w:type="pct"/>
            <w:tcBorders>
              <w:top w:val="nil"/>
              <w:left w:val="nil"/>
              <w:bottom w:val="single" w:sz="8" w:space="0" w:color="BFBFBF"/>
            </w:tcBorders>
            <w:shd w:val="clear" w:color="auto" w:fill="auto"/>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3.227.551.120</w:t>
            </w:r>
          </w:p>
        </w:tc>
        <w:tc>
          <w:tcPr>
            <w:tcW w:w="548" w:type="pct"/>
            <w:tcBorders>
              <w:top w:val="nil"/>
              <w:left w:val="nil"/>
              <w:bottom w:val="single" w:sz="8" w:space="0" w:color="BFBFBF"/>
            </w:tcBorders>
            <w:shd w:val="clear" w:color="auto" w:fill="auto"/>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56,5</w:t>
            </w:r>
          </w:p>
        </w:tc>
      </w:tr>
      <w:tr w:rsidR="00195BE7" w:rsidRPr="001E2F6E" w:rsidTr="00195BE7">
        <w:trPr>
          <w:jc w:val="center"/>
        </w:trPr>
        <w:tc>
          <w:tcPr>
            <w:tcW w:w="1078" w:type="pct"/>
            <w:tcBorders>
              <w:top w:val="nil"/>
              <w:left w:val="nil"/>
              <w:bottom w:val="single" w:sz="8" w:space="0" w:color="BFBFBF"/>
              <w:right w:val="single" w:sz="8" w:space="0" w:color="BFBFBF"/>
            </w:tcBorders>
            <w:shd w:val="clear" w:color="auto" w:fill="auto"/>
            <w:vAlign w:val="center"/>
            <w:hideMark/>
          </w:tcPr>
          <w:p w:rsidR="00195BE7" w:rsidRPr="001E2F6E" w:rsidRDefault="00195BE7" w:rsidP="00195BE7">
            <w:pPr>
              <w:spacing w:line="240" w:lineRule="auto"/>
              <w:rPr>
                <w:b/>
                <w:sz w:val="16"/>
                <w:szCs w:val="16"/>
                <w:lang w:val="eu-ES"/>
              </w:rPr>
            </w:pPr>
            <w:r w:rsidRPr="001E2F6E">
              <w:rPr>
                <w:b/>
                <w:sz w:val="16"/>
                <w:szCs w:val="16"/>
                <w:lang w:val="eu-ES"/>
              </w:rPr>
              <w:t>GUZTIRA</w:t>
            </w:r>
          </w:p>
        </w:tc>
        <w:tc>
          <w:tcPr>
            <w:tcW w:w="1104" w:type="pct"/>
            <w:tcBorders>
              <w:top w:val="nil"/>
              <w:left w:val="nil"/>
              <w:bottom w:val="single" w:sz="8" w:space="0" w:color="BFBFBF"/>
              <w:right w:val="nil"/>
            </w:tcBorders>
            <w:shd w:val="clear" w:color="auto" w:fill="auto"/>
            <w:hideMark/>
          </w:tcPr>
          <w:p w:rsidR="00195BE7" w:rsidRPr="001E2F6E" w:rsidRDefault="00195BE7" w:rsidP="00195BE7">
            <w:pPr>
              <w:spacing w:line="240" w:lineRule="exact"/>
              <w:ind w:right="170"/>
              <w:jc w:val="right"/>
              <w:rPr>
                <w:b/>
                <w:bCs/>
                <w:color w:val="000000"/>
                <w:sz w:val="16"/>
                <w:szCs w:val="16"/>
              </w:rPr>
            </w:pPr>
            <w:r w:rsidRPr="001E2F6E">
              <w:rPr>
                <w:b/>
                <w:bCs/>
                <w:color w:val="000000"/>
                <w:sz w:val="16"/>
                <w:szCs w:val="16"/>
              </w:rPr>
              <w:t>5.924.071.078</w:t>
            </w:r>
          </w:p>
        </w:tc>
        <w:tc>
          <w:tcPr>
            <w:tcW w:w="759" w:type="pct"/>
            <w:tcBorders>
              <w:top w:val="nil"/>
              <w:left w:val="nil"/>
              <w:bottom w:val="single" w:sz="8" w:space="0" w:color="BFBFBF"/>
              <w:right w:val="single" w:sz="8" w:space="0" w:color="BFBFBF"/>
            </w:tcBorders>
            <w:shd w:val="clear" w:color="auto" w:fill="auto"/>
            <w:hideMark/>
          </w:tcPr>
          <w:p w:rsidR="00195BE7" w:rsidRPr="001E2F6E" w:rsidRDefault="00195BE7" w:rsidP="00195BE7">
            <w:pPr>
              <w:spacing w:line="240" w:lineRule="exact"/>
              <w:ind w:right="170"/>
              <w:jc w:val="right"/>
              <w:rPr>
                <w:b/>
                <w:bCs/>
                <w:color w:val="000000"/>
                <w:sz w:val="16"/>
                <w:szCs w:val="16"/>
              </w:rPr>
            </w:pPr>
            <w:r w:rsidRPr="001E2F6E">
              <w:rPr>
                <w:b/>
                <w:bCs/>
                <w:color w:val="000000"/>
                <w:sz w:val="16"/>
                <w:szCs w:val="16"/>
              </w:rPr>
              <w:t>100</w:t>
            </w:r>
          </w:p>
        </w:tc>
        <w:tc>
          <w:tcPr>
            <w:tcW w:w="1511" w:type="pct"/>
            <w:tcBorders>
              <w:top w:val="nil"/>
              <w:left w:val="nil"/>
              <w:bottom w:val="single" w:sz="8" w:space="0" w:color="BFBFBF"/>
              <w:right w:val="nil"/>
            </w:tcBorders>
            <w:shd w:val="clear" w:color="auto" w:fill="auto"/>
            <w:hideMark/>
          </w:tcPr>
          <w:p w:rsidR="00195BE7" w:rsidRPr="001E2F6E" w:rsidRDefault="00195BE7" w:rsidP="00195BE7">
            <w:pPr>
              <w:spacing w:line="240" w:lineRule="exact"/>
              <w:ind w:right="170"/>
              <w:jc w:val="right"/>
              <w:rPr>
                <w:b/>
                <w:bCs/>
                <w:color w:val="000000"/>
                <w:sz w:val="16"/>
                <w:szCs w:val="16"/>
              </w:rPr>
            </w:pPr>
            <w:r w:rsidRPr="001E2F6E">
              <w:rPr>
                <w:b/>
                <w:bCs/>
                <w:color w:val="000000"/>
                <w:sz w:val="16"/>
                <w:szCs w:val="16"/>
              </w:rPr>
              <w:t>5.713.435.617</w:t>
            </w:r>
          </w:p>
        </w:tc>
        <w:tc>
          <w:tcPr>
            <w:tcW w:w="548" w:type="pct"/>
            <w:tcBorders>
              <w:top w:val="nil"/>
              <w:left w:val="nil"/>
              <w:bottom w:val="single" w:sz="8" w:space="0" w:color="BFBFBF"/>
              <w:right w:val="nil"/>
            </w:tcBorders>
            <w:shd w:val="clear" w:color="auto" w:fill="auto"/>
            <w:hideMark/>
          </w:tcPr>
          <w:p w:rsidR="00195BE7" w:rsidRPr="001E2F6E" w:rsidRDefault="00195BE7" w:rsidP="00195BE7">
            <w:pPr>
              <w:spacing w:line="240" w:lineRule="exact"/>
              <w:ind w:right="170"/>
              <w:jc w:val="right"/>
              <w:rPr>
                <w:b/>
                <w:bCs/>
                <w:color w:val="000000"/>
                <w:sz w:val="16"/>
                <w:szCs w:val="16"/>
              </w:rPr>
            </w:pPr>
            <w:r w:rsidRPr="001E2F6E">
              <w:rPr>
                <w:b/>
                <w:bCs/>
                <w:color w:val="000000"/>
                <w:sz w:val="16"/>
                <w:szCs w:val="16"/>
              </w:rPr>
              <w:t>100</w:t>
            </w:r>
          </w:p>
        </w:tc>
      </w:tr>
    </w:tbl>
    <w:p w:rsidR="00195BE7" w:rsidRPr="001E2F6E" w:rsidRDefault="00195BE7" w:rsidP="00195BE7"/>
    <w:p w:rsidR="00195BE7" w:rsidRPr="001E2F6E" w:rsidRDefault="00195BE7" w:rsidP="00195BE7">
      <w:pPr>
        <w:spacing w:line="240" w:lineRule="auto"/>
        <w:jc w:val="center"/>
        <w:rPr>
          <w:b/>
          <w:color w:val="1F497D" w:themeColor="text2"/>
          <w:sz w:val="18"/>
          <w:szCs w:val="18"/>
        </w:rPr>
      </w:pPr>
      <w:bookmarkStart w:id="210" w:name="_Toc391989125"/>
      <w:bookmarkStart w:id="211" w:name="_Toc392585790"/>
      <w:r w:rsidRPr="001E2F6E">
        <w:rPr>
          <w:b/>
          <w:color w:val="1F497D" w:themeColor="text2"/>
          <w:sz w:val="18"/>
          <w:szCs w:val="18"/>
        </w:rPr>
        <w:t>1.</w:t>
      </w:r>
      <w:r w:rsidR="00EB6BA6" w:rsidRPr="001E2F6E">
        <w:rPr>
          <w:b/>
          <w:color w:val="1F497D" w:themeColor="text2"/>
          <w:sz w:val="18"/>
          <w:szCs w:val="18"/>
        </w:rPr>
        <w:fldChar w:fldCharType="begin"/>
      </w:r>
      <w:r w:rsidRPr="001E2F6E">
        <w:rPr>
          <w:b/>
          <w:color w:val="1F497D" w:themeColor="text2"/>
          <w:sz w:val="18"/>
          <w:szCs w:val="18"/>
        </w:rPr>
        <w:instrText xml:space="preserve"> SEQ Cuadro_1. \* ARABIC </w:instrText>
      </w:r>
      <w:r w:rsidR="00EB6BA6" w:rsidRPr="001E2F6E">
        <w:rPr>
          <w:b/>
          <w:color w:val="1F497D" w:themeColor="text2"/>
          <w:sz w:val="18"/>
          <w:szCs w:val="18"/>
        </w:rPr>
        <w:fldChar w:fldCharType="separate"/>
      </w:r>
      <w:r w:rsidR="00A327D4">
        <w:rPr>
          <w:b/>
          <w:noProof/>
          <w:color w:val="1F497D" w:themeColor="text2"/>
          <w:sz w:val="18"/>
          <w:szCs w:val="18"/>
        </w:rPr>
        <w:t>55</w:t>
      </w:r>
      <w:r w:rsidR="00EB6BA6" w:rsidRPr="001E2F6E">
        <w:rPr>
          <w:b/>
          <w:color w:val="1F497D" w:themeColor="text2"/>
          <w:sz w:val="18"/>
          <w:szCs w:val="18"/>
        </w:rPr>
        <w:fldChar w:fldCharType="end"/>
      </w:r>
      <w:r w:rsidRPr="001E2F6E">
        <w:rPr>
          <w:b/>
          <w:color w:val="1F497D" w:themeColor="text2"/>
          <w:sz w:val="18"/>
          <w:szCs w:val="18"/>
        </w:rPr>
        <w:t xml:space="preserve"> Taula GIZARTE-EKONOMIAREN FUNTS PROPIOEN ARLOZ ARLOKO BANAKETA. FUNTS PROPIOEN GAINEKO ERRENTAGARRITASUNARI BURUZKO ERREFERENTZIA  (</w:t>
      </w:r>
      <w:r w:rsidR="00462130" w:rsidRPr="001E2F6E">
        <w:rPr>
          <w:b/>
          <w:color w:val="1F497D" w:themeColor="text2"/>
          <w:sz w:val="18"/>
          <w:szCs w:val="18"/>
        </w:rPr>
        <w:t xml:space="preserve">zifra absolutuak </w:t>
      </w:r>
      <w:r w:rsidRPr="001E2F6E">
        <w:rPr>
          <w:b/>
          <w:color w:val="1F497D" w:themeColor="text2"/>
          <w:sz w:val="18"/>
          <w:szCs w:val="18"/>
        </w:rPr>
        <w:t>euro -kopurua milakoan.) 2012</w:t>
      </w:r>
      <w:bookmarkEnd w:id="210"/>
      <w:bookmarkEnd w:id="211"/>
    </w:p>
    <w:tbl>
      <w:tblPr>
        <w:tblW w:w="5000" w:type="pct"/>
        <w:jc w:val="center"/>
        <w:tblBorders>
          <w:top w:val="single" w:sz="4" w:space="0" w:color="BFBFBF" w:themeColor="background1" w:themeShade="BF"/>
          <w:bottom w:val="single" w:sz="4" w:space="0" w:color="BFBFBF" w:themeColor="background1" w:themeShade="BF"/>
        </w:tblBorders>
        <w:tblLook w:val="04A0" w:firstRow="1" w:lastRow="0" w:firstColumn="1" w:lastColumn="0" w:noHBand="0" w:noVBand="1"/>
      </w:tblPr>
      <w:tblGrid>
        <w:gridCol w:w="1949"/>
        <w:gridCol w:w="3099"/>
        <w:gridCol w:w="2067"/>
        <w:gridCol w:w="1889"/>
      </w:tblGrid>
      <w:tr w:rsidR="00195BE7" w:rsidRPr="001E2F6E" w:rsidTr="00195BE7">
        <w:trPr>
          <w:jc w:val="center"/>
        </w:trPr>
        <w:tc>
          <w:tcPr>
            <w:tcW w:w="1082" w:type="pct"/>
            <w:tcBorders>
              <w:top w:val="single" w:sz="4" w:space="0" w:color="BFBFBF" w:themeColor="background1" w:themeShade="BF"/>
              <w:bottom w:val="nil"/>
              <w:right w:val="single" w:sz="4" w:space="0" w:color="BFBFBF" w:themeColor="background1" w:themeShade="BF"/>
            </w:tcBorders>
            <w:shd w:val="clear" w:color="auto" w:fill="DBE5F1" w:themeFill="accent1" w:themeFillTint="33"/>
          </w:tcPr>
          <w:p w:rsidR="00195BE7" w:rsidRPr="001E2F6E" w:rsidRDefault="00195BE7" w:rsidP="00195BE7">
            <w:pPr>
              <w:spacing w:line="240" w:lineRule="exact"/>
              <w:rPr>
                <w:b/>
                <w:sz w:val="16"/>
                <w:szCs w:val="16"/>
              </w:rPr>
            </w:pPr>
          </w:p>
        </w:tc>
        <w:tc>
          <w:tcPr>
            <w:tcW w:w="1721" w:type="pct"/>
            <w:vMerge w:val="restart"/>
            <w:tcBorders>
              <w:top w:val="single" w:sz="4" w:space="0" w:color="BFBFBF" w:themeColor="background1" w:themeShade="BF"/>
              <w:left w:val="single" w:sz="4" w:space="0" w:color="BFBFBF" w:themeColor="background1" w:themeShade="BF"/>
              <w:bottom w:val="nil"/>
              <w:right w:val="single" w:sz="4" w:space="0" w:color="BFBFBF" w:themeColor="background1" w:themeShade="BF"/>
            </w:tcBorders>
            <w:shd w:val="clear" w:color="auto" w:fill="DBE5F1" w:themeFill="accent1" w:themeFillTint="33"/>
            <w:vAlign w:val="center"/>
          </w:tcPr>
          <w:p w:rsidR="00195BE7" w:rsidRPr="001E2F6E" w:rsidRDefault="00195BE7" w:rsidP="00195BE7">
            <w:pPr>
              <w:spacing w:line="240" w:lineRule="exact"/>
              <w:jc w:val="center"/>
              <w:rPr>
                <w:b/>
                <w:sz w:val="16"/>
                <w:szCs w:val="16"/>
              </w:rPr>
            </w:pPr>
            <w:r w:rsidRPr="001E2F6E">
              <w:rPr>
                <w:b/>
                <w:sz w:val="16"/>
                <w:szCs w:val="16"/>
              </w:rPr>
              <w:t>Funts propioak</w:t>
            </w:r>
          </w:p>
        </w:tc>
        <w:tc>
          <w:tcPr>
            <w:tcW w:w="2197" w:type="pct"/>
            <w:gridSpan w:val="2"/>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tcPr>
          <w:p w:rsidR="00195BE7" w:rsidRPr="001E2F6E" w:rsidRDefault="00195BE7" w:rsidP="00195BE7">
            <w:pPr>
              <w:spacing w:line="240" w:lineRule="exact"/>
              <w:jc w:val="center"/>
              <w:rPr>
                <w:b/>
                <w:sz w:val="16"/>
                <w:szCs w:val="16"/>
              </w:rPr>
            </w:pPr>
            <w:r w:rsidRPr="001E2F6E">
              <w:rPr>
                <w:b/>
                <w:sz w:val="16"/>
                <w:szCs w:val="16"/>
              </w:rPr>
              <w:t>Errentagarritasuna / Funts propioak</w:t>
            </w:r>
          </w:p>
        </w:tc>
      </w:tr>
      <w:tr w:rsidR="00195BE7" w:rsidRPr="001E2F6E" w:rsidTr="00195BE7">
        <w:trPr>
          <w:jc w:val="center"/>
        </w:trPr>
        <w:tc>
          <w:tcPr>
            <w:tcW w:w="1082" w:type="pct"/>
            <w:tcBorders>
              <w:top w:val="nil"/>
              <w:bottom w:val="single" w:sz="4" w:space="0" w:color="BFBFBF" w:themeColor="background1" w:themeShade="BF"/>
              <w:right w:val="single" w:sz="4" w:space="0" w:color="BFBFBF" w:themeColor="background1" w:themeShade="BF"/>
            </w:tcBorders>
            <w:shd w:val="clear" w:color="auto" w:fill="DBE5F1" w:themeFill="accent1" w:themeFillTint="33"/>
          </w:tcPr>
          <w:p w:rsidR="00195BE7" w:rsidRPr="001E2F6E" w:rsidRDefault="00195BE7" w:rsidP="00195BE7">
            <w:pPr>
              <w:spacing w:line="240" w:lineRule="exact"/>
              <w:rPr>
                <w:b/>
                <w:sz w:val="16"/>
                <w:szCs w:val="16"/>
              </w:rPr>
            </w:pPr>
          </w:p>
        </w:tc>
        <w:tc>
          <w:tcPr>
            <w:tcW w:w="1721" w:type="pct"/>
            <w:vMerge/>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tcPr>
          <w:p w:rsidR="00195BE7" w:rsidRPr="001E2F6E" w:rsidRDefault="00195BE7" w:rsidP="00195BE7">
            <w:pPr>
              <w:spacing w:line="240" w:lineRule="exact"/>
              <w:jc w:val="center"/>
              <w:rPr>
                <w:b/>
                <w:sz w:val="16"/>
                <w:szCs w:val="16"/>
              </w:rPr>
            </w:pPr>
          </w:p>
        </w:tc>
        <w:tc>
          <w:tcPr>
            <w:tcW w:w="1148"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tcPr>
          <w:p w:rsidR="00195BE7" w:rsidRPr="001E2F6E" w:rsidRDefault="00195BE7" w:rsidP="00195BE7">
            <w:pPr>
              <w:spacing w:line="240" w:lineRule="exact"/>
              <w:jc w:val="center"/>
              <w:rPr>
                <w:b/>
                <w:sz w:val="16"/>
                <w:szCs w:val="16"/>
              </w:rPr>
            </w:pPr>
            <w:r w:rsidRPr="001E2F6E">
              <w:rPr>
                <w:b/>
                <w:sz w:val="16"/>
                <w:szCs w:val="16"/>
              </w:rPr>
              <w:t>2010</w:t>
            </w:r>
          </w:p>
        </w:tc>
        <w:tc>
          <w:tcPr>
            <w:tcW w:w="1049" w:type="pct"/>
            <w:tcBorders>
              <w:top w:val="single" w:sz="4" w:space="0" w:color="BFBFBF" w:themeColor="background1" w:themeShade="BF"/>
              <w:bottom w:val="single" w:sz="4" w:space="0" w:color="BFBFBF" w:themeColor="background1" w:themeShade="BF"/>
            </w:tcBorders>
            <w:shd w:val="clear" w:color="auto" w:fill="DBE5F1" w:themeFill="accent1" w:themeFillTint="33"/>
          </w:tcPr>
          <w:p w:rsidR="00195BE7" w:rsidRPr="001E2F6E" w:rsidRDefault="00195BE7" w:rsidP="00195BE7">
            <w:pPr>
              <w:spacing w:line="240" w:lineRule="exact"/>
              <w:jc w:val="center"/>
              <w:rPr>
                <w:b/>
                <w:sz w:val="16"/>
                <w:szCs w:val="16"/>
              </w:rPr>
            </w:pPr>
            <w:r w:rsidRPr="001E2F6E">
              <w:rPr>
                <w:b/>
                <w:sz w:val="16"/>
                <w:szCs w:val="16"/>
              </w:rPr>
              <w:t>2012</w:t>
            </w:r>
          </w:p>
        </w:tc>
      </w:tr>
      <w:tr w:rsidR="00195BE7" w:rsidRPr="001E2F6E" w:rsidTr="00195BE7">
        <w:trPr>
          <w:jc w:val="center"/>
        </w:trPr>
        <w:tc>
          <w:tcPr>
            <w:tcW w:w="1082" w:type="pct"/>
            <w:tcBorders>
              <w:top w:val="single" w:sz="4" w:space="0" w:color="BFBFBF" w:themeColor="background1" w:themeShade="BF"/>
              <w:right w:val="single" w:sz="4" w:space="0" w:color="BFBFBF" w:themeColor="background1" w:themeShade="BF"/>
            </w:tcBorders>
          </w:tcPr>
          <w:p w:rsidR="00195BE7" w:rsidRPr="001E2F6E" w:rsidRDefault="00195BE7" w:rsidP="00195BE7">
            <w:pPr>
              <w:spacing w:line="240" w:lineRule="exact"/>
              <w:rPr>
                <w:sz w:val="16"/>
                <w:szCs w:val="16"/>
              </w:rPr>
            </w:pPr>
            <w:r w:rsidRPr="001E2F6E">
              <w:rPr>
                <w:sz w:val="16"/>
                <w:szCs w:val="16"/>
              </w:rPr>
              <w:t xml:space="preserve">Industria </w:t>
            </w:r>
            <w:r w:rsidRPr="001E2F6E">
              <w:rPr>
                <w:sz w:val="16"/>
                <w:szCs w:val="16"/>
                <w:vertAlign w:val="superscript"/>
              </w:rPr>
              <w:t>(1)</w:t>
            </w:r>
          </w:p>
        </w:tc>
        <w:tc>
          <w:tcPr>
            <w:tcW w:w="1721" w:type="pct"/>
            <w:tcBorders>
              <w:top w:val="single" w:sz="4" w:space="0" w:color="BFBFBF" w:themeColor="background1" w:themeShade="BF"/>
              <w:left w:val="single" w:sz="4" w:space="0" w:color="BFBFBF" w:themeColor="background1" w:themeShade="BF"/>
              <w:right w:val="single" w:sz="4" w:space="0" w:color="BFBFBF" w:themeColor="background1" w:themeShade="BF"/>
            </w:tcBorders>
          </w:tcPr>
          <w:p w:rsidR="00195BE7" w:rsidRPr="001E2F6E" w:rsidRDefault="00195BE7" w:rsidP="00195BE7">
            <w:pPr>
              <w:spacing w:line="240" w:lineRule="exact"/>
              <w:ind w:right="170"/>
              <w:jc w:val="right"/>
              <w:rPr>
                <w:sz w:val="16"/>
                <w:szCs w:val="16"/>
              </w:rPr>
            </w:pPr>
            <w:r w:rsidRPr="001E2F6E">
              <w:rPr>
                <w:sz w:val="16"/>
                <w:szCs w:val="16"/>
              </w:rPr>
              <w:t>2.479.665.445</w:t>
            </w:r>
          </w:p>
        </w:tc>
        <w:tc>
          <w:tcPr>
            <w:tcW w:w="1148" w:type="pct"/>
            <w:tcBorders>
              <w:top w:val="single" w:sz="4" w:space="0" w:color="BFBFBF" w:themeColor="background1" w:themeShade="BF"/>
              <w:left w:val="single" w:sz="4" w:space="0" w:color="BFBFBF" w:themeColor="background1" w:themeShade="BF"/>
            </w:tcBorders>
          </w:tcPr>
          <w:p w:rsidR="00195BE7" w:rsidRPr="001E2F6E" w:rsidRDefault="00195BE7" w:rsidP="00195BE7">
            <w:pPr>
              <w:spacing w:line="240" w:lineRule="exact"/>
              <w:ind w:right="170"/>
              <w:jc w:val="right"/>
              <w:rPr>
                <w:sz w:val="16"/>
                <w:szCs w:val="16"/>
              </w:rPr>
            </w:pPr>
            <w:r w:rsidRPr="001E2F6E">
              <w:rPr>
                <w:sz w:val="16"/>
                <w:szCs w:val="16"/>
              </w:rPr>
              <w:t>4,1</w:t>
            </w:r>
          </w:p>
        </w:tc>
        <w:tc>
          <w:tcPr>
            <w:tcW w:w="1049" w:type="pct"/>
            <w:tcBorders>
              <w:top w:val="single" w:sz="4" w:space="0" w:color="BFBFBF" w:themeColor="background1" w:themeShade="BF"/>
            </w:tcBorders>
          </w:tcPr>
          <w:p w:rsidR="00195BE7" w:rsidRPr="001E2F6E" w:rsidRDefault="00195BE7" w:rsidP="00195BE7">
            <w:pPr>
              <w:spacing w:line="240" w:lineRule="exact"/>
              <w:ind w:right="170"/>
              <w:jc w:val="right"/>
              <w:rPr>
                <w:sz w:val="16"/>
                <w:szCs w:val="16"/>
              </w:rPr>
            </w:pPr>
            <w:r w:rsidRPr="001E2F6E">
              <w:rPr>
                <w:sz w:val="16"/>
                <w:szCs w:val="16"/>
              </w:rPr>
              <w:t>4,3</w:t>
            </w:r>
          </w:p>
        </w:tc>
      </w:tr>
      <w:tr w:rsidR="00195BE7" w:rsidRPr="001E2F6E" w:rsidTr="00195BE7">
        <w:trPr>
          <w:jc w:val="center"/>
        </w:trPr>
        <w:tc>
          <w:tcPr>
            <w:tcW w:w="1082" w:type="pct"/>
            <w:tcBorders>
              <w:bottom w:val="single" w:sz="4" w:space="0" w:color="BFBFBF" w:themeColor="background1" w:themeShade="BF"/>
              <w:right w:val="single" w:sz="4" w:space="0" w:color="BFBFBF" w:themeColor="background1" w:themeShade="BF"/>
            </w:tcBorders>
          </w:tcPr>
          <w:p w:rsidR="00195BE7" w:rsidRPr="001E2F6E" w:rsidRDefault="00195BE7" w:rsidP="00195BE7">
            <w:pPr>
              <w:spacing w:line="240" w:lineRule="exact"/>
              <w:rPr>
                <w:sz w:val="16"/>
                <w:szCs w:val="16"/>
              </w:rPr>
            </w:pPr>
            <w:r w:rsidRPr="001E2F6E">
              <w:rPr>
                <w:sz w:val="16"/>
                <w:szCs w:val="16"/>
              </w:rPr>
              <w:t xml:space="preserve">Zerbitzuak </w:t>
            </w:r>
          </w:p>
        </w:tc>
        <w:tc>
          <w:tcPr>
            <w:tcW w:w="1721" w:type="pct"/>
            <w:tcBorders>
              <w:left w:val="single" w:sz="4" w:space="0" w:color="BFBFBF" w:themeColor="background1" w:themeShade="BF"/>
              <w:bottom w:val="single" w:sz="4" w:space="0" w:color="BFBFBF" w:themeColor="background1" w:themeShade="BF"/>
              <w:right w:val="single" w:sz="4" w:space="0" w:color="BFBFBF" w:themeColor="background1" w:themeShade="BF"/>
            </w:tcBorders>
          </w:tcPr>
          <w:p w:rsidR="00195BE7" w:rsidRPr="001E2F6E" w:rsidRDefault="00195BE7" w:rsidP="00195BE7">
            <w:pPr>
              <w:spacing w:line="240" w:lineRule="exact"/>
              <w:ind w:right="170"/>
              <w:jc w:val="right"/>
              <w:rPr>
                <w:sz w:val="16"/>
                <w:szCs w:val="16"/>
              </w:rPr>
            </w:pPr>
            <w:r w:rsidRPr="001E2F6E">
              <w:rPr>
                <w:color w:val="000000"/>
                <w:sz w:val="16"/>
                <w:szCs w:val="16"/>
              </w:rPr>
              <w:t>3.227.551.120</w:t>
            </w:r>
          </w:p>
        </w:tc>
        <w:tc>
          <w:tcPr>
            <w:tcW w:w="1148" w:type="pct"/>
            <w:tcBorders>
              <w:left w:val="single" w:sz="4" w:space="0" w:color="BFBFBF" w:themeColor="background1" w:themeShade="BF"/>
              <w:bottom w:val="single" w:sz="4" w:space="0" w:color="BFBFBF" w:themeColor="background1" w:themeShade="BF"/>
            </w:tcBorders>
          </w:tcPr>
          <w:p w:rsidR="00195BE7" w:rsidRPr="001E2F6E" w:rsidRDefault="00195BE7" w:rsidP="00195BE7">
            <w:pPr>
              <w:spacing w:line="240" w:lineRule="exact"/>
              <w:ind w:right="170"/>
              <w:jc w:val="right"/>
              <w:rPr>
                <w:sz w:val="16"/>
                <w:szCs w:val="16"/>
              </w:rPr>
            </w:pPr>
            <w:r w:rsidRPr="001E2F6E">
              <w:rPr>
                <w:sz w:val="16"/>
                <w:szCs w:val="16"/>
              </w:rPr>
              <w:t>4,2</w:t>
            </w:r>
          </w:p>
        </w:tc>
        <w:tc>
          <w:tcPr>
            <w:tcW w:w="1049" w:type="pct"/>
            <w:tcBorders>
              <w:bottom w:val="single" w:sz="4" w:space="0" w:color="BFBFBF" w:themeColor="background1" w:themeShade="BF"/>
            </w:tcBorders>
          </w:tcPr>
          <w:p w:rsidR="00195BE7" w:rsidRPr="001E2F6E" w:rsidRDefault="00195BE7" w:rsidP="00195BE7">
            <w:pPr>
              <w:spacing w:line="240" w:lineRule="exact"/>
              <w:ind w:right="170"/>
              <w:jc w:val="right"/>
              <w:rPr>
                <w:sz w:val="16"/>
                <w:szCs w:val="16"/>
              </w:rPr>
            </w:pPr>
            <w:r w:rsidRPr="001E2F6E">
              <w:rPr>
                <w:sz w:val="16"/>
                <w:szCs w:val="16"/>
              </w:rPr>
              <w:t>-0,9</w:t>
            </w:r>
          </w:p>
        </w:tc>
      </w:tr>
      <w:tr w:rsidR="00195BE7" w:rsidRPr="001E2F6E" w:rsidTr="00195BE7">
        <w:trPr>
          <w:jc w:val="center"/>
        </w:trPr>
        <w:tc>
          <w:tcPr>
            <w:tcW w:w="1082" w:type="pct"/>
            <w:tcBorders>
              <w:top w:val="single" w:sz="4" w:space="0" w:color="BFBFBF" w:themeColor="background1" w:themeShade="BF"/>
              <w:bottom w:val="single" w:sz="4" w:space="0" w:color="BFBFBF" w:themeColor="background1" w:themeShade="BF"/>
              <w:right w:val="single" w:sz="4" w:space="0" w:color="BFBFBF" w:themeColor="background1" w:themeShade="BF"/>
            </w:tcBorders>
          </w:tcPr>
          <w:p w:rsidR="00195BE7" w:rsidRPr="001E2F6E" w:rsidRDefault="00195BE7" w:rsidP="00195BE7">
            <w:pPr>
              <w:spacing w:line="240" w:lineRule="exact"/>
              <w:rPr>
                <w:b/>
                <w:sz w:val="16"/>
                <w:szCs w:val="16"/>
              </w:rPr>
            </w:pPr>
            <w:r w:rsidRPr="001E2F6E">
              <w:rPr>
                <w:b/>
                <w:sz w:val="16"/>
                <w:szCs w:val="16"/>
              </w:rPr>
              <w:t>GUZTIRA</w:t>
            </w:r>
          </w:p>
        </w:tc>
        <w:tc>
          <w:tcPr>
            <w:tcW w:w="172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195BE7" w:rsidRPr="001E2F6E" w:rsidRDefault="00195BE7" w:rsidP="00195BE7">
            <w:pPr>
              <w:tabs>
                <w:tab w:val="left" w:pos="1470"/>
              </w:tabs>
              <w:spacing w:line="240" w:lineRule="exact"/>
              <w:ind w:right="170"/>
              <w:jc w:val="right"/>
              <w:rPr>
                <w:b/>
                <w:sz w:val="16"/>
                <w:szCs w:val="16"/>
              </w:rPr>
            </w:pPr>
            <w:r w:rsidRPr="001E2F6E">
              <w:rPr>
                <w:b/>
                <w:sz w:val="16"/>
                <w:szCs w:val="16"/>
              </w:rPr>
              <w:t>5.713.435.617</w:t>
            </w:r>
          </w:p>
        </w:tc>
        <w:tc>
          <w:tcPr>
            <w:tcW w:w="1148" w:type="pct"/>
            <w:tcBorders>
              <w:top w:val="single" w:sz="4" w:space="0" w:color="BFBFBF" w:themeColor="background1" w:themeShade="BF"/>
              <w:left w:val="single" w:sz="4" w:space="0" w:color="BFBFBF" w:themeColor="background1" w:themeShade="BF"/>
              <w:bottom w:val="single" w:sz="4" w:space="0" w:color="BFBFBF" w:themeColor="background1" w:themeShade="BF"/>
            </w:tcBorders>
          </w:tcPr>
          <w:p w:rsidR="00195BE7" w:rsidRPr="001E2F6E" w:rsidRDefault="00195BE7" w:rsidP="00195BE7">
            <w:pPr>
              <w:spacing w:line="240" w:lineRule="exact"/>
              <w:ind w:right="170"/>
              <w:jc w:val="right"/>
              <w:rPr>
                <w:b/>
                <w:sz w:val="16"/>
                <w:szCs w:val="16"/>
              </w:rPr>
            </w:pPr>
            <w:r w:rsidRPr="001E2F6E">
              <w:rPr>
                <w:b/>
                <w:sz w:val="16"/>
                <w:szCs w:val="16"/>
              </w:rPr>
              <w:t>4,2</w:t>
            </w:r>
          </w:p>
        </w:tc>
        <w:tc>
          <w:tcPr>
            <w:tcW w:w="1049" w:type="pct"/>
            <w:tcBorders>
              <w:top w:val="single" w:sz="4" w:space="0" w:color="BFBFBF" w:themeColor="background1" w:themeShade="BF"/>
              <w:bottom w:val="single" w:sz="4" w:space="0" w:color="BFBFBF" w:themeColor="background1" w:themeShade="BF"/>
            </w:tcBorders>
          </w:tcPr>
          <w:p w:rsidR="00195BE7" w:rsidRPr="001E2F6E" w:rsidRDefault="00195BE7" w:rsidP="00195BE7">
            <w:pPr>
              <w:spacing w:line="240" w:lineRule="exact"/>
              <w:ind w:right="170"/>
              <w:jc w:val="right"/>
              <w:rPr>
                <w:b/>
                <w:sz w:val="16"/>
                <w:szCs w:val="16"/>
              </w:rPr>
            </w:pPr>
            <w:r w:rsidRPr="001E2F6E">
              <w:rPr>
                <w:b/>
                <w:sz w:val="16"/>
                <w:szCs w:val="16"/>
              </w:rPr>
              <w:t>1,4</w:t>
            </w:r>
          </w:p>
        </w:tc>
      </w:tr>
    </w:tbl>
    <w:p w:rsidR="00195BE7" w:rsidRPr="001E2F6E" w:rsidRDefault="00195BE7" w:rsidP="00195BE7">
      <w:pPr>
        <w:pStyle w:val="Textoindependiente3"/>
        <w:spacing w:line="312" w:lineRule="auto"/>
        <w:jc w:val="left"/>
        <w:rPr>
          <w:rFonts w:ascii="Arial" w:hAnsi="Arial" w:cs="Arial"/>
        </w:rPr>
      </w:pPr>
      <w:r w:rsidRPr="001E2F6E">
        <w:rPr>
          <w:rFonts w:ascii="Arial" w:hAnsi="Arial" w:cs="Arial"/>
          <w:vertAlign w:val="superscript"/>
        </w:rPr>
        <w:t xml:space="preserve">(1)  </w:t>
      </w:r>
      <w:r w:rsidRPr="001E2F6E">
        <w:rPr>
          <w:rFonts w:ascii="Arial" w:hAnsi="Arial" w:cs="Arial"/>
          <w:lang w:val="eu-ES"/>
        </w:rPr>
        <w:t>Eraikuntza barne dago</w:t>
      </w:r>
    </w:p>
    <w:p w:rsidR="00195BE7" w:rsidRPr="001E2F6E" w:rsidRDefault="00195BE7" w:rsidP="00195BE7"/>
    <w:p w:rsidR="00195BE7" w:rsidRPr="001E2F6E" w:rsidRDefault="00195BE7" w:rsidP="00195BE7"/>
    <w:p w:rsidR="00195BE7" w:rsidRPr="001E2F6E" w:rsidRDefault="00195BE7" w:rsidP="00195BE7">
      <w:pPr>
        <w:spacing w:line="240" w:lineRule="auto"/>
        <w:jc w:val="center"/>
        <w:rPr>
          <w:b/>
          <w:color w:val="1F497D" w:themeColor="text2"/>
          <w:sz w:val="18"/>
          <w:szCs w:val="18"/>
        </w:rPr>
      </w:pPr>
      <w:bookmarkStart w:id="212" w:name="_Toc391989164"/>
      <w:bookmarkStart w:id="213" w:name="_Toc392585829"/>
      <w:r w:rsidRPr="001E2F6E">
        <w:rPr>
          <w:b/>
          <w:color w:val="1F497D" w:themeColor="text2"/>
          <w:sz w:val="18"/>
          <w:szCs w:val="18"/>
        </w:rPr>
        <w:t>1.</w:t>
      </w:r>
      <w:r w:rsidR="00EB6BA6" w:rsidRPr="001E2F6E">
        <w:rPr>
          <w:b/>
          <w:color w:val="1F497D" w:themeColor="text2"/>
          <w:sz w:val="18"/>
          <w:szCs w:val="18"/>
        </w:rPr>
        <w:fldChar w:fldCharType="begin"/>
      </w:r>
      <w:r w:rsidRPr="001E2F6E">
        <w:rPr>
          <w:b/>
          <w:color w:val="1F497D" w:themeColor="text2"/>
          <w:sz w:val="18"/>
          <w:szCs w:val="18"/>
        </w:rPr>
        <w:instrText xml:space="preserve"> SEQ Gráfico_1. \* ARABIC </w:instrText>
      </w:r>
      <w:r w:rsidR="00EB6BA6" w:rsidRPr="001E2F6E">
        <w:rPr>
          <w:b/>
          <w:color w:val="1F497D" w:themeColor="text2"/>
          <w:sz w:val="18"/>
          <w:szCs w:val="18"/>
        </w:rPr>
        <w:fldChar w:fldCharType="separate"/>
      </w:r>
      <w:r w:rsidR="00A327D4">
        <w:rPr>
          <w:b/>
          <w:noProof/>
          <w:color w:val="1F497D" w:themeColor="text2"/>
          <w:sz w:val="18"/>
          <w:szCs w:val="18"/>
        </w:rPr>
        <w:t>19</w:t>
      </w:r>
      <w:r w:rsidR="00EB6BA6" w:rsidRPr="001E2F6E">
        <w:rPr>
          <w:b/>
          <w:color w:val="1F497D" w:themeColor="text2"/>
          <w:sz w:val="18"/>
          <w:szCs w:val="18"/>
        </w:rPr>
        <w:fldChar w:fldCharType="end"/>
      </w:r>
      <w:r w:rsidRPr="001E2F6E">
        <w:rPr>
          <w:b/>
          <w:color w:val="1F497D" w:themeColor="text2"/>
          <w:sz w:val="18"/>
          <w:szCs w:val="18"/>
        </w:rPr>
        <w:t xml:space="preserve"> Irudia BATEZ BESTEKO FUNTS PROPIOAK, ESTABLEZIMENDUAREN ETA JARDUERA-SEKTOREAREN ARABERA (Euroan). 2012</w:t>
      </w:r>
      <w:bookmarkEnd w:id="212"/>
      <w:bookmarkEnd w:id="213"/>
    </w:p>
    <w:p w:rsidR="00195BE7" w:rsidRPr="001E2F6E" w:rsidRDefault="00195BE7" w:rsidP="00195BE7">
      <w:pPr>
        <w:spacing w:line="240" w:lineRule="auto"/>
        <w:jc w:val="center"/>
        <w:rPr>
          <w:b/>
          <w:color w:val="1F497D" w:themeColor="text2"/>
          <w:sz w:val="18"/>
          <w:szCs w:val="18"/>
        </w:rPr>
      </w:pPr>
      <w:r w:rsidRPr="001E2F6E">
        <w:rPr>
          <w:b/>
          <w:noProof/>
          <w:color w:val="1F497D" w:themeColor="text2"/>
          <w:sz w:val="18"/>
          <w:szCs w:val="18"/>
          <w:lang w:eastAsia="es-ES"/>
        </w:rPr>
        <w:drawing>
          <wp:anchor distT="0" distB="0" distL="114300" distR="114300" simplePos="0" relativeHeight="251706368" behindDoc="0" locked="0" layoutInCell="1" allowOverlap="1" wp14:anchorId="610D783D" wp14:editId="5CCA9B18">
            <wp:simplePos x="0" y="0"/>
            <wp:positionH relativeFrom="column">
              <wp:posOffset>139065</wp:posOffset>
            </wp:positionH>
            <wp:positionV relativeFrom="paragraph">
              <wp:posOffset>48895</wp:posOffset>
            </wp:positionV>
            <wp:extent cx="4953000" cy="1828800"/>
            <wp:effectExtent l="0" t="0" r="0" b="0"/>
            <wp:wrapNone/>
            <wp:docPr id="471" name="Objeto 47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anchor>
        </w:drawing>
      </w:r>
    </w:p>
    <w:p w:rsidR="00195BE7" w:rsidRPr="001E2F6E" w:rsidRDefault="00195BE7" w:rsidP="00195BE7">
      <w:pPr>
        <w:spacing w:line="240" w:lineRule="auto"/>
        <w:jc w:val="center"/>
        <w:rPr>
          <w:b/>
          <w:color w:val="1F497D" w:themeColor="text2"/>
          <w:sz w:val="18"/>
          <w:szCs w:val="18"/>
        </w:rPr>
      </w:pPr>
    </w:p>
    <w:p w:rsidR="00195BE7" w:rsidRPr="001E2F6E" w:rsidRDefault="00195BE7" w:rsidP="00195BE7">
      <w:pPr>
        <w:rPr>
          <w:rFonts w:ascii="Tahoma" w:hAnsi="Tahoma" w:cs="Tahoma"/>
        </w:rPr>
      </w:pPr>
    </w:p>
    <w:p w:rsidR="00195BE7" w:rsidRPr="001E2F6E" w:rsidRDefault="00195BE7" w:rsidP="00195BE7">
      <w:pPr>
        <w:rPr>
          <w:rFonts w:ascii="Tahoma" w:hAnsi="Tahoma" w:cs="Tahoma"/>
        </w:rPr>
      </w:pPr>
    </w:p>
    <w:p w:rsidR="00195BE7" w:rsidRPr="001E2F6E" w:rsidRDefault="00195BE7" w:rsidP="00195BE7">
      <w:pPr>
        <w:rPr>
          <w:rFonts w:ascii="Tahoma" w:hAnsi="Tahoma" w:cs="Tahoma"/>
        </w:rPr>
      </w:pPr>
    </w:p>
    <w:p w:rsidR="00195BE7" w:rsidRPr="001E2F6E" w:rsidRDefault="00195BE7" w:rsidP="00195BE7">
      <w:pPr>
        <w:rPr>
          <w:rFonts w:ascii="Tahoma" w:hAnsi="Tahoma" w:cs="Tahoma"/>
        </w:rPr>
      </w:pPr>
    </w:p>
    <w:p w:rsidR="00195BE7" w:rsidRPr="001E2F6E" w:rsidRDefault="00195BE7" w:rsidP="00195BE7">
      <w:pPr>
        <w:rPr>
          <w:rFonts w:ascii="Tahoma" w:hAnsi="Tahoma" w:cs="Tahoma"/>
        </w:rPr>
      </w:pPr>
    </w:p>
    <w:p w:rsidR="00195BE7" w:rsidRPr="001E2F6E" w:rsidRDefault="00195BE7" w:rsidP="00195BE7">
      <w:pPr>
        <w:rPr>
          <w:rFonts w:ascii="Tahoma" w:hAnsi="Tahoma" w:cs="Tahoma"/>
        </w:rPr>
      </w:pPr>
    </w:p>
    <w:p w:rsidR="00195BE7" w:rsidRPr="001E2F6E" w:rsidRDefault="00195BE7" w:rsidP="00195BE7"/>
    <w:p w:rsidR="00195BE7" w:rsidRPr="001E2F6E" w:rsidRDefault="00195BE7" w:rsidP="00195BE7"/>
    <w:p w:rsidR="00195BE7" w:rsidRPr="001E2F6E" w:rsidRDefault="00195BE7" w:rsidP="00195BE7">
      <w:pPr>
        <w:pStyle w:val="Textoindependiente3"/>
        <w:shd w:val="clear" w:color="auto" w:fill="FFFFFF"/>
        <w:rPr>
          <w:rFonts w:ascii="Arial" w:hAnsi="Arial" w:cs="Arial"/>
          <w:b/>
          <w:color w:val="1F497D" w:themeColor="text2"/>
          <w:sz w:val="18"/>
          <w:szCs w:val="18"/>
        </w:rPr>
      </w:pPr>
      <w:bookmarkStart w:id="214" w:name="_Toc391989126"/>
      <w:bookmarkStart w:id="215" w:name="_Toc392585791"/>
      <w:r w:rsidRPr="001E2F6E">
        <w:rPr>
          <w:rFonts w:ascii="Arial" w:hAnsi="Arial" w:cs="Arial"/>
          <w:b/>
          <w:color w:val="1F497D" w:themeColor="text2"/>
          <w:sz w:val="18"/>
          <w:szCs w:val="18"/>
        </w:rPr>
        <w:t>1.</w:t>
      </w:r>
      <w:r w:rsidR="00EB6BA6" w:rsidRPr="001E2F6E">
        <w:rPr>
          <w:rFonts w:ascii="Arial" w:hAnsi="Arial" w:cs="Arial"/>
          <w:b/>
          <w:color w:val="1F497D" w:themeColor="text2"/>
          <w:sz w:val="18"/>
          <w:szCs w:val="18"/>
        </w:rPr>
        <w:fldChar w:fldCharType="begin"/>
      </w:r>
      <w:r w:rsidRPr="001E2F6E">
        <w:rPr>
          <w:rFonts w:ascii="Arial" w:hAnsi="Arial" w:cs="Arial"/>
          <w:b/>
          <w:color w:val="1F497D" w:themeColor="text2"/>
          <w:sz w:val="18"/>
          <w:szCs w:val="18"/>
        </w:rPr>
        <w:instrText xml:space="preserve"> SEQ Cuadro_1. \* ARABIC </w:instrText>
      </w:r>
      <w:r w:rsidR="00EB6BA6" w:rsidRPr="001E2F6E">
        <w:rPr>
          <w:rFonts w:ascii="Arial" w:hAnsi="Arial" w:cs="Arial"/>
          <w:b/>
          <w:color w:val="1F497D" w:themeColor="text2"/>
          <w:sz w:val="18"/>
          <w:szCs w:val="18"/>
        </w:rPr>
        <w:fldChar w:fldCharType="separate"/>
      </w:r>
      <w:r w:rsidR="00A327D4">
        <w:rPr>
          <w:rFonts w:ascii="Arial" w:hAnsi="Arial" w:cs="Arial"/>
          <w:b/>
          <w:noProof/>
          <w:color w:val="1F497D" w:themeColor="text2"/>
          <w:sz w:val="18"/>
          <w:szCs w:val="18"/>
        </w:rPr>
        <w:t>56</w:t>
      </w:r>
      <w:r w:rsidR="00EB6BA6" w:rsidRPr="001E2F6E">
        <w:rPr>
          <w:rFonts w:ascii="Arial" w:hAnsi="Arial" w:cs="Arial"/>
          <w:b/>
          <w:color w:val="1F497D" w:themeColor="text2"/>
          <w:sz w:val="18"/>
          <w:szCs w:val="18"/>
        </w:rPr>
        <w:fldChar w:fldCharType="end"/>
      </w:r>
      <w:r w:rsidRPr="001E2F6E">
        <w:rPr>
          <w:rFonts w:ascii="Arial" w:hAnsi="Arial" w:cs="Arial"/>
          <w:b/>
          <w:color w:val="1F497D" w:themeColor="text2"/>
          <w:sz w:val="18"/>
          <w:szCs w:val="18"/>
        </w:rPr>
        <w:t xml:space="preserve"> Taula GIZARTE-EKONOMIAREN FUNTS PROPIOEN ARLOZ ARLOKO BANAKETA, FORMA JURIDIKOAREN ARABERA. 2012 (z.a. euroan eta % h</w:t>
      </w:r>
      <w:r w:rsidR="00462130" w:rsidRPr="001E2F6E">
        <w:rPr>
          <w:rFonts w:ascii="Arial" w:hAnsi="Arial" w:cs="Arial"/>
          <w:b/>
          <w:color w:val="1F497D" w:themeColor="text2"/>
          <w:sz w:val="18"/>
          <w:szCs w:val="18"/>
        </w:rPr>
        <w:t>orizontalak</w:t>
      </w:r>
      <w:r w:rsidRPr="001E2F6E">
        <w:rPr>
          <w:rFonts w:ascii="Arial" w:hAnsi="Arial" w:cs="Arial"/>
          <w:b/>
          <w:color w:val="1F497D" w:themeColor="text2"/>
          <w:sz w:val="18"/>
          <w:szCs w:val="18"/>
        </w:rPr>
        <w:t>)</w:t>
      </w:r>
      <w:bookmarkEnd w:id="214"/>
      <w:bookmarkEnd w:id="215"/>
    </w:p>
    <w:tbl>
      <w:tblPr>
        <w:tblW w:w="5000" w:type="pct"/>
        <w:tblCellMar>
          <w:left w:w="70" w:type="dxa"/>
          <w:right w:w="70" w:type="dxa"/>
        </w:tblCellMar>
        <w:tblLook w:val="04A0" w:firstRow="1" w:lastRow="0" w:firstColumn="1" w:lastColumn="0" w:noHBand="0" w:noVBand="1"/>
      </w:tblPr>
      <w:tblGrid>
        <w:gridCol w:w="1404"/>
        <w:gridCol w:w="1334"/>
        <w:gridCol w:w="629"/>
        <w:gridCol w:w="1334"/>
        <w:gridCol w:w="672"/>
        <w:gridCol w:w="1200"/>
        <w:gridCol w:w="622"/>
        <w:gridCol w:w="1111"/>
        <w:gridCol w:w="622"/>
      </w:tblGrid>
      <w:tr w:rsidR="00195BE7" w:rsidRPr="001E2F6E" w:rsidTr="00195BE7">
        <w:tc>
          <w:tcPr>
            <w:tcW w:w="792" w:type="pct"/>
            <w:vMerge w:val="restart"/>
            <w:tcBorders>
              <w:top w:val="single" w:sz="8" w:space="0" w:color="BFBFBF"/>
              <w:left w:val="nil"/>
              <w:bottom w:val="single" w:sz="8" w:space="0" w:color="BFBFBF"/>
              <w:right w:val="single" w:sz="4" w:space="0" w:color="BFBFBF" w:themeColor="background1" w:themeShade="BF"/>
            </w:tcBorders>
            <w:shd w:val="clear" w:color="000000" w:fill="DBE5F1"/>
            <w:hideMark/>
          </w:tcPr>
          <w:p w:rsidR="00195BE7" w:rsidRPr="001E2F6E" w:rsidRDefault="00195BE7" w:rsidP="00195BE7">
            <w:pPr>
              <w:spacing w:line="240" w:lineRule="exact"/>
              <w:rPr>
                <w:rFonts w:ascii="Calibri" w:hAnsi="Calibri"/>
                <w:color w:val="000000"/>
              </w:rPr>
            </w:pPr>
            <w:r w:rsidRPr="001E2F6E">
              <w:rPr>
                <w:rFonts w:ascii="Calibri" w:hAnsi="Calibri"/>
                <w:color w:val="000000"/>
              </w:rPr>
              <w:t> </w:t>
            </w:r>
          </w:p>
        </w:tc>
        <w:tc>
          <w:tcPr>
            <w:tcW w:w="1088" w:type="pct"/>
            <w:gridSpan w:val="2"/>
            <w:tcBorders>
              <w:top w:val="single" w:sz="8" w:space="0" w:color="BFBFBF"/>
              <w:left w:val="single" w:sz="4" w:space="0" w:color="BFBFBF" w:themeColor="background1" w:themeShade="BF"/>
              <w:bottom w:val="single" w:sz="8" w:space="0" w:color="BFBFBF"/>
              <w:right w:val="single" w:sz="4" w:space="0" w:color="BFBFBF" w:themeColor="background1" w:themeShade="BF"/>
            </w:tcBorders>
            <w:shd w:val="clear" w:color="000000" w:fill="DBE5F1"/>
            <w:hideMark/>
          </w:tcPr>
          <w:p w:rsidR="00195BE7" w:rsidRPr="001E2F6E" w:rsidRDefault="00195BE7" w:rsidP="00195BE7">
            <w:pPr>
              <w:spacing w:line="240" w:lineRule="exact"/>
              <w:jc w:val="center"/>
              <w:rPr>
                <w:rFonts w:eastAsia="Times New Roman"/>
                <w:b/>
                <w:bCs/>
                <w:color w:val="000000"/>
                <w:sz w:val="16"/>
                <w:szCs w:val="16"/>
                <w:lang w:eastAsia="es-ES"/>
              </w:rPr>
            </w:pPr>
            <w:r w:rsidRPr="001E2F6E">
              <w:rPr>
                <w:rFonts w:eastAsia="Times New Roman"/>
                <w:b/>
                <w:bCs/>
                <w:color w:val="000000"/>
                <w:sz w:val="16"/>
                <w:szCs w:val="16"/>
                <w:lang w:val="en-GB" w:eastAsia="es-ES"/>
              </w:rPr>
              <w:t>GUZTIRA</w:t>
            </w:r>
          </w:p>
        </w:tc>
        <w:tc>
          <w:tcPr>
            <w:tcW w:w="1128" w:type="pct"/>
            <w:gridSpan w:val="2"/>
            <w:tcBorders>
              <w:top w:val="single" w:sz="8" w:space="0" w:color="BFBFBF"/>
              <w:left w:val="single" w:sz="4" w:space="0" w:color="BFBFBF" w:themeColor="background1" w:themeShade="BF"/>
              <w:bottom w:val="single" w:sz="8" w:space="0" w:color="BFBFBF"/>
              <w:right w:val="single" w:sz="4" w:space="0" w:color="BFBFBF" w:themeColor="background1" w:themeShade="BF"/>
            </w:tcBorders>
            <w:shd w:val="clear" w:color="000000" w:fill="DBE5F1"/>
            <w:hideMark/>
          </w:tcPr>
          <w:p w:rsidR="00195BE7" w:rsidRPr="001E2F6E" w:rsidRDefault="00195BE7" w:rsidP="00195BE7">
            <w:pPr>
              <w:spacing w:line="240" w:lineRule="exact"/>
              <w:jc w:val="center"/>
              <w:rPr>
                <w:rFonts w:eastAsia="Times New Roman"/>
                <w:b/>
                <w:bCs/>
                <w:color w:val="000000"/>
                <w:sz w:val="16"/>
                <w:szCs w:val="16"/>
                <w:lang w:eastAsia="es-ES"/>
              </w:rPr>
            </w:pPr>
            <w:r w:rsidRPr="001E2F6E">
              <w:rPr>
                <w:rFonts w:eastAsia="Times New Roman"/>
                <w:b/>
                <w:bCs/>
                <w:color w:val="000000"/>
                <w:sz w:val="16"/>
                <w:szCs w:val="16"/>
                <w:lang w:val="en-GB" w:eastAsia="es-ES"/>
              </w:rPr>
              <w:t>Koop.</w:t>
            </w:r>
          </w:p>
        </w:tc>
        <w:tc>
          <w:tcPr>
            <w:tcW w:w="1020" w:type="pct"/>
            <w:gridSpan w:val="2"/>
            <w:tcBorders>
              <w:top w:val="single" w:sz="8" w:space="0" w:color="BFBFBF"/>
              <w:left w:val="single" w:sz="4" w:space="0" w:color="BFBFBF" w:themeColor="background1" w:themeShade="BF"/>
              <w:bottom w:val="single" w:sz="8" w:space="0" w:color="BFBFBF"/>
              <w:right w:val="single" w:sz="4" w:space="0" w:color="BFBFBF" w:themeColor="background1" w:themeShade="BF"/>
            </w:tcBorders>
            <w:shd w:val="clear" w:color="000000" w:fill="DBE5F1"/>
            <w:hideMark/>
          </w:tcPr>
          <w:p w:rsidR="00195BE7" w:rsidRPr="001E2F6E" w:rsidRDefault="00195BE7" w:rsidP="00195BE7">
            <w:pPr>
              <w:spacing w:line="240" w:lineRule="exact"/>
              <w:jc w:val="center"/>
              <w:rPr>
                <w:rFonts w:eastAsia="Times New Roman"/>
                <w:b/>
                <w:bCs/>
                <w:color w:val="000000"/>
                <w:sz w:val="16"/>
                <w:szCs w:val="16"/>
                <w:lang w:eastAsia="es-ES"/>
              </w:rPr>
            </w:pPr>
            <w:r w:rsidRPr="001E2F6E">
              <w:rPr>
                <w:rFonts w:eastAsia="Times New Roman"/>
                <w:b/>
                <w:bCs/>
                <w:color w:val="000000"/>
                <w:sz w:val="16"/>
                <w:szCs w:val="16"/>
                <w:lang w:val="en-GB" w:eastAsia="es-ES"/>
              </w:rPr>
              <w:t>LSA</w:t>
            </w:r>
          </w:p>
        </w:tc>
        <w:tc>
          <w:tcPr>
            <w:tcW w:w="971" w:type="pct"/>
            <w:gridSpan w:val="2"/>
            <w:tcBorders>
              <w:top w:val="single" w:sz="8" w:space="0" w:color="BFBFBF"/>
              <w:left w:val="single" w:sz="4" w:space="0" w:color="BFBFBF" w:themeColor="background1" w:themeShade="BF"/>
              <w:bottom w:val="single" w:sz="8" w:space="0" w:color="BFBFBF"/>
              <w:right w:val="nil"/>
            </w:tcBorders>
            <w:shd w:val="clear" w:color="000000" w:fill="DBE5F1"/>
            <w:hideMark/>
          </w:tcPr>
          <w:p w:rsidR="00195BE7" w:rsidRPr="001E2F6E" w:rsidRDefault="00195BE7" w:rsidP="00195BE7">
            <w:pPr>
              <w:spacing w:line="240" w:lineRule="exact"/>
              <w:jc w:val="center"/>
              <w:rPr>
                <w:rFonts w:eastAsia="Times New Roman"/>
                <w:b/>
                <w:bCs/>
                <w:color w:val="000000"/>
                <w:sz w:val="16"/>
                <w:szCs w:val="16"/>
                <w:lang w:eastAsia="es-ES"/>
              </w:rPr>
            </w:pPr>
            <w:r w:rsidRPr="001E2F6E">
              <w:rPr>
                <w:rFonts w:eastAsia="Times New Roman"/>
                <w:b/>
                <w:bCs/>
                <w:color w:val="000000"/>
                <w:sz w:val="16"/>
                <w:szCs w:val="16"/>
                <w:lang w:val="en-GB" w:eastAsia="es-ES"/>
              </w:rPr>
              <w:t>LSM</w:t>
            </w:r>
          </w:p>
        </w:tc>
      </w:tr>
      <w:tr w:rsidR="00195BE7" w:rsidRPr="001E2F6E" w:rsidTr="00195BE7">
        <w:tc>
          <w:tcPr>
            <w:tcW w:w="792" w:type="pct"/>
            <w:vMerge/>
            <w:tcBorders>
              <w:top w:val="single" w:sz="8" w:space="0" w:color="BFBFBF"/>
              <w:left w:val="nil"/>
              <w:bottom w:val="single" w:sz="8" w:space="0" w:color="BFBFBF"/>
              <w:right w:val="single" w:sz="4" w:space="0" w:color="BFBFBF" w:themeColor="background1" w:themeShade="BF"/>
            </w:tcBorders>
            <w:vAlign w:val="center"/>
            <w:hideMark/>
          </w:tcPr>
          <w:p w:rsidR="00195BE7" w:rsidRPr="001E2F6E" w:rsidRDefault="00195BE7" w:rsidP="00195BE7">
            <w:pPr>
              <w:spacing w:line="240" w:lineRule="exact"/>
              <w:rPr>
                <w:rFonts w:ascii="Calibri" w:hAnsi="Calibri"/>
                <w:color w:val="000000"/>
              </w:rPr>
            </w:pPr>
          </w:p>
        </w:tc>
        <w:tc>
          <w:tcPr>
            <w:tcW w:w="747" w:type="pct"/>
            <w:tcBorders>
              <w:top w:val="nil"/>
              <w:left w:val="single" w:sz="4" w:space="0" w:color="BFBFBF" w:themeColor="background1" w:themeShade="BF"/>
              <w:bottom w:val="single" w:sz="8" w:space="0" w:color="BFBFBF"/>
            </w:tcBorders>
            <w:shd w:val="clear" w:color="000000" w:fill="DBE5F1"/>
            <w:hideMark/>
          </w:tcPr>
          <w:p w:rsidR="00195BE7" w:rsidRPr="001E2F6E" w:rsidRDefault="00195BE7" w:rsidP="00195BE7">
            <w:pPr>
              <w:spacing w:line="240" w:lineRule="exact"/>
              <w:jc w:val="center"/>
              <w:rPr>
                <w:rFonts w:eastAsia="Times New Roman"/>
                <w:b/>
                <w:bCs/>
                <w:color w:val="000000"/>
                <w:sz w:val="16"/>
                <w:szCs w:val="16"/>
                <w:lang w:eastAsia="es-ES"/>
              </w:rPr>
            </w:pPr>
            <w:r w:rsidRPr="001E2F6E">
              <w:rPr>
                <w:rFonts w:eastAsia="Times New Roman"/>
                <w:b/>
                <w:bCs/>
                <w:color w:val="000000"/>
                <w:sz w:val="16"/>
                <w:szCs w:val="16"/>
                <w:lang w:eastAsia="es-ES"/>
              </w:rPr>
              <w:t>z.a.</w:t>
            </w:r>
          </w:p>
        </w:tc>
        <w:tc>
          <w:tcPr>
            <w:tcW w:w="341" w:type="pct"/>
            <w:tcBorders>
              <w:top w:val="nil"/>
              <w:left w:val="nil"/>
              <w:bottom w:val="single" w:sz="8" w:space="0" w:color="BFBFBF"/>
              <w:right w:val="single" w:sz="4" w:space="0" w:color="BFBFBF" w:themeColor="background1" w:themeShade="BF"/>
            </w:tcBorders>
            <w:shd w:val="clear" w:color="000000" w:fill="DBE5F1"/>
            <w:hideMark/>
          </w:tcPr>
          <w:p w:rsidR="00195BE7" w:rsidRPr="001E2F6E" w:rsidRDefault="00195BE7" w:rsidP="00195BE7">
            <w:pPr>
              <w:spacing w:line="240" w:lineRule="exact"/>
              <w:jc w:val="center"/>
              <w:rPr>
                <w:rFonts w:eastAsia="Times New Roman"/>
                <w:b/>
                <w:bCs/>
                <w:color w:val="000000"/>
                <w:sz w:val="16"/>
                <w:szCs w:val="16"/>
                <w:lang w:eastAsia="es-ES"/>
              </w:rPr>
            </w:pPr>
            <w:r w:rsidRPr="001E2F6E">
              <w:rPr>
                <w:rFonts w:eastAsia="Times New Roman"/>
                <w:b/>
                <w:bCs/>
                <w:color w:val="000000"/>
                <w:sz w:val="16"/>
                <w:szCs w:val="16"/>
                <w:lang w:eastAsia="es-ES"/>
              </w:rPr>
              <w:t>%hor..</w:t>
            </w:r>
          </w:p>
        </w:tc>
        <w:tc>
          <w:tcPr>
            <w:tcW w:w="747" w:type="pct"/>
            <w:tcBorders>
              <w:top w:val="nil"/>
              <w:left w:val="single" w:sz="4" w:space="0" w:color="BFBFBF" w:themeColor="background1" w:themeShade="BF"/>
              <w:bottom w:val="single" w:sz="8" w:space="0" w:color="BFBFBF"/>
            </w:tcBorders>
            <w:shd w:val="clear" w:color="000000" w:fill="DBE5F1"/>
            <w:hideMark/>
          </w:tcPr>
          <w:p w:rsidR="00195BE7" w:rsidRPr="001E2F6E" w:rsidRDefault="00195BE7" w:rsidP="00195BE7">
            <w:pPr>
              <w:spacing w:line="240" w:lineRule="exact"/>
              <w:jc w:val="center"/>
              <w:rPr>
                <w:rFonts w:eastAsia="Times New Roman"/>
                <w:b/>
                <w:bCs/>
                <w:color w:val="000000"/>
                <w:sz w:val="16"/>
                <w:szCs w:val="16"/>
                <w:lang w:eastAsia="es-ES"/>
              </w:rPr>
            </w:pPr>
            <w:r w:rsidRPr="001E2F6E">
              <w:rPr>
                <w:rFonts w:eastAsia="Times New Roman"/>
                <w:b/>
                <w:bCs/>
                <w:color w:val="000000"/>
                <w:sz w:val="16"/>
                <w:szCs w:val="16"/>
                <w:lang w:eastAsia="es-ES"/>
              </w:rPr>
              <w:t>z.a.</w:t>
            </w:r>
          </w:p>
        </w:tc>
        <w:tc>
          <w:tcPr>
            <w:tcW w:w="381" w:type="pct"/>
            <w:tcBorders>
              <w:top w:val="nil"/>
              <w:left w:val="nil"/>
              <w:bottom w:val="single" w:sz="8" w:space="0" w:color="BFBFBF"/>
              <w:right w:val="single" w:sz="4" w:space="0" w:color="BFBFBF" w:themeColor="background1" w:themeShade="BF"/>
            </w:tcBorders>
            <w:shd w:val="clear" w:color="000000" w:fill="DBE5F1"/>
            <w:hideMark/>
          </w:tcPr>
          <w:p w:rsidR="00195BE7" w:rsidRPr="001E2F6E" w:rsidRDefault="00195BE7" w:rsidP="00195BE7">
            <w:pPr>
              <w:spacing w:line="240" w:lineRule="exact"/>
              <w:jc w:val="center"/>
              <w:rPr>
                <w:rFonts w:eastAsia="Times New Roman"/>
                <w:b/>
                <w:bCs/>
                <w:color w:val="000000"/>
                <w:sz w:val="16"/>
                <w:szCs w:val="16"/>
                <w:lang w:eastAsia="es-ES"/>
              </w:rPr>
            </w:pPr>
            <w:r w:rsidRPr="001E2F6E">
              <w:rPr>
                <w:rFonts w:eastAsia="Times New Roman"/>
                <w:b/>
                <w:bCs/>
                <w:color w:val="000000"/>
                <w:sz w:val="16"/>
                <w:szCs w:val="16"/>
                <w:lang w:eastAsia="es-ES"/>
              </w:rPr>
              <w:t>%hor.</w:t>
            </w:r>
          </w:p>
        </w:tc>
        <w:tc>
          <w:tcPr>
            <w:tcW w:w="672" w:type="pct"/>
            <w:tcBorders>
              <w:top w:val="nil"/>
              <w:left w:val="single" w:sz="4" w:space="0" w:color="BFBFBF" w:themeColor="background1" w:themeShade="BF"/>
              <w:bottom w:val="single" w:sz="8" w:space="0" w:color="BFBFBF"/>
            </w:tcBorders>
            <w:shd w:val="clear" w:color="000000" w:fill="DBE5F1"/>
            <w:hideMark/>
          </w:tcPr>
          <w:p w:rsidR="00195BE7" w:rsidRPr="001E2F6E" w:rsidRDefault="00195BE7" w:rsidP="00195BE7">
            <w:pPr>
              <w:spacing w:line="240" w:lineRule="exact"/>
              <w:jc w:val="center"/>
              <w:rPr>
                <w:rFonts w:eastAsia="Times New Roman"/>
                <w:b/>
                <w:bCs/>
                <w:color w:val="000000"/>
                <w:sz w:val="16"/>
                <w:szCs w:val="16"/>
                <w:lang w:eastAsia="es-ES"/>
              </w:rPr>
            </w:pPr>
            <w:r w:rsidRPr="001E2F6E">
              <w:rPr>
                <w:rFonts w:eastAsia="Times New Roman"/>
                <w:b/>
                <w:bCs/>
                <w:color w:val="000000"/>
                <w:sz w:val="16"/>
                <w:szCs w:val="16"/>
                <w:lang w:eastAsia="es-ES"/>
              </w:rPr>
              <w:t>z.a.</w:t>
            </w:r>
          </w:p>
        </w:tc>
        <w:tc>
          <w:tcPr>
            <w:tcW w:w="348" w:type="pct"/>
            <w:tcBorders>
              <w:top w:val="nil"/>
              <w:left w:val="nil"/>
              <w:bottom w:val="single" w:sz="8" w:space="0" w:color="BFBFBF"/>
              <w:right w:val="single" w:sz="4" w:space="0" w:color="BFBFBF" w:themeColor="background1" w:themeShade="BF"/>
            </w:tcBorders>
            <w:shd w:val="clear" w:color="000000" w:fill="DBE5F1"/>
            <w:hideMark/>
          </w:tcPr>
          <w:p w:rsidR="00195BE7" w:rsidRPr="001E2F6E" w:rsidRDefault="00195BE7" w:rsidP="00195BE7">
            <w:pPr>
              <w:spacing w:line="240" w:lineRule="exact"/>
              <w:jc w:val="center"/>
              <w:rPr>
                <w:rFonts w:eastAsia="Times New Roman"/>
                <w:b/>
                <w:bCs/>
                <w:color w:val="000000"/>
                <w:sz w:val="16"/>
                <w:szCs w:val="16"/>
                <w:lang w:eastAsia="es-ES"/>
              </w:rPr>
            </w:pPr>
            <w:r w:rsidRPr="001E2F6E">
              <w:rPr>
                <w:rFonts w:eastAsia="Times New Roman"/>
                <w:b/>
                <w:bCs/>
                <w:color w:val="000000"/>
                <w:sz w:val="16"/>
                <w:szCs w:val="16"/>
                <w:lang w:eastAsia="es-ES"/>
              </w:rPr>
              <w:t>%hor.</w:t>
            </w:r>
          </w:p>
        </w:tc>
        <w:tc>
          <w:tcPr>
            <w:tcW w:w="622" w:type="pct"/>
            <w:tcBorders>
              <w:top w:val="nil"/>
              <w:left w:val="single" w:sz="4" w:space="0" w:color="BFBFBF" w:themeColor="background1" w:themeShade="BF"/>
              <w:bottom w:val="single" w:sz="8" w:space="0" w:color="BFBFBF"/>
            </w:tcBorders>
            <w:shd w:val="clear" w:color="000000" w:fill="DBE5F1"/>
            <w:hideMark/>
          </w:tcPr>
          <w:p w:rsidR="00195BE7" w:rsidRPr="001E2F6E" w:rsidRDefault="00195BE7" w:rsidP="00195BE7">
            <w:pPr>
              <w:spacing w:line="240" w:lineRule="exact"/>
              <w:jc w:val="center"/>
              <w:rPr>
                <w:rFonts w:eastAsia="Times New Roman"/>
                <w:b/>
                <w:bCs/>
                <w:color w:val="000000"/>
                <w:sz w:val="16"/>
                <w:szCs w:val="16"/>
                <w:lang w:eastAsia="es-ES"/>
              </w:rPr>
            </w:pPr>
            <w:r w:rsidRPr="001E2F6E">
              <w:rPr>
                <w:rFonts w:eastAsia="Times New Roman"/>
                <w:b/>
                <w:bCs/>
                <w:color w:val="000000"/>
                <w:sz w:val="16"/>
                <w:szCs w:val="16"/>
                <w:lang w:eastAsia="es-ES"/>
              </w:rPr>
              <w:t>z.a.</w:t>
            </w:r>
          </w:p>
        </w:tc>
        <w:tc>
          <w:tcPr>
            <w:tcW w:w="349" w:type="pct"/>
            <w:tcBorders>
              <w:top w:val="nil"/>
              <w:left w:val="nil"/>
              <w:bottom w:val="single" w:sz="8" w:space="0" w:color="BFBFBF"/>
              <w:right w:val="nil"/>
            </w:tcBorders>
            <w:shd w:val="clear" w:color="000000" w:fill="DBE5F1"/>
            <w:hideMark/>
          </w:tcPr>
          <w:p w:rsidR="00195BE7" w:rsidRPr="001E2F6E" w:rsidRDefault="00195BE7" w:rsidP="00195BE7">
            <w:pPr>
              <w:spacing w:line="240" w:lineRule="exact"/>
              <w:jc w:val="center"/>
              <w:rPr>
                <w:rFonts w:eastAsia="Times New Roman"/>
                <w:b/>
                <w:bCs/>
                <w:color w:val="000000"/>
                <w:sz w:val="16"/>
                <w:szCs w:val="16"/>
                <w:lang w:eastAsia="es-ES"/>
              </w:rPr>
            </w:pPr>
            <w:r w:rsidRPr="001E2F6E">
              <w:rPr>
                <w:rFonts w:eastAsia="Times New Roman"/>
                <w:b/>
                <w:bCs/>
                <w:color w:val="000000"/>
                <w:sz w:val="16"/>
                <w:szCs w:val="16"/>
                <w:lang w:eastAsia="es-ES"/>
              </w:rPr>
              <w:t>%hor.</w:t>
            </w:r>
          </w:p>
        </w:tc>
      </w:tr>
      <w:tr w:rsidR="00195BE7" w:rsidRPr="001E2F6E" w:rsidTr="00195BE7">
        <w:tc>
          <w:tcPr>
            <w:tcW w:w="792" w:type="pct"/>
            <w:tcBorders>
              <w:top w:val="nil"/>
              <w:left w:val="nil"/>
              <w:bottom w:val="nil"/>
              <w:right w:val="single" w:sz="4" w:space="0" w:color="BFBFBF" w:themeColor="background1" w:themeShade="BF"/>
            </w:tcBorders>
            <w:shd w:val="clear" w:color="auto" w:fill="auto"/>
            <w:vAlign w:val="center"/>
            <w:hideMark/>
          </w:tcPr>
          <w:p w:rsidR="00195BE7" w:rsidRPr="001E2F6E" w:rsidRDefault="00195BE7" w:rsidP="00195BE7">
            <w:pPr>
              <w:spacing w:line="240" w:lineRule="auto"/>
              <w:rPr>
                <w:sz w:val="16"/>
                <w:szCs w:val="16"/>
                <w:lang w:val="eu-ES"/>
              </w:rPr>
            </w:pPr>
            <w:r w:rsidRPr="001E2F6E">
              <w:rPr>
                <w:sz w:val="16"/>
                <w:szCs w:val="16"/>
                <w:lang w:val="eu-ES"/>
              </w:rPr>
              <w:t>Lehen sektorea</w:t>
            </w:r>
          </w:p>
        </w:tc>
        <w:tc>
          <w:tcPr>
            <w:tcW w:w="747" w:type="pct"/>
            <w:tcBorders>
              <w:top w:val="nil"/>
              <w:left w:val="single" w:sz="4" w:space="0" w:color="BFBFBF" w:themeColor="background1" w:themeShade="BF"/>
              <w:bottom w:val="nil"/>
            </w:tcBorders>
            <w:shd w:val="clear" w:color="auto" w:fill="auto"/>
            <w:vAlign w:val="bottom"/>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6.219.052</w:t>
            </w:r>
          </w:p>
        </w:tc>
        <w:tc>
          <w:tcPr>
            <w:tcW w:w="341" w:type="pct"/>
            <w:tcBorders>
              <w:top w:val="nil"/>
              <w:left w:val="nil"/>
              <w:bottom w:val="nil"/>
              <w:right w:val="single" w:sz="4" w:space="0" w:color="BFBFBF" w:themeColor="background1" w:themeShade="BF"/>
            </w:tcBorders>
            <w:shd w:val="clear" w:color="auto" w:fill="auto"/>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100</w:t>
            </w:r>
          </w:p>
        </w:tc>
        <w:tc>
          <w:tcPr>
            <w:tcW w:w="747" w:type="pct"/>
            <w:tcBorders>
              <w:top w:val="nil"/>
              <w:left w:val="single" w:sz="4" w:space="0" w:color="BFBFBF" w:themeColor="background1" w:themeShade="BF"/>
              <w:bottom w:val="nil"/>
            </w:tcBorders>
            <w:shd w:val="clear" w:color="auto" w:fill="auto"/>
            <w:vAlign w:val="bottom"/>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6.207.052</w:t>
            </w:r>
          </w:p>
        </w:tc>
        <w:tc>
          <w:tcPr>
            <w:tcW w:w="381" w:type="pct"/>
            <w:tcBorders>
              <w:top w:val="nil"/>
              <w:left w:val="nil"/>
              <w:bottom w:val="nil"/>
              <w:right w:val="single" w:sz="4" w:space="0" w:color="BFBFBF" w:themeColor="background1" w:themeShade="BF"/>
            </w:tcBorders>
            <w:shd w:val="clear" w:color="auto" w:fill="auto"/>
            <w:vAlign w:val="bottom"/>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99,8</w:t>
            </w:r>
          </w:p>
        </w:tc>
        <w:tc>
          <w:tcPr>
            <w:tcW w:w="672" w:type="pct"/>
            <w:tcBorders>
              <w:top w:val="nil"/>
              <w:left w:val="single" w:sz="4" w:space="0" w:color="BFBFBF" w:themeColor="background1" w:themeShade="BF"/>
              <w:bottom w:val="nil"/>
            </w:tcBorders>
            <w:shd w:val="clear" w:color="auto" w:fill="auto"/>
            <w:vAlign w:val="bottom"/>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0</w:t>
            </w:r>
          </w:p>
        </w:tc>
        <w:tc>
          <w:tcPr>
            <w:tcW w:w="348" w:type="pct"/>
            <w:tcBorders>
              <w:top w:val="nil"/>
              <w:left w:val="nil"/>
              <w:bottom w:val="nil"/>
              <w:right w:val="single" w:sz="4" w:space="0" w:color="BFBFBF" w:themeColor="background1" w:themeShade="BF"/>
            </w:tcBorders>
            <w:shd w:val="clear" w:color="auto" w:fill="auto"/>
            <w:vAlign w:val="bottom"/>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0</w:t>
            </w:r>
          </w:p>
        </w:tc>
        <w:tc>
          <w:tcPr>
            <w:tcW w:w="622" w:type="pct"/>
            <w:tcBorders>
              <w:top w:val="nil"/>
              <w:left w:val="single" w:sz="4" w:space="0" w:color="BFBFBF" w:themeColor="background1" w:themeShade="BF"/>
              <w:bottom w:val="nil"/>
            </w:tcBorders>
            <w:shd w:val="clear" w:color="auto" w:fill="auto"/>
            <w:vAlign w:val="bottom"/>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12.000</w:t>
            </w:r>
          </w:p>
        </w:tc>
        <w:tc>
          <w:tcPr>
            <w:tcW w:w="349" w:type="pct"/>
            <w:tcBorders>
              <w:top w:val="nil"/>
              <w:left w:val="nil"/>
              <w:bottom w:val="nil"/>
              <w:right w:val="nil"/>
            </w:tcBorders>
            <w:shd w:val="clear" w:color="auto" w:fill="auto"/>
            <w:vAlign w:val="bottom"/>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0,2</w:t>
            </w:r>
          </w:p>
        </w:tc>
      </w:tr>
      <w:tr w:rsidR="00195BE7" w:rsidRPr="001E2F6E" w:rsidTr="00195BE7">
        <w:tc>
          <w:tcPr>
            <w:tcW w:w="792" w:type="pct"/>
            <w:tcBorders>
              <w:top w:val="nil"/>
              <w:left w:val="nil"/>
              <w:bottom w:val="nil"/>
              <w:right w:val="single" w:sz="4" w:space="0" w:color="BFBFBF" w:themeColor="background1" w:themeShade="BF"/>
            </w:tcBorders>
            <w:shd w:val="clear" w:color="auto" w:fill="auto"/>
            <w:vAlign w:val="center"/>
            <w:hideMark/>
          </w:tcPr>
          <w:p w:rsidR="00195BE7" w:rsidRPr="001E2F6E" w:rsidRDefault="00195BE7" w:rsidP="00195BE7">
            <w:pPr>
              <w:spacing w:line="240" w:lineRule="auto"/>
              <w:rPr>
                <w:sz w:val="16"/>
                <w:szCs w:val="16"/>
                <w:lang w:val="eu-ES"/>
              </w:rPr>
            </w:pPr>
            <w:r w:rsidRPr="001E2F6E">
              <w:rPr>
                <w:sz w:val="16"/>
                <w:szCs w:val="16"/>
                <w:lang w:val="eu-ES"/>
              </w:rPr>
              <w:t xml:space="preserve">Industria </w:t>
            </w:r>
          </w:p>
        </w:tc>
        <w:tc>
          <w:tcPr>
            <w:tcW w:w="747" w:type="pct"/>
            <w:tcBorders>
              <w:top w:val="nil"/>
              <w:left w:val="single" w:sz="4" w:space="0" w:color="BFBFBF" w:themeColor="background1" w:themeShade="BF"/>
              <w:bottom w:val="nil"/>
            </w:tcBorders>
            <w:shd w:val="clear" w:color="auto" w:fill="auto"/>
            <w:vAlign w:val="bottom"/>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2.428.715.928</w:t>
            </w:r>
          </w:p>
        </w:tc>
        <w:tc>
          <w:tcPr>
            <w:tcW w:w="341" w:type="pct"/>
            <w:tcBorders>
              <w:top w:val="nil"/>
              <w:left w:val="nil"/>
              <w:bottom w:val="nil"/>
              <w:right w:val="single" w:sz="4" w:space="0" w:color="BFBFBF" w:themeColor="background1" w:themeShade="BF"/>
            </w:tcBorders>
            <w:shd w:val="clear" w:color="auto" w:fill="auto"/>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100</w:t>
            </w:r>
          </w:p>
        </w:tc>
        <w:tc>
          <w:tcPr>
            <w:tcW w:w="747" w:type="pct"/>
            <w:tcBorders>
              <w:top w:val="nil"/>
              <w:left w:val="single" w:sz="4" w:space="0" w:color="BFBFBF" w:themeColor="background1" w:themeShade="BF"/>
              <w:bottom w:val="nil"/>
            </w:tcBorders>
            <w:shd w:val="clear" w:color="auto" w:fill="auto"/>
            <w:vAlign w:val="bottom"/>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2.285.780.985</w:t>
            </w:r>
          </w:p>
        </w:tc>
        <w:tc>
          <w:tcPr>
            <w:tcW w:w="381" w:type="pct"/>
            <w:tcBorders>
              <w:top w:val="nil"/>
              <w:left w:val="nil"/>
              <w:bottom w:val="nil"/>
              <w:right w:val="single" w:sz="4" w:space="0" w:color="BFBFBF" w:themeColor="background1" w:themeShade="BF"/>
            </w:tcBorders>
            <w:shd w:val="clear" w:color="auto" w:fill="auto"/>
            <w:vAlign w:val="bottom"/>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94,1</w:t>
            </w:r>
          </w:p>
        </w:tc>
        <w:tc>
          <w:tcPr>
            <w:tcW w:w="672" w:type="pct"/>
            <w:tcBorders>
              <w:top w:val="nil"/>
              <w:left w:val="single" w:sz="4" w:space="0" w:color="BFBFBF" w:themeColor="background1" w:themeShade="BF"/>
              <w:bottom w:val="nil"/>
            </w:tcBorders>
            <w:shd w:val="clear" w:color="auto" w:fill="auto"/>
            <w:vAlign w:val="bottom"/>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105.994.679</w:t>
            </w:r>
          </w:p>
        </w:tc>
        <w:tc>
          <w:tcPr>
            <w:tcW w:w="348" w:type="pct"/>
            <w:tcBorders>
              <w:top w:val="nil"/>
              <w:left w:val="nil"/>
              <w:bottom w:val="nil"/>
              <w:right w:val="single" w:sz="4" w:space="0" w:color="BFBFBF" w:themeColor="background1" w:themeShade="BF"/>
            </w:tcBorders>
            <w:shd w:val="clear" w:color="auto" w:fill="auto"/>
            <w:vAlign w:val="bottom"/>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4,4</w:t>
            </w:r>
          </w:p>
        </w:tc>
        <w:tc>
          <w:tcPr>
            <w:tcW w:w="622" w:type="pct"/>
            <w:tcBorders>
              <w:top w:val="nil"/>
              <w:left w:val="single" w:sz="4" w:space="0" w:color="BFBFBF" w:themeColor="background1" w:themeShade="BF"/>
              <w:bottom w:val="nil"/>
            </w:tcBorders>
            <w:shd w:val="clear" w:color="auto" w:fill="auto"/>
            <w:vAlign w:val="bottom"/>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36.940.264</w:t>
            </w:r>
          </w:p>
        </w:tc>
        <w:tc>
          <w:tcPr>
            <w:tcW w:w="349" w:type="pct"/>
            <w:tcBorders>
              <w:top w:val="nil"/>
              <w:left w:val="nil"/>
              <w:bottom w:val="nil"/>
              <w:right w:val="nil"/>
            </w:tcBorders>
            <w:shd w:val="clear" w:color="auto" w:fill="auto"/>
            <w:vAlign w:val="bottom"/>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1,5</w:t>
            </w:r>
          </w:p>
        </w:tc>
      </w:tr>
      <w:tr w:rsidR="00195BE7" w:rsidRPr="001E2F6E" w:rsidTr="00195BE7">
        <w:tc>
          <w:tcPr>
            <w:tcW w:w="792" w:type="pct"/>
            <w:tcBorders>
              <w:top w:val="nil"/>
              <w:left w:val="nil"/>
              <w:bottom w:val="nil"/>
              <w:right w:val="single" w:sz="4" w:space="0" w:color="BFBFBF" w:themeColor="background1" w:themeShade="BF"/>
            </w:tcBorders>
            <w:shd w:val="clear" w:color="auto" w:fill="auto"/>
            <w:vAlign w:val="center"/>
            <w:hideMark/>
          </w:tcPr>
          <w:p w:rsidR="00195BE7" w:rsidRPr="001E2F6E" w:rsidRDefault="00195BE7" w:rsidP="00195BE7">
            <w:pPr>
              <w:spacing w:line="240" w:lineRule="auto"/>
              <w:rPr>
                <w:sz w:val="16"/>
                <w:szCs w:val="16"/>
                <w:lang w:val="eu-ES"/>
              </w:rPr>
            </w:pPr>
            <w:r w:rsidRPr="001E2F6E">
              <w:rPr>
                <w:sz w:val="16"/>
                <w:szCs w:val="16"/>
                <w:lang w:val="eu-ES"/>
              </w:rPr>
              <w:t>Eraikuntza</w:t>
            </w:r>
          </w:p>
        </w:tc>
        <w:tc>
          <w:tcPr>
            <w:tcW w:w="747" w:type="pct"/>
            <w:tcBorders>
              <w:top w:val="nil"/>
              <w:left w:val="single" w:sz="4" w:space="0" w:color="BFBFBF" w:themeColor="background1" w:themeShade="BF"/>
              <w:bottom w:val="nil"/>
            </w:tcBorders>
            <w:shd w:val="clear" w:color="auto" w:fill="auto"/>
            <w:vAlign w:val="bottom"/>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50.949.517</w:t>
            </w:r>
          </w:p>
        </w:tc>
        <w:tc>
          <w:tcPr>
            <w:tcW w:w="341" w:type="pct"/>
            <w:tcBorders>
              <w:top w:val="nil"/>
              <w:left w:val="nil"/>
              <w:bottom w:val="nil"/>
              <w:right w:val="single" w:sz="4" w:space="0" w:color="BFBFBF" w:themeColor="background1" w:themeShade="BF"/>
            </w:tcBorders>
            <w:shd w:val="clear" w:color="auto" w:fill="auto"/>
            <w:vAlign w:val="bottom"/>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100</w:t>
            </w:r>
          </w:p>
        </w:tc>
        <w:tc>
          <w:tcPr>
            <w:tcW w:w="747" w:type="pct"/>
            <w:tcBorders>
              <w:top w:val="nil"/>
              <w:left w:val="single" w:sz="4" w:space="0" w:color="BFBFBF" w:themeColor="background1" w:themeShade="BF"/>
              <w:bottom w:val="nil"/>
            </w:tcBorders>
            <w:shd w:val="clear" w:color="auto" w:fill="auto"/>
            <w:vAlign w:val="bottom"/>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38.146.714</w:t>
            </w:r>
          </w:p>
        </w:tc>
        <w:tc>
          <w:tcPr>
            <w:tcW w:w="381" w:type="pct"/>
            <w:tcBorders>
              <w:top w:val="nil"/>
              <w:left w:val="nil"/>
              <w:bottom w:val="nil"/>
              <w:right w:val="single" w:sz="4" w:space="0" w:color="BFBFBF" w:themeColor="background1" w:themeShade="BF"/>
            </w:tcBorders>
            <w:shd w:val="clear" w:color="auto" w:fill="auto"/>
            <w:vAlign w:val="bottom"/>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74,9</w:t>
            </w:r>
          </w:p>
        </w:tc>
        <w:tc>
          <w:tcPr>
            <w:tcW w:w="672" w:type="pct"/>
            <w:tcBorders>
              <w:top w:val="nil"/>
              <w:left w:val="single" w:sz="4" w:space="0" w:color="BFBFBF" w:themeColor="background1" w:themeShade="BF"/>
              <w:bottom w:val="nil"/>
            </w:tcBorders>
            <w:shd w:val="clear" w:color="auto" w:fill="auto"/>
            <w:vAlign w:val="bottom"/>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7.583.662</w:t>
            </w:r>
          </w:p>
        </w:tc>
        <w:tc>
          <w:tcPr>
            <w:tcW w:w="348" w:type="pct"/>
            <w:tcBorders>
              <w:top w:val="nil"/>
              <w:left w:val="nil"/>
              <w:bottom w:val="nil"/>
              <w:right w:val="single" w:sz="4" w:space="0" w:color="BFBFBF" w:themeColor="background1" w:themeShade="BF"/>
            </w:tcBorders>
            <w:shd w:val="clear" w:color="auto" w:fill="auto"/>
            <w:vAlign w:val="bottom"/>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14,9</w:t>
            </w:r>
          </w:p>
        </w:tc>
        <w:tc>
          <w:tcPr>
            <w:tcW w:w="622" w:type="pct"/>
            <w:tcBorders>
              <w:top w:val="nil"/>
              <w:left w:val="single" w:sz="4" w:space="0" w:color="BFBFBF" w:themeColor="background1" w:themeShade="BF"/>
              <w:bottom w:val="nil"/>
            </w:tcBorders>
            <w:shd w:val="clear" w:color="auto" w:fill="auto"/>
            <w:vAlign w:val="bottom"/>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5.219.140</w:t>
            </w:r>
          </w:p>
        </w:tc>
        <w:tc>
          <w:tcPr>
            <w:tcW w:w="349" w:type="pct"/>
            <w:tcBorders>
              <w:top w:val="nil"/>
              <w:left w:val="nil"/>
              <w:bottom w:val="nil"/>
              <w:right w:val="nil"/>
            </w:tcBorders>
            <w:shd w:val="clear" w:color="auto" w:fill="auto"/>
            <w:vAlign w:val="bottom"/>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10,2</w:t>
            </w:r>
          </w:p>
        </w:tc>
      </w:tr>
      <w:tr w:rsidR="00195BE7" w:rsidRPr="001E2F6E" w:rsidTr="00195BE7">
        <w:tc>
          <w:tcPr>
            <w:tcW w:w="792" w:type="pct"/>
            <w:tcBorders>
              <w:top w:val="nil"/>
              <w:left w:val="nil"/>
              <w:bottom w:val="nil"/>
              <w:right w:val="single" w:sz="4" w:space="0" w:color="BFBFBF" w:themeColor="background1" w:themeShade="BF"/>
            </w:tcBorders>
            <w:shd w:val="clear" w:color="auto" w:fill="auto"/>
            <w:vAlign w:val="center"/>
            <w:hideMark/>
          </w:tcPr>
          <w:p w:rsidR="00195BE7" w:rsidRPr="001E2F6E" w:rsidRDefault="00195BE7" w:rsidP="00195BE7">
            <w:pPr>
              <w:spacing w:line="240" w:lineRule="auto"/>
              <w:rPr>
                <w:sz w:val="16"/>
                <w:szCs w:val="16"/>
                <w:lang w:val="eu-ES"/>
              </w:rPr>
            </w:pPr>
            <w:r w:rsidRPr="001E2F6E">
              <w:rPr>
                <w:sz w:val="16"/>
                <w:szCs w:val="16"/>
                <w:lang w:val="eu-ES"/>
              </w:rPr>
              <w:t xml:space="preserve">Zerbitzuak </w:t>
            </w:r>
          </w:p>
        </w:tc>
        <w:tc>
          <w:tcPr>
            <w:tcW w:w="747" w:type="pct"/>
            <w:tcBorders>
              <w:top w:val="nil"/>
              <w:left w:val="single" w:sz="4" w:space="0" w:color="BFBFBF" w:themeColor="background1" w:themeShade="BF"/>
              <w:bottom w:val="nil"/>
            </w:tcBorders>
            <w:shd w:val="clear" w:color="auto" w:fill="auto"/>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3.227.551.120</w:t>
            </w:r>
          </w:p>
        </w:tc>
        <w:tc>
          <w:tcPr>
            <w:tcW w:w="341" w:type="pct"/>
            <w:tcBorders>
              <w:top w:val="nil"/>
              <w:left w:val="nil"/>
              <w:bottom w:val="nil"/>
              <w:right w:val="single" w:sz="4" w:space="0" w:color="BFBFBF" w:themeColor="background1" w:themeShade="BF"/>
            </w:tcBorders>
            <w:shd w:val="clear" w:color="auto" w:fill="auto"/>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100</w:t>
            </w:r>
          </w:p>
        </w:tc>
        <w:tc>
          <w:tcPr>
            <w:tcW w:w="747" w:type="pct"/>
            <w:tcBorders>
              <w:top w:val="nil"/>
              <w:left w:val="single" w:sz="4" w:space="0" w:color="BFBFBF" w:themeColor="background1" w:themeShade="BF"/>
              <w:bottom w:val="nil"/>
            </w:tcBorders>
            <w:shd w:val="clear" w:color="auto" w:fill="auto"/>
            <w:vAlign w:val="bottom"/>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3.185.516.109</w:t>
            </w:r>
          </w:p>
        </w:tc>
        <w:tc>
          <w:tcPr>
            <w:tcW w:w="381" w:type="pct"/>
            <w:tcBorders>
              <w:top w:val="nil"/>
              <w:left w:val="nil"/>
              <w:bottom w:val="nil"/>
              <w:right w:val="single" w:sz="4" w:space="0" w:color="BFBFBF" w:themeColor="background1" w:themeShade="BF"/>
            </w:tcBorders>
            <w:shd w:val="clear" w:color="auto" w:fill="auto"/>
            <w:vAlign w:val="bottom"/>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98,7</w:t>
            </w:r>
          </w:p>
        </w:tc>
        <w:tc>
          <w:tcPr>
            <w:tcW w:w="672" w:type="pct"/>
            <w:tcBorders>
              <w:top w:val="nil"/>
              <w:left w:val="single" w:sz="4" w:space="0" w:color="BFBFBF" w:themeColor="background1" w:themeShade="BF"/>
              <w:bottom w:val="nil"/>
            </w:tcBorders>
            <w:shd w:val="clear" w:color="auto" w:fill="auto"/>
            <w:vAlign w:val="bottom"/>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19.302.421</w:t>
            </w:r>
          </w:p>
        </w:tc>
        <w:tc>
          <w:tcPr>
            <w:tcW w:w="348" w:type="pct"/>
            <w:tcBorders>
              <w:top w:val="nil"/>
              <w:left w:val="nil"/>
              <w:bottom w:val="nil"/>
              <w:right w:val="single" w:sz="4" w:space="0" w:color="BFBFBF" w:themeColor="background1" w:themeShade="BF"/>
            </w:tcBorders>
            <w:shd w:val="clear" w:color="auto" w:fill="auto"/>
            <w:vAlign w:val="bottom"/>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0,6</w:t>
            </w:r>
          </w:p>
        </w:tc>
        <w:tc>
          <w:tcPr>
            <w:tcW w:w="622" w:type="pct"/>
            <w:tcBorders>
              <w:top w:val="nil"/>
              <w:left w:val="single" w:sz="4" w:space="0" w:color="BFBFBF" w:themeColor="background1" w:themeShade="BF"/>
              <w:bottom w:val="nil"/>
            </w:tcBorders>
            <w:shd w:val="clear" w:color="auto" w:fill="auto"/>
            <w:vAlign w:val="bottom"/>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22.732.589</w:t>
            </w:r>
          </w:p>
        </w:tc>
        <w:tc>
          <w:tcPr>
            <w:tcW w:w="349" w:type="pct"/>
            <w:tcBorders>
              <w:top w:val="nil"/>
              <w:left w:val="nil"/>
              <w:bottom w:val="nil"/>
              <w:right w:val="nil"/>
            </w:tcBorders>
            <w:shd w:val="clear" w:color="auto" w:fill="auto"/>
            <w:vAlign w:val="bottom"/>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0,7</w:t>
            </w:r>
          </w:p>
        </w:tc>
      </w:tr>
      <w:tr w:rsidR="00195BE7" w:rsidRPr="001E2F6E" w:rsidTr="00195BE7">
        <w:tc>
          <w:tcPr>
            <w:tcW w:w="792" w:type="pct"/>
            <w:tcBorders>
              <w:top w:val="single" w:sz="4" w:space="0" w:color="BFBFBF" w:themeColor="background1" w:themeShade="BF"/>
              <w:left w:val="nil"/>
              <w:bottom w:val="single" w:sz="8" w:space="0" w:color="BFBFBF"/>
              <w:right w:val="single" w:sz="4" w:space="0" w:color="BFBFBF" w:themeColor="background1" w:themeShade="BF"/>
            </w:tcBorders>
            <w:shd w:val="clear" w:color="auto" w:fill="auto"/>
            <w:vAlign w:val="center"/>
            <w:hideMark/>
          </w:tcPr>
          <w:p w:rsidR="00195BE7" w:rsidRPr="001E2F6E" w:rsidRDefault="00195BE7" w:rsidP="00195BE7">
            <w:pPr>
              <w:spacing w:line="240" w:lineRule="auto"/>
              <w:rPr>
                <w:b/>
                <w:sz w:val="16"/>
                <w:szCs w:val="16"/>
                <w:lang w:val="eu-ES"/>
              </w:rPr>
            </w:pPr>
            <w:r w:rsidRPr="001E2F6E">
              <w:rPr>
                <w:b/>
                <w:sz w:val="16"/>
                <w:szCs w:val="16"/>
                <w:lang w:val="eu-ES"/>
              </w:rPr>
              <w:t>GUZTIRA</w:t>
            </w:r>
          </w:p>
        </w:tc>
        <w:tc>
          <w:tcPr>
            <w:tcW w:w="747" w:type="pct"/>
            <w:tcBorders>
              <w:top w:val="single" w:sz="4" w:space="0" w:color="BFBFBF" w:themeColor="background1" w:themeShade="BF"/>
              <w:left w:val="single" w:sz="4" w:space="0" w:color="BFBFBF" w:themeColor="background1" w:themeShade="BF"/>
              <w:bottom w:val="single" w:sz="8" w:space="0" w:color="BFBFBF"/>
            </w:tcBorders>
            <w:shd w:val="clear" w:color="auto" w:fill="auto"/>
            <w:hideMark/>
          </w:tcPr>
          <w:p w:rsidR="00195BE7" w:rsidRPr="001E2F6E" w:rsidRDefault="00195BE7" w:rsidP="00195BE7">
            <w:pPr>
              <w:spacing w:line="240" w:lineRule="exact"/>
              <w:ind w:right="170"/>
              <w:jc w:val="right"/>
              <w:rPr>
                <w:b/>
                <w:bCs/>
                <w:color w:val="000000"/>
                <w:sz w:val="16"/>
                <w:szCs w:val="16"/>
              </w:rPr>
            </w:pPr>
            <w:r w:rsidRPr="001E2F6E">
              <w:rPr>
                <w:b/>
                <w:bCs/>
                <w:color w:val="000000"/>
                <w:sz w:val="16"/>
                <w:szCs w:val="16"/>
              </w:rPr>
              <w:t>5.713.435.617</w:t>
            </w:r>
          </w:p>
        </w:tc>
        <w:tc>
          <w:tcPr>
            <w:tcW w:w="341" w:type="pct"/>
            <w:tcBorders>
              <w:top w:val="single" w:sz="4" w:space="0" w:color="BFBFBF" w:themeColor="background1" w:themeShade="BF"/>
              <w:left w:val="nil"/>
              <w:bottom w:val="single" w:sz="8" w:space="0" w:color="BFBFBF"/>
              <w:right w:val="single" w:sz="4" w:space="0" w:color="BFBFBF" w:themeColor="background1" w:themeShade="BF"/>
            </w:tcBorders>
            <w:shd w:val="clear" w:color="auto" w:fill="auto"/>
            <w:hideMark/>
          </w:tcPr>
          <w:p w:rsidR="00195BE7" w:rsidRPr="001E2F6E" w:rsidRDefault="00195BE7" w:rsidP="00195BE7">
            <w:pPr>
              <w:spacing w:line="240" w:lineRule="exact"/>
              <w:ind w:right="170"/>
              <w:jc w:val="right"/>
              <w:rPr>
                <w:b/>
                <w:bCs/>
                <w:color w:val="000000"/>
                <w:sz w:val="16"/>
                <w:szCs w:val="16"/>
              </w:rPr>
            </w:pPr>
            <w:r w:rsidRPr="001E2F6E">
              <w:rPr>
                <w:b/>
                <w:bCs/>
                <w:color w:val="000000"/>
                <w:sz w:val="16"/>
                <w:szCs w:val="16"/>
              </w:rPr>
              <w:t>100</w:t>
            </w:r>
          </w:p>
        </w:tc>
        <w:tc>
          <w:tcPr>
            <w:tcW w:w="747" w:type="pct"/>
            <w:tcBorders>
              <w:top w:val="single" w:sz="4" w:space="0" w:color="BFBFBF" w:themeColor="background1" w:themeShade="BF"/>
              <w:left w:val="single" w:sz="4" w:space="0" w:color="BFBFBF" w:themeColor="background1" w:themeShade="BF"/>
              <w:bottom w:val="single" w:sz="8" w:space="0" w:color="BFBFBF"/>
            </w:tcBorders>
            <w:shd w:val="clear" w:color="auto" w:fill="auto"/>
            <w:hideMark/>
          </w:tcPr>
          <w:p w:rsidR="00195BE7" w:rsidRPr="001E2F6E" w:rsidRDefault="00195BE7" w:rsidP="00195BE7">
            <w:pPr>
              <w:spacing w:line="240" w:lineRule="exact"/>
              <w:ind w:right="170"/>
              <w:jc w:val="right"/>
              <w:rPr>
                <w:b/>
                <w:bCs/>
                <w:color w:val="000000"/>
                <w:sz w:val="16"/>
                <w:szCs w:val="16"/>
              </w:rPr>
            </w:pPr>
            <w:r w:rsidRPr="001E2F6E">
              <w:rPr>
                <w:b/>
                <w:bCs/>
                <w:color w:val="000000"/>
                <w:sz w:val="16"/>
                <w:szCs w:val="16"/>
              </w:rPr>
              <w:t>5.515.650.860</w:t>
            </w:r>
          </w:p>
        </w:tc>
        <w:tc>
          <w:tcPr>
            <w:tcW w:w="381" w:type="pct"/>
            <w:tcBorders>
              <w:top w:val="single" w:sz="4" w:space="0" w:color="BFBFBF" w:themeColor="background1" w:themeShade="BF"/>
              <w:left w:val="nil"/>
              <w:bottom w:val="single" w:sz="8" w:space="0" w:color="BFBFBF"/>
              <w:right w:val="single" w:sz="4" w:space="0" w:color="BFBFBF" w:themeColor="background1" w:themeShade="BF"/>
            </w:tcBorders>
            <w:shd w:val="clear" w:color="auto" w:fill="auto"/>
            <w:hideMark/>
          </w:tcPr>
          <w:p w:rsidR="00195BE7" w:rsidRPr="001E2F6E" w:rsidRDefault="00195BE7" w:rsidP="00195BE7">
            <w:pPr>
              <w:spacing w:line="240" w:lineRule="exact"/>
              <w:ind w:right="170"/>
              <w:jc w:val="right"/>
              <w:rPr>
                <w:b/>
                <w:bCs/>
                <w:color w:val="000000"/>
                <w:sz w:val="16"/>
                <w:szCs w:val="16"/>
              </w:rPr>
            </w:pPr>
            <w:r w:rsidRPr="001E2F6E">
              <w:rPr>
                <w:b/>
                <w:bCs/>
                <w:color w:val="000000"/>
                <w:sz w:val="16"/>
                <w:szCs w:val="16"/>
              </w:rPr>
              <w:t>96,5</w:t>
            </w:r>
          </w:p>
        </w:tc>
        <w:tc>
          <w:tcPr>
            <w:tcW w:w="672" w:type="pct"/>
            <w:tcBorders>
              <w:top w:val="single" w:sz="4" w:space="0" w:color="BFBFBF" w:themeColor="background1" w:themeShade="BF"/>
              <w:left w:val="single" w:sz="4" w:space="0" w:color="BFBFBF" w:themeColor="background1" w:themeShade="BF"/>
              <w:bottom w:val="single" w:sz="8" w:space="0" w:color="BFBFBF"/>
            </w:tcBorders>
            <w:shd w:val="clear" w:color="auto" w:fill="auto"/>
            <w:hideMark/>
          </w:tcPr>
          <w:p w:rsidR="00195BE7" w:rsidRPr="001E2F6E" w:rsidRDefault="00195BE7" w:rsidP="00195BE7">
            <w:pPr>
              <w:spacing w:line="240" w:lineRule="exact"/>
              <w:ind w:right="170"/>
              <w:jc w:val="right"/>
              <w:rPr>
                <w:b/>
                <w:bCs/>
                <w:color w:val="000000"/>
                <w:sz w:val="16"/>
                <w:szCs w:val="16"/>
              </w:rPr>
            </w:pPr>
            <w:r w:rsidRPr="001E2F6E">
              <w:rPr>
                <w:b/>
                <w:bCs/>
                <w:color w:val="000000"/>
                <w:sz w:val="16"/>
                <w:szCs w:val="16"/>
              </w:rPr>
              <w:t>132.880.763</w:t>
            </w:r>
          </w:p>
        </w:tc>
        <w:tc>
          <w:tcPr>
            <w:tcW w:w="348" w:type="pct"/>
            <w:tcBorders>
              <w:top w:val="single" w:sz="4" w:space="0" w:color="BFBFBF" w:themeColor="background1" w:themeShade="BF"/>
              <w:left w:val="nil"/>
              <w:bottom w:val="single" w:sz="8" w:space="0" w:color="BFBFBF"/>
              <w:right w:val="single" w:sz="4" w:space="0" w:color="BFBFBF" w:themeColor="background1" w:themeShade="BF"/>
            </w:tcBorders>
            <w:shd w:val="clear" w:color="auto" w:fill="auto"/>
            <w:hideMark/>
          </w:tcPr>
          <w:p w:rsidR="00195BE7" w:rsidRPr="001E2F6E" w:rsidRDefault="00195BE7" w:rsidP="00195BE7">
            <w:pPr>
              <w:spacing w:line="240" w:lineRule="exact"/>
              <w:ind w:right="170"/>
              <w:jc w:val="right"/>
              <w:rPr>
                <w:b/>
                <w:bCs/>
                <w:color w:val="000000"/>
                <w:sz w:val="16"/>
                <w:szCs w:val="16"/>
              </w:rPr>
            </w:pPr>
            <w:r w:rsidRPr="001E2F6E">
              <w:rPr>
                <w:b/>
                <w:bCs/>
                <w:color w:val="000000"/>
                <w:sz w:val="16"/>
                <w:szCs w:val="16"/>
              </w:rPr>
              <w:t>2,2</w:t>
            </w:r>
          </w:p>
        </w:tc>
        <w:tc>
          <w:tcPr>
            <w:tcW w:w="622" w:type="pct"/>
            <w:tcBorders>
              <w:top w:val="single" w:sz="4" w:space="0" w:color="BFBFBF" w:themeColor="background1" w:themeShade="BF"/>
              <w:left w:val="single" w:sz="4" w:space="0" w:color="BFBFBF" w:themeColor="background1" w:themeShade="BF"/>
              <w:bottom w:val="single" w:sz="8" w:space="0" w:color="BFBFBF"/>
            </w:tcBorders>
            <w:shd w:val="clear" w:color="auto" w:fill="auto"/>
            <w:hideMark/>
          </w:tcPr>
          <w:p w:rsidR="00195BE7" w:rsidRPr="001E2F6E" w:rsidRDefault="00195BE7" w:rsidP="00195BE7">
            <w:pPr>
              <w:spacing w:line="240" w:lineRule="exact"/>
              <w:ind w:right="170"/>
              <w:jc w:val="right"/>
              <w:rPr>
                <w:b/>
                <w:bCs/>
                <w:color w:val="000000"/>
                <w:sz w:val="16"/>
                <w:szCs w:val="16"/>
              </w:rPr>
            </w:pPr>
            <w:r w:rsidRPr="001E2F6E">
              <w:rPr>
                <w:b/>
                <w:bCs/>
                <w:color w:val="000000"/>
                <w:sz w:val="16"/>
                <w:szCs w:val="16"/>
              </w:rPr>
              <w:t>64.903.993</w:t>
            </w:r>
          </w:p>
        </w:tc>
        <w:tc>
          <w:tcPr>
            <w:tcW w:w="349" w:type="pct"/>
            <w:tcBorders>
              <w:top w:val="single" w:sz="4" w:space="0" w:color="BFBFBF" w:themeColor="background1" w:themeShade="BF"/>
              <w:left w:val="nil"/>
              <w:bottom w:val="single" w:sz="8" w:space="0" w:color="BFBFBF"/>
              <w:right w:val="nil"/>
            </w:tcBorders>
            <w:shd w:val="clear" w:color="auto" w:fill="auto"/>
            <w:hideMark/>
          </w:tcPr>
          <w:p w:rsidR="00195BE7" w:rsidRPr="001E2F6E" w:rsidRDefault="00195BE7" w:rsidP="00195BE7">
            <w:pPr>
              <w:spacing w:line="240" w:lineRule="exact"/>
              <w:ind w:right="170"/>
              <w:jc w:val="right"/>
              <w:rPr>
                <w:b/>
                <w:bCs/>
                <w:color w:val="000000"/>
                <w:sz w:val="16"/>
                <w:szCs w:val="16"/>
              </w:rPr>
            </w:pPr>
            <w:r w:rsidRPr="001E2F6E">
              <w:rPr>
                <w:b/>
                <w:bCs/>
                <w:color w:val="000000"/>
                <w:sz w:val="16"/>
                <w:szCs w:val="16"/>
              </w:rPr>
              <w:t>1,1</w:t>
            </w:r>
          </w:p>
        </w:tc>
      </w:tr>
    </w:tbl>
    <w:p w:rsidR="00195BE7" w:rsidRPr="001E2F6E" w:rsidRDefault="00195BE7" w:rsidP="00195BE7">
      <w:pPr>
        <w:pStyle w:val="Textoindependiente3"/>
        <w:rPr>
          <w:rFonts w:ascii="Arial" w:hAnsi="Arial" w:cs="Arial"/>
          <w:b/>
          <w:color w:val="1F497D" w:themeColor="text2"/>
          <w:sz w:val="18"/>
          <w:szCs w:val="18"/>
        </w:rPr>
      </w:pPr>
    </w:p>
    <w:p w:rsidR="00195BE7" w:rsidRPr="001E2F6E" w:rsidRDefault="00195BE7" w:rsidP="00195BE7">
      <w:pPr>
        <w:pStyle w:val="Textoindependiente3"/>
        <w:rPr>
          <w:rFonts w:ascii="Arial" w:hAnsi="Arial" w:cs="Arial"/>
          <w:b/>
          <w:color w:val="1F497D" w:themeColor="text2"/>
          <w:sz w:val="18"/>
          <w:szCs w:val="18"/>
        </w:rPr>
      </w:pPr>
    </w:p>
    <w:p w:rsidR="00195BE7" w:rsidRPr="001E2F6E" w:rsidRDefault="00195BE7" w:rsidP="00195BE7">
      <w:pPr>
        <w:pStyle w:val="Textoindependiente3"/>
        <w:rPr>
          <w:rFonts w:ascii="Arial" w:hAnsi="Arial" w:cs="Arial"/>
          <w:b/>
          <w:color w:val="1F497D" w:themeColor="text2"/>
          <w:sz w:val="18"/>
          <w:szCs w:val="18"/>
        </w:rPr>
      </w:pPr>
      <w:bookmarkStart w:id="216" w:name="_Toc391989127"/>
      <w:bookmarkStart w:id="217" w:name="_Toc392585792"/>
      <w:r w:rsidRPr="001E2F6E">
        <w:rPr>
          <w:rFonts w:ascii="Arial" w:hAnsi="Arial" w:cs="Arial"/>
          <w:b/>
          <w:color w:val="1F497D" w:themeColor="text2"/>
          <w:sz w:val="18"/>
          <w:szCs w:val="18"/>
        </w:rPr>
        <w:lastRenderedPageBreak/>
        <w:t>1.</w:t>
      </w:r>
      <w:r w:rsidR="00EB6BA6" w:rsidRPr="001E2F6E">
        <w:rPr>
          <w:rFonts w:ascii="Arial" w:hAnsi="Arial" w:cs="Arial"/>
          <w:b/>
          <w:color w:val="1F497D" w:themeColor="text2"/>
          <w:sz w:val="18"/>
          <w:szCs w:val="18"/>
        </w:rPr>
        <w:fldChar w:fldCharType="begin"/>
      </w:r>
      <w:r w:rsidRPr="001E2F6E">
        <w:rPr>
          <w:rFonts w:ascii="Arial" w:hAnsi="Arial" w:cs="Arial"/>
          <w:b/>
          <w:color w:val="1F497D" w:themeColor="text2"/>
          <w:sz w:val="18"/>
          <w:szCs w:val="18"/>
        </w:rPr>
        <w:instrText xml:space="preserve"> SEQ Cuadro_1. \* ARABIC </w:instrText>
      </w:r>
      <w:r w:rsidR="00EB6BA6" w:rsidRPr="001E2F6E">
        <w:rPr>
          <w:rFonts w:ascii="Arial" w:hAnsi="Arial" w:cs="Arial"/>
          <w:b/>
          <w:color w:val="1F497D" w:themeColor="text2"/>
          <w:sz w:val="18"/>
          <w:szCs w:val="18"/>
        </w:rPr>
        <w:fldChar w:fldCharType="separate"/>
      </w:r>
      <w:r w:rsidR="00A327D4">
        <w:rPr>
          <w:rFonts w:ascii="Arial" w:hAnsi="Arial" w:cs="Arial"/>
          <w:b/>
          <w:noProof/>
          <w:color w:val="1F497D" w:themeColor="text2"/>
          <w:sz w:val="18"/>
          <w:szCs w:val="18"/>
        </w:rPr>
        <w:t>57</w:t>
      </w:r>
      <w:r w:rsidR="00EB6BA6" w:rsidRPr="001E2F6E">
        <w:rPr>
          <w:rFonts w:ascii="Arial" w:hAnsi="Arial" w:cs="Arial"/>
          <w:b/>
          <w:color w:val="1F497D" w:themeColor="text2"/>
          <w:sz w:val="18"/>
          <w:szCs w:val="18"/>
        </w:rPr>
        <w:fldChar w:fldCharType="end"/>
      </w:r>
      <w:r w:rsidRPr="001E2F6E">
        <w:rPr>
          <w:rFonts w:ascii="Arial" w:hAnsi="Arial" w:cs="Arial"/>
          <w:b/>
          <w:color w:val="1F497D" w:themeColor="text2"/>
          <w:sz w:val="18"/>
          <w:szCs w:val="18"/>
        </w:rPr>
        <w:t xml:space="preserve"> Taula GIZARTE-EKONOMIAREN FUNTS PROPIOEN ARLOZ ARLOKO BANAKETA, LURRALDE HISTORIKOAREN ARABERA. 2012. (</w:t>
      </w:r>
      <w:r w:rsidR="00462130" w:rsidRPr="001E2F6E">
        <w:rPr>
          <w:rFonts w:ascii="Arial" w:hAnsi="Arial" w:cs="Arial"/>
          <w:b/>
          <w:color w:val="1F497D" w:themeColor="text2"/>
          <w:sz w:val="18"/>
          <w:szCs w:val="18"/>
        </w:rPr>
        <w:t xml:space="preserve">zifra absolutuak </w:t>
      </w:r>
      <w:r w:rsidRPr="001E2F6E">
        <w:rPr>
          <w:rFonts w:ascii="Arial" w:hAnsi="Arial" w:cs="Arial"/>
          <w:b/>
          <w:color w:val="1F497D" w:themeColor="text2"/>
          <w:sz w:val="18"/>
          <w:szCs w:val="18"/>
        </w:rPr>
        <w:t>euroan eta %bertikalak)</w:t>
      </w:r>
      <w:bookmarkEnd w:id="216"/>
      <w:bookmarkEnd w:id="217"/>
    </w:p>
    <w:tbl>
      <w:tblPr>
        <w:tblW w:w="5000" w:type="pct"/>
        <w:tblCellMar>
          <w:left w:w="70" w:type="dxa"/>
          <w:right w:w="70" w:type="dxa"/>
        </w:tblCellMar>
        <w:tblLook w:val="04A0" w:firstRow="1" w:lastRow="0" w:firstColumn="1" w:lastColumn="0" w:noHBand="0" w:noVBand="1"/>
      </w:tblPr>
      <w:tblGrid>
        <w:gridCol w:w="1238"/>
        <w:gridCol w:w="1334"/>
        <w:gridCol w:w="622"/>
        <w:gridCol w:w="1200"/>
        <w:gridCol w:w="622"/>
        <w:gridCol w:w="1334"/>
        <w:gridCol w:w="622"/>
        <w:gridCol w:w="1334"/>
        <w:gridCol w:w="622"/>
      </w:tblGrid>
      <w:tr w:rsidR="00195BE7" w:rsidRPr="001E2F6E" w:rsidTr="00195BE7">
        <w:tc>
          <w:tcPr>
            <w:tcW w:w="693" w:type="pct"/>
            <w:vMerge w:val="restart"/>
            <w:tcBorders>
              <w:top w:val="single" w:sz="8" w:space="0" w:color="BFBFBF"/>
              <w:left w:val="nil"/>
              <w:bottom w:val="single" w:sz="8" w:space="0" w:color="BFBFBF"/>
              <w:right w:val="single" w:sz="4" w:space="0" w:color="BFBFBF" w:themeColor="background1" w:themeShade="BF"/>
            </w:tcBorders>
            <w:shd w:val="clear" w:color="000000" w:fill="DBE5F1"/>
            <w:hideMark/>
          </w:tcPr>
          <w:p w:rsidR="00195BE7" w:rsidRPr="001E2F6E" w:rsidRDefault="00195BE7" w:rsidP="00195BE7">
            <w:pPr>
              <w:spacing w:line="240" w:lineRule="exact"/>
              <w:rPr>
                <w:rFonts w:ascii="Calibri" w:hAnsi="Calibri"/>
                <w:color w:val="000000"/>
              </w:rPr>
            </w:pPr>
            <w:r w:rsidRPr="001E2F6E">
              <w:rPr>
                <w:rFonts w:ascii="Calibri" w:hAnsi="Calibri"/>
                <w:color w:val="000000"/>
              </w:rPr>
              <w:t> </w:t>
            </w:r>
          </w:p>
        </w:tc>
        <w:tc>
          <w:tcPr>
            <w:tcW w:w="1095" w:type="pct"/>
            <w:gridSpan w:val="2"/>
            <w:tcBorders>
              <w:top w:val="single" w:sz="8" w:space="0" w:color="BFBFBF"/>
              <w:left w:val="single" w:sz="4" w:space="0" w:color="BFBFBF" w:themeColor="background1" w:themeShade="BF"/>
              <w:bottom w:val="single" w:sz="8" w:space="0" w:color="BFBFBF"/>
              <w:right w:val="single" w:sz="4" w:space="0" w:color="BFBFBF" w:themeColor="background1" w:themeShade="BF"/>
            </w:tcBorders>
            <w:shd w:val="clear" w:color="000000" w:fill="DBE5F1"/>
            <w:hideMark/>
          </w:tcPr>
          <w:p w:rsidR="00195BE7" w:rsidRPr="001E2F6E" w:rsidRDefault="00195BE7" w:rsidP="00195BE7">
            <w:pPr>
              <w:spacing w:line="240" w:lineRule="exact"/>
              <w:jc w:val="center"/>
              <w:rPr>
                <w:rFonts w:eastAsia="Times New Roman"/>
                <w:b/>
                <w:bCs/>
                <w:color w:val="000000"/>
                <w:sz w:val="16"/>
                <w:szCs w:val="16"/>
                <w:lang w:eastAsia="es-ES"/>
              </w:rPr>
            </w:pPr>
            <w:r w:rsidRPr="001E2F6E">
              <w:rPr>
                <w:rFonts w:eastAsia="Times New Roman"/>
                <w:b/>
                <w:bCs/>
                <w:color w:val="000000"/>
                <w:sz w:val="16"/>
                <w:szCs w:val="16"/>
                <w:lang w:val="en-GB" w:eastAsia="es-ES"/>
              </w:rPr>
              <w:t>EAE</w:t>
            </w:r>
          </w:p>
        </w:tc>
        <w:tc>
          <w:tcPr>
            <w:tcW w:w="1020" w:type="pct"/>
            <w:gridSpan w:val="2"/>
            <w:tcBorders>
              <w:top w:val="single" w:sz="8" w:space="0" w:color="BFBFBF"/>
              <w:left w:val="single" w:sz="4" w:space="0" w:color="BFBFBF" w:themeColor="background1" w:themeShade="BF"/>
              <w:bottom w:val="single" w:sz="8" w:space="0" w:color="BFBFBF"/>
              <w:right w:val="single" w:sz="4" w:space="0" w:color="BFBFBF" w:themeColor="background1" w:themeShade="BF"/>
            </w:tcBorders>
            <w:shd w:val="clear" w:color="000000" w:fill="DBE5F1"/>
            <w:hideMark/>
          </w:tcPr>
          <w:p w:rsidR="00195BE7" w:rsidRPr="001E2F6E" w:rsidRDefault="00195BE7" w:rsidP="00195BE7">
            <w:pPr>
              <w:spacing w:line="240" w:lineRule="exact"/>
              <w:jc w:val="center"/>
              <w:rPr>
                <w:rFonts w:eastAsia="Times New Roman"/>
                <w:b/>
                <w:bCs/>
                <w:color w:val="000000"/>
                <w:sz w:val="16"/>
                <w:szCs w:val="16"/>
                <w:lang w:eastAsia="es-ES"/>
              </w:rPr>
            </w:pPr>
            <w:r w:rsidRPr="001E2F6E">
              <w:rPr>
                <w:rFonts w:eastAsia="Times New Roman"/>
                <w:b/>
                <w:bCs/>
                <w:color w:val="000000"/>
                <w:sz w:val="16"/>
                <w:szCs w:val="16"/>
                <w:lang w:val="en-GB" w:eastAsia="es-ES"/>
              </w:rPr>
              <w:t>Araba</w:t>
            </w:r>
          </w:p>
        </w:tc>
        <w:tc>
          <w:tcPr>
            <w:tcW w:w="1095" w:type="pct"/>
            <w:gridSpan w:val="2"/>
            <w:tcBorders>
              <w:top w:val="single" w:sz="8" w:space="0" w:color="BFBFBF"/>
              <w:left w:val="single" w:sz="4" w:space="0" w:color="BFBFBF" w:themeColor="background1" w:themeShade="BF"/>
              <w:bottom w:val="single" w:sz="8" w:space="0" w:color="BFBFBF"/>
              <w:right w:val="single" w:sz="4" w:space="0" w:color="BFBFBF" w:themeColor="background1" w:themeShade="BF"/>
            </w:tcBorders>
            <w:shd w:val="clear" w:color="000000" w:fill="DBE5F1"/>
            <w:hideMark/>
          </w:tcPr>
          <w:p w:rsidR="00195BE7" w:rsidRPr="001E2F6E" w:rsidRDefault="00195BE7" w:rsidP="00195BE7">
            <w:pPr>
              <w:spacing w:line="240" w:lineRule="exact"/>
              <w:jc w:val="center"/>
              <w:rPr>
                <w:rFonts w:eastAsia="Times New Roman"/>
                <w:b/>
                <w:bCs/>
                <w:color w:val="000000"/>
                <w:sz w:val="16"/>
                <w:szCs w:val="16"/>
                <w:lang w:eastAsia="es-ES"/>
              </w:rPr>
            </w:pPr>
            <w:r w:rsidRPr="001E2F6E">
              <w:rPr>
                <w:rFonts w:eastAsia="Times New Roman"/>
                <w:b/>
                <w:bCs/>
                <w:color w:val="000000"/>
                <w:sz w:val="16"/>
                <w:szCs w:val="16"/>
                <w:lang w:val="en-GB" w:eastAsia="es-ES"/>
              </w:rPr>
              <w:t>Bizkaia</w:t>
            </w:r>
          </w:p>
        </w:tc>
        <w:tc>
          <w:tcPr>
            <w:tcW w:w="1095" w:type="pct"/>
            <w:gridSpan w:val="2"/>
            <w:tcBorders>
              <w:top w:val="single" w:sz="8" w:space="0" w:color="BFBFBF"/>
              <w:left w:val="single" w:sz="4" w:space="0" w:color="BFBFBF" w:themeColor="background1" w:themeShade="BF"/>
              <w:bottom w:val="single" w:sz="8" w:space="0" w:color="BFBFBF"/>
              <w:right w:val="nil"/>
            </w:tcBorders>
            <w:shd w:val="clear" w:color="000000" w:fill="DBE5F1"/>
            <w:hideMark/>
          </w:tcPr>
          <w:p w:rsidR="00195BE7" w:rsidRPr="001E2F6E" w:rsidRDefault="00195BE7" w:rsidP="00195BE7">
            <w:pPr>
              <w:spacing w:line="240" w:lineRule="exact"/>
              <w:jc w:val="center"/>
              <w:rPr>
                <w:rFonts w:eastAsia="Times New Roman"/>
                <w:b/>
                <w:bCs/>
                <w:color w:val="000000"/>
                <w:sz w:val="16"/>
                <w:szCs w:val="16"/>
                <w:lang w:eastAsia="es-ES"/>
              </w:rPr>
            </w:pPr>
            <w:r w:rsidRPr="001E2F6E">
              <w:rPr>
                <w:rFonts w:eastAsia="Times New Roman"/>
                <w:b/>
                <w:bCs/>
                <w:color w:val="000000"/>
                <w:sz w:val="16"/>
                <w:szCs w:val="16"/>
                <w:lang w:val="en-GB" w:eastAsia="es-ES"/>
              </w:rPr>
              <w:t>Gipuzkoa</w:t>
            </w:r>
          </w:p>
        </w:tc>
      </w:tr>
      <w:tr w:rsidR="00462130" w:rsidRPr="001E2F6E" w:rsidTr="00195BE7">
        <w:tc>
          <w:tcPr>
            <w:tcW w:w="693" w:type="pct"/>
            <w:vMerge/>
            <w:tcBorders>
              <w:top w:val="single" w:sz="8" w:space="0" w:color="BFBFBF"/>
              <w:left w:val="nil"/>
              <w:bottom w:val="single" w:sz="8" w:space="0" w:color="BFBFBF"/>
              <w:right w:val="single" w:sz="4" w:space="0" w:color="BFBFBF" w:themeColor="background1" w:themeShade="BF"/>
            </w:tcBorders>
            <w:vAlign w:val="center"/>
            <w:hideMark/>
          </w:tcPr>
          <w:p w:rsidR="00462130" w:rsidRPr="001E2F6E" w:rsidRDefault="00462130" w:rsidP="00195BE7">
            <w:pPr>
              <w:spacing w:line="240" w:lineRule="exact"/>
              <w:rPr>
                <w:rFonts w:ascii="Calibri" w:hAnsi="Calibri"/>
                <w:color w:val="000000"/>
              </w:rPr>
            </w:pPr>
          </w:p>
        </w:tc>
        <w:tc>
          <w:tcPr>
            <w:tcW w:w="747" w:type="pct"/>
            <w:tcBorders>
              <w:top w:val="nil"/>
              <w:left w:val="single" w:sz="4" w:space="0" w:color="BFBFBF" w:themeColor="background1" w:themeShade="BF"/>
              <w:bottom w:val="single" w:sz="8" w:space="0" w:color="BFBFBF"/>
            </w:tcBorders>
            <w:shd w:val="clear" w:color="000000" w:fill="DBE5F1"/>
            <w:hideMark/>
          </w:tcPr>
          <w:p w:rsidR="00462130" w:rsidRPr="001E2F6E" w:rsidRDefault="00462130" w:rsidP="00195BE7">
            <w:pPr>
              <w:spacing w:line="240" w:lineRule="exact"/>
              <w:jc w:val="center"/>
              <w:rPr>
                <w:rFonts w:eastAsia="Times New Roman"/>
                <w:b/>
                <w:bCs/>
                <w:color w:val="000000"/>
                <w:sz w:val="16"/>
                <w:szCs w:val="16"/>
                <w:lang w:eastAsia="es-ES"/>
              </w:rPr>
            </w:pPr>
            <w:r w:rsidRPr="001E2F6E">
              <w:rPr>
                <w:rFonts w:eastAsia="Times New Roman"/>
                <w:b/>
                <w:bCs/>
                <w:color w:val="000000"/>
                <w:sz w:val="16"/>
                <w:szCs w:val="16"/>
                <w:lang w:eastAsia="es-ES"/>
              </w:rPr>
              <w:t>z.a.</w:t>
            </w:r>
          </w:p>
        </w:tc>
        <w:tc>
          <w:tcPr>
            <w:tcW w:w="348" w:type="pct"/>
            <w:tcBorders>
              <w:top w:val="nil"/>
              <w:left w:val="nil"/>
              <w:bottom w:val="single" w:sz="8" w:space="0" w:color="BFBFBF"/>
              <w:right w:val="single" w:sz="4" w:space="0" w:color="BFBFBF" w:themeColor="background1" w:themeShade="BF"/>
            </w:tcBorders>
            <w:shd w:val="clear" w:color="000000" w:fill="DBE5F1"/>
            <w:hideMark/>
          </w:tcPr>
          <w:p w:rsidR="00462130" w:rsidRPr="001E2F6E" w:rsidRDefault="00462130" w:rsidP="00195BE7">
            <w:pPr>
              <w:spacing w:line="240" w:lineRule="exact"/>
              <w:jc w:val="center"/>
              <w:rPr>
                <w:rFonts w:eastAsia="Times New Roman"/>
                <w:b/>
                <w:bCs/>
                <w:color w:val="000000"/>
                <w:sz w:val="16"/>
                <w:szCs w:val="16"/>
                <w:lang w:eastAsia="es-ES"/>
              </w:rPr>
            </w:pPr>
            <w:r w:rsidRPr="001E2F6E">
              <w:rPr>
                <w:rFonts w:eastAsia="Times New Roman"/>
                <w:b/>
                <w:bCs/>
                <w:color w:val="000000"/>
                <w:sz w:val="16"/>
                <w:szCs w:val="16"/>
                <w:lang w:eastAsia="es-ES"/>
              </w:rPr>
              <w:t>%ber.</w:t>
            </w:r>
          </w:p>
        </w:tc>
        <w:tc>
          <w:tcPr>
            <w:tcW w:w="672" w:type="pct"/>
            <w:tcBorders>
              <w:top w:val="nil"/>
              <w:left w:val="single" w:sz="4" w:space="0" w:color="BFBFBF" w:themeColor="background1" w:themeShade="BF"/>
              <w:bottom w:val="single" w:sz="8" w:space="0" w:color="BFBFBF"/>
            </w:tcBorders>
            <w:shd w:val="clear" w:color="000000" w:fill="DBE5F1"/>
            <w:hideMark/>
          </w:tcPr>
          <w:p w:rsidR="00462130" w:rsidRPr="001E2F6E" w:rsidRDefault="00462130" w:rsidP="00462130">
            <w:pPr>
              <w:spacing w:line="240" w:lineRule="exact"/>
              <w:jc w:val="center"/>
              <w:rPr>
                <w:rFonts w:eastAsia="Times New Roman"/>
                <w:b/>
                <w:bCs/>
                <w:color w:val="000000"/>
                <w:sz w:val="16"/>
                <w:szCs w:val="16"/>
                <w:lang w:eastAsia="es-ES"/>
              </w:rPr>
            </w:pPr>
            <w:r w:rsidRPr="001E2F6E">
              <w:rPr>
                <w:rFonts w:eastAsia="Times New Roman"/>
                <w:b/>
                <w:bCs/>
                <w:color w:val="000000"/>
                <w:sz w:val="16"/>
                <w:szCs w:val="16"/>
                <w:lang w:eastAsia="es-ES"/>
              </w:rPr>
              <w:t>z.a.</w:t>
            </w:r>
          </w:p>
        </w:tc>
        <w:tc>
          <w:tcPr>
            <w:tcW w:w="348" w:type="pct"/>
            <w:tcBorders>
              <w:top w:val="nil"/>
              <w:left w:val="nil"/>
              <w:bottom w:val="single" w:sz="8" w:space="0" w:color="BFBFBF"/>
              <w:right w:val="single" w:sz="4" w:space="0" w:color="BFBFBF" w:themeColor="background1" w:themeShade="BF"/>
            </w:tcBorders>
            <w:shd w:val="clear" w:color="000000" w:fill="DBE5F1"/>
            <w:hideMark/>
          </w:tcPr>
          <w:p w:rsidR="00462130" w:rsidRPr="001E2F6E" w:rsidRDefault="00462130" w:rsidP="00462130">
            <w:pPr>
              <w:spacing w:line="240" w:lineRule="exact"/>
              <w:jc w:val="center"/>
              <w:rPr>
                <w:rFonts w:eastAsia="Times New Roman"/>
                <w:b/>
                <w:bCs/>
                <w:color w:val="000000"/>
                <w:sz w:val="16"/>
                <w:szCs w:val="16"/>
                <w:lang w:eastAsia="es-ES"/>
              </w:rPr>
            </w:pPr>
            <w:r w:rsidRPr="001E2F6E">
              <w:rPr>
                <w:rFonts w:eastAsia="Times New Roman"/>
                <w:b/>
                <w:bCs/>
                <w:color w:val="000000"/>
                <w:sz w:val="16"/>
                <w:szCs w:val="16"/>
                <w:lang w:eastAsia="es-ES"/>
              </w:rPr>
              <w:t>%ber.</w:t>
            </w:r>
          </w:p>
        </w:tc>
        <w:tc>
          <w:tcPr>
            <w:tcW w:w="747" w:type="pct"/>
            <w:tcBorders>
              <w:top w:val="nil"/>
              <w:left w:val="single" w:sz="4" w:space="0" w:color="BFBFBF" w:themeColor="background1" w:themeShade="BF"/>
              <w:bottom w:val="single" w:sz="8" w:space="0" w:color="BFBFBF"/>
            </w:tcBorders>
            <w:shd w:val="clear" w:color="000000" w:fill="DBE5F1"/>
            <w:hideMark/>
          </w:tcPr>
          <w:p w:rsidR="00462130" w:rsidRPr="001E2F6E" w:rsidRDefault="00462130" w:rsidP="00462130">
            <w:pPr>
              <w:spacing w:line="240" w:lineRule="exact"/>
              <w:jc w:val="center"/>
              <w:rPr>
                <w:rFonts w:eastAsia="Times New Roman"/>
                <w:b/>
                <w:bCs/>
                <w:color w:val="000000"/>
                <w:sz w:val="16"/>
                <w:szCs w:val="16"/>
                <w:lang w:eastAsia="es-ES"/>
              </w:rPr>
            </w:pPr>
            <w:r w:rsidRPr="001E2F6E">
              <w:rPr>
                <w:rFonts w:eastAsia="Times New Roman"/>
                <w:b/>
                <w:bCs/>
                <w:color w:val="000000"/>
                <w:sz w:val="16"/>
                <w:szCs w:val="16"/>
                <w:lang w:eastAsia="es-ES"/>
              </w:rPr>
              <w:t>z.a.</w:t>
            </w:r>
          </w:p>
        </w:tc>
        <w:tc>
          <w:tcPr>
            <w:tcW w:w="348" w:type="pct"/>
            <w:tcBorders>
              <w:top w:val="nil"/>
              <w:left w:val="nil"/>
              <w:bottom w:val="single" w:sz="8" w:space="0" w:color="BFBFBF"/>
              <w:right w:val="single" w:sz="4" w:space="0" w:color="BFBFBF" w:themeColor="background1" w:themeShade="BF"/>
            </w:tcBorders>
            <w:shd w:val="clear" w:color="000000" w:fill="DBE5F1"/>
            <w:hideMark/>
          </w:tcPr>
          <w:p w:rsidR="00462130" w:rsidRPr="001E2F6E" w:rsidRDefault="00462130" w:rsidP="00462130">
            <w:pPr>
              <w:spacing w:line="240" w:lineRule="exact"/>
              <w:jc w:val="center"/>
              <w:rPr>
                <w:rFonts w:eastAsia="Times New Roman"/>
                <w:b/>
                <w:bCs/>
                <w:color w:val="000000"/>
                <w:sz w:val="16"/>
                <w:szCs w:val="16"/>
                <w:lang w:eastAsia="es-ES"/>
              </w:rPr>
            </w:pPr>
            <w:r w:rsidRPr="001E2F6E">
              <w:rPr>
                <w:rFonts w:eastAsia="Times New Roman"/>
                <w:b/>
                <w:bCs/>
                <w:color w:val="000000"/>
                <w:sz w:val="16"/>
                <w:szCs w:val="16"/>
                <w:lang w:eastAsia="es-ES"/>
              </w:rPr>
              <w:t>%ber.</w:t>
            </w:r>
          </w:p>
        </w:tc>
        <w:tc>
          <w:tcPr>
            <w:tcW w:w="747" w:type="pct"/>
            <w:tcBorders>
              <w:top w:val="nil"/>
              <w:left w:val="single" w:sz="4" w:space="0" w:color="BFBFBF" w:themeColor="background1" w:themeShade="BF"/>
              <w:bottom w:val="single" w:sz="8" w:space="0" w:color="BFBFBF"/>
            </w:tcBorders>
            <w:shd w:val="clear" w:color="000000" w:fill="DBE5F1"/>
            <w:hideMark/>
          </w:tcPr>
          <w:p w:rsidR="00462130" w:rsidRPr="001E2F6E" w:rsidRDefault="00462130" w:rsidP="00462130">
            <w:pPr>
              <w:spacing w:line="240" w:lineRule="exact"/>
              <w:jc w:val="center"/>
              <w:rPr>
                <w:rFonts w:eastAsia="Times New Roman"/>
                <w:b/>
                <w:bCs/>
                <w:color w:val="000000"/>
                <w:sz w:val="16"/>
                <w:szCs w:val="16"/>
                <w:lang w:eastAsia="es-ES"/>
              </w:rPr>
            </w:pPr>
            <w:r w:rsidRPr="001E2F6E">
              <w:rPr>
                <w:rFonts w:eastAsia="Times New Roman"/>
                <w:b/>
                <w:bCs/>
                <w:color w:val="000000"/>
                <w:sz w:val="16"/>
                <w:szCs w:val="16"/>
                <w:lang w:eastAsia="es-ES"/>
              </w:rPr>
              <w:t>z.a.</w:t>
            </w:r>
          </w:p>
        </w:tc>
        <w:tc>
          <w:tcPr>
            <w:tcW w:w="348" w:type="pct"/>
            <w:tcBorders>
              <w:top w:val="nil"/>
              <w:left w:val="nil"/>
              <w:bottom w:val="single" w:sz="8" w:space="0" w:color="BFBFBF"/>
              <w:right w:val="nil"/>
            </w:tcBorders>
            <w:shd w:val="clear" w:color="000000" w:fill="DBE5F1"/>
            <w:hideMark/>
          </w:tcPr>
          <w:p w:rsidR="00462130" w:rsidRPr="001E2F6E" w:rsidRDefault="00462130" w:rsidP="00462130">
            <w:pPr>
              <w:spacing w:line="240" w:lineRule="exact"/>
              <w:jc w:val="center"/>
              <w:rPr>
                <w:rFonts w:eastAsia="Times New Roman"/>
                <w:b/>
                <w:bCs/>
                <w:color w:val="000000"/>
                <w:sz w:val="16"/>
                <w:szCs w:val="16"/>
                <w:lang w:eastAsia="es-ES"/>
              </w:rPr>
            </w:pPr>
            <w:r w:rsidRPr="001E2F6E">
              <w:rPr>
                <w:rFonts w:eastAsia="Times New Roman"/>
                <w:b/>
                <w:bCs/>
                <w:color w:val="000000"/>
                <w:sz w:val="16"/>
                <w:szCs w:val="16"/>
                <w:lang w:eastAsia="es-ES"/>
              </w:rPr>
              <w:t>%ber.</w:t>
            </w:r>
          </w:p>
        </w:tc>
      </w:tr>
      <w:tr w:rsidR="00195BE7" w:rsidRPr="001E2F6E" w:rsidTr="00195BE7">
        <w:tc>
          <w:tcPr>
            <w:tcW w:w="693" w:type="pct"/>
            <w:tcBorders>
              <w:top w:val="nil"/>
              <w:left w:val="nil"/>
              <w:bottom w:val="nil"/>
              <w:right w:val="single" w:sz="4" w:space="0" w:color="BFBFBF" w:themeColor="background1" w:themeShade="BF"/>
            </w:tcBorders>
            <w:shd w:val="clear" w:color="auto" w:fill="auto"/>
            <w:vAlign w:val="center"/>
            <w:hideMark/>
          </w:tcPr>
          <w:p w:rsidR="00195BE7" w:rsidRPr="001E2F6E" w:rsidRDefault="00195BE7" w:rsidP="00195BE7">
            <w:pPr>
              <w:spacing w:line="240" w:lineRule="auto"/>
              <w:rPr>
                <w:sz w:val="16"/>
                <w:szCs w:val="16"/>
                <w:lang w:val="eu-ES"/>
              </w:rPr>
            </w:pPr>
            <w:r w:rsidRPr="001E2F6E">
              <w:rPr>
                <w:sz w:val="16"/>
                <w:szCs w:val="16"/>
                <w:lang w:val="eu-ES"/>
              </w:rPr>
              <w:t>Lehen sektorea</w:t>
            </w:r>
          </w:p>
        </w:tc>
        <w:tc>
          <w:tcPr>
            <w:tcW w:w="747" w:type="pct"/>
            <w:tcBorders>
              <w:top w:val="nil"/>
              <w:left w:val="single" w:sz="4" w:space="0" w:color="BFBFBF" w:themeColor="background1" w:themeShade="BF"/>
              <w:bottom w:val="nil"/>
            </w:tcBorders>
            <w:shd w:val="clear" w:color="auto" w:fill="auto"/>
            <w:vAlign w:val="bottom"/>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6.219.052</w:t>
            </w:r>
          </w:p>
        </w:tc>
        <w:tc>
          <w:tcPr>
            <w:tcW w:w="348" w:type="pct"/>
            <w:tcBorders>
              <w:top w:val="nil"/>
              <w:left w:val="nil"/>
              <w:bottom w:val="nil"/>
              <w:right w:val="single" w:sz="4" w:space="0" w:color="BFBFBF" w:themeColor="background1" w:themeShade="BF"/>
            </w:tcBorders>
            <w:shd w:val="clear" w:color="auto" w:fill="auto"/>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0,1</w:t>
            </w:r>
          </w:p>
        </w:tc>
        <w:tc>
          <w:tcPr>
            <w:tcW w:w="672" w:type="pct"/>
            <w:tcBorders>
              <w:top w:val="nil"/>
              <w:left w:val="single" w:sz="4" w:space="0" w:color="BFBFBF" w:themeColor="background1" w:themeShade="BF"/>
              <w:bottom w:val="nil"/>
            </w:tcBorders>
            <w:shd w:val="clear" w:color="auto" w:fill="auto"/>
            <w:vAlign w:val="bottom"/>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4.817.000</w:t>
            </w:r>
          </w:p>
        </w:tc>
        <w:tc>
          <w:tcPr>
            <w:tcW w:w="348" w:type="pct"/>
            <w:tcBorders>
              <w:top w:val="nil"/>
              <w:left w:val="nil"/>
              <w:bottom w:val="nil"/>
              <w:right w:val="single" w:sz="4" w:space="0" w:color="BFBFBF" w:themeColor="background1" w:themeShade="BF"/>
            </w:tcBorders>
            <w:shd w:val="clear" w:color="auto" w:fill="auto"/>
            <w:vAlign w:val="bottom"/>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0,7</w:t>
            </w:r>
          </w:p>
        </w:tc>
        <w:tc>
          <w:tcPr>
            <w:tcW w:w="747" w:type="pct"/>
            <w:tcBorders>
              <w:top w:val="nil"/>
              <w:left w:val="single" w:sz="4" w:space="0" w:color="BFBFBF" w:themeColor="background1" w:themeShade="BF"/>
              <w:bottom w:val="nil"/>
            </w:tcBorders>
            <w:shd w:val="clear" w:color="auto" w:fill="auto"/>
            <w:vAlign w:val="bottom"/>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1.208.704</w:t>
            </w:r>
          </w:p>
        </w:tc>
        <w:tc>
          <w:tcPr>
            <w:tcW w:w="348" w:type="pct"/>
            <w:tcBorders>
              <w:top w:val="nil"/>
              <w:left w:val="nil"/>
              <w:bottom w:val="nil"/>
              <w:right w:val="single" w:sz="4" w:space="0" w:color="BFBFBF" w:themeColor="background1" w:themeShade="BF"/>
            </w:tcBorders>
            <w:shd w:val="clear" w:color="auto" w:fill="auto"/>
            <w:vAlign w:val="bottom"/>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0,1</w:t>
            </w:r>
          </w:p>
        </w:tc>
        <w:tc>
          <w:tcPr>
            <w:tcW w:w="747" w:type="pct"/>
            <w:tcBorders>
              <w:top w:val="nil"/>
              <w:left w:val="single" w:sz="4" w:space="0" w:color="BFBFBF" w:themeColor="background1" w:themeShade="BF"/>
              <w:bottom w:val="nil"/>
            </w:tcBorders>
            <w:shd w:val="clear" w:color="auto" w:fill="auto"/>
            <w:vAlign w:val="bottom"/>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193.349</w:t>
            </w:r>
          </w:p>
        </w:tc>
        <w:tc>
          <w:tcPr>
            <w:tcW w:w="348" w:type="pct"/>
            <w:tcBorders>
              <w:top w:val="nil"/>
              <w:left w:val="nil"/>
              <w:bottom w:val="nil"/>
              <w:right w:val="nil"/>
            </w:tcBorders>
            <w:shd w:val="clear" w:color="auto" w:fill="auto"/>
            <w:vAlign w:val="bottom"/>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0,0</w:t>
            </w:r>
          </w:p>
        </w:tc>
      </w:tr>
      <w:tr w:rsidR="00195BE7" w:rsidRPr="001E2F6E" w:rsidTr="00195BE7">
        <w:tc>
          <w:tcPr>
            <w:tcW w:w="693" w:type="pct"/>
            <w:tcBorders>
              <w:top w:val="nil"/>
              <w:left w:val="nil"/>
              <w:bottom w:val="nil"/>
              <w:right w:val="single" w:sz="4" w:space="0" w:color="BFBFBF" w:themeColor="background1" w:themeShade="BF"/>
            </w:tcBorders>
            <w:shd w:val="clear" w:color="auto" w:fill="auto"/>
            <w:vAlign w:val="center"/>
            <w:hideMark/>
          </w:tcPr>
          <w:p w:rsidR="00195BE7" w:rsidRPr="001E2F6E" w:rsidRDefault="00195BE7" w:rsidP="00195BE7">
            <w:pPr>
              <w:spacing w:line="240" w:lineRule="auto"/>
              <w:rPr>
                <w:sz w:val="16"/>
                <w:szCs w:val="16"/>
                <w:lang w:val="eu-ES"/>
              </w:rPr>
            </w:pPr>
            <w:r w:rsidRPr="001E2F6E">
              <w:rPr>
                <w:sz w:val="16"/>
                <w:szCs w:val="16"/>
                <w:lang w:val="eu-ES"/>
              </w:rPr>
              <w:t xml:space="preserve">Industria </w:t>
            </w:r>
          </w:p>
        </w:tc>
        <w:tc>
          <w:tcPr>
            <w:tcW w:w="747" w:type="pct"/>
            <w:tcBorders>
              <w:top w:val="nil"/>
              <w:left w:val="single" w:sz="4" w:space="0" w:color="BFBFBF" w:themeColor="background1" w:themeShade="BF"/>
              <w:bottom w:val="nil"/>
            </w:tcBorders>
            <w:shd w:val="clear" w:color="auto" w:fill="auto"/>
            <w:vAlign w:val="bottom"/>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2.428.715.928</w:t>
            </w:r>
          </w:p>
        </w:tc>
        <w:tc>
          <w:tcPr>
            <w:tcW w:w="348" w:type="pct"/>
            <w:tcBorders>
              <w:top w:val="nil"/>
              <w:left w:val="nil"/>
              <w:bottom w:val="nil"/>
              <w:right w:val="single" w:sz="4" w:space="0" w:color="BFBFBF" w:themeColor="background1" w:themeShade="BF"/>
            </w:tcBorders>
            <w:shd w:val="clear" w:color="auto" w:fill="auto"/>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36,8</w:t>
            </w:r>
          </w:p>
        </w:tc>
        <w:tc>
          <w:tcPr>
            <w:tcW w:w="672" w:type="pct"/>
            <w:tcBorders>
              <w:top w:val="nil"/>
              <w:left w:val="single" w:sz="4" w:space="0" w:color="BFBFBF" w:themeColor="background1" w:themeShade="BF"/>
              <w:bottom w:val="nil"/>
            </w:tcBorders>
            <w:shd w:val="clear" w:color="auto" w:fill="auto"/>
            <w:vAlign w:val="bottom"/>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161.276.926</w:t>
            </w:r>
          </w:p>
        </w:tc>
        <w:tc>
          <w:tcPr>
            <w:tcW w:w="348" w:type="pct"/>
            <w:tcBorders>
              <w:top w:val="nil"/>
              <w:left w:val="nil"/>
              <w:bottom w:val="nil"/>
              <w:right w:val="single" w:sz="4" w:space="0" w:color="BFBFBF" w:themeColor="background1" w:themeShade="BF"/>
            </w:tcBorders>
            <w:shd w:val="clear" w:color="auto" w:fill="auto"/>
            <w:vAlign w:val="bottom"/>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24,3</w:t>
            </w:r>
          </w:p>
        </w:tc>
        <w:tc>
          <w:tcPr>
            <w:tcW w:w="747" w:type="pct"/>
            <w:tcBorders>
              <w:top w:val="nil"/>
              <w:left w:val="single" w:sz="4" w:space="0" w:color="BFBFBF" w:themeColor="background1" w:themeShade="BF"/>
              <w:bottom w:val="nil"/>
            </w:tcBorders>
            <w:shd w:val="clear" w:color="auto" w:fill="auto"/>
            <w:vAlign w:val="bottom"/>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429.738.895</w:t>
            </w:r>
          </w:p>
        </w:tc>
        <w:tc>
          <w:tcPr>
            <w:tcW w:w="348" w:type="pct"/>
            <w:tcBorders>
              <w:top w:val="nil"/>
              <w:left w:val="nil"/>
              <w:bottom w:val="nil"/>
              <w:right w:val="single" w:sz="4" w:space="0" w:color="BFBFBF" w:themeColor="background1" w:themeShade="BF"/>
            </w:tcBorders>
            <w:shd w:val="clear" w:color="auto" w:fill="auto"/>
            <w:vAlign w:val="bottom"/>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24,5</w:t>
            </w:r>
          </w:p>
        </w:tc>
        <w:tc>
          <w:tcPr>
            <w:tcW w:w="747" w:type="pct"/>
            <w:tcBorders>
              <w:top w:val="nil"/>
              <w:left w:val="single" w:sz="4" w:space="0" w:color="BFBFBF" w:themeColor="background1" w:themeShade="BF"/>
              <w:bottom w:val="nil"/>
            </w:tcBorders>
            <w:shd w:val="clear" w:color="auto" w:fill="auto"/>
            <w:vAlign w:val="bottom"/>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1.837.700.107</w:t>
            </w:r>
          </w:p>
        </w:tc>
        <w:tc>
          <w:tcPr>
            <w:tcW w:w="348" w:type="pct"/>
            <w:tcBorders>
              <w:top w:val="nil"/>
              <w:left w:val="nil"/>
              <w:bottom w:val="nil"/>
              <w:right w:val="nil"/>
            </w:tcBorders>
            <w:shd w:val="clear" w:color="auto" w:fill="auto"/>
            <w:vAlign w:val="bottom"/>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52,5</w:t>
            </w:r>
          </w:p>
        </w:tc>
      </w:tr>
      <w:tr w:rsidR="00195BE7" w:rsidRPr="001E2F6E" w:rsidTr="00195BE7">
        <w:tc>
          <w:tcPr>
            <w:tcW w:w="693" w:type="pct"/>
            <w:tcBorders>
              <w:top w:val="nil"/>
              <w:left w:val="nil"/>
              <w:bottom w:val="nil"/>
              <w:right w:val="single" w:sz="4" w:space="0" w:color="BFBFBF" w:themeColor="background1" w:themeShade="BF"/>
            </w:tcBorders>
            <w:shd w:val="clear" w:color="auto" w:fill="auto"/>
            <w:vAlign w:val="center"/>
            <w:hideMark/>
          </w:tcPr>
          <w:p w:rsidR="00195BE7" w:rsidRPr="001E2F6E" w:rsidRDefault="00195BE7" w:rsidP="00195BE7">
            <w:pPr>
              <w:spacing w:line="240" w:lineRule="auto"/>
              <w:rPr>
                <w:sz w:val="16"/>
                <w:szCs w:val="16"/>
                <w:lang w:val="eu-ES"/>
              </w:rPr>
            </w:pPr>
            <w:r w:rsidRPr="001E2F6E">
              <w:rPr>
                <w:sz w:val="16"/>
                <w:szCs w:val="16"/>
                <w:lang w:val="eu-ES"/>
              </w:rPr>
              <w:t>Eraikuntza</w:t>
            </w:r>
          </w:p>
        </w:tc>
        <w:tc>
          <w:tcPr>
            <w:tcW w:w="747" w:type="pct"/>
            <w:tcBorders>
              <w:top w:val="nil"/>
              <w:left w:val="single" w:sz="4" w:space="0" w:color="BFBFBF" w:themeColor="background1" w:themeShade="BF"/>
              <w:bottom w:val="nil"/>
            </w:tcBorders>
            <w:shd w:val="clear" w:color="auto" w:fill="auto"/>
            <w:vAlign w:val="bottom"/>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50.949.517</w:t>
            </w:r>
          </w:p>
        </w:tc>
        <w:tc>
          <w:tcPr>
            <w:tcW w:w="348" w:type="pct"/>
            <w:tcBorders>
              <w:top w:val="nil"/>
              <w:left w:val="nil"/>
              <w:bottom w:val="nil"/>
              <w:right w:val="single" w:sz="4" w:space="0" w:color="BFBFBF" w:themeColor="background1" w:themeShade="BF"/>
            </w:tcBorders>
            <w:shd w:val="clear" w:color="auto" w:fill="auto"/>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1,0</w:t>
            </w:r>
          </w:p>
        </w:tc>
        <w:tc>
          <w:tcPr>
            <w:tcW w:w="672" w:type="pct"/>
            <w:tcBorders>
              <w:top w:val="nil"/>
              <w:left w:val="single" w:sz="4" w:space="0" w:color="BFBFBF" w:themeColor="background1" w:themeShade="BF"/>
              <w:bottom w:val="nil"/>
            </w:tcBorders>
            <w:shd w:val="clear" w:color="auto" w:fill="auto"/>
            <w:vAlign w:val="bottom"/>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8.011.046</w:t>
            </w:r>
          </w:p>
        </w:tc>
        <w:tc>
          <w:tcPr>
            <w:tcW w:w="348" w:type="pct"/>
            <w:tcBorders>
              <w:top w:val="nil"/>
              <w:left w:val="nil"/>
              <w:bottom w:val="nil"/>
              <w:right w:val="single" w:sz="4" w:space="0" w:color="BFBFBF" w:themeColor="background1" w:themeShade="BF"/>
            </w:tcBorders>
            <w:shd w:val="clear" w:color="auto" w:fill="auto"/>
            <w:vAlign w:val="bottom"/>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1,2</w:t>
            </w:r>
          </w:p>
        </w:tc>
        <w:tc>
          <w:tcPr>
            <w:tcW w:w="747" w:type="pct"/>
            <w:tcBorders>
              <w:top w:val="nil"/>
              <w:left w:val="single" w:sz="4" w:space="0" w:color="BFBFBF" w:themeColor="background1" w:themeShade="BF"/>
              <w:bottom w:val="nil"/>
            </w:tcBorders>
            <w:shd w:val="clear" w:color="auto" w:fill="auto"/>
            <w:vAlign w:val="bottom"/>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28.837.018</w:t>
            </w:r>
          </w:p>
        </w:tc>
        <w:tc>
          <w:tcPr>
            <w:tcW w:w="348" w:type="pct"/>
            <w:tcBorders>
              <w:top w:val="nil"/>
              <w:left w:val="nil"/>
              <w:bottom w:val="nil"/>
              <w:right w:val="single" w:sz="4" w:space="0" w:color="BFBFBF" w:themeColor="background1" w:themeShade="BF"/>
            </w:tcBorders>
            <w:shd w:val="clear" w:color="auto" w:fill="auto"/>
            <w:vAlign w:val="bottom"/>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1,6</w:t>
            </w:r>
          </w:p>
        </w:tc>
        <w:tc>
          <w:tcPr>
            <w:tcW w:w="747" w:type="pct"/>
            <w:tcBorders>
              <w:top w:val="nil"/>
              <w:left w:val="single" w:sz="4" w:space="0" w:color="BFBFBF" w:themeColor="background1" w:themeShade="BF"/>
              <w:bottom w:val="nil"/>
            </w:tcBorders>
            <w:shd w:val="clear" w:color="auto" w:fill="auto"/>
            <w:vAlign w:val="bottom"/>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14.101.452</w:t>
            </w:r>
          </w:p>
        </w:tc>
        <w:tc>
          <w:tcPr>
            <w:tcW w:w="348" w:type="pct"/>
            <w:tcBorders>
              <w:top w:val="nil"/>
              <w:left w:val="nil"/>
              <w:bottom w:val="nil"/>
              <w:right w:val="nil"/>
            </w:tcBorders>
            <w:shd w:val="clear" w:color="auto" w:fill="auto"/>
            <w:vAlign w:val="bottom"/>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0,4</w:t>
            </w:r>
          </w:p>
        </w:tc>
      </w:tr>
      <w:tr w:rsidR="00195BE7" w:rsidRPr="001E2F6E" w:rsidTr="00195BE7">
        <w:tc>
          <w:tcPr>
            <w:tcW w:w="693" w:type="pct"/>
            <w:tcBorders>
              <w:top w:val="nil"/>
              <w:left w:val="nil"/>
              <w:bottom w:val="nil"/>
              <w:right w:val="single" w:sz="4" w:space="0" w:color="BFBFBF" w:themeColor="background1" w:themeShade="BF"/>
            </w:tcBorders>
            <w:shd w:val="clear" w:color="auto" w:fill="auto"/>
            <w:vAlign w:val="center"/>
            <w:hideMark/>
          </w:tcPr>
          <w:p w:rsidR="00195BE7" w:rsidRPr="001E2F6E" w:rsidRDefault="00195BE7" w:rsidP="00195BE7">
            <w:pPr>
              <w:spacing w:line="240" w:lineRule="auto"/>
              <w:rPr>
                <w:sz w:val="16"/>
                <w:szCs w:val="16"/>
                <w:lang w:val="eu-ES"/>
              </w:rPr>
            </w:pPr>
            <w:r w:rsidRPr="001E2F6E">
              <w:rPr>
                <w:sz w:val="16"/>
                <w:szCs w:val="16"/>
                <w:lang w:val="eu-ES"/>
              </w:rPr>
              <w:t xml:space="preserve">Zerbitzuak </w:t>
            </w:r>
          </w:p>
        </w:tc>
        <w:tc>
          <w:tcPr>
            <w:tcW w:w="747" w:type="pct"/>
            <w:tcBorders>
              <w:top w:val="nil"/>
              <w:left w:val="single" w:sz="4" w:space="0" w:color="BFBFBF" w:themeColor="background1" w:themeShade="BF"/>
              <w:bottom w:val="nil"/>
            </w:tcBorders>
            <w:shd w:val="clear" w:color="auto" w:fill="auto"/>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3.227.551.120</w:t>
            </w:r>
          </w:p>
        </w:tc>
        <w:tc>
          <w:tcPr>
            <w:tcW w:w="348" w:type="pct"/>
            <w:tcBorders>
              <w:top w:val="nil"/>
              <w:left w:val="nil"/>
              <w:bottom w:val="nil"/>
              <w:right w:val="single" w:sz="4" w:space="0" w:color="BFBFBF" w:themeColor="background1" w:themeShade="BF"/>
            </w:tcBorders>
            <w:shd w:val="clear" w:color="auto" w:fill="auto"/>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62,1</w:t>
            </w:r>
          </w:p>
        </w:tc>
        <w:tc>
          <w:tcPr>
            <w:tcW w:w="672" w:type="pct"/>
            <w:tcBorders>
              <w:top w:val="nil"/>
              <w:left w:val="single" w:sz="4" w:space="0" w:color="BFBFBF" w:themeColor="background1" w:themeShade="BF"/>
              <w:bottom w:val="nil"/>
            </w:tcBorders>
            <w:shd w:val="clear" w:color="auto" w:fill="auto"/>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449.313.538</w:t>
            </w:r>
          </w:p>
        </w:tc>
        <w:tc>
          <w:tcPr>
            <w:tcW w:w="348" w:type="pct"/>
            <w:tcBorders>
              <w:top w:val="nil"/>
              <w:left w:val="nil"/>
              <w:bottom w:val="nil"/>
              <w:right w:val="single" w:sz="4" w:space="0" w:color="BFBFBF" w:themeColor="background1" w:themeShade="BF"/>
            </w:tcBorders>
            <w:shd w:val="clear" w:color="auto" w:fill="auto"/>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67,7</w:t>
            </w:r>
          </w:p>
        </w:tc>
        <w:tc>
          <w:tcPr>
            <w:tcW w:w="747" w:type="pct"/>
            <w:tcBorders>
              <w:top w:val="nil"/>
              <w:left w:val="single" w:sz="4" w:space="0" w:color="BFBFBF" w:themeColor="background1" w:themeShade="BF"/>
              <w:bottom w:val="nil"/>
            </w:tcBorders>
            <w:shd w:val="clear" w:color="auto" w:fill="auto"/>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1.204.776.802</w:t>
            </w:r>
          </w:p>
        </w:tc>
        <w:tc>
          <w:tcPr>
            <w:tcW w:w="348" w:type="pct"/>
            <w:tcBorders>
              <w:top w:val="nil"/>
              <w:left w:val="nil"/>
              <w:bottom w:val="nil"/>
              <w:right w:val="single" w:sz="4" w:space="0" w:color="BFBFBF" w:themeColor="background1" w:themeShade="BF"/>
            </w:tcBorders>
            <w:shd w:val="clear" w:color="auto" w:fill="auto"/>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68,6</w:t>
            </w:r>
          </w:p>
        </w:tc>
        <w:tc>
          <w:tcPr>
            <w:tcW w:w="747" w:type="pct"/>
            <w:tcBorders>
              <w:top w:val="nil"/>
              <w:left w:val="single" w:sz="4" w:space="0" w:color="BFBFBF" w:themeColor="background1" w:themeShade="BF"/>
              <w:bottom w:val="nil"/>
            </w:tcBorders>
            <w:shd w:val="clear" w:color="auto" w:fill="auto"/>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1.573.460.779</w:t>
            </w:r>
          </w:p>
        </w:tc>
        <w:tc>
          <w:tcPr>
            <w:tcW w:w="348" w:type="pct"/>
            <w:tcBorders>
              <w:top w:val="nil"/>
              <w:left w:val="nil"/>
              <w:bottom w:val="nil"/>
              <w:right w:val="nil"/>
            </w:tcBorders>
            <w:shd w:val="clear" w:color="auto" w:fill="auto"/>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44,9</w:t>
            </w:r>
          </w:p>
        </w:tc>
      </w:tr>
      <w:tr w:rsidR="00195BE7" w:rsidRPr="001E2F6E" w:rsidTr="00195BE7">
        <w:tc>
          <w:tcPr>
            <w:tcW w:w="693" w:type="pct"/>
            <w:tcBorders>
              <w:top w:val="single" w:sz="4" w:space="0" w:color="BFBFBF" w:themeColor="background1" w:themeShade="BF"/>
              <w:left w:val="nil"/>
              <w:bottom w:val="single" w:sz="8" w:space="0" w:color="BFBFBF"/>
              <w:right w:val="single" w:sz="4" w:space="0" w:color="BFBFBF" w:themeColor="background1" w:themeShade="BF"/>
            </w:tcBorders>
            <w:shd w:val="clear" w:color="auto" w:fill="auto"/>
            <w:vAlign w:val="center"/>
            <w:hideMark/>
          </w:tcPr>
          <w:p w:rsidR="00195BE7" w:rsidRPr="001E2F6E" w:rsidRDefault="00195BE7" w:rsidP="00195BE7">
            <w:pPr>
              <w:spacing w:line="240" w:lineRule="auto"/>
              <w:rPr>
                <w:b/>
                <w:sz w:val="16"/>
                <w:szCs w:val="16"/>
                <w:lang w:val="eu-ES"/>
              </w:rPr>
            </w:pPr>
            <w:r w:rsidRPr="001E2F6E">
              <w:rPr>
                <w:b/>
                <w:sz w:val="16"/>
                <w:szCs w:val="16"/>
                <w:lang w:val="eu-ES"/>
              </w:rPr>
              <w:t>GUZTIRA</w:t>
            </w:r>
          </w:p>
        </w:tc>
        <w:tc>
          <w:tcPr>
            <w:tcW w:w="747" w:type="pct"/>
            <w:tcBorders>
              <w:top w:val="single" w:sz="4" w:space="0" w:color="BFBFBF" w:themeColor="background1" w:themeShade="BF"/>
              <w:left w:val="single" w:sz="4" w:space="0" w:color="BFBFBF" w:themeColor="background1" w:themeShade="BF"/>
              <w:bottom w:val="single" w:sz="8" w:space="0" w:color="BFBFBF"/>
            </w:tcBorders>
            <w:shd w:val="clear" w:color="auto" w:fill="auto"/>
            <w:hideMark/>
          </w:tcPr>
          <w:p w:rsidR="00195BE7" w:rsidRPr="001E2F6E" w:rsidRDefault="00195BE7" w:rsidP="00195BE7">
            <w:pPr>
              <w:spacing w:line="240" w:lineRule="exact"/>
              <w:ind w:right="170"/>
              <w:jc w:val="right"/>
              <w:rPr>
                <w:b/>
                <w:bCs/>
                <w:color w:val="000000"/>
                <w:sz w:val="16"/>
                <w:szCs w:val="16"/>
              </w:rPr>
            </w:pPr>
            <w:r w:rsidRPr="001E2F6E">
              <w:rPr>
                <w:b/>
                <w:bCs/>
                <w:color w:val="000000"/>
                <w:sz w:val="16"/>
                <w:szCs w:val="16"/>
              </w:rPr>
              <w:t>5.713.435.617</w:t>
            </w:r>
          </w:p>
        </w:tc>
        <w:tc>
          <w:tcPr>
            <w:tcW w:w="348" w:type="pct"/>
            <w:tcBorders>
              <w:top w:val="single" w:sz="4" w:space="0" w:color="BFBFBF" w:themeColor="background1" w:themeShade="BF"/>
              <w:left w:val="nil"/>
              <w:bottom w:val="single" w:sz="8" w:space="0" w:color="BFBFBF"/>
              <w:right w:val="single" w:sz="4" w:space="0" w:color="BFBFBF" w:themeColor="background1" w:themeShade="BF"/>
            </w:tcBorders>
            <w:shd w:val="clear" w:color="auto" w:fill="auto"/>
            <w:hideMark/>
          </w:tcPr>
          <w:p w:rsidR="00195BE7" w:rsidRPr="001E2F6E" w:rsidRDefault="00195BE7" w:rsidP="00195BE7">
            <w:pPr>
              <w:spacing w:line="240" w:lineRule="exact"/>
              <w:ind w:right="170"/>
              <w:jc w:val="right"/>
              <w:rPr>
                <w:b/>
                <w:bCs/>
                <w:color w:val="000000"/>
                <w:sz w:val="16"/>
                <w:szCs w:val="16"/>
              </w:rPr>
            </w:pPr>
            <w:r w:rsidRPr="001E2F6E">
              <w:rPr>
                <w:b/>
                <w:bCs/>
                <w:color w:val="000000"/>
                <w:sz w:val="16"/>
                <w:szCs w:val="16"/>
              </w:rPr>
              <w:t>100</w:t>
            </w:r>
          </w:p>
        </w:tc>
        <w:tc>
          <w:tcPr>
            <w:tcW w:w="672" w:type="pct"/>
            <w:tcBorders>
              <w:top w:val="single" w:sz="4" w:space="0" w:color="BFBFBF" w:themeColor="background1" w:themeShade="BF"/>
              <w:left w:val="single" w:sz="4" w:space="0" w:color="BFBFBF" w:themeColor="background1" w:themeShade="BF"/>
              <w:bottom w:val="single" w:sz="8" w:space="0" w:color="BFBFBF"/>
            </w:tcBorders>
            <w:shd w:val="clear" w:color="auto" w:fill="auto"/>
            <w:hideMark/>
          </w:tcPr>
          <w:p w:rsidR="00195BE7" w:rsidRPr="001E2F6E" w:rsidRDefault="00195BE7" w:rsidP="00195BE7">
            <w:pPr>
              <w:spacing w:line="240" w:lineRule="exact"/>
              <w:ind w:right="170"/>
              <w:jc w:val="right"/>
              <w:rPr>
                <w:b/>
                <w:bCs/>
                <w:color w:val="000000"/>
                <w:sz w:val="16"/>
                <w:szCs w:val="16"/>
              </w:rPr>
            </w:pPr>
            <w:r w:rsidRPr="001E2F6E">
              <w:rPr>
                <w:b/>
                <w:bCs/>
                <w:color w:val="000000"/>
                <w:sz w:val="16"/>
                <w:szCs w:val="16"/>
              </w:rPr>
              <w:t>664.082.161</w:t>
            </w:r>
          </w:p>
        </w:tc>
        <w:tc>
          <w:tcPr>
            <w:tcW w:w="348" w:type="pct"/>
            <w:tcBorders>
              <w:top w:val="single" w:sz="4" w:space="0" w:color="BFBFBF" w:themeColor="background1" w:themeShade="BF"/>
              <w:left w:val="nil"/>
              <w:bottom w:val="single" w:sz="8" w:space="0" w:color="BFBFBF"/>
              <w:right w:val="single" w:sz="4" w:space="0" w:color="BFBFBF" w:themeColor="background1" w:themeShade="BF"/>
            </w:tcBorders>
            <w:shd w:val="clear" w:color="auto" w:fill="auto"/>
            <w:hideMark/>
          </w:tcPr>
          <w:p w:rsidR="00195BE7" w:rsidRPr="001E2F6E" w:rsidRDefault="00195BE7" w:rsidP="00195BE7">
            <w:pPr>
              <w:spacing w:line="240" w:lineRule="exact"/>
              <w:ind w:right="170"/>
              <w:jc w:val="right"/>
              <w:rPr>
                <w:b/>
                <w:bCs/>
                <w:color w:val="000000"/>
                <w:sz w:val="16"/>
                <w:szCs w:val="16"/>
              </w:rPr>
            </w:pPr>
            <w:r w:rsidRPr="001E2F6E">
              <w:rPr>
                <w:b/>
                <w:bCs/>
                <w:color w:val="000000"/>
                <w:sz w:val="16"/>
                <w:szCs w:val="16"/>
              </w:rPr>
              <w:t>100</w:t>
            </w:r>
          </w:p>
        </w:tc>
        <w:tc>
          <w:tcPr>
            <w:tcW w:w="747" w:type="pct"/>
            <w:tcBorders>
              <w:top w:val="single" w:sz="4" w:space="0" w:color="BFBFBF" w:themeColor="background1" w:themeShade="BF"/>
              <w:left w:val="single" w:sz="4" w:space="0" w:color="BFBFBF" w:themeColor="background1" w:themeShade="BF"/>
              <w:bottom w:val="single" w:sz="8" w:space="0" w:color="BFBFBF"/>
            </w:tcBorders>
            <w:shd w:val="clear" w:color="auto" w:fill="auto"/>
            <w:hideMark/>
          </w:tcPr>
          <w:p w:rsidR="00195BE7" w:rsidRPr="001E2F6E" w:rsidRDefault="00195BE7" w:rsidP="00195BE7">
            <w:pPr>
              <w:spacing w:line="240" w:lineRule="exact"/>
              <w:ind w:right="170"/>
              <w:jc w:val="right"/>
              <w:rPr>
                <w:b/>
                <w:bCs/>
                <w:color w:val="000000"/>
                <w:sz w:val="16"/>
                <w:szCs w:val="16"/>
              </w:rPr>
            </w:pPr>
            <w:r w:rsidRPr="001E2F6E">
              <w:rPr>
                <w:b/>
                <w:bCs/>
                <w:color w:val="000000"/>
                <w:sz w:val="16"/>
                <w:szCs w:val="16"/>
              </w:rPr>
              <w:t>1.755.266.128</w:t>
            </w:r>
          </w:p>
        </w:tc>
        <w:tc>
          <w:tcPr>
            <w:tcW w:w="348" w:type="pct"/>
            <w:tcBorders>
              <w:top w:val="single" w:sz="4" w:space="0" w:color="BFBFBF" w:themeColor="background1" w:themeShade="BF"/>
              <w:left w:val="nil"/>
              <w:bottom w:val="single" w:sz="8" w:space="0" w:color="BFBFBF"/>
              <w:right w:val="single" w:sz="4" w:space="0" w:color="BFBFBF" w:themeColor="background1" w:themeShade="BF"/>
            </w:tcBorders>
            <w:shd w:val="clear" w:color="auto" w:fill="auto"/>
            <w:hideMark/>
          </w:tcPr>
          <w:p w:rsidR="00195BE7" w:rsidRPr="001E2F6E" w:rsidRDefault="00195BE7" w:rsidP="00195BE7">
            <w:pPr>
              <w:spacing w:line="240" w:lineRule="exact"/>
              <w:ind w:right="170"/>
              <w:jc w:val="right"/>
              <w:rPr>
                <w:b/>
                <w:bCs/>
                <w:color w:val="000000"/>
                <w:sz w:val="16"/>
                <w:szCs w:val="16"/>
              </w:rPr>
            </w:pPr>
            <w:r w:rsidRPr="001E2F6E">
              <w:rPr>
                <w:b/>
                <w:bCs/>
                <w:color w:val="000000"/>
                <w:sz w:val="16"/>
                <w:szCs w:val="16"/>
              </w:rPr>
              <w:t>100</w:t>
            </w:r>
          </w:p>
        </w:tc>
        <w:tc>
          <w:tcPr>
            <w:tcW w:w="747" w:type="pct"/>
            <w:tcBorders>
              <w:top w:val="single" w:sz="4" w:space="0" w:color="BFBFBF" w:themeColor="background1" w:themeShade="BF"/>
              <w:left w:val="single" w:sz="4" w:space="0" w:color="BFBFBF" w:themeColor="background1" w:themeShade="BF"/>
              <w:bottom w:val="single" w:sz="8" w:space="0" w:color="BFBFBF"/>
            </w:tcBorders>
            <w:shd w:val="clear" w:color="auto" w:fill="auto"/>
            <w:hideMark/>
          </w:tcPr>
          <w:p w:rsidR="00195BE7" w:rsidRPr="001E2F6E" w:rsidRDefault="00195BE7" w:rsidP="00195BE7">
            <w:pPr>
              <w:spacing w:line="240" w:lineRule="exact"/>
              <w:ind w:right="170"/>
              <w:jc w:val="right"/>
              <w:rPr>
                <w:b/>
                <w:bCs/>
                <w:color w:val="000000"/>
                <w:sz w:val="16"/>
                <w:szCs w:val="16"/>
              </w:rPr>
            </w:pPr>
            <w:r w:rsidRPr="001E2F6E">
              <w:rPr>
                <w:b/>
                <w:bCs/>
                <w:color w:val="000000"/>
                <w:sz w:val="16"/>
                <w:szCs w:val="16"/>
              </w:rPr>
              <w:t>3.503.650.132</w:t>
            </w:r>
          </w:p>
        </w:tc>
        <w:tc>
          <w:tcPr>
            <w:tcW w:w="348" w:type="pct"/>
            <w:tcBorders>
              <w:top w:val="single" w:sz="4" w:space="0" w:color="BFBFBF" w:themeColor="background1" w:themeShade="BF"/>
              <w:left w:val="nil"/>
              <w:bottom w:val="single" w:sz="8" w:space="0" w:color="BFBFBF"/>
              <w:right w:val="nil"/>
            </w:tcBorders>
            <w:shd w:val="clear" w:color="auto" w:fill="auto"/>
            <w:hideMark/>
          </w:tcPr>
          <w:p w:rsidR="00195BE7" w:rsidRPr="001E2F6E" w:rsidRDefault="00195BE7" w:rsidP="00195BE7">
            <w:pPr>
              <w:spacing w:line="240" w:lineRule="exact"/>
              <w:ind w:right="170"/>
              <w:jc w:val="right"/>
              <w:rPr>
                <w:b/>
                <w:bCs/>
                <w:color w:val="000000"/>
                <w:sz w:val="16"/>
                <w:szCs w:val="16"/>
              </w:rPr>
            </w:pPr>
            <w:r w:rsidRPr="001E2F6E">
              <w:rPr>
                <w:b/>
                <w:bCs/>
                <w:color w:val="000000"/>
                <w:sz w:val="16"/>
                <w:szCs w:val="16"/>
              </w:rPr>
              <w:t>100</w:t>
            </w:r>
          </w:p>
        </w:tc>
      </w:tr>
    </w:tbl>
    <w:p w:rsidR="00195BE7" w:rsidRPr="001E2F6E" w:rsidRDefault="00195BE7" w:rsidP="00195BE7"/>
    <w:p w:rsidR="00195BE7" w:rsidRPr="001E2F6E" w:rsidRDefault="00195BE7" w:rsidP="00195BE7">
      <w:pPr>
        <w:spacing w:line="240" w:lineRule="auto"/>
        <w:jc w:val="center"/>
        <w:rPr>
          <w:b/>
          <w:color w:val="1F497D" w:themeColor="text2"/>
          <w:sz w:val="18"/>
          <w:szCs w:val="18"/>
        </w:rPr>
      </w:pPr>
      <w:bookmarkStart w:id="218" w:name="_Toc391989128"/>
      <w:bookmarkStart w:id="219" w:name="_Toc392585793"/>
      <w:r w:rsidRPr="001E2F6E">
        <w:rPr>
          <w:b/>
          <w:color w:val="1F497D" w:themeColor="text2"/>
          <w:sz w:val="18"/>
          <w:szCs w:val="18"/>
        </w:rPr>
        <w:t>1.</w:t>
      </w:r>
      <w:r w:rsidR="00EB6BA6" w:rsidRPr="001E2F6E">
        <w:rPr>
          <w:b/>
          <w:color w:val="1F497D" w:themeColor="text2"/>
          <w:sz w:val="18"/>
          <w:szCs w:val="18"/>
        </w:rPr>
        <w:fldChar w:fldCharType="begin"/>
      </w:r>
      <w:r w:rsidRPr="001E2F6E">
        <w:rPr>
          <w:b/>
          <w:color w:val="1F497D" w:themeColor="text2"/>
          <w:sz w:val="18"/>
          <w:szCs w:val="18"/>
        </w:rPr>
        <w:instrText xml:space="preserve"> SEQ Cuadro_1. \* ARABIC </w:instrText>
      </w:r>
      <w:r w:rsidR="00EB6BA6" w:rsidRPr="001E2F6E">
        <w:rPr>
          <w:b/>
          <w:color w:val="1F497D" w:themeColor="text2"/>
          <w:sz w:val="18"/>
          <w:szCs w:val="18"/>
        </w:rPr>
        <w:fldChar w:fldCharType="separate"/>
      </w:r>
      <w:r w:rsidR="00A327D4">
        <w:rPr>
          <w:b/>
          <w:noProof/>
          <w:color w:val="1F497D" w:themeColor="text2"/>
          <w:sz w:val="18"/>
          <w:szCs w:val="18"/>
        </w:rPr>
        <w:t>58</w:t>
      </w:r>
      <w:r w:rsidR="00EB6BA6" w:rsidRPr="001E2F6E">
        <w:rPr>
          <w:b/>
          <w:color w:val="1F497D" w:themeColor="text2"/>
          <w:sz w:val="18"/>
          <w:szCs w:val="18"/>
        </w:rPr>
        <w:fldChar w:fldCharType="end"/>
      </w:r>
      <w:r w:rsidRPr="001E2F6E">
        <w:rPr>
          <w:b/>
          <w:color w:val="1F497D" w:themeColor="text2"/>
          <w:sz w:val="18"/>
          <w:szCs w:val="18"/>
        </w:rPr>
        <w:t xml:space="preserve"> Taula ZORPETZE-RATIOAK, JARDUERA-SEKTOREAREN ARABERA. 2012 (% kanpoko funtsak/Funts propioak)</w:t>
      </w:r>
      <w:r w:rsidRPr="001E2F6E">
        <w:rPr>
          <w:rStyle w:val="Refdenotaalpie"/>
          <w:color w:val="1F497D" w:themeColor="text2"/>
          <w:sz w:val="18"/>
          <w:szCs w:val="18"/>
        </w:rPr>
        <w:t xml:space="preserve"> </w:t>
      </w:r>
      <w:r w:rsidRPr="001E2F6E">
        <w:rPr>
          <w:rStyle w:val="Refdenotaalpie"/>
          <w:color w:val="1F497D" w:themeColor="text2"/>
          <w:sz w:val="18"/>
          <w:szCs w:val="18"/>
        </w:rPr>
        <w:footnoteReference w:id="19"/>
      </w:r>
      <w:bookmarkEnd w:id="218"/>
      <w:bookmarkEnd w:id="219"/>
    </w:p>
    <w:tbl>
      <w:tblPr>
        <w:tblW w:w="5000" w:type="pct"/>
        <w:jc w:val="center"/>
        <w:tblBorders>
          <w:top w:val="single" w:sz="4" w:space="0" w:color="BFBFBF" w:themeColor="background1" w:themeShade="BF"/>
          <w:bottom w:val="single" w:sz="4" w:space="0" w:color="BFBFBF" w:themeColor="background1" w:themeShade="BF"/>
        </w:tblBorders>
        <w:tblLook w:val="04A0" w:firstRow="1" w:lastRow="0" w:firstColumn="1" w:lastColumn="0" w:noHBand="0" w:noVBand="1"/>
      </w:tblPr>
      <w:tblGrid>
        <w:gridCol w:w="3476"/>
        <w:gridCol w:w="5528"/>
      </w:tblGrid>
      <w:tr w:rsidR="00195BE7" w:rsidRPr="001E2F6E" w:rsidTr="00195BE7">
        <w:trPr>
          <w:jc w:val="center"/>
        </w:trPr>
        <w:tc>
          <w:tcPr>
            <w:tcW w:w="1930" w:type="pct"/>
            <w:tcBorders>
              <w:top w:val="single" w:sz="4" w:space="0" w:color="BFBFBF" w:themeColor="background1" w:themeShade="BF"/>
              <w:bottom w:val="nil"/>
              <w:right w:val="single" w:sz="4" w:space="0" w:color="BFBFBF" w:themeColor="background1" w:themeShade="BF"/>
            </w:tcBorders>
            <w:shd w:val="clear" w:color="auto" w:fill="DBE5F1" w:themeFill="accent1" w:themeFillTint="33"/>
          </w:tcPr>
          <w:p w:rsidR="00195BE7" w:rsidRPr="001E2F6E" w:rsidRDefault="00195BE7" w:rsidP="00195BE7">
            <w:pPr>
              <w:spacing w:line="240" w:lineRule="exact"/>
              <w:rPr>
                <w:b/>
                <w:sz w:val="16"/>
                <w:szCs w:val="16"/>
              </w:rPr>
            </w:pPr>
          </w:p>
        </w:tc>
        <w:tc>
          <w:tcPr>
            <w:tcW w:w="3070" w:type="pct"/>
            <w:vMerge w:val="restart"/>
            <w:tcBorders>
              <w:top w:val="single" w:sz="4" w:space="0" w:color="BFBFBF" w:themeColor="background1" w:themeShade="BF"/>
              <w:left w:val="single" w:sz="4" w:space="0" w:color="BFBFBF" w:themeColor="background1" w:themeShade="BF"/>
              <w:bottom w:val="nil"/>
              <w:right w:val="single" w:sz="4" w:space="0" w:color="BFBFBF" w:themeColor="background1" w:themeShade="BF"/>
            </w:tcBorders>
            <w:shd w:val="clear" w:color="auto" w:fill="DBE5F1" w:themeFill="accent1" w:themeFillTint="33"/>
            <w:vAlign w:val="center"/>
          </w:tcPr>
          <w:p w:rsidR="00195BE7" w:rsidRPr="001E2F6E" w:rsidRDefault="00195BE7" w:rsidP="00195BE7">
            <w:pPr>
              <w:spacing w:line="240" w:lineRule="exact"/>
              <w:jc w:val="center"/>
              <w:rPr>
                <w:b/>
                <w:sz w:val="16"/>
                <w:szCs w:val="16"/>
              </w:rPr>
            </w:pPr>
            <w:r w:rsidRPr="001E2F6E">
              <w:rPr>
                <w:b/>
                <w:sz w:val="16"/>
                <w:szCs w:val="16"/>
                <w:lang w:val="eu-ES"/>
              </w:rPr>
              <w:t>Zorpetze-ratioa</w:t>
            </w:r>
          </w:p>
        </w:tc>
      </w:tr>
      <w:tr w:rsidR="00195BE7" w:rsidRPr="001E2F6E" w:rsidTr="00195BE7">
        <w:trPr>
          <w:jc w:val="center"/>
        </w:trPr>
        <w:tc>
          <w:tcPr>
            <w:tcW w:w="1930" w:type="pct"/>
            <w:tcBorders>
              <w:top w:val="nil"/>
              <w:bottom w:val="single" w:sz="4" w:space="0" w:color="BFBFBF" w:themeColor="background1" w:themeShade="BF"/>
              <w:right w:val="single" w:sz="4" w:space="0" w:color="BFBFBF" w:themeColor="background1" w:themeShade="BF"/>
            </w:tcBorders>
            <w:shd w:val="clear" w:color="auto" w:fill="DBE5F1" w:themeFill="accent1" w:themeFillTint="33"/>
          </w:tcPr>
          <w:p w:rsidR="00195BE7" w:rsidRPr="001E2F6E" w:rsidRDefault="00195BE7" w:rsidP="00195BE7">
            <w:pPr>
              <w:spacing w:line="240" w:lineRule="exact"/>
              <w:rPr>
                <w:b/>
                <w:sz w:val="16"/>
                <w:szCs w:val="16"/>
              </w:rPr>
            </w:pPr>
          </w:p>
        </w:tc>
        <w:tc>
          <w:tcPr>
            <w:tcW w:w="3070" w:type="pct"/>
            <w:vMerge/>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tcPr>
          <w:p w:rsidR="00195BE7" w:rsidRPr="001E2F6E" w:rsidRDefault="00195BE7" w:rsidP="00195BE7">
            <w:pPr>
              <w:spacing w:line="240" w:lineRule="exact"/>
              <w:jc w:val="center"/>
              <w:rPr>
                <w:b/>
                <w:sz w:val="16"/>
                <w:szCs w:val="16"/>
              </w:rPr>
            </w:pPr>
          </w:p>
        </w:tc>
      </w:tr>
      <w:tr w:rsidR="00195BE7" w:rsidRPr="001E2F6E" w:rsidTr="00195BE7">
        <w:trPr>
          <w:jc w:val="center"/>
        </w:trPr>
        <w:tc>
          <w:tcPr>
            <w:tcW w:w="1930" w:type="pct"/>
            <w:tcBorders>
              <w:top w:val="single" w:sz="4" w:space="0" w:color="BFBFBF" w:themeColor="background1" w:themeShade="BF"/>
              <w:bottom w:val="nil"/>
              <w:right w:val="single" w:sz="4" w:space="0" w:color="BFBFBF" w:themeColor="background1" w:themeShade="BF"/>
            </w:tcBorders>
            <w:vAlign w:val="center"/>
          </w:tcPr>
          <w:p w:rsidR="00195BE7" w:rsidRPr="001E2F6E" w:rsidRDefault="00195BE7" w:rsidP="00195BE7">
            <w:pPr>
              <w:spacing w:line="240" w:lineRule="exact"/>
              <w:rPr>
                <w:sz w:val="16"/>
                <w:szCs w:val="16"/>
                <w:lang w:val="eu-ES"/>
              </w:rPr>
            </w:pPr>
            <w:r w:rsidRPr="001E2F6E">
              <w:rPr>
                <w:sz w:val="16"/>
                <w:szCs w:val="16"/>
                <w:lang w:val="eu-ES"/>
              </w:rPr>
              <w:t>Lehen sektorea</w:t>
            </w:r>
          </w:p>
        </w:tc>
        <w:tc>
          <w:tcPr>
            <w:tcW w:w="3070" w:type="pct"/>
            <w:tcBorders>
              <w:top w:val="single" w:sz="4" w:space="0" w:color="BFBFBF" w:themeColor="background1" w:themeShade="BF"/>
              <w:left w:val="single" w:sz="4" w:space="0" w:color="BFBFBF" w:themeColor="background1" w:themeShade="BF"/>
              <w:bottom w:val="nil"/>
              <w:right w:val="single" w:sz="4" w:space="0" w:color="BFBFBF" w:themeColor="background1" w:themeShade="BF"/>
            </w:tcBorders>
            <w:vAlign w:val="bottom"/>
          </w:tcPr>
          <w:p w:rsidR="00195BE7" w:rsidRPr="001E2F6E" w:rsidRDefault="00195BE7" w:rsidP="00195BE7">
            <w:pPr>
              <w:spacing w:line="240" w:lineRule="auto"/>
              <w:jc w:val="center"/>
              <w:rPr>
                <w:sz w:val="16"/>
                <w:szCs w:val="16"/>
              </w:rPr>
            </w:pPr>
            <w:r w:rsidRPr="001E2F6E">
              <w:rPr>
                <w:sz w:val="16"/>
                <w:szCs w:val="16"/>
              </w:rPr>
              <w:t>0,9</w:t>
            </w:r>
          </w:p>
        </w:tc>
      </w:tr>
      <w:tr w:rsidR="00195BE7" w:rsidRPr="001E2F6E" w:rsidTr="00195BE7">
        <w:trPr>
          <w:jc w:val="center"/>
        </w:trPr>
        <w:tc>
          <w:tcPr>
            <w:tcW w:w="1930" w:type="pct"/>
            <w:tcBorders>
              <w:top w:val="nil"/>
              <w:bottom w:val="nil"/>
              <w:right w:val="single" w:sz="4" w:space="0" w:color="BFBFBF" w:themeColor="background1" w:themeShade="BF"/>
            </w:tcBorders>
            <w:vAlign w:val="center"/>
          </w:tcPr>
          <w:p w:rsidR="00195BE7" w:rsidRPr="001E2F6E" w:rsidRDefault="00195BE7" w:rsidP="00195BE7">
            <w:pPr>
              <w:spacing w:line="240" w:lineRule="exact"/>
              <w:rPr>
                <w:sz w:val="16"/>
                <w:szCs w:val="16"/>
                <w:lang w:val="eu-ES"/>
              </w:rPr>
            </w:pPr>
            <w:r w:rsidRPr="001E2F6E">
              <w:rPr>
                <w:sz w:val="16"/>
                <w:szCs w:val="16"/>
                <w:lang w:val="eu-ES"/>
              </w:rPr>
              <w:t xml:space="preserve">Industria </w:t>
            </w:r>
          </w:p>
        </w:tc>
        <w:tc>
          <w:tcPr>
            <w:tcW w:w="3070" w:type="pct"/>
            <w:tcBorders>
              <w:top w:val="nil"/>
              <w:left w:val="single" w:sz="4" w:space="0" w:color="BFBFBF" w:themeColor="background1" w:themeShade="BF"/>
              <w:bottom w:val="nil"/>
              <w:right w:val="single" w:sz="4" w:space="0" w:color="BFBFBF" w:themeColor="background1" w:themeShade="BF"/>
            </w:tcBorders>
            <w:vAlign w:val="bottom"/>
          </w:tcPr>
          <w:p w:rsidR="00195BE7" w:rsidRPr="001E2F6E" w:rsidRDefault="00195BE7" w:rsidP="00195BE7">
            <w:pPr>
              <w:spacing w:line="240" w:lineRule="auto"/>
              <w:jc w:val="center"/>
              <w:rPr>
                <w:sz w:val="16"/>
                <w:szCs w:val="16"/>
              </w:rPr>
            </w:pPr>
            <w:r w:rsidRPr="001E2F6E">
              <w:rPr>
                <w:sz w:val="16"/>
                <w:szCs w:val="16"/>
              </w:rPr>
              <w:t>1,4</w:t>
            </w:r>
          </w:p>
        </w:tc>
      </w:tr>
      <w:tr w:rsidR="00195BE7" w:rsidRPr="001E2F6E" w:rsidTr="00195BE7">
        <w:trPr>
          <w:jc w:val="center"/>
        </w:trPr>
        <w:tc>
          <w:tcPr>
            <w:tcW w:w="1930" w:type="pct"/>
            <w:tcBorders>
              <w:top w:val="nil"/>
              <w:bottom w:val="nil"/>
              <w:right w:val="single" w:sz="4" w:space="0" w:color="BFBFBF" w:themeColor="background1" w:themeShade="BF"/>
            </w:tcBorders>
            <w:vAlign w:val="center"/>
          </w:tcPr>
          <w:p w:rsidR="00195BE7" w:rsidRPr="001E2F6E" w:rsidRDefault="00195BE7" w:rsidP="00195BE7">
            <w:pPr>
              <w:spacing w:line="240" w:lineRule="exact"/>
              <w:rPr>
                <w:sz w:val="16"/>
                <w:szCs w:val="16"/>
                <w:lang w:val="eu-ES"/>
              </w:rPr>
            </w:pPr>
            <w:r w:rsidRPr="001E2F6E">
              <w:rPr>
                <w:sz w:val="16"/>
                <w:szCs w:val="16"/>
                <w:lang w:val="eu-ES"/>
              </w:rPr>
              <w:t>Eraikuntza</w:t>
            </w:r>
          </w:p>
        </w:tc>
        <w:tc>
          <w:tcPr>
            <w:tcW w:w="3070" w:type="pct"/>
            <w:tcBorders>
              <w:top w:val="nil"/>
              <w:left w:val="single" w:sz="4" w:space="0" w:color="BFBFBF" w:themeColor="background1" w:themeShade="BF"/>
              <w:bottom w:val="nil"/>
              <w:right w:val="single" w:sz="4" w:space="0" w:color="BFBFBF" w:themeColor="background1" w:themeShade="BF"/>
            </w:tcBorders>
            <w:vAlign w:val="bottom"/>
          </w:tcPr>
          <w:p w:rsidR="00195BE7" w:rsidRPr="001E2F6E" w:rsidRDefault="00195BE7" w:rsidP="00195BE7">
            <w:pPr>
              <w:spacing w:line="240" w:lineRule="auto"/>
              <w:jc w:val="center"/>
              <w:rPr>
                <w:sz w:val="16"/>
                <w:szCs w:val="16"/>
              </w:rPr>
            </w:pPr>
            <w:r w:rsidRPr="001E2F6E">
              <w:rPr>
                <w:sz w:val="16"/>
                <w:szCs w:val="16"/>
              </w:rPr>
              <w:t>1,4</w:t>
            </w:r>
          </w:p>
        </w:tc>
      </w:tr>
      <w:tr w:rsidR="00195BE7" w:rsidRPr="001E2F6E" w:rsidTr="00195BE7">
        <w:trPr>
          <w:jc w:val="center"/>
        </w:trPr>
        <w:tc>
          <w:tcPr>
            <w:tcW w:w="1930" w:type="pct"/>
            <w:tcBorders>
              <w:top w:val="nil"/>
              <w:bottom w:val="single" w:sz="4" w:space="0" w:color="BFBFBF" w:themeColor="background1" w:themeShade="BF"/>
              <w:right w:val="single" w:sz="4" w:space="0" w:color="BFBFBF" w:themeColor="background1" w:themeShade="BF"/>
            </w:tcBorders>
            <w:vAlign w:val="center"/>
          </w:tcPr>
          <w:p w:rsidR="00195BE7" w:rsidRPr="001E2F6E" w:rsidRDefault="00195BE7" w:rsidP="00195BE7">
            <w:pPr>
              <w:spacing w:line="240" w:lineRule="exact"/>
              <w:rPr>
                <w:sz w:val="16"/>
                <w:szCs w:val="16"/>
                <w:lang w:val="eu-ES"/>
              </w:rPr>
            </w:pPr>
            <w:r w:rsidRPr="001E2F6E">
              <w:rPr>
                <w:sz w:val="16"/>
                <w:szCs w:val="16"/>
                <w:lang w:val="eu-ES"/>
              </w:rPr>
              <w:t xml:space="preserve">Zerbitzuak </w:t>
            </w:r>
          </w:p>
        </w:tc>
        <w:tc>
          <w:tcPr>
            <w:tcW w:w="3070" w:type="pct"/>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vAlign w:val="bottom"/>
          </w:tcPr>
          <w:p w:rsidR="00195BE7" w:rsidRPr="001E2F6E" w:rsidRDefault="00195BE7" w:rsidP="00195BE7">
            <w:pPr>
              <w:spacing w:line="240" w:lineRule="auto"/>
              <w:jc w:val="center"/>
              <w:rPr>
                <w:sz w:val="16"/>
                <w:szCs w:val="16"/>
              </w:rPr>
            </w:pPr>
            <w:r w:rsidRPr="001E2F6E">
              <w:rPr>
                <w:sz w:val="16"/>
                <w:szCs w:val="16"/>
              </w:rPr>
              <w:t>5,4</w:t>
            </w:r>
          </w:p>
        </w:tc>
      </w:tr>
      <w:tr w:rsidR="00195BE7" w:rsidRPr="001E2F6E" w:rsidTr="00195BE7">
        <w:trPr>
          <w:jc w:val="center"/>
        </w:trPr>
        <w:tc>
          <w:tcPr>
            <w:tcW w:w="1930" w:type="pct"/>
            <w:tcBorders>
              <w:top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195BE7" w:rsidRPr="001E2F6E" w:rsidRDefault="00195BE7" w:rsidP="00195BE7">
            <w:pPr>
              <w:spacing w:line="240" w:lineRule="exact"/>
              <w:rPr>
                <w:b/>
                <w:sz w:val="16"/>
                <w:szCs w:val="16"/>
                <w:lang w:val="eu-ES"/>
              </w:rPr>
            </w:pPr>
            <w:r w:rsidRPr="001E2F6E">
              <w:rPr>
                <w:b/>
                <w:sz w:val="16"/>
                <w:szCs w:val="16"/>
                <w:lang w:val="eu-ES"/>
              </w:rPr>
              <w:t>GUZTIRA</w:t>
            </w:r>
          </w:p>
        </w:tc>
        <w:tc>
          <w:tcPr>
            <w:tcW w:w="307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bottom"/>
          </w:tcPr>
          <w:p w:rsidR="00195BE7" w:rsidRPr="001E2F6E" w:rsidRDefault="00195BE7" w:rsidP="00195BE7">
            <w:pPr>
              <w:spacing w:line="240" w:lineRule="auto"/>
              <w:jc w:val="center"/>
              <w:rPr>
                <w:b/>
                <w:sz w:val="16"/>
                <w:szCs w:val="16"/>
              </w:rPr>
            </w:pPr>
            <w:r w:rsidRPr="001E2F6E">
              <w:rPr>
                <w:b/>
                <w:sz w:val="16"/>
                <w:szCs w:val="16"/>
              </w:rPr>
              <w:t>3,7</w:t>
            </w:r>
          </w:p>
        </w:tc>
      </w:tr>
    </w:tbl>
    <w:p w:rsidR="00195BE7" w:rsidRPr="001E2F6E" w:rsidRDefault="00195BE7" w:rsidP="00195BE7"/>
    <w:p w:rsidR="00195BE7" w:rsidRPr="001E2F6E" w:rsidRDefault="00195BE7" w:rsidP="00195BE7">
      <w:pPr>
        <w:spacing w:line="240" w:lineRule="auto"/>
        <w:jc w:val="center"/>
        <w:rPr>
          <w:b/>
          <w:color w:val="1F497D" w:themeColor="text2"/>
          <w:sz w:val="18"/>
          <w:szCs w:val="18"/>
        </w:rPr>
      </w:pPr>
      <w:bookmarkStart w:id="220" w:name="_Toc391989129"/>
      <w:bookmarkStart w:id="221" w:name="_Toc392585794"/>
      <w:r w:rsidRPr="001E2F6E">
        <w:rPr>
          <w:b/>
          <w:color w:val="1F497D" w:themeColor="text2"/>
          <w:sz w:val="18"/>
          <w:szCs w:val="18"/>
        </w:rPr>
        <w:t>1.</w:t>
      </w:r>
      <w:r w:rsidR="00EB6BA6" w:rsidRPr="001E2F6E">
        <w:rPr>
          <w:b/>
          <w:color w:val="1F497D" w:themeColor="text2"/>
          <w:sz w:val="18"/>
          <w:szCs w:val="18"/>
        </w:rPr>
        <w:fldChar w:fldCharType="begin"/>
      </w:r>
      <w:r w:rsidRPr="001E2F6E">
        <w:rPr>
          <w:b/>
          <w:color w:val="1F497D" w:themeColor="text2"/>
          <w:sz w:val="18"/>
          <w:szCs w:val="18"/>
        </w:rPr>
        <w:instrText xml:space="preserve"> SEQ Cuadro_1. \* ARABIC </w:instrText>
      </w:r>
      <w:r w:rsidR="00EB6BA6" w:rsidRPr="001E2F6E">
        <w:rPr>
          <w:b/>
          <w:color w:val="1F497D" w:themeColor="text2"/>
          <w:sz w:val="18"/>
          <w:szCs w:val="18"/>
        </w:rPr>
        <w:fldChar w:fldCharType="separate"/>
      </w:r>
      <w:r w:rsidR="00A327D4">
        <w:rPr>
          <w:b/>
          <w:noProof/>
          <w:color w:val="1F497D" w:themeColor="text2"/>
          <w:sz w:val="18"/>
          <w:szCs w:val="18"/>
        </w:rPr>
        <w:t>59</w:t>
      </w:r>
      <w:r w:rsidR="00EB6BA6" w:rsidRPr="001E2F6E">
        <w:rPr>
          <w:b/>
          <w:color w:val="1F497D" w:themeColor="text2"/>
          <w:sz w:val="18"/>
          <w:szCs w:val="18"/>
        </w:rPr>
        <w:fldChar w:fldCharType="end"/>
      </w:r>
      <w:r w:rsidRPr="001E2F6E">
        <w:rPr>
          <w:b/>
          <w:color w:val="1F497D" w:themeColor="text2"/>
          <w:sz w:val="18"/>
          <w:szCs w:val="18"/>
        </w:rPr>
        <w:t xml:space="preserve"> Taula BERME-RATIOAK, JARDUERA-SEKTOREAREN ARABERA. 2012 (% aktiboa guztira/Galdagarria guztira)</w:t>
      </w:r>
      <w:bookmarkEnd w:id="220"/>
      <w:bookmarkEnd w:id="221"/>
    </w:p>
    <w:tbl>
      <w:tblPr>
        <w:tblW w:w="5000" w:type="pct"/>
        <w:jc w:val="center"/>
        <w:tblBorders>
          <w:top w:val="single" w:sz="4" w:space="0" w:color="BFBFBF" w:themeColor="background1" w:themeShade="BF"/>
          <w:bottom w:val="single" w:sz="4" w:space="0" w:color="BFBFBF" w:themeColor="background1" w:themeShade="BF"/>
        </w:tblBorders>
        <w:tblLook w:val="04A0" w:firstRow="1" w:lastRow="0" w:firstColumn="1" w:lastColumn="0" w:noHBand="0" w:noVBand="1"/>
      </w:tblPr>
      <w:tblGrid>
        <w:gridCol w:w="3476"/>
        <w:gridCol w:w="5528"/>
      </w:tblGrid>
      <w:tr w:rsidR="00195BE7" w:rsidRPr="001E2F6E" w:rsidTr="00195BE7">
        <w:trPr>
          <w:jc w:val="center"/>
        </w:trPr>
        <w:tc>
          <w:tcPr>
            <w:tcW w:w="1930" w:type="pct"/>
            <w:tcBorders>
              <w:top w:val="single" w:sz="4" w:space="0" w:color="BFBFBF" w:themeColor="background1" w:themeShade="BF"/>
              <w:bottom w:val="nil"/>
              <w:right w:val="single" w:sz="4" w:space="0" w:color="BFBFBF" w:themeColor="background1" w:themeShade="BF"/>
            </w:tcBorders>
            <w:shd w:val="clear" w:color="auto" w:fill="DBE5F1" w:themeFill="accent1" w:themeFillTint="33"/>
          </w:tcPr>
          <w:p w:rsidR="00195BE7" w:rsidRPr="001E2F6E" w:rsidRDefault="00195BE7" w:rsidP="00195BE7">
            <w:pPr>
              <w:spacing w:line="240" w:lineRule="exact"/>
              <w:rPr>
                <w:b/>
                <w:sz w:val="16"/>
                <w:szCs w:val="16"/>
              </w:rPr>
            </w:pPr>
          </w:p>
        </w:tc>
        <w:tc>
          <w:tcPr>
            <w:tcW w:w="3070" w:type="pct"/>
            <w:vMerge w:val="restart"/>
            <w:tcBorders>
              <w:top w:val="single" w:sz="4" w:space="0" w:color="BFBFBF" w:themeColor="background1" w:themeShade="BF"/>
              <w:left w:val="single" w:sz="4" w:space="0" w:color="BFBFBF" w:themeColor="background1" w:themeShade="BF"/>
              <w:bottom w:val="nil"/>
              <w:right w:val="single" w:sz="4" w:space="0" w:color="BFBFBF" w:themeColor="background1" w:themeShade="BF"/>
            </w:tcBorders>
            <w:shd w:val="clear" w:color="auto" w:fill="DBE5F1" w:themeFill="accent1" w:themeFillTint="33"/>
            <w:vAlign w:val="center"/>
          </w:tcPr>
          <w:p w:rsidR="00195BE7" w:rsidRPr="001E2F6E" w:rsidRDefault="00195BE7" w:rsidP="00195BE7">
            <w:pPr>
              <w:spacing w:line="240" w:lineRule="exact"/>
              <w:jc w:val="center"/>
              <w:rPr>
                <w:b/>
                <w:sz w:val="16"/>
                <w:szCs w:val="16"/>
              </w:rPr>
            </w:pPr>
            <w:r w:rsidRPr="001E2F6E">
              <w:rPr>
                <w:b/>
                <w:sz w:val="16"/>
                <w:szCs w:val="16"/>
                <w:lang w:val="eu-ES"/>
              </w:rPr>
              <w:t>Berme-ratioa</w:t>
            </w:r>
          </w:p>
        </w:tc>
      </w:tr>
      <w:tr w:rsidR="00195BE7" w:rsidRPr="001E2F6E" w:rsidTr="00195BE7">
        <w:trPr>
          <w:jc w:val="center"/>
        </w:trPr>
        <w:tc>
          <w:tcPr>
            <w:tcW w:w="1930" w:type="pct"/>
            <w:tcBorders>
              <w:top w:val="nil"/>
              <w:bottom w:val="single" w:sz="4" w:space="0" w:color="BFBFBF" w:themeColor="background1" w:themeShade="BF"/>
              <w:right w:val="single" w:sz="4" w:space="0" w:color="BFBFBF" w:themeColor="background1" w:themeShade="BF"/>
            </w:tcBorders>
            <w:shd w:val="clear" w:color="auto" w:fill="DBE5F1" w:themeFill="accent1" w:themeFillTint="33"/>
          </w:tcPr>
          <w:p w:rsidR="00195BE7" w:rsidRPr="001E2F6E" w:rsidRDefault="00195BE7" w:rsidP="00195BE7">
            <w:pPr>
              <w:spacing w:line="240" w:lineRule="exact"/>
              <w:rPr>
                <w:b/>
                <w:sz w:val="16"/>
                <w:szCs w:val="16"/>
              </w:rPr>
            </w:pPr>
          </w:p>
        </w:tc>
        <w:tc>
          <w:tcPr>
            <w:tcW w:w="3070" w:type="pct"/>
            <w:vMerge/>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tcPr>
          <w:p w:rsidR="00195BE7" w:rsidRPr="001E2F6E" w:rsidRDefault="00195BE7" w:rsidP="00195BE7">
            <w:pPr>
              <w:spacing w:line="240" w:lineRule="exact"/>
              <w:jc w:val="center"/>
              <w:rPr>
                <w:b/>
                <w:sz w:val="16"/>
                <w:szCs w:val="16"/>
              </w:rPr>
            </w:pPr>
          </w:p>
        </w:tc>
      </w:tr>
      <w:tr w:rsidR="00195BE7" w:rsidRPr="001E2F6E" w:rsidTr="00195BE7">
        <w:trPr>
          <w:jc w:val="center"/>
        </w:trPr>
        <w:tc>
          <w:tcPr>
            <w:tcW w:w="1930" w:type="pct"/>
            <w:tcBorders>
              <w:top w:val="single" w:sz="4" w:space="0" w:color="BFBFBF" w:themeColor="background1" w:themeShade="BF"/>
              <w:bottom w:val="nil"/>
              <w:right w:val="single" w:sz="4" w:space="0" w:color="BFBFBF" w:themeColor="background1" w:themeShade="BF"/>
            </w:tcBorders>
            <w:vAlign w:val="center"/>
          </w:tcPr>
          <w:p w:rsidR="00195BE7" w:rsidRPr="001E2F6E" w:rsidRDefault="00195BE7" w:rsidP="00195BE7">
            <w:pPr>
              <w:spacing w:line="240" w:lineRule="exact"/>
              <w:rPr>
                <w:sz w:val="16"/>
                <w:szCs w:val="16"/>
                <w:lang w:val="eu-ES"/>
              </w:rPr>
            </w:pPr>
            <w:r w:rsidRPr="001E2F6E">
              <w:rPr>
                <w:sz w:val="16"/>
                <w:szCs w:val="16"/>
                <w:lang w:val="eu-ES"/>
              </w:rPr>
              <w:t>Lehen sektorea</w:t>
            </w:r>
          </w:p>
        </w:tc>
        <w:tc>
          <w:tcPr>
            <w:tcW w:w="3070" w:type="pct"/>
            <w:tcBorders>
              <w:top w:val="single" w:sz="4" w:space="0" w:color="BFBFBF" w:themeColor="background1" w:themeShade="BF"/>
              <w:left w:val="single" w:sz="4" w:space="0" w:color="BFBFBF" w:themeColor="background1" w:themeShade="BF"/>
              <w:bottom w:val="nil"/>
              <w:right w:val="single" w:sz="4" w:space="0" w:color="BFBFBF" w:themeColor="background1" w:themeShade="BF"/>
            </w:tcBorders>
            <w:vAlign w:val="bottom"/>
          </w:tcPr>
          <w:p w:rsidR="00195BE7" w:rsidRPr="001E2F6E" w:rsidRDefault="00195BE7" w:rsidP="00195BE7">
            <w:pPr>
              <w:spacing w:line="240" w:lineRule="auto"/>
              <w:jc w:val="center"/>
              <w:rPr>
                <w:sz w:val="16"/>
                <w:szCs w:val="16"/>
              </w:rPr>
            </w:pPr>
            <w:r w:rsidRPr="001E2F6E">
              <w:rPr>
                <w:sz w:val="16"/>
                <w:szCs w:val="16"/>
              </w:rPr>
              <w:t>2,1</w:t>
            </w:r>
          </w:p>
        </w:tc>
      </w:tr>
      <w:tr w:rsidR="00195BE7" w:rsidRPr="001E2F6E" w:rsidTr="00195BE7">
        <w:trPr>
          <w:jc w:val="center"/>
        </w:trPr>
        <w:tc>
          <w:tcPr>
            <w:tcW w:w="1930" w:type="pct"/>
            <w:tcBorders>
              <w:top w:val="nil"/>
              <w:bottom w:val="nil"/>
              <w:right w:val="single" w:sz="4" w:space="0" w:color="BFBFBF" w:themeColor="background1" w:themeShade="BF"/>
            </w:tcBorders>
            <w:vAlign w:val="center"/>
          </w:tcPr>
          <w:p w:rsidR="00195BE7" w:rsidRPr="001E2F6E" w:rsidRDefault="00195BE7" w:rsidP="00195BE7">
            <w:pPr>
              <w:spacing w:line="240" w:lineRule="exact"/>
              <w:rPr>
                <w:sz w:val="16"/>
                <w:szCs w:val="16"/>
                <w:lang w:val="eu-ES"/>
              </w:rPr>
            </w:pPr>
            <w:r w:rsidRPr="001E2F6E">
              <w:rPr>
                <w:sz w:val="16"/>
                <w:szCs w:val="16"/>
                <w:lang w:val="eu-ES"/>
              </w:rPr>
              <w:t xml:space="preserve">Industria </w:t>
            </w:r>
          </w:p>
        </w:tc>
        <w:tc>
          <w:tcPr>
            <w:tcW w:w="3070" w:type="pct"/>
            <w:tcBorders>
              <w:top w:val="nil"/>
              <w:left w:val="single" w:sz="4" w:space="0" w:color="BFBFBF" w:themeColor="background1" w:themeShade="BF"/>
              <w:bottom w:val="nil"/>
              <w:right w:val="single" w:sz="4" w:space="0" w:color="BFBFBF" w:themeColor="background1" w:themeShade="BF"/>
            </w:tcBorders>
            <w:vAlign w:val="bottom"/>
          </w:tcPr>
          <w:p w:rsidR="00195BE7" w:rsidRPr="001E2F6E" w:rsidRDefault="00195BE7" w:rsidP="00195BE7">
            <w:pPr>
              <w:spacing w:line="240" w:lineRule="auto"/>
              <w:jc w:val="center"/>
              <w:rPr>
                <w:sz w:val="16"/>
                <w:szCs w:val="16"/>
              </w:rPr>
            </w:pPr>
            <w:r w:rsidRPr="001E2F6E">
              <w:rPr>
                <w:sz w:val="16"/>
                <w:szCs w:val="16"/>
              </w:rPr>
              <w:t>1,7</w:t>
            </w:r>
          </w:p>
        </w:tc>
      </w:tr>
      <w:tr w:rsidR="00195BE7" w:rsidRPr="001E2F6E" w:rsidTr="00195BE7">
        <w:trPr>
          <w:jc w:val="center"/>
        </w:trPr>
        <w:tc>
          <w:tcPr>
            <w:tcW w:w="1930" w:type="pct"/>
            <w:tcBorders>
              <w:top w:val="nil"/>
              <w:bottom w:val="nil"/>
              <w:right w:val="single" w:sz="4" w:space="0" w:color="BFBFBF" w:themeColor="background1" w:themeShade="BF"/>
            </w:tcBorders>
            <w:vAlign w:val="center"/>
          </w:tcPr>
          <w:p w:rsidR="00195BE7" w:rsidRPr="001E2F6E" w:rsidRDefault="00195BE7" w:rsidP="00195BE7">
            <w:pPr>
              <w:spacing w:line="240" w:lineRule="exact"/>
              <w:rPr>
                <w:sz w:val="16"/>
                <w:szCs w:val="16"/>
                <w:lang w:val="eu-ES"/>
              </w:rPr>
            </w:pPr>
            <w:r w:rsidRPr="001E2F6E">
              <w:rPr>
                <w:sz w:val="16"/>
                <w:szCs w:val="16"/>
                <w:lang w:val="eu-ES"/>
              </w:rPr>
              <w:t>Eraikuntza</w:t>
            </w:r>
          </w:p>
        </w:tc>
        <w:tc>
          <w:tcPr>
            <w:tcW w:w="3070" w:type="pct"/>
            <w:tcBorders>
              <w:top w:val="nil"/>
              <w:left w:val="single" w:sz="4" w:space="0" w:color="BFBFBF" w:themeColor="background1" w:themeShade="BF"/>
              <w:bottom w:val="nil"/>
              <w:right w:val="single" w:sz="4" w:space="0" w:color="BFBFBF" w:themeColor="background1" w:themeShade="BF"/>
            </w:tcBorders>
            <w:vAlign w:val="bottom"/>
          </w:tcPr>
          <w:p w:rsidR="00195BE7" w:rsidRPr="001E2F6E" w:rsidRDefault="00195BE7" w:rsidP="00195BE7">
            <w:pPr>
              <w:spacing w:line="240" w:lineRule="auto"/>
              <w:jc w:val="center"/>
              <w:rPr>
                <w:sz w:val="16"/>
                <w:szCs w:val="16"/>
              </w:rPr>
            </w:pPr>
            <w:r w:rsidRPr="001E2F6E">
              <w:rPr>
                <w:sz w:val="16"/>
                <w:szCs w:val="16"/>
              </w:rPr>
              <w:t>1,7</w:t>
            </w:r>
          </w:p>
        </w:tc>
      </w:tr>
      <w:tr w:rsidR="00195BE7" w:rsidRPr="001E2F6E" w:rsidTr="00195BE7">
        <w:trPr>
          <w:jc w:val="center"/>
        </w:trPr>
        <w:tc>
          <w:tcPr>
            <w:tcW w:w="1930" w:type="pct"/>
            <w:tcBorders>
              <w:top w:val="nil"/>
              <w:bottom w:val="single" w:sz="4" w:space="0" w:color="BFBFBF" w:themeColor="background1" w:themeShade="BF"/>
              <w:right w:val="single" w:sz="4" w:space="0" w:color="BFBFBF" w:themeColor="background1" w:themeShade="BF"/>
            </w:tcBorders>
            <w:vAlign w:val="center"/>
          </w:tcPr>
          <w:p w:rsidR="00195BE7" w:rsidRPr="001E2F6E" w:rsidRDefault="00195BE7" w:rsidP="00195BE7">
            <w:pPr>
              <w:spacing w:line="240" w:lineRule="exact"/>
              <w:rPr>
                <w:sz w:val="16"/>
                <w:szCs w:val="16"/>
                <w:lang w:val="eu-ES"/>
              </w:rPr>
            </w:pPr>
            <w:r w:rsidRPr="001E2F6E">
              <w:rPr>
                <w:sz w:val="16"/>
                <w:szCs w:val="16"/>
                <w:lang w:val="eu-ES"/>
              </w:rPr>
              <w:t xml:space="preserve">Zerbitzuak </w:t>
            </w:r>
          </w:p>
        </w:tc>
        <w:tc>
          <w:tcPr>
            <w:tcW w:w="3070" w:type="pct"/>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vAlign w:val="bottom"/>
          </w:tcPr>
          <w:p w:rsidR="00195BE7" w:rsidRPr="001E2F6E" w:rsidRDefault="00195BE7" w:rsidP="00195BE7">
            <w:pPr>
              <w:spacing w:line="240" w:lineRule="auto"/>
              <w:jc w:val="center"/>
              <w:rPr>
                <w:sz w:val="16"/>
                <w:szCs w:val="16"/>
              </w:rPr>
            </w:pPr>
            <w:r w:rsidRPr="001E2F6E">
              <w:rPr>
                <w:sz w:val="16"/>
                <w:szCs w:val="16"/>
              </w:rPr>
              <w:t>1,2</w:t>
            </w:r>
          </w:p>
        </w:tc>
      </w:tr>
      <w:tr w:rsidR="00195BE7" w:rsidRPr="001E2F6E" w:rsidTr="00195BE7">
        <w:trPr>
          <w:jc w:val="center"/>
        </w:trPr>
        <w:tc>
          <w:tcPr>
            <w:tcW w:w="1930" w:type="pct"/>
            <w:tcBorders>
              <w:top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195BE7" w:rsidRPr="001E2F6E" w:rsidRDefault="00195BE7" w:rsidP="00195BE7">
            <w:pPr>
              <w:spacing w:line="240" w:lineRule="exact"/>
              <w:rPr>
                <w:b/>
                <w:sz w:val="16"/>
                <w:szCs w:val="16"/>
                <w:lang w:val="eu-ES"/>
              </w:rPr>
            </w:pPr>
            <w:r w:rsidRPr="001E2F6E">
              <w:rPr>
                <w:b/>
                <w:sz w:val="16"/>
                <w:szCs w:val="16"/>
                <w:lang w:val="eu-ES"/>
              </w:rPr>
              <w:t>GUZTIRA</w:t>
            </w:r>
          </w:p>
        </w:tc>
        <w:tc>
          <w:tcPr>
            <w:tcW w:w="307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bottom"/>
          </w:tcPr>
          <w:p w:rsidR="00195BE7" w:rsidRPr="001E2F6E" w:rsidRDefault="00195BE7" w:rsidP="00195BE7">
            <w:pPr>
              <w:spacing w:line="240" w:lineRule="auto"/>
              <w:jc w:val="center"/>
              <w:rPr>
                <w:b/>
                <w:sz w:val="16"/>
                <w:szCs w:val="16"/>
              </w:rPr>
            </w:pPr>
            <w:r w:rsidRPr="001E2F6E">
              <w:rPr>
                <w:b/>
                <w:sz w:val="16"/>
                <w:szCs w:val="16"/>
              </w:rPr>
              <w:t>1,3</w:t>
            </w:r>
          </w:p>
        </w:tc>
      </w:tr>
    </w:tbl>
    <w:p w:rsidR="00195BE7" w:rsidRPr="001E2F6E" w:rsidRDefault="00195BE7" w:rsidP="00195BE7">
      <w:pPr>
        <w:pStyle w:val="Encabezado"/>
        <w:tabs>
          <w:tab w:val="clear" w:pos="4252"/>
          <w:tab w:val="clear" w:pos="8504"/>
        </w:tabs>
      </w:pPr>
    </w:p>
    <w:p w:rsidR="00195BE7" w:rsidRPr="001E2F6E" w:rsidRDefault="00195BE7" w:rsidP="00195BE7">
      <w:pPr>
        <w:spacing w:line="240" w:lineRule="auto"/>
        <w:jc w:val="center"/>
        <w:rPr>
          <w:b/>
          <w:color w:val="1F497D" w:themeColor="text2"/>
          <w:sz w:val="18"/>
          <w:szCs w:val="18"/>
        </w:rPr>
      </w:pPr>
      <w:bookmarkStart w:id="222" w:name="_Toc391989130"/>
      <w:bookmarkStart w:id="223" w:name="_Toc392585795"/>
      <w:r w:rsidRPr="001E2F6E">
        <w:rPr>
          <w:b/>
          <w:color w:val="1F497D" w:themeColor="text2"/>
          <w:sz w:val="18"/>
          <w:szCs w:val="18"/>
        </w:rPr>
        <w:t>1.</w:t>
      </w:r>
      <w:r w:rsidR="00EB6BA6" w:rsidRPr="001E2F6E">
        <w:rPr>
          <w:b/>
          <w:color w:val="1F497D" w:themeColor="text2"/>
          <w:sz w:val="18"/>
          <w:szCs w:val="18"/>
        </w:rPr>
        <w:fldChar w:fldCharType="begin"/>
      </w:r>
      <w:r w:rsidRPr="001E2F6E">
        <w:rPr>
          <w:b/>
          <w:color w:val="1F497D" w:themeColor="text2"/>
          <w:sz w:val="18"/>
          <w:szCs w:val="18"/>
        </w:rPr>
        <w:instrText xml:space="preserve"> SEQ Cuadro_1. \* ARABIC </w:instrText>
      </w:r>
      <w:r w:rsidR="00EB6BA6" w:rsidRPr="001E2F6E">
        <w:rPr>
          <w:b/>
          <w:color w:val="1F497D" w:themeColor="text2"/>
          <w:sz w:val="18"/>
          <w:szCs w:val="18"/>
        </w:rPr>
        <w:fldChar w:fldCharType="separate"/>
      </w:r>
      <w:r w:rsidR="00A327D4">
        <w:rPr>
          <w:b/>
          <w:noProof/>
          <w:color w:val="1F497D" w:themeColor="text2"/>
          <w:sz w:val="18"/>
          <w:szCs w:val="18"/>
        </w:rPr>
        <w:t>60</w:t>
      </w:r>
      <w:r w:rsidR="00EB6BA6" w:rsidRPr="001E2F6E">
        <w:rPr>
          <w:b/>
          <w:color w:val="1F497D" w:themeColor="text2"/>
          <w:sz w:val="18"/>
          <w:szCs w:val="18"/>
        </w:rPr>
        <w:fldChar w:fldCharType="end"/>
      </w:r>
      <w:r w:rsidRPr="001E2F6E">
        <w:rPr>
          <w:b/>
          <w:color w:val="1F497D" w:themeColor="text2"/>
          <w:sz w:val="18"/>
          <w:szCs w:val="18"/>
        </w:rPr>
        <w:t xml:space="preserve"> Taula ZORPETZE-RATIOAK, FORMA JURIDIKOAREN ARABERA. 2012</w:t>
      </w:r>
      <w:bookmarkEnd w:id="222"/>
      <w:r w:rsidR="00462130" w:rsidRPr="001E2F6E">
        <w:rPr>
          <w:b/>
          <w:color w:val="1F497D" w:themeColor="text2"/>
          <w:sz w:val="18"/>
          <w:szCs w:val="18"/>
        </w:rPr>
        <w:t xml:space="preserve"> </w:t>
      </w:r>
      <w:r w:rsidRPr="001E2F6E">
        <w:rPr>
          <w:b/>
          <w:color w:val="1F497D" w:themeColor="text2"/>
          <w:sz w:val="18"/>
          <w:szCs w:val="18"/>
        </w:rPr>
        <w:t>(% Kanpoko funtsak/Funts propioak)</w:t>
      </w:r>
      <w:bookmarkEnd w:id="223"/>
    </w:p>
    <w:tbl>
      <w:tblPr>
        <w:tblW w:w="5000" w:type="pct"/>
        <w:jc w:val="center"/>
        <w:tblBorders>
          <w:top w:val="single" w:sz="4" w:space="0" w:color="BFBFBF" w:themeColor="background1" w:themeShade="BF"/>
          <w:bottom w:val="single" w:sz="4" w:space="0" w:color="BFBFBF" w:themeColor="background1" w:themeShade="BF"/>
        </w:tblBorders>
        <w:tblLook w:val="04A0" w:firstRow="1" w:lastRow="0" w:firstColumn="1" w:lastColumn="0" w:noHBand="0" w:noVBand="1"/>
      </w:tblPr>
      <w:tblGrid>
        <w:gridCol w:w="3476"/>
        <w:gridCol w:w="5528"/>
      </w:tblGrid>
      <w:tr w:rsidR="00195BE7" w:rsidRPr="001E2F6E" w:rsidTr="00195BE7">
        <w:trPr>
          <w:jc w:val="center"/>
        </w:trPr>
        <w:tc>
          <w:tcPr>
            <w:tcW w:w="1930" w:type="pct"/>
            <w:tcBorders>
              <w:top w:val="single" w:sz="4" w:space="0" w:color="BFBFBF" w:themeColor="background1" w:themeShade="BF"/>
              <w:bottom w:val="nil"/>
              <w:right w:val="single" w:sz="4" w:space="0" w:color="BFBFBF" w:themeColor="background1" w:themeShade="BF"/>
            </w:tcBorders>
            <w:shd w:val="clear" w:color="auto" w:fill="DBE5F1" w:themeFill="accent1" w:themeFillTint="33"/>
          </w:tcPr>
          <w:p w:rsidR="00195BE7" w:rsidRPr="001E2F6E" w:rsidRDefault="00195BE7" w:rsidP="00195BE7">
            <w:pPr>
              <w:spacing w:line="240" w:lineRule="exact"/>
              <w:rPr>
                <w:b/>
                <w:sz w:val="16"/>
                <w:szCs w:val="16"/>
              </w:rPr>
            </w:pPr>
          </w:p>
        </w:tc>
        <w:tc>
          <w:tcPr>
            <w:tcW w:w="3070" w:type="pct"/>
            <w:vMerge w:val="restart"/>
            <w:tcBorders>
              <w:top w:val="single" w:sz="4" w:space="0" w:color="BFBFBF" w:themeColor="background1" w:themeShade="BF"/>
              <w:left w:val="single" w:sz="4" w:space="0" w:color="BFBFBF" w:themeColor="background1" w:themeShade="BF"/>
              <w:bottom w:val="nil"/>
              <w:right w:val="single" w:sz="4" w:space="0" w:color="BFBFBF" w:themeColor="background1" w:themeShade="BF"/>
            </w:tcBorders>
            <w:shd w:val="clear" w:color="auto" w:fill="DBE5F1" w:themeFill="accent1" w:themeFillTint="33"/>
            <w:vAlign w:val="center"/>
          </w:tcPr>
          <w:p w:rsidR="00195BE7" w:rsidRPr="001E2F6E" w:rsidRDefault="00195BE7" w:rsidP="00195BE7">
            <w:pPr>
              <w:spacing w:line="240" w:lineRule="exact"/>
              <w:jc w:val="center"/>
              <w:rPr>
                <w:b/>
                <w:sz w:val="16"/>
                <w:szCs w:val="16"/>
              </w:rPr>
            </w:pPr>
            <w:r w:rsidRPr="001E2F6E">
              <w:rPr>
                <w:b/>
                <w:sz w:val="16"/>
                <w:szCs w:val="16"/>
                <w:lang w:val="eu-ES"/>
              </w:rPr>
              <w:t>Zorpetze-ratioa</w:t>
            </w:r>
          </w:p>
        </w:tc>
      </w:tr>
      <w:tr w:rsidR="00195BE7" w:rsidRPr="001E2F6E" w:rsidTr="00195BE7">
        <w:trPr>
          <w:jc w:val="center"/>
        </w:trPr>
        <w:tc>
          <w:tcPr>
            <w:tcW w:w="1930" w:type="pct"/>
            <w:tcBorders>
              <w:top w:val="nil"/>
              <w:bottom w:val="single" w:sz="4" w:space="0" w:color="BFBFBF" w:themeColor="background1" w:themeShade="BF"/>
              <w:right w:val="single" w:sz="4" w:space="0" w:color="BFBFBF" w:themeColor="background1" w:themeShade="BF"/>
            </w:tcBorders>
            <w:shd w:val="clear" w:color="auto" w:fill="DBE5F1" w:themeFill="accent1" w:themeFillTint="33"/>
          </w:tcPr>
          <w:p w:rsidR="00195BE7" w:rsidRPr="001E2F6E" w:rsidRDefault="00195BE7" w:rsidP="00195BE7">
            <w:pPr>
              <w:spacing w:line="240" w:lineRule="exact"/>
              <w:rPr>
                <w:b/>
                <w:sz w:val="16"/>
                <w:szCs w:val="16"/>
              </w:rPr>
            </w:pPr>
          </w:p>
        </w:tc>
        <w:tc>
          <w:tcPr>
            <w:tcW w:w="3070" w:type="pct"/>
            <w:vMerge/>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tcPr>
          <w:p w:rsidR="00195BE7" w:rsidRPr="001E2F6E" w:rsidRDefault="00195BE7" w:rsidP="00195BE7">
            <w:pPr>
              <w:spacing w:line="240" w:lineRule="exact"/>
              <w:jc w:val="center"/>
              <w:rPr>
                <w:b/>
                <w:sz w:val="16"/>
                <w:szCs w:val="16"/>
              </w:rPr>
            </w:pPr>
          </w:p>
        </w:tc>
      </w:tr>
      <w:tr w:rsidR="00195BE7" w:rsidRPr="001E2F6E" w:rsidTr="00195BE7">
        <w:trPr>
          <w:jc w:val="center"/>
        </w:trPr>
        <w:tc>
          <w:tcPr>
            <w:tcW w:w="1930" w:type="pct"/>
            <w:tcBorders>
              <w:top w:val="single" w:sz="4" w:space="0" w:color="BFBFBF" w:themeColor="background1" w:themeShade="BF"/>
              <w:bottom w:val="nil"/>
              <w:right w:val="single" w:sz="4" w:space="0" w:color="BFBFBF" w:themeColor="background1" w:themeShade="BF"/>
            </w:tcBorders>
          </w:tcPr>
          <w:p w:rsidR="00195BE7" w:rsidRPr="001E2F6E" w:rsidRDefault="00195BE7" w:rsidP="00195BE7">
            <w:pPr>
              <w:spacing w:line="240" w:lineRule="exact"/>
              <w:rPr>
                <w:color w:val="000000"/>
                <w:sz w:val="16"/>
                <w:szCs w:val="16"/>
              </w:rPr>
            </w:pPr>
            <w:r w:rsidRPr="001E2F6E">
              <w:rPr>
                <w:color w:val="000000"/>
                <w:sz w:val="16"/>
                <w:szCs w:val="16"/>
              </w:rPr>
              <w:t>Koop</w:t>
            </w:r>
          </w:p>
        </w:tc>
        <w:tc>
          <w:tcPr>
            <w:tcW w:w="3070" w:type="pct"/>
            <w:tcBorders>
              <w:top w:val="single" w:sz="4" w:space="0" w:color="BFBFBF" w:themeColor="background1" w:themeShade="BF"/>
              <w:left w:val="single" w:sz="4" w:space="0" w:color="BFBFBF" w:themeColor="background1" w:themeShade="BF"/>
              <w:bottom w:val="nil"/>
              <w:right w:val="single" w:sz="4" w:space="0" w:color="BFBFBF" w:themeColor="background1" w:themeShade="BF"/>
            </w:tcBorders>
            <w:vAlign w:val="bottom"/>
          </w:tcPr>
          <w:p w:rsidR="00195BE7" w:rsidRPr="001E2F6E" w:rsidRDefault="00195BE7" w:rsidP="00195BE7">
            <w:pPr>
              <w:spacing w:line="240" w:lineRule="exact"/>
              <w:jc w:val="center"/>
              <w:rPr>
                <w:sz w:val="16"/>
                <w:szCs w:val="16"/>
              </w:rPr>
            </w:pPr>
            <w:r w:rsidRPr="001E2F6E">
              <w:rPr>
                <w:sz w:val="16"/>
                <w:szCs w:val="16"/>
              </w:rPr>
              <w:t>3,7</w:t>
            </w:r>
          </w:p>
        </w:tc>
      </w:tr>
      <w:tr w:rsidR="00195BE7" w:rsidRPr="001E2F6E" w:rsidTr="00195BE7">
        <w:trPr>
          <w:jc w:val="center"/>
        </w:trPr>
        <w:tc>
          <w:tcPr>
            <w:tcW w:w="1930" w:type="pct"/>
            <w:tcBorders>
              <w:top w:val="nil"/>
              <w:bottom w:val="nil"/>
              <w:right w:val="single" w:sz="4" w:space="0" w:color="BFBFBF" w:themeColor="background1" w:themeShade="BF"/>
            </w:tcBorders>
          </w:tcPr>
          <w:p w:rsidR="00195BE7" w:rsidRPr="001E2F6E" w:rsidRDefault="00195BE7" w:rsidP="00195BE7">
            <w:pPr>
              <w:spacing w:line="240" w:lineRule="exact"/>
              <w:rPr>
                <w:color w:val="000000"/>
                <w:sz w:val="16"/>
                <w:szCs w:val="16"/>
              </w:rPr>
            </w:pPr>
            <w:r w:rsidRPr="001E2F6E">
              <w:rPr>
                <w:color w:val="000000"/>
                <w:sz w:val="16"/>
                <w:szCs w:val="16"/>
              </w:rPr>
              <w:t>LSA</w:t>
            </w:r>
          </w:p>
        </w:tc>
        <w:tc>
          <w:tcPr>
            <w:tcW w:w="3070" w:type="pct"/>
            <w:tcBorders>
              <w:top w:val="nil"/>
              <w:left w:val="single" w:sz="4" w:space="0" w:color="BFBFBF" w:themeColor="background1" w:themeShade="BF"/>
              <w:bottom w:val="nil"/>
              <w:right w:val="single" w:sz="4" w:space="0" w:color="BFBFBF" w:themeColor="background1" w:themeShade="BF"/>
            </w:tcBorders>
            <w:vAlign w:val="bottom"/>
          </w:tcPr>
          <w:p w:rsidR="00195BE7" w:rsidRPr="001E2F6E" w:rsidRDefault="00195BE7" w:rsidP="00195BE7">
            <w:pPr>
              <w:spacing w:line="240" w:lineRule="exact"/>
              <w:jc w:val="center"/>
              <w:rPr>
                <w:sz w:val="16"/>
                <w:szCs w:val="16"/>
              </w:rPr>
            </w:pPr>
            <w:r w:rsidRPr="001E2F6E">
              <w:rPr>
                <w:sz w:val="16"/>
                <w:szCs w:val="16"/>
              </w:rPr>
              <w:t>5,1</w:t>
            </w:r>
          </w:p>
        </w:tc>
      </w:tr>
      <w:tr w:rsidR="00195BE7" w:rsidRPr="001E2F6E" w:rsidTr="00195BE7">
        <w:trPr>
          <w:jc w:val="center"/>
        </w:trPr>
        <w:tc>
          <w:tcPr>
            <w:tcW w:w="1930" w:type="pct"/>
            <w:tcBorders>
              <w:top w:val="nil"/>
              <w:bottom w:val="single" w:sz="4" w:space="0" w:color="BFBFBF" w:themeColor="background1" w:themeShade="BF"/>
              <w:right w:val="single" w:sz="4" w:space="0" w:color="BFBFBF" w:themeColor="background1" w:themeShade="BF"/>
            </w:tcBorders>
          </w:tcPr>
          <w:p w:rsidR="00195BE7" w:rsidRPr="001E2F6E" w:rsidRDefault="00195BE7" w:rsidP="00195BE7">
            <w:pPr>
              <w:spacing w:line="240" w:lineRule="exact"/>
              <w:rPr>
                <w:color w:val="000000"/>
                <w:sz w:val="16"/>
                <w:szCs w:val="16"/>
              </w:rPr>
            </w:pPr>
            <w:r w:rsidRPr="001E2F6E">
              <w:rPr>
                <w:color w:val="000000"/>
                <w:sz w:val="16"/>
                <w:szCs w:val="16"/>
              </w:rPr>
              <w:t>LSM</w:t>
            </w:r>
          </w:p>
        </w:tc>
        <w:tc>
          <w:tcPr>
            <w:tcW w:w="3070" w:type="pct"/>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vAlign w:val="bottom"/>
          </w:tcPr>
          <w:p w:rsidR="00195BE7" w:rsidRPr="001E2F6E" w:rsidRDefault="00195BE7" w:rsidP="00195BE7">
            <w:pPr>
              <w:spacing w:line="240" w:lineRule="exact"/>
              <w:jc w:val="center"/>
              <w:rPr>
                <w:color w:val="000000"/>
                <w:sz w:val="16"/>
                <w:szCs w:val="16"/>
              </w:rPr>
            </w:pPr>
            <w:r w:rsidRPr="001E2F6E">
              <w:rPr>
                <w:sz w:val="16"/>
                <w:szCs w:val="16"/>
              </w:rPr>
              <w:t>2,2</w:t>
            </w:r>
          </w:p>
        </w:tc>
      </w:tr>
      <w:tr w:rsidR="00195BE7" w:rsidRPr="001E2F6E" w:rsidTr="00195BE7">
        <w:trPr>
          <w:jc w:val="center"/>
        </w:trPr>
        <w:tc>
          <w:tcPr>
            <w:tcW w:w="1930" w:type="pct"/>
            <w:tcBorders>
              <w:top w:val="single" w:sz="4" w:space="0" w:color="BFBFBF" w:themeColor="background1" w:themeShade="BF"/>
              <w:bottom w:val="single" w:sz="4" w:space="0" w:color="BFBFBF" w:themeColor="background1" w:themeShade="BF"/>
              <w:right w:val="single" w:sz="4" w:space="0" w:color="BFBFBF" w:themeColor="background1" w:themeShade="BF"/>
            </w:tcBorders>
            <w:vAlign w:val="bottom"/>
          </w:tcPr>
          <w:p w:rsidR="00195BE7" w:rsidRPr="001E2F6E" w:rsidRDefault="00195BE7" w:rsidP="00195BE7">
            <w:pPr>
              <w:spacing w:line="240" w:lineRule="exact"/>
              <w:rPr>
                <w:b/>
                <w:color w:val="000000"/>
                <w:sz w:val="16"/>
                <w:szCs w:val="16"/>
              </w:rPr>
            </w:pPr>
            <w:r w:rsidRPr="001E2F6E">
              <w:rPr>
                <w:b/>
                <w:bCs/>
                <w:color w:val="000000"/>
                <w:sz w:val="16"/>
                <w:szCs w:val="16"/>
              </w:rPr>
              <w:t>GUZTIRA</w:t>
            </w:r>
          </w:p>
        </w:tc>
        <w:tc>
          <w:tcPr>
            <w:tcW w:w="307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bottom"/>
          </w:tcPr>
          <w:p w:rsidR="00195BE7" w:rsidRPr="001E2F6E" w:rsidRDefault="00195BE7" w:rsidP="00195BE7">
            <w:pPr>
              <w:spacing w:line="240" w:lineRule="exact"/>
              <w:jc w:val="center"/>
              <w:rPr>
                <w:b/>
                <w:color w:val="000000"/>
                <w:sz w:val="16"/>
                <w:szCs w:val="16"/>
              </w:rPr>
            </w:pPr>
            <w:r w:rsidRPr="001E2F6E">
              <w:rPr>
                <w:b/>
                <w:sz w:val="16"/>
                <w:szCs w:val="16"/>
              </w:rPr>
              <w:t>3,7</w:t>
            </w:r>
          </w:p>
        </w:tc>
      </w:tr>
    </w:tbl>
    <w:p w:rsidR="00195BE7" w:rsidRPr="001E2F6E" w:rsidRDefault="00195BE7" w:rsidP="00195BE7"/>
    <w:p w:rsidR="00195BE7" w:rsidRPr="001E2F6E" w:rsidRDefault="00195BE7" w:rsidP="00195BE7"/>
    <w:p w:rsidR="00195BE7" w:rsidRPr="001E2F6E" w:rsidRDefault="00195BE7" w:rsidP="00195BE7">
      <w:pPr>
        <w:spacing w:line="240" w:lineRule="auto"/>
        <w:jc w:val="center"/>
        <w:rPr>
          <w:b/>
          <w:color w:val="1F497D" w:themeColor="text2"/>
          <w:sz w:val="18"/>
          <w:szCs w:val="18"/>
        </w:rPr>
      </w:pPr>
      <w:bookmarkStart w:id="224" w:name="_Toc391989131"/>
      <w:bookmarkStart w:id="225" w:name="_Toc392585796"/>
      <w:r w:rsidRPr="001E2F6E">
        <w:rPr>
          <w:b/>
          <w:color w:val="1F497D" w:themeColor="text2"/>
          <w:sz w:val="18"/>
          <w:szCs w:val="18"/>
        </w:rPr>
        <w:t>1.</w:t>
      </w:r>
      <w:r w:rsidR="00EB6BA6" w:rsidRPr="001E2F6E">
        <w:rPr>
          <w:b/>
          <w:color w:val="1F497D" w:themeColor="text2"/>
          <w:sz w:val="18"/>
          <w:szCs w:val="18"/>
        </w:rPr>
        <w:fldChar w:fldCharType="begin"/>
      </w:r>
      <w:r w:rsidRPr="001E2F6E">
        <w:rPr>
          <w:b/>
          <w:color w:val="1F497D" w:themeColor="text2"/>
          <w:sz w:val="18"/>
          <w:szCs w:val="18"/>
        </w:rPr>
        <w:instrText xml:space="preserve"> SEQ Cuadro_1. \* ARABIC </w:instrText>
      </w:r>
      <w:r w:rsidR="00EB6BA6" w:rsidRPr="001E2F6E">
        <w:rPr>
          <w:b/>
          <w:color w:val="1F497D" w:themeColor="text2"/>
          <w:sz w:val="18"/>
          <w:szCs w:val="18"/>
        </w:rPr>
        <w:fldChar w:fldCharType="separate"/>
      </w:r>
      <w:r w:rsidR="00A327D4">
        <w:rPr>
          <w:b/>
          <w:noProof/>
          <w:color w:val="1F497D" w:themeColor="text2"/>
          <w:sz w:val="18"/>
          <w:szCs w:val="18"/>
        </w:rPr>
        <w:t>61</w:t>
      </w:r>
      <w:r w:rsidR="00EB6BA6" w:rsidRPr="001E2F6E">
        <w:rPr>
          <w:b/>
          <w:color w:val="1F497D" w:themeColor="text2"/>
          <w:sz w:val="18"/>
          <w:szCs w:val="18"/>
        </w:rPr>
        <w:fldChar w:fldCharType="end"/>
      </w:r>
      <w:r w:rsidRPr="001E2F6E">
        <w:rPr>
          <w:b/>
          <w:color w:val="1F497D" w:themeColor="text2"/>
          <w:sz w:val="18"/>
          <w:szCs w:val="18"/>
        </w:rPr>
        <w:t xml:space="preserve"> Taula BERME-RATIOAK, FORMA JURIDIKOAREN ARABERA. 2012 (% aktiboa guztira/Galdagarria guztira)</w:t>
      </w:r>
      <w:bookmarkEnd w:id="224"/>
      <w:bookmarkEnd w:id="225"/>
    </w:p>
    <w:tbl>
      <w:tblPr>
        <w:tblW w:w="5000" w:type="pct"/>
        <w:jc w:val="center"/>
        <w:tblBorders>
          <w:top w:val="single" w:sz="4" w:space="0" w:color="BFBFBF" w:themeColor="background1" w:themeShade="BF"/>
          <w:bottom w:val="single" w:sz="4" w:space="0" w:color="BFBFBF" w:themeColor="background1" w:themeShade="BF"/>
        </w:tblBorders>
        <w:tblLook w:val="04A0" w:firstRow="1" w:lastRow="0" w:firstColumn="1" w:lastColumn="0" w:noHBand="0" w:noVBand="1"/>
      </w:tblPr>
      <w:tblGrid>
        <w:gridCol w:w="3852"/>
        <w:gridCol w:w="5152"/>
      </w:tblGrid>
      <w:tr w:rsidR="00195BE7" w:rsidRPr="001E2F6E" w:rsidTr="00195BE7">
        <w:trPr>
          <w:jc w:val="center"/>
        </w:trPr>
        <w:tc>
          <w:tcPr>
            <w:tcW w:w="2139" w:type="pct"/>
            <w:tcBorders>
              <w:top w:val="single" w:sz="4" w:space="0" w:color="BFBFBF" w:themeColor="background1" w:themeShade="BF"/>
              <w:bottom w:val="nil"/>
              <w:right w:val="single" w:sz="4" w:space="0" w:color="BFBFBF" w:themeColor="background1" w:themeShade="BF"/>
            </w:tcBorders>
            <w:shd w:val="clear" w:color="auto" w:fill="DBE5F1" w:themeFill="accent1" w:themeFillTint="33"/>
          </w:tcPr>
          <w:p w:rsidR="00195BE7" w:rsidRPr="001E2F6E" w:rsidRDefault="00195BE7" w:rsidP="00195BE7">
            <w:pPr>
              <w:spacing w:line="240" w:lineRule="exact"/>
              <w:rPr>
                <w:b/>
                <w:sz w:val="16"/>
                <w:szCs w:val="16"/>
              </w:rPr>
            </w:pPr>
          </w:p>
        </w:tc>
        <w:tc>
          <w:tcPr>
            <w:tcW w:w="2861" w:type="pct"/>
            <w:vMerge w:val="restart"/>
            <w:tcBorders>
              <w:top w:val="single" w:sz="4" w:space="0" w:color="BFBFBF" w:themeColor="background1" w:themeShade="BF"/>
              <w:left w:val="single" w:sz="4" w:space="0" w:color="BFBFBF" w:themeColor="background1" w:themeShade="BF"/>
              <w:bottom w:val="nil"/>
              <w:right w:val="single" w:sz="4" w:space="0" w:color="BFBFBF" w:themeColor="background1" w:themeShade="BF"/>
            </w:tcBorders>
            <w:shd w:val="clear" w:color="auto" w:fill="DBE5F1" w:themeFill="accent1" w:themeFillTint="33"/>
            <w:vAlign w:val="center"/>
          </w:tcPr>
          <w:p w:rsidR="00195BE7" w:rsidRPr="001E2F6E" w:rsidRDefault="00195BE7" w:rsidP="00195BE7">
            <w:pPr>
              <w:spacing w:line="240" w:lineRule="exact"/>
              <w:jc w:val="center"/>
              <w:rPr>
                <w:b/>
                <w:sz w:val="16"/>
                <w:szCs w:val="16"/>
              </w:rPr>
            </w:pPr>
            <w:r w:rsidRPr="001E2F6E">
              <w:rPr>
                <w:b/>
                <w:sz w:val="16"/>
                <w:szCs w:val="16"/>
                <w:lang w:val="eu-ES"/>
              </w:rPr>
              <w:t>Berme-ratioa</w:t>
            </w:r>
          </w:p>
        </w:tc>
      </w:tr>
      <w:tr w:rsidR="00195BE7" w:rsidRPr="001E2F6E" w:rsidTr="00195BE7">
        <w:trPr>
          <w:jc w:val="center"/>
        </w:trPr>
        <w:tc>
          <w:tcPr>
            <w:tcW w:w="2139" w:type="pct"/>
            <w:tcBorders>
              <w:top w:val="nil"/>
              <w:bottom w:val="single" w:sz="4" w:space="0" w:color="BFBFBF" w:themeColor="background1" w:themeShade="BF"/>
              <w:right w:val="single" w:sz="4" w:space="0" w:color="BFBFBF" w:themeColor="background1" w:themeShade="BF"/>
            </w:tcBorders>
            <w:shd w:val="clear" w:color="auto" w:fill="DBE5F1" w:themeFill="accent1" w:themeFillTint="33"/>
          </w:tcPr>
          <w:p w:rsidR="00195BE7" w:rsidRPr="001E2F6E" w:rsidRDefault="00195BE7" w:rsidP="00195BE7">
            <w:pPr>
              <w:spacing w:line="240" w:lineRule="exact"/>
              <w:rPr>
                <w:b/>
                <w:sz w:val="16"/>
                <w:szCs w:val="16"/>
              </w:rPr>
            </w:pPr>
          </w:p>
        </w:tc>
        <w:tc>
          <w:tcPr>
            <w:tcW w:w="2861" w:type="pct"/>
            <w:vMerge/>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tcPr>
          <w:p w:rsidR="00195BE7" w:rsidRPr="001E2F6E" w:rsidRDefault="00195BE7" w:rsidP="00195BE7">
            <w:pPr>
              <w:spacing w:line="240" w:lineRule="exact"/>
              <w:jc w:val="center"/>
              <w:rPr>
                <w:b/>
                <w:sz w:val="16"/>
                <w:szCs w:val="16"/>
              </w:rPr>
            </w:pPr>
          </w:p>
        </w:tc>
      </w:tr>
      <w:tr w:rsidR="00195BE7" w:rsidRPr="001E2F6E" w:rsidTr="00195BE7">
        <w:trPr>
          <w:jc w:val="center"/>
        </w:trPr>
        <w:tc>
          <w:tcPr>
            <w:tcW w:w="2139" w:type="pct"/>
            <w:tcBorders>
              <w:top w:val="single" w:sz="4" w:space="0" w:color="BFBFBF" w:themeColor="background1" w:themeShade="BF"/>
              <w:bottom w:val="nil"/>
              <w:right w:val="single" w:sz="4" w:space="0" w:color="BFBFBF" w:themeColor="background1" w:themeShade="BF"/>
            </w:tcBorders>
          </w:tcPr>
          <w:p w:rsidR="00195BE7" w:rsidRPr="001E2F6E" w:rsidRDefault="00195BE7" w:rsidP="00195BE7">
            <w:pPr>
              <w:spacing w:line="240" w:lineRule="exact"/>
              <w:rPr>
                <w:color w:val="000000"/>
                <w:sz w:val="16"/>
                <w:szCs w:val="16"/>
              </w:rPr>
            </w:pPr>
            <w:r w:rsidRPr="001E2F6E">
              <w:rPr>
                <w:color w:val="000000"/>
                <w:sz w:val="16"/>
                <w:szCs w:val="16"/>
              </w:rPr>
              <w:t>Koop</w:t>
            </w:r>
          </w:p>
        </w:tc>
        <w:tc>
          <w:tcPr>
            <w:tcW w:w="2861" w:type="pct"/>
            <w:tcBorders>
              <w:top w:val="single" w:sz="4" w:space="0" w:color="BFBFBF" w:themeColor="background1" w:themeShade="BF"/>
              <w:left w:val="single" w:sz="4" w:space="0" w:color="BFBFBF" w:themeColor="background1" w:themeShade="BF"/>
              <w:bottom w:val="nil"/>
              <w:right w:val="single" w:sz="4" w:space="0" w:color="BFBFBF" w:themeColor="background1" w:themeShade="BF"/>
            </w:tcBorders>
            <w:vAlign w:val="bottom"/>
          </w:tcPr>
          <w:p w:rsidR="00195BE7" w:rsidRPr="001E2F6E" w:rsidRDefault="00195BE7" w:rsidP="00195BE7">
            <w:pPr>
              <w:spacing w:line="240" w:lineRule="auto"/>
              <w:ind w:right="327"/>
              <w:jc w:val="center"/>
              <w:rPr>
                <w:color w:val="000000"/>
                <w:sz w:val="16"/>
                <w:szCs w:val="16"/>
              </w:rPr>
            </w:pPr>
            <w:r w:rsidRPr="001E2F6E">
              <w:rPr>
                <w:color w:val="000000"/>
                <w:sz w:val="16"/>
                <w:szCs w:val="16"/>
              </w:rPr>
              <w:t>1,3</w:t>
            </w:r>
          </w:p>
        </w:tc>
      </w:tr>
      <w:tr w:rsidR="00195BE7" w:rsidRPr="001E2F6E" w:rsidTr="00195BE7">
        <w:trPr>
          <w:jc w:val="center"/>
        </w:trPr>
        <w:tc>
          <w:tcPr>
            <w:tcW w:w="2139" w:type="pct"/>
            <w:tcBorders>
              <w:top w:val="nil"/>
              <w:bottom w:val="nil"/>
              <w:right w:val="single" w:sz="4" w:space="0" w:color="BFBFBF" w:themeColor="background1" w:themeShade="BF"/>
            </w:tcBorders>
          </w:tcPr>
          <w:p w:rsidR="00195BE7" w:rsidRPr="001E2F6E" w:rsidRDefault="00195BE7" w:rsidP="00195BE7">
            <w:pPr>
              <w:spacing w:line="240" w:lineRule="exact"/>
              <w:rPr>
                <w:color w:val="000000"/>
                <w:sz w:val="16"/>
                <w:szCs w:val="16"/>
              </w:rPr>
            </w:pPr>
            <w:r w:rsidRPr="001E2F6E">
              <w:rPr>
                <w:color w:val="000000"/>
                <w:sz w:val="16"/>
                <w:szCs w:val="16"/>
              </w:rPr>
              <w:t>LSA</w:t>
            </w:r>
          </w:p>
        </w:tc>
        <w:tc>
          <w:tcPr>
            <w:tcW w:w="2861" w:type="pct"/>
            <w:tcBorders>
              <w:top w:val="nil"/>
              <w:left w:val="single" w:sz="4" w:space="0" w:color="BFBFBF" w:themeColor="background1" w:themeShade="BF"/>
              <w:bottom w:val="nil"/>
              <w:right w:val="single" w:sz="4" w:space="0" w:color="BFBFBF" w:themeColor="background1" w:themeShade="BF"/>
            </w:tcBorders>
            <w:vAlign w:val="bottom"/>
          </w:tcPr>
          <w:p w:rsidR="00195BE7" w:rsidRPr="001E2F6E" w:rsidRDefault="00195BE7" w:rsidP="00195BE7">
            <w:pPr>
              <w:spacing w:line="240" w:lineRule="auto"/>
              <w:ind w:right="327"/>
              <w:jc w:val="center"/>
              <w:rPr>
                <w:color w:val="000000"/>
                <w:sz w:val="16"/>
                <w:szCs w:val="16"/>
              </w:rPr>
            </w:pPr>
            <w:r w:rsidRPr="001E2F6E">
              <w:rPr>
                <w:color w:val="000000"/>
                <w:sz w:val="16"/>
                <w:szCs w:val="16"/>
              </w:rPr>
              <w:t>1,2</w:t>
            </w:r>
          </w:p>
        </w:tc>
      </w:tr>
      <w:tr w:rsidR="00195BE7" w:rsidRPr="001E2F6E" w:rsidTr="00195BE7">
        <w:trPr>
          <w:jc w:val="center"/>
        </w:trPr>
        <w:tc>
          <w:tcPr>
            <w:tcW w:w="2139" w:type="pct"/>
            <w:tcBorders>
              <w:top w:val="nil"/>
              <w:bottom w:val="single" w:sz="4" w:space="0" w:color="BFBFBF" w:themeColor="background1" w:themeShade="BF"/>
              <w:right w:val="single" w:sz="4" w:space="0" w:color="BFBFBF" w:themeColor="background1" w:themeShade="BF"/>
            </w:tcBorders>
          </w:tcPr>
          <w:p w:rsidR="00195BE7" w:rsidRPr="001E2F6E" w:rsidRDefault="00195BE7" w:rsidP="00195BE7">
            <w:pPr>
              <w:spacing w:line="240" w:lineRule="exact"/>
              <w:rPr>
                <w:color w:val="000000"/>
                <w:sz w:val="16"/>
                <w:szCs w:val="16"/>
              </w:rPr>
            </w:pPr>
            <w:r w:rsidRPr="001E2F6E">
              <w:rPr>
                <w:color w:val="000000"/>
                <w:sz w:val="16"/>
                <w:szCs w:val="16"/>
              </w:rPr>
              <w:t>LSM</w:t>
            </w:r>
          </w:p>
        </w:tc>
        <w:tc>
          <w:tcPr>
            <w:tcW w:w="2861" w:type="pct"/>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vAlign w:val="bottom"/>
          </w:tcPr>
          <w:p w:rsidR="00195BE7" w:rsidRPr="001E2F6E" w:rsidRDefault="00195BE7" w:rsidP="00195BE7">
            <w:pPr>
              <w:spacing w:line="240" w:lineRule="auto"/>
              <w:ind w:right="327"/>
              <w:jc w:val="center"/>
              <w:rPr>
                <w:color w:val="000000"/>
                <w:sz w:val="16"/>
                <w:szCs w:val="16"/>
              </w:rPr>
            </w:pPr>
            <w:r w:rsidRPr="001E2F6E">
              <w:rPr>
                <w:color w:val="000000"/>
                <w:sz w:val="16"/>
                <w:szCs w:val="16"/>
              </w:rPr>
              <w:t>1,4</w:t>
            </w:r>
          </w:p>
        </w:tc>
      </w:tr>
      <w:tr w:rsidR="00195BE7" w:rsidRPr="001E2F6E" w:rsidTr="00195BE7">
        <w:trPr>
          <w:jc w:val="center"/>
        </w:trPr>
        <w:tc>
          <w:tcPr>
            <w:tcW w:w="2139" w:type="pct"/>
            <w:tcBorders>
              <w:top w:val="single" w:sz="4" w:space="0" w:color="BFBFBF" w:themeColor="background1" w:themeShade="BF"/>
              <w:bottom w:val="single" w:sz="4" w:space="0" w:color="BFBFBF" w:themeColor="background1" w:themeShade="BF"/>
              <w:right w:val="single" w:sz="4" w:space="0" w:color="BFBFBF" w:themeColor="background1" w:themeShade="BF"/>
            </w:tcBorders>
            <w:vAlign w:val="bottom"/>
          </w:tcPr>
          <w:p w:rsidR="00195BE7" w:rsidRPr="001E2F6E" w:rsidRDefault="00195BE7" w:rsidP="00195BE7">
            <w:pPr>
              <w:spacing w:line="240" w:lineRule="exact"/>
              <w:rPr>
                <w:b/>
                <w:color w:val="000000"/>
                <w:sz w:val="16"/>
                <w:szCs w:val="16"/>
              </w:rPr>
            </w:pPr>
            <w:r w:rsidRPr="001E2F6E">
              <w:rPr>
                <w:b/>
                <w:bCs/>
                <w:color w:val="000000"/>
                <w:sz w:val="16"/>
                <w:szCs w:val="16"/>
              </w:rPr>
              <w:t>GUZTIRA</w:t>
            </w:r>
          </w:p>
        </w:tc>
        <w:tc>
          <w:tcPr>
            <w:tcW w:w="286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bottom"/>
          </w:tcPr>
          <w:p w:rsidR="00195BE7" w:rsidRPr="001E2F6E" w:rsidRDefault="00195BE7" w:rsidP="00195BE7">
            <w:pPr>
              <w:spacing w:line="240" w:lineRule="auto"/>
              <w:ind w:right="327"/>
              <w:jc w:val="center"/>
              <w:rPr>
                <w:b/>
                <w:color w:val="000000"/>
                <w:sz w:val="16"/>
                <w:szCs w:val="16"/>
              </w:rPr>
            </w:pPr>
            <w:r w:rsidRPr="001E2F6E">
              <w:rPr>
                <w:b/>
                <w:color w:val="000000"/>
                <w:sz w:val="16"/>
                <w:szCs w:val="16"/>
              </w:rPr>
              <w:t>1,3</w:t>
            </w:r>
          </w:p>
        </w:tc>
      </w:tr>
    </w:tbl>
    <w:p w:rsidR="00195BE7" w:rsidRPr="001E2F6E" w:rsidRDefault="00195BE7" w:rsidP="00195BE7">
      <w:pPr>
        <w:spacing w:line="240" w:lineRule="auto"/>
        <w:jc w:val="center"/>
        <w:rPr>
          <w:color w:val="000000"/>
        </w:rPr>
      </w:pPr>
      <w:r w:rsidRPr="001E2F6E">
        <w:rPr>
          <w:b/>
          <w:color w:val="1F497D" w:themeColor="text2"/>
          <w:sz w:val="18"/>
          <w:szCs w:val="18"/>
        </w:rPr>
        <w:t xml:space="preserve"> </w:t>
      </w:r>
    </w:p>
    <w:p w:rsidR="00195BE7" w:rsidRPr="001E2F6E" w:rsidRDefault="00195BE7" w:rsidP="00195BE7">
      <w:pPr>
        <w:pStyle w:val="Encabezado"/>
        <w:tabs>
          <w:tab w:val="clear" w:pos="4252"/>
          <w:tab w:val="clear" w:pos="8504"/>
        </w:tabs>
        <w:rPr>
          <w:color w:val="000000"/>
        </w:rPr>
      </w:pPr>
    </w:p>
    <w:p w:rsidR="00195BE7" w:rsidRPr="001E2F6E" w:rsidRDefault="00195BE7" w:rsidP="00195BE7">
      <w:pPr>
        <w:spacing w:after="200" w:line="276" w:lineRule="auto"/>
        <w:jc w:val="left"/>
        <w:rPr>
          <w:b/>
          <w:color w:val="1F497D" w:themeColor="text2"/>
          <w:sz w:val="18"/>
          <w:szCs w:val="18"/>
        </w:rPr>
      </w:pPr>
      <w:bookmarkStart w:id="226" w:name="_Toc391989132"/>
      <w:r w:rsidRPr="001E2F6E">
        <w:rPr>
          <w:b/>
          <w:color w:val="1F497D" w:themeColor="text2"/>
          <w:sz w:val="18"/>
          <w:szCs w:val="18"/>
        </w:rPr>
        <w:br w:type="page"/>
      </w:r>
    </w:p>
    <w:p w:rsidR="00195BE7" w:rsidRPr="001E2F6E" w:rsidRDefault="00195BE7" w:rsidP="00195BE7">
      <w:pPr>
        <w:pStyle w:val="Textoindependiente3"/>
        <w:rPr>
          <w:rFonts w:ascii="Arial" w:eastAsiaTheme="minorHAnsi" w:hAnsi="Arial" w:cs="Arial"/>
          <w:b/>
          <w:color w:val="1F497D" w:themeColor="text2"/>
          <w:sz w:val="18"/>
          <w:szCs w:val="18"/>
          <w:lang w:eastAsia="en-US"/>
        </w:rPr>
      </w:pPr>
      <w:bookmarkStart w:id="227" w:name="_Toc392585797"/>
      <w:r w:rsidRPr="001E2F6E">
        <w:rPr>
          <w:rFonts w:ascii="Arial" w:eastAsiaTheme="minorHAnsi" w:hAnsi="Arial" w:cs="Arial"/>
          <w:b/>
          <w:color w:val="1F497D" w:themeColor="text2"/>
          <w:sz w:val="18"/>
          <w:szCs w:val="18"/>
          <w:lang w:eastAsia="en-US"/>
        </w:rPr>
        <w:lastRenderedPageBreak/>
        <w:t>1.</w:t>
      </w:r>
      <w:r w:rsidR="00EB6BA6" w:rsidRPr="001E2F6E">
        <w:rPr>
          <w:rFonts w:ascii="Arial" w:eastAsiaTheme="minorHAnsi" w:hAnsi="Arial" w:cs="Arial"/>
          <w:b/>
          <w:color w:val="1F497D" w:themeColor="text2"/>
          <w:sz w:val="18"/>
          <w:szCs w:val="18"/>
          <w:lang w:eastAsia="en-US"/>
        </w:rPr>
        <w:fldChar w:fldCharType="begin"/>
      </w:r>
      <w:r w:rsidRPr="001E2F6E">
        <w:rPr>
          <w:rFonts w:ascii="Arial" w:eastAsiaTheme="minorHAnsi" w:hAnsi="Arial" w:cs="Arial"/>
          <w:b/>
          <w:color w:val="1F497D" w:themeColor="text2"/>
          <w:sz w:val="18"/>
          <w:szCs w:val="18"/>
          <w:lang w:eastAsia="en-US"/>
        </w:rPr>
        <w:instrText xml:space="preserve"> SEQ Cuadro_1. \* ARABIC </w:instrText>
      </w:r>
      <w:r w:rsidR="00EB6BA6" w:rsidRPr="001E2F6E">
        <w:rPr>
          <w:rFonts w:ascii="Arial" w:eastAsiaTheme="minorHAnsi" w:hAnsi="Arial" w:cs="Arial"/>
          <w:b/>
          <w:color w:val="1F497D" w:themeColor="text2"/>
          <w:sz w:val="18"/>
          <w:szCs w:val="18"/>
          <w:lang w:eastAsia="en-US"/>
        </w:rPr>
        <w:fldChar w:fldCharType="separate"/>
      </w:r>
      <w:r w:rsidR="00A327D4">
        <w:rPr>
          <w:rFonts w:ascii="Arial" w:eastAsiaTheme="minorHAnsi" w:hAnsi="Arial" w:cs="Arial"/>
          <w:b/>
          <w:noProof/>
          <w:color w:val="1F497D" w:themeColor="text2"/>
          <w:sz w:val="18"/>
          <w:szCs w:val="18"/>
          <w:lang w:eastAsia="en-US"/>
        </w:rPr>
        <w:t>62</w:t>
      </w:r>
      <w:r w:rsidR="00EB6BA6" w:rsidRPr="001E2F6E">
        <w:rPr>
          <w:rFonts w:ascii="Arial" w:eastAsiaTheme="minorHAnsi" w:hAnsi="Arial" w:cs="Arial"/>
          <w:b/>
          <w:color w:val="1F497D" w:themeColor="text2"/>
          <w:sz w:val="18"/>
          <w:szCs w:val="18"/>
          <w:lang w:eastAsia="en-US"/>
        </w:rPr>
        <w:fldChar w:fldCharType="end"/>
      </w:r>
      <w:r w:rsidRPr="001E2F6E">
        <w:rPr>
          <w:rFonts w:ascii="Arial" w:eastAsiaTheme="minorHAnsi" w:hAnsi="Arial" w:cs="Arial"/>
          <w:b/>
          <w:color w:val="1F497D" w:themeColor="text2"/>
          <w:sz w:val="18"/>
          <w:szCs w:val="18"/>
          <w:lang w:eastAsia="en-US"/>
        </w:rPr>
        <w:t xml:space="preserve"> Taula ZORPETZE-RATIOAK, ENPRESEN TAMAINAREN ARABERA. 2012  (% Kanpoko Funtsak/Funts Propioak)</w:t>
      </w:r>
      <w:bookmarkEnd w:id="226"/>
      <w:bookmarkEnd w:id="227"/>
    </w:p>
    <w:tbl>
      <w:tblPr>
        <w:tblW w:w="5000" w:type="pct"/>
        <w:jc w:val="center"/>
        <w:tblBorders>
          <w:top w:val="single" w:sz="4" w:space="0" w:color="BFBFBF" w:themeColor="background1" w:themeShade="BF"/>
          <w:bottom w:val="single" w:sz="4" w:space="0" w:color="BFBFBF" w:themeColor="background1" w:themeShade="BF"/>
        </w:tblBorders>
        <w:tblLook w:val="04A0" w:firstRow="1" w:lastRow="0" w:firstColumn="1" w:lastColumn="0" w:noHBand="0" w:noVBand="1"/>
      </w:tblPr>
      <w:tblGrid>
        <w:gridCol w:w="4216"/>
        <w:gridCol w:w="4788"/>
      </w:tblGrid>
      <w:tr w:rsidR="00195BE7" w:rsidRPr="001E2F6E" w:rsidTr="00195BE7">
        <w:trPr>
          <w:jc w:val="center"/>
        </w:trPr>
        <w:tc>
          <w:tcPr>
            <w:tcW w:w="2341" w:type="pct"/>
            <w:tcBorders>
              <w:top w:val="single" w:sz="4" w:space="0" w:color="BFBFBF" w:themeColor="background1" w:themeShade="BF"/>
              <w:bottom w:val="nil"/>
              <w:right w:val="single" w:sz="4" w:space="0" w:color="BFBFBF" w:themeColor="background1" w:themeShade="BF"/>
            </w:tcBorders>
            <w:shd w:val="clear" w:color="auto" w:fill="DBE5F1" w:themeFill="accent1" w:themeFillTint="33"/>
          </w:tcPr>
          <w:p w:rsidR="00195BE7" w:rsidRPr="001E2F6E" w:rsidRDefault="00195BE7" w:rsidP="00195BE7">
            <w:pPr>
              <w:spacing w:line="240" w:lineRule="exact"/>
              <w:rPr>
                <w:b/>
                <w:sz w:val="16"/>
                <w:szCs w:val="16"/>
              </w:rPr>
            </w:pPr>
          </w:p>
        </w:tc>
        <w:tc>
          <w:tcPr>
            <w:tcW w:w="2659" w:type="pct"/>
            <w:vMerge w:val="restart"/>
            <w:tcBorders>
              <w:top w:val="single" w:sz="4" w:space="0" w:color="BFBFBF" w:themeColor="background1" w:themeShade="BF"/>
              <w:left w:val="single" w:sz="4" w:space="0" w:color="BFBFBF" w:themeColor="background1" w:themeShade="BF"/>
              <w:bottom w:val="nil"/>
              <w:right w:val="single" w:sz="4" w:space="0" w:color="BFBFBF" w:themeColor="background1" w:themeShade="BF"/>
            </w:tcBorders>
            <w:shd w:val="clear" w:color="auto" w:fill="DBE5F1" w:themeFill="accent1" w:themeFillTint="33"/>
            <w:vAlign w:val="center"/>
          </w:tcPr>
          <w:p w:rsidR="00195BE7" w:rsidRPr="001E2F6E" w:rsidRDefault="00195BE7" w:rsidP="00195BE7">
            <w:pPr>
              <w:spacing w:line="240" w:lineRule="exact"/>
              <w:jc w:val="center"/>
              <w:rPr>
                <w:b/>
                <w:sz w:val="16"/>
                <w:szCs w:val="16"/>
              </w:rPr>
            </w:pPr>
            <w:r w:rsidRPr="001E2F6E">
              <w:rPr>
                <w:b/>
                <w:sz w:val="16"/>
                <w:szCs w:val="16"/>
                <w:lang w:val="eu-ES"/>
              </w:rPr>
              <w:t>Zorpetze-ratioa</w:t>
            </w:r>
          </w:p>
        </w:tc>
      </w:tr>
      <w:tr w:rsidR="00195BE7" w:rsidRPr="001E2F6E" w:rsidTr="00195BE7">
        <w:trPr>
          <w:jc w:val="center"/>
        </w:trPr>
        <w:tc>
          <w:tcPr>
            <w:tcW w:w="2341" w:type="pct"/>
            <w:tcBorders>
              <w:top w:val="nil"/>
              <w:bottom w:val="single" w:sz="4" w:space="0" w:color="BFBFBF" w:themeColor="background1" w:themeShade="BF"/>
              <w:right w:val="single" w:sz="4" w:space="0" w:color="BFBFBF" w:themeColor="background1" w:themeShade="BF"/>
            </w:tcBorders>
            <w:shd w:val="clear" w:color="auto" w:fill="DBE5F1" w:themeFill="accent1" w:themeFillTint="33"/>
          </w:tcPr>
          <w:p w:rsidR="00195BE7" w:rsidRPr="001E2F6E" w:rsidRDefault="00195BE7" w:rsidP="00195BE7">
            <w:pPr>
              <w:spacing w:line="240" w:lineRule="exact"/>
              <w:rPr>
                <w:b/>
                <w:sz w:val="16"/>
                <w:szCs w:val="16"/>
              </w:rPr>
            </w:pPr>
          </w:p>
        </w:tc>
        <w:tc>
          <w:tcPr>
            <w:tcW w:w="2659" w:type="pct"/>
            <w:vMerge/>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tcPr>
          <w:p w:rsidR="00195BE7" w:rsidRPr="001E2F6E" w:rsidRDefault="00195BE7" w:rsidP="00195BE7">
            <w:pPr>
              <w:spacing w:line="240" w:lineRule="exact"/>
              <w:jc w:val="center"/>
              <w:rPr>
                <w:b/>
                <w:sz w:val="16"/>
                <w:szCs w:val="16"/>
              </w:rPr>
            </w:pPr>
          </w:p>
        </w:tc>
      </w:tr>
      <w:tr w:rsidR="00195BE7" w:rsidRPr="001E2F6E" w:rsidTr="00195BE7">
        <w:trPr>
          <w:jc w:val="center"/>
        </w:trPr>
        <w:tc>
          <w:tcPr>
            <w:tcW w:w="2341" w:type="pct"/>
            <w:tcBorders>
              <w:top w:val="single" w:sz="4" w:space="0" w:color="BFBFBF" w:themeColor="background1" w:themeShade="BF"/>
              <w:bottom w:val="nil"/>
              <w:right w:val="single" w:sz="4" w:space="0" w:color="BFBFBF" w:themeColor="background1" w:themeShade="BF"/>
            </w:tcBorders>
            <w:vAlign w:val="bottom"/>
          </w:tcPr>
          <w:p w:rsidR="00195BE7" w:rsidRPr="001E2F6E" w:rsidRDefault="00195BE7" w:rsidP="00195BE7">
            <w:pPr>
              <w:spacing w:line="240" w:lineRule="auto"/>
              <w:rPr>
                <w:sz w:val="16"/>
                <w:szCs w:val="16"/>
                <w:lang w:val="eu-ES"/>
              </w:rPr>
            </w:pPr>
            <w:r w:rsidRPr="001E2F6E">
              <w:rPr>
                <w:sz w:val="16"/>
                <w:szCs w:val="16"/>
                <w:lang w:val="eu-ES"/>
              </w:rPr>
              <w:t>5 enplegu arte</w:t>
            </w:r>
          </w:p>
        </w:tc>
        <w:tc>
          <w:tcPr>
            <w:tcW w:w="2659" w:type="pct"/>
            <w:tcBorders>
              <w:top w:val="single" w:sz="4" w:space="0" w:color="BFBFBF" w:themeColor="background1" w:themeShade="BF"/>
              <w:left w:val="single" w:sz="4" w:space="0" w:color="BFBFBF" w:themeColor="background1" w:themeShade="BF"/>
              <w:bottom w:val="nil"/>
              <w:right w:val="single" w:sz="4" w:space="0" w:color="BFBFBF" w:themeColor="background1" w:themeShade="BF"/>
            </w:tcBorders>
            <w:vAlign w:val="bottom"/>
          </w:tcPr>
          <w:p w:rsidR="00195BE7" w:rsidRPr="001E2F6E" w:rsidRDefault="00195BE7" w:rsidP="00195BE7">
            <w:pPr>
              <w:spacing w:line="240" w:lineRule="exact"/>
              <w:jc w:val="center"/>
              <w:rPr>
                <w:color w:val="000000"/>
                <w:sz w:val="16"/>
                <w:szCs w:val="16"/>
              </w:rPr>
            </w:pPr>
            <w:r w:rsidRPr="001E2F6E">
              <w:rPr>
                <w:color w:val="000000"/>
                <w:sz w:val="16"/>
                <w:szCs w:val="16"/>
              </w:rPr>
              <w:t>0,7</w:t>
            </w:r>
          </w:p>
        </w:tc>
      </w:tr>
      <w:tr w:rsidR="00195BE7" w:rsidRPr="001E2F6E" w:rsidTr="00195BE7">
        <w:trPr>
          <w:jc w:val="center"/>
        </w:trPr>
        <w:tc>
          <w:tcPr>
            <w:tcW w:w="2341" w:type="pct"/>
            <w:tcBorders>
              <w:top w:val="nil"/>
              <w:bottom w:val="nil"/>
              <w:right w:val="single" w:sz="4" w:space="0" w:color="BFBFBF" w:themeColor="background1" w:themeShade="BF"/>
            </w:tcBorders>
            <w:vAlign w:val="bottom"/>
          </w:tcPr>
          <w:p w:rsidR="00195BE7" w:rsidRPr="001E2F6E" w:rsidRDefault="00195BE7" w:rsidP="00195BE7">
            <w:pPr>
              <w:spacing w:line="240" w:lineRule="auto"/>
              <w:rPr>
                <w:sz w:val="16"/>
                <w:szCs w:val="16"/>
                <w:lang w:val="eu-ES"/>
              </w:rPr>
            </w:pPr>
            <w:r w:rsidRPr="001E2F6E">
              <w:rPr>
                <w:sz w:val="16"/>
                <w:szCs w:val="16"/>
                <w:lang w:val="eu-ES"/>
              </w:rPr>
              <w:t>6-15 bitarte</w:t>
            </w:r>
          </w:p>
        </w:tc>
        <w:tc>
          <w:tcPr>
            <w:tcW w:w="2659" w:type="pct"/>
            <w:tcBorders>
              <w:top w:val="nil"/>
              <w:left w:val="single" w:sz="4" w:space="0" w:color="BFBFBF" w:themeColor="background1" w:themeShade="BF"/>
              <w:bottom w:val="nil"/>
              <w:right w:val="single" w:sz="4" w:space="0" w:color="BFBFBF" w:themeColor="background1" w:themeShade="BF"/>
            </w:tcBorders>
            <w:vAlign w:val="bottom"/>
          </w:tcPr>
          <w:p w:rsidR="00195BE7" w:rsidRPr="001E2F6E" w:rsidRDefault="00195BE7" w:rsidP="00195BE7">
            <w:pPr>
              <w:spacing w:line="240" w:lineRule="exact"/>
              <w:jc w:val="center"/>
              <w:rPr>
                <w:color w:val="000000"/>
                <w:sz w:val="16"/>
                <w:szCs w:val="16"/>
              </w:rPr>
            </w:pPr>
            <w:r w:rsidRPr="001E2F6E">
              <w:rPr>
                <w:color w:val="000000"/>
                <w:sz w:val="16"/>
                <w:szCs w:val="16"/>
              </w:rPr>
              <w:t>1,3</w:t>
            </w:r>
          </w:p>
        </w:tc>
      </w:tr>
      <w:tr w:rsidR="00195BE7" w:rsidRPr="001E2F6E" w:rsidTr="00195BE7">
        <w:trPr>
          <w:jc w:val="center"/>
        </w:trPr>
        <w:tc>
          <w:tcPr>
            <w:tcW w:w="2341" w:type="pct"/>
            <w:tcBorders>
              <w:top w:val="nil"/>
              <w:bottom w:val="nil"/>
              <w:right w:val="single" w:sz="4" w:space="0" w:color="BFBFBF" w:themeColor="background1" w:themeShade="BF"/>
            </w:tcBorders>
            <w:vAlign w:val="bottom"/>
          </w:tcPr>
          <w:p w:rsidR="00195BE7" w:rsidRPr="001E2F6E" w:rsidRDefault="00195BE7" w:rsidP="00195BE7">
            <w:pPr>
              <w:spacing w:line="240" w:lineRule="auto"/>
              <w:rPr>
                <w:sz w:val="16"/>
                <w:szCs w:val="16"/>
                <w:lang w:val="eu-ES"/>
              </w:rPr>
            </w:pPr>
            <w:r w:rsidRPr="001E2F6E">
              <w:rPr>
                <w:sz w:val="16"/>
                <w:szCs w:val="16"/>
                <w:lang w:val="eu-ES"/>
              </w:rPr>
              <w:t>16-50 bitarte</w:t>
            </w:r>
          </w:p>
        </w:tc>
        <w:tc>
          <w:tcPr>
            <w:tcW w:w="2659" w:type="pct"/>
            <w:tcBorders>
              <w:top w:val="nil"/>
              <w:left w:val="single" w:sz="4" w:space="0" w:color="BFBFBF" w:themeColor="background1" w:themeShade="BF"/>
              <w:bottom w:val="nil"/>
              <w:right w:val="single" w:sz="4" w:space="0" w:color="BFBFBF" w:themeColor="background1" w:themeShade="BF"/>
            </w:tcBorders>
            <w:vAlign w:val="bottom"/>
          </w:tcPr>
          <w:p w:rsidR="00195BE7" w:rsidRPr="001E2F6E" w:rsidRDefault="00195BE7" w:rsidP="00195BE7">
            <w:pPr>
              <w:spacing w:line="240" w:lineRule="exact"/>
              <w:jc w:val="center"/>
              <w:rPr>
                <w:color w:val="000000"/>
                <w:sz w:val="16"/>
                <w:szCs w:val="16"/>
              </w:rPr>
            </w:pPr>
            <w:r w:rsidRPr="001E2F6E">
              <w:rPr>
                <w:color w:val="000000"/>
                <w:sz w:val="16"/>
                <w:szCs w:val="16"/>
              </w:rPr>
              <w:t>3,3</w:t>
            </w:r>
          </w:p>
        </w:tc>
      </w:tr>
      <w:tr w:rsidR="00195BE7" w:rsidRPr="001E2F6E" w:rsidTr="00195BE7">
        <w:trPr>
          <w:jc w:val="center"/>
        </w:trPr>
        <w:tc>
          <w:tcPr>
            <w:tcW w:w="2341" w:type="pct"/>
            <w:tcBorders>
              <w:top w:val="nil"/>
              <w:bottom w:val="nil"/>
              <w:right w:val="single" w:sz="4" w:space="0" w:color="BFBFBF" w:themeColor="background1" w:themeShade="BF"/>
            </w:tcBorders>
            <w:vAlign w:val="bottom"/>
          </w:tcPr>
          <w:p w:rsidR="00195BE7" w:rsidRPr="001E2F6E" w:rsidRDefault="00195BE7" w:rsidP="00195BE7">
            <w:pPr>
              <w:spacing w:line="240" w:lineRule="auto"/>
              <w:rPr>
                <w:sz w:val="16"/>
                <w:szCs w:val="16"/>
                <w:lang w:val="eu-ES"/>
              </w:rPr>
            </w:pPr>
            <w:r w:rsidRPr="001E2F6E">
              <w:rPr>
                <w:sz w:val="16"/>
                <w:szCs w:val="16"/>
                <w:lang w:val="eu-ES"/>
              </w:rPr>
              <w:t>51-100 bitarte</w:t>
            </w:r>
          </w:p>
        </w:tc>
        <w:tc>
          <w:tcPr>
            <w:tcW w:w="2659" w:type="pct"/>
            <w:tcBorders>
              <w:top w:val="nil"/>
              <w:left w:val="single" w:sz="4" w:space="0" w:color="BFBFBF" w:themeColor="background1" w:themeShade="BF"/>
              <w:bottom w:val="nil"/>
              <w:right w:val="single" w:sz="4" w:space="0" w:color="BFBFBF" w:themeColor="background1" w:themeShade="BF"/>
            </w:tcBorders>
            <w:vAlign w:val="bottom"/>
          </w:tcPr>
          <w:p w:rsidR="00195BE7" w:rsidRPr="001E2F6E" w:rsidRDefault="00195BE7" w:rsidP="00195BE7">
            <w:pPr>
              <w:spacing w:line="240" w:lineRule="exact"/>
              <w:jc w:val="center"/>
              <w:rPr>
                <w:color w:val="000000"/>
                <w:sz w:val="16"/>
                <w:szCs w:val="16"/>
              </w:rPr>
            </w:pPr>
            <w:r w:rsidRPr="001E2F6E">
              <w:rPr>
                <w:color w:val="000000"/>
                <w:sz w:val="16"/>
                <w:szCs w:val="16"/>
              </w:rPr>
              <w:t>1,6</w:t>
            </w:r>
          </w:p>
        </w:tc>
      </w:tr>
      <w:tr w:rsidR="00195BE7" w:rsidRPr="001E2F6E" w:rsidTr="00195BE7">
        <w:trPr>
          <w:jc w:val="center"/>
        </w:trPr>
        <w:tc>
          <w:tcPr>
            <w:tcW w:w="2341" w:type="pct"/>
            <w:tcBorders>
              <w:top w:val="nil"/>
              <w:bottom w:val="nil"/>
              <w:right w:val="single" w:sz="4" w:space="0" w:color="BFBFBF" w:themeColor="background1" w:themeShade="BF"/>
            </w:tcBorders>
            <w:vAlign w:val="bottom"/>
          </w:tcPr>
          <w:p w:rsidR="00195BE7" w:rsidRPr="001E2F6E" w:rsidRDefault="00195BE7" w:rsidP="00195BE7">
            <w:pPr>
              <w:spacing w:line="240" w:lineRule="auto"/>
              <w:rPr>
                <w:sz w:val="16"/>
                <w:szCs w:val="16"/>
                <w:lang w:val="eu-ES"/>
              </w:rPr>
            </w:pPr>
            <w:r w:rsidRPr="001E2F6E">
              <w:rPr>
                <w:sz w:val="16"/>
                <w:szCs w:val="16"/>
                <w:lang w:val="eu-ES"/>
              </w:rPr>
              <w:t>101-200 bitarte</w:t>
            </w:r>
          </w:p>
        </w:tc>
        <w:tc>
          <w:tcPr>
            <w:tcW w:w="2659" w:type="pct"/>
            <w:tcBorders>
              <w:top w:val="nil"/>
              <w:left w:val="single" w:sz="4" w:space="0" w:color="BFBFBF" w:themeColor="background1" w:themeShade="BF"/>
              <w:bottom w:val="nil"/>
              <w:right w:val="single" w:sz="4" w:space="0" w:color="BFBFBF" w:themeColor="background1" w:themeShade="BF"/>
            </w:tcBorders>
            <w:vAlign w:val="bottom"/>
          </w:tcPr>
          <w:p w:rsidR="00195BE7" w:rsidRPr="001E2F6E" w:rsidRDefault="00195BE7" w:rsidP="00195BE7">
            <w:pPr>
              <w:spacing w:line="240" w:lineRule="exact"/>
              <w:jc w:val="center"/>
              <w:rPr>
                <w:color w:val="000000"/>
                <w:sz w:val="16"/>
                <w:szCs w:val="16"/>
              </w:rPr>
            </w:pPr>
            <w:r w:rsidRPr="001E2F6E">
              <w:rPr>
                <w:color w:val="000000"/>
                <w:sz w:val="16"/>
                <w:szCs w:val="16"/>
              </w:rPr>
              <w:t>1,0</w:t>
            </w:r>
          </w:p>
        </w:tc>
      </w:tr>
      <w:tr w:rsidR="00195BE7" w:rsidRPr="001E2F6E" w:rsidTr="00195BE7">
        <w:trPr>
          <w:jc w:val="center"/>
        </w:trPr>
        <w:tc>
          <w:tcPr>
            <w:tcW w:w="2341" w:type="pct"/>
            <w:tcBorders>
              <w:top w:val="nil"/>
              <w:bottom w:val="nil"/>
              <w:right w:val="single" w:sz="4" w:space="0" w:color="BFBFBF" w:themeColor="background1" w:themeShade="BF"/>
            </w:tcBorders>
            <w:vAlign w:val="bottom"/>
          </w:tcPr>
          <w:p w:rsidR="00195BE7" w:rsidRPr="001E2F6E" w:rsidRDefault="00195BE7" w:rsidP="00195BE7">
            <w:pPr>
              <w:spacing w:line="240" w:lineRule="auto"/>
              <w:rPr>
                <w:sz w:val="16"/>
                <w:szCs w:val="16"/>
                <w:lang w:val="eu-ES"/>
              </w:rPr>
            </w:pPr>
            <w:r w:rsidRPr="001E2F6E">
              <w:rPr>
                <w:sz w:val="16"/>
                <w:szCs w:val="16"/>
                <w:lang w:val="eu-ES"/>
              </w:rPr>
              <w:t>201-500 bitarte</w:t>
            </w:r>
          </w:p>
        </w:tc>
        <w:tc>
          <w:tcPr>
            <w:tcW w:w="2659" w:type="pct"/>
            <w:tcBorders>
              <w:top w:val="nil"/>
              <w:left w:val="single" w:sz="4" w:space="0" w:color="BFBFBF" w:themeColor="background1" w:themeShade="BF"/>
              <w:bottom w:val="nil"/>
              <w:right w:val="single" w:sz="4" w:space="0" w:color="BFBFBF" w:themeColor="background1" w:themeShade="BF"/>
            </w:tcBorders>
            <w:vAlign w:val="bottom"/>
          </w:tcPr>
          <w:p w:rsidR="00195BE7" w:rsidRPr="001E2F6E" w:rsidRDefault="00195BE7" w:rsidP="00195BE7">
            <w:pPr>
              <w:spacing w:line="240" w:lineRule="exact"/>
              <w:jc w:val="center"/>
              <w:rPr>
                <w:color w:val="000000"/>
                <w:sz w:val="16"/>
                <w:szCs w:val="16"/>
              </w:rPr>
            </w:pPr>
            <w:r w:rsidRPr="001E2F6E">
              <w:rPr>
                <w:color w:val="000000"/>
                <w:sz w:val="16"/>
                <w:szCs w:val="16"/>
              </w:rPr>
              <w:t>3,9</w:t>
            </w:r>
          </w:p>
        </w:tc>
      </w:tr>
      <w:tr w:rsidR="00195BE7" w:rsidRPr="001E2F6E" w:rsidTr="00195BE7">
        <w:trPr>
          <w:jc w:val="center"/>
        </w:trPr>
        <w:tc>
          <w:tcPr>
            <w:tcW w:w="2341" w:type="pct"/>
            <w:tcBorders>
              <w:top w:val="nil"/>
              <w:bottom w:val="single" w:sz="4" w:space="0" w:color="BFBFBF" w:themeColor="background1" w:themeShade="BF"/>
              <w:right w:val="single" w:sz="4" w:space="0" w:color="BFBFBF" w:themeColor="background1" w:themeShade="BF"/>
            </w:tcBorders>
            <w:vAlign w:val="bottom"/>
          </w:tcPr>
          <w:p w:rsidR="00195BE7" w:rsidRPr="001E2F6E" w:rsidRDefault="00195BE7" w:rsidP="00195BE7">
            <w:pPr>
              <w:spacing w:line="240" w:lineRule="auto"/>
              <w:rPr>
                <w:sz w:val="16"/>
                <w:szCs w:val="16"/>
                <w:lang w:val="eu-ES"/>
              </w:rPr>
            </w:pPr>
            <w:r w:rsidRPr="001E2F6E">
              <w:rPr>
                <w:sz w:val="16"/>
                <w:szCs w:val="16"/>
                <w:lang w:val="eu-ES"/>
              </w:rPr>
              <w:t>500 baino gehiago</w:t>
            </w:r>
          </w:p>
        </w:tc>
        <w:tc>
          <w:tcPr>
            <w:tcW w:w="2659" w:type="pct"/>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vAlign w:val="bottom"/>
          </w:tcPr>
          <w:p w:rsidR="00195BE7" w:rsidRPr="001E2F6E" w:rsidRDefault="00195BE7" w:rsidP="00195BE7">
            <w:pPr>
              <w:spacing w:line="240" w:lineRule="exact"/>
              <w:jc w:val="center"/>
              <w:rPr>
                <w:color w:val="000000"/>
                <w:sz w:val="16"/>
                <w:szCs w:val="16"/>
              </w:rPr>
            </w:pPr>
            <w:r w:rsidRPr="001E2F6E">
              <w:rPr>
                <w:color w:val="000000"/>
                <w:sz w:val="16"/>
                <w:szCs w:val="16"/>
              </w:rPr>
              <w:t>4,9</w:t>
            </w:r>
          </w:p>
        </w:tc>
      </w:tr>
      <w:tr w:rsidR="00195BE7" w:rsidRPr="001E2F6E" w:rsidTr="00195BE7">
        <w:trPr>
          <w:jc w:val="center"/>
        </w:trPr>
        <w:tc>
          <w:tcPr>
            <w:tcW w:w="2341" w:type="pct"/>
            <w:tcBorders>
              <w:top w:val="single" w:sz="4" w:space="0" w:color="BFBFBF" w:themeColor="background1" w:themeShade="BF"/>
              <w:bottom w:val="single" w:sz="4" w:space="0" w:color="BFBFBF" w:themeColor="background1" w:themeShade="BF"/>
              <w:right w:val="single" w:sz="4" w:space="0" w:color="BFBFBF" w:themeColor="background1" w:themeShade="BF"/>
            </w:tcBorders>
            <w:vAlign w:val="bottom"/>
          </w:tcPr>
          <w:p w:rsidR="00195BE7" w:rsidRPr="001E2F6E" w:rsidRDefault="00195BE7" w:rsidP="00195BE7">
            <w:pPr>
              <w:spacing w:line="240" w:lineRule="auto"/>
              <w:rPr>
                <w:b/>
                <w:sz w:val="16"/>
                <w:szCs w:val="16"/>
                <w:lang w:val="eu-ES"/>
              </w:rPr>
            </w:pPr>
            <w:r w:rsidRPr="001E2F6E">
              <w:rPr>
                <w:b/>
                <w:bCs/>
                <w:sz w:val="16"/>
                <w:szCs w:val="16"/>
                <w:lang w:val="eu-ES"/>
              </w:rPr>
              <w:t>GUZTIRA</w:t>
            </w:r>
          </w:p>
        </w:tc>
        <w:tc>
          <w:tcPr>
            <w:tcW w:w="265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bottom"/>
          </w:tcPr>
          <w:p w:rsidR="00195BE7" w:rsidRPr="001E2F6E" w:rsidRDefault="00195BE7" w:rsidP="00195BE7">
            <w:pPr>
              <w:spacing w:line="240" w:lineRule="exact"/>
              <w:jc w:val="center"/>
              <w:rPr>
                <w:b/>
                <w:color w:val="000000"/>
                <w:sz w:val="16"/>
                <w:szCs w:val="16"/>
              </w:rPr>
            </w:pPr>
            <w:r w:rsidRPr="001E2F6E">
              <w:rPr>
                <w:b/>
                <w:sz w:val="16"/>
                <w:szCs w:val="16"/>
              </w:rPr>
              <w:t>3,7</w:t>
            </w:r>
          </w:p>
        </w:tc>
      </w:tr>
    </w:tbl>
    <w:p w:rsidR="00195BE7" w:rsidRPr="001E2F6E" w:rsidRDefault="00195BE7" w:rsidP="00195BE7">
      <w:pPr>
        <w:jc w:val="center"/>
        <w:rPr>
          <w:b/>
          <w:color w:val="1F497D" w:themeColor="text2"/>
          <w:sz w:val="18"/>
          <w:szCs w:val="18"/>
        </w:rPr>
      </w:pPr>
    </w:p>
    <w:p w:rsidR="00195BE7" w:rsidRPr="001E2F6E" w:rsidRDefault="00195BE7" w:rsidP="00195BE7"/>
    <w:p w:rsidR="00195BE7" w:rsidRPr="001E2F6E" w:rsidRDefault="00195BE7" w:rsidP="00195BE7">
      <w:pPr>
        <w:pStyle w:val="Ttulo1"/>
        <w:ind w:left="708" w:hanging="708"/>
        <w:rPr>
          <w:color w:val="1F497D" w:themeColor="text2"/>
          <w:sz w:val="22"/>
          <w:szCs w:val="22"/>
        </w:rPr>
      </w:pPr>
      <w:bookmarkStart w:id="228" w:name="_Toc391989023"/>
      <w:bookmarkStart w:id="229" w:name="_Toc392585686"/>
      <w:r w:rsidRPr="001E2F6E">
        <w:rPr>
          <w:color w:val="1F497D" w:themeColor="text2"/>
          <w:sz w:val="22"/>
          <w:szCs w:val="22"/>
        </w:rPr>
        <w:t>5.2.-</w:t>
      </w:r>
      <w:r w:rsidRPr="001E2F6E">
        <w:rPr>
          <w:color w:val="1F497D" w:themeColor="text2"/>
          <w:sz w:val="22"/>
          <w:szCs w:val="22"/>
        </w:rPr>
        <w:tab/>
      </w:r>
      <w:r w:rsidRPr="001E2F6E">
        <w:rPr>
          <w:color w:val="1F497D" w:themeColor="text2"/>
          <w:sz w:val="22"/>
          <w:szCs w:val="22"/>
          <w:lang w:val="eu-ES"/>
        </w:rPr>
        <w:t>GIZARTE-EKONOMIAREN ALORREKO ENPRESEN INBESTIMENDUA ETA ADMINISTRAZIO PUBLIKOEN FINANTZIAZIOA</w:t>
      </w:r>
      <w:bookmarkEnd w:id="228"/>
      <w:bookmarkEnd w:id="229"/>
    </w:p>
    <w:p w:rsidR="00195BE7" w:rsidRPr="001E2F6E" w:rsidRDefault="00195BE7" w:rsidP="00195BE7"/>
    <w:p w:rsidR="00195BE7" w:rsidRPr="001E2F6E" w:rsidRDefault="00195BE7" w:rsidP="00195BE7"/>
    <w:p w:rsidR="00195BE7" w:rsidRPr="001E2F6E" w:rsidRDefault="00195BE7" w:rsidP="00195BE7">
      <w:pPr>
        <w:spacing w:line="240" w:lineRule="auto"/>
        <w:rPr>
          <w:b/>
          <w:color w:val="1F497D" w:themeColor="text2"/>
        </w:rPr>
      </w:pPr>
      <w:r w:rsidRPr="001E2F6E">
        <w:rPr>
          <w:b/>
          <w:color w:val="1F497D" w:themeColor="text2"/>
        </w:rPr>
        <w:t xml:space="preserve">A. </w:t>
      </w:r>
      <w:r w:rsidRPr="001E2F6E">
        <w:rPr>
          <w:b/>
          <w:color w:val="1F497D" w:themeColor="text2"/>
          <w:lang w:val="eu-ES"/>
        </w:rPr>
        <w:t>Ibilgetu Materialean egindako Inbestimendua</w:t>
      </w:r>
    </w:p>
    <w:p w:rsidR="00195BE7" w:rsidRPr="001E2F6E" w:rsidRDefault="00195BE7" w:rsidP="00195BE7"/>
    <w:p w:rsidR="00195BE7" w:rsidRPr="001E2F6E" w:rsidRDefault="00195BE7" w:rsidP="00195BE7">
      <w:pPr>
        <w:spacing w:line="240" w:lineRule="auto"/>
        <w:jc w:val="center"/>
        <w:rPr>
          <w:b/>
          <w:color w:val="1F497D" w:themeColor="text2"/>
          <w:sz w:val="18"/>
          <w:szCs w:val="18"/>
        </w:rPr>
      </w:pPr>
      <w:bookmarkStart w:id="230" w:name="_Toc391989133"/>
      <w:bookmarkStart w:id="231" w:name="_Toc392585798"/>
      <w:r w:rsidRPr="001E2F6E">
        <w:rPr>
          <w:b/>
          <w:color w:val="1F497D" w:themeColor="text2"/>
          <w:sz w:val="18"/>
          <w:szCs w:val="18"/>
        </w:rPr>
        <w:t>1.</w:t>
      </w:r>
      <w:r w:rsidR="00EB6BA6" w:rsidRPr="001E2F6E">
        <w:rPr>
          <w:b/>
          <w:color w:val="1F497D" w:themeColor="text2"/>
          <w:sz w:val="18"/>
          <w:szCs w:val="18"/>
        </w:rPr>
        <w:fldChar w:fldCharType="begin"/>
      </w:r>
      <w:r w:rsidRPr="001E2F6E">
        <w:rPr>
          <w:b/>
          <w:color w:val="1F497D" w:themeColor="text2"/>
          <w:sz w:val="18"/>
          <w:szCs w:val="18"/>
        </w:rPr>
        <w:instrText xml:space="preserve"> SEQ Cuadro_1. \* ARABIC </w:instrText>
      </w:r>
      <w:r w:rsidR="00EB6BA6" w:rsidRPr="001E2F6E">
        <w:rPr>
          <w:b/>
          <w:color w:val="1F497D" w:themeColor="text2"/>
          <w:sz w:val="18"/>
          <w:szCs w:val="18"/>
        </w:rPr>
        <w:fldChar w:fldCharType="separate"/>
      </w:r>
      <w:r w:rsidR="00A327D4">
        <w:rPr>
          <w:b/>
          <w:noProof/>
          <w:color w:val="1F497D" w:themeColor="text2"/>
          <w:sz w:val="18"/>
          <w:szCs w:val="18"/>
        </w:rPr>
        <w:t>63</w:t>
      </w:r>
      <w:r w:rsidR="00EB6BA6" w:rsidRPr="001E2F6E">
        <w:rPr>
          <w:b/>
          <w:color w:val="1F497D" w:themeColor="text2"/>
          <w:sz w:val="18"/>
          <w:szCs w:val="18"/>
        </w:rPr>
        <w:fldChar w:fldCharType="end"/>
      </w:r>
      <w:r w:rsidRPr="001E2F6E">
        <w:rPr>
          <w:b/>
          <w:color w:val="1F497D" w:themeColor="text2"/>
          <w:sz w:val="18"/>
          <w:szCs w:val="18"/>
        </w:rPr>
        <w:t xml:space="preserve"> Taula GIZARTE-EKONOMIAREN INBESTIMENDU MATERIALEN ARLOZ ARLOKO BANAKETA, FORMA JURIDIKOAREN ARABERA. 2012 (</w:t>
      </w:r>
      <w:r w:rsidR="00462130" w:rsidRPr="001E2F6E">
        <w:rPr>
          <w:b/>
          <w:color w:val="1F497D" w:themeColor="text2"/>
          <w:sz w:val="18"/>
          <w:szCs w:val="18"/>
        </w:rPr>
        <w:t xml:space="preserve">zifra absolutuak </w:t>
      </w:r>
      <w:r w:rsidRPr="001E2F6E">
        <w:rPr>
          <w:b/>
          <w:color w:val="1F497D" w:themeColor="text2"/>
          <w:sz w:val="18"/>
          <w:szCs w:val="18"/>
        </w:rPr>
        <w:t>euroan eta % bertikalak)</w:t>
      </w:r>
      <w:bookmarkEnd w:id="230"/>
      <w:bookmarkEnd w:id="231"/>
    </w:p>
    <w:tbl>
      <w:tblPr>
        <w:tblW w:w="5000" w:type="pct"/>
        <w:jc w:val="center"/>
        <w:tblCellMar>
          <w:left w:w="70" w:type="dxa"/>
          <w:right w:w="70" w:type="dxa"/>
        </w:tblCellMar>
        <w:tblLook w:val="04A0" w:firstRow="1" w:lastRow="0" w:firstColumn="1" w:lastColumn="0" w:noHBand="0" w:noVBand="1"/>
      </w:tblPr>
      <w:tblGrid>
        <w:gridCol w:w="1364"/>
        <w:gridCol w:w="1245"/>
        <w:gridCol w:w="661"/>
        <w:gridCol w:w="1200"/>
        <w:gridCol w:w="716"/>
        <w:gridCol w:w="1228"/>
        <w:gridCol w:w="627"/>
        <w:gridCol w:w="1228"/>
        <w:gridCol w:w="659"/>
      </w:tblGrid>
      <w:tr w:rsidR="00195BE7" w:rsidRPr="001E2F6E" w:rsidTr="00195BE7">
        <w:trPr>
          <w:jc w:val="center"/>
        </w:trPr>
        <w:tc>
          <w:tcPr>
            <w:tcW w:w="764" w:type="pct"/>
            <w:vMerge w:val="restart"/>
            <w:tcBorders>
              <w:top w:val="single" w:sz="8" w:space="0" w:color="BFBFBF"/>
              <w:left w:val="nil"/>
              <w:bottom w:val="single" w:sz="8" w:space="0" w:color="BFBFBF"/>
              <w:right w:val="single" w:sz="4" w:space="0" w:color="BFBFBF" w:themeColor="background1" w:themeShade="BF"/>
            </w:tcBorders>
            <w:shd w:val="clear" w:color="000000" w:fill="DBE5F1"/>
            <w:hideMark/>
          </w:tcPr>
          <w:p w:rsidR="00195BE7" w:rsidRPr="001E2F6E" w:rsidRDefault="00195BE7" w:rsidP="00195BE7">
            <w:pPr>
              <w:spacing w:line="240" w:lineRule="exact"/>
              <w:rPr>
                <w:rFonts w:ascii="Calibri" w:hAnsi="Calibri"/>
                <w:color w:val="000000"/>
              </w:rPr>
            </w:pPr>
            <w:r w:rsidRPr="001E2F6E">
              <w:rPr>
                <w:rFonts w:ascii="Calibri" w:hAnsi="Calibri"/>
                <w:color w:val="000000"/>
              </w:rPr>
              <w:t> </w:t>
            </w:r>
          </w:p>
        </w:tc>
        <w:tc>
          <w:tcPr>
            <w:tcW w:w="1067" w:type="pct"/>
            <w:gridSpan w:val="2"/>
            <w:tcBorders>
              <w:top w:val="single" w:sz="8" w:space="0" w:color="BFBFBF"/>
              <w:left w:val="single" w:sz="4" w:space="0" w:color="BFBFBF" w:themeColor="background1" w:themeShade="BF"/>
              <w:bottom w:val="single" w:sz="8" w:space="0" w:color="BFBFBF"/>
              <w:right w:val="single" w:sz="4" w:space="0" w:color="BFBFBF" w:themeColor="background1" w:themeShade="BF"/>
            </w:tcBorders>
            <w:shd w:val="clear" w:color="000000" w:fill="DBE5F1"/>
            <w:hideMark/>
          </w:tcPr>
          <w:p w:rsidR="00195BE7" w:rsidRPr="001E2F6E" w:rsidRDefault="00195BE7" w:rsidP="00195BE7">
            <w:pPr>
              <w:spacing w:line="240" w:lineRule="exact"/>
              <w:jc w:val="center"/>
              <w:rPr>
                <w:b/>
                <w:bCs/>
                <w:sz w:val="16"/>
                <w:szCs w:val="16"/>
              </w:rPr>
            </w:pPr>
            <w:r w:rsidRPr="001E2F6E">
              <w:rPr>
                <w:b/>
                <w:bCs/>
                <w:sz w:val="16"/>
                <w:szCs w:val="16"/>
                <w:lang w:val="en-GB"/>
              </w:rPr>
              <w:t>GUZTIRA</w:t>
            </w:r>
          </w:p>
        </w:tc>
        <w:tc>
          <w:tcPr>
            <w:tcW w:w="1073" w:type="pct"/>
            <w:gridSpan w:val="2"/>
            <w:tcBorders>
              <w:top w:val="single" w:sz="8" w:space="0" w:color="BFBFBF"/>
              <w:left w:val="single" w:sz="4" w:space="0" w:color="BFBFBF" w:themeColor="background1" w:themeShade="BF"/>
              <w:bottom w:val="single" w:sz="8" w:space="0" w:color="BFBFBF"/>
              <w:right w:val="single" w:sz="4" w:space="0" w:color="BFBFBF" w:themeColor="background1" w:themeShade="BF"/>
            </w:tcBorders>
            <w:shd w:val="clear" w:color="000000" w:fill="DBE5F1"/>
            <w:hideMark/>
          </w:tcPr>
          <w:p w:rsidR="00195BE7" w:rsidRPr="001E2F6E" w:rsidRDefault="00195BE7" w:rsidP="00195BE7">
            <w:pPr>
              <w:spacing w:line="240" w:lineRule="exact"/>
              <w:jc w:val="center"/>
              <w:rPr>
                <w:b/>
                <w:bCs/>
                <w:sz w:val="16"/>
                <w:szCs w:val="16"/>
              </w:rPr>
            </w:pPr>
            <w:r w:rsidRPr="001E2F6E">
              <w:rPr>
                <w:b/>
                <w:bCs/>
                <w:sz w:val="16"/>
                <w:szCs w:val="16"/>
                <w:lang w:val="en-GB"/>
              </w:rPr>
              <w:t>Koop.</w:t>
            </w:r>
          </w:p>
        </w:tc>
        <w:tc>
          <w:tcPr>
            <w:tcW w:w="1039" w:type="pct"/>
            <w:gridSpan w:val="2"/>
            <w:tcBorders>
              <w:top w:val="single" w:sz="8" w:space="0" w:color="BFBFBF"/>
              <w:left w:val="single" w:sz="4" w:space="0" w:color="BFBFBF" w:themeColor="background1" w:themeShade="BF"/>
              <w:bottom w:val="single" w:sz="8" w:space="0" w:color="BFBFBF"/>
              <w:right w:val="single" w:sz="4" w:space="0" w:color="BFBFBF" w:themeColor="background1" w:themeShade="BF"/>
            </w:tcBorders>
            <w:shd w:val="clear" w:color="000000" w:fill="DBE5F1"/>
            <w:hideMark/>
          </w:tcPr>
          <w:p w:rsidR="00195BE7" w:rsidRPr="001E2F6E" w:rsidRDefault="00195BE7" w:rsidP="00195BE7">
            <w:pPr>
              <w:spacing w:line="240" w:lineRule="exact"/>
              <w:jc w:val="center"/>
              <w:rPr>
                <w:b/>
                <w:bCs/>
                <w:sz w:val="16"/>
                <w:szCs w:val="16"/>
              </w:rPr>
            </w:pPr>
            <w:r w:rsidRPr="001E2F6E">
              <w:rPr>
                <w:b/>
                <w:bCs/>
                <w:sz w:val="16"/>
                <w:szCs w:val="16"/>
                <w:lang w:val="en-GB"/>
              </w:rPr>
              <w:t>LSA</w:t>
            </w:r>
          </w:p>
        </w:tc>
        <w:tc>
          <w:tcPr>
            <w:tcW w:w="1057" w:type="pct"/>
            <w:gridSpan w:val="2"/>
            <w:tcBorders>
              <w:top w:val="single" w:sz="8" w:space="0" w:color="BFBFBF"/>
              <w:left w:val="single" w:sz="4" w:space="0" w:color="BFBFBF" w:themeColor="background1" w:themeShade="BF"/>
              <w:bottom w:val="single" w:sz="8" w:space="0" w:color="BFBFBF"/>
              <w:right w:val="nil"/>
            </w:tcBorders>
            <w:shd w:val="clear" w:color="000000" w:fill="DBE5F1"/>
            <w:hideMark/>
          </w:tcPr>
          <w:p w:rsidR="00195BE7" w:rsidRPr="001E2F6E" w:rsidRDefault="00195BE7" w:rsidP="00195BE7">
            <w:pPr>
              <w:spacing w:line="240" w:lineRule="exact"/>
              <w:jc w:val="center"/>
              <w:rPr>
                <w:b/>
                <w:bCs/>
                <w:sz w:val="16"/>
                <w:szCs w:val="16"/>
              </w:rPr>
            </w:pPr>
            <w:r w:rsidRPr="001E2F6E">
              <w:rPr>
                <w:b/>
                <w:bCs/>
                <w:sz w:val="16"/>
                <w:szCs w:val="16"/>
                <w:lang w:val="en-GB"/>
              </w:rPr>
              <w:t>LSM</w:t>
            </w:r>
          </w:p>
        </w:tc>
      </w:tr>
      <w:tr w:rsidR="00195BE7" w:rsidRPr="001E2F6E" w:rsidTr="00195BE7">
        <w:trPr>
          <w:jc w:val="center"/>
        </w:trPr>
        <w:tc>
          <w:tcPr>
            <w:tcW w:w="764" w:type="pct"/>
            <w:vMerge/>
            <w:tcBorders>
              <w:top w:val="single" w:sz="8" w:space="0" w:color="BFBFBF"/>
              <w:left w:val="nil"/>
              <w:bottom w:val="single" w:sz="8" w:space="0" w:color="BFBFBF"/>
              <w:right w:val="single" w:sz="4" w:space="0" w:color="BFBFBF" w:themeColor="background1" w:themeShade="BF"/>
            </w:tcBorders>
            <w:vAlign w:val="center"/>
            <w:hideMark/>
          </w:tcPr>
          <w:p w:rsidR="00195BE7" w:rsidRPr="001E2F6E" w:rsidRDefault="00195BE7" w:rsidP="00195BE7">
            <w:pPr>
              <w:spacing w:line="240" w:lineRule="exact"/>
              <w:rPr>
                <w:rFonts w:ascii="Calibri" w:hAnsi="Calibri"/>
                <w:color w:val="000000"/>
              </w:rPr>
            </w:pPr>
          </w:p>
        </w:tc>
        <w:tc>
          <w:tcPr>
            <w:tcW w:w="697" w:type="pct"/>
            <w:tcBorders>
              <w:top w:val="nil"/>
              <w:left w:val="single" w:sz="4" w:space="0" w:color="BFBFBF" w:themeColor="background1" w:themeShade="BF"/>
              <w:bottom w:val="single" w:sz="8" w:space="0" w:color="BFBFBF"/>
            </w:tcBorders>
            <w:shd w:val="clear" w:color="000000" w:fill="DBE5F1"/>
            <w:hideMark/>
          </w:tcPr>
          <w:p w:rsidR="00195BE7" w:rsidRPr="001E2F6E" w:rsidRDefault="00195BE7" w:rsidP="00195BE7">
            <w:pPr>
              <w:spacing w:line="240" w:lineRule="exact"/>
              <w:jc w:val="center"/>
              <w:rPr>
                <w:rFonts w:eastAsia="Times New Roman"/>
                <w:b/>
                <w:bCs/>
                <w:color w:val="000000"/>
                <w:sz w:val="16"/>
                <w:szCs w:val="16"/>
                <w:lang w:eastAsia="es-ES"/>
              </w:rPr>
            </w:pPr>
            <w:r w:rsidRPr="001E2F6E">
              <w:rPr>
                <w:rFonts w:eastAsia="Times New Roman"/>
                <w:b/>
                <w:bCs/>
                <w:color w:val="000000"/>
                <w:sz w:val="16"/>
                <w:szCs w:val="16"/>
                <w:lang w:eastAsia="es-ES"/>
              </w:rPr>
              <w:t>z.a.</w:t>
            </w:r>
          </w:p>
        </w:tc>
        <w:tc>
          <w:tcPr>
            <w:tcW w:w="370" w:type="pct"/>
            <w:tcBorders>
              <w:top w:val="nil"/>
              <w:left w:val="nil"/>
              <w:bottom w:val="single" w:sz="8" w:space="0" w:color="BFBFBF"/>
              <w:right w:val="single" w:sz="4" w:space="0" w:color="BFBFBF" w:themeColor="background1" w:themeShade="BF"/>
            </w:tcBorders>
            <w:shd w:val="clear" w:color="000000" w:fill="DBE5F1"/>
            <w:hideMark/>
          </w:tcPr>
          <w:p w:rsidR="00195BE7" w:rsidRPr="001E2F6E" w:rsidRDefault="00195BE7" w:rsidP="00195BE7">
            <w:pPr>
              <w:spacing w:line="240" w:lineRule="exact"/>
              <w:jc w:val="center"/>
              <w:rPr>
                <w:rFonts w:eastAsia="Times New Roman"/>
                <w:b/>
                <w:bCs/>
                <w:color w:val="000000"/>
                <w:sz w:val="16"/>
                <w:szCs w:val="16"/>
                <w:lang w:eastAsia="es-ES"/>
              </w:rPr>
            </w:pPr>
            <w:r w:rsidRPr="001E2F6E">
              <w:rPr>
                <w:rFonts w:eastAsia="Times New Roman"/>
                <w:b/>
                <w:bCs/>
                <w:color w:val="000000"/>
                <w:sz w:val="16"/>
                <w:szCs w:val="16"/>
                <w:lang w:eastAsia="es-ES"/>
              </w:rPr>
              <w:t>%ber.</w:t>
            </w:r>
          </w:p>
        </w:tc>
        <w:tc>
          <w:tcPr>
            <w:tcW w:w="672" w:type="pct"/>
            <w:tcBorders>
              <w:top w:val="nil"/>
              <w:left w:val="single" w:sz="4" w:space="0" w:color="BFBFBF" w:themeColor="background1" w:themeShade="BF"/>
              <w:bottom w:val="single" w:sz="8" w:space="0" w:color="BFBFBF"/>
            </w:tcBorders>
            <w:shd w:val="clear" w:color="000000" w:fill="DBE5F1"/>
            <w:hideMark/>
          </w:tcPr>
          <w:p w:rsidR="00195BE7" w:rsidRPr="001E2F6E" w:rsidRDefault="00195BE7" w:rsidP="00195BE7">
            <w:pPr>
              <w:spacing w:line="240" w:lineRule="exact"/>
              <w:jc w:val="center"/>
              <w:rPr>
                <w:rFonts w:eastAsia="Times New Roman"/>
                <w:b/>
                <w:bCs/>
                <w:color w:val="000000"/>
                <w:sz w:val="16"/>
                <w:szCs w:val="16"/>
                <w:lang w:eastAsia="es-ES"/>
              </w:rPr>
            </w:pPr>
            <w:r w:rsidRPr="001E2F6E">
              <w:rPr>
                <w:rFonts w:eastAsia="Times New Roman"/>
                <w:b/>
                <w:bCs/>
                <w:color w:val="000000"/>
                <w:sz w:val="16"/>
                <w:szCs w:val="16"/>
                <w:lang w:eastAsia="es-ES"/>
              </w:rPr>
              <w:t>z.a.</w:t>
            </w:r>
          </w:p>
        </w:tc>
        <w:tc>
          <w:tcPr>
            <w:tcW w:w="401" w:type="pct"/>
            <w:tcBorders>
              <w:top w:val="nil"/>
              <w:left w:val="nil"/>
              <w:bottom w:val="single" w:sz="8" w:space="0" w:color="BFBFBF"/>
              <w:right w:val="single" w:sz="4" w:space="0" w:color="BFBFBF" w:themeColor="background1" w:themeShade="BF"/>
            </w:tcBorders>
            <w:shd w:val="clear" w:color="000000" w:fill="DBE5F1"/>
            <w:hideMark/>
          </w:tcPr>
          <w:p w:rsidR="00195BE7" w:rsidRPr="001E2F6E" w:rsidRDefault="00195BE7" w:rsidP="00195BE7">
            <w:pPr>
              <w:spacing w:line="240" w:lineRule="exact"/>
              <w:jc w:val="center"/>
              <w:rPr>
                <w:rFonts w:eastAsia="Times New Roman"/>
                <w:b/>
                <w:bCs/>
                <w:color w:val="000000"/>
                <w:sz w:val="16"/>
                <w:szCs w:val="16"/>
                <w:lang w:eastAsia="es-ES"/>
              </w:rPr>
            </w:pPr>
            <w:r w:rsidRPr="001E2F6E">
              <w:rPr>
                <w:rFonts w:eastAsia="Times New Roman"/>
                <w:b/>
                <w:bCs/>
                <w:color w:val="000000"/>
                <w:sz w:val="16"/>
                <w:szCs w:val="16"/>
                <w:lang w:eastAsia="es-ES"/>
              </w:rPr>
              <w:t>%ber.</w:t>
            </w:r>
          </w:p>
        </w:tc>
        <w:tc>
          <w:tcPr>
            <w:tcW w:w="688" w:type="pct"/>
            <w:tcBorders>
              <w:top w:val="nil"/>
              <w:left w:val="single" w:sz="4" w:space="0" w:color="BFBFBF" w:themeColor="background1" w:themeShade="BF"/>
              <w:bottom w:val="single" w:sz="8" w:space="0" w:color="BFBFBF"/>
            </w:tcBorders>
            <w:shd w:val="clear" w:color="000000" w:fill="DBE5F1"/>
            <w:hideMark/>
          </w:tcPr>
          <w:p w:rsidR="00195BE7" w:rsidRPr="001E2F6E" w:rsidRDefault="00195BE7" w:rsidP="00195BE7">
            <w:pPr>
              <w:spacing w:line="240" w:lineRule="exact"/>
              <w:jc w:val="center"/>
              <w:rPr>
                <w:rFonts w:eastAsia="Times New Roman"/>
                <w:b/>
                <w:bCs/>
                <w:color w:val="000000"/>
                <w:sz w:val="16"/>
                <w:szCs w:val="16"/>
                <w:lang w:eastAsia="es-ES"/>
              </w:rPr>
            </w:pPr>
            <w:r w:rsidRPr="001E2F6E">
              <w:rPr>
                <w:rFonts w:eastAsia="Times New Roman"/>
                <w:b/>
                <w:bCs/>
                <w:color w:val="000000"/>
                <w:sz w:val="16"/>
                <w:szCs w:val="16"/>
                <w:lang w:eastAsia="es-ES"/>
              </w:rPr>
              <w:t>z.a.</w:t>
            </w:r>
          </w:p>
        </w:tc>
        <w:tc>
          <w:tcPr>
            <w:tcW w:w="351" w:type="pct"/>
            <w:tcBorders>
              <w:top w:val="nil"/>
              <w:left w:val="nil"/>
              <w:bottom w:val="single" w:sz="8" w:space="0" w:color="BFBFBF"/>
              <w:right w:val="single" w:sz="4" w:space="0" w:color="BFBFBF" w:themeColor="background1" w:themeShade="BF"/>
            </w:tcBorders>
            <w:shd w:val="clear" w:color="000000" w:fill="DBE5F1"/>
            <w:hideMark/>
          </w:tcPr>
          <w:p w:rsidR="00195BE7" w:rsidRPr="001E2F6E" w:rsidRDefault="00195BE7" w:rsidP="00195BE7">
            <w:pPr>
              <w:spacing w:line="240" w:lineRule="exact"/>
              <w:jc w:val="center"/>
              <w:rPr>
                <w:rFonts w:eastAsia="Times New Roman"/>
                <w:b/>
                <w:bCs/>
                <w:color w:val="000000"/>
                <w:sz w:val="16"/>
                <w:szCs w:val="16"/>
                <w:lang w:eastAsia="es-ES"/>
              </w:rPr>
            </w:pPr>
            <w:r w:rsidRPr="001E2F6E">
              <w:rPr>
                <w:rFonts w:eastAsia="Times New Roman"/>
                <w:b/>
                <w:bCs/>
                <w:color w:val="000000"/>
                <w:sz w:val="16"/>
                <w:szCs w:val="16"/>
                <w:lang w:eastAsia="es-ES"/>
              </w:rPr>
              <w:t>%ber.</w:t>
            </w:r>
          </w:p>
        </w:tc>
        <w:tc>
          <w:tcPr>
            <w:tcW w:w="688" w:type="pct"/>
            <w:tcBorders>
              <w:top w:val="nil"/>
              <w:left w:val="single" w:sz="4" w:space="0" w:color="BFBFBF" w:themeColor="background1" w:themeShade="BF"/>
              <w:bottom w:val="single" w:sz="8" w:space="0" w:color="BFBFBF"/>
            </w:tcBorders>
            <w:shd w:val="clear" w:color="000000" w:fill="DBE5F1"/>
            <w:hideMark/>
          </w:tcPr>
          <w:p w:rsidR="00195BE7" w:rsidRPr="001E2F6E" w:rsidRDefault="00195BE7" w:rsidP="00195BE7">
            <w:pPr>
              <w:spacing w:line="240" w:lineRule="exact"/>
              <w:jc w:val="center"/>
              <w:rPr>
                <w:rFonts w:eastAsia="Times New Roman"/>
                <w:b/>
                <w:bCs/>
                <w:color w:val="000000"/>
                <w:sz w:val="16"/>
                <w:szCs w:val="16"/>
                <w:lang w:eastAsia="es-ES"/>
              </w:rPr>
            </w:pPr>
            <w:r w:rsidRPr="001E2F6E">
              <w:rPr>
                <w:rFonts w:eastAsia="Times New Roman"/>
                <w:b/>
                <w:bCs/>
                <w:color w:val="000000"/>
                <w:sz w:val="16"/>
                <w:szCs w:val="16"/>
                <w:lang w:eastAsia="es-ES"/>
              </w:rPr>
              <w:t>z.a.</w:t>
            </w:r>
          </w:p>
        </w:tc>
        <w:tc>
          <w:tcPr>
            <w:tcW w:w="369" w:type="pct"/>
            <w:tcBorders>
              <w:top w:val="nil"/>
              <w:left w:val="nil"/>
              <w:bottom w:val="single" w:sz="8" w:space="0" w:color="BFBFBF"/>
              <w:right w:val="nil"/>
            </w:tcBorders>
            <w:shd w:val="clear" w:color="000000" w:fill="DBE5F1"/>
            <w:hideMark/>
          </w:tcPr>
          <w:p w:rsidR="00195BE7" w:rsidRPr="001E2F6E" w:rsidRDefault="00195BE7" w:rsidP="00195BE7">
            <w:pPr>
              <w:spacing w:line="240" w:lineRule="exact"/>
              <w:jc w:val="center"/>
              <w:rPr>
                <w:rFonts w:eastAsia="Times New Roman"/>
                <w:b/>
                <w:bCs/>
                <w:color w:val="000000"/>
                <w:sz w:val="16"/>
                <w:szCs w:val="16"/>
                <w:lang w:eastAsia="es-ES"/>
              </w:rPr>
            </w:pPr>
            <w:r w:rsidRPr="001E2F6E">
              <w:rPr>
                <w:rFonts w:eastAsia="Times New Roman"/>
                <w:b/>
                <w:bCs/>
                <w:color w:val="000000"/>
                <w:sz w:val="16"/>
                <w:szCs w:val="16"/>
                <w:lang w:eastAsia="es-ES"/>
              </w:rPr>
              <w:t>%ber.</w:t>
            </w:r>
          </w:p>
        </w:tc>
      </w:tr>
      <w:tr w:rsidR="00195BE7" w:rsidRPr="001E2F6E" w:rsidTr="00195BE7">
        <w:trPr>
          <w:jc w:val="center"/>
        </w:trPr>
        <w:tc>
          <w:tcPr>
            <w:tcW w:w="764" w:type="pct"/>
            <w:tcBorders>
              <w:top w:val="nil"/>
              <w:left w:val="nil"/>
              <w:bottom w:val="nil"/>
              <w:right w:val="single" w:sz="4" w:space="0" w:color="BFBFBF" w:themeColor="background1" w:themeShade="BF"/>
            </w:tcBorders>
            <w:shd w:val="clear" w:color="auto" w:fill="auto"/>
            <w:vAlign w:val="center"/>
            <w:hideMark/>
          </w:tcPr>
          <w:p w:rsidR="00195BE7" w:rsidRPr="001E2F6E" w:rsidRDefault="00195BE7" w:rsidP="00195BE7">
            <w:pPr>
              <w:spacing w:line="240" w:lineRule="auto"/>
              <w:rPr>
                <w:sz w:val="16"/>
                <w:szCs w:val="16"/>
                <w:lang w:val="eu-ES"/>
              </w:rPr>
            </w:pPr>
            <w:r w:rsidRPr="001E2F6E">
              <w:rPr>
                <w:sz w:val="16"/>
                <w:szCs w:val="16"/>
                <w:lang w:val="eu-ES"/>
              </w:rPr>
              <w:t>Lehen sektorea</w:t>
            </w:r>
          </w:p>
        </w:tc>
        <w:tc>
          <w:tcPr>
            <w:tcW w:w="697" w:type="pct"/>
            <w:tcBorders>
              <w:top w:val="nil"/>
              <w:left w:val="single" w:sz="4" w:space="0" w:color="BFBFBF" w:themeColor="background1" w:themeShade="BF"/>
              <w:bottom w:val="nil"/>
            </w:tcBorders>
            <w:shd w:val="clear" w:color="auto" w:fill="auto"/>
            <w:vAlign w:val="bottom"/>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798.857</w:t>
            </w:r>
          </w:p>
        </w:tc>
        <w:tc>
          <w:tcPr>
            <w:tcW w:w="370" w:type="pct"/>
            <w:tcBorders>
              <w:top w:val="nil"/>
              <w:left w:val="nil"/>
              <w:bottom w:val="nil"/>
              <w:right w:val="single" w:sz="4" w:space="0" w:color="BFBFBF" w:themeColor="background1" w:themeShade="BF"/>
            </w:tcBorders>
            <w:shd w:val="clear" w:color="auto" w:fill="auto"/>
            <w:vAlign w:val="bottom"/>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0,4</w:t>
            </w:r>
          </w:p>
        </w:tc>
        <w:tc>
          <w:tcPr>
            <w:tcW w:w="672" w:type="pct"/>
            <w:tcBorders>
              <w:top w:val="nil"/>
              <w:left w:val="single" w:sz="4" w:space="0" w:color="BFBFBF" w:themeColor="background1" w:themeShade="BF"/>
              <w:bottom w:val="nil"/>
            </w:tcBorders>
            <w:shd w:val="clear" w:color="auto" w:fill="auto"/>
            <w:vAlign w:val="bottom"/>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798.857</w:t>
            </w:r>
          </w:p>
        </w:tc>
        <w:tc>
          <w:tcPr>
            <w:tcW w:w="401" w:type="pct"/>
            <w:tcBorders>
              <w:top w:val="nil"/>
              <w:left w:val="nil"/>
              <w:bottom w:val="nil"/>
              <w:right w:val="single" w:sz="4" w:space="0" w:color="BFBFBF" w:themeColor="background1" w:themeShade="BF"/>
            </w:tcBorders>
            <w:shd w:val="clear" w:color="auto" w:fill="auto"/>
            <w:vAlign w:val="bottom"/>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0,5</w:t>
            </w:r>
          </w:p>
        </w:tc>
        <w:tc>
          <w:tcPr>
            <w:tcW w:w="688" w:type="pct"/>
            <w:tcBorders>
              <w:top w:val="nil"/>
              <w:left w:val="single" w:sz="4" w:space="0" w:color="BFBFBF" w:themeColor="background1" w:themeShade="BF"/>
              <w:bottom w:val="nil"/>
            </w:tcBorders>
            <w:shd w:val="clear" w:color="auto" w:fill="auto"/>
            <w:vAlign w:val="bottom"/>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0</w:t>
            </w:r>
          </w:p>
        </w:tc>
        <w:tc>
          <w:tcPr>
            <w:tcW w:w="351" w:type="pct"/>
            <w:tcBorders>
              <w:top w:val="nil"/>
              <w:left w:val="nil"/>
              <w:bottom w:val="nil"/>
              <w:right w:val="single" w:sz="4" w:space="0" w:color="BFBFBF" w:themeColor="background1" w:themeShade="BF"/>
            </w:tcBorders>
            <w:shd w:val="clear" w:color="auto" w:fill="auto"/>
            <w:vAlign w:val="bottom"/>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0,0</w:t>
            </w:r>
          </w:p>
        </w:tc>
        <w:tc>
          <w:tcPr>
            <w:tcW w:w="688" w:type="pct"/>
            <w:tcBorders>
              <w:top w:val="nil"/>
              <w:left w:val="single" w:sz="4" w:space="0" w:color="BFBFBF" w:themeColor="background1" w:themeShade="BF"/>
              <w:bottom w:val="nil"/>
            </w:tcBorders>
            <w:shd w:val="clear" w:color="auto" w:fill="auto"/>
            <w:vAlign w:val="bottom"/>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0</w:t>
            </w:r>
          </w:p>
        </w:tc>
        <w:tc>
          <w:tcPr>
            <w:tcW w:w="369" w:type="pct"/>
            <w:tcBorders>
              <w:top w:val="nil"/>
              <w:left w:val="nil"/>
              <w:bottom w:val="nil"/>
              <w:right w:val="nil"/>
            </w:tcBorders>
            <w:shd w:val="clear" w:color="auto" w:fill="auto"/>
            <w:vAlign w:val="bottom"/>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0,0</w:t>
            </w:r>
          </w:p>
        </w:tc>
      </w:tr>
      <w:tr w:rsidR="00195BE7" w:rsidRPr="001E2F6E" w:rsidTr="00195BE7">
        <w:trPr>
          <w:jc w:val="center"/>
        </w:trPr>
        <w:tc>
          <w:tcPr>
            <w:tcW w:w="764" w:type="pct"/>
            <w:tcBorders>
              <w:top w:val="nil"/>
              <w:left w:val="nil"/>
              <w:bottom w:val="nil"/>
              <w:right w:val="single" w:sz="4" w:space="0" w:color="BFBFBF" w:themeColor="background1" w:themeShade="BF"/>
            </w:tcBorders>
            <w:shd w:val="clear" w:color="auto" w:fill="auto"/>
            <w:vAlign w:val="center"/>
            <w:hideMark/>
          </w:tcPr>
          <w:p w:rsidR="00195BE7" w:rsidRPr="001E2F6E" w:rsidRDefault="00195BE7" w:rsidP="00195BE7">
            <w:pPr>
              <w:spacing w:line="240" w:lineRule="auto"/>
              <w:rPr>
                <w:sz w:val="16"/>
                <w:szCs w:val="16"/>
                <w:lang w:val="eu-ES"/>
              </w:rPr>
            </w:pPr>
            <w:r w:rsidRPr="001E2F6E">
              <w:rPr>
                <w:sz w:val="16"/>
                <w:szCs w:val="16"/>
                <w:lang w:val="eu-ES"/>
              </w:rPr>
              <w:t>Industria</w:t>
            </w:r>
          </w:p>
        </w:tc>
        <w:tc>
          <w:tcPr>
            <w:tcW w:w="697" w:type="pct"/>
            <w:tcBorders>
              <w:top w:val="nil"/>
              <w:left w:val="single" w:sz="4" w:space="0" w:color="BFBFBF" w:themeColor="background1" w:themeShade="BF"/>
              <w:bottom w:val="nil"/>
            </w:tcBorders>
            <w:shd w:val="clear" w:color="auto" w:fill="auto"/>
            <w:vAlign w:val="bottom"/>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96.490.146</w:t>
            </w:r>
          </w:p>
        </w:tc>
        <w:tc>
          <w:tcPr>
            <w:tcW w:w="370" w:type="pct"/>
            <w:tcBorders>
              <w:top w:val="nil"/>
              <w:left w:val="nil"/>
              <w:bottom w:val="nil"/>
              <w:right w:val="single" w:sz="4" w:space="0" w:color="BFBFBF" w:themeColor="background1" w:themeShade="BF"/>
            </w:tcBorders>
            <w:shd w:val="clear" w:color="auto" w:fill="auto"/>
            <w:vAlign w:val="bottom"/>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53,0</w:t>
            </w:r>
          </w:p>
        </w:tc>
        <w:tc>
          <w:tcPr>
            <w:tcW w:w="672" w:type="pct"/>
            <w:tcBorders>
              <w:top w:val="nil"/>
              <w:left w:val="single" w:sz="4" w:space="0" w:color="BFBFBF" w:themeColor="background1" w:themeShade="BF"/>
              <w:bottom w:val="nil"/>
            </w:tcBorders>
            <w:shd w:val="clear" w:color="auto" w:fill="auto"/>
            <w:vAlign w:val="bottom"/>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85.541.097</w:t>
            </w:r>
          </w:p>
        </w:tc>
        <w:tc>
          <w:tcPr>
            <w:tcW w:w="401" w:type="pct"/>
            <w:tcBorders>
              <w:top w:val="nil"/>
              <w:left w:val="nil"/>
              <w:bottom w:val="nil"/>
              <w:right w:val="single" w:sz="4" w:space="0" w:color="BFBFBF" w:themeColor="background1" w:themeShade="BF"/>
            </w:tcBorders>
            <w:shd w:val="clear" w:color="auto" w:fill="auto"/>
            <w:vAlign w:val="bottom"/>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51,4</w:t>
            </w:r>
          </w:p>
        </w:tc>
        <w:tc>
          <w:tcPr>
            <w:tcW w:w="688" w:type="pct"/>
            <w:tcBorders>
              <w:top w:val="nil"/>
              <w:left w:val="single" w:sz="4" w:space="0" w:color="BFBFBF" w:themeColor="background1" w:themeShade="BF"/>
              <w:bottom w:val="nil"/>
            </w:tcBorders>
            <w:shd w:val="clear" w:color="auto" w:fill="auto"/>
            <w:vAlign w:val="bottom"/>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7.445.861</w:t>
            </w:r>
          </w:p>
        </w:tc>
        <w:tc>
          <w:tcPr>
            <w:tcW w:w="351" w:type="pct"/>
            <w:tcBorders>
              <w:top w:val="nil"/>
              <w:left w:val="nil"/>
              <w:bottom w:val="nil"/>
              <w:right w:val="single" w:sz="4" w:space="0" w:color="BFBFBF" w:themeColor="background1" w:themeShade="BF"/>
            </w:tcBorders>
            <w:shd w:val="clear" w:color="auto" w:fill="auto"/>
            <w:vAlign w:val="bottom"/>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70,6</w:t>
            </w:r>
          </w:p>
        </w:tc>
        <w:tc>
          <w:tcPr>
            <w:tcW w:w="688" w:type="pct"/>
            <w:tcBorders>
              <w:top w:val="nil"/>
              <w:left w:val="single" w:sz="4" w:space="0" w:color="BFBFBF" w:themeColor="background1" w:themeShade="BF"/>
              <w:bottom w:val="nil"/>
            </w:tcBorders>
            <w:shd w:val="clear" w:color="auto" w:fill="auto"/>
            <w:vAlign w:val="bottom"/>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3.503.188</w:t>
            </w:r>
          </w:p>
        </w:tc>
        <w:tc>
          <w:tcPr>
            <w:tcW w:w="369" w:type="pct"/>
            <w:tcBorders>
              <w:top w:val="nil"/>
              <w:left w:val="nil"/>
              <w:bottom w:val="nil"/>
              <w:right w:val="nil"/>
            </w:tcBorders>
            <w:shd w:val="clear" w:color="auto" w:fill="auto"/>
            <w:vAlign w:val="bottom"/>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68,3</w:t>
            </w:r>
          </w:p>
        </w:tc>
      </w:tr>
      <w:tr w:rsidR="00195BE7" w:rsidRPr="001E2F6E" w:rsidTr="00195BE7">
        <w:trPr>
          <w:jc w:val="center"/>
        </w:trPr>
        <w:tc>
          <w:tcPr>
            <w:tcW w:w="764" w:type="pct"/>
            <w:tcBorders>
              <w:top w:val="nil"/>
              <w:left w:val="nil"/>
              <w:bottom w:val="nil"/>
              <w:right w:val="single" w:sz="4" w:space="0" w:color="BFBFBF" w:themeColor="background1" w:themeShade="BF"/>
            </w:tcBorders>
            <w:shd w:val="clear" w:color="auto" w:fill="auto"/>
            <w:vAlign w:val="center"/>
            <w:hideMark/>
          </w:tcPr>
          <w:p w:rsidR="00195BE7" w:rsidRPr="001E2F6E" w:rsidRDefault="00195BE7" w:rsidP="00195BE7">
            <w:pPr>
              <w:spacing w:line="240" w:lineRule="auto"/>
              <w:rPr>
                <w:sz w:val="16"/>
                <w:szCs w:val="16"/>
                <w:lang w:val="eu-ES"/>
              </w:rPr>
            </w:pPr>
            <w:r w:rsidRPr="001E2F6E">
              <w:rPr>
                <w:sz w:val="16"/>
                <w:szCs w:val="16"/>
                <w:lang w:val="eu-ES"/>
              </w:rPr>
              <w:t>Eraikuntza</w:t>
            </w:r>
          </w:p>
        </w:tc>
        <w:tc>
          <w:tcPr>
            <w:tcW w:w="697" w:type="pct"/>
            <w:tcBorders>
              <w:top w:val="nil"/>
              <w:left w:val="single" w:sz="4" w:space="0" w:color="BFBFBF" w:themeColor="background1" w:themeShade="BF"/>
              <w:bottom w:val="nil"/>
            </w:tcBorders>
            <w:shd w:val="clear" w:color="auto" w:fill="auto"/>
            <w:vAlign w:val="bottom"/>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1.295.778</w:t>
            </w:r>
          </w:p>
        </w:tc>
        <w:tc>
          <w:tcPr>
            <w:tcW w:w="370" w:type="pct"/>
            <w:tcBorders>
              <w:top w:val="nil"/>
              <w:left w:val="nil"/>
              <w:bottom w:val="nil"/>
              <w:right w:val="single" w:sz="4" w:space="0" w:color="BFBFBF" w:themeColor="background1" w:themeShade="BF"/>
            </w:tcBorders>
            <w:shd w:val="clear" w:color="auto" w:fill="auto"/>
            <w:vAlign w:val="bottom"/>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0,7</w:t>
            </w:r>
          </w:p>
        </w:tc>
        <w:tc>
          <w:tcPr>
            <w:tcW w:w="672" w:type="pct"/>
            <w:tcBorders>
              <w:top w:val="nil"/>
              <w:left w:val="single" w:sz="4" w:space="0" w:color="BFBFBF" w:themeColor="background1" w:themeShade="BF"/>
              <w:bottom w:val="nil"/>
            </w:tcBorders>
            <w:shd w:val="clear" w:color="auto" w:fill="auto"/>
            <w:vAlign w:val="bottom"/>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826.112</w:t>
            </w:r>
          </w:p>
        </w:tc>
        <w:tc>
          <w:tcPr>
            <w:tcW w:w="401" w:type="pct"/>
            <w:tcBorders>
              <w:top w:val="nil"/>
              <w:left w:val="nil"/>
              <w:bottom w:val="nil"/>
              <w:right w:val="single" w:sz="4" w:space="0" w:color="BFBFBF" w:themeColor="background1" w:themeShade="BF"/>
            </w:tcBorders>
            <w:shd w:val="clear" w:color="auto" w:fill="auto"/>
            <w:vAlign w:val="bottom"/>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0,5</w:t>
            </w:r>
          </w:p>
        </w:tc>
        <w:tc>
          <w:tcPr>
            <w:tcW w:w="688" w:type="pct"/>
            <w:tcBorders>
              <w:top w:val="nil"/>
              <w:left w:val="single" w:sz="4" w:space="0" w:color="BFBFBF" w:themeColor="background1" w:themeShade="BF"/>
              <w:bottom w:val="nil"/>
            </w:tcBorders>
            <w:shd w:val="clear" w:color="auto" w:fill="auto"/>
            <w:vAlign w:val="bottom"/>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46.036</w:t>
            </w:r>
          </w:p>
        </w:tc>
        <w:tc>
          <w:tcPr>
            <w:tcW w:w="351" w:type="pct"/>
            <w:tcBorders>
              <w:top w:val="nil"/>
              <w:left w:val="nil"/>
              <w:bottom w:val="nil"/>
              <w:right w:val="single" w:sz="4" w:space="0" w:color="BFBFBF" w:themeColor="background1" w:themeShade="BF"/>
            </w:tcBorders>
            <w:shd w:val="clear" w:color="auto" w:fill="auto"/>
            <w:vAlign w:val="bottom"/>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0,4</w:t>
            </w:r>
          </w:p>
        </w:tc>
        <w:tc>
          <w:tcPr>
            <w:tcW w:w="688" w:type="pct"/>
            <w:tcBorders>
              <w:top w:val="nil"/>
              <w:left w:val="single" w:sz="4" w:space="0" w:color="BFBFBF" w:themeColor="background1" w:themeShade="BF"/>
              <w:bottom w:val="nil"/>
            </w:tcBorders>
            <w:shd w:val="clear" w:color="auto" w:fill="auto"/>
            <w:vAlign w:val="bottom"/>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423.629</w:t>
            </w:r>
          </w:p>
        </w:tc>
        <w:tc>
          <w:tcPr>
            <w:tcW w:w="369" w:type="pct"/>
            <w:tcBorders>
              <w:top w:val="nil"/>
              <w:left w:val="nil"/>
              <w:bottom w:val="nil"/>
              <w:right w:val="nil"/>
            </w:tcBorders>
            <w:shd w:val="clear" w:color="auto" w:fill="auto"/>
            <w:vAlign w:val="bottom"/>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8,3</w:t>
            </w:r>
          </w:p>
        </w:tc>
      </w:tr>
      <w:tr w:rsidR="00195BE7" w:rsidRPr="001E2F6E" w:rsidTr="00195BE7">
        <w:trPr>
          <w:jc w:val="center"/>
        </w:trPr>
        <w:tc>
          <w:tcPr>
            <w:tcW w:w="764" w:type="pct"/>
            <w:tcBorders>
              <w:top w:val="nil"/>
              <w:left w:val="nil"/>
              <w:bottom w:val="nil"/>
              <w:right w:val="single" w:sz="4" w:space="0" w:color="BFBFBF" w:themeColor="background1" w:themeShade="BF"/>
            </w:tcBorders>
            <w:shd w:val="clear" w:color="auto" w:fill="auto"/>
            <w:vAlign w:val="center"/>
            <w:hideMark/>
          </w:tcPr>
          <w:p w:rsidR="00195BE7" w:rsidRPr="001E2F6E" w:rsidRDefault="00195BE7" w:rsidP="00195BE7">
            <w:pPr>
              <w:spacing w:line="240" w:lineRule="auto"/>
              <w:rPr>
                <w:sz w:val="16"/>
                <w:szCs w:val="16"/>
                <w:lang w:val="eu-ES"/>
              </w:rPr>
            </w:pPr>
            <w:r w:rsidRPr="001E2F6E">
              <w:rPr>
                <w:sz w:val="16"/>
                <w:szCs w:val="16"/>
                <w:lang w:val="eu-ES"/>
              </w:rPr>
              <w:t xml:space="preserve">Zerbitzuak </w:t>
            </w:r>
          </w:p>
        </w:tc>
        <w:tc>
          <w:tcPr>
            <w:tcW w:w="697" w:type="pct"/>
            <w:tcBorders>
              <w:top w:val="nil"/>
              <w:left w:val="single" w:sz="4" w:space="0" w:color="BFBFBF" w:themeColor="background1" w:themeShade="BF"/>
              <w:bottom w:val="nil"/>
            </w:tcBorders>
            <w:shd w:val="clear" w:color="auto" w:fill="auto"/>
            <w:vAlign w:val="bottom"/>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83.510.965</w:t>
            </w:r>
          </w:p>
        </w:tc>
        <w:tc>
          <w:tcPr>
            <w:tcW w:w="370" w:type="pct"/>
            <w:tcBorders>
              <w:top w:val="nil"/>
              <w:left w:val="nil"/>
              <w:bottom w:val="nil"/>
              <w:right w:val="single" w:sz="4" w:space="0" w:color="BFBFBF" w:themeColor="background1" w:themeShade="BF"/>
            </w:tcBorders>
            <w:shd w:val="clear" w:color="auto" w:fill="auto"/>
            <w:vAlign w:val="bottom"/>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45,9</w:t>
            </w:r>
          </w:p>
        </w:tc>
        <w:tc>
          <w:tcPr>
            <w:tcW w:w="672" w:type="pct"/>
            <w:tcBorders>
              <w:top w:val="nil"/>
              <w:left w:val="single" w:sz="4" w:space="0" w:color="BFBFBF" w:themeColor="background1" w:themeShade="BF"/>
              <w:bottom w:val="nil"/>
            </w:tcBorders>
            <w:shd w:val="clear" w:color="auto" w:fill="auto"/>
            <w:vAlign w:val="bottom"/>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79.251.748</w:t>
            </w:r>
          </w:p>
        </w:tc>
        <w:tc>
          <w:tcPr>
            <w:tcW w:w="401" w:type="pct"/>
            <w:tcBorders>
              <w:top w:val="nil"/>
              <w:left w:val="nil"/>
              <w:bottom w:val="nil"/>
              <w:right w:val="single" w:sz="4" w:space="0" w:color="BFBFBF" w:themeColor="background1" w:themeShade="BF"/>
            </w:tcBorders>
            <w:shd w:val="clear" w:color="auto" w:fill="auto"/>
            <w:vAlign w:val="bottom"/>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47,6</w:t>
            </w:r>
          </w:p>
        </w:tc>
        <w:tc>
          <w:tcPr>
            <w:tcW w:w="688" w:type="pct"/>
            <w:tcBorders>
              <w:top w:val="nil"/>
              <w:left w:val="single" w:sz="4" w:space="0" w:color="BFBFBF" w:themeColor="background1" w:themeShade="BF"/>
              <w:bottom w:val="nil"/>
            </w:tcBorders>
            <w:shd w:val="clear" w:color="auto" w:fill="auto"/>
            <w:vAlign w:val="bottom"/>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3.057.799</w:t>
            </w:r>
          </w:p>
        </w:tc>
        <w:tc>
          <w:tcPr>
            <w:tcW w:w="351" w:type="pct"/>
            <w:tcBorders>
              <w:top w:val="nil"/>
              <w:left w:val="nil"/>
              <w:bottom w:val="nil"/>
              <w:right w:val="single" w:sz="4" w:space="0" w:color="BFBFBF" w:themeColor="background1" w:themeShade="BF"/>
            </w:tcBorders>
            <w:shd w:val="clear" w:color="auto" w:fill="auto"/>
            <w:vAlign w:val="bottom"/>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29,0</w:t>
            </w:r>
          </w:p>
        </w:tc>
        <w:tc>
          <w:tcPr>
            <w:tcW w:w="688" w:type="pct"/>
            <w:tcBorders>
              <w:top w:val="nil"/>
              <w:left w:val="single" w:sz="4" w:space="0" w:color="BFBFBF" w:themeColor="background1" w:themeShade="BF"/>
              <w:bottom w:val="nil"/>
            </w:tcBorders>
            <w:shd w:val="clear" w:color="auto" w:fill="auto"/>
            <w:vAlign w:val="bottom"/>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1.201.419</w:t>
            </w:r>
          </w:p>
        </w:tc>
        <w:tc>
          <w:tcPr>
            <w:tcW w:w="369" w:type="pct"/>
            <w:tcBorders>
              <w:top w:val="nil"/>
              <w:left w:val="nil"/>
              <w:bottom w:val="nil"/>
              <w:right w:val="nil"/>
            </w:tcBorders>
            <w:shd w:val="clear" w:color="auto" w:fill="auto"/>
            <w:vAlign w:val="bottom"/>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23,4</w:t>
            </w:r>
          </w:p>
        </w:tc>
      </w:tr>
      <w:tr w:rsidR="00195BE7" w:rsidRPr="001E2F6E" w:rsidTr="00195BE7">
        <w:trPr>
          <w:jc w:val="center"/>
        </w:trPr>
        <w:tc>
          <w:tcPr>
            <w:tcW w:w="764" w:type="pct"/>
            <w:tcBorders>
              <w:top w:val="single" w:sz="4" w:space="0" w:color="BFBFBF" w:themeColor="background1" w:themeShade="BF"/>
              <w:left w:val="nil"/>
              <w:bottom w:val="single" w:sz="8" w:space="0" w:color="BFBFBF"/>
              <w:right w:val="single" w:sz="4" w:space="0" w:color="BFBFBF" w:themeColor="background1" w:themeShade="BF"/>
            </w:tcBorders>
            <w:shd w:val="clear" w:color="auto" w:fill="auto"/>
            <w:vAlign w:val="center"/>
            <w:hideMark/>
          </w:tcPr>
          <w:p w:rsidR="00195BE7" w:rsidRPr="001E2F6E" w:rsidRDefault="00195BE7" w:rsidP="00195BE7">
            <w:pPr>
              <w:spacing w:line="240" w:lineRule="auto"/>
              <w:rPr>
                <w:b/>
                <w:bCs/>
                <w:sz w:val="16"/>
                <w:szCs w:val="16"/>
                <w:lang w:val="eu-ES"/>
              </w:rPr>
            </w:pPr>
            <w:r w:rsidRPr="001E2F6E">
              <w:rPr>
                <w:b/>
                <w:bCs/>
                <w:sz w:val="16"/>
                <w:szCs w:val="16"/>
                <w:lang w:val="eu-ES"/>
              </w:rPr>
              <w:t>GUZTIRA</w:t>
            </w:r>
          </w:p>
        </w:tc>
        <w:tc>
          <w:tcPr>
            <w:tcW w:w="697" w:type="pct"/>
            <w:tcBorders>
              <w:top w:val="single" w:sz="4" w:space="0" w:color="BFBFBF" w:themeColor="background1" w:themeShade="BF"/>
              <w:left w:val="single" w:sz="4" w:space="0" w:color="BFBFBF" w:themeColor="background1" w:themeShade="BF"/>
              <w:bottom w:val="single" w:sz="8" w:space="0" w:color="BFBFBF"/>
            </w:tcBorders>
            <w:shd w:val="clear" w:color="auto" w:fill="auto"/>
            <w:hideMark/>
          </w:tcPr>
          <w:p w:rsidR="00195BE7" w:rsidRPr="001E2F6E" w:rsidRDefault="00195BE7" w:rsidP="00195BE7">
            <w:pPr>
              <w:spacing w:line="240" w:lineRule="exact"/>
              <w:ind w:right="170"/>
              <w:jc w:val="right"/>
              <w:rPr>
                <w:b/>
                <w:bCs/>
                <w:color w:val="000000"/>
                <w:sz w:val="16"/>
                <w:szCs w:val="16"/>
              </w:rPr>
            </w:pPr>
            <w:r w:rsidRPr="001E2F6E">
              <w:rPr>
                <w:b/>
                <w:bCs/>
                <w:color w:val="000000"/>
                <w:sz w:val="16"/>
                <w:szCs w:val="16"/>
              </w:rPr>
              <w:t>182.095.747</w:t>
            </w:r>
          </w:p>
        </w:tc>
        <w:tc>
          <w:tcPr>
            <w:tcW w:w="370" w:type="pct"/>
            <w:tcBorders>
              <w:top w:val="single" w:sz="4" w:space="0" w:color="BFBFBF" w:themeColor="background1" w:themeShade="BF"/>
              <w:left w:val="nil"/>
              <w:bottom w:val="single" w:sz="8" w:space="0" w:color="BFBFBF"/>
              <w:right w:val="single" w:sz="4" w:space="0" w:color="BFBFBF" w:themeColor="background1" w:themeShade="BF"/>
            </w:tcBorders>
            <w:shd w:val="clear" w:color="auto" w:fill="auto"/>
            <w:hideMark/>
          </w:tcPr>
          <w:p w:rsidR="00195BE7" w:rsidRPr="001E2F6E" w:rsidRDefault="00195BE7" w:rsidP="00195BE7">
            <w:pPr>
              <w:spacing w:line="240" w:lineRule="exact"/>
              <w:ind w:right="170"/>
              <w:jc w:val="right"/>
              <w:rPr>
                <w:b/>
                <w:bCs/>
                <w:color w:val="000000"/>
                <w:sz w:val="16"/>
                <w:szCs w:val="16"/>
              </w:rPr>
            </w:pPr>
            <w:r w:rsidRPr="001E2F6E">
              <w:rPr>
                <w:b/>
                <w:bCs/>
                <w:color w:val="000000"/>
                <w:sz w:val="16"/>
                <w:szCs w:val="16"/>
              </w:rPr>
              <w:t>100</w:t>
            </w:r>
          </w:p>
        </w:tc>
        <w:tc>
          <w:tcPr>
            <w:tcW w:w="672" w:type="pct"/>
            <w:tcBorders>
              <w:top w:val="single" w:sz="4" w:space="0" w:color="BFBFBF" w:themeColor="background1" w:themeShade="BF"/>
              <w:left w:val="single" w:sz="4" w:space="0" w:color="BFBFBF" w:themeColor="background1" w:themeShade="BF"/>
              <w:bottom w:val="single" w:sz="8" w:space="0" w:color="BFBFBF"/>
            </w:tcBorders>
            <w:shd w:val="clear" w:color="auto" w:fill="auto"/>
            <w:hideMark/>
          </w:tcPr>
          <w:p w:rsidR="00195BE7" w:rsidRPr="001E2F6E" w:rsidRDefault="00195BE7" w:rsidP="00195BE7">
            <w:pPr>
              <w:spacing w:line="240" w:lineRule="exact"/>
              <w:ind w:right="170"/>
              <w:jc w:val="right"/>
              <w:rPr>
                <w:b/>
                <w:bCs/>
                <w:color w:val="000000"/>
                <w:sz w:val="16"/>
                <w:szCs w:val="16"/>
              </w:rPr>
            </w:pPr>
            <w:r w:rsidRPr="001E2F6E">
              <w:rPr>
                <w:b/>
                <w:bCs/>
                <w:color w:val="000000"/>
                <w:sz w:val="16"/>
                <w:szCs w:val="16"/>
              </w:rPr>
              <w:t>166.417.814</w:t>
            </w:r>
          </w:p>
        </w:tc>
        <w:tc>
          <w:tcPr>
            <w:tcW w:w="401" w:type="pct"/>
            <w:tcBorders>
              <w:top w:val="single" w:sz="4" w:space="0" w:color="BFBFBF" w:themeColor="background1" w:themeShade="BF"/>
              <w:left w:val="nil"/>
              <w:bottom w:val="single" w:sz="8" w:space="0" w:color="BFBFBF"/>
              <w:right w:val="single" w:sz="4" w:space="0" w:color="BFBFBF" w:themeColor="background1" w:themeShade="BF"/>
            </w:tcBorders>
            <w:shd w:val="clear" w:color="auto" w:fill="auto"/>
            <w:hideMark/>
          </w:tcPr>
          <w:p w:rsidR="00195BE7" w:rsidRPr="001E2F6E" w:rsidRDefault="00195BE7" w:rsidP="00195BE7">
            <w:pPr>
              <w:spacing w:line="240" w:lineRule="exact"/>
              <w:ind w:right="170"/>
              <w:jc w:val="right"/>
              <w:rPr>
                <w:b/>
                <w:bCs/>
                <w:color w:val="000000"/>
                <w:sz w:val="16"/>
                <w:szCs w:val="16"/>
              </w:rPr>
            </w:pPr>
            <w:r w:rsidRPr="001E2F6E">
              <w:rPr>
                <w:b/>
                <w:bCs/>
                <w:color w:val="000000"/>
                <w:sz w:val="16"/>
                <w:szCs w:val="16"/>
              </w:rPr>
              <w:t>100</w:t>
            </w:r>
          </w:p>
        </w:tc>
        <w:tc>
          <w:tcPr>
            <w:tcW w:w="688" w:type="pct"/>
            <w:tcBorders>
              <w:top w:val="single" w:sz="4" w:space="0" w:color="BFBFBF" w:themeColor="background1" w:themeShade="BF"/>
              <w:left w:val="single" w:sz="4" w:space="0" w:color="BFBFBF" w:themeColor="background1" w:themeShade="BF"/>
              <w:bottom w:val="single" w:sz="8" w:space="0" w:color="BFBFBF"/>
            </w:tcBorders>
            <w:shd w:val="clear" w:color="auto" w:fill="auto"/>
            <w:hideMark/>
          </w:tcPr>
          <w:p w:rsidR="00195BE7" w:rsidRPr="001E2F6E" w:rsidRDefault="00195BE7" w:rsidP="00195BE7">
            <w:pPr>
              <w:spacing w:line="240" w:lineRule="exact"/>
              <w:ind w:right="170"/>
              <w:jc w:val="right"/>
              <w:rPr>
                <w:b/>
                <w:bCs/>
                <w:color w:val="000000"/>
                <w:sz w:val="16"/>
                <w:szCs w:val="16"/>
              </w:rPr>
            </w:pPr>
            <w:r w:rsidRPr="001E2F6E">
              <w:rPr>
                <w:b/>
                <w:bCs/>
                <w:color w:val="000000"/>
                <w:sz w:val="16"/>
                <w:szCs w:val="16"/>
              </w:rPr>
              <w:t>10.549.696</w:t>
            </w:r>
          </w:p>
        </w:tc>
        <w:tc>
          <w:tcPr>
            <w:tcW w:w="351" w:type="pct"/>
            <w:tcBorders>
              <w:top w:val="single" w:sz="4" w:space="0" w:color="BFBFBF" w:themeColor="background1" w:themeShade="BF"/>
              <w:left w:val="nil"/>
              <w:bottom w:val="single" w:sz="8" w:space="0" w:color="BFBFBF"/>
              <w:right w:val="single" w:sz="4" w:space="0" w:color="BFBFBF" w:themeColor="background1" w:themeShade="BF"/>
            </w:tcBorders>
            <w:shd w:val="clear" w:color="auto" w:fill="auto"/>
            <w:hideMark/>
          </w:tcPr>
          <w:p w:rsidR="00195BE7" w:rsidRPr="001E2F6E" w:rsidRDefault="00195BE7" w:rsidP="00195BE7">
            <w:pPr>
              <w:spacing w:line="240" w:lineRule="exact"/>
              <w:ind w:right="170"/>
              <w:jc w:val="right"/>
              <w:rPr>
                <w:b/>
                <w:bCs/>
                <w:color w:val="000000"/>
                <w:sz w:val="16"/>
                <w:szCs w:val="16"/>
              </w:rPr>
            </w:pPr>
            <w:r w:rsidRPr="001E2F6E">
              <w:rPr>
                <w:b/>
                <w:bCs/>
                <w:color w:val="000000"/>
                <w:sz w:val="16"/>
                <w:szCs w:val="16"/>
              </w:rPr>
              <w:t>100</w:t>
            </w:r>
          </w:p>
        </w:tc>
        <w:tc>
          <w:tcPr>
            <w:tcW w:w="688" w:type="pct"/>
            <w:tcBorders>
              <w:top w:val="single" w:sz="4" w:space="0" w:color="BFBFBF" w:themeColor="background1" w:themeShade="BF"/>
              <w:left w:val="single" w:sz="4" w:space="0" w:color="BFBFBF" w:themeColor="background1" w:themeShade="BF"/>
              <w:bottom w:val="single" w:sz="8" w:space="0" w:color="BFBFBF"/>
            </w:tcBorders>
            <w:shd w:val="clear" w:color="auto" w:fill="auto"/>
            <w:hideMark/>
          </w:tcPr>
          <w:p w:rsidR="00195BE7" w:rsidRPr="001E2F6E" w:rsidRDefault="00195BE7" w:rsidP="00195BE7">
            <w:pPr>
              <w:spacing w:line="240" w:lineRule="exact"/>
              <w:ind w:right="170"/>
              <w:jc w:val="right"/>
              <w:rPr>
                <w:b/>
                <w:bCs/>
                <w:color w:val="000000"/>
                <w:sz w:val="16"/>
                <w:szCs w:val="16"/>
              </w:rPr>
            </w:pPr>
            <w:r w:rsidRPr="001E2F6E">
              <w:rPr>
                <w:b/>
                <w:bCs/>
                <w:color w:val="000000"/>
                <w:sz w:val="16"/>
                <w:szCs w:val="16"/>
              </w:rPr>
              <w:t>5.128.237</w:t>
            </w:r>
          </w:p>
        </w:tc>
        <w:tc>
          <w:tcPr>
            <w:tcW w:w="369" w:type="pct"/>
            <w:tcBorders>
              <w:top w:val="single" w:sz="4" w:space="0" w:color="BFBFBF" w:themeColor="background1" w:themeShade="BF"/>
              <w:left w:val="nil"/>
              <w:bottom w:val="single" w:sz="8" w:space="0" w:color="BFBFBF"/>
              <w:right w:val="nil"/>
            </w:tcBorders>
            <w:shd w:val="clear" w:color="auto" w:fill="auto"/>
            <w:hideMark/>
          </w:tcPr>
          <w:p w:rsidR="00195BE7" w:rsidRPr="001E2F6E" w:rsidRDefault="00195BE7" w:rsidP="00195BE7">
            <w:pPr>
              <w:spacing w:line="240" w:lineRule="exact"/>
              <w:ind w:right="170"/>
              <w:jc w:val="right"/>
              <w:rPr>
                <w:b/>
                <w:bCs/>
                <w:color w:val="000000"/>
                <w:sz w:val="16"/>
                <w:szCs w:val="16"/>
              </w:rPr>
            </w:pPr>
            <w:r w:rsidRPr="001E2F6E">
              <w:rPr>
                <w:b/>
                <w:bCs/>
                <w:color w:val="000000"/>
                <w:sz w:val="16"/>
                <w:szCs w:val="16"/>
              </w:rPr>
              <w:t>100</w:t>
            </w:r>
          </w:p>
        </w:tc>
      </w:tr>
    </w:tbl>
    <w:p w:rsidR="00195BE7" w:rsidRPr="001E2F6E" w:rsidRDefault="00195BE7" w:rsidP="00195BE7"/>
    <w:p w:rsidR="00195BE7" w:rsidRPr="001E2F6E" w:rsidRDefault="00195BE7" w:rsidP="00195BE7">
      <w:pPr>
        <w:spacing w:line="240" w:lineRule="auto"/>
        <w:jc w:val="center"/>
        <w:rPr>
          <w:b/>
          <w:color w:val="1F497D" w:themeColor="text2"/>
          <w:sz w:val="18"/>
          <w:szCs w:val="18"/>
        </w:rPr>
      </w:pPr>
      <w:bookmarkStart w:id="232" w:name="_Toc391989134"/>
      <w:bookmarkStart w:id="233" w:name="_Toc392585799"/>
      <w:r w:rsidRPr="001E2F6E">
        <w:rPr>
          <w:b/>
          <w:color w:val="1F497D" w:themeColor="text2"/>
          <w:sz w:val="18"/>
          <w:szCs w:val="18"/>
        </w:rPr>
        <w:t>1.</w:t>
      </w:r>
      <w:r w:rsidR="00EB6BA6" w:rsidRPr="001E2F6E">
        <w:rPr>
          <w:b/>
          <w:color w:val="1F497D" w:themeColor="text2"/>
          <w:sz w:val="18"/>
          <w:szCs w:val="18"/>
        </w:rPr>
        <w:fldChar w:fldCharType="begin"/>
      </w:r>
      <w:r w:rsidRPr="001E2F6E">
        <w:rPr>
          <w:b/>
          <w:color w:val="1F497D" w:themeColor="text2"/>
          <w:sz w:val="18"/>
          <w:szCs w:val="18"/>
        </w:rPr>
        <w:instrText xml:space="preserve"> SEQ Cuadro_1. \* ARABIC </w:instrText>
      </w:r>
      <w:r w:rsidR="00EB6BA6" w:rsidRPr="001E2F6E">
        <w:rPr>
          <w:b/>
          <w:color w:val="1F497D" w:themeColor="text2"/>
          <w:sz w:val="18"/>
          <w:szCs w:val="18"/>
        </w:rPr>
        <w:fldChar w:fldCharType="separate"/>
      </w:r>
      <w:r w:rsidR="00A327D4">
        <w:rPr>
          <w:b/>
          <w:noProof/>
          <w:color w:val="1F497D" w:themeColor="text2"/>
          <w:sz w:val="18"/>
          <w:szCs w:val="18"/>
        </w:rPr>
        <w:t>64</w:t>
      </w:r>
      <w:r w:rsidR="00EB6BA6" w:rsidRPr="001E2F6E">
        <w:rPr>
          <w:b/>
          <w:color w:val="1F497D" w:themeColor="text2"/>
          <w:sz w:val="18"/>
          <w:szCs w:val="18"/>
        </w:rPr>
        <w:fldChar w:fldCharType="end"/>
      </w:r>
      <w:r w:rsidRPr="001E2F6E">
        <w:rPr>
          <w:b/>
          <w:color w:val="1F497D" w:themeColor="text2"/>
          <w:sz w:val="18"/>
          <w:szCs w:val="18"/>
        </w:rPr>
        <w:t xml:space="preserve"> Taula ENPLEGUKO INBESTIMENDU-RATIOAK, FORMA JURIDIKOAREN ARABERA. 2012</w:t>
      </w:r>
      <w:bookmarkEnd w:id="232"/>
      <w:bookmarkEnd w:id="233"/>
    </w:p>
    <w:tbl>
      <w:tblPr>
        <w:tblW w:w="5000" w:type="pct"/>
        <w:jc w:val="center"/>
        <w:tblBorders>
          <w:bottom w:val="single" w:sz="4" w:space="0" w:color="BFBFBF" w:themeColor="background1" w:themeShade="BF"/>
        </w:tblBorders>
        <w:tblLook w:val="04A0" w:firstRow="1" w:lastRow="0" w:firstColumn="1" w:lastColumn="0" w:noHBand="0" w:noVBand="1"/>
      </w:tblPr>
      <w:tblGrid>
        <w:gridCol w:w="1346"/>
        <w:gridCol w:w="937"/>
        <w:gridCol w:w="705"/>
        <w:gridCol w:w="1346"/>
        <w:gridCol w:w="937"/>
        <w:gridCol w:w="705"/>
        <w:gridCol w:w="1346"/>
        <w:gridCol w:w="937"/>
        <w:gridCol w:w="745"/>
      </w:tblGrid>
      <w:tr w:rsidR="00195BE7" w:rsidRPr="001E2F6E" w:rsidTr="00195BE7">
        <w:trPr>
          <w:jc w:val="center"/>
        </w:trPr>
        <w:tc>
          <w:tcPr>
            <w:tcW w:w="1651" w:type="pct"/>
            <w:gridSpan w:val="3"/>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hideMark/>
          </w:tcPr>
          <w:p w:rsidR="00195BE7" w:rsidRPr="001E2F6E" w:rsidRDefault="00195BE7" w:rsidP="00195BE7">
            <w:pPr>
              <w:spacing w:line="240" w:lineRule="exact"/>
              <w:jc w:val="center"/>
              <w:rPr>
                <w:b/>
                <w:bCs/>
                <w:sz w:val="16"/>
                <w:szCs w:val="16"/>
              </w:rPr>
            </w:pPr>
            <w:r w:rsidRPr="001E2F6E">
              <w:rPr>
                <w:b/>
                <w:bCs/>
                <w:sz w:val="16"/>
                <w:szCs w:val="16"/>
                <w:lang w:val="en-GB"/>
              </w:rPr>
              <w:t>Koop.</w:t>
            </w:r>
          </w:p>
        </w:tc>
        <w:tc>
          <w:tcPr>
            <w:tcW w:w="1573" w:type="pct"/>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hideMark/>
          </w:tcPr>
          <w:p w:rsidR="00195BE7" w:rsidRPr="001E2F6E" w:rsidRDefault="00195BE7" w:rsidP="00195BE7">
            <w:pPr>
              <w:spacing w:line="240" w:lineRule="exact"/>
              <w:jc w:val="center"/>
              <w:rPr>
                <w:b/>
                <w:bCs/>
                <w:sz w:val="16"/>
                <w:szCs w:val="16"/>
              </w:rPr>
            </w:pPr>
            <w:r w:rsidRPr="001E2F6E">
              <w:rPr>
                <w:b/>
                <w:bCs/>
                <w:sz w:val="16"/>
                <w:szCs w:val="16"/>
                <w:lang w:val="en-GB"/>
              </w:rPr>
              <w:t>LSA</w:t>
            </w:r>
          </w:p>
        </w:tc>
        <w:tc>
          <w:tcPr>
            <w:tcW w:w="1776" w:type="pct"/>
            <w:gridSpan w:val="3"/>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hideMark/>
          </w:tcPr>
          <w:p w:rsidR="00195BE7" w:rsidRPr="001E2F6E" w:rsidRDefault="00195BE7" w:rsidP="00195BE7">
            <w:pPr>
              <w:spacing w:line="240" w:lineRule="exact"/>
              <w:jc w:val="center"/>
              <w:rPr>
                <w:b/>
                <w:bCs/>
                <w:sz w:val="16"/>
                <w:szCs w:val="16"/>
              </w:rPr>
            </w:pPr>
            <w:r w:rsidRPr="001E2F6E">
              <w:rPr>
                <w:b/>
                <w:bCs/>
                <w:sz w:val="16"/>
                <w:szCs w:val="16"/>
                <w:lang w:val="en-GB"/>
              </w:rPr>
              <w:t>LSM</w:t>
            </w:r>
          </w:p>
        </w:tc>
      </w:tr>
      <w:tr w:rsidR="00195BE7" w:rsidRPr="001E2F6E" w:rsidTr="00195BE7">
        <w:trPr>
          <w:jc w:val="center"/>
        </w:trPr>
        <w:tc>
          <w:tcPr>
            <w:tcW w:w="614" w:type="pct"/>
            <w:tcBorders>
              <w:top w:val="single" w:sz="4" w:space="0" w:color="BFBFBF" w:themeColor="background1" w:themeShade="BF"/>
              <w:bottom w:val="single" w:sz="4" w:space="0" w:color="BFBFBF" w:themeColor="background1" w:themeShade="BF"/>
            </w:tcBorders>
            <w:shd w:val="clear" w:color="auto" w:fill="DBE5F1" w:themeFill="accent1" w:themeFillTint="33"/>
            <w:hideMark/>
          </w:tcPr>
          <w:p w:rsidR="00195BE7" w:rsidRPr="001E2F6E" w:rsidRDefault="00195BE7" w:rsidP="00195BE7">
            <w:pPr>
              <w:spacing w:line="240" w:lineRule="exact"/>
              <w:jc w:val="center"/>
              <w:rPr>
                <w:b/>
                <w:sz w:val="16"/>
                <w:szCs w:val="16"/>
                <w:lang w:val="eu-ES"/>
              </w:rPr>
            </w:pPr>
            <w:r w:rsidRPr="001E2F6E">
              <w:rPr>
                <w:b/>
                <w:sz w:val="16"/>
                <w:szCs w:val="16"/>
                <w:lang w:val="eu-ES"/>
              </w:rPr>
              <w:t>Inbestimendua</w:t>
            </w:r>
          </w:p>
        </w:tc>
        <w:tc>
          <w:tcPr>
            <w:tcW w:w="536" w:type="pct"/>
            <w:tcBorders>
              <w:top w:val="single" w:sz="4" w:space="0" w:color="BFBFBF" w:themeColor="background1" w:themeShade="BF"/>
              <w:bottom w:val="single" w:sz="4" w:space="0" w:color="BFBFBF" w:themeColor="background1" w:themeShade="BF"/>
            </w:tcBorders>
            <w:shd w:val="clear" w:color="auto" w:fill="DBE5F1" w:themeFill="accent1" w:themeFillTint="33"/>
            <w:hideMark/>
          </w:tcPr>
          <w:p w:rsidR="00195BE7" w:rsidRPr="001E2F6E" w:rsidRDefault="00195BE7" w:rsidP="00195BE7">
            <w:pPr>
              <w:spacing w:line="240" w:lineRule="exact"/>
              <w:jc w:val="center"/>
              <w:rPr>
                <w:b/>
                <w:sz w:val="16"/>
                <w:szCs w:val="16"/>
                <w:lang w:val="eu-ES"/>
              </w:rPr>
            </w:pPr>
            <w:r w:rsidRPr="001E2F6E">
              <w:rPr>
                <w:b/>
                <w:sz w:val="16"/>
                <w:szCs w:val="16"/>
                <w:lang w:val="eu-ES"/>
              </w:rPr>
              <w:t>Enplegua</w:t>
            </w:r>
          </w:p>
        </w:tc>
        <w:tc>
          <w:tcPr>
            <w:tcW w:w="501"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hideMark/>
          </w:tcPr>
          <w:p w:rsidR="00195BE7" w:rsidRPr="001E2F6E" w:rsidRDefault="00195BE7" w:rsidP="00195BE7">
            <w:pPr>
              <w:spacing w:line="240" w:lineRule="exact"/>
              <w:jc w:val="center"/>
              <w:rPr>
                <w:b/>
                <w:sz w:val="16"/>
                <w:szCs w:val="16"/>
                <w:lang w:val="eu-ES"/>
              </w:rPr>
            </w:pPr>
            <w:r w:rsidRPr="001E2F6E">
              <w:rPr>
                <w:b/>
                <w:sz w:val="16"/>
                <w:szCs w:val="16"/>
                <w:lang w:val="eu-ES"/>
              </w:rPr>
              <w:t>Ratioa</w:t>
            </w:r>
          </w:p>
        </w:tc>
        <w:tc>
          <w:tcPr>
            <w:tcW w:w="572"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hideMark/>
          </w:tcPr>
          <w:p w:rsidR="00195BE7" w:rsidRPr="001E2F6E" w:rsidRDefault="00195BE7" w:rsidP="00195BE7">
            <w:pPr>
              <w:spacing w:line="240" w:lineRule="exact"/>
              <w:jc w:val="center"/>
              <w:rPr>
                <w:b/>
                <w:sz w:val="16"/>
                <w:szCs w:val="16"/>
                <w:lang w:val="eu-ES"/>
              </w:rPr>
            </w:pPr>
            <w:r w:rsidRPr="001E2F6E">
              <w:rPr>
                <w:b/>
                <w:sz w:val="16"/>
                <w:szCs w:val="16"/>
                <w:lang w:val="eu-ES"/>
              </w:rPr>
              <w:t>Inbestimendua</w:t>
            </w:r>
          </w:p>
        </w:tc>
        <w:tc>
          <w:tcPr>
            <w:tcW w:w="500" w:type="pct"/>
            <w:tcBorders>
              <w:top w:val="single" w:sz="4" w:space="0" w:color="BFBFBF" w:themeColor="background1" w:themeShade="BF"/>
              <w:bottom w:val="single" w:sz="4" w:space="0" w:color="BFBFBF" w:themeColor="background1" w:themeShade="BF"/>
            </w:tcBorders>
            <w:shd w:val="clear" w:color="auto" w:fill="DBE5F1" w:themeFill="accent1" w:themeFillTint="33"/>
            <w:hideMark/>
          </w:tcPr>
          <w:p w:rsidR="00195BE7" w:rsidRPr="001E2F6E" w:rsidRDefault="00195BE7" w:rsidP="00195BE7">
            <w:pPr>
              <w:spacing w:line="240" w:lineRule="exact"/>
              <w:jc w:val="center"/>
              <w:rPr>
                <w:b/>
                <w:sz w:val="16"/>
                <w:szCs w:val="16"/>
                <w:lang w:val="eu-ES"/>
              </w:rPr>
            </w:pPr>
            <w:r w:rsidRPr="001E2F6E">
              <w:rPr>
                <w:b/>
                <w:sz w:val="16"/>
                <w:szCs w:val="16"/>
                <w:lang w:val="eu-ES"/>
              </w:rPr>
              <w:t>Enplegua</w:t>
            </w:r>
          </w:p>
        </w:tc>
        <w:tc>
          <w:tcPr>
            <w:tcW w:w="501"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hideMark/>
          </w:tcPr>
          <w:p w:rsidR="00195BE7" w:rsidRPr="001E2F6E" w:rsidRDefault="00195BE7" w:rsidP="00195BE7">
            <w:pPr>
              <w:spacing w:line="240" w:lineRule="exact"/>
              <w:jc w:val="center"/>
              <w:rPr>
                <w:b/>
                <w:sz w:val="16"/>
                <w:szCs w:val="16"/>
                <w:lang w:val="eu-ES"/>
              </w:rPr>
            </w:pPr>
            <w:r w:rsidRPr="001E2F6E">
              <w:rPr>
                <w:b/>
                <w:sz w:val="16"/>
                <w:szCs w:val="16"/>
                <w:lang w:val="eu-ES"/>
              </w:rPr>
              <w:t>Ratioa</w:t>
            </w:r>
          </w:p>
        </w:tc>
        <w:tc>
          <w:tcPr>
            <w:tcW w:w="644"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hideMark/>
          </w:tcPr>
          <w:p w:rsidR="00195BE7" w:rsidRPr="001E2F6E" w:rsidRDefault="00195BE7" w:rsidP="00195BE7">
            <w:pPr>
              <w:spacing w:line="240" w:lineRule="exact"/>
              <w:jc w:val="center"/>
              <w:rPr>
                <w:b/>
                <w:sz w:val="16"/>
                <w:szCs w:val="16"/>
                <w:lang w:val="eu-ES"/>
              </w:rPr>
            </w:pPr>
            <w:r w:rsidRPr="001E2F6E">
              <w:rPr>
                <w:b/>
                <w:sz w:val="16"/>
                <w:szCs w:val="16"/>
                <w:lang w:val="eu-ES"/>
              </w:rPr>
              <w:t>Inbestimendua</w:t>
            </w:r>
          </w:p>
        </w:tc>
        <w:tc>
          <w:tcPr>
            <w:tcW w:w="573" w:type="pct"/>
            <w:tcBorders>
              <w:top w:val="single" w:sz="4" w:space="0" w:color="BFBFBF" w:themeColor="background1" w:themeShade="BF"/>
              <w:bottom w:val="single" w:sz="4" w:space="0" w:color="BFBFBF" w:themeColor="background1" w:themeShade="BF"/>
            </w:tcBorders>
            <w:shd w:val="clear" w:color="auto" w:fill="DBE5F1" w:themeFill="accent1" w:themeFillTint="33"/>
            <w:hideMark/>
          </w:tcPr>
          <w:p w:rsidR="00195BE7" w:rsidRPr="001E2F6E" w:rsidRDefault="00195BE7" w:rsidP="00195BE7">
            <w:pPr>
              <w:spacing w:line="240" w:lineRule="exact"/>
              <w:jc w:val="center"/>
              <w:rPr>
                <w:b/>
                <w:sz w:val="16"/>
                <w:szCs w:val="16"/>
                <w:lang w:val="eu-ES"/>
              </w:rPr>
            </w:pPr>
            <w:r w:rsidRPr="001E2F6E">
              <w:rPr>
                <w:b/>
                <w:sz w:val="16"/>
                <w:szCs w:val="16"/>
                <w:lang w:val="eu-ES"/>
              </w:rPr>
              <w:t>Enplegua</w:t>
            </w:r>
          </w:p>
        </w:tc>
        <w:tc>
          <w:tcPr>
            <w:tcW w:w="559" w:type="pct"/>
            <w:tcBorders>
              <w:top w:val="single" w:sz="4" w:space="0" w:color="BFBFBF" w:themeColor="background1" w:themeShade="BF"/>
              <w:bottom w:val="single" w:sz="4" w:space="0" w:color="BFBFBF" w:themeColor="background1" w:themeShade="BF"/>
            </w:tcBorders>
            <w:shd w:val="clear" w:color="auto" w:fill="DBE5F1" w:themeFill="accent1" w:themeFillTint="33"/>
            <w:hideMark/>
          </w:tcPr>
          <w:p w:rsidR="00195BE7" w:rsidRPr="001E2F6E" w:rsidRDefault="00195BE7" w:rsidP="00195BE7">
            <w:pPr>
              <w:spacing w:line="240" w:lineRule="exact"/>
              <w:jc w:val="center"/>
              <w:rPr>
                <w:b/>
                <w:sz w:val="16"/>
                <w:szCs w:val="16"/>
                <w:lang w:val="eu-ES"/>
              </w:rPr>
            </w:pPr>
            <w:r w:rsidRPr="001E2F6E">
              <w:rPr>
                <w:b/>
                <w:sz w:val="16"/>
                <w:szCs w:val="16"/>
                <w:lang w:val="eu-ES"/>
              </w:rPr>
              <w:t>Ratioa</w:t>
            </w:r>
          </w:p>
        </w:tc>
      </w:tr>
      <w:tr w:rsidR="00195BE7" w:rsidRPr="001E2F6E" w:rsidTr="00195BE7">
        <w:trPr>
          <w:jc w:val="center"/>
        </w:trPr>
        <w:tc>
          <w:tcPr>
            <w:tcW w:w="614" w:type="pct"/>
            <w:tcBorders>
              <w:top w:val="single" w:sz="4" w:space="0" w:color="BFBFBF" w:themeColor="background1" w:themeShade="BF"/>
              <w:bottom w:val="single" w:sz="4" w:space="0" w:color="BFBFBF" w:themeColor="background1" w:themeShade="BF"/>
            </w:tcBorders>
            <w:hideMark/>
          </w:tcPr>
          <w:p w:rsidR="00195BE7" w:rsidRPr="001E2F6E" w:rsidRDefault="00195BE7" w:rsidP="00195BE7">
            <w:pPr>
              <w:spacing w:line="240" w:lineRule="exact"/>
              <w:jc w:val="center"/>
              <w:rPr>
                <w:sz w:val="16"/>
                <w:szCs w:val="16"/>
              </w:rPr>
            </w:pPr>
            <w:r w:rsidRPr="001E2F6E">
              <w:rPr>
                <w:sz w:val="16"/>
                <w:szCs w:val="16"/>
              </w:rPr>
              <w:t>166.417.814</w:t>
            </w:r>
          </w:p>
        </w:tc>
        <w:tc>
          <w:tcPr>
            <w:tcW w:w="536" w:type="pct"/>
            <w:tcBorders>
              <w:top w:val="single" w:sz="4" w:space="0" w:color="BFBFBF" w:themeColor="background1" w:themeShade="BF"/>
              <w:bottom w:val="single" w:sz="4" w:space="0" w:color="BFBFBF" w:themeColor="background1" w:themeShade="BF"/>
            </w:tcBorders>
            <w:hideMark/>
          </w:tcPr>
          <w:p w:rsidR="00195BE7" w:rsidRPr="001E2F6E" w:rsidRDefault="00195BE7" w:rsidP="00195BE7">
            <w:pPr>
              <w:spacing w:line="240" w:lineRule="exact"/>
              <w:jc w:val="center"/>
              <w:rPr>
                <w:sz w:val="16"/>
                <w:szCs w:val="16"/>
              </w:rPr>
            </w:pPr>
            <w:r w:rsidRPr="001E2F6E">
              <w:rPr>
                <w:sz w:val="16"/>
                <w:szCs w:val="16"/>
              </w:rPr>
              <w:t>47.981</w:t>
            </w:r>
          </w:p>
        </w:tc>
        <w:tc>
          <w:tcPr>
            <w:tcW w:w="501" w:type="pct"/>
            <w:tcBorders>
              <w:top w:val="single" w:sz="4" w:space="0" w:color="BFBFBF" w:themeColor="background1" w:themeShade="BF"/>
              <w:bottom w:val="single" w:sz="4" w:space="0" w:color="BFBFBF" w:themeColor="background1" w:themeShade="BF"/>
              <w:right w:val="single" w:sz="4" w:space="0" w:color="BFBFBF" w:themeColor="background1" w:themeShade="BF"/>
            </w:tcBorders>
            <w:hideMark/>
          </w:tcPr>
          <w:p w:rsidR="00195BE7" w:rsidRPr="001E2F6E" w:rsidRDefault="00195BE7" w:rsidP="00195BE7">
            <w:pPr>
              <w:spacing w:line="240" w:lineRule="exact"/>
              <w:jc w:val="center"/>
              <w:rPr>
                <w:sz w:val="16"/>
                <w:szCs w:val="16"/>
              </w:rPr>
            </w:pPr>
            <w:r w:rsidRPr="001E2F6E">
              <w:rPr>
                <w:sz w:val="16"/>
                <w:szCs w:val="16"/>
              </w:rPr>
              <w:t>3.468</w:t>
            </w:r>
          </w:p>
        </w:tc>
        <w:tc>
          <w:tcPr>
            <w:tcW w:w="572" w:type="pct"/>
            <w:tcBorders>
              <w:top w:val="single" w:sz="4" w:space="0" w:color="BFBFBF" w:themeColor="background1" w:themeShade="BF"/>
              <w:left w:val="single" w:sz="4" w:space="0" w:color="BFBFBF" w:themeColor="background1" w:themeShade="BF"/>
              <w:bottom w:val="single" w:sz="4" w:space="0" w:color="BFBFBF" w:themeColor="background1" w:themeShade="BF"/>
            </w:tcBorders>
            <w:hideMark/>
          </w:tcPr>
          <w:p w:rsidR="00195BE7" w:rsidRPr="001E2F6E" w:rsidRDefault="00195BE7" w:rsidP="00195BE7">
            <w:pPr>
              <w:spacing w:line="240" w:lineRule="exact"/>
              <w:jc w:val="center"/>
              <w:rPr>
                <w:sz w:val="16"/>
                <w:szCs w:val="16"/>
              </w:rPr>
            </w:pPr>
            <w:r w:rsidRPr="001E2F6E">
              <w:rPr>
                <w:sz w:val="16"/>
                <w:szCs w:val="16"/>
              </w:rPr>
              <w:t>10.549.696</w:t>
            </w:r>
          </w:p>
        </w:tc>
        <w:tc>
          <w:tcPr>
            <w:tcW w:w="500" w:type="pct"/>
            <w:tcBorders>
              <w:top w:val="single" w:sz="4" w:space="0" w:color="BFBFBF" w:themeColor="background1" w:themeShade="BF"/>
              <w:bottom w:val="single" w:sz="4" w:space="0" w:color="BFBFBF" w:themeColor="background1" w:themeShade="BF"/>
            </w:tcBorders>
            <w:hideMark/>
          </w:tcPr>
          <w:p w:rsidR="00195BE7" w:rsidRPr="001E2F6E" w:rsidRDefault="00195BE7" w:rsidP="00195BE7">
            <w:pPr>
              <w:spacing w:line="240" w:lineRule="exact"/>
              <w:jc w:val="center"/>
              <w:rPr>
                <w:sz w:val="16"/>
                <w:szCs w:val="16"/>
              </w:rPr>
            </w:pPr>
            <w:r w:rsidRPr="001E2F6E">
              <w:rPr>
                <w:sz w:val="16"/>
                <w:szCs w:val="16"/>
              </w:rPr>
              <w:t>4.005</w:t>
            </w:r>
          </w:p>
        </w:tc>
        <w:tc>
          <w:tcPr>
            <w:tcW w:w="501" w:type="pct"/>
            <w:tcBorders>
              <w:top w:val="single" w:sz="4" w:space="0" w:color="BFBFBF" w:themeColor="background1" w:themeShade="BF"/>
              <w:bottom w:val="single" w:sz="4" w:space="0" w:color="BFBFBF" w:themeColor="background1" w:themeShade="BF"/>
              <w:right w:val="single" w:sz="4" w:space="0" w:color="BFBFBF" w:themeColor="background1" w:themeShade="BF"/>
            </w:tcBorders>
            <w:hideMark/>
          </w:tcPr>
          <w:p w:rsidR="00195BE7" w:rsidRPr="001E2F6E" w:rsidRDefault="00195BE7" w:rsidP="00195BE7">
            <w:pPr>
              <w:spacing w:line="240" w:lineRule="exact"/>
              <w:jc w:val="center"/>
              <w:rPr>
                <w:sz w:val="16"/>
                <w:szCs w:val="16"/>
              </w:rPr>
            </w:pPr>
            <w:r w:rsidRPr="001E2F6E">
              <w:rPr>
                <w:sz w:val="16"/>
                <w:szCs w:val="16"/>
              </w:rPr>
              <w:t>2.634</w:t>
            </w:r>
          </w:p>
        </w:tc>
        <w:tc>
          <w:tcPr>
            <w:tcW w:w="644" w:type="pct"/>
            <w:tcBorders>
              <w:top w:val="single" w:sz="4" w:space="0" w:color="BFBFBF" w:themeColor="background1" w:themeShade="BF"/>
              <w:left w:val="single" w:sz="4" w:space="0" w:color="BFBFBF" w:themeColor="background1" w:themeShade="BF"/>
            </w:tcBorders>
            <w:hideMark/>
          </w:tcPr>
          <w:p w:rsidR="00195BE7" w:rsidRPr="001E2F6E" w:rsidRDefault="00195BE7" w:rsidP="00195BE7">
            <w:pPr>
              <w:spacing w:line="240" w:lineRule="exact"/>
              <w:jc w:val="center"/>
              <w:rPr>
                <w:sz w:val="16"/>
                <w:szCs w:val="16"/>
              </w:rPr>
            </w:pPr>
            <w:r w:rsidRPr="001E2F6E">
              <w:rPr>
                <w:sz w:val="16"/>
                <w:szCs w:val="16"/>
              </w:rPr>
              <w:t>5.128.237</w:t>
            </w:r>
          </w:p>
        </w:tc>
        <w:tc>
          <w:tcPr>
            <w:tcW w:w="573" w:type="pct"/>
            <w:tcBorders>
              <w:top w:val="single" w:sz="4" w:space="0" w:color="BFBFBF" w:themeColor="background1" w:themeShade="BF"/>
            </w:tcBorders>
            <w:hideMark/>
          </w:tcPr>
          <w:p w:rsidR="00195BE7" w:rsidRPr="001E2F6E" w:rsidRDefault="00195BE7" w:rsidP="00195BE7">
            <w:pPr>
              <w:spacing w:line="240" w:lineRule="exact"/>
              <w:jc w:val="center"/>
              <w:rPr>
                <w:sz w:val="16"/>
                <w:szCs w:val="16"/>
              </w:rPr>
            </w:pPr>
            <w:r w:rsidRPr="001E2F6E">
              <w:rPr>
                <w:sz w:val="16"/>
                <w:szCs w:val="16"/>
              </w:rPr>
              <w:t>3.823</w:t>
            </w:r>
          </w:p>
        </w:tc>
        <w:tc>
          <w:tcPr>
            <w:tcW w:w="559" w:type="pct"/>
            <w:tcBorders>
              <w:top w:val="single" w:sz="4" w:space="0" w:color="BFBFBF" w:themeColor="background1" w:themeShade="BF"/>
            </w:tcBorders>
            <w:hideMark/>
          </w:tcPr>
          <w:p w:rsidR="00195BE7" w:rsidRPr="001E2F6E" w:rsidRDefault="00195BE7" w:rsidP="00195BE7">
            <w:pPr>
              <w:spacing w:line="240" w:lineRule="exact"/>
              <w:jc w:val="center"/>
              <w:rPr>
                <w:sz w:val="16"/>
                <w:szCs w:val="16"/>
              </w:rPr>
            </w:pPr>
            <w:r w:rsidRPr="001E2F6E">
              <w:rPr>
                <w:sz w:val="16"/>
                <w:szCs w:val="16"/>
              </w:rPr>
              <w:t>1.341</w:t>
            </w:r>
          </w:p>
        </w:tc>
      </w:tr>
    </w:tbl>
    <w:p w:rsidR="00195BE7" w:rsidRPr="001E2F6E" w:rsidRDefault="00195BE7" w:rsidP="00195BE7"/>
    <w:p w:rsidR="00195BE7" w:rsidRPr="001E2F6E" w:rsidRDefault="00195BE7" w:rsidP="00195BE7">
      <w:pPr>
        <w:spacing w:line="240" w:lineRule="auto"/>
        <w:jc w:val="center"/>
        <w:rPr>
          <w:b/>
          <w:color w:val="1F497D" w:themeColor="text2"/>
          <w:sz w:val="18"/>
          <w:szCs w:val="18"/>
        </w:rPr>
      </w:pPr>
      <w:bookmarkStart w:id="234" w:name="_Toc391989135"/>
      <w:bookmarkStart w:id="235" w:name="_Toc392585800"/>
      <w:r w:rsidRPr="001E2F6E">
        <w:rPr>
          <w:b/>
          <w:color w:val="1F497D" w:themeColor="text2"/>
          <w:sz w:val="18"/>
          <w:szCs w:val="18"/>
        </w:rPr>
        <w:t>1.</w:t>
      </w:r>
      <w:r w:rsidR="00EB6BA6" w:rsidRPr="001E2F6E">
        <w:rPr>
          <w:b/>
          <w:color w:val="1F497D" w:themeColor="text2"/>
          <w:sz w:val="18"/>
          <w:szCs w:val="18"/>
        </w:rPr>
        <w:fldChar w:fldCharType="begin"/>
      </w:r>
      <w:r w:rsidRPr="001E2F6E">
        <w:rPr>
          <w:b/>
          <w:color w:val="1F497D" w:themeColor="text2"/>
          <w:sz w:val="18"/>
          <w:szCs w:val="18"/>
        </w:rPr>
        <w:instrText xml:space="preserve"> SEQ Cuadro_1. \* ARABIC </w:instrText>
      </w:r>
      <w:r w:rsidR="00EB6BA6" w:rsidRPr="001E2F6E">
        <w:rPr>
          <w:b/>
          <w:color w:val="1F497D" w:themeColor="text2"/>
          <w:sz w:val="18"/>
          <w:szCs w:val="18"/>
        </w:rPr>
        <w:fldChar w:fldCharType="separate"/>
      </w:r>
      <w:r w:rsidR="00A327D4">
        <w:rPr>
          <w:b/>
          <w:noProof/>
          <w:color w:val="1F497D" w:themeColor="text2"/>
          <w:sz w:val="18"/>
          <w:szCs w:val="18"/>
        </w:rPr>
        <w:t>65</w:t>
      </w:r>
      <w:r w:rsidR="00EB6BA6" w:rsidRPr="001E2F6E">
        <w:rPr>
          <w:b/>
          <w:color w:val="1F497D" w:themeColor="text2"/>
          <w:sz w:val="18"/>
          <w:szCs w:val="18"/>
        </w:rPr>
        <w:fldChar w:fldCharType="end"/>
      </w:r>
      <w:r w:rsidRPr="001E2F6E">
        <w:rPr>
          <w:b/>
          <w:color w:val="1F497D" w:themeColor="text2"/>
          <w:sz w:val="18"/>
          <w:szCs w:val="18"/>
        </w:rPr>
        <w:t xml:space="preserve"> Taula 2012an GIZARTE-EKONOMIAK IBILGETU MATERIALEAN EGINDAKO INBESTIMENDUEN ARLOZ ARLOKO BANAKETA, LURRALDE HISTORIKOAREN ARABERA 2010 (</w:t>
      </w:r>
      <w:r w:rsidR="00462130" w:rsidRPr="001E2F6E">
        <w:rPr>
          <w:b/>
          <w:color w:val="1F497D" w:themeColor="text2"/>
          <w:sz w:val="18"/>
          <w:szCs w:val="18"/>
        </w:rPr>
        <w:t xml:space="preserve">zifra absolutuak </w:t>
      </w:r>
      <w:r w:rsidRPr="001E2F6E">
        <w:rPr>
          <w:b/>
          <w:color w:val="1F497D" w:themeColor="text2"/>
          <w:sz w:val="18"/>
          <w:szCs w:val="18"/>
        </w:rPr>
        <w:t>eta %bertikalak)</w:t>
      </w:r>
      <w:bookmarkEnd w:id="234"/>
      <w:bookmarkEnd w:id="235"/>
    </w:p>
    <w:tbl>
      <w:tblPr>
        <w:tblW w:w="5000" w:type="pct"/>
        <w:jc w:val="center"/>
        <w:tblCellMar>
          <w:left w:w="70" w:type="dxa"/>
          <w:right w:w="70" w:type="dxa"/>
        </w:tblCellMar>
        <w:tblLook w:val="04A0" w:firstRow="1" w:lastRow="0" w:firstColumn="1" w:lastColumn="0" w:noHBand="0" w:noVBand="1"/>
      </w:tblPr>
      <w:tblGrid>
        <w:gridCol w:w="1371"/>
        <w:gridCol w:w="1245"/>
        <w:gridCol w:w="662"/>
        <w:gridCol w:w="1196"/>
        <w:gridCol w:w="716"/>
        <w:gridCol w:w="1228"/>
        <w:gridCol w:w="627"/>
        <w:gridCol w:w="1228"/>
        <w:gridCol w:w="655"/>
      </w:tblGrid>
      <w:tr w:rsidR="00195BE7" w:rsidRPr="001E2F6E" w:rsidTr="00195BE7">
        <w:trPr>
          <w:jc w:val="center"/>
        </w:trPr>
        <w:tc>
          <w:tcPr>
            <w:tcW w:w="767" w:type="pct"/>
            <w:vMerge w:val="restart"/>
            <w:tcBorders>
              <w:top w:val="single" w:sz="8" w:space="0" w:color="BFBFBF"/>
              <w:left w:val="nil"/>
              <w:bottom w:val="single" w:sz="8" w:space="0" w:color="BFBFBF"/>
              <w:right w:val="single" w:sz="4" w:space="0" w:color="BFBFBF" w:themeColor="background1" w:themeShade="BF"/>
            </w:tcBorders>
            <w:shd w:val="clear" w:color="000000" w:fill="DBE5F1"/>
            <w:hideMark/>
          </w:tcPr>
          <w:p w:rsidR="00195BE7" w:rsidRPr="001E2F6E" w:rsidRDefault="00195BE7" w:rsidP="00195BE7">
            <w:pPr>
              <w:spacing w:line="240" w:lineRule="exact"/>
              <w:rPr>
                <w:rFonts w:ascii="Calibri" w:hAnsi="Calibri"/>
                <w:color w:val="000000"/>
              </w:rPr>
            </w:pPr>
            <w:r w:rsidRPr="001E2F6E">
              <w:rPr>
                <w:rFonts w:ascii="Calibri" w:hAnsi="Calibri"/>
                <w:color w:val="000000"/>
              </w:rPr>
              <w:t> </w:t>
            </w:r>
          </w:p>
        </w:tc>
        <w:tc>
          <w:tcPr>
            <w:tcW w:w="1068" w:type="pct"/>
            <w:gridSpan w:val="2"/>
            <w:tcBorders>
              <w:top w:val="single" w:sz="8" w:space="0" w:color="BFBFBF"/>
              <w:left w:val="single" w:sz="4" w:space="0" w:color="BFBFBF" w:themeColor="background1" w:themeShade="BF"/>
              <w:bottom w:val="single" w:sz="8" w:space="0" w:color="BFBFBF"/>
              <w:right w:val="single" w:sz="4" w:space="0" w:color="BFBFBF" w:themeColor="background1" w:themeShade="BF"/>
            </w:tcBorders>
            <w:shd w:val="clear" w:color="000000" w:fill="DBE5F1"/>
            <w:hideMark/>
          </w:tcPr>
          <w:p w:rsidR="00195BE7" w:rsidRPr="001E2F6E" w:rsidRDefault="00195BE7" w:rsidP="00195BE7">
            <w:pPr>
              <w:spacing w:line="240" w:lineRule="exact"/>
              <w:jc w:val="center"/>
              <w:rPr>
                <w:b/>
                <w:bCs/>
                <w:sz w:val="16"/>
                <w:szCs w:val="16"/>
              </w:rPr>
            </w:pPr>
            <w:r w:rsidRPr="001E2F6E">
              <w:rPr>
                <w:b/>
                <w:bCs/>
                <w:sz w:val="16"/>
                <w:szCs w:val="16"/>
                <w:lang w:val="en-GB"/>
              </w:rPr>
              <w:t>EAE</w:t>
            </w:r>
          </w:p>
        </w:tc>
        <w:tc>
          <w:tcPr>
            <w:tcW w:w="1071" w:type="pct"/>
            <w:gridSpan w:val="2"/>
            <w:tcBorders>
              <w:top w:val="single" w:sz="8" w:space="0" w:color="BFBFBF"/>
              <w:left w:val="single" w:sz="4" w:space="0" w:color="BFBFBF" w:themeColor="background1" w:themeShade="BF"/>
              <w:bottom w:val="single" w:sz="8" w:space="0" w:color="BFBFBF"/>
              <w:right w:val="single" w:sz="4" w:space="0" w:color="BFBFBF" w:themeColor="background1" w:themeShade="BF"/>
            </w:tcBorders>
            <w:shd w:val="clear" w:color="000000" w:fill="DBE5F1"/>
            <w:hideMark/>
          </w:tcPr>
          <w:p w:rsidR="00195BE7" w:rsidRPr="001E2F6E" w:rsidRDefault="00195BE7" w:rsidP="00195BE7">
            <w:pPr>
              <w:spacing w:line="240" w:lineRule="exact"/>
              <w:jc w:val="center"/>
              <w:rPr>
                <w:b/>
                <w:bCs/>
                <w:sz w:val="16"/>
                <w:szCs w:val="16"/>
              </w:rPr>
            </w:pPr>
            <w:r w:rsidRPr="001E2F6E">
              <w:rPr>
                <w:b/>
                <w:bCs/>
                <w:sz w:val="16"/>
                <w:szCs w:val="16"/>
                <w:lang w:val="en-GB"/>
              </w:rPr>
              <w:t>Araba</w:t>
            </w:r>
          </w:p>
        </w:tc>
        <w:tc>
          <w:tcPr>
            <w:tcW w:w="1039" w:type="pct"/>
            <w:gridSpan w:val="2"/>
            <w:tcBorders>
              <w:top w:val="single" w:sz="8" w:space="0" w:color="BFBFBF"/>
              <w:left w:val="single" w:sz="4" w:space="0" w:color="BFBFBF" w:themeColor="background1" w:themeShade="BF"/>
              <w:bottom w:val="single" w:sz="8" w:space="0" w:color="BFBFBF"/>
              <w:right w:val="single" w:sz="4" w:space="0" w:color="BFBFBF" w:themeColor="background1" w:themeShade="BF"/>
            </w:tcBorders>
            <w:shd w:val="clear" w:color="000000" w:fill="DBE5F1"/>
            <w:hideMark/>
          </w:tcPr>
          <w:p w:rsidR="00195BE7" w:rsidRPr="001E2F6E" w:rsidRDefault="00195BE7" w:rsidP="00195BE7">
            <w:pPr>
              <w:spacing w:line="240" w:lineRule="exact"/>
              <w:jc w:val="center"/>
              <w:rPr>
                <w:b/>
                <w:bCs/>
                <w:sz w:val="16"/>
                <w:szCs w:val="16"/>
              </w:rPr>
            </w:pPr>
            <w:r w:rsidRPr="001E2F6E">
              <w:rPr>
                <w:b/>
                <w:bCs/>
                <w:sz w:val="16"/>
                <w:szCs w:val="16"/>
                <w:lang w:val="en-GB"/>
              </w:rPr>
              <w:t>Gipuzkoa</w:t>
            </w:r>
          </w:p>
        </w:tc>
        <w:tc>
          <w:tcPr>
            <w:tcW w:w="1056" w:type="pct"/>
            <w:gridSpan w:val="2"/>
            <w:tcBorders>
              <w:top w:val="single" w:sz="8" w:space="0" w:color="BFBFBF"/>
              <w:left w:val="single" w:sz="4" w:space="0" w:color="BFBFBF" w:themeColor="background1" w:themeShade="BF"/>
              <w:bottom w:val="single" w:sz="8" w:space="0" w:color="BFBFBF"/>
              <w:right w:val="nil"/>
            </w:tcBorders>
            <w:shd w:val="clear" w:color="000000" w:fill="DBE5F1"/>
            <w:hideMark/>
          </w:tcPr>
          <w:p w:rsidR="00195BE7" w:rsidRPr="001E2F6E" w:rsidRDefault="00195BE7" w:rsidP="00195BE7">
            <w:pPr>
              <w:spacing w:line="240" w:lineRule="exact"/>
              <w:jc w:val="center"/>
              <w:rPr>
                <w:b/>
                <w:bCs/>
                <w:sz w:val="16"/>
                <w:szCs w:val="16"/>
              </w:rPr>
            </w:pPr>
            <w:r w:rsidRPr="001E2F6E">
              <w:rPr>
                <w:b/>
                <w:bCs/>
                <w:sz w:val="16"/>
                <w:szCs w:val="16"/>
                <w:lang w:val="en-GB"/>
              </w:rPr>
              <w:t>Bizkaia</w:t>
            </w:r>
          </w:p>
        </w:tc>
      </w:tr>
      <w:tr w:rsidR="00195BE7" w:rsidRPr="001E2F6E" w:rsidTr="00195BE7">
        <w:trPr>
          <w:jc w:val="center"/>
        </w:trPr>
        <w:tc>
          <w:tcPr>
            <w:tcW w:w="767" w:type="pct"/>
            <w:vMerge/>
            <w:tcBorders>
              <w:top w:val="single" w:sz="8" w:space="0" w:color="BFBFBF"/>
              <w:left w:val="nil"/>
              <w:bottom w:val="single" w:sz="8" w:space="0" w:color="BFBFBF"/>
              <w:right w:val="single" w:sz="4" w:space="0" w:color="BFBFBF" w:themeColor="background1" w:themeShade="BF"/>
            </w:tcBorders>
            <w:vAlign w:val="center"/>
            <w:hideMark/>
          </w:tcPr>
          <w:p w:rsidR="00195BE7" w:rsidRPr="001E2F6E" w:rsidRDefault="00195BE7" w:rsidP="00195BE7">
            <w:pPr>
              <w:spacing w:line="240" w:lineRule="exact"/>
              <w:rPr>
                <w:rFonts w:ascii="Calibri" w:hAnsi="Calibri"/>
                <w:color w:val="000000"/>
              </w:rPr>
            </w:pPr>
          </w:p>
        </w:tc>
        <w:tc>
          <w:tcPr>
            <w:tcW w:w="697" w:type="pct"/>
            <w:tcBorders>
              <w:top w:val="nil"/>
              <w:left w:val="single" w:sz="4" w:space="0" w:color="BFBFBF" w:themeColor="background1" w:themeShade="BF"/>
              <w:bottom w:val="single" w:sz="8" w:space="0" w:color="BFBFBF"/>
            </w:tcBorders>
            <w:shd w:val="clear" w:color="000000" w:fill="DBE5F1"/>
            <w:hideMark/>
          </w:tcPr>
          <w:p w:rsidR="00195BE7" w:rsidRPr="001E2F6E" w:rsidRDefault="00195BE7" w:rsidP="00195BE7">
            <w:pPr>
              <w:spacing w:line="240" w:lineRule="exact"/>
              <w:jc w:val="center"/>
              <w:rPr>
                <w:rFonts w:eastAsia="Times New Roman"/>
                <w:b/>
                <w:bCs/>
                <w:color w:val="000000"/>
                <w:sz w:val="16"/>
                <w:szCs w:val="16"/>
                <w:lang w:eastAsia="es-ES"/>
              </w:rPr>
            </w:pPr>
            <w:r w:rsidRPr="001E2F6E">
              <w:rPr>
                <w:rFonts w:eastAsia="Times New Roman"/>
                <w:b/>
                <w:bCs/>
                <w:color w:val="000000"/>
                <w:sz w:val="16"/>
                <w:szCs w:val="16"/>
                <w:lang w:eastAsia="es-ES"/>
              </w:rPr>
              <w:t>z.a.</w:t>
            </w:r>
          </w:p>
        </w:tc>
        <w:tc>
          <w:tcPr>
            <w:tcW w:w="371" w:type="pct"/>
            <w:tcBorders>
              <w:top w:val="nil"/>
              <w:left w:val="nil"/>
              <w:bottom w:val="single" w:sz="8" w:space="0" w:color="BFBFBF"/>
              <w:right w:val="single" w:sz="4" w:space="0" w:color="BFBFBF" w:themeColor="background1" w:themeShade="BF"/>
            </w:tcBorders>
            <w:shd w:val="clear" w:color="000000" w:fill="DBE5F1"/>
            <w:hideMark/>
          </w:tcPr>
          <w:p w:rsidR="00195BE7" w:rsidRPr="001E2F6E" w:rsidRDefault="00195BE7" w:rsidP="00195BE7">
            <w:pPr>
              <w:spacing w:line="240" w:lineRule="exact"/>
              <w:jc w:val="center"/>
              <w:rPr>
                <w:rFonts w:eastAsia="Times New Roman"/>
                <w:b/>
                <w:bCs/>
                <w:color w:val="000000"/>
                <w:sz w:val="16"/>
                <w:szCs w:val="16"/>
                <w:lang w:eastAsia="es-ES"/>
              </w:rPr>
            </w:pPr>
            <w:r w:rsidRPr="001E2F6E">
              <w:rPr>
                <w:rFonts w:eastAsia="Times New Roman"/>
                <w:b/>
                <w:bCs/>
                <w:color w:val="000000"/>
                <w:sz w:val="16"/>
                <w:szCs w:val="16"/>
                <w:lang w:eastAsia="es-ES"/>
              </w:rPr>
              <w:t>%ber.</w:t>
            </w:r>
          </w:p>
        </w:tc>
        <w:tc>
          <w:tcPr>
            <w:tcW w:w="670" w:type="pct"/>
            <w:tcBorders>
              <w:top w:val="nil"/>
              <w:left w:val="single" w:sz="4" w:space="0" w:color="BFBFBF" w:themeColor="background1" w:themeShade="BF"/>
              <w:bottom w:val="single" w:sz="8" w:space="0" w:color="BFBFBF"/>
            </w:tcBorders>
            <w:shd w:val="clear" w:color="000000" w:fill="DBE5F1"/>
            <w:hideMark/>
          </w:tcPr>
          <w:p w:rsidR="00195BE7" w:rsidRPr="001E2F6E" w:rsidRDefault="00195BE7" w:rsidP="00195BE7">
            <w:pPr>
              <w:spacing w:line="240" w:lineRule="exact"/>
              <w:jc w:val="center"/>
              <w:rPr>
                <w:rFonts w:eastAsia="Times New Roman"/>
                <w:b/>
                <w:bCs/>
                <w:color w:val="000000"/>
                <w:sz w:val="16"/>
                <w:szCs w:val="16"/>
                <w:lang w:eastAsia="es-ES"/>
              </w:rPr>
            </w:pPr>
            <w:r w:rsidRPr="001E2F6E">
              <w:rPr>
                <w:rFonts w:eastAsia="Times New Roman"/>
                <w:b/>
                <w:bCs/>
                <w:color w:val="000000"/>
                <w:sz w:val="16"/>
                <w:szCs w:val="16"/>
                <w:lang w:eastAsia="es-ES"/>
              </w:rPr>
              <w:t>z.a.</w:t>
            </w:r>
          </w:p>
        </w:tc>
        <w:tc>
          <w:tcPr>
            <w:tcW w:w="401" w:type="pct"/>
            <w:tcBorders>
              <w:top w:val="nil"/>
              <w:left w:val="nil"/>
              <w:bottom w:val="single" w:sz="8" w:space="0" w:color="BFBFBF"/>
              <w:right w:val="single" w:sz="4" w:space="0" w:color="BFBFBF" w:themeColor="background1" w:themeShade="BF"/>
            </w:tcBorders>
            <w:shd w:val="clear" w:color="000000" w:fill="DBE5F1"/>
            <w:hideMark/>
          </w:tcPr>
          <w:p w:rsidR="00195BE7" w:rsidRPr="001E2F6E" w:rsidRDefault="00195BE7" w:rsidP="00195BE7">
            <w:pPr>
              <w:spacing w:line="240" w:lineRule="exact"/>
              <w:jc w:val="center"/>
              <w:rPr>
                <w:rFonts w:eastAsia="Times New Roman"/>
                <w:b/>
                <w:bCs/>
                <w:color w:val="000000"/>
                <w:sz w:val="16"/>
                <w:szCs w:val="16"/>
                <w:lang w:eastAsia="es-ES"/>
              </w:rPr>
            </w:pPr>
            <w:r w:rsidRPr="001E2F6E">
              <w:rPr>
                <w:rFonts w:eastAsia="Times New Roman"/>
                <w:b/>
                <w:bCs/>
                <w:color w:val="000000"/>
                <w:sz w:val="16"/>
                <w:szCs w:val="16"/>
                <w:lang w:eastAsia="es-ES"/>
              </w:rPr>
              <w:t>%ber.</w:t>
            </w:r>
          </w:p>
        </w:tc>
        <w:tc>
          <w:tcPr>
            <w:tcW w:w="688" w:type="pct"/>
            <w:tcBorders>
              <w:top w:val="nil"/>
              <w:left w:val="single" w:sz="4" w:space="0" w:color="BFBFBF" w:themeColor="background1" w:themeShade="BF"/>
              <w:bottom w:val="single" w:sz="8" w:space="0" w:color="BFBFBF"/>
            </w:tcBorders>
            <w:shd w:val="clear" w:color="000000" w:fill="DBE5F1"/>
            <w:hideMark/>
          </w:tcPr>
          <w:p w:rsidR="00195BE7" w:rsidRPr="001E2F6E" w:rsidRDefault="00195BE7" w:rsidP="00195BE7">
            <w:pPr>
              <w:spacing w:line="240" w:lineRule="exact"/>
              <w:jc w:val="center"/>
              <w:rPr>
                <w:rFonts w:eastAsia="Times New Roman"/>
                <w:b/>
                <w:bCs/>
                <w:color w:val="000000"/>
                <w:sz w:val="16"/>
                <w:szCs w:val="16"/>
                <w:lang w:eastAsia="es-ES"/>
              </w:rPr>
            </w:pPr>
            <w:r w:rsidRPr="001E2F6E">
              <w:rPr>
                <w:rFonts w:eastAsia="Times New Roman"/>
                <w:b/>
                <w:bCs/>
                <w:color w:val="000000"/>
                <w:sz w:val="16"/>
                <w:szCs w:val="16"/>
                <w:lang w:eastAsia="es-ES"/>
              </w:rPr>
              <w:t>z.a.</w:t>
            </w:r>
          </w:p>
        </w:tc>
        <w:tc>
          <w:tcPr>
            <w:tcW w:w="351" w:type="pct"/>
            <w:tcBorders>
              <w:top w:val="nil"/>
              <w:left w:val="nil"/>
              <w:bottom w:val="single" w:sz="8" w:space="0" w:color="BFBFBF"/>
              <w:right w:val="single" w:sz="4" w:space="0" w:color="BFBFBF" w:themeColor="background1" w:themeShade="BF"/>
            </w:tcBorders>
            <w:shd w:val="clear" w:color="000000" w:fill="DBE5F1"/>
            <w:hideMark/>
          </w:tcPr>
          <w:p w:rsidR="00195BE7" w:rsidRPr="001E2F6E" w:rsidRDefault="00195BE7" w:rsidP="00195BE7">
            <w:pPr>
              <w:spacing w:line="240" w:lineRule="exact"/>
              <w:jc w:val="center"/>
              <w:rPr>
                <w:rFonts w:eastAsia="Times New Roman"/>
                <w:b/>
                <w:bCs/>
                <w:color w:val="000000"/>
                <w:sz w:val="16"/>
                <w:szCs w:val="16"/>
                <w:lang w:eastAsia="es-ES"/>
              </w:rPr>
            </w:pPr>
            <w:r w:rsidRPr="001E2F6E">
              <w:rPr>
                <w:rFonts w:eastAsia="Times New Roman"/>
                <w:b/>
                <w:bCs/>
                <w:color w:val="000000"/>
                <w:sz w:val="16"/>
                <w:szCs w:val="16"/>
                <w:lang w:eastAsia="es-ES"/>
              </w:rPr>
              <w:t>%ber.</w:t>
            </w:r>
          </w:p>
        </w:tc>
        <w:tc>
          <w:tcPr>
            <w:tcW w:w="688" w:type="pct"/>
            <w:tcBorders>
              <w:top w:val="nil"/>
              <w:left w:val="single" w:sz="4" w:space="0" w:color="BFBFBF" w:themeColor="background1" w:themeShade="BF"/>
              <w:bottom w:val="single" w:sz="8" w:space="0" w:color="BFBFBF"/>
            </w:tcBorders>
            <w:shd w:val="clear" w:color="000000" w:fill="DBE5F1"/>
            <w:hideMark/>
          </w:tcPr>
          <w:p w:rsidR="00195BE7" w:rsidRPr="001E2F6E" w:rsidRDefault="00195BE7" w:rsidP="00195BE7">
            <w:pPr>
              <w:spacing w:line="240" w:lineRule="exact"/>
              <w:jc w:val="center"/>
              <w:rPr>
                <w:rFonts w:eastAsia="Times New Roman"/>
                <w:b/>
                <w:bCs/>
                <w:color w:val="000000"/>
                <w:sz w:val="16"/>
                <w:szCs w:val="16"/>
                <w:lang w:eastAsia="es-ES"/>
              </w:rPr>
            </w:pPr>
            <w:r w:rsidRPr="001E2F6E">
              <w:rPr>
                <w:rFonts w:eastAsia="Times New Roman"/>
                <w:b/>
                <w:bCs/>
                <w:color w:val="000000"/>
                <w:sz w:val="16"/>
                <w:szCs w:val="16"/>
                <w:lang w:eastAsia="es-ES"/>
              </w:rPr>
              <w:t>z.a.</w:t>
            </w:r>
          </w:p>
        </w:tc>
        <w:tc>
          <w:tcPr>
            <w:tcW w:w="368" w:type="pct"/>
            <w:tcBorders>
              <w:top w:val="nil"/>
              <w:left w:val="nil"/>
              <w:bottom w:val="single" w:sz="8" w:space="0" w:color="BFBFBF"/>
              <w:right w:val="nil"/>
            </w:tcBorders>
            <w:shd w:val="clear" w:color="000000" w:fill="DBE5F1"/>
            <w:hideMark/>
          </w:tcPr>
          <w:p w:rsidR="00195BE7" w:rsidRPr="001E2F6E" w:rsidRDefault="00195BE7" w:rsidP="00195BE7">
            <w:pPr>
              <w:spacing w:line="240" w:lineRule="exact"/>
              <w:jc w:val="center"/>
              <w:rPr>
                <w:rFonts w:eastAsia="Times New Roman"/>
                <w:b/>
                <w:bCs/>
                <w:color w:val="000000"/>
                <w:sz w:val="16"/>
                <w:szCs w:val="16"/>
                <w:lang w:eastAsia="es-ES"/>
              </w:rPr>
            </w:pPr>
            <w:r w:rsidRPr="001E2F6E">
              <w:rPr>
                <w:rFonts w:eastAsia="Times New Roman"/>
                <w:b/>
                <w:bCs/>
                <w:color w:val="000000"/>
                <w:sz w:val="16"/>
                <w:szCs w:val="16"/>
                <w:lang w:eastAsia="es-ES"/>
              </w:rPr>
              <w:t>%ber.</w:t>
            </w:r>
          </w:p>
        </w:tc>
      </w:tr>
      <w:tr w:rsidR="00195BE7" w:rsidRPr="001E2F6E" w:rsidTr="00195BE7">
        <w:trPr>
          <w:jc w:val="center"/>
        </w:trPr>
        <w:tc>
          <w:tcPr>
            <w:tcW w:w="767" w:type="pct"/>
            <w:tcBorders>
              <w:top w:val="nil"/>
              <w:left w:val="nil"/>
              <w:bottom w:val="nil"/>
              <w:right w:val="single" w:sz="4" w:space="0" w:color="BFBFBF" w:themeColor="background1" w:themeShade="BF"/>
            </w:tcBorders>
            <w:shd w:val="clear" w:color="auto" w:fill="auto"/>
            <w:vAlign w:val="center"/>
            <w:hideMark/>
          </w:tcPr>
          <w:p w:rsidR="00195BE7" w:rsidRPr="001E2F6E" w:rsidRDefault="00195BE7" w:rsidP="00195BE7">
            <w:pPr>
              <w:spacing w:line="240" w:lineRule="auto"/>
              <w:rPr>
                <w:sz w:val="16"/>
                <w:szCs w:val="16"/>
                <w:lang w:val="eu-ES"/>
              </w:rPr>
            </w:pPr>
            <w:r w:rsidRPr="001E2F6E">
              <w:rPr>
                <w:sz w:val="16"/>
                <w:szCs w:val="16"/>
                <w:lang w:val="eu-ES"/>
              </w:rPr>
              <w:t>Lehen sektorea</w:t>
            </w:r>
          </w:p>
        </w:tc>
        <w:tc>
          <w:tcPr>
            <w:tcW w:w="697" w:type="pct"/>
            <w:tcBorders>
              <w:top w:val="nil"/>
              <w:left w:val="single" w:sz="4" w:space="0" w:color="BFBFBF" w:themeColor="background1" w:themeShade="BF"/>
              <w:bottom w:val="nil"/>
            </w:tcBorders>
            <w:shd w:val="clear" w:color="auto" w:fill="auto"/>
            <w:vAlign w:val="bottom"/>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798.857</w:t>
            </w:r>
          </w:p>
        </w:tc>
        <w:tc>
          <w:tcPr>
            <w:tcW w:w="371" w:type="pct"/>
            <w:tcBorders>
              <w:top w:val="nil"/>
              <w:left w:val="nil"/>
              <w:bottom w:val="nil"/>
              <w:right w:val="single" w:sz="4" w:space="0" w:color="BFBFBF" w:themeColor="background1" w:themeShade="BF"/>
            </w:tcBorders>
            <w:shd w:val="clear" w:color="auto" w:fill="auto"/>
            <w:vAlign w:val="bottom"/>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0,4</w:t>
            </w:r>
          </w:p>
        </w:tc>
        <w:tc>
          <w:tcPr>
            <w:tcW w:w="670" w:type="pct"/>
            <w:tcBorders>
              <w:top w:val="nil"/>
              <w:left w:val="single" w:sz="4" w:space="0" w:color="BFBFBF" w:themeColor="background1" w:themeShade="BF"/>
              <w:bottom w:val="nil"/>
            </w:tcBorders>
            <w:shd w:val="clear" w:color="auto" w:fill="auto"/>
            <w:vAlign w:val="bottom"/>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780.211</w:t>
            </w:r>
          </w:p>
        </w:tc>
        <w:tc>
          <w:tcPr>
            <w:tcW w:w="401" w:type="pct"/>
            <w:tcBorders>
              <w:top w:val="nil"/>
              <w:left w:val="nil"/>
              <w:bottom w:val="nil"/>
              <w:right w:val="single" w:sz="4" w:space="0" w:color="BFBFBF" w:themeColor="background1" w:themeShade="BF"/>
            </w:tcBorders>
            <w:shd w:val="clear" w:color="auto" w:fill="auto"/>
            <w:vAlign w:val="bottom"/>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3,7</w:t>
            </w:r>
          </w:p>
        </w:tc>
        <w:tc>
          <w:tcPr>
            <w:tcW w:w="688" w:type="pct"/>
            <w:tcBorders>
              <w:top w:val="nil"/>
              <w:left w:val="single" w:sz="4" w:space="0" w:color="BFBFBF" w:themeColor="background1" w:themeShade="BF"/>
              <w:bottom w:val="nil"/>
            </w:tcBorders>
            <w:shd w:val="clear" w:color="auto" w:fill="auto"/>
            <w:vAlign w:val="bottom"/>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18.637</w:t>
            </w:r>
          </w:p>
        </w:tc>
        <w:tc>
          <w:tcPr>
            <w:tcW w:w="351" w:type="pct"/>
            <w:tcBorders>
              <w:top w:val="nil"/>
              <w:left w:val="nil"/>
              <w:bottom w:val="nil"/>
              <w:right w:val="single" w:sz="4" w:space="0" w:color="BFBFBF" w:themeColor="background1" w:themeShade="BF"/>
            </w:tcBorders>
            <w:shd w:val="clear" w:color="auto" w:fill="auto"/>
            <w:vAlign w:val="bottom"/>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0,0</w:t>
            </w:r>
          </w:p>
        </w:tc>
        <w:tc>
          <w:tcPr>
            <w:tcW w:w="688" w:type="pct"/>
            <w:tcBorders>
              <w:top w:val="nil"/>
              <w:left w:val="single" w:sz="4" w:space="0" w:color="BFBFBF" w:themeColor="background1" w:themeShade="BF"/>
              <w:bottom w:val="nil"/>
            </w:tcBorders>
            <w:shd w:val="clear" w:color="auto" w:fill="auto"/>
            <w:vAlign w:val="bottom"/>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9</w:t>
            </w:r>
          </w:p>
        </w:tc>
        <w:tc>
          <w:tcPr>
            <w:tcW w:w="368" w:type="pct"/>
            <w:tcBorders>
              <w:top w:val="nil"/>
              <w:left w:val="nil"/>
              <w:bottom w:val="nil"/>
              <w:right w:val="nil"/>
            </w:tcBorders>
            <w:shd w:val="clear" w:color="auto" w:fill="auto"/>
            <w:vAlign w:val="bottom"/>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0,0</w:t>
            </w:r>
          </w:p>
        </w:tc>
      </w:tr>
      <w:tr w:rsidR="00195BE7" w:rsidRPr="001E2F6E" w:rsidTr="00195BE7">
        <w:trPr>
          <w:jc w:val="center"/>
        </w:trPr>
        <w:tc>
          <w:tcPr>
            <w:tcW w:w="767" w:type="pct"/>
            <w:tcBorders>
              <w:top w:val="nil"/>
              <w:left w:val="nil"/>
              <w:bottom w:val="nil"/>
              <w:right w:val="single" w:sz="4" w:space="0" w:color="BFBFBF" w:themeColor="background1" w:themeShade="BF"/>
            </w:tcBorders>
            <w:shd w:val="clear" w:color="auto" w:fill="auto"/>
            <w:vAlign w:val="center"/>
            <w:hideMark/>
          </w:tcPr>
          <w:p w:rsidR="00195BE7" w:rsidRPr="001E2F6E" w:rsidRDefault="00195BE7" w:rsidP="00195BE7">
            <w:pPr>
              <w:spacing w:line="240" w:lineRule="auto"/>
              <w:rPr>
                <w:sz w:val="16"/>
                <w:szCs w:val="16"/>
                <w:lang w:val="eu-ES"/>
              </w:rPr>
            </w:pPr>
            <w:r w:rsidRPr="001E2F6E">
              <w:rPr>
                <w:sz w:val="16"/>
                <w:szCs w:val="16"/>
                <w:lang w:val="eu-ES"/>
              </w:rPr>
              <w:t>Industria</w:t>
            </w:r>
          </w:p>
        </w:tc>
        <w:tc>
          <w:tcPr>
            <w:tcW w:w="697" w:type="pct"/>
            <w:tcBorders>
              <w:top w:val="nil"/>
              <w:left w:val="single" w:sz="4" w:space="0" w:color="BFBFBF" w:themeColor="background1" w:themeShade="BF"/>
              <w:bottom w:val="nil"/>
            </w:tcBorders>
            <w:shd w:val="clear" w:color="auto" w:fill="auto"/>
            <w:vAlign w:val="bottom"/>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96.490.146</w:t>
            </w:r>
          </w:p>
        </w:tc>
        <w:tc>
          <w:tcPr>
            <w:tcW w:w="371" w:type="pct"/>
            <w:tcBorders>
              <w:top w:val="nil"/>
              <w:left w:val="nil"/>
              <w:bottom w:val="nil"/>
              <w:right w:val="single" w:sz="4" w:space="0" w:color="BFBFBF" w:themeColor="background1" w:themeShade="BF"/>
            </w:tcBorders>
            <w:shd w:val="clear" w:color="auto" w:fill="auto"/>
            <w:vAlign w:val="bottom"/>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53,0</w:t>
            </w:r>
          </w:p>
        </w:tc>
        <w:tc>
          <w:tcPr>
            <w:tcW w:w="670" w:type="pct"/>
            <w:tcBorders>
              <w:top w:val="nil"/>
              <w:left w:val="single" w:sz="4" w:space="0" w:color="BFBFBF" w:themeColor="background1" w:themeShade="BF"/>
              <w:bottom w:val="nil"/>
            </w:tcBorders>
            <w:shd w:val="clear" w:color="auto" w:fill="auto"/>
            <w:vAlign w:val="bottom"/>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3.293.876</w:t>
            </w:r>
          </w:p>
        </w:tc>
        <w:tc>
          <w:tcPr>
            <w:tcW w:w="401" w:type="pct"/>
            <w:tcBorders>
              <w:top w:val="nil"/>
              <w:left w:val="nil"/>
              <w:bottom w:val="nil"/>
              <w:right w:val="single" w:sz="4" w:space="0" w:color="BFBFBF" w:themeColor="background1" w:themeShade="BF"/>
            </w:tcBorders>
            <w:shd w:val="clear" w:color="auto" w:fill="auto"/>
            <w:vAlign w:val="bottom"/>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15,5</w:t>
            </w:r>
          </w:p>
        </w:tc>
        <w:tc>
          <w:tcPr>
            <w:tcW w:w="688" w:type="pct"/>
            <w:tcBorders>
              <w:top w:val="nil"/>
              <w:left w:val="single" w:sz="4" w:space="0" w:color="BFBFBF" w:themeColor="background1" w:themeShade="BF"/>
              <w:bottom w:val="nil"/>
            </w:tcBorders>
            <w:shd w:val="clear" w:color="auto" w:fill="auto"/>
            <w:vAlign w:val="bottom"/>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49.720.376</w:t>
            </w:r>
          </w:p>
        </w:tc>
        <w:tc>
          <w:tcPr>
            <w:tcW w:w="351" w:type="pct"/>
            <w:tcBorders>
              <w:top w:val="nil"/>
              <w:left w:val="nil"/>
              <w:bottom w:val="nil"/>
              <w:right w:val="single" w:sz="4" w:space="0" w:color="BFBFBF" w:themeColor="background1" w:themeShade="BF"/>
            </w:tcBorders>
            <w:shd w:val="clear" w:color="auto" w:fill="auto"/>
            <w:vAlign w:val="bottom"/>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52,5</w:t>
            </w:r>
          </w:p>
        </w:tc>
        <w:tc>
          <w:tcPr>
            <w:tcW w:w="688" w:type="pct"/>
            <w:tcBorders>
              <w:top w:val="nil"/>
              <w:left w:val="single" w:sz="4" w:space="0" w:color="BFBFBF" w:themeColor="background1" w:themeShade="BF"/>
              <w:bottom w:val="nil"/>
            </w:tcBorders>
            <w:shd w:val="clear" w:color="auto" w:fill="auto"/>
            <w:vAlign w:val="bottom"/>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43.475.894</w:t>
            </w:r>
          </w:p>
        </w:tc>
        <w:tc>
          <w:tcPr>
            <w:tcW w:w="368" w:type="pct"/>
            <w:tcBorders>
              <w:top w:val="nil"/>
              <w:left w:val="nil"/>
              <w:bottom w:val="nil"/>
              <w:right w:val="nil"/>
            </w:tcBorders>
            <w:shd w:val="clear" w:color="auto" w:fill="auto"/>
            <w:vAlign w:val="bottom"/>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65,6</w:t>
            </w:r>
          </w:p>
        </w:tc>
      </w:tr>
      <w:tr w:rsidR="00195BE7" w:rsidRPr="001E2F6E" w:rsidTr="00195BE7">
        <w:trPr>
          <w:jc w:val="center"/>
        </w:trPr>
        <w:tc>
          <w:tcPr>
            <w:tcW w:w="767" w:type="pct"/>
            <w:tcBorders>
              <w:top w:val="nil"/>
              <w:left w:val="nil"/>
              <w:bottom w:val="nil"/>
              <w:right w:val="single" w:sz="4" w:space="0" w:color="BFBFBF" w:themeColor="background1" w:themeShade="BF"/>
            </w:tcBorders>
            <w:shd w:val="clear" w:color="auto" w:fill="auto"/>
            <w:vAlign w:val="center"/>
            <w:hideMark/>
          </w:tcPr>
          <w:p w:rsidR="00195BE7" w:rsidRPr="001E2F6E" w:rsidRDefault="00195BE7" w:rsidP="00195BE7">
            <w:pPr>
              <w:spacing w:line="240" w:lineRule="auto"/>
              <w:rPr>
                <w:sz w:val="16"/>
                <w:szCs w:val="16"/>
                <w:lang w:val="eu-ES"/>
              </w:rPr>
            </w:pPr>
            <w:r w:rsidRPr="001E2F6E">
              <w:rPr>
                <w:sz w:val="16"/>
                <w:szCs w:val="16"/>
                <w:lang w:val="eu-ES"/>
              </w:rPr>
              <w:t>Eraikuntza</w:t>
            </w:r>
          </w:p>
        </w:tc>
        <w:tc>
          <w:tcPr>
            <w:tcW w:w="697" w:type="pct"/>
            <w:tcBorders>
              <w:top w:val="nil"/>
              <w:left w:val="single" w:sz="4" w:space="0" w:color="BFBFBF" w:themeColor="background1" w:themeShade="BF"/>
              <w:bottom w:val="nil"/>
            </w:tcBorders>
            <w:shd w:val="clear" w:color="auto" w:fill="auto"/>
            <w:vAlign w:val="bottom"/>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1.295.778</w:t>
            </w:r>
          </w:p>
        </w:tc>
        <w:tc>
          <w:tcPr>
            <w:tcW w:w="371" w:type="pct"/>
            <w:tcBorders>
              <w:top w:val="nil"/>
              <w:left w:val="nil"/>
              <w:bottom w:val="nil"/>
              <w:right w:val="single" w:sz="4" w:space="0" w:color="BFBFBF" w:themeColor="background1" w:themeShade="BF"/>
            </w:tcBorders>
            <w:shd w:val="clear" w:color="auto" w:fill="auto"/>
            <w:vAlign w:val="bottom"/>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0,7</w:t>
            </w:r>
          </w:p>
        </w:tc>
        <w:tc>
          <w:tcPr>
            <w:tcW w:w="670" w:type="pct"/>
            <w:tcBorders>
              <w:top w:val="nil"/>
              <w:left w:val="single" w:sz="4" w:space="0" w:color="BFBFBF" w:themeColor="background1" w:themeShade="BF"/>
              <w:bottom w:val="nil"/>
            </w:tcBorders>
            <w:shd w:val="clear" w:color="auto" w:fill="auto"/>
            <w:vAlign w:val="bottom"/>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535.883</w:t>
            </w:r>
          </w:p>
        </w:tc>
        <w:tc>
          <w:tcPr>
            <w:tcW w:w="401" w:type="pct"/>
            <w:tcBorders>
              <w:top w:val="nil"/>
              <w:left w:val="nil"/>
              <w:bottom w:val="nil"/>
              <w:right w:val="single" w:sz="4" w:space="0" w:color="BFBFBF" w:themeColor="background1" w:themeShade="BF"/>
            </w:tcBorders>
            <w:shd w:val="clear" w:color="auto" w:fill="auto"/>
            <w:vAlign w:val="bottom"/>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2,5</w:t>
            </w:r>
          </w:p>
        </w:tc>
        <w:tc>
          <w:tcPr>
            <w:tcW w:w="688" w:type="pct"/>
            <w:tcBorders>
              <w:top w:val="nil"/>
              <w:left w:val="single" w:sz="4" w:space="0" w:color="BFBFBF" w:themeColor="background1" w:themeShade="BF"/>
              <w:bottom w:val="nil"/>
            </w:tcBorders>
            <w:shd w:val="clear" w:color="auto" w:fill="auto"/>
            <w:vAlign w:val="bottom"/>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200.162</w:t>
            </w:r>
          </w:p>
        </w:tc>
        <w:tc>
          <w:tcPr>
            <w:tcW w:w="351" w:type="pct"/>
            <w:tcBorders>
              <w:top w:val="nil"/>
              <w:left w:val="nil"/>
              <w:bottom w:val="nil"/>
              <w:right w:val="single" w:sz="4" w:space="0" w:color="BFBFBF" w:themeColor="background1" w:themeShade="BF"/>
            </w:tcBorders>
            <w:shd w:val="clear" w:color="auto" w:fill="auto"/>
            <w:vAlign w:val="bottom"/>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0,2</w:t>
            </w:r>
          </w:p>
        </w:tc>
        <w:tc>
          <w:tcPr>
            <w:tcW w:w="688" w:type="pct"/>
            <w:tcBorders>
              <w:top w:val="nil"/>
              <w:left w:val="single" w:sz="4" w:space="0" w:color="BFBFBF" w:themeColor="background1" w:themeShade="BF"/>
              <w:bottom w:val="nil"/>
            </w:tcBorders>
            <w:shd w:val="clear" w:color="auto" w:fill="auto"/>
            <w:vAlign w:val="bottom"/>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559.733</w:t>
            </w:r>
          </w:p>
        </w:tc>
        <w:tc>
          <w:tcPr>
            <w:tcW w:w="368" w:type="pct"/>
            <w:tcBorders>
              <w:top w:val="nil"/>
              <w:left w:val="nil"/>
              <w:bottom w:val="nil"/>
              <w:right w:val="nil"/>
            </w:tcBorders>
            <w:shd w:val="clear" w:color="auto" w:fill="auto"/>
            <w:vAlign w:val="bottom"/>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0,8</w:t>
            </w:r>
          </w:p>
        </w:tc>
      </w:tr>
      <w:tr w:rsidR="00195BE7" w:rsidRPr="001E2F6E" w:rsidTr="00195BE7">
        <w:trPr>
          <w:jc w:val="center"/>
        </w:trPr>
        <w:tc>
          <w:tcPr>
            <w:tcW w:w="767" w:type="pct"/>
            <w:tcBorders>
              <w:top w:val="nil"/>
              <w:left w:val="nil"/>
              <w:bottom w:val="nil"/>
              <w:right w:val="single" w:sz="4" w:space="0" w:color="BFBFBF" w:themeColor="background1" w:themeShade="BF"/>
            </w:tcBorders>
            <w:shd w:val="clear" w:color="auto" w:fill="auto"/>
            <w:vAlign w:val="center"/>
            <w:hideMark/>
          </w:tcPr>
          <w:p w:rsidR="00195BE7" w:rsidRPr="001E2F6E" w:rsidRDefault="00195BE7" w:rsidP="00195BE7">
            <w:pPr>
              <w:spacing w:line="240" w:lineRule="auto"/>
              <w:rPr>
                <w:sz w:val="16"/>
                <w:szCs w:val="16"/>
                <w:lang w:val="eu-ES"/>
              </w:rPr>
            </w:pPr>
            <w:r w:rsidRPr="001E2F6E">
              <w:rPr>
                <w:sz w:val="16"/>
                <w:szCs w:val="16"/>
                <w:lang w:val="eu-ES"/>
              </w:rPr>
              <w:t xml:space="preserve">Zerbitzuak </w:t>
            </w:r>
          </w:p>
        </w:tc>
        <w:tc>
          <w:tcPr>
            <w:tcW w:w="697" w:type="pct"/>
            <w:tcBorders>
              <w:top w:val="nil"/>
              <w:left w:val="single" w:sz="4" w:space="0" w:color="BFBFBF" w:themeColor="background1" w:themeShade="BF"/>
              <w:bottom w:val="nil"/>
            </w:tcBorders>
            <w:shd w:val="clear" w:color="auto" w:fill="auto"/>
            <w:vAlign w:val="bottom"/>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83.510.965</w:t>
            </w:r>
          </w:p>
        </w:tc>
        <w:tc>
          <w:tcPr>
            <w:tcW w:w="371" w:type="pct"/>
            <w:tcBorders>
              <w:top w:val="nil"/>
              <w:left w:val="nil"/>
              <w:bottom w:val="nil"/>
              <w:right w:val="single" w:sz="4" w:space="0" w:color="BFBFBF" w:themeColor="background1" w:themeShade="BF"/>
            </w:tcBorders>
            <w:shd w:val="clear" w:color="auto" w:fill="auto"/>
            <w:vAlign w:val="bottom"/>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45,9</w:t>
            </w:r>
          </w:p>
        </w:tc>
        <w:tc>
          <w:tcPr>
            <w:tcW w:w="670" w:type="pct"/>
            <w:tcBorders>
              <w:top w:val="nil"/>
              <w:left w:val="single" w:sz="4" w:space="0" w:color="BFBFBF" w:themeColor="background1" w:themeShade="BF"/>
              <w:bottom w:val="nil"/>
            </w:tcBorders>
            <w:shd w:val="clear" w:color="auto" w:fill="auto"/>
            <w:vAlign w:val="bottom"/>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16.581.198</w:t>
            </w:r>
          </w:p>
        </w:tc>
        <w:tc>
          <w:tcPr>
            <w:tcW w:w="401" w:type="pct"/>
            <w:tcBorders>
              <w:top w:val="nil"/>
              <w:left w:val="nil"/>
              <w:bottom w:val="nil"/>
              <w:right w:val="single" w:sz="4" w:space="0" w:color="BFBFBF" w:themeColor="background1" w:themeShade="BF"/>
            </w:tcBorders>
            <w:shd w:val="clear" w:color="auto" w:fill="auto"/>
            <w:vAlign w:val="bottom"/>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78,2</w:t>
            </w:r>
          </w:p>
        </w:tc>
        <w:tc>
          <w:tcPr>
            <w:tcW w:w="688" w:type="pct"/>
            <w:tcBorders>
              <w:top w:val="nil"/>
              <w:left w:val="single" w:sz="4" w:space="0" w:color="BFBFBF" w:themeColor="background1" w:themeShade="BF"/>
              <w:bottom w:val="nil"/>
            </w:tcBorders>
            <w:shd w:val="clear" w:color="auto" w:fill="auto"/>
            <w:vAlign w:val="bottom"/>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44.725.258</w:t>
            </w:r>
          </w:p>
        </w:tc>
        <w:tc>
          <w:tcPr>
            <w:tcW w:w="351" w:type="pct"/>
            <w:tcBorders>
              <w:top w:val="nil"/>
              <w:left w:val="nil"/>
              <w:bottom w:val="nil"/>
              <w:right w:val="single" w:sz="4" w:space="0" w:color="BFBFBF" w:themeColor="background1" w:themeShade="BF"/>
            </w:tcBorders>
            <w:shd w:val="clear" w:color="auto" w:fill="auto"/>
            <w:vAlign w:val="bottom"/>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47,2</w:t>
            </w:r>
          </w:p>
        </w:tc>
        <w:tc>
          <w:tcPr>
            <w:tcW w:w="688" w:type="pct"/>
            <w:tcBorders>
              <w:top w:val="nil"/>
              <w:left w:val="single" w:sz="4" w:space="0" w:color="BFBFBF" w:themeColor="background1" w:themeShade="BF"/>
              <w:bottom w:val="nil"/>
            </w:tcBorders>
            <w:shd w:val="clear" w:color="auto" w:fill="auto"/>
            <w:vAlign w:val="bottom"/>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22.204.509</w:t>
            </w:r>
          </w:p>
        </w:tc>
        <w:tc>
          <w:tcPr>
            <w:tcW w:w="368" w:type="pct"/>
            <w:tcBorders>
              <w:top w:val="nil"/>
              <w:left w:val="nil"/>
              <w:bottom w:val="nil"/>
              <w:right w:val="nil"/>
            </w:tcBorders>
            <w:shd w:val="clear" w:color="auto" w:fill="auto"/>
            <w:vAlign w:val="bottom"/>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33,5</w:t>
            </w:r>
          </w:p>
        </w:tc>
      </w:tr>
      <w:tr w:rsidR="00195BE7" w:rsidRPr="001E2F6E" w:rsidTr="00195BE7">
        <w:trPr>
          <w:jc w:val="center"/>
        </w:trPr>
        <w:tc>
          <w:tcPr>
            <w:tcW w:w="767" w:type="pct"/>
            <w:tcBorders>
              <w:top w:val="single" w:sz="4" w:space="0" w:color="BFBFBF" w:themeColor="background1" w:themeShade="BF"/>
              <w:left w:val="nil"/>
              <w:bottom w:val="single" w:sz="8" w:space="0" w:color="BFBFBF"/>
              <w:right w:val="single" w:sz="4" w:space="0" w:color="BFBFBF" w:themeColor="background1" w:themeShade="BF"/>
            </w:tcBorders>
            <w:shd w:val="clear" w:color="auto" w:fill="auto"/>
            <w:vAlign w:val="center"/>
            <w:hideMark/>
          </w:tcPr>
          <w:p w:rsidR="00195BE7" w:rsidRPr="001E2F6E" w:rsidRDefault="00195BE7" w:rsidP="00195BE7">
            <w:pPr>
              <w:spacing w:line="240" w:lineRule="auto"/>
              <w:rPr>
                <w:b/>
                <w:bCs/>
                <w:sz w:val="16"/>
                <w:szCs w:val="16"/>
                <w:lang w:val="eu-ES"/>
              </w:rPr>
            </w:pPr>
            <w:r w:rsidRPr="001E2F6E">
              <w:rPr>
                <w:b/>
                <w:bCs/>
                <w:sz w:val="16"/>
                <w:szCs w:val="16"/>
                <w:lang w:val="eu-ES"/>
              </w:rPr>
              <w:t>GUZTIRA</w:t>
            </w:r>
          </w:p>
        </w:tc>
        <w:tc>
          <w:tcPr>
            <w:tcW w:w="697" w:type="pct"/>
            <w:tcBorders>
              <w:top w:val="single" w:sz="4" w:space="0" w:color="BFBFBF" w:themeColor="background1" w:themeShade="BF"/>
              <w:left w:val="single" w:sz="4" w:space="0" w:color="BFBFBF" w:themeColor="background1" w:themeShade="BF"/>
              <w:bottom w:val="single" w:sz="8" w:space="0" w:color="BFBFBF"/>
            </w:tcBorders>
            <w:shd w:val="clear" w:color="auto" w:fill="auto"/>
            <w:hideMark/>
          </w:tcPr>
          <w:p w:rsidR="00195BE7" w:rsidRPr="001E2F6E" w:rsidRDefault="00195BE7" w:rsidP="00195BE7">
            <w:pPr>
              <w:spacing w:line="240" w:lineRule="exact"/>
              <w:ind w:right="170"/>
              <w:jc w:val="right"/>
              <w:rPr>
                <w:b/>
                <w:bCs/>
                <w:color w:val="000000"/>
                <w:sz w:val="16"/>
                <w:szCs w:val="16"/>
              </w:rPr>
            </w:pPr>
            <w:r w:rsidRPr="001E2F6E">
              <w:rPr>
                <w:b/>
                <w:bCs/>
                <w:color w:val="000000"/>
                <w:sz w:val="16"/>
                <w:szCs w:val="16"/>
              </w:rPr>
              <w:t>182.095.747</w:t>
            </w:r>
          </w:p>
        </w:tc>
        <w:tc>
          <w:tcPr>
            <w:tcW w:w="371" w:type="pct"/>
            <w:tcBorders>
              <w:top w:val="single" w:sz="4" w:space="0" w:color="BFBFBF" w:themeColor="background1" w:themeShade="BF"/>
              <w:left w:val="nil"/>
              <w:bottom w:val="single" w:sz="8" w:space="0" w:color="BFBFBF"/>
              <w:right w:val="single" w:sz="4" w:space="0" w:color="BFBFBF" w:themeColor="background1" w:themeShade="BF"/>
            </w:tcBorders>
            <w:shd w:val="clear" w:color="auto" w:fill="auto"/>
            <w:hideMark/>
          </w:tcPr>
          <w:p w:rsidR="00195BE7" w:rsidRPr="001E2F6E" w:rsidRDefault="00195BE7" w:rsidP="00195BE7">
            <w:pPr>
              <w:spacing w:line="240" w:lineRule="exact"/>
              <w:ind w:right="170"/>
              <w:jc w:val="right"/>
              <w:rPr>
                <w:b/>
                <w:bCs/>
                <w:color w:val="000000"/>
                <w:sz w:val="16"/>
                <w:szCs w:val="16"/>
              </w:rPr>
            </w:pPr>
            <w:r w:rsidRPr="001E2F6E">
              <w:rPr>
                <w:b/>
                <w:bCs/>
                <w:color w:val="000000"/>
                <w:sz w:val="16"/>
                <w:szCs w:val="16"/>
              </w:rPr>
              <w:t>100</w:t>
            </w:r>
          </w:p>
        </w:tc>
        <w:tc>
          <w:tcPr>
            <w:tcW w:w="670" w:type="pct"/>
            <w:tcBorders>
              <w:top w:val="single" w:sz="4" w:space="0" w:color="BFBFBF" w:themeColor="background1" w:themeShade="BF"/>
              <w:left w:val="single" w:sz="4" w:space="0" w:color="BFBFBF" w:themeColor="background1" w:themeShade="BF"/>
              <w:bottom w:val="single" w:sz="8" w:space="0" w:color="BFBFBF"/>
            </w:tcBorders>
            <w:shd w:val="clear" w:color="auto" w:fill="auto"/>
            <w:hideMark/>
          </w:tcPr>
          <w:p w:rsidR="00195BE7" w:rsidRPr="001E2F6E" w:rsidRDefault="00195BE7" w:rsidP="00195BE7">
            <w:pPr>
              <w:spacing w:line="240" w:lineRule="exact"/>
              <w:ind w:right="170"/>
              <w:jc w:val="right"/>
              <w:rPr>
                <w:b/>
                <w:bCs/>
                <w:color w:val="000000"/>
                <w:sz w:val="16"/>
                <w:szCs w:val="16"/>
              </w:rPr>
            </w:pPr>
            <w:r w:rsidRPr="001E2F6E">
              <w:rPr>
                <w:b/>
                <w:bCs/>
                <w:color w:val="000000"/>
                <w:sz w:val="16"/>
                <w:szCs w:val="16"/>
              </w:rPr>
              <w:t>21.191.168</w:t>
            </w:r>
          </w:p>
        </w:tc>
        <w:tc>
          <w:tcPr>
            <w:tcW w:w="401" w:type="pct"/>
            <w:tcBorders>
              <w:top w:val="single" w:sz="4" w:space="0" w:color="BFBFBF" w:themeColor="background1" w:themeShade="BF"/>
              <w:left w:val="nil"/>
              <w:bottom w:val="single" w:sz="8" w:space="0" w:color="BFBFBF"/>
              <w:right w:val="single" w:sz="4" w:space="0" w:color="BFBFBF" w:themeColor="background1" w:themeShade="BF"/>
            </w:tcBorders>
            <w:shd w:val="clear" w:color="auto" w:fill="auto"/>
            <w:hideMark/>
          </w:tcPr>
          <w:p w:rsidR="00195BE7" w:rsidRPr="001E2F6E" w:rsidRDefault="00195BE7" w:rsidP="00195BE7">
            <w:pPr>
              <w:spacing w:line="240" w:lineRule="exact"/>
              <w:ind w:right="170"/>
              <w:jc w:val="right"/>
              <w:rPr>
                <w:b/>
                <w:bCs/>
                <w:color w:val="000000"/>
                <w:sz w:val="16"/>
                <w:szCs w:val="16"/>
              </w:rPr>
            </w:pPr>
            <w:r w:rsidRPr="001E2F6E">
              <w:rPr>
                <w:b/>
                <w:bCs/>
                <w:color w:val="000000"/>
                <w:sz w:val="16"/>
                <w:szCs w:val="16"/>
              </w:rPr>
              <w:t>100</w:t>
            </w:r>
          </w:p>
        </w:tc>
        <w:tc>
          <w:tcPr>
            <w:tcW w:w="688" w:type="pct"/>
            <w:tcBorders>
              <w:top w:val="single" w:sz="4" w:space="0" w:color="BFBFBF" w:themeColor="background1" w:themeShade="BF"/>
              <w:left w:val="single" w:sz="4" w:space="0" w:color="BFBFBF" w:themeColor="background1" w:themeShade="BF"/>
              <w:bottom w:val="single" w:sz="8" w:space="0" w:color="BFBFBF"/>
            </w:tcBorders>
            <w:shd w:val="clear" w:color="auto" w:fill="auto"/>
            <w:hideMark/>
          </w:tcPr>
          <w:p w:rsidR="00195BE7" w:rsidRPr="001E2F6E" w:rsidRDefault="00195BE7" w:rsidP="00195BE7">
            <w:pPr>
              <w:spacing w:line="240" w:lineRule="exact"/>
              <w:ind w:right="170"/>
              <w:jc w:val="right"/>
              <w:rPr>
                <w:b/>
                <w:bCs/>
                <w:color w:val="000000"/>
                <w:sz w:val="16"/>
                <w:szCs w:val="16"/>
              </w:rPr>
            </w:pPr>
            <w:r w:rsidRPr="001E2F6E">
              <w:rPr>
                <w:b/>
                <w:bCs/>
                <w:color w:val="000000"/>
                <w:sz w:val="16"/>
                <w:szCs w:val="16"/>
              </w:rPr>
              <w:t>94.664.433</w:t>
            </w:r>
          </w:p>
        </w:tc>
        <w:tc>
          <w:tcPr>
            <w:tcW w:w="351" w:type="pct"/>
            <w:tcBorders>
              <w:top w:val="single" w:sz="4" w:space="0" w:color="BFBFBF" w:themeColor="background1" w:themeShade="BF"/>
              <w:left w:val="nil"/>
              <w:bottom w:val="single" w:sz="8" w:space="0" w:color="BFBFBF"/>
              <w:right w:val="single" w:sz="4" w:space="0" w:color="BFBFBF" w:themeColor="background1" w:themeShade="BF"/>
            </w:tcBorders>
            <w:shd w:val="clear" w:color="auto" w:fill="auto"/>
            <w:hideMark/>
          </w:tcPr>
          <w:p w:rsidR="00195BE7" w:rsidRPr="001E2F6E" w:rsidRDefault="00195BE7" w:rsidP="00195BE7">
            <w:pPr>
              <w:spacing w:line="240" w:lineRule="exact"/>
              <w:ind w:right="170"/>
              <w:jc w:val="right"/>
              <w:rPr>
                <w:b/>
                <w:bCs/>
                <w:color w:val="000000"/>
                <w:sz w:val="16"/>
                <w:szCs w:val="16"/>
              </w:rPr>
            </w:pPr>
            <w:r w:rsidRPr="001E2F6E">
              <w:rPr>
                <w:b/>
                <w:bCs/>
                <w:color w:val="000000"/>
                <w:sz w:val="16"/>
                <w:szCs w:val="16"/>
              </w:rPr>
              <w:t>100</w:t>
            </w:r>
          </w:p>
        </w:tc>
        <w:tc>
          <w:tcPr>
            <w:tcW w:w="688" w:type="pct"/>
            <w:tcBorders>
              <w:top w:val="single" w:sz="4" w:space="0" w:color="BFBFBF" w:themeColor="background1" w:themeShade="BF"/>
              <w:left w:val="single" w:sz="4" w:space="0" w:color="BFBFBF" w:themeColor="background1" w:themeShade="BF"/>
              <w:bottom w:val="single" w:sz="8" w:space="0" w:color="BFBFBF"/>
            </w:tcBorders>
            <w:shd w:val="clear" w:color="auto" w:fill="auto"/>
            <w:hideMark/>
          </w:tcPr>
          <w:p w:rsidR="00195BE7" w:rsidRPr="001E2F6E" w:rsidRDefault="00195BE7" w:rsidP="00195BE7">
            <w:pPr>
              <w:spacing w:line="240" w:lineRule="exact"/>
              <w:ind w:right="170"/>
              <w:jc w:val="right"/>
              <w:rPr>
                <w:b/>
                <w:bCs/>
                <w:color w:val="000000"/>
                <w:sz w:val="16"/>
                <w:szCs w:val="16"/>
              </w:rPr>
            </w:pPr>
            <w:r w:rsidRPr="001E2F6E">
              <w:rPr>
                <w:b/>
                <w:bCs/>
                <w:color w:val="000000"/>
                <w:sz w:val="16"/>
                <w:szCs w:val="16"/>
              </w:rPr>
              <w:t>66.240.146</w:t>
            </w:r>
          </w:p>
        </w:tc>
        <w:tc>
          <w:tcPr>
            <w:tcW w:w="368" w:type="pct"/>
            <w:tcBorders>
              <w:top w:val="single" w:sz="4" w:space="0" w:color="BFBFBF" w:themeColor="background1" w:themeShade="BF"/>
              <w:left w:val="nil"/>
              <w:bottom w:val="single" w:sz="8" w:space="0" w:color="BFBFBF"/>
              <w:right w:val="nil"/>
            </w:tcBorders>
            <w:shd w:val="clear" w:color="auto" w:fill="auto"/>
            <w:hideMark/>
          </w:tcPr>
          <w:p w:rsidR="00195BE7" w:rsidRPr="001E2F6E" w:rsidRDefault="00195BE7" w:rsidP="00195BE7">
            <w:pPr>
              <w:spacing w:line="240" w:lineRule="exact"/>
              <w:ind w:right="170"/>
              <w:jc w:val="right"/>
              <w:rPr>
                <w:b/>
                <w:bCs/>
                <w:color w:val="000000"/>
                <w:sz w:val="16"/>
                <w:szCs w:val="16"/>
              </w:rPr>
            </w:pPr>
            <w:r w:rsidRPr="001E2F6E">
              <w:rPr>
                <w:b/>
                <w:bCs/>
                <w:color w:val="000000"/>
                <w:sz w:val="16"/>
                <w:szCs w:val="16"/>
              </w:rPr>
              <w:t>100</w:t>
            </w:r>
          </w:p>
        </w:tc>
      </w:tr>
    </w:tbl>
    <w:p w:rsidR="00195BE7" w:rsidRPr="001E2F6E" w:rsidRDefault="00195BE7" w:rsidP="00195BE7"/>
    <w:p w:rsidR="00195BE7" w:rsidRPr="001E2F6E" w:rsidRDefault="00195BE7" w:rsidP="00195BE7">
      <w:pPr>
        <w:spacing w:after="200" w:line="276" w:lineRule="auto"/>
        <w:jc w:val="left"/>
        <w:rPr>
          <w:rFonts w:eastAsia="Times New Roman"/>
          <w:b/>
          <w:color w:val="1F497D" w:themeColor="text2"/>
          <w:lang w:eastAsia="es-ES"/>
        </w:rPr>
      </w:pPr>
      <w:r w:rsidRPr="001E2F6E">
        <w:rPr>
          <w:i/>
          <w:color w:val="1F497D" w:themeColor="text2"/>
        </w:rPr>
        <w:br w:type="page"/>
      </w:r>
    </w:p>
    <w:p w:rsidR="00195BE7" w:rsidRPr="001E2F6E" w:rsidRDefault="00195BE7" w:rsidP="00195BE7">
      <w:pPr>
        <w:pStyle w:val="Ttulo9"/>
        <w:keepNext w:val="0"/>
        <w:tabs>
          <w:tab w:val="clear" w:pos="426"/>
          <w:tab w:val="clear" w:pos="993"/>
          <w:tab w:val="clear" w:pos="1276"/>
          <w:tab w:val="clear" w:pos="1701"/>
          <w:tab w:val="clear" w:pos="8505"/>
        </w:tabs>
        <w:rPr>
          <w:rFonts w:ascii="Arial" w:hAnsi="Arial" w:cs="Arial"/>
          <w:i w:val="0"/>
          <w:color w:val="1F497D" w:themeColor="text2"/>
          <w:sz w:val="20"/>
          <w:lang w:val="es-ES"/>
        </w:rPr>
      </w:pPr>
      <w:r w:rsidRPr="001E2F6E">
        <w:rPr>
          <w:rFonts w:ascii="Arial" w:hAnsi="Arial" w:cs="Arial"/>
          <w:i w:val="0"/>
          <w:color w:val="1F497D" w:themeColor="text2"/>
          <w:sz w:val="20"/>
          <w:lang w:val="es-ES"/>
        </w:rPr>
        <w:lastRenderedPageBreak/>
        <w:t xml:space="preserve">B. </w:t>
      </w:r>
      <w:r w:rsidRPr="001E2F6E">
        <w:rPr>
          <w:rFonts w:ascii="Arial" w:hAnsi="Arial" w:cs="Arial"/>
          <w:i w:val="0"/>
          <w:color w:val="1F497D" w:themeColor="text2"/>
          <w:sz w:val="20"/>
          <w:lang w:val="eu-ES"/>
        </w:rPr>
        <w:t>Ibilgetu Ukiezinean egindako Inbestimendua</w:t>
      </w:r>
    </w:p>
    <w:p w:rsidR="00195BE7" w:rsidRPr="001E2F6E" w:rsidRDefault="00195BE7" w:rsidP="00195BE7"/>
    <w:p w:rsidR="00195BE7" w:rsidRPr="001E2F6E" w:rsidRDefault="00195BE7" w:rsidP="00195BE7">
      <w:pPr>
        <w:pStyle w:val="Textoindependiente"/>
        <w:widowControl w:val="0"/>
        <w:jc w:val="center"/>
        <w:rPr>
          <w:rFonts w:ascii="Arial" w:hAnsi="Arial" w:cs="Arial"/>
          <w:b/>
          <w:color w:val="1F497D" w:themeColor="text2"/>
          <w:sz w:val="18"/>
          <w:szCs w:val="18"/>
          <w:lang w:val="es-ES_tradnl"/>
        </w:rPr>
      </w:pPr>
      <w:bookmarkStart w:id="236" w:name="_Toc391989136"/>
      <w:bookmarkStart w:id="237" w:name="_Toc392585801"/>
      <w:r w:rsidRPr="001E2F6E">
        <w:rPr>
          <w:rFonts w:ascii="Arial" w:hAnsi="Arial" w:cs="Arial"/>
          <w:b/>
          <w:color w:val="1F497D" w:themeColor="text2"/>
          <w:sz w:val="18"/>
          <w:szCs w:val="18"/>
          <w:lang w:val="es-ES_tradnl"/>
        </w:rPr>
        <w:t>1.</w:t>
      </w:r>
      <w:r w:rsidR="00EB6BA6" w:rsidRPr="001E2F6E">
        <w:rPr>
          <w:rFonts w:ascii="Arial" w:hAnsi="Arial" w:cs="Arial"/>
          <w:b/>
          <w:color w:val="1F497D" w:themeColor="text2"/>
          <w:sz w:val="18"/>
          <w:szCs w:val="18"/>
          <w:lang w:val="es-ES_tradnl"/>
        </w:rPr>
        <w:fldChar w:fldCharType="begin"/>
      </w:r>
      <w:r w:rsidRPr="001E2F6E">
        <w:rPr>
          <w:rFonts w:ascii="Arial" w:hAnsi="Arial" w:cs="Arial"/>
          <w:b/>
          <w:color w:val="1F497D" w:themeColor="text2"/>
          <w:sz w:val="18"/>
          <w:szCs w:val="18"/>
          <w:lang w:val="es-ES_tradnl"/>
        </w:rPr>
        <w:instrText xml:space="preserve"> SEQ Cuadro_1. \* ARABIC </w:instrText>
      </w:r>
      <w:r w:rsidR="00EB6BA6" w:rsidRPr="001E2F6E">
        <w:rPr>
          <w:rFonts w:ascii="Arial" w:hAnsi="Arial" w:cs="Arial"/>
          <w:b/>
          <w:color w:val="1F497D" w:themeColor="text2"/>
          <w:sz w:val="18"/>
          <w:szCs w:val="18"/>
          <w:lang w:val="es-ES_tradnl"/>
        </w:rPr>
        <w:fldChar w:fldCharType="separate"/>
      </w:r>
      <w:r w:rsidR="00A327D4">
        <w:rPr>
          <w:rFonts w:ascii="Arial" w:hAnsi="Arial" w:cs="Arial"/>
          <w:b/>
          <w:noProof/>
          <w:color w:val="1F497D" w:themeColor="text2"/>
          <w:sz w:val="18"/>
          <w:szCs w:val="18"/>
          <w:lang w:val="es-ES_tradnl"/>
        </w:rPr>
        <w:t>66</w:t>
      </w:r>
      <w:r w:rsidR="00EB6BA6" w:rsidRPr="001E2F6E">
        <w:rPr>
          <w:rFonts w:ascii="Arial" w:hAnsi="Arial" w:cs="Arial"/>
          <w:b/>
          <w:color w:val="1F497D" w:themeColor="text2"/>
          <w:sz w:val="18"/>
          <w:szCs w:val="18"/>
          <w:lang w:val="es-ES_tradnl"/>
        </w:rPr>
        <w:fldChar w:fldCharType="end"/>
      </w:r>
      <w:r w:rsidRPr="001E2F6E">
        <w:rPr>
          <w:rFonts w:ascii="Arial" w:hAnsi="Arial" w:cs="Arial"/>
          <w:b/>
          <w:color w:val="1F497D" w:themeColor="text2"/>
          <w:sz w:val="18"/>
          <w:szCs w:val="18"/>
          <w:lang w:val="es-ES_tradnl"/>
        </w:rPr>
        <w:t xml:space="preserve"> Taula </w:t>
      </w:r>
      <w:r w:rsidRPr="001E2F6E">
        <w:rPr>
          <w:rFonts w:ascii="Arial" w:hAnsi="Arial" w:cs="Arial"/>
          <w:b/>
          <w:color w:val="1F497D" w:themeColor="text2"/>
          <w:sz w:val="18"/>
          <w:szCs w:val="18"/>
        </w:rPr>
        <w:t>GIZARTE-EKONOMIAREN INBESTIMENDU UKIEZINEN ARLOZ ARLOKO BANAKETA, LURRALDE HISTORIKOAREN ARABERA 2012 (</w:t>
      </w:r>
      <w:r w:rsidR="00462130" w:rsidRPr="001E2F6E">
        <w:rPr>
          <w:rFonts w:ascii="Arial" w:hAnsi="Arial" w:cs="Arial"/>
          <w:b/>
          <w:color w:val="1F497D" w:themeColor="text2"/>
          <w:sz w:val="18"/>
          <w:szCs w:val="18"/>
        </w:rPr>
        <w:t xml:space="preserve">zifra absolutuak </w:t>
      </w:r>
      <w:r w:rsidRPr="001E2F6E">
        <w:rPr>
          <w:rFonts w:ascii="Arial" w:hAnsi="Arial" w:cs="Arial"/>
          <w:b/>
          <w:color w:val="1F497D" w:themeColor="text2"/>
          <w:sz w:val="18"/>
          <w:szCs w:val="18"/>
        </w:rPr>
        <w:t>euroan eta %bertikalak)</w:t>
      </w:r>
      <w:bookmarkEnd w:id="236"/>
      <w:bookmarkEnd w:id="237"/>
    </w:p>
    <w:tbl>
      <w:tblPr>
        <w:tblW w:w="5000" w:type="pct"/>
        <w:jc w:val="center"/>
        <w:tblCellMar>
          <w:left w:w="70" w:type="dxa"/>
          <w:right w:w="70" w:type="dxa"/>
        </w:tblCellMar>
        <w:tblLook w:val="04A0" w:firstRow="1" w:lastRow="0" w:firstColumn="1" w:lastColumn="0" w:noHBand="0" w:noVBand="1"/>
      </w:tblPr>
      <w:tblGrid>
        <w:gridCol w:w="1364"/>
        <w:gridCol w:w="1245"/>
        <w:gridCol w:w="661"/>
        <w:gridCol w:w="1200"/>
        <w:gridCol w:w="716"/>
        <w:gridCol w:w="1228"/>
        <w:gridCol w:w="627"/>
        <w:gridCol w:w="1228"/>
        <w:gridCol w:w="659"/>
      </w:tblGrid>
      <w:tr w:rsidR="00195BE7" w:rsidRPr="001E2F6E" w:rsidTr="00195BE7">
        <w:trPr>
          <w:jc w:val="center"/>
        </w:trPr>
        <w:tc>
          <w:tcPr>
            <w:tcW w:w="764" w:type="pct"/>
            <w:vMerge w:val="restart"/>
            <w:tcBorders>
              <w:top w:val="single" w:sz="8" w:space="0" w:color="BFBFBF"/>
              <w:left w:val="nil"/>
              <w:bottom w:val="single" w:sz="8" w:space="0" w:color="BFBFBF"/>
              <w:right w:val="single" w:sz="4" w:space="0" w:color="BFBFBF" w:themeColor="background1" w:themeShade="BF"/>
            </w:tcBorders>
            <w:shd w:val="clear" w:color="000000" w:fill="DBE5F1"/>
            <w:hideMark/>
          </w:tcPr>
          <w:p w:rsidR="00195BE7" w:rsidRPr="001E2F6E" w:rsidRDefault="00195BE7" w:rsidP="00195BE7">
            <w:pPr>
              <w:spacing w:line="240" w:lineRule="exact"/>
              <w:rPr>
                <w:rFonts w:ascii="Calibri" w:hAnsi="Calibri"/>
                <w:color w:val="000000"/>
              </w:rPr>
            </w:pPr>
            <w:r w:rsidRPr="001E2F6E">
              <w:rPr>
                <w:rFonts w:ascii="Calibri" w:hAnsi="Calibri"/>
                <w:color w:val="000000"/>
              </w:rPr>
              <w:t> </w:t>
            </w:r>
          </w:p>
        </w:tc>
        <w:tc>
          <w:tcPr>
            <w:tcW w:w="1067" w:type="pct"/>
            <w:gridSpan w:val="2"/>
            <w:tcBorders>
              <w:top w:val="single" w:sz="8" w:space="0" w:color="BFBFBF"/>
              <w:left w:val="single" w:sz="4" w:space="0" w:color="BFBFBF" w:themeColor="background1" w:themeShade="BF"/>
              <w:bottom w:val="single" w:sz="8" w:space="0" w:color="BFBFBF"/>
              <w:right w:val="single" w:sz="4" w:space="0" w:color="BFBFBF" w:themeColor="background1" w:themeShade="BF"/>
            </w:tcBorders>
            <w:shd w:val="clear" w:color="000000" w:fill="DBE5F1"/>
            <w:hideMark/>
          </w:tcPr>
          <w:p w:rsidR="00195BE7" w:rsidRPr="001E2F6E" w:rsidRDefault="00195BE7" w:rsidP="00195BE7">
            <w:pPr>
              <w:spacing w:line="240" w:lineRule="exact"/>
              <w:jc w:val="center"/>
              <w:rPr>
                <w:b/>
                <w:bCs/>
                <w:sz w:val="16"/>
                <w:szCs w:val="16"/>
              </w:rPr>
            </w:pPr>
            <w:r w:rsidRPr="001E2F6E">
              <w:rPr>
                <w:b/>
                <w:bCs/>
                <w:sz w:val="16"/>
                <w:szCs w:val="16"/>
                <w:lang w:val="en-GB"/>
              </w:rPr>
              <w:t>EAE</w:t>
            </w:r>
          </w:p>
        </w:tc>
        <w:tc>
          <w:tcPr>
            <w:tcW w:w="1073" w:type="pct"/>
            <w:gridSpan w:val="2"/>
            <w:tcBorders>
              <w:top w:val="single" w:sz="8" w:space="0" w:color="BFBFBF"/>
              <w:left w:val="single" w:sz="4" w:space="0" w:color="BFBFBF" w:themeColor="background1" w:themeShade="BF"/>
              <w:bottom w:val="single" w:sz="8" w:space="0" w:color="BFBFBF"/>
              <w:right w:val="single" w:sz="4" w:space="0" w:color="BFBFBF" w:themeColor="background1" w:themeShade="BF"/>
            </w:tcBorders>
            <w:shd w:val="clear" w:color="000000" w:fill="DBE5F1"/>
            <w:hideMark/>
          </w:tcPr>
          <w:p w:rsidR="00195BE7" w:rsidRPr="001E2F6E" w:rsidRDefault="00195BE7" w:rsidP="00195BE7">
            <w:pPr>
              <w:spacing w:line="240" w:lineRule="exact"/>
              <w:jc w:val="center"/>
              <w:rPr>
                <w:b/>
                <w:bCs/>
                <w:sz w:val="16"/>
                <w:szCs w:val="16"/>
              </w:rPr>
            </w:pPr>
            <w:r w:rsidRPr="001E2F6E">
              <w:rPr>
                <w:b/>
                <w:bCs/>
                <w:sz w:val="16"/>
                <w:szCs w:val="16"/>
                <w:lang w:val="en-GB"/>
              </w:rPr>
              <w:t>Araba</w:t>
            </w:r>
          </w:p>
        </w:tc>
        <w:tc>
          <w:tcPr>
            <w:tcW w:w="1039" w:type="pct"/>
            <w:gridSpan w:val="2"/>
            <w:tcBorders>
              <w:top w:val="single" w:sz="8" w:space="0" w:color="BFBFBF"/>
              <w:left w:val="single" w:sz="4" w:space="0" w:color="BFBFBF" w:themeColor="background1" w:themeShade="BF"/>
              <w:bottom w:val="single" w:sz="8" w:space="0" w:color="BFBFBF"/>
              <w:right w:val="single" w:sz="4" w:space="0" w:color="BFBFBF" w:themeColor="background1" w:themeShade="BF"/>
            </w:tcBorders>
            <w:shd w:val="clear" w:color="000000" w:fill="DBE5F1"/>
            <w:hideMark/>
          </w:tcPr>
          <w:p w:rsidR="00195BE7" w:rsidRPr="001E2F6E" w:rsidRDefault="00195BE7" w:rsidP="00195BE7">
            <w:pPr>
              <w:spacing w:line="240" w:lineRule="exact"/>
              <w:jc w:val="center"/>
              <w:rPr>
                <w:b/>
                <w:bCs/>
                <w:sz w:val="16"/>
                <w:szCs w:val="16"/>
              </w:rPr>
            </w:pPr>
            <w:r w:rsidRPr="001E2F6E">
              <w:rPr>
                <w:b/>
                <w:bCs/>
                <w:sz w:val="16"/>
                <w:szCs w:val="16"/>
                <w:lang w:val="en-GB"/>
              </w:rPr>
              <w:t>Gipuzkoa</w:t>
            </w:r>
          </w:p>
        </w:tc>
        <w:tc>
          <w:tcPr>
            <w:tcW w:w="1057" w:type="pct"/>
            <w:gridSpan w:val="2"/>
            <w:tcBorders>
              <w:top w:val="single" w:sz="8" w:space="0" w:color="BFBFBF"/>
              <w:left w:val="single" w:sz="4" w:space="0" w:color="BFBFBF" w:themeColor="background1" w:themeShade="BF"/>
              <w:bottom w:val="single" w:sz="8" w:space="0" w:color="BFBFBF"/>
              <w:right w:val="nil"/>
            </w:tcBorders>
            <w:shd w:val="clear" w:color="000000" w:fill="DBE5F1"/>
            <w:hideMark/>
          </w:tcPr>
          <w:p w:rsidR="00195BE7" w:rsidRPr="001E2F6E" w:rsidRDefault="00195BE7" w:rsidP="00195BE7">
            <w:pPr>
              <w:spacing w:line="240" w:lineRule="exact"/>
              <w:jc w:val="center"/>
              <w:rPr>
                <w:b/>
                <w:bCs/>
                <w:sz w:val="16"/>
                <w:szCs w:val="16"/>
              </w:rPr>
            </w:pPr>
            <w:r w:rsidRPr="001E2F6E">
              <w:rPr>
                <w:b/>
                <w:bCs/>
                <w:sz w:val="16"/>
                <w:szCs w:val="16"/>
                <w:lang w:val="en-GB"/>
              </w:rPr>
              <w:t>Bizkaia</w:t>
            </w:r>
          </w:p>
        </w:tc>
      </w:tr>
      <w:tr w:rsidR="00195BE7" w:rsidRPr="001E2F6E" w:rsidTr="00195BE7">
        <w:trPr>
          <w:jc w:val="center"/>
        </w:trPr>
        <w:tc>
          <w:tcPr>
            <w:tcW w:w="764" w:type="pct"/>
            <w:vMerge/>
            <w:tcBorders>
              <w:top w:val="single" w:sz="8" w:space="0" w:color="BFBFBF"/>
              <w:left w:val="nil"/>
              <w:bottom w:val="single" w:sz="8" w:space="0" w:color="BFBFBF"/>
              <w:right w:val="single" w:sz="4" w:space="0" w:color="BFBFBF" w:themeColor="background1" w:themeShade="BF"/>
            </w:tcBorders>
            <w:vAlign w:val="center"/>
            <w:hideMark/>
          </w:tcPr>
          <w:p w:rsidR="00195BE7" w:rsidRPr="001E2F6E" w:rsidRDefault="00195BE7" w:rsidP="00195BE7">
            <w:pPr>
              <w:spacing w:line="240" w:lineRule="exact"/>
              <w:rPr>
                <w:rFonts w:ascii="Calibri" w:hAnsi="Calibri"/>
                <w:color w:val="000000"/>
              </w:rPr>
            </w:pPr>
          </w:p>
        </w:tc>
        <w:tc>
          <w:tcPr>
            <w:tcW w:w="697" w:type="pct"/>
            <w:tcBorders>
              <w:top w:val="nil"/>
              <w:left w:val="single" w:sz="4" w:space="0" w:color="BFBFBF" w:themeColor="background1" w:themeShade="BF"/>
              <w:bottom w:val="single" w:sz="8" w:space="0" w:color="BFBFBF"/>
            </w:tcBorders>
            <w:shd w:val="clear" w:color="000000" w:fill="DBE5F1"/>
            <w:hideMark/>
          </w:tcPr>
          <w:p w:rsidR="00195BE7" w:rsidRPr="001E2F6E" w:rsidRDefault="00195BE7" w:rsidP="00195BE7">
            <w:pPr>
              <w:spacing w:line="240" w:lineRule="exact"/>
              <w:jc w:val="center"/>
              <w:rPr>
                <w:rFonts w:eastAsia="Times New Roman"/>
                <w:b/>
                <w:bCs/>
                <w:color w:val="000000"/>
                <w:sz w:val="16"/>
                <w:szCs w:val="16"/>
                <w:lang w:eastAsia="es-ES"/>
              </w:rPr>
            </w:pPr>
            <w:r w:rsidRPr="001E2F6E">
              <w:rPr>
                <w:rFonts w:eastAsia="Times New Roman"/>
                <w:b/>
                <w:bCs/>
                <w:color w:val="000000"/>
                <w:sz w:val="16"/>
                <w:szCs w:val="16"/>
                <w:lang w:eastAsia="es-ES"/>
              </w:rPr>
              <w:t>z.a.</w:t>
            </w:r>
          </w:p>
        </w:tc>
        <w:tc>
          <w:tcPr>
            <w:tcW w:w="370" w:type="pct"/>
            <w:tcBorders>
              <w:top w:val="nil"/>
              <w:left w:val="nil"/>
              <w:bottom w:val="single" w:sz="8" w:space="0" w:color="BFBFBF"/>
              <w:right w:val="single" w:sz="4" w:space="0" w:color="BFBFBF" w:themeColor="background1" w:themeShade="BF"/>
            </w:tcBorders>
            <w:shd w:val="clear" w:color="000000" w:fill="DBE5F1"/>
            <w:hideMark/>
          </w:tcPr>
          <w:p w:rsidR="00195BE7" w:rsidRPr="001E2F6E" w:rsidRDefault="00195BE7" w:rsidP="00195BE7">
            <w:pPr>
              <w:spacing w:line="240" w:lineRule="exact"/>
              <w:jc w:val="center"/>
              <w:rPr>
                <w:rFonts w:eastAsia="Times New Roman"/>
                <w:b/>
                <w:bCs/>
                <w:color w:val="000000"/>
                <w:sz w:val="16"/>
                <w:szCs w:val="16"/>
                <w:lang w:eastAsia="es-ES"/>
              </w:rPr>
            </w:pPr>
            <w:r w:rsidRPr="001E2F6E">
              <w:rPr>
                <w:rFonts w:eastAsia="Times New Roman"/>
                <w:b/>
                <w:bCs/>
                <w:color w:val="000000"/>
                <w:sz w:val="16"/>
                <w:szCs w:val="16"/>
                <w:lang w:eastAsia="es-ES"/>
              </w:rPr>
              <w:t>%ber.</w:t>
            </w:r>
          </w:p>
        </w:tc>
        <w:tc>
          <w:tcPr>
            <w:tcW w:w="672" w:type="pct"/>
            <w:tcBorders>
              <w:top w:val="nil"/>
              <w:left w:val="single" w:sz="4" w:space="0" w:color="BFBFBF" w:themeColor="background1" w:themeShade="BF"/>
              <w:bottom w:val="single" w:sz="8" w:space="0" w:color="BFBFBF"/>
            </w:tcBorders>
            <w:shd w:val="clear" w:color="000000" w:fill="DBE5F1"/>
            <w:hideMark/>
          </w:tcPr>
          <w:p w:rsidR="00195BE7" w:rsidRPr="001E2F6E" w:rsidRDefault="00195BE7" w:rsidP="00195BE7">
            <w:pPr>
              <w:spacing w:line="240" w:lineRule="exact"/>
              <w:jc w:val="center"/>
              <w:rPr>
                <w:rFonts w:eastAsia="Times New Roman"/>
                <w:b/>
                <w:bCs/>
                <w:color w:val="000000"/>
                <w:sz w:val="16"/>
                <w:szCs w:val="16"/>
                <w:lang w:eastAsia="es-ES"/>
              </w:rPr>
            </w:pPr>
            <w:r w:rsidRPr="001E2F6E">
              <w:rPr>
                <w:rFonts w:eastAsia="Times New Roman"/>
                <w:b/>
                <w:bCs/>
                <w:color w:val="000000"/>
                <w:sz w:val="16"/>
                <w:szCs w:val="16"/>
                <w:lang w:eastAsia="es-ES"/>
              </w:rPr>
              <w:t>z.a.</w:t>
            </w:r>
          </w:p>
        </w:tc>
        <w:tc>
          <w:tcPr>
            <w:tcW w:w="401" w:type="pct"/>
            <w:tcBorders>
              <w:top w:val="nil"/>
              <w:left w:val="nil"/>
              <w:bottom w:val="single" w:sz="8" w:space="0" w:color="BFBFBF"/>
              <w:right w:val="single" w:sz="4" w:space="0" w:color="BFBFBF" w:themeColor="background1" w:themeShade="BF"/>
            </w:tcBorders>
            <w:shd w:val="clear" w:color="000000" w:fill="DBE5F1"/>
            <w:hideMark/>
          </w:tcPr>
          <w:p w:rsidR="00195BE7" w:rsidRPr="001E2F6E" w:rsidRDefault="00195BE7" w:rsidP="00195BE7">
            <w:pPr>
              <w:spacing w:line="240" w:lineRule="exact"/>
              <w:jc w:val="center"/>
              <w:rPr>
                <w:rFonts w:eastAsia="Times New Roman"/>
                <w:b/>
                <w:bCs/>
                <w:color w:val="000000"/>
                <w:sz w:val="16"/>
                <w:szCs w:val="16"/>
                <w:lang w:eastAsia="es-ES"/>
              </w:rPr>
            </w:pPr>
            <w:r w:rsidRPr="001E2F6E">
              <w:rPr>
                <w:rFonts w:eastAsia="Times New Roman"/>
                <w:b/>
                <w:bCs/>
                <w:color w:val="000000"/>
                <w:sz w:val="16"/>
                <w:szCs w:val="16"/>
                <w:lang w:eastAsia="es-ES"/>
              </w:rPr>
              <w:t>%ber.</w:t>
            </w:r>
          </w:p>
        </w:tc>
        <w:tc>
          <w:tcPr>
            <w:tcW w:w="688" w:type="pct"/>
            <w:tcBorders>
              <w:top w:val="nil"/>
              <w:left w:val="single" w:sz="4" w:space="0" w:color="BFBFBF" w:themeColor="background1" w:themeShade="BF"/>
              <w:bottom w:val="single" w:sz="8" w:space="0" w:color="BFBFBF"/>
            </w:tcBorders>
            <w:shd w:val="clear" w:color="000000" w:fill="DBE5F1"/>
            <w:hideMark/>
          </w:tcPr>
          <w:p w:rsidR="00195BE7" w:rsidRPr="001E2F6E" w:rsidRDefault="00195BE7" w:rsidP="00195BE7">
            <w:pPr>
              <w:spacing w:line="240" w:lineRule="exact"/>
              <w:jc w:val="center"/>
              <w:rPr>
                <w:rFonts w:eastAsia="Times New Roman"/>
                <w:b/>
                <w:bCs/>
                <w:color w:val="000000"/>
                <w:sz w:val="16"/>
                <w:szCs w:val="16"/>
                <w:lang w:eastAsia="es-ES"/>
              </w:rPr>
            </w:pPr>
            <w:r w:rsidRPr="001E2F6E">
              <w:rPr>
                <w:rFonts w:eastAsia="Times New Roman"/>
                <w:b/>
                <w:bCs/>
                <w:color w:val="000000"/>
                <w:sz w:val="16"/>
                <w:szCs w:val="16"/>
                <w:lang w:eastAsia="es-ES"/>
              </w:rPr>
              <w:t>z.a.</w:t>
            </w:r>
          </w:p>
        </w:tc>
        <w:tc>
          <w:tcPr>
            <w:tcW w:w="351" w:type="pct"/>
            <w:tcBorders>
              <w:top w:val="nil"/>
              <w:left w:val="nil"/>
              <w:bottom w:val="single" w:sz="8" w:space="0" w:color="BFBFBF"/>
              <w:right w:val="single" w:sz="4" w:space="0" w:color="BFBFBF" w:themeColor="background1" w:themeShade="BF"/>
            </w:tcBorders>
            <w:shd w:val="clear" w:color="000000" w:fill="DBE5F1"/>
            <w:hideMark/>
          </w:tcPr>
          <w:p w:rsidR="00195BE7" w:rsidRPr="001E2F6E" w:rsidRDefault="00195BE7" w:rsidP="00195BE7">
            <w:pPr>
              <w:spacing w:line="240" w:lineRule="exact"/>
              <w:jc w:val="center"/>
              <w:rPr>
                <w:rFonts w:eastAsia="Times New Roman"/>
                <w:b/>
                <w:bCs/>
                <w:color w:val="000000"/>
                <w:sz w:val="16"/>
                <w:szCs w:val="16"/>
                <w:lang w:eastAsia="es-ES"/>
              </w:rPr>
            </w:pPr>
            <w:r w:rsidRPr="001E2F6E">
              <w:rPr>
                <w:rFonts w:eastAsia="Times New Roman"/>
                <w:b/>
                <w:bCs/>
                <w:color w:val="000000"/>
                <w:sz w:val="16"/>
                <w:szCs w:val="16"/>
                <w:lang w:eastAsia="es-ES"/>
              </w:rPr>
              <w:t>%ber.</w:t>
            </w:r>
          </w:p>
        </w:tc>
        <w:tc>
          <w:tcPr>
            <w:tcW w:w="688" w:type="pct"/>
            <w:tcBorders>
              <w:top w:val="nil"/>
              <w:left w:val="single" w:sz="4" w:space="0" w:color="BFBFBF" w:themeColor="background1" w:themeShade="BF"/>
              <w:bottom w:val="single" w:sz="8" w:space="0" w:color="BFBFBF"/>
            </w:tcBorders>
            <w:shd w:val="clear" w:color="000000" w:fill="DBE5F1"/>
            <w:hideMark/>
          </w:tcPr>
          <w:p w:rsidR="00195BE7" w:rsidRPr="001E2F6E" w:rsidRDefault="00195BE7" w:rsidP="00195BE7">
            <w:pPr>
              <w:spacing w:line="240" w:lineRule="exact"/>
              <w:jc w:val="center"/>
              <w:rPr>
                <w:rFonts w:eastAsia="Times New Roman"/>
                <w:b/>
                <w:bCs/>
                <w:color w:val="000000"/>
                <w:sz w:val="16"/>
                <w:szCs w:val="16"/>
                <w:lang w:eastAsia="es-ES"/>
              </w:rPr>
            </w:pPr>
            <w:r w:rsidRPr="001E2F6E">
              <w:rPr>
                <w:rFonts w:eastAsia="Times New Roman"/>
                <w:b/>
                <w:bCs/>
                <w:color w:val="000000"/>
                <w:sz w:val="16"/>
                <w:szCs w:val="16"/>
                <w:lang w:eastAsia="es-ES"/>
              </w:rPr>
              <w:t>z.a.</w:t>
            </w:r>
          </w:p>
        </w:tc>
        <w:tc>
          <w:tcPr>
            <w:tcW w:w="369" w:type="pct"/>
            <w:tcBorders>
              <w:top w:val="nil"/>
              <w:left w:val="nil"/>
              <w:bottom w:val="single" w:sz="8" w:space="0" w:color="BFBFBF"/>
              <w:right w:val="nil"/>
            </w:tcBorders>
            <w:shd w:val="clear" w:color="000000" w:fill="DBE5F1"/>
            <w:hideMark/>
          </w:tcPr>
          <w:p w:rsidR="00195BE7" w:rsidRPr="001E2F6E" w:rsidRDefault="00195BE7" w:rsidP="00195BE7">
            <w:pPr>
              <w:spacing w:line="240" w:lineRule="exact"/>
              <w:jc w:val="center"/>
              <w:rPr>
                <w:rFonts w:eastAsia="Times New Roman"/>
                <w:b/>
                <w:bCs/>
                <w:color w:val="000000"/>
                <w:sz w:val="16"/>
                <w:szCs w:val="16"/>
                <w:lang w:eastAsia="es-ES"/>
              </w:rPr>
            </w:pPr>
            <w:r w:rsidRPr="001E2F6E">
              <w:rPr>
                <w:rFonts w:eastAsia="Times New Roman"/>
                <w:b/>
                <w:bCs/>
                <w:color w:val="000000"/>
                <w:sz w:val="16"/>
                <w:szCs w:val="16"/>
                <w:lang w:eastAsia="es-ES"/>
              </w:rPr>
              <w:t>%ber.</w:t>
            </w:r>
          </w:p>
        </w:tc>
      </w:tr>
      <w:tr w:rsidR="00195BE7" w:rsidRPr="001E2F6E" w:rsidTr="00195BE7">
        <w:trPr>
          <w:jc w:val="center"/>
        </w:trPr>
        <w:tc>
          <w:tcPr>
            <w:tcW w:w="764" w:type="pct"/>
            <w:tcBorders>
              <w:top w:val="nil"/>
              <w:left w:val="nil"/>
              <w:bottom w:val="nil"/>
              <w:right w:val="single" w:sz="4" w:space="0" w:color="BFBFBF" w:themeColor="background1" w:themeShade="BF"/>
            </w:tcBorders>
            <w:shd w:val="clear" w:color="auto" w:fill="auto"/>
            <w:vAlign w:val="center"/>
            <w:hideMark/>
          </w:tcPr>
          <w:p w:rsidR="00195BE7" w:rsidRPr="001E2F6E" w:rsidRDefault="00195BE7" w:rsidP="00195BE7">
            <w:pPr>
              <w:spacing w:line="240" w:lineRule="auto"/>
              <w:rPr>
                <w:sz w:val="16"/>
                <w:szCs w:val="16"/>
                <w:lang w:val="eu-ES"/>
              </w:rPr>
            </w:pPr>
            <w:r w:rsidRPr="001E2F6E">
              <w:rPr>
                <w:sz w:val="16"/>
                <w:szCs w:val="16"/>
                <w:lang w:val="eu-ES"/>
              </w:rPr>
              <w:t>Lehen sektorea</w:t>
            </w:r>
          </w:p>
        </w:tc>
        <w:tc>
          <w:tcPr>
            <w:tcW w:w="697" w:type="pct"/>
            <w:tcBorders>
              <w:top w:val="nil"/>
              <w:left w:val="single" w:sz="4" w:space="0" w:color="BFBFBF" w:themeColor="background1" w:themeShade="BF"/>
              <w:bottom w:val="nil"/>
            </w:tcBorders>
            <w:shd w:val="clear" w:color="auto" w:fill="auto"/>
            <w:vAlign w:val="bottom"/>
            <w:hideMark/>
          </w:tcPr>
          <w:p w:rsidR="00195BE7" w:rsidRPr="001E2F6E" w:rsidRDefault="00195BE7" w:rsidP="00195BE7">
            <w:pPr>
              <w:widowControl w:val="0"/>
              <w:spacing w:line="240" w:lineRule="exact"/>
              <w:ind w:right="170"/>
              <w:jc w:val="right"/>
              <w:rPr>
                <w:color w:val="000000"/>
                <w:sz w:val="16"/>
                <w:szCs w:val="16"/>
              </w:rPr>
            </w:pPr>
            <w:r w:rsidRPr="001E2F6E">
              <w:rPr>
                <w:color w:val="000000"/>
                <w:sz w:val="16"/>
                <w:szCs w:val="16"/>
              </w:rPr>
              <w:t>102.028</w:t>
            </w:r>
          </w:p>
        </w:tc>
        <w:tc>
          <w:tcPr>
            <w:tcW w:w="370" w:type="pct"/>
            <w:tcBorders>
              <w:top w:val="nil"/>
              <w:left w:val="nil"/>
              <w:bottom w:val="nil"/>
              <w:right w:val="single" w:sz="4" w:space="0" w:color="BFBFBF" w:themeColor="background1" w:themeShade="BF"/>
            </w:tcBorders>
            <w:shd w:val="clear" w:color="auto" w:fill="auto"/>
            <w:vAlign w:val="bottom"/>
            <w:hideMark/>
          </w:tcPr>
          <w:p w:rsidR="00195BE7" w:rsidRPr="001E2F6E" w:rsidRDefault="00195BE7" w:rsidP="00195BE7">
            <w:pPr>
              <w:widowControl w:val="0"/>
              <w:spacing w:line="240" w:lineRule="exact"/>
              <w:ind w:right="170"/>
              <w:jc w:val="right"/>
              <w:rPr>
                <w:color w:val="000000"/>
                <w:sz w:val="16"/>
                <w:szCs w:val="16"/>
              </w:rPr>
            </w:pPr>
            <w:r w:rsidRPr="001E2F6E">
              <w:rPr>
                <w:color w:val="000000"/>
                <w:sz w:val="16"/>
                <w:szCs w:val="16"/>
              </w:rPr>
              <w:t>0,1</w:t>
            </w:r>
          </w:p>
        </w:tc>
        <w:tc>
          <w:tcPr>
            <w:tcW w:w="672" w:type="pct"/>
            <w:tcBorders>
              <w:top w:val="nil"/>
              <w:left w:val="single" w:sz="4" w:space="0" w:color="BFBFBF" w:themeColor="background1" w:themeShade="BF"/>
              <w:bottom w:val="nil"/>
            </w:tcBorders>
            <w:shd w:val="clear" w:color="auto" w:fill="auto"/>
            <w:vAlign w:val="bottom"/>
            <w:hideMark/>
          </w:tcPr>
          <w:p w:rsidR="00195BE7" w:rsidRPr="001E2F6E" w:rsidRDefault="00195BE7" w:rsidP="00195BE7">
            <w:pPr>
              <w:widowControl w:val="0"/>
              <w:spacing w:line="240" w:lineRule="exact"/>
              <w:ind w:right="170"/>
              <w:jc w:val="right"/>
              <w:rPr>
                <w:color w:val="000000"/>
                <w:sz w:val="16"/>
                <w:szCs w:val="16"/>
              </w:rPr>
            </w:pPr>
            <w:r w:rsidRPr="001E2F6E">
              <w:rPr>
                <w:color w:val="000000"/>
                <w:sz w:val="16"/>
                <w:szCs w:val="16"/>
              </w:rPr>
              <w:t>102.028</w:t>
            </w:r>
          </w:p>
        </w:tc>
        <w:tc>
          <w:tcPr>
            <w:tcW w:w="401" w:type="pct"/>
            <w:tcBorders>
              <w:top w:val="nil"/>
              <w:left w:val="nil"/>
              <w:bottom w:val="nil"/>
              <w:right w:val="single" w:sz="4" w:space="0" w:color="BFBFBF" w:themeColor="background1" w:themeShade="BF"/>
            </w:tcBorders>
            <w:shd w:val="clear" w:color="auto" w:fill="auto"/>
            <w:vAlign w:val="bottom"/>
            <w:hideMark/>
          </w:tcPr>
          <w:p w:rsidR="00195BE7" w:rsidRPr="001E2F6E" w:rsidRDefault="00195BE7" w:rsidP="00195BE7">
            <w:pPr>
              <w:widowControl w:val="0"/>
              <w:spacing w:line="240" w:lineRule="exact"/>
              <w:ind w:right="170"/>
              <w:jc w:val="right"/>
              <w:rPr>
                <w:color w:val="000000"/>
                <w:sz w:val="16"/>
                <w:szCs w:val="16"/>
              </w:rPr>
            </w:pPr>
            <w:r w:rsidRPr="001E2F6E">
              <w:rPr>
                <w:color w:val="000000"/>
                <w:sz w:val="16"/>
                <w:szCs w:val="16"/>
              </w:rPr>
              <w:t>0,1</w:t>
            </w:r>
          </w:p>
        </w:tc>
        <w:tc>
          <w:tcPr>
            <w:tcW w:w="688" w:type="pct"/>
            <w:tcBorders>
              <w:top w:val="nil"/>
              <w:left w:val="single" w:sz="4" w:space="0" w:color="BFBFBF" w:themeColor="background1" w:themeShade="BF"/>
              <w:bottom w:val="nil"/>
            </w:tcBorders>
            <w:shd w:val="clear" w:color="auto" w:fill="auto"/>
            <w:vAlign w:val="bottom"/>
            <w:hideMark/>
          </w:tcPr>
          <w:p w:rsidR="00195BE7" w:rsidRPr="001E2F6E" w:rsidRDefault="00195BE7" w:rsidP="00195BE7">
            <w:pPr>
              <w:widowControl w:val="0"/>
              <w:spacing w:line="240" w:lineRule="exact"/>
              <w:ind w:right="170"/>
              <w:jc w:val="right"/>
              <w:rPr>
                <w:color w:val="000000"/>
                <w:sz w:val="16"/>
                <w:szCs w:val="16"/>
              </w:rPr>
            </w:pPr>
            <w:r w:rsidRPr="001E2F6E">
              <w:rPr>
                <w:color w:val="000000"/>
                <w:sz w:val="16"/>
                <w:szCs w:val="16"/>
              </w:rPr>
              <w:t>0</w:t>
            </w:r>
          </w:p>
        </w:tc>
        <w:tc>
          <w:tcPr>
            <w:tcW w:w="351" w:type="pct"/>
            <w:tcBorders>
              <w:top w:val="nil"/>
              <w:left w:val="nil"/>
              <w:bottom w:val="nil"/>
              <w:right w:val="single" w:sz="4" w:space="0" w:color="BFBFBF" w:themeColor="background1" w:themeShade="BF"/>
            </w:tcBorders>
            <w:shd w:val="clear" w:color="auto" w:fill="auto"/>
            <w:vAlign w:val="bottom"/>
            <w:hideMark/>
          </w:tcPr>
          <w:p w:rsidR="00195BE7" w:rsidRPr="001E2F6E" w:rsidRDefault="00195BE7" w:rsidP="00195BE7">
            <w:pPr>
              <w:widowControl w:val="0"/>
              <w:spacing w:line="240" w:lineRule="exact"/>
              <w:ind w:right="170"/>
              <w:jc w:val="right"/>
              <w:rPr>
                <w:color w:val="000000"/>
                <w:sz w:val="16"/>
                <w:szCs w:val="16"/>
              </w:rPr>
            </w:pPr>
            <w:r w:rsidRPr="001E2F6E">
              <w:rPr>
                <w:color w:val="000000"/>
                <w:sz w:val="16"/>
                <w:szCs w:val="16"/>
              </w:rPr>
              <w:t>0,0</w:t>
            </w:r>
          </w:p>
        </w:tc>
        <w:tc>
          <w:tcPr>
            <w:tcW w:w="688" w:type="pct"/>
            <w:tcBorders>
              <w:top w:val="nil"/>
              <w:left w:val="single" w:sz="4" w:space="0" w:color="BFBFBF" w:themeColor="background1" w:themeShade="BF"/>
              <w:bottom w:val="nil"/>
            </w:tcBorders>
            <w:shd w:val="clear" w:color="auto" w:fill="auto"/>
            <w:vAlign w:val="bottom"/>
            <w:hideMark/>
          </w:tcPr>
          <w:p w:rsidR="00195BE7" w:rsidRPr="001E2F6E" w:rsidRDefault="00195BE7" w:rsidP="00195BE7">
            <w:pPr>
              <w:widowControl w:val="0"/>
              <w:spacing w:line="240" w:lineRule="exact"/>
              <w:ind w:right="170"/>
              <w:jc w:val="right"/>
              <w:rPr>
                <w:color w:val="000000"/>
                <w:sz w:val="16"/>
                <w:szCs w:val="16"/>
              </w:rPr>
            </w:pPr>
            <w:r w:rsidRPr="001E2F6E">
              <w:rPr>
                <w:color w:val="000000"/>
                <w:sz w:val="16"/>
                <w:szCs w:val="16"/>
              </w:rPr>
              <w:t>0</w:t>
            </w:r>
          </w:p>
        </w:tc>
        <w:tc>
          <w:tcPr>
            <w:tcW w:w="369" w:type="pct"/>
            <w:tcBorders>
              <w:top w:val="nil"/>
              <w:left w:val="nil"/>
              <w:bottom w:val="nil"/>
              <w:right w:val="nil"/>
            </w:tcBorders>
            <w:shd w:val="clear" w:color="auto" w:fill="auto"/>
            <w:vAlign w:val="bottom"/>
            <w:hideMark/>
          </w:tcPr>
          <w:p w:rsidR="00195BE7" w:rsidRPr="001E2F6E" w:rsidRDefault="00195BE7" w:rsidP="00195BE7">
            <w:pPr>
              <w:widowControl w:val="0"/>
              <w:spacing w:line="240" w:lineRule="exact"/>
              <w:ind w:right="170"/>
              <w:jc w:val="right"/>
              <w:rPr>
                <w:color w:val="000000"/>
                <w:sz w:val="16"/>
                <w:szCs w:val="16"/>
              </w:rPr>
            </w:pPr>
            <w:r w:rsidRPr="001E2F6E">
              <w:rPr>
                <w:color w:val="000000"/>
                <w:sz w:val="16"/>
                <w:szCs w:val="16"/>
              </w:rPr>
              <w:t>0,0</w:t>
            </w:r>
          </w:p>
        </w:tc>
      </w:tr>
      <w:tr w:rsidR="00195BE7" w:rsidRPr="001E2F6E" w:rsidTr="00195BE7">
        <w:trPr>
          <w:jc w:val="center"/>
        </w:trPr>
        <w:tc>
          <w:tcPr>
            <w:tcW w:w="764" w:type="pct"/>
            <w:tcBorders>
              <w:top w:val="nil"/>
              <w:left w:val="nil"/>
              <w:bottom w:val="nil"/>
              <w:right w:val="single" w:sz="4" w:space="0" w:color="BFBFBF" w:themeColor="background1" w:themeShade="BF"/>
            </w:tcBorders>
            <w:shd w:val="clear" w:color="auto" w:fill="auto"/>
            <w:vAlign w:val="center"/>
            <w:hideMark/>
          </w:tcPr>
          <w:p w:rsidR="00195BE7" w:rsidRPr="001E2F6E" w:rsidRDefault="00195BE7" w:rsidP="00195BE7">
            <w:pPr>
              <w:spacing w:line="240" w:lineRule="auto"/>
              <w:rPr>
                <w:sz w:val="16"/>
                <w:szCs w:val="16"/>
                <w:lang w:val="eu-ES"/>
              </w:rPr>
            </w:pPr>
            <w:r w:rsidRPr="001E2F6E">
              <w:rPr>
                <w:sz w:val="16"/>
                <w:szCs w:val="16"/>
                <w:lang w:val="eu-ES"/>
              </w:rPr>
              <w:t>Industria</w:t>
            </w:r>
          </w:p>
        </w:tc>
        <w:tc>
          <w:tcPr>
            <w:tcW w:w="697" w:type="pct"/>
            <w:tcBorders>
              <w:top w:val="nil"/>
              <w:left w:val="single" w:sz="4" w:space="0" w:color="BFBFBF" w:themeColor="background1" w:themeShade="BF"/>
              <w:bottom w:val="nil"/>
            </w:tcBorders>
            <w:shd w:val="clear" w:color="auto" w:fill="auto"/>
            <w:vAlign w:val="bottom"/>
            <w:hideMark/>
          </w:tcPr>
          <w:p w:rsidR="00195BE7" w:rsidRPr="001E2F6E" w:rsidRDefault="00195BE7" w:rsidP="00195BE7">
            <w:pPr>
              <w:widowControl w:val="0"/>
              <w:spacing w:line="240" w:lineRule="exact"/>
              <w:ind w:right="170"/>
              <w:jc w:val="right"/>
              <w:rPr>
                <w:color w:val="000000"/>
                <w:sz w:val="16"/>
                <w:szCs w:val="16"/>
              </w:rPr>
            </w:pPr>
            <w:r w:rsidRPr="001E2F6E">
              <w:rPr>
                <w:color w:val="000000"/>
                <w:sz w:val="16"/>
                <w:szCs w:val="16"/>
              </w:rPr>
              <w:t>74.022.201</w:t>
            </w:r>
          </w:p>
        </w:tc>
        <w:tc>
          <w:tcPr>
            <w:tcW w:w="370" w:type="pct"/>
            <w:tcBorders>
              <w:top w:val="nil"/>
              <w:left w:val="nil"/>
              <w:bottom w:val="nil"/>
              <w:right w:val="single" w:sz="4" w:space="0" w:color="BFBFBF" w:themeColor="background1" w:themeShade="BF"/>
            </w:tcBorders>
            <w:shd w:val="clear" w:color="auto" w:fill="auto"/>
            <w:vAlign w:val="bottom"/>
            <w:hideMark/>
          </w:tcPr>
          <w:p w:rsidR="00195BE7" w:rsidRPr="001E2F6E" w:rsidRDefault="00195BE7" w:rsidP="00195BE7">
            <w:pPr>
              <w:widowControl w:val="0"/>
              <w:spacing w:line="240" w:lineRule="exact"/>
              <w:ind w:right="170"/>
              <w:jc w:val="right"/>
              <w:rPr>
                <w:color w:val="000000"/>
                <w:sz w:val="16"/>
                <w:szCs w:val="16"/>
              </w:rPr>
            </w:pPr>
            <w:r w:rsidRPr="001E2F6E">
              <w:rPr>
                <w:color w:val="000000"/>
                <w:sz w:val="16"/>
                <w:szCs w:val="16"/>
              </w:rPr>
              <w:t>67,9</w:t>
            </w:r>
          </w:p>
        </w:tc>
        <w:tc>
          <w:tcPr>
            <w:tcW w:w="672" w:type="pct"/>
            <w:tcBorders>
              <w:top w:val="nil"/>
              <w:left w:val="single" w:sz="4" w:space="0" w:color="BFBFBF" w:themeColor="background1" w:themeShade="BF"/>
              <w:bottom w:val="nil"/>
            </w:tcBorders>
            <w:shd w:val="clear" w:color="auto" w:fill="auto"/>
            <w:vAlign w:val="bottom"/>
            <w:hideMark/>
          </w:tcPr>
          <w:p w:rsidR="00195BE7" w:rsidRPr="001E2F6E" w:rsidRDefault="00195BE7" w:rsidP="00195BE7">
            <w:pPr>
              <w:widowControl w:val="0"/>
              <w:spacing w:line="240" w:lineRule="exact"/>
              <w:ind w:right="170"/>
              <w:jc w:val="right"/>
              <w:rPr>
                <w:color w:val="000000"/>
                <w:sz w:val="16"/>
                <w:szCs w:val="16"/>
              </w:rPr>
            </w:pPr>
            <w:r w:rsidRPr="001E2F6E">
              <w:rPr>
                <w:color w:val="000000"/>
                <w:sz w:val="16"/>
                <w:szCs w:val="16"/>
              </w:rPr>
              <w:t>73.319.782</w:t>
            </w:r>
          </w:p>
        </w:tc>
        <w:tc>
          <w:tcPr>
            <w:tcW w:w="401" w:type="pct"/>
            <w:tcBorders>
              <w:top w:val="nil"/>
              <w:left w:val="nil"/>
              <w:bottom w:val="nil"/>
              <w:right w:val="single" w:sz="4" w:space="0" w:color="BFBFBF" w:themeColor="background1" w:themeShade="BF"/>
            </w:tcBorders>
            <w:shd w:val="clear" w:color="auto" w:fill="auto"/>
            <w:vAlign w:val="bottom"/>
            <w:hideMark/>
          </w:tcPr>
          <w:p w:rsidR="00195BE7" w:rsidRPr="001E2F6E" w:rsidRDefault="00195BE7" w:rsidP="00195BE7">
            <w:pPr>
              <w:widowControl w:val="0"/>
              <w:spacing w:line="240" w:lineRule="exact"/>
              <w:ind w:right="170"/>
              <w:jc w:val="right"/>
              <w:rPr>
                <w:color w:val="000000"/>
                <w:sz w:val="16"/>
                <w:szCs w:val="16"/>
              </w:rPr>
            </w:pPr>
            <w:r w:rsidRPr="001E2F6E">
              <w:rPr>
                <w:color w:val="000000"/>
                <w:sz w:val="16"/>
                <w:szCs w:val="16"/>
              </w:rPr>
              <w:t>70,0</w:t>
            </w:r>
          </w:p>
        </w:tc>
        <w:tc>
          <w:tcPr>
            <w:tcW w:w="688" w:type="pct"/>
            <w:tcBorders>
              <w:top w:val="nil"/>
              <w:left w:val="single" w:sz="4" w:space="0" w:color="BFBFBF" w:themeColor="background1" w:themeShade="BF"/>
              <w:bottom w:val="nil"/>
            </w:tcBorders>
            <w:shd w:val="clear" w:color="auto" w:fill="auto"/>
            <w:vAlign w:val="bottom"/>
            <w:hideMark/>
          </w:tcPr>
          <w:p w:rsidR="00195BE7" w:rsidRPr="001E2F6E" w:rsidRDefault="00195BE7" w:rsidP="00195BE7">
            <w:pPr>
              <w:widowControl w:val="0"/>
              <w:spacing w:line="240" w:lineRule="exact"/>
              <w:ind w:right="170"/>
              <w:jc w:val="right"/>
              <w:rPr>
                <w:color w:val="000000"/>
                <w:sz w:val="16"/>
                <w:szCs w:val="16"/>
              </w:rPr>
            </w:pPr>
            <w:r w:rsidRPr="001E2F6E">
              <w:rPr>
                <w:color w:val="000000"/>
                <w:sz w:val="16"/>
                <w:szCs w:val="16"/>
              </w:rPr>
              <w:t>430.235</w:t>
            </w:r>
          </w:p>
        </w:tc>
        <w:tc>
          <w:tcPr>
            <w:tcW w:w="351" w:type="pct"/>
            <w:tcBorders>
              <w:top w:val="nil"/>
              <w:left w:val="nil"/>
              <w:bottom w:val="nil"/>
              <w:right w:val="single" w:sz="4" w:space="0" w:color="BFBFBF" w:themeColor="background1" w:themeShade="BF"/>
            </w:tcBorders>
            <w:shd w:val="clear" w:color="auto" w:fill="auto"/>
            <w:vAlign w:val="bottom"/>
            <w:hideMark/>
          </w:tcPr>
          <w:p w:rsidR="00195BE7" w:rsidRPr="001E2F6E" w:rsidRDefault="00195BE7" w:rsidP="00195BE7">
            <w:pPr>
              <w:widowControl w:val="0"/>
              <w:spacing w:line="240" w:lineRule="exact"/>
              <w:ind w:right="170"/>
              <w:jc w:val="right"/>
              <w:rPr>
                <w:color w:val="000000"/>
                <w:sz w:val="16"/>
                <w:szCs w:val="16"/>
              </w:rPr>
            </w:pPr>
            <w:r w:rsidRPr="001E2F6E">
              <w:rPr>
                <w:color w:val="000000"/>
                <w:sz w:val="16"/>
                <w:szCs w:val="16"/>
              </w:rPr>
              <w:t>15,1</w:t>
            </w:r>
          </w:p>
        </w:tc>
        <w:tc>
          <w:tcPr>
            <w:tcW w:w="688" w:type="pct"/>
            <w:tcBorders>
              <w:top w:val="nil"/>
              <w:left w:val="single" w:sz="4" w:space="0" w:color="BFBFBF" w:themeColor="background1" w:themeShade="BF"/>
              <w:bottom w:val="nil"/>
            </w:tcBorders>
            <w:shd w:val="clear" w:color="auto" w:fill="auto"/>
            <w:vAlign w:val="bottom"/>
            <w:hideMark/>
          </w:tcPr>
          <w:p w:rsidR="00195BE7" w:rsidRPr="001E2F6E" w:rsidRDefault="00195BE7" w:rsidP="00195BE7">
            <w:pPr>
              <w:widowControl w:val="0"/>
              <w:spacing w:line="240" w:lineRule="exact"/>
              <w:ind w:right="170"/>
              <w:jc w:val="right"/>
              <w:rPr>
                <w:color w:val="000000"/>
                <w:sz w:val="16"/>
                <w:szCs w:val="16"/>
              </w:rPr>
            </w:pPr>
            <w:r w:rsidRPr="001E2F6E">
              <w:rPr>
                <w:color w:val="000000"/>
                <w:sz w:val="16"/>
                <w:szCs w:val="16"/>
              </w:rPr>
              <w:t>272.184</w:t>
            </w:r>
          </w:p>
        </w:tc>
        <w:tc>
          <w:tcPr>
            <w:tcW w:w="369" w:type="pct"/>
            <w:tcBorders>
              <w:top w:val="nil"/>
              <w:left w:val="nil"/>
              <w:bottom w:val="nil"/>
              <w:right w:val="nil"/>
            </w:tcBorders>
            <w:shd w:val="clear" w:color="auto" w:fill="auto"/>
            <w:vAlign w:val="bottom"/>
            <w:hideMark/>
          </w:tcPr>
          <w:p w:rsidR="00195BE7" w:rsidRPr="001E2F6E" w:rsidRDefault="00195BE7" w:rsidP="00195BE7">
            <w:pPr>
              <w:widowControl w:val="0"/>
              <w:spacing w:line="240" w:lineRule="exact"/>
              <w:ind w:right="170"/>
              <w:jc w:val="right"/>
              <w:rPr>
                <w:color w:val="000000"/>
                <w:sz w:val="16"/>
                <w:szCs w:val="16"/>
              </w:rPr>
            </w:pPr>
            <w:r w:rsidRPr="001E2F6E">
              <w:rPr>
                <w:color w:val="000000"/>
                <w:sz w:val="16"/>
                <w:szCs w:val="16"/>
              </w:rPr>
              <w:t>19,3</w:t>
            </w:r>
          </w:p>
        </w:tc>
      </w:tr>
      <w:tr w:rsidR="00195BE7" w:rsidRPr="001E2F6E" w:rsidTr="00195BE7">
        <w:trPr>
          <w:jc w:val="center"/>
        </w:trPr>
        <w:tc>
          <w:tcPr>
            <w:tcW w:w="764" w:type="pct"/>
            <w:tcBorders>
              <w:top w:val="nil"/>
              <w:left w:val="nil"/>
              <w:bottom w:val="nil"/>
              <w:right w:val="single" w:sz="4" w:space="0" w:color="BFBFBF" w:themeColor="background1" w:themeShade="BF"/>
            </w:tcBorders>
            <w:shd w:val="clear" w:color="auto" w:fill="auto"/>
            <w:vAlign w:val="center"/>
            <w:hideMark/>
          </w:tcPr>
          <w:p w:rsidR="00195BE7" w:rsidRPr="001E2F6E" w:rsidRDefault="00195BE7" w:rsidP="00195BE7">
            <w:pPr>
              <w:spacing w:line="240" w:lineRule="auto"/>
              <w:rPr>
                <w:sz w:val="16"/>
                <w:szCs w:val="16"/>
                <w:lang w:val="eu-ES"/>
              </w:rPr>
            </w:pPr>
            <w:r w:rsidRPr="001E2F6E">
              <w:rPr>
                <w:sz w:val="16"/>
                <w:szCs w:val="16"/>
                <w:lang w:val="eu-ES"/>
              </w:rPr>
              <w:t>Eraikuntza</w:t>
            </w:r>
          </w:p>
        </w:tc>
        <w:tc>
          <w:tcPr>
            <w:tcW w:w="697" w:type="pct"/>
            <w:tcBorders>
              <w:top w:val="nil"/>
              <w:left w:val="single" w:sz="4" w:space="0" w:color="BFBFBF" w:themeColor="background1" w:themeShade="BF"/>
              <w:bottom w:val="nil"/>
            </w:tcBorders>
            <w:shd w:val="clear" w:color="auto" w:fill="auto"/>
            <w:vAlign w:val="bottom"/>
            <w:hideMark/>
          </w:tcPr>
          <w:p w:rsidR="00195BE7" w:rsidRPr="001E2F6E" w:rsidRDefault="00195BE7" w:rsidP="00195BE7">
            <w:pPr>
              <w:widowControl w:val="0"/>
              <w:spacing w:line="240" w:lineRule="exact"/>
              <w:ind w:right="170"/>
              <w:jc w:val="right"/>
              <w:rPr>
                <w:color w:val="000000"/>
                <w:sz w:val="16"/>
                <w:szCs w:val="16"/>
              </w:rPr>
            </w:pPr>
            <w:r w:rsidRPr="001E2F6E">
              <w:rPr>
                <w:color w:val="000000"/>
                <w:sz w:val="16"/>
                <w:szCs w:val="16"/>
              </w:rPr>
              <w:t>297.117</w:t>
            </w:r>
          </w:p>
        </w:tc>
        <w:tc>
          <w:tcPr>
            <w:tcW w:w="370" w:type="pct"/>
            <w:tcBorders>
              <w:top w:val="nil"/>
              <w:left w:val="nil"/>
              <w:bottom w:val="nil"/>
              <w:right w:val="single" w:sz="4" w:space="0" w:color="BFBFBF" w:themeColor="background1" w:themeShade="BF"/>
            </w:tcBorders>
            <w:shd w:val="clear" w:color="auto" w:fill="auto"/>
            <w:vAlign w:val="bottom"/>
            <w:hideMark/>
          </w:tcPr>
          <w:p w:rsidR="00195BE7" w:rsidRPr="001E2F6E" w:rsidRDefault="00195BE7" w:rsidP="00195BE7">
            <w:pPr>
              <w:widowControl w:val="0"/>
              <w:spacing w:line="240" w:lineRule="exact"/>
              <w:ind w:right="170"/>
              <w:jc w:val="right"/>
              <w:rPr>
                <w:color w:val="000000"/>
                <w:sz w:val="16"/>
                <w:szCs w:val="16"/>
              </w:rPr>
            </w:pPr>
            <w:r w:rsidRPr="001E2F6E">
              <w:rPr>
                <w:color w:val="000000"/>
                <w:sz w:val="16"/>
                <w:szCs w:val="16"/>
              </w:rPr>
              <w:t>0,3</w:t>
            </w:r>
          </w:p>
        </w:tc>
        <w:tc>
          <w:tcPr>
            <w:tcW w:w="672" w:type="pct"/>
            <w:tcBorders>
              <w:top w:val="nil"/>
              <w:left w:val="single" w:sz="4" w:space="0" w:color="BFBFBF" w:themeColor="background1" w:themeShade="BF"/>
              <w:bottom w:val="nil"/>
            </w:tcBorders>
            <w:shd w:val="clear" w:color="auto" w:fill="auto"/>
            <w:vAlign w:val="bottom"/>
            <w:hideMark/>
          </w:tcPr>
          <w:p w:rsidR="00195BE7" w:rsidRPr="001E2F6E" w:rsidRDefault="00195BE7" w:rsidP="00195BE7">
            <w:pPr>
              <w:widowControl w:val="0"/>
              <w:spacing w:line="240" w:lineRule="exact"/>
              <w:ind w:right="170"/>
              <w:jc w:val="right"/>
              <w:rPr>
                <w:color w:val="000000"/>
                <w:sz w:val="16"/>
                <w:szCs w:val="16"/>
              </w:rPr>
            </w:pPr>
            <w:r w:rsidRPr="001E2F6E">
              <w:rPr>
                <w:color w:val="000000"/>
                <w:sz w:val="16"/>
                <w:szCs w:val="16"/>
              </w:rPr>
              <w:t>261.461</w:t>
            </w:r>
          </w:p>
        </w:tc>
        <w:tc>
          <w:tcPr>
            <w:tcW w:w="401" w:type="pct"/>
            <w:tcBorders>
              <w:top w:val="nil"/>
              <w:left w:val="nil"/>
              <w:bottom w:val="nil"/>
              <w:right w:val="single" w:sz="4" w:space="0" w:color="BFBFBF" w:themeColor="background1" w:themeShade="BF"/>
            </w:tcBorders>
            <w:shd w:val="clear" w:color="auto" w:fill="auto"/>
            <w:vAlign w:val="bottom"/>
            <w:hideMark/>
          </w:tcPr>
          <w:p w:rsidR="00195BE7" w:rsidRPr="001E2F6E" w:rsidRDefault="00195BE7" w:rsidP="00195BE7">
            <w:pPr>
              <w:widowControl w:val="0"/>
              <w:spacing w:line="240" w:lineRule="exact"/>
              <w:ind w:right="170"/>
              <w:jc w:val="right"/>
              <w:rPr>
                <w:color w:val="000000"/>
                <w:sz w:val="16"/>
                <w:szCs w:val="16"/>
              </w:rPr>
            </w:pPr>
            <w:r w:rsidRPr="001E2F6E">
              <w:rPr>
                <w:color w:val="000000"/>
                <w:sz w:val="16"/>
                <w:szCs w:val="16"/>
              </w:rPr>
              <w:t>0,2</w:t>
            </w:r>
          </w:p>
        </w:tc>
        <w:tc>
          <w:tcPr>
            <w:tcW w:w="688" w:type="pct"/>
            <w:tcBorders>
              <w:top w:val="nil"/>
              <w:left w:val="single" w:sz="4" w:space="0" w:color="BFBFBF" w:themeColor="background1" w:themeShade="BF"/>
              <w:bottom w:val="nil"/>
            </w:tcBorders>
            <w:shd w:val="clear" w:color="auto" w:fill="auto"/>
            <w:vAlign w:val="bottom"/>
            <w:hideMark/>
          </w:tcPr>
          <w:p w:rsidR="00195BE7" w:rsidRPr="001E2F6E" w:rsidRDefault="00195BE7" w:rsidP="00195BE7">
            <w:pPr>
              <w:widowControl w:val="0"/>
              <w:spacing w:line="240" w:lineRule="exact"/>
              <w:ind w:right="170"/>
              <w:jc w:val="right"/>
              <w:rPr>
                <w:color w:val="000000"/>
                <w:sz w:val="16"/>
                <w:szCs w:val="16"/>
              </w:rPr>
            </w:pPr>
            <w:r w:rsidRPr="001E2F6E">
              <w:rPr>
                <w:color w:val="000000"/>
                <w:sz w:val="16"/>
                <w:szCs w:val="16"/>
              </w:rPr>
              <w:t>6.620</w:t>
            </w:r>
          </w:p>
        </w:tc>
        <w:tc>
          <w:tcPr>
            <w:tcW w:w="351" w:type="pct"/>
            <w:tcBorders>
              <w:top w:val="nil"/>
              <w:left w:val="nil"/>
              <w:bottom w:val="nil"/>
              <w:right w:val="single" w:sz="4" w:space="0" w:color="BFBFBF" w:themeColor="background1" w:themeShade="BF"/>
            </w:tcBorders>
            <w:shd w:val="clear" w:color="auto" w:fill="auto"/>
            <w:vAlign w:val="bottom"/>
            <w:hideMark/>
          </w:tcPr>
          <w:p w:rsidR="00195BE7" w:rsidRPr="001E2F6E" w:rsidRDefault="00195BE7" w:rsidP="00195BE7">
            <w:pPr>
              <w:widowControl w:val="0"/>
              <w:spacing w:line="240" w:lineRule="exact"/>
              <w:ind w:right="170"/>
              <w:jc w:val="right"/>
              <w:rPr>
                <w:color w:val="000000"/>
                <w:sz w:val="16"/>
                <w:szCs w:val="16"/>
              </w:rPr>
            </w:pPr>
            <w:r w:rsidRPr="001E2F6E">
              <w:rPr>
                <w:color w:val="000000"/>
                <w:sz w:val="16"/>
                <w:szCs w:val="16"/>
              </w:rPr>
              <w:t>0,2</w:t>
            </w:r>
          </w:p>
        </w:tc>
        <w:tc>
          <w:tcPr>
            <w:tcW w:w="688" w:type="pct"/>
            <w:tcBorders>
              <w:top w:val="nil"/>
              <w:left w:val="single" w:sz="4" w:space="0" w:color="BFBFBF" w:themeColor="background1" w:themeShade="BF"/>
              <w:bottom w:val="nil"/>
            </w:tcBorders>
            <w:shd w:val="clear" w:color="auto" w:fill="auto"/>
            <w:vAlign w:val="bottom"/>
            <w:hideMark/>
          </w:tcPr>
          <w:p w:rsidR="00195BE7" w:rsidRPr="001E2F6E" w:rsidRDefault="00195BE7" w:rsidP="00195BE7">
            <w:pPr>
              <w:widowControl w:val="0"/>
              <w:spacing w:line="240" w:lineRule="exact"/>
              <w:ind w:right="170"/>
              <w:jc w:val="right"/>
              <w:rPr>
                <w:color w:val="000000"/>
                <w:sz w:val="16"/>
                <w:szCs w:val="16"/>
              </w:rPr>
            </w:pPr>
            <w:r w:rsidRPr="001E2F6E">
              <w:rPr>
                <w:color w:val="000000"/>
                <w:sz w:val="16"/>
                <w:szCs w:val="16"/>
              </w:rPr>
              <w:t>29.036</w:t>
            </w:r>
          </w:p>
        </w:tc>
        <w:tc>
          <w:tcPr>
            <w:tcW w:w="369" w:type="pct"/>
            <w:tcBorders>
              <w:top w:val="nil"/>
              <w:left w:val="nil"/>
              <w:bottom w:val="nil"/>
              <w:right w:val="nil"/>
            </w:tcBorders>
            <w:shd w:val="clear" w:color="auto" w:fill="auto"/>
            <w:vAlign w:val="bottom"/>
            <w:hideMark/>
          </w:tcPr>
          <w:p w:rsidR="00195BE7" w:rsidRPr="001E2F6E" w:rsidRDefault="00195BE7" w:rsidP="00195BE7">
            <w:pPr>
              <w:widowControl w:val="0"/>
              <w:spacing w:line="240" w:lineRule="exact"/>
              <w:ind w:right="170"/>
              <w:jc w:val="right"/>
              <w:rPr>
                <w:color w:val="000000"/>
                <w:sz w:val="16"/>
                <w:szCs w:val="16"/>
              </w:rPr>
            </w:pPr>
            <w:r w:rsidRPr="001E2F6E">
              <w:rPr>
                <w:color w:val="000000"/>
                <w:sz w:val="16"/>
                <w:szCs w:val="16"/>
              </w:rPr>
              <w:t>2,1</w:t>
            </w:r>
          </w:p>
        </w:tc>
      </w:tr>
      <w:tr w:rsidR="00195BE7" w:rsidRPr="001E2F6E" w:rsidTr="00195BE7">
        <w:trPr>
          <w:jc w:val="center"/>
        </w:trPr>
        <w:tc>
          <w:tcPr>
            <w:tcW w:w="764" w:type="pct"/>
            <w:tcBorders>
              <w:top w:val="nil"/>
              <w:left w:val="nil"/>
              <w:bottom w:val="nil"/>
              <w:right w:val="single" w:sz="4" w:space="0" w:color="BFBFBF" w:themeColor="background1" w:themeShade="BF"/>
            </w:tcBorders>
            <w:shd w:val="clear" w:color="auto" w:fill="auto"/>
            <w:vAlign w:val="center"/>
            <w:hideMark/>
          </w:tcPr>
          <w:p w:rsidR="00195BE7" w:rsidRPr="001E2F6E" w:rsidRDefault="00195BE7" w:rsidP="00195BE7">
            <w:pPr>
              <w:spacing w:line="240" w:lineRule="auto"/>
              <w:rPr>
                <w:sz w:val="16"/>
                <w:szCs w:val="16"/>
                <w:lang w:val="eu-ES"/>
              </w:rPr>
            </w:pPr>
            <w:r w:rsidRPr="001E2F6E">
              <w:rPr>
                <w:sz w:val="16"/>
                <w:szCs w:val="16"/>
                <w:lang w:val="eu-ES"/>
              </w:rPr>
              <w:t xml:space="preserve">Zerbitzuak </w:t>
            </w:r>
          </w:p>
        </w:tc>
        <w:tc>
          <w:tcPr>
            <w:tcW w:w="697" w:type="pct"/>
            <w:tcBorders>
              <w:top w:val="nil"/>
              <w:left w:val="single" w:sz="4" w:space="0" w:color="BFBFBF" w:themeColor="background1" w:themeShade="BF"/>
              <w:bottom w:val="nil"/>
            </w:tcBorders>
            <w:shd w:val="clear" w:color="auto" w:fill="auto"/>
            <w:vAlign w:val="bottom"/>
            <w:hideMark/>
          </w:tcPr>
          <w:p w:rsidR="00195BE7" w:rsidRPr="001E2F6E" w:rsidRDefault="00195BE7" w:rsidP="00195BE7">
            <w:pPr>
              <w:widowControl w:val="0"/>
              <w:spacing w:line="240" w:lineRule="exact"/>
              <w:ind w:right="170"/>
              <w:jc w:val="right"/>
              <w:rPr>
                <w:color w:val="000000"/>
                <w:sz w:val="16"/>
                <w:szCs w:val="16"/>
              </w:rPr>
            </w:pPr>
            <w:r w:rsidRPr="001E2F6E">
              <w:rPr>
                <w:color w:val="000000"/>
                <w:sz w:val="16"/>
                <w:szCs w:val="16"/>
              </w:rPr>
              <w:t>34.619.053</w:t>
            </w:r>
          </w:p>
        </w:tc>
        <w:tc>
          <w:tcPr>
            <w:tcW w:w="370" w:type="pct"/>
            <w:tcBorders>
              <w:top w:val="nil"/>
              <w:left w:val="nil"/>
              <w:bottom w:val="nil"/>
              <w:right w:val="single" w:sz="4" w:space="0" w:color="BFBFBF" w:themeColor="background1" w:themeShade="BF"/>
            </w:tcBorders>
            <w:shd w:val="clear" w:color="auto" w:fill="auto"/>
            <w:vAlign w:val="bottom"/>
            <w:hideMark/>
          </w:tcPr>
          <w:p w:rsidR="00195BE7" w:rsidRPr="001E2F6E" w:rsidRDefault="00195BE7" w:rsidP="00195BE7">
            <w:pPr>
              <w:widowControl w:val="0"/>
              <w:spacing w:line="240" w:lineRule="exact"/>
              <w:ind w:right="170"/>
              <w:jc w:val="right"/>
              <w:rPr>
                <w:color w:val="000000"/>
                <w:sz w:val="16"/>
                <w:szCs w:val="16"/>
              </w:rPr>
            </w:pPr>
            <w:r w:rsidRPr="001E2F6E">
              <w:rPr>
                <w:color w:val="000000"/>
                <w:sz w:val="16"/>
                <w:szCs w:val="16"/>
              </w:rPr>
              <w:t>31,7</w:t>
            </w:r>
          </w:p>
        </w:tc>
        <w:tc>
          <w:tcPr>
            <w:tcW w:w="672" w:type="pct"/>
            <w:tcBorders>
              <w:top w:val="nil"/>
              <w:left w:val="single" w:sz="4" w:space="0" w:color="BFBFBF" w:themeColor="background1" w:themeShade="BF"/>
              <w:bottom w:val="nil"/>
            </w:tcBorders>
            <w:shd w:val="clear" w:color="auto" w:fill="auto"/>
            <w:vAlign w:val="bottom"/>
            <w:hideMark/>
          </w:tcPr>
          <w:p w:rsidR="00195BE7" w:rsidRPr="001E2F6E" w:rsidRDefault="00195BE7" w:rsidP="00195BE7">
            <w:pPr>
              <w:widowControl w:val="0"/>
              <w:spacing w:line="240" w:lineRule="exact"/>
              <w:ind w:right="170"/>
              <w:jc w:val="right"/>
              <w:rPr>
                <w:color w:val="000000"/>
                <w:sz w:val="16"/>
                <w:szCs w:val="16"/>
              </w:rPr>
            </w:pPr>
            <w:r w:rsidRPr="001E2F6E">
              <w:rPr>
                <w:color w:val="000000"/>
                <w:sz w:val="16"/>
                <w:szCs w:val="16"/>
              </w:rPr>
              <w:t>31.106.373</w:t>
            </w:r>
          </w:p>
        </w:tc>
        <w:tc>
          <w:tcPr>
            <w:tcW w:w="401" w:type="pct"/>
            <w:tcBorders>
              <w:top w:val="nil"/>
              <w:left w:val="nil"/>
              <w:bottom w:val="nil"/>
              <w:right w:val="single" w:sz="4" w:space="0" w:color="BFBFBF" w:themeColor="background1" w:themeShade="BF"/>
            </w:tcBorders>
            <w:shd w:val="clear" w:color="auto" w:fill="auto"/>
            <w:vAlign w:val="bottom"/>
            <w:hideMark/>
          </w:tcPr>
          <w:p w:rsidR="00195BE7" w:rsidRPr="001E2F6E" w:rsidRDefault="00195BE7" w:rsidP="00195BE7">
            <w:pPr>
              <w:widowControl w:val="0"/>
              <w:spacing w:line="240" w:lineRule="exact"/>
              <w:ind w:right="170"/>
              <w:jc w:val="right"/>
              <w:rPr>
                <w:color w:val="000000"/>
                <w:sz w:val="16"/>
                <w:szCs w:val="16"/>
              </w:rPr>
            </w:pPr>
            <w:r w:rsidRPr="001E2F6E">
              <w:rPr>
                <w:color w:val="000000"/>
                <w:sz w:val="16"/>
                <w:szCs w:val="16"/>
              </w:rPr>
              <w:t>29,7</w:t>
            </w:r>
          </w:p>
        </w:tc>
        <w:tc>
          <w:tcPr>
            <w:tcW w:w="688" w:type="pct"/>
            <w:tcBorders>
              <w:top w:val="nil"/>
              <w:left w:val="single" w:sz="4" w:space="0" w:color="BFBFBF" w:themeColor="background1" w:themeShade="BF"/>
              <w:bottom w:val="nil"/>
            </w:tcBorders>
            <w:shd w:val="clear" w:color="auto" w:fill="auto"/>
            <w:vAlign w:val="bottom"/>
            <w:hideMark/>
          </w:tcPr>
          <w:p w:rsidR="00195BE7" w:rsidRPr="001E2F6E" w:rsidRDefault="00195BE7" w:rsidP="00195BE7">
            <w:pPr>
              <w:widowControl w:val="0"/>
              <w:spacing w:line="240" w:lineRule="exact"/>
              <w:ind w:right="170"/>
              <w:jc w:val="right"/>
              <w:rPr>
                <w:color w:val="000000"/>
                <w:sz w:val="16"/>
                <w:szCs w:val="16"/>
              </w:rPr>
            </w:pPr>
            <w:r w:rsidRPr="001E2F6E">
              <w:rPr>
                <w:color w:val="000000"/>
                <w:sz w:val="16"/>
                <w:szCs w:val="16"/>
              </w:rPr>
              <w:t>2.404.064</w:t>
            </w:r>
          </w:p>
        </w:tc>
        <w:tc>
          <w:tcPr>
            <w:tcW w:w="351" w:type="pct"/>
            <w:tcBorders>
              <w:top w:val="nil"/>
              <w:left w:val="nil"/>
              <w:bottom w:val="nil"/>
              <w:right w:val="single" w:sz="4" w:space="0" w:color="BFBFBF" w:themeColor="background1" w:themeShade="BF"/>
            </w:tcBorders>
            <w:shd w:val="clear" w:color="auto" w:fill="auto"/>
            <w:vAlign w:val="bottom"/>
            <w:hideMark/>
          </w:tcPr>
          <w:p w:rsidR="00195BE7" w:rsidRPr="001E2F6E" w:rsidRDefault="00195BE7" w:rsidP="00195BE7">
            <w:pPr>
              <w:widowControl w:val="0"/>
              <w:spacing w:line="240" w:lineRule="exact"/>
              <w:ind w:right="170"/>
              <w:jc w:val="right"/>
              <w:rPr>
                <w:color w:val="000000"/>
                <w:sz w:val="16"/>
                <w:szCs w:val="16"/>
              </w:rPr>
            </w:pPr>
            <w:r w:rsidRPr="001E2F6E">
              <w:rPr>
                <w:color w:val="000000"/>
                <w:sz w:val="16"/>
                <w:szCs w:val="16"/>
              </w:rPr>
              <w:t>84,6</w:t>
            </w:r>
          </w:p>
        </w:tc>
        <w:tc>
          <w:tcPr>
            <w:tcW w:w="688" w:type="pct"/>
            <w:tcBorders>
              <w:top w:val="nil"/>
              <w:left w:val="single" w:sz="4" w:space="0" w:color="BFBFBF" w:themeColor="background1" w:themeShade="BF"/>
              <w:bottom w:val="nil"/>
            </w:tcBorders>
            <w:shd w:val="clear" w:color="auto" w:fill="auto"/>
            <w:vAlign w:val="bottom"/>
            <w:hideMark/>
          </w:tcPr>
          <w:p w:rsidR="00195BE7" w:rsidRPr="001E2F6E" w:rsidRDefault="00195BE7" w:rsidP="00195BE7">
            <w:pPr>
              <w:widowControl w:val="0"/>
              <w:spacing w:line="240" w:lineRule="exact"/>
              <w:ind w:right="170"/>
              <w:jc w:val="right"/>
              <w:rPr>
                <w:color w:val="000000"/>
                <w:sz w:val="16"/>
                <w:szCs w:val="16"/>
              </w:rPr>
            </w:pPr>
            <w:r w:rsidRPr="001E2F6E">
              <w:rPr>
                <w:color w:val="000000"/>
                <w:sz w:val="16"/>
                <w:szCs w:val="16"/>
              </w:rPr>
              <w:t>1.108.616</w:t>
            </w:r>
          </w:p>
        </w:tc>
        <w:tc>
          <w:tcPr>
            <w:tcW w:w="369" w:type="pct"/>
            <w:tcBorders>
              <w:top w:val="nil"/>
              <w:left w:val="nil"/>
              <w:bottom w:val="nil"/>
              <w:right w:val="nil"/>
            </w:tcBorders>
            <w:shd w:val="clear" w:color="auto" w:fill="auto"/>
            <w:vAlign w:val="bottom"/>
            <w:hideMark/>
          </w:tcPr>
          <w:p w:rsidR="00195BE7" w:rsidRPr="001E2F6E" w:rsidRDefault="00195BE7" w:rsidP="00195BE7">
            <w:pPr>
              <w:widowControl w:val="0"/>
              <w:spacing w:line="240" w:lineRule="exact"/>
              <w:ind w:right="170"/>
              <w:jc w:val="right"/>
              <w:rPr>
                <w:color w:val="000000"/>
                <w:sz w:val="16"/>
                <w:szCs w:val="16"/>
              </w:rPr>
            </w:pPr>
            <w:r w:rsidRPr="001E2F6E">
              <w:rPr>
                <w:color w:val="000000"/>
                <w:sz w:val="16"/>
                <w:szCs w:val="16"/>
              </w:rPr>
              <w:t>78,6</w:t>
            </w:r>
          </w:p>
        </w:tc>
      </w:tr>
      <w:tr w:rsidR="00195BE7" w:rsidRPr="001E2F6E" w:rsidTr="00195BE7">
        <w:trPr>
          <w:jc w:val="center"/>
        </w:trPr>
        <w:tc>
          <w:tcPr>
            <w:tcW w:w="764" w:type="pct"/>
            <w:tcBorders>
              <w:top w:val="single" w:sz="4" w:space="0" w:color="BFBFBF" w:themeColor="background1" w:themeShade="BF"/>
              <w:left w:val="nil"/>
              <w:bottom w:val="single" w:sz="8" w:space="0" w:color="BFBFBF"/>
              <w:right w:val="single" w:sz="4" w:space="0" w:color="BFBFBF" w:themeColor="background1" w:themeShade="BF"/>
            </w:tcBorders>
            <w:shd w:val="clear" w:color="auto" w:fill="auto"/>
            <w:vAlign w:val="center"/>
            <w:hideMark/>
          </w:tcPr>
          <w:p w:rsidR="00195BE7" w:rsidRPr="001E2F6E" w:rsidRDefault="00195BE7" w:rsidP="00195BE7">
            <w:pPr>
              <w:spacing w:line="240" w:lineRule="auto"/>
              <w:rPr>
                <w:b/>
                <w:bCs/>
                <w:sz w:val="16"/>
                <w:szCs w:val="16"/>
                <w:lang w:val="eu-ES"/>
              </w:rPr>
            </w:pPr>
            <w:r w:rsidRPr="001E2F6E">
              <w:rPr>
                <w:b/>
                <w:bCs/>
                <w:sz w:val="16"/>
                <w:szCs w:val="16"/>
                <w:lang w:val="eu-ES"/>
              </w:rPr>
              <w:t>GUZTIRA</w:t>
            </w:r>
          </w:p>
        </w:tc>
        <w:tc>
          <w:tcPr>
            <w:tcW w:w="697" w:type="pct"/>
            <w:tcBorders>
              <w:top w:val="single" w:sz="4" w:space="0" w:color="BFBFBF" w:themeColor="background1" w:themeShade="BF"/>
              <w:left w:val="single" w:sz="4" w:space="0" w:color="BFBFBF" w:themeColor="background1" w:themeShade="BF"/>
              <w:bottom w:val="single" w:sz="8" w:space="0" w:color="BFBFBF"/>
            </w:tcBorders>
            <w:shd w:val="clear" w:color="auto" w:fill="auto"/>
            <w:vAlign w:val="bottom"/>
            <w:hideMark/>
          </w:tcPr>
          <w:p w:rsidR="00195BE7" w:rsidRPr="001E2F6E" w:rsidRDefault="00195BE7" w:rsidP="00195BE7">
            <w:pPr>
              <w:widowControl w:val="0"/>
              <w:spacing w:line="240" w:lineRule="exact"/>
              <w:ind w:right="170"/>
              <w:jc w:val="right"/>
              <w:rPr>
                <w:b/>
                <w:bCs/>
                <w:color w:val="000000"/>
                <w:sz w:val="16"/>
                <w:szCs w:val="16"/>
              </w:rPr>
            </w:pPr>
            <w:r w:rsidRPr="001E2F6E">
              <w:rPr>
                <w:b/>
                <w:bCs/>
                <w:color w:val="000000"/>
                <w:sz w:val="16"/>
                <w:szCs w:val="16"/>
              </w:rPr>
              <w:t>109.040.400</w:t>
            </w:r>
          </w:p>
        </w:tc>
        <w:tc>
          <w:tcPr>
            <w:tcW w:w="370" w:type="pct"/>
            <w:tcBorders>
              <w:top w:val="single" w:sz="4" w:space="0" w:color="BFBFBF" w:themeColor="background1" w:themeShade="BF"/>
              <w:left w:val="nil"/>
              <w:bottom w:val="single" w:sz="8" w:space="0" w:color="BFBFBF"/>
              <w:right w:val="single" w:sz="4" w:space="0" w:color="BFBFBF" w:themeColor="background1" w:themeShade="BF"/>
            </w:tcBorders>
            <w:shd w:val="clear" w:color="auto" w:fill="auto"/>
            <w:vAlign w:val="bottom"/>
            <w:hideMark/>
          </w:tcPr>
          <w:p w:rsidR="00195BE7" w:rsidRPr="001E2F6E" w:rsidRDefault="00195BE7" w:rsidP="00195BE7">
            <w:pPr>
              <w:widowControl w:val="0"/>
              <w:spacing w:line="240" w:lineRule="exact"/>
              <w:ind w:right="170"/>
              <w:jc w:val="right"/>
              <w:rPr>
                <w:b/>
                <w:bCs/>
                <w:color w:val="000000"/>
                <w:sz w:val="16"/>
                <w:szCs w:val="16"/>
              </w:rPr>
            </w:pPr>
            <w:r w:rsidRPr="001E2F6E">
              <w:rPr>
                <w:b/>
                <w:bCs/>
                <w:color w:val="000000"/>
                <w:sz w:val="16"/>
                <w:szCs w:val="16"/>
              </w:rPr>
              <w:t>100</w:t>
            </w:r>
          </w:p>
        </w:tc>
        <w:tc>
          <w:tcPr>
            <w:tcW w:w="672" w:type="pct"/>
            <w:tcBorders>
              <w:top w:val="single" w:sz="4" w:space="0" w:color="BFBFBF" w:themeColor="background1" w:themeShade="BF"/>
              <w:left w:val="single" w:sz="4" w:space="0" w:color="BFBFBF" w:themeColor="background1" w:themeShade="BF"/>
              <w:bottom w:val="single" w:sz="8" w:space="0" w:color="BFBFBF"/>
            </w:tcBorders>
            <w:shd w:val="clear" w:color="auto" w:fill="auto"/>
            <w:vAlign w:val="bottom"/>
            <w:hideMark/>
          </w:tcPr>
          <w:p w:rsidR="00195BE7" w:rsidRPr="001E2F6E" w:rsidRDefault="00195BE7" w:rsidP="00195BE7">
            <w:pPr>
              <w:widowControl w:val="0"/>
              <w:spacing w:line="240" w:lineRule="exact"/>
              <w:ind w:right="170"/>
              <w:jc w:val="right"/>
              <w:rPr>
                <w:b/>
                <w:bCs/>
                <w:color w:val="000000"/>
                <w:sz w:val="16"/>
                <w:szCs w:val="16"/>
              </w:rPr>
            </w:pPr>
            <w:r w:rsidRPr="001E2F6E">
              <w:rPr>
                <w:b/>
                <w:bCs/>
                <w:color w:val="000000"/>
                <w:sz w:val="16"/>
                <w:szCs w:val="16"/>
              </w:rPr>
              <w:t>104.789.645</w:t>
            </w:r>
          </w:p>
        </w:tc>
        <w:tc>
          <w:tcPr>
            <w:tcW w:w="401" w:type="pct"/>
            <w:tcBorders>
              <w:top w:val="single" w:sz="4" w:space="0" w:color="BFBFBF" w:themeColor="background1" w:themeShade="BF"/>
              <w:left w:val="nil"/>
              <w:bottom w:val="single" w:sz="8" w:space="0" w:color="BFBFBF"/>
              <w:right w:val="single" w:sz="4" w:space="0" w:color="BFBFBF" w:themeColor="background1" w:themeShade="BF"/>
            </w:tcBorders>
            <w:shd w:val="clear" w:color="auto" w:fill="auto"/>
            <w:vAlign w:val="bottom"/>
            <w:hideMark/>
          </w:tcPr>
          <w:p w:rsidR="00195BE7" w:rsidRPr="001E2F6E" w:rsidRDefault="00195BE7" w:rsidP="00195BE7">
            <w:pPr>
              <w:widowControl w:val="0"/>
              <w:spacing w:line="240" w:lineRule="exact"/>
              <w:ind w:right="170"/>
              <w:jc w:val="right"/>
              <w:rPr>
                <w:b/>
                <w:bCs/>
                <w:color w:val="000000"/>
                <w:sz w:val="16"/>
                <w:szCs w:val="16"/>
              </w:rPr>
            </w:pPr>
            <w:r w:rsidRPr="001E2F6E">
              <w:rPr>
                <w:b/>
                <w:bCs/>
                <w:color w:val="000000"/>
                <w:sz w:val="16"/>
                <w:szCs w:val="16"/>
              </w:rPr>
              <w:t>100</w:t>
            </w:r>
          </w:p>
        </w:tc>
        <w:tc>
          <w:tcPr>
            <w:tcW w:w="688" w:type="pct"/>
            <w:tcBorders>
              <w:top w:val="single" w:sz="4" w:space="0" w:color="BFBFBF" w:themeColor="background1" w:themeShade="BF"/>
              <w:left w:val="single" w:sz="4" w:space="0" w:color="BFBFBF" w:themeColor="background1" w:themeShade="BF"/>
              <w:bottom w:val="single" w:sz="8" w:space="0" w:color="BFBFBF"/>
            </w:tcBorders>
            <w:shd w:val="clear" w:color="auto" w:fill="auto"/>
            <w:vAlign w:val="bottom"/>
            <w:hideMark/>
          </w:tcPr>
          <w:p w:rsidR="00195BE7" w:rsidRPr="001E2F6E" w:rsidRDefault="00195BE7" w:rsidP="00195BE7">
            <w:pPr>
              <w:widowControl w:val="0"/>
              <w:spacing w:line="240" w:lineRule="exact"/>
              <w:ind w:right="170"/>
              <w:jc w:val="right"/>
              <w:rPr>
                <w:b/>
                <w:bCs/>
                <w:color w:val="000000"/>
                <w:sz w:val="16"/>
                <w:szCs w:val="16"/>
              </w:rPr>
            </w:pPr>
            <w:r w:rsidRPr="001E2F6E">
              <w:rPr>
                <w:b/>
                <w:bCs/>
                <w:color w:val="000000"/>
                <w:sz w:val="16"/>
                <w:szCs w:val="16"/>
              </w:rPr>
              <w:t>2.840.919</w:t>
            </w:r>
          </w:p>
        </w:tc>
        <w:tc>
          <w:tcPr>
            <w:tcW w:w="351" w:type="pct"/>
            <w:tcBorders>
              <w:top w:val="single" w:sz="4" w:space="0" w:color="BFBFBF" w:themeColor="background1" w:themeShade="BF"/>
              <w:left w:val="nil"/>
              <w:bottom w:val="single" w:sz="8" w:space="0" w:color="BFBFBF"/>
              <w:right w:val="single" w:sz="4" w:space="0" w:color="BFBFBF" w:themeColor="background1" w:themeShade="BF"/>
            </w:tcBorders>
            <w:shd w:val="clear" w:color="auto" w:fill="auto"/>
            <w:vAlign w:val="bottom"/>
            <w:hideMark/>
          </w:tcPr>
          <w:p w:rsidR="00195BE7" w:rsidRPr="001E2F6E" w:rsidRDefault="00195BE7" w:rsidP="00195BE7">
            <w:pPr>
              <w:widowControl w:val="0"/>
              <w:spacing w:line="240" w:lineRule="exact"/>
              <w:ind w:right="170"/>
              <w:jc w:val="right"/>
              <w:rPr>
                <w:b/>
                <w:bCs/>
                <w:color w:val="000000"/>
                <w:sz w:val="16"/>
                <w:szCs w:val="16"/>
              </w:rPr>
            </w:pPr>
            <w:r w:rsidRPr="001E2F6E">
              <w:rPr>
                <w:b/>
                <w:bCs/>
                <w:color w:val="000000"/>
                <w:sz w:val="16"/>
                <w:szCs w:val="16"/>
              </w:rPr>
              <w:t>100</w:t>
            </w:r>
          </w:p>
        </w:tc>
        <w:tc>
          <w:tcPr>
            <w:tcW w:w="688" w:type="pct"/>
            <w:tcBorders>
              <w:top w:val="single" w:sz="4" w:space="0" w:color="BFBFBF" w:themeColor="background1" w:themeShade="BF"/>
              <w:left w:val="single" w:sz="4" w:space="0" w:color="BFBFBF" w:themeColor="background1" w:themeShade="BF"/>
              <w:bottom w:val="single" w:sz="8" w:space="0" w:color="BFBFBF"/>
            </w:tcBorders>
            <w:shd w:val="clear" w:color="auto" w:fill="auto"/>
            <w:vAlign w:val="bottom"/>
            <w:hideMark/>
          </w:tcPr>
          <w:p w:rsidR="00195BE7" w:rsidRPr="001E2F6E" w:rsidRDefault="00195BE7" w:rsidP="00195BE7">
            <w:pPr>
              <w:widowControl w:val="0"/>
              <w:spacing w:line="240" w:lineRule="exact"/>
              <w:ind w:right="170"/>
              <w:jc w:val="right"/>
              <w:rPr>
                <w:b/>
                <w:bCs/>
                <w:color w:val="000000"/>
                <w:sz w:val="16"/>
                <w:szCs w:val="16"/>
              </w:rPr>
            </w:pPr>
            <w:r w:rsidRPr="001E2F6E">
              <w:rPr>
                <w:b/>
                <w:bCs/>
                <w:color w:val="000000"/>
                <w:sz w:val="16"/>
                <w:szCs w:val="16"/>
              </w:rPr>
              <w:t>1.409.836</w:t>
            </w:r>
          </w:p>
        </w:tc>
        <w:tc>
          <w:tcPr>
            <w:tcW w:w="369" w:type="pct"/>
            <w:tcBorders>
              <w:top w:val="single" w:sz="4" w:space="0" w:color="BFBFBF" w:themeColor="background1" w:themeShade="BF"/>
              <w:left w:val="nil"/>
              <w:bottom w:val="single" w:sz="8" w:space="0" w:color="BFBFBF"/>
              <w:right w:val="nil"/>
            </w:tcBorders>
            <w:shd w:val="clear" w:color="auto" w:fill="auto"/>
            <w:vAlign w:val="bottom"/>
            <w:hideMark/>
          </w:tcPr>
          <w:p w:rsidR="00195BE7" w:rsidRPr="001E2F6E" w:rsidRDefault="00195BE7" w:rsidP="00195BE7">
            <w:pPr>
              <w:widowControl w:val="0"/>
              <w:spacing w:line="240" w:lineRule="exact"/>
              <w:ind w:right="170"/>
              <w:jc w:val="right"/>
              <w:rPr>
                <w:b/>
                <w:bCs/>
                <w:color w:val="000000"/>
                <w:sz w:val="16"/>
                <w:szCs w:val="16"/>
              </w:rPr>
            </w:pPr>
            <w:r w:rsidRPr="001E2F6E">
              <w:rPr>
                <w:b/>
                <w:bCs/>
                <w:color w:val="000000"/>
                <w:sz w:val="16"/>
                <w:szCs w:val="16"/>
              </w:rPr>
              <w:t>100</w:t>
            </w:r>
          </w:p>
        </w:tc>
      </w:tr>
    </w:tbl>
    <w:p w:rsidR="00195BE7" w:rsidRPr="001E2F6E" w:rsidRDefault="00195BE7" w:rsidP="00195BE7">
      <w:pPr>
        <w:rPr>
          <w:lang w:val="es-ES_tradnl"/>
        </w:rPr>
      </w:pPr>
    </w:p>
    <w:p w:rsidR="00195BE7" w:rsidRPr="001E2F6E" w:rsidRDefault="00195BE7" w:rsidP="00195BE7">
      <w:pPr>
        <w:widowControl w:val="0"/>
        <w:spacing w:line="240" w:lineRule="auto"/>
        <w:jc w:val="center"/>
        <w:rPr>
          <w:b/>
          <w:color w:val="1F497D" w:themeColor="text2"/>
          <w:sz w:val="18"/>
          <w:szCs w:val="18"/>
        </w:rPr>
      </w:pPr>
      <w:bookmarkStart w:id="238" w:name="_Toc391989137"/>
      <w:bookmarkStart w:id="239" w:name="_Toc392585802"/>
      <w:r w:rsidRPr="001E2F6E">
        <w:rPr>
          <w:b/>
          <w:color w:val="1F497D" w:themeColor="text2"/>
          <w:sz w:val="18"/>
          <w:szCs w:val="18"/>
        </w:rPr>
        <w:t>1.</w:t>
      </w:r>
      <w:r w:rsidR="00EB6BA6" w:rsidRPr="001E2F6E">
        <w:rPr>
          <w:b/>
          <w:color w:val="1F497D" w:themeColor="text2"/>
          <w:sz w:val="18"/>
          <w:szCs w:val="18"/>
        </w:rPr>
        <w:fldChar w:fldCharType="begin"/>
      </w:r>
      <w:r w:rsidRPr="001E2F6E">
        <w:rPr>
          <w:b/>
          <w:color w:val="1F497D" w:themeColor="text2"/>
          <w:sz w:val="18"/>
          <w:szCs w:val="18"/>
        </w:rPr>
        <w:instrText xml:space="preserve"> SEQ Cuadro_1. \* ARABIC </w:instrText>
      </w:r>
      <w:r w:rsidR="00EB6BA6" w:rsidRPr="001E2F6E">
        <w:rPr>
          <w:b/>
          <w:color w:val="1F497D" w:themeColor="text2"/>
          <w:sz w:val="18"/>
          <w:szCs w:val="18"/>
        </w:rPr>
        <w:fldChar w:fldCharType="separate"/>
      </w:r>
      <w:r w:rsidR="00A327D4">
        <w:rPr>
          <w:b/>
          <w:noProof/>
          <w:color w:val="1F497D" w:themeColor="text2"/>
          <w:sz w:val="18"/>
          <w:szCs w:val="18"/>
        </w:rPr>
        <w:t>67</w:t>
      </w:r>
      <w:r w:rsidR="00EB6BA6" w:rsidRPr="001E2F6E">
        <w:rPr>
          <w:b/>
          <w:color w:val="1F497D" w:themeColor="text2"/>
          <w:sz w:val="18"/>
          <w:szCs w:val="18"/>
        </w:rPr>
        <w:fldChar w:fldCharType="end"/>
      </w:r>
      <w:r w:rsidRPr="001E2F6E">
        <w:rPr>
          <w:b/>
          <w:color w:val="1F497D" w:themeColor="text2"/>
          <w:sz w:val="18"/>
          <w:szCs w:val="18"/>
        </w:rPr>
        <w:t xml:space="preserve"> Taula GIZARTE-EKONOMIAREN INBESTIMENDU UKIEZINEN ARLOZ ARLOKO BANAKETA, LURRALDE HISTORIKOAREN ARABERA 2012 (</w:t>
      </w:r>
      <w:r w:rsidR="00462130" w:rsidRPr="001E2F6E">
        <w:rPr>
          <w:b/>
          <w:color w:val="1F497D" w:themeColor="text2"/>
          <w:sz w:val="18"/>
          <w:szCs w:val="18"/>
        </w:rPr>
        <w:t xml:space="preserve">zifra absolutuak </w:t>
      </w:r>
      <w:r w:rsidRPr="001E2F6E">
        <w:rPr>
          <w:b/>
          <w:color w:val="1F497D" w:themeColor="text2"/>
          <w:sz w:val="18"/>
          <w:szCs w:val="18"/>
        </w:rPr>
        <w:t>euroan eta %bertikalak)</w:t>
      </w:r>
      <w:bookmarkEnd w:id="238"/>
      <w:bookmarkEnd w:id="239"/>
    </w:p>
    <w:tbl>
      <w:tblPr>
        <w:tblW w:w="5000" w:type="pct"/>
        <w:jc w:val="center"/>
        <w:tblCellMar>
          <w:left w:w="70" w:type="dxa"/>
          <w:right w:w="70" w:type="dxa"/>
        </w:tblCellMar>
        <w:tblLook w:val="04A0" w:firstRow="1" w:lastRow="0" w:firstColumn="1" w:lastColumn="0" w:noHBand="0" w:noVBand="1"/>
      </w:tblPr>
      <w:tblGrid>
        <w:gridCol w:w="1371"/>
        <w:gridCol w:w="1245"/>
        <w:gridCol w:w="662"/>
        <w:gridCol w:w="1196"/>
        <w:gridCol w:w="716"/>
        <w:gridCol w:w="1228"/>
        <w:gridCol w:w="627"/>
        <w:gridCol w:w="1228"/>
        <w:gridCol w:w="655"/>
      </w:tblGrid>
      <w:tr w:rsidR="00195BE7" w:rsidRPr="001E2F6E" w:rsidTr="00195BE7">
        <w:trPr>
          <w:jc w:val="center"/>
        </w:trPr>
        <w:tc>
          <w:tcPr>
            <w:tcW w:w="767" w:type="pct"/>
            <w:vMerge w:val="restart"/>
            <w:tcBorders>
              <w:top w:val="single" w:sz="8" w:space="0" w:color="BFBFBF"/>
              <w:left w:val="nil"/>
              <w:bottom w:val="single" w:sz="8" w:space="0" w:color="BFBFBF"/>
              <w:right w:val="single" w:sz="4" w:space="0" w:color="BFBFBF" w:themeColor="background1" w:themeShade="BF"/>
            </w:tcBorders>
            <w:shd w:val="clear" w:color="000000" w:fill="DBE5F1"/>
            <w:hideMark/>
          </w:tcPr>
          <w:p w:rsidR="00195BE7" w:rsidRPr="001E2F6E" w:rsidRDefault="00195BE7" w:rsidP="00195BE7">
            <w:pPr>
              <w:spacing w:line="240" w:lineRule="exact"/>
              <w:rPr>
                <w:rFonts w:ascii="Calibri" w:hAnsi="Calibri"/>
                <w:color w:val="000000"/>
              </w:rPr>
            </w:pPr>
            <w:r w:rsidRPr="001E2F6E">
              <w:rPr>
                <w:rFonts w:ascii="Calibri" w:hAnsi="Calibri"/>
                <w:color w:val="000000"/>
              </w:rPr>
              <w:t> </w:t>
            </w:r>
          </w:p>
        </w:tc>
        <w:tc>
          <w:tcPr>
            <w:tcW w:w="1068" w:type="pct"/>
            <w:gridSpan w:val="2"/>
            <w:tcBorders>
              <w:top w:val="single" w:sz="8" w:space="0" w:color="BFBFBF"/>
              <w:left w:val="single" w:sz="4" w:space="0" w:color="BFBFBF" w:themeColor="background1" w:themeShade="BF"/>
              <w:bottom w:val="single" w:sz="8" w:space="0" w:color="BFBFBF"/>
              <w:right w:val="single" w:sz="4" w:space="0" w:color="BFBFBF" w:themeColor="background1" w:themeShade="BF"/>
            </w:tcBorders>
            <w:shd w:val="clear" w:color="000000" w:fill="DBE5F1"/>
            <w:hideMark/>
          </w:tcPr>
          <w:p w:rsidR="00195BE7" w:rsidRPr="001E2F6E" w:rsidRDefault="00195BE7" w:rsidP="00195BE7">
            <w:pPr>
              <w:spacing w:line="240" w:lineRule="exact"/>
              <w:jc w:val="center"/>
              <w:rPr>
                <w:b/>
                <w:bCs/>
                <w:sz w:val="16"/>
                <w:szCs w:val="16"/>
              </w:rPr>
            </w:pPr>
            <w:r w:rsidRPr="001E2F6E">
              <w:rPr>
                <w:b/>
                <w:bCs/>
                <w:sz w:val="16"/>
                <w:szCs w:val="16"/>
                <w:lang w:val="en-GB"/>
              </w:rPr>
              <w:t>EAE</w:t>
            </w:r>
          </w:p>
        </w:tc>
        <w:tc>
          <w:tcPr>
            <w:tcW w:w="1071" w:type="pct"/>
            <w:gridSpan w:val="2"/>
            <w:tcBorders>
              <w:top w:val="single" w:sz="8" w:space="0" w:color="BFBFBF"/>
              <w:left w:val="single" w:sz="4" w:space="0" w:color="BFBFBF" w:themeColor="background1" w:themeShade="BF"/>
              <w:bottom w:val="single" w:sz="8" w:space="0" w:color="BFBFBF"/>
              <w:right w:val="single" w:sz="4" w:space="0" w:color="BFBFBF" w:themeColor="background1" w:themeShade="BF"/>
            </w:tcBorders>
            <w:shd w:val="clear" w:color="000000" w:fill="DBE5F1"/>
            <w:hideMark/>
          </w:tcPr>
          <w:p w:rsidR="00195BE7" w:rsidRPr="001E2F6E" w:rsidRDefault="00195BE7" w:rsidP="00195BE7">
            <w:pPr>
              <w:spacing w:line="240" w:lineRule="exact"/>
              <w:jc w:val="center"/>
              <w:rPr>
                <w:b/>
                <w:bCs/>
                <w:sz w:val="16"/>
                <w:szCs w:val="16"/>
              </w:rPr>
            </w:pPr>
            <w:r w:rsidRPr="001E2F6E">
              <w:rPr>
                <w:b/>
                <w:bCs/>
                <w:sz w:val="16"/>
                <w:szCs w:val="16"/>
                <w:lang w:val="en-GB"/>
              </w:rPr>
              <w:t>Araba</w:t>
            </w:r>
          </w:p>
        </w:tc>
        <w:tc>
          <w:tcPr>
            <w:tcW w:w="1039" w:type="pct"/>
            <w:gridSpan w:val="2"/>
            <w:tcBorders>
              <w:top w:val="single" w:sz="8" w:space="0" w:color="BFBFBF"/>
              <w:left w:val="single" w:sz="4" w:space="0" w:color="BFBFBF" w:themeColor="background1" w:themeShade="BF"/>
              <w:bottom w:val="single" w:sz="8" w:space="0" w:color="BFBFBF"/>
              <w:right w:val="single" w:sz="4" w:space="0" w:color="BFBFBF" w:themeColor="background1" w:themeShade="BF"/>
            </w:tcBorders>
            <w:shd w:val="clear" w:color="000000" w:fill="DBE5F1"/>
            <w:hideMark/>
          </w:tcPr>
          <w:p w:rsidR="00195BE7" w:rsidRPr="001E2F6E" w:rsidRDefault="00195BE7" w:rsidP="00195BE7">
            <w:pPr>
              <w:spacing w:line="240" w:lineRule="exact"/>
              <w:jc w:val="center"/>
              <w:rPr>
                <w:b/>
                <w:bCs/>
                <w:sz w:val="16"/>
                <w:szCs w:val="16"/>
              </w:rPr>
            </w:pPr>
            <w:r w:rsidRPr="001E2F6E">
              <w:rPr>
                <w:b/>
                <w:bCs/>
                <w:sz w:val="16"/>
                <w:szCs w:val="16"/>
                <w:lang w:val="en-GB"/>
              </w:rPr>
              <w:t>Gipuzkoa</w:t>
            </w:r>
          </w:p>
        </w:tc>
        <w:tc>
          <w:tcPr>
            <w:tcW w:w="1056" w:type="pct"/>
            <w:gridSpan w:val="2"/>
            <w:tcBorders>
              <w:top w:val="single" w:sz="8" w:space="0" w:color="BFBFBF"/>
              <w:left w:val="single" w:sz="4" w:space="0" w:color="BFBFBF" w:themeColor="background1" w:themeShade="BF"/>
              <w:bottom w:val="single" w:sz="8" w:space="0" w:color="BFBFBF"/>
              <w:right w:val="nil"/>
            </w:tcBorders>
            <w:shd w:val="clear" w:color="000000" w:fill="DBE5F1"/>
            <w:hideMark/>
          </w:tcPr>
          <w:p w:rsidR="00195BE7" w:rsidRPr="001E2F6E" w:rsidRDefault="00195BE7" w:rsidP="00195BE7">
            <w:pPr>
              <w:spacing w:line="240" w:lineRule="exact"/>
              <w:jc w:val="center"/>
              <w:rPr>
                <w:b/>
                <w:bCs/>
                <w:sz w:val="16"/>
                <w:szCs w:val="16"/>
              </w:rPr>
            </w:pPr>
            <w:r w:rsidRPr="001E2F6E">
              <w:rPr>
                <w:b/>
                <w:bCs/>
                <w:sz w:val="16"/>
                <w:szCs w:val="16"/>
                <w:lang w:val="en-GB"/>
              </w:rPr>
              <w:t>Bizkaia</w:t>
            </w:r>
          </w:p>
        </w:tc>
      </w:tr>
      <w:tr w:rsidR="00195BE7" w:rsidRPr="001E2F6E" w:rsidTr="00195BE7">
        <w:trPr>
          <w:jc w:val="center"/>
        </w:trPr>
        <w:tc>
          <w:tcPr>
            <w:tcW w:w="767" w:type="pct"/>
            <w:vMerge/>
            <w:tcBorders>
              <w:top w:val="single" w:sz="8" w:space="0" w:color="BFBFBF"/>
              <w:left w:val="nil"/>
              <w:bottom w:val="single" w:sz="8" w:space="0" w:color="BFBFBF"/>
              <w:right w:val="single" w:sz="4" w:space="0" w:color="BFBFBF" w:themeColor="background1" w:themeShade="BF"/>
            </w:tcBorders>
            <w:vAlign w:val="center"/>
            <w:hideMark/>
          </w:tcPr>
          <w:p w:rsidR="00195BE7" w:rsidRPr="001E2F6E" w:rsidRDefault="00195BE7" w:rsidP="00195BE7">
            <w:pPr>
              <w:spacing w:line="240" w:lineRule="exact"/>
              <w:rPr>
                <w:rFonts w:ascii="Calibri" w:hAnsi="Calibri"/>
                <w:color w:val="000000"/>
              </w:rPr>
            </w:pPr>
          </w:p>
        </w:tc>
        <w:tc>
          <w:tcPr>
            <w:tcW w:w="697" w:type="pct"/>
            <w:tcBorders>
              <w:top w:val="nil"/>
              <w:left w:val="single" w:sz="4" w:space="0" w:color="BFBFBF" w:themeColor="background1" w:themeShade="BF"/>
              <w:bottom w:val="single" w:sz="8" w:space="0" w:color="BFBFBF"/>
            </w:tcBorders>
            <w:shd w:val="clear" w:color="000000" w:fill="DBE5F1"/>
            <w:hideMark/>
          </w:tcPr>
          <w:p w:rsidR="00195BE7" w:rsidRPr="001E2F6E" w:rsidRDefault="00195BE7" w:rsidP="00195BE7">
            <w:pPr>
              <w:spacing w:line="240" w:lineRule="exact"/>
              <w:jc w:val="center"/>
              <w:rPr>
                <w:rFonts w:eastAsia="Times New Roman"/>
                <w:b/>
                <w:bCs/>
                <w:color w:val="000000"/>
                <w:sz w:val="16"/>
                <w:szCs w:val="16"/>
                <w:lang w:eastAsia="es-ES"/>
              </w:rPr>
            </w:pPr>
            <w:r w:rsidRPr="001E2F6E">
              <w:rPr>
                <w:rFonts w:eastAsia="Times New Roman"/>
                <w:b/>
                <w:bCs/>
                <w:color w:val="000000"/>
                <w:sz w:val="16"/>
                <w:szCs w:val="16"/>
                <w:lang w:eastAsia="es-ES"/>
              </w:rPr>
              <w:t>z.a.</w:t>
            </w:r>
          </w:p>
        </w:tc>
        <w:tc>
          <w:tcPr>
            <w:tcW w:w="371" w:type="pct"/>
            <w:tcBorders>
              <w:top w:val="nil"/>
              <w:left w:val="nil"/>
              <w:bottom w:val="single" w:sz="8" w:space="0" w:color="BFBFBF"/>
              <w:right w:val="single" w:sz="4" w:space="0" w:color="BFBFBF" w:themeColor="background1" w:themeShade="BF"/>
            </w:tcBorders>
            <w:shd w:val="clear" w:color="000000" w:fill="DBE5F1"/>
            <w:hideMark/>
          </w:tcPr>
          <w:p w:rsidR="00195BE7" w:rsidRPr="001E2F6E" w:rsidRDefault="00195BE7" w:rsidP="00195BE7">
            <w:pPr>
              <w:spacing w:line="240" w:lineRule="exact"/>
              <w:jc w:val="center"/>
              <w:rPr>
                <w:rFonts w:eastAsia="Times New Roman"/>
                <w:b/>
                <w:bCs/>
                <w:color w:val="000000"/>
                <w:sz w:val="16"/>
                <w:szCs w:val="16"/>
                <w:lang w:eastAsia="es-ES"/>
              </w:rPr>
            </w:pPr>
            <w:r w:rsidRPr="001E2F6E">
              <w:rPr>
                <w:rFonts w:eastAsia="Times New Roman"/>
                <w:b/>
                <w:bCs/>
                <w:color w:val="000000"/>
                <w:sz w:val="16"/>
                <w:szCs w:val="16"/>
                <w:lang w:eastAsia="es-ES"/>
              </w:rPr>
              <w:t>%ber.</w:t>
            </w:r>
          </w:p>
        </w:tc>
        <w:tc>
          <w:tcPr>
            <w:tcW w:w="670" w:type="pct"/>
            <w:tcBorders>
              <w:top w:val="nil"/>
              <w:left w:val="single" w:sz="4" w:space="0" w:color="BFBFBF" w:themeColor="background1" w:themeShade="BF"/>
              <w:bottom w:val="single" w:sz="8" w:space="0" w:color="BFBFBF"/>
            </w:tcBorders>
            <w:shd w:val="clear" w:color="000000" w:fill="DBE5F1"/>
            <w:hideMark/>
          </w:tcPr>
          <w:p w:rsidR="00195BE7" w:rsidRPr="001E2F6E" w:rsidRDefault="00195BE7" w:rsidP="00195BE7">
            <w:pPr>
              <w:spacing w:line="240" w:lineRule="exact"/>
              <w:jc w:val="center"/>
              <w:rPr>
                <w:rFonts w:eastAsia="Times New Roman"/>
                <w:b/>
                <w:bCs/>
                <w:color w:val="000000"/>
                <w:sz w:val="16"/>
                <w:szCs w:val="16"/>
                <w:lang w:eastAsia="es-ES"/>
              </w:rPr>
            </w:pPr>
            <w:r w:rsidRPr="001E2F6E">
              <w:rPr>
                <w:rFonts w:eastAsia="Times New Roman"/>
                <w:b/>
                <w:bCs/>
                <w:color w:val="000000"/>
                <w:sz w:val="16"/>
                <w:szCs w:val="16"/>
                <w:lang w:eastAsia="es-ES"/>
              </w:rPr>
              <w:t>z.a.</w:t>
            </w:r>
          </w:p>
        </w:tc>
        <w:tc>
          <w:tcPr>
            <w:tcW w:w="401" w:type="pct"/>
            <w:tcBorders>
              <w:top w:val="nil"/>
              <w:left w:val="nil"/>
              <w:bottom w:val="single" w:sz="8" w:space="0" w:color="BFBFBF"/>
              <w:right w:val="single" w:sz="4" w:space="0" w:color="BFBFBF" w:themeColor="background1" w:themeShade="BF"/>
            </w:tcBorders>
            <w:shd w:val="clear" w:color="000000" w:fill="DBE5F1"/>
            <w:hideMark/>
          </w:tcPr>
          <w:p w:rsidR="00195BE7" w:rsidRPr="001E2F6E" w:rsidRDefault="00195BE7" w:rsidP="00195BE7">
            <w:pPr>
              <w:spacing w:line="240" w:lineRule="exact"/>
              <w:jc w:val="center"/>
              <w:rPr>
                <w:rFonts w:eastAsia="Times New Roman"/>
                <w:b/>
                <w:bCs/>
                <w:color w:val="000000"/>
                <w:sz w:val="16"/>
                <w:szCs w:val="16"/>
                <w:lang w:eastAsia="es-ES"/>
              </w:rPr>
            </w:pPr>
            <w:r w:rsidRPr="001E2F6E">
              <w:rPr>
                <w:rFonts w:eastAsia="Times New Roman"/>
                <w:b/>
                <w:bCs/>
                <w:color w:val="000000"/>
                <w:sz w:val="16"/>
                <w:szCs w:val="16"/>
                <w:lang w:eastAsia="es-ES"/>
              </w:rPr>
              <w:t>%ber.</w:t>
            </w:r>
          </w:p>
        </w:tc>
        <w:tc>
          <w:tcPr>
            <w:tcW w:w="688" w:type="pct"/>
            <w:tcBorders>
              <w:top w:val="nil"/>
              <w:left w:val="single" w:sz="4" w:space="0" w:color="BFBFBF" w:themeColor="background1" w:themeShade="BF"/>
              <w:bottom w:val="single" w:sz="8" w:space="0" w:color="BFBFBF"/>
            </w:tcBorders>
            <w:shd w:val="clear" w:color="000000" w:fill="DBE5F1"/>
            <w:hideMark/>
          </w:tcPr>
          <w:p w:rsidR="00195BE7" w:rsidRPr="001E2F6E" w:rsidRDefault="00195BE7" w:rsidP="00195BE7">
            <w:pPr>
              <w:spacing w:line="240" w:lineRule="exact"/>
              <w:jc w:val="center"/>
              <w:rPr>
                <w:rFonts w:eastAsia="Times New Roman"/>
                <w:b/>
                <w:bCs/>
                <w:color w:val="000000"/>
                <w:sz w:val="16"/>
                <w:szCs w:val="16"/>
                <w:lang w:eastAsia="es-ES"/>
              </w:rPr>
            </w:pPr>
            <w:r w:rsidRPr="001E2F6E">
              <w:rPr>
                <w:rFonts w:eastAsia="Times New Roman"/>
                <w:b/>
                <w:bCs/>
                <w:color w:val="000000"/>
                <w:sz w:val="16"/>
                <w:szCs w:val="16"/>
                <w:lang w:eastAsia="es-ES"/>
              </w:rPr>
              <w:t>z.a.</w:t>
            </w:r>
          </w:p>
        </w:tc>
        <w:tc>
          <w:tcPr>
            <w:tcW w:w="351" w:type="pct"/>
            <w:tcBorders>
              <w:top w:val="nil"/>
              <w:left w:val="nil"/>
              <w:bottom w:val="single" w:sz="8" w:space="0" w:color="BFBFBF"/>
              <w:right w:val="single" w:sz="4" w:space="0" w:color="BFBFBF" w:themeColor="background1" w:themeShade="BF"/>
            </w:tcBorders>
            <w:shd w:val="clear" w:color="000000" w:fill="DBE5F1"/>
            <w:hideMark/>
          </w:tcPr>
          <w:p w:rsidR="00195BE7" w:rsidRPr="001E2F6E" w:rsidRDefault="00195BE7" w:rsidP="00195BE7">
            <w:pPr>
              <w:spacing w:line="240" w:lineRule="exact"/>
              <w:jc w:val="center"/>
              <w:rPr>
                <w:rFonts w:eastAsia="Times New Roman"/>
                <w:b/>
                <w:bCs/>
                <w:color w:val="000000"/>
                <w:sz w:val="16"/>
                <w:szCs w:val="16"/>
                <w:lang w:eastAsia="es-ES"/>
              </w:rPr>
            </w:pPr>
            <w:r w:rsidRPr="001E2F6E">
              <w:rPr>
                <w:rFonts w:eastAsia="Times New Roman"/>
                <w:b/>
                <w:bCs/>
                <w:color w:val="000000"/>
                <w:sz w:val="16"/>
                <w:szCs w:val="16"/>
                <w:lang w:eastAsia="es-ES"/>
              </w:rPr>
              <w:t>%ber.</w:t>
            </w:r>
          </w:p>
        </w:tc>
        <w:tc>
          <w:tcPr>
            <w:tcW w:w="688" w:type="pct"/>
            <w:tcBorders>
              <w:top w:val="nil"/>
              <w:left w:val="single" w:sz="4" w:space="0" w:color="BFBFBF" w:themeColor="background1" w:themeShade="BF"/>
              <w:bottom w:val="single" w:sz="8" w:space="0" w:color="BFBFBF"/>
            </w:tcBorders>
            <w:shd w:val="clear" w:color="000000" w:fill="DBE5F1"/>
            <w:hideMark/>
          </w:tcPr>
          <w:p w:rsidR="00195BE7" w:rsidRPr="001E2F6E" w:rsidRDefault="00195BE7" w:rsidP="00195BE7">
            <w:pPr>
              <w:spacing w:line="240" w:lineRule="exact"/>
              <w:jc w:val="center"/>
              <w:rPr>
                <w:rFonts w:eastAsia="Times New Roman"/>
                <w:b/>
                <w:bCs/>
                <w:color w:val="000000"/>
                <w:sz w:val="16"/>
                <w:szCs w:val="16"/>
                <w:lang w:eastAsia="es-ES"/>
              </w:rPr>
            </w:pPr>
            <w:r w:rsidRPr="001E2F6E">
              <w:rPr>
                <w:rFonts w:eastAsia="Times New Roman"/>
                <w:b/>
                <w:bCs/>
                <w:color w:val="000000"/>
                <w:sz w:val="16"/>
                <w:szCs w:val="16"/>
                <w:lang w:eastAsia="es-ES"/>
              </w:rPr>
              <w:t>z.a.</w:t>
            </w:r>
          </w:p>
        </w:tc>
        <w:tc>
          <w:tcPr>
            <w:tcW w:w="368" w:type="pct"/>
            <w:tcBorders>
              <w:top w:val="nil"/>
              <w:left w:val="nil"/>
              <w:bottom w:val="single" w:sz="8" w:space="0" w:color="BFBFBF"/>
              <w:right w:val="nil"/>
            </w:tcBorders>
            <w:shd w:val="clear" w:color="000000" w:fill="DBE5F1"/>
            <w:hideMark/>
          </w:tcPr>
          <w:p w:rsidR="00195BE7" w:rsidRPr="001E2F6E" w:rsidRDefault="00195BE7" w:rsidP="00195BE7">
            <w:pPr>
              <w:spacing w:line="240" w:lineRule="exact"/>
              <w:jc w:val="center"/>
              <w:rPr>
                <w:rFonts w:eastAsia="Times New Roman"/>
                <w:b/>
                <w:bCs/>
                <w:color w:val="000000"/>
                <w:sz w:val="16"/>
                <w:szCs w:val="16"/>
                <w:lang w:eastAsia="es-ES"/>
              </w:rPr>
            </w:pPr>
            <w:r w:rsidRPr="001E2F6E">
              <w:rPr>
                <w:rFonts w:eastAsia="Times New Roman"/>
                <w:b/>
                <w:bCs/>
                <w:color w:val="000000"/>
                <w:sz w:val="16"/>
                <w:szCs w:val="16"/>
                <w:lang w:eastAsia="es-ES"/>
              </w:rPr>
              <w:t>%ber.</w:t>
            </w:r>
          </w:p>
        </w:tc>
      </w:tr>
      <w:tr w:rsidR="00195BE7" w:rsidRPr="001E2F6E" w:rsidTr="00195BE7">
        <w:trPr>
          <w:jc w:val="center"/>
        </w:trPr>
        <w:tc>
          <w:tcPr>
            <w:tcW w:w="767" w:type="pct"/>
            <w:tcBorders>
              <w:top w:val="nil"/>
              <w:left w:val="nil"/>
              <w:bottom w:val="nil"/>
              <w:right w:val="single" w:sz="4" w:space="0" w:color="BFBFBF" w:themeColor="background1" w:themeShade="BF"/>
            </w:tcBorders>
            <w:shd w:val="clear" w:color="auto" w:fill="auto"/>
            <w:vAlign w:val="center"/>
            <w:hideMark/>
          </w:tcPr>
          <w:p w:rsidR="00195BE7" w:rsidRPr="001E2F6E" w:rsidRDefault="00195BE7" w:rsidP="00195BE7">
            <w:pPr>
              <w:spacing w:line="240" w:lineRule="auto"/>
              <w:rPr>
                <w:sz w:val="16"/>
                <w:szCs w:val="16"/>
                <w:lang w:val="eu-ES"/>
              </w:rPr>
            </w:pPr>
            <w:r w:rsidRPr="001E2F6E">
              <w:rPr>
                <w:sz w:val="16"/>
                <w:szCs w:val="16"/>
                <w:lang w:val="eu-ES"/>
              </w:rPr>
              <w:t>Lehen sektorea</w:t>
            </w:r>
          </w:p>
        </w:tc>
        <w:tc>
          <w:tcPr>
            <w:tcW w:w="697" w:type="pct"/>
            <w:tcBorders>
              <w:top w:val="nil"/>
              <w:left w:val="single" w:sz="4" w:space="0" w:color="BFBFBF" w:themeColor="background1" w:themeShade="BF"/>
              <w:bottom w:val="nil"/>
            </w:tcBorders>
            <w:shd w:val="clear" w:color="auto" w:fill="auto"/>
            <w:vAlign w:val="bottom"/>
            <w:hideMark/>
          </w:tcPr>
          <w:p w:rsidR="00195BE7" w:rsidRPr="001E2F6E" w:rsidRDefault="00195BE7" w:rsidP="00195BE7">
            <w:pPr>
              <w:widowControl w:val="0"/>
              <w:spacing w:line="240" w:lineRule="exact"/>
              <w:ind w:right="170"/>
              <w:jc w:val="right"/>
              <w:rPr>
                <w:color w:val="000000"/>
                <w:sz w:val="16"/>
                <w:szCs w:val="16"/>
              </w:rPr>
            </w:pPr>
            <w:r w:rsidRPr="001E2F6E">
              <w:rPr>
                <w:color w:val="000000"/>
                <w:sz w:val="16"/>
                <w:szCs w:val="16"/>
              </w:rPr>
              <w:t>102.028</w:t>
            </w:r>
          </w:p>
        </w:tc>
        <w:tc>
          <w:tcPr>
            <w:tcW w:w="371" w:type="pct"/>
            <w:tcBorders>
              <w:top w:val="nil"/>
              <w:left w:val="nil"/>
              <w:bottom w:val="nil"/>
              <w:right w:val="single" w:sz="4" w:space="0" w:color="BFBFBF" w:themeColor="background1" w:themeShade="BF"/>
            </w:tcBorders>
            <w:shd w:val="clear" w:color="auto" w:fill="auto"/>
            <w:vAlign w:val="bottom"/>
            <w:hideMark/>
          </w:tcPr>
          <w:p w:rsidR="00195BE7" w:rsidRPr="001E2F6E" w:rsidRDefault="00195BE7" w:rsidP="00195BE7">
            <w:pPr>
              <w:widowControl w:val="0"/>
              <w:spacing w:line="240" w:lineRule="exact"/>
              <w:ind w:right="170"/>
              <w:jc w:val="right"/>
              <w:rPr>
                <w:color w:val="000000"/>
                <w:sz w:val="16"/>
                <w:szCs w:val="16"/>
              </w:rPr>
            </w:pPr>
            <w:r w:rsidRPr="001E2F6E">
              <w:rPr>
                <w:color w:val="000000"/>
                <w:sz w:val="16"/>
                <w:szCs w:val="16"/>
              </w:rPr>
              <w:t>0,1</w:t>
            </w:r>
          </w:p>
        </w:tc>
        <w:tc>
          <w:tcPr>
            <w:tcW w:w="670" w:type="pct"/>
            <w:tcBorders>
              <w:top w:val="nil"/>
              <w:left w:val="single" w:sz="4" w:space="0" w:color="BFBFBF" w:themeColor="background1" w:themeShade="BF"/>
              <w:bottom w:val="nil"/>
            </w:tcBorders>
            <w:shd w:val="clear" w:color="auto" w:fill="auto"/>
            <w:vAlign w:val="bottom"/>
            <w:hideMark/>
          </w:tcPr>
          <w:p w:rsidR="00195BE7" w:rsidRPr="001E2F6E" w:rsidRDefault="00195BE7" w:rsidP="00195BE7">
            <w:pPr>
              <w:widowControl w:val="0"/>
              <w:spacing w:line="240" w:lineRule="exact"/>
              <w:ind w:right="170"/>
              <w:jc w:val="right"/>
              <w:rPr>
                <w:color w:val="000000"/>
                <w:sz w:val="16"/>
                <w:szCs w:val="16"/>
              </w:rPr>
            </w:pPr>
            <w:r w:rsidRPr="001E2F6E">
              <w:rPr>
                <w:color w:val="000000"/>
                <w:sz w:val="16"/>
                <w:szCs w:val="16"/>
              </w:rPr>
              <w:t>102.019</w:t>
            </w:r>
          </w:p>
        </w:tc>
        <w:tc>
          <w:tcPr>
            <w:tcW w:w="401" w:type="pct"/>
            <w:tcBorders>
              <w:top w:val="nil"/>
              <w:left w:val="nil"/>
              <w:bottom w:val="nil"/>
              <w:right w:val="single" w:sz="4" w:space="0" w:color="BFBFBF" w:themeColor="background1" w:themeShade="BF"/>
            </w:tcBorders>
            <w:shd w:val="clear" w:color="auto" w:fill="auto"/>
            <w:vAlign w:val="bottom"/>
            <w:hideMark/>
          </w:tcPr>
          <w:p w:rsidR="00195BE7" w:rsidRPr="001E2F6E" w:rsidRDefault="00195BE7" w:rsidP="00195BE7">
            <w:pPr>
              <w:widowControl w:val="0"/>
              <w:spacing w:line="240" w:lineRule="exact"/>
              <w:ind w:right="170"/>
              <w:jc w:val="right"/>
              <w:rPr>
                <w:color w:val="000000"/>
                <w:sz w:val="16"/>
                <w:szCs w:val="16"/>
              </w:rPr>
            </w:pPr>
            <w:r w:rsidRPr="001E2F6E">
              <w:rPr>
                <w:color w:val="000000"/>
                <w:sz w:val="16"/>
                <w:szCs w:val="16"/>
              </w:rPr>
              <w:t>1,4</w:t>
            </w:r>
          </w:p>
        </w:tc>
        <w:tc>
          <w:tcPr>
            <w:tcW w:w="688" w:type="pct"/>
            <w:tcBorders>
              <w:top w:val="nil"/>
              <w:left w:val="single" w:sz="4" w:space="0" w:color="BFBFBF" w:themeColor="background1" w:themeShade="BF"/>
              <w:bottom w:val="nil"/>
            </w:tcBorders>
            <w:shd w:val="clear" w:color="auto" w:fill="auto"/>
            <w:vAlign w:val="bottom"/>
            <w:hideMark/>
          </w:tcPr>
          <w:p w:rsidR="00195BE7" w:rsidRPr="001E2F6E" w:rsidRDefault="00195BE7" w:rsidP="00195BE7">
            <w:pPr>
              <w:widowControl w:val="0"/>
              <w:spacing w:line="240" w:lineRule="exact"/>
              <w:ind w:right="170"/>
              <w:jc w:val="right"/>
              <w:rPr>
                <w:color w:val="000000"/>
                <w:sz w:val="16"/>
                <w:szCs w:val="16"/>
              </w:rPr>
            </w:pPr>
            <w:r w:rsidRPr="001E2F6E">
              <w:rPr>
                <w:color w:val="000000"/>
                <w:sz w:val="16"/>
                <w:szCs w:val="16"/>
              </w:rPr>
              <w:t>0</w:t>
            </w:r>
          </w:p>
        </w:tc>
        <w:tc>
          <w:tcPr>
            <w:tcW w:w="351" w:type="pct"/>
            <w:tcBorders>
              <w:top w:val="nil"/>
              <w:left w:val="nil"/>
              <w:bottom w:val="nil"/>
              <w:right w:val="single" w:sz="4" w:space="0" w:color="BFBFBF" w:themeColor="background1" w:themeShade="BF"/>
            </w:tcBorders>
            <w:shd w:val="clear" w:color="auto" w:fill="auto"/>
            <w:vAlign w:val="bottom"/>
            <w:hideMark/>
          </w:tcPr>
          <w:p w:rsidR="00195BE7" w:rsidRPr="001E2F6E" w:rsidRDefault="00195BE7" w:rsidP="00195BE7">
            <w:pPr>
              <w:widowControl w:val="0"/>
              <w:spacing w:line="240" w:lineRule="exact"/>
              <w:ind w:right="170"/>
              <w:jc w:val="right"/>
              <w:rPr>
                <w:color w:val="000000"/>
                <w:sz w:val="16"/>
                <w:szCs w:val="16"/>
              </w:rPr>
            </w:pPr>
            <w:r w:rsidRPr="001E2F6E">
              <w:rPr>
                <w:color w:val="000000"/>
                <w:sz w:val="16"/>
                <w:szCs w:val="16"/>
              </w:rPr>
              <w:t>0,0</w:t>
            </w:r>
          </w:p>
        </w:tc>
        <w:tc>
          <w:tcPr>
            <w:tcW w:w="688" w:type="pct"/>
            <w:tcBorders>
              <w:top w:val="nil"/>
              <w:left w:val="single" w:sz="4" w:space="0" w:color="BFBFBF" w:themeColor="background1" w:themeShade="BF"/>
              <w:bottom w:val="nil"/>
            </w:tcBorders>
            <w:shd w:val="clear" w:color="auto" w:fill="auto"/>
            <w:vAlign w:val="bottom"/>
            <w:hideMark/>
          </w:tcPr>
          <w:p w:rsidR="00195BE7" w:rsidRPr="001E2F6E" w:rsidRDefault="00195BE7" w:rsidP="00195BE7">
            <w:pPr>
              <w:widowControl w:val="0"/>
              <w:spacing w:line="240" w:lineRule="exact"/>
              <w:ind w:right="170"/>
              <w:jc w:val="right"/>
              <w:rPr>
                <w:color w:val="000000"/>
                <w:sz w:val="16"/>
                <w:szCs w:val="16"/>
              </w:rPr>
            </w:pPr>
            <w:r w:rsidRPr="001E2F6E">
              <w:rPr>
                <w:color w:val="000000"/>
                <w:sz w:val="16"/>
                <w:szCs w:val="16"/>
              </w:rPr>
              <w:t>9</w:t>
            </w:r>
          </w:p>
        </w:tc>
        <w:tc>
          <w:tcPr>
            <w:tcW w:w="368" w:type="pct"/>
            <w:tcBorders>
              <w:top w:val="nil"/>
              <w:left w:val="nil"/>
              <w:bottom w:val="nil"/>
              <w:right w:val="nil"/>
            </w:tcBorders>
            <w:shd w:val="clear" w:color="auto" w:fill="auto"/>
            <w:vAlign w:val="bottom"/>
            <w:hideMark/>
          </w:tcPr>
          <w:p w:rsidR="00195BE7" w:rsidRPr="001E2F6E" w:rsidRDefault="00195BE7" w:rsidP="00195BE7">
            <w:pPr>
              <w:widowControl w:val="0"/>
              <w:spacing w:line="240" w:lineRule="exact"/>
              <w:ind w:right="170"/>
              <w:jc w:val="right"/>
              <w:rPr>
                <w:color w:val="000000"/>
                <w:sz w:val="16"/>
                <w:szCs w:val="16"/>
              </w:rPr>
            </w:pPr>
            <w:r w:rsidRPr="001E2F6E">
              <w:rPr>
                <w:color w:val="000000"/>
                <w:sz w:val="16"/>
                <w:szCs w:val="16"/>
              </w:rPr>
              <w:t>0,0</w:t>
            </w:r>
          </w:p>
        </w:tc>
      </w:tr>
      <w:tr w:rsidR="00195BE7" w:rsidRPr="001E2F6E" w:rsidTr="00195BE7">
        <w:trPr>
          <w:jc w:val="center"/>
        </w:trPr>
        <w:tc>
          <w:tcPr>
            <w:tcW w:w="767" w:type="pct"/>
            <w:tcBorders>
              <w:top w:val="nil"/>
              <w:left w:val="nil"/>
              <w:bottom w:val="nil"/>
              <w:right w:val="single" w:sz="4" w:space="0" w:color="BFBFBF" w:themeColor="background1" w:themeShade="BF"/>
            </w:tcBorders>
            <w:shd w:val="clear" w:color="auto" w:fill="auto"/>
            <w:vAlign w:val="center"/>
            <w:hideMark/>
          </w:tcPr>
          <w:p w:rsidR="00195BE7" w:rsidRPr="001E2F6E" w:rsidRDefault="00195BE7" w:rsidP="00195BE7">
            <w:pPr>
              <w:spacing w:line="240" w:lineRule="auto"/>
              <w:rPr>
                <w:sz w:val="16"/>
                <w:szCs w:val="16"/>
                <w:lang w:val="eu-ES"/>
              </w:rPr>
            </w:pPr>
            <w:r w:rsidRPr="001E2F6E">
              <w:rPr>
                <w:sz w:val="16"/>
                <w:szCs w:val="16"/>
                <w:lang w:val="eu-ES"/>
              </w:rPr>
              <w:t>Industria</w:t>
            </w:r>
          </w:p>
        </w:tc>
        <w:tc>
          <w:tcPr>
            <w:tcW w:w="697" w:type="pct"/>
            <w:tcBorders>
              <w:top w:val="nil"/>
              <w:left w:val="single" w:sz="4" w:space="0" w:color="BFBFBF" w:themeColor="background1" w:themeShade="BF"/>
              <w:bottom w:val="nil"/>
            </w:tcBorders>
            <w:shd w:val="clear" w:color="auto" w:fill="auto"/>
            <w:vAlign w:val="bottom"/>
            <w:hideMark/>
          </w:tcPr>
          <w:p w:rsidR="00195BE7" w:rsidRPr="001E2F6E" w:rsidRDefault="00195BE7" w:rsidP="00195BE7">
            <w:pPr>
              <w:widowControl w:val="0"/>
              <w:spacing w:line="240" w:lineRule="exact"/>
              <w:ind w:right="170"/>
              <w:jc w:val="right"/>
              <w:rPr>
                <w:color w:val="000000"/>
                <w:sz w:val="16"/>
                <w:szCs w:val="16"/>
              </w:rPr>
            </w:pPr>
            <w:r w:rsidRPr="001E2F6E">
              <w:rPr>
                <w:color w:val="000000"/>
                <w:sz w:val="16"/>
                <w:szCs w:val="16"/>
              </w:rPr>
              <w:t>74.022.201</w:t>
            </w:r>
          </w:p>
        </w:tc>
        <w:tc>
          <w:tcPr>
            <w:tcW w:w="371" w:type="pct"/>
            <w:tcBorders>
              <w:top w:val="nil"/>
              <w:left w:val="nil"/>
              <w:bottom w:val="nil"/>
              <w:right w:val="single" w:sz="4" w:space="0" w:color="BFBFBF" w:themeColor="background1" w:themeShade="BF"/>
            </w:tcBorders>
            <w:shd w:val="clear" w:color="auto" w:fill="auto"/>
            <w:vAlign w:val="bottom"/>
            <w:hideMark/>
          </w:tcPr>
          <w:p w:rsidR="00195BE7" w:rsidRPr="001E2F6E" w:rsidRDefault="00195BE7" w:rsidP="00195BE7">
            <w:pPr>
              <w:widowControl w:val="0"/>
              <w:spacing w:line="240" w:lineRule="exact"/>
              <w:ind w:right="170"/>
              <w:jc w:val="right"/>
              <w:rPr>
                <w:color w:val="000000"/>
                <w:sz w:val="16"/>
                <w:szCs w:val="16"/>
              </w:rPr>
            </w:pPr>
            <w:r w:rsidRPr="001E2F6E">
              <w:rPr>
                <w:color w:val="000000"/>
                <w:sz w:val="16"/>
                <w:szCs w:val="16"/>
              </w:rPr>
              <w:t>67,9</w:t>
            </w:r>
          </w:p>
        </w:tc>
        <w:tc>
          <w:tcPr>
            <w:tcW w:w="670" w:type="pct"/>
            <w:tcBorders>
              <w:top w:val="nil"/>
              <w:left w:val="single" w:sz="4" w:space="0" w:color="BFBFBF" w:themeColor="background1" w:themeShade="BF"/>
              <w:bottom w:val="nil"/>
            </w:tcBorders>
            <w:shd w:val="clear" w:color="auto" w:fill="auto"/>
            <w:vAlign w:val="bottom"/>
            <w:hideMark/>
          </w:tcPr>
          <w:p w:rsidR="00195BE7" w:rsidRPr="001E2F6E" w:rsidRDefault="00195BE7" w:rsidP="00195BE7">
            <w:pPr>
              <w:widowControl w:val="0"/>
              <w:spacing w:line="240" w:lineRule="exact"/>
              <w:ind w:right="170"/>
              <w:jc w:val="right"/>
              <w:rPr>
                <w:color w:val="000000"/>
                <w:sz w:val="16"/>
                <w:szCs w:val="16"/>
              </w:rPr>
            </w:pPr>
            <w:r w:rsidRPr="001E2F6E">
              <w:rPr>
                <w:color w:val="000000"/>
                <w:sz w:val="16"/>
                <w:szCs w:val="16"/>
              </w:rPr>
              <w:t>4.844.914</w:t>
            </w:r>
          </w:p>
        </w:tc>
        <w:tc>
          <w:tcPr>
            <w:tcW w:w="401" w:type="pct"/>
            <w:tcBorders>
              <w:top w:val="nil"/>
              <w:left w:val="nil"/>
              <w:bottom w:val="nil"/>
              <w:right w:val="single" w:sz="4" w:space="0" w:color="BFBFBF" w:themeColor="background1" w:themeShade="BF"/>
            </w:tcBorders>
            <w:shd w:val="clear" w:color="auto" w:fill="auto"/>
            <w:vAlign w:val="bottom"/>
            <w:hideMark/>
          </w:tcPr>
          <w:p w:rsidR="00195BE7" w:rsidRPr="001E2F6E" w:rsidRDefault="00195BE7" w:rsidP="00195BE7">
            <w:pPr>
              <w:widowControl w:val="0"/>
              <w:spacing w:line="240" w:lineRule="exact"/>
              <w:ind w:right="170"/>
              <w:jc w:val="right"/>
              <w:rPr>
                <w:color w:val="000000"/>
                <w:sz w:val="16"/>
                <w:szCs w:val="16"/>
              </w:rPr>
            </w:pPr>
            <w:r w:rsidRPr="001E2F6E">
              <w:rPr>
                <w:color w:val="000000"/>
                <w:sz w:val="16"/>
                <w:szCs w:val="16"/>
              </w:rPr>
              <w:t>68,5</w:t>
            </w:r>
          </w:p>
        </w:tc>
        <w:tc>
          <w:tcPr>
            <w:tcW w:w="688" w:type="pct"/>
            <w:tcBorders>
              <w:top w:val="nil"/>
              <w:left w:val="single" w:sz="4" w:space="0" w:color="BFBFBF" w:themeColor="background1" w:themeShade="BF"/>
              <w:bottom w:val="nil"/>
            </w:tcBorders>
            <w:shd w:val="clear" w:color="auto" w:fill="auto"/>
            <w:vAlign w:val="bottom"/>
            <w:hideMark/>
          </w:tcPr>
          <w:p w:rsidR="00195BE7" w:rsidRPr="001E2F6E" w:rsidRDefault="00195BE7" w:rsidP="00195BE7">
            <w:pPr>
              <w:widowControl w:val="0"/>
              <w:spacing w:line="240" w:lineRule="exact"/>
              <w:ind w:right="170"/>
              <w:jc w:val="right"/>
              <w:rPr>
                <w:color w:val="000000"/>
                <w:sz w:val="16"/>
                <w:szCs w:val="16"/>
              </w:rPr>
            </w:pPr>
            <w:r w:rsidRPr="001E2F6E">
              <w:rPr>
                <w:color w:val="000000"/>
                <w:sz w:val="16"/>
                <w:szCs w:val="16"/>
              </w:rPr>
              <w:t>56.192.278</w:t>
            </w:r>
          </w:p>
        </w:tc>
        <w:tc>
          <w:tcPr>
            <w:tcW w:w="351" w:type="pct"/>
            <w:tcBorders>
              <w:top w:val="nil"/>
              <w:left w:val="nil"/>
              <w:bottom w:val="nil"/>
              <w:right w:val="single" w:sz="4" w:space="0" w:color="BFBFBF" w:themeColor="background1" w:themeShade="BF"/>
            </w:tcBorders>
            <w:shd w:val="clear" w:color="auto" w:fill="auto"/>
            <w:vAlign w:val="bottom"/>
            <w:hideMark/>
          </w:tcPr>
          <w:p w:rsidR="00195BE7" w:rsidRPr="001E2F6E" w:rsidRDefault="00195BE7" w:rsidP="00195BE7">
            <w:pPr>
              <w:widowControl w:val="0"/>
              <w:spacing w:line="240" w:lineRule="exact"/>
              <w:ind w:right="170"/>
              <w:jc w:val="right"/>
              <w:rPr>
                <w:color w:val="000000"/>
                <w:sz w:val="16"/>
                <w:szCs w:val="16"/>
              </w:rPr>
            </w:pPr>
            <w:r w:rsidRPr="001E2F6E">
              <w:rPr>
                <w:color w:val="000000"/>
                <w:sz w:val="16"/>
                <w:szCs w:val="16"/>
              </w:rPr>
              <w:t>66,4</w:t>
            </w:r>
          </w:p>
        </w:tc>
        <w:tc>
          <w:tcPr>
            <w:tcW w:w="688" w:type="pct"/>
            <w:tcBorders>
              <w:top w:val="nil"/>
              <w:left w:val="single" w:sz="4" w:space="0" w:color="BFBFBF" w:themeColor="background1" w:themeShade="BF"/>
              <w:bottom w:val="nil"/>
            </w:tcBorders>
            <w:shd w:val="clear" w:color="auto" w:fill="auto"/>
            <w:vAlign w:val="bottom"/>
            <w:hideMark/>
          </w:tcPr>
          <w:p w:rsidR="00195BE7" w:rsidRPr="001E2F6E" w:rsidRDefault="00195BE7" w:rsidP="00195BE7">
            <w:pPr>
              <w:widowControl w:val="0"/>
              <w:spacing w:line="240" w:lineRule="exact"/>
              <w:ind w:right="170"/>
              <w:jc w:val="right"/>
              <w:rPr>
                <w:color w:val="000000"/>
                <w:sz w:val="16"/>
                <w:szCs w:val="16"/>
              </w:rPr>
            </w:pPr>
            <w:r w:rsidRPr="001E2F6E">
              <w:rPr>
                <w:color w:val="000000"/>
                <w:sz w:val="16"/>
                <w:szCs w:val="16"/>
              </w:rPr>
              <w:t>12.985.009</w:t>
            </w:r>
          </w:p>
        </w:tc>
        <w:tc>
          <w:tcPr>
            <w:tcW w:w="368" w:type="pct"/>
            <w:tcBorders>
              <w:top w:val="nil"/>
              <w:left w:val="nil"/>
              <w:bottom w:val="nil"/>
              <w:right w:val="nil"/>
            </w:tcBorders>
            <w:shd w:val="clear" w:color="auto" w:fill="auto"/>
            <w:vAlign w:val="bottom"/>
            <w:hideMark/>
          </w:tcPr>
          <w:p w:rsidR="00195BE7" w:rsidRPr="001E2F6E" w:rsidRDefault="00195BE7" w:rsidP="00195BE7">
            <w:pPr>
              <w:widowControl w:val="0"/>
              <w:spacing w:line="240" w:lineRule="exact"/>
              <w:ind w:right="170"/>
              <w:jc w:val="right"/>
              <w:rPr>
                <w:color w:val="000000"/>
                <w:sz w:val="16"/>
                <w:szCs w:val="16"/>
              </w:rPr>
            </w:pPr>
            <w:r w:rsidRPr="001E2F6E">
              <w:rPr>
                <w:color w:val="000000"/>
                <w:sz w:val="16"/>
                <w:szCs w:val="16"/>
              </w:rPr>
              <w:t>74,9</w:t>
            </w:r>
          </w:p>
        </w:tc>
      </w:tr>
      <w:tr w:rsidR="00195BE7" w:rsidRPr="001E2F6E" w:rsidTr="00195BE7">
        <w:trPr>
          <w:jc w:val="center"/>
        </w:trPr>
        <w:tc>
          <w:tcPr>
            <w:tcW w:w="767" w:type="pct"/>
            <w:tcBorders>
              <w:top w:val="nil"/>
              <w:left w:val="nil"/>
              <w:bottom w:val="nil"/>
              <w:right w:val="single" w:sz="4" w:space="0" w:color="BFBFBF" w:themeColor="background1" w:themeShade="BF"/>
            </w:tcBorders>
            <w:shd w:val="clear" w:color="auto" w:fill="auto"/>
            <w:vAlign w:val="center"/>
            <w:hideMark/>
          </w:tcPr>
          <w:p w:rsidR="00195BE7" w:rsidRPr="001E2F6E" w:rsidRDefault="00195BE7" w:rsidP="00195BE7">
            <w:pPr>
              <w:spacing w:line="240" w:lineRule="auto"/>
              <w:rPr>
                <w:sz w:val="16"/>
                <w:szCs w:val="16"/>
                <w:lang w:val="eu-ES"/>
              </w:rPr>
            </w:pPr>
            <w:r w:rsidRPr="001E2F6E">
              <w:rPr>
                <w:sz w:val="16"/>
                <w:szCs w:val="16"/>
                <w:lang w:val="eu-ES"/>
              </w:rPr>
              <w:t>Eraikuntza</w:t>
            </w:r>
          </w:p>
        </w:tc>
        <w:tc>
          <w:tcPr>
            <w:tcW w:w="697" w:type="pct"/>
            <w:tcBorders>
              <w:top w:val="nil"/>
              <w:left w:val="single" w:sz="4" w:space="0" w:color="BFBFBF" w:themeColor="background1" w:themeShade="BF"/>
              <w:bottom w:val="nil"/>
            </w:tcBorders>
            <w:shd w:val="clear" w:color="auto" w:fill="auto"/>
            <w:vAlign w:val="bottom"/>
            <w:hideMark/>
          </w:tcPr>
          <w:p w:rsidR="00195BE7" w:rsidRPr="001E2F6E" w:rsidRDefault="00195BE7" w:rsidP="00195BE7">
            <w:pPr>
              <w:widowControl w:val="0"/>
              <w:spacing w:line="240" w:lineRule="exact"/>
              <w:ind w:right="170"/>
              <w:jc w:val="right"/>
              <w:rPr>
                <w:color w:val="000000"/>
                <w:sz w:val="16"/>
                <w:szCs w:val="16"/>
              </w:rPr>
            </w:pPr>
            <w:r w:rsidRPr="001E2F6E">
              <w:rPr>
                <w:color w:val="000000"/>
                <w:sz w:val="16"/>
                <w:szCs w:val="16"/>
              </w:rPr>
              <w:t>297.117</w:t>
            </w:r>
          </w:p>
        </w:tc>
        <w:tc>
          <w:tcPr>
            <w:tcW w:w="371" w:type="pct"/>
            <w:tcBorders>
              <w:top w:val="nil"/>
              <w:left w:val="nil"/>
              <w:bottom w:val="nil"/>
              <w:right w:val="single" w:sz="4" w:space="0" w:color="BFBFBF" w:themeColor="background1" w:themeShade="BF"/>
            </w:tcBorders>
            <w:shd w:val="clear" w:color="auto" w:fill="auto"/>
            <w:vAlign w:val="bottom"/>
            <w:hideMark/>
          </w:tcPr>
          <w:p w:rsidR="00195BE7" w:rsidRPr="001E2F6E" w:rsidRDefault="00195BE7" w:rsidP="00195BE7">
            <w:pPr>
              <w:widowControl w:val="0"/>
              <w:spacing w:line="240" w:lineRule="exact"/>
              <w:ind w:right="170"/>
              <w:jc w:val="right"/>
              <w:rPr>
                <w:color w:val="000000"/>
                <w:sz w:val="16"/>
                <w:szCs w:val="16"/>
              </w:rPr>
            </w:pPr>
            <w:r w:rsidRPr="001E2F6E">
              <w:rPr>
                <w:color w:val="000000"/>
                <w:sz w:val="16"/>
                <w:szCs w:val="16"/>
              </w:rPr>
              <w:t>0,3</w:t>
            </w:r>
          </w:p>
        </w:tc>
        <w:tc>
          <w:tcPr>
            <w:tcW w:w="670" w:type="pct"/>
            <w:tcBorders>
              <w:top w:val="nil"/>
              <w:left w:val="single" w:sz="4" w:space="0" w:color="BFBFBF" w:themeColor="background1" w:themeShade="BF"/>
              <w:bottom w:val="nil"/>
            </w:tcBorders>
            <w:shd w:val="clear" w:color="auto" w:fill="auto"/>
            <w:vAlign w:val="bottom"/>
            <w:hideMark/>
          </w:tcPr>
          <w:p w:rsidR="00195BE7" w:rsidRPr="001E2F6E" w:rsidRDefault="00195BE7" w:rsidP="00195BE7">
            <w:pPr>
              <w:widowControl w:val="0"/>
              <w:spacing w:line="240" w:lineRule="exact"/>
              <w:ind w:right="170"/>
              <w:jc w:val="right"/>
              <w:rPr>
                <w:color w:val="000000"/>
                <w:sz w:val="16"/>
                <w:szCs w:val="16"/>
              </w:rPr>
            </w:pPr>
            <w:r w:rsidRPr="001E2F6E">
              <w:rPr>
                <w:color w:val="000000"/>
                <w:sz w:val="16"/>
                <w:szCs w:val="16"/>
              </w:rPr>
              <w:t>24.281</w:t>
            </w:r>
          </w:p>
        </w:tc>
        <w:tc>
          <w:tcPr>
            <w:tcW w:w="401" w:type="pct"/>
            <w:tcBorders>
              <w:top w:val="nil"/>
              <w:left w:val="nil"/>
              <w:bottom w:val="nil"/>
              <w:right w:val="single" w:sz="4" w:space="0" w:color="BFBFBF" w:themeColor="background1" w:themeShade="BF"/>
            </w:tcBorders>
            <w:shd w:val="clear" w:color="auto" w:fill="auto"/>
            <w:vAlign w:val="bottom"/>
            <w:hideMark/>
          </w:tcPr>
          <w:p w:rsidR="00195BE7" w:rsidRPr="001E2F6E" w:rsidRDefault="00195BE7" w:rsidP="00195BE7">
            <w:pPr>
              <w:widowControl w:val="0"/>
              <w:spacing w:line="240" w:lineRule="exact"/>
              <w:ind w:right="170"/>
              <w:jc w:val="right"/>
              <w:rPr>
                <w:color w:val="000000"/>
                <w:sz w:val="16"/>
                <w:szCs w:val="16"/>
              </w:rPr>
            </w:pPr>
            <w:r w:rsidRPr="001E2F6E">
              <w:rPr>
                <w:color w:val="000000"/>
                <w:sz w:val="16"/>
                <w:szCs w:val="16"/>
              </w:rPr>
              <w:t>0,3</w:t>
            </w:r>
          </w:p>
        </w:tc>
        <w:tc>
          <w:tcPr>
            <w:tcW w:w="688" w:type="pct"/>
            <w:tcBorders>
              <w:top w:val="nil"/>
              <w:left w:val="single" w:sz="4" w:space="0" w:color="BFBFBF" w:themeColor="background1" w:themeShade="BF"/>
              <w:bottom w:val="nil"/>
            </w:tcBorders>
            <w:shd w:val="clear" w:color="auto" w:fill="auto"/>
            <w:vAlign w:val="bottom"/>
            <w:hideMark/>
          </w:tcPr>
          <w:p w:rsidR="00195BE7" w:rsidRPr="001E2F6E" w:rsidRDefault="00195BE7" w:rsidP="00195BE7">
            <w:pPr>
              <w:widowControl w:val="0"/>
              <w:spacing w:line="240" w:lineRule="exact"/>
              <w:ind w:right="170"/>
              <w:jc w:val="right"/>
              <w:rPr>
                <w:color w:val="000000"/>
                <w:sz w:val="16"/>
                <w:szCs w:val="16"/>
              </w:rPr>
            </w:pPr>
            <w:r w:rsidRPr="001E2F6E">
              <w:rPr>
                <w:color w:val="000000"/>
                <w:sz w:val="16"/>
                <w:szCs w:val="16"/>
              </w:rPr>
              <w:t>248.200</w:t>
            </w:r>
          </w:p>
        </w:tc>
        <w:tc>
          <w:tcPr>
            <w:tcW w:w="351" w:type="pct"/>
            <w:tcBorders>
              <w:top w:val="nil"/>
              <w:left w:val="nil"/>
              <w:bottom w:val="nil"/>
              <w:right w:val="single" w:sz="4" w:space="0" w:color="BFBFBF" w:themeColor="background1" w:themeShade="BF"/>
            </w:tcBorders>
            <w:shd w:val="clear" w:color="auto" w:fill="auto"/>
            <w:vAlign w:val="bottom"/>
            <w:hideMark/>
          </w:tcPr>
          <w:p w:rsidR="00195BE7" w:rsidRPr="001E2F6E" w:rsidRDefault="00195BE7" w:rsidP="00195BE7">
            <w:pPr>
              <w:widowControl w:val="0"/>
              <w:spacing w:line="240" w:lineRule="exact"/>
              <w:ind w:right="170"/>
              <w:jc w:val="right"/>
              <w:rPr>
                <w:color w:val="000000"/>
                <w:sz w:val="16"/>
                <w:szCs w:val="16"/>
              </w:rPr>
            </w:pPr>
            <w:r w:rsidRPr="001E2F6E">
              <w:rPr>
                <w:color w:val="000000"/>
                <w:sz w:val="16"/>
                <w:szCs w:val="16"/>
              </w:rPr>
              <w:t>0,3</w:t>
            </w:r>
          </w:p>
        </w:tc>
        <w:tc>
          <w:tcPr>
            <w:tcW w:w="688" w:type="pct"/>
            <w:tcBorders>
              <w:top w:val="nil"/>
              <w:left w:val="single" w:sz="4" w:space="0" w:color="BFBFBF" w:themeColor="background1" w:themeShade="BF"/>
              <w:bottom w:val="nil"/>
            </w:tcBorders>
            <w:shd w:val="clear" w:color="auto" w:fill="auto"/>
            <w:vAlign w:val="bottom"/>
            <w:hideMark/>
          </w:tcPr>
          <w:p w:rsidR="00195BE7" w:rsidRPr="001E2F6E" w:rsidRDefault="00195BE7" w:rsidP="00195BE7">
            <w:pPr>
              <w:widowControl w:val="0"/>
              <w:spacing w:line="240" w:lineRule="exact"/>
              <w:ind w:right="170"/>
              <w:jc w:val="right"/>
              <w:rPr>
                <w:color w:val="000000"/>
                <w:sz w:val="16"/>
                <w:szCs w:val="16"/>
              </w:rPr>
            </w:pPr>
            <w:r w:rsidRPr="001E2F6E">
              <w:rPr>
                <w:color w:val="000000"/>
                <w:sz w:val="16"/>
                <w:szCs w:val="16"/>
              </w:rPr>
              <w:t>24.636</w:t>
            </w:r>
          </w:p>
        </w:tc>
        <w:tc>
          <w:tcPr>
            <w:tcW w:w="368" w:type="pct"/>
            <w:tcBorders>
              <w:top w:val="nil"/>
              <w:left w:val="nil"/>
              <w:bottom w:val="nil"/>
              <w:right w:val="nil"/>
            </w:tcBorders>
            <w:shd w:val="clear" w:color="auto" w:fill="auto"/>
            <w:vAlign w:val="bottom"/>
            <w:hideMark/>
          </w:tcPr>
          <w:p w:rsidR="00195BE7" w:rsidRPr="001E2F6E" w:rsidRDefault="00195BE7" w:rsidP="00195BE7">
            <w:pPr>
              <w:widowControl w:val="0"/>
              <w:spacing w:line="240" w:lineRule="exact"/>
              <w:ind w:right="170"/>
              <w:jc w:val="right"/>
              <w:rPr>
                <w:color w:val="000000"/>
                <w:sz w:val="16"/>
                <w:szCs w:val="16"/>
              </w:rPr>
            </w:pPr>
            <w:r w:rsidRPr="001E2F6E">
              <w:rPr>
                <w:color w:val="000000"/>
                <w:sz w:val="16"/>
                <w:szCs w:val="16"/>
              </w:rPr>
              <w:t>0,1</w:t>
            </w:r>
          </w:p>
        </w:tc>
      </w:tr>
      <w:tr w:rsidR="00195BE7" w:rsidRPr="001E2F6E" w:rsidTr="00195BE7">
        <w:trPr>
          <w:jc w:val="center"/>
        </w:trPr>
        <w:tc>
          <w:tcPr>
            <w:tcW w:w="767" w:type="pct"/>
            <w:tcBorders>
              <w:top w:val="nil"/>
              <w:left w:val="nil"/>
              <w:bottom w:val="nil"/>
              <w:right w:val="single" w:sz="4" w:space="0" w:color="BFBFBF" w:themeColor="background1" w:themeShade="BF"/>
            </w:tcBorders>
            <w:shd w:val="clear" w:color="auto" w:fill="auto"/>
            <w:vAlign w:val="center"/>
            <w:hideMark/>
          </w:tcPr>
          <w:p w:rsidR="00195BE7" w:rsidRPr="001E2F6E" w:rsidRDefault="00195BE7" w:rsidP="00195BE7">
            <w:pPr>
              <w:spacing w:line="240" w:lineRule="auto"/>
              <w:rPr>
                <w:sz w:val="16"/>
                <w:szCs w:val="16"/>
                <w:lang w:val="eu-ES"/>
              </w:rPr>
            </w:pPr>
            <w:r w:rsidRPr="001E2F6E">
              <w:rPr>
                <w:sz w:val="16"/>
                <w:szCs w:val="16"/>
                <w:lang w:val="eu-ES"/>
              </w:rPr>
              <w:t xml:space="preserve">Zerbitzuak </w:t>
            </w:r>
          </w:p>
        </w:tc>
        <w:tc>
          <w:tcPr>
            <w:tcW w:w="697" w:type="pct"/>
            <w:tcBorders>
              <w:top w:val="nil"/>
              <w:left w:val="single" w:sz="4" w:space="0" w:color="BFBFBF" w:themeColor="background1" w:themeShade="BF"/>
              <w:bottom w:val="nil"/>
            </w:tcBorders>
            <w:shd w:val="clear" w:color="auto" w:fill="auto"/>
            <w:vAlign w:val="bottom"/>
            <w:hideMark/>
          </w:tcPr>
          <w:p w:rsidR="00195BE7" w:rsidRPr="001E2F6E" w:rsidRDefault="00195BE7" w:rsidP="00195BE7">
            <w:pPr>
              <w:widowControl w:val="0"/>
              <w:spacing w:line="240" w:lineRule="exact"/>
              <w:ind w:right="170"/>
              <w:jc w:val="right"/>
              <w:rPr>
                <w:color w:val="000000"/>
                <w:sz w:val="16"/>
                <w:szCs w:val="16"/>
              </w:rPr>
            </w:pPr>
            <w:r w:rsidRPr="001E2F6E">
              <w:rPr>
                <w:color w:val="000000"/>
                <w:sz w:val="16"/>
                <w:szCs w:val="16"/>
              </w:rPr>
              <w:t>34.619.053</w:t>
            </w:r>
          </w:p>
        </w:tc>
        <w:tc>
          <w:tcPr>
            <w:tcW w:w="371" w:type="pct"/>
            <w:tcBorders>
              <w:top w:val="nil"/>
              <w:left w:val="nil"/>
              <w:bottom w:val="nil"/>
              <w:right w:val="single" w:sz="4" w:space="0" w:color="BFBFBF" w:themeColor="background1" w:themeShade="BF"/>
            </w:tcBorders>
            <w:shd w:val="clear" w:color="auto" w:fill="auto"/>
            <w:vAlign w:val="bottom"/>
            <w:hideMark/>
          </w:tcPr>
          <w:p w:rsidR="00195BE7" w:rsidRPr="001E2F6E" w:rsidRDefault="00195BE7" w:rsidP="00195BE7">
            <w:pPr>
              <w:widowControl w:val="0"/>
              <w:spacing w:line="240" w:lineRule="exact"/>
              <w:ind w:right="170"/>
              <w:jc w:val="right"/>
              <w:rPr>
                <w:color w:val="000000"/>
                <w:sz w:val="16"/>
                <w:szCs w:val="16"/>
              </w:rPr>
            </w:pPr>
            <w:r w:rsidRPr="001E2F6E">
              <w:rPr>
                <w:color w:val="000000"/>
                <w:sz w:val="16"/>
                <w:szCs w:val="16"/>
              </w:rPr>
              <w:t>31,7</w:t>
            </w:r>
          </w:p>
        </w:tc>
        <w:tc>
          <w:tcPr>
            <w:tcW w:w="670" w:type="pct"/>
            <w:tcBorders>
              <w:top w:val="nil"/>
              <w:left w:val="single" w:sz="4" w:space="0" w:color="BFBFBF" w:themeColor="background1" w:themeShade="BF"/>
              <w:bottom w:val="nil"/>
            </w:tcBorders>
            <w:shd w:val="clear" w:color="auto" w:fill="auto"/>
            <w:vAlign w:val="bottom"/>
            <w:hideMark/>
          </w:tcPr>
          <w:p w:rsidR="00195BE7" w:rsidRPr="001E2F6E" w:rsidRDefault="00195BE7" w:rsidP="00195BE7">
            <w:pPr>
              <w:widowControl w:val="0"/>
              <w:spacing w:line="240" w:lineRule="exact"/>
              <w:ind w:right="170"/>
              <w:jc w:val="right"/>
              <w:rPr>
                <w:color w:val="000000"/>
                <w:sz w:val="16"/>
                <w:szCs w:val="16"/>
              </w:rPr>
            </w:pPr>
            <w:r w:rsidRPr="001E2F6E">
              <w:rPr>
                <w:color w:val="000000"/>
                <w:sz w:val="16"/>
                <w:szCs w:val="16"/>
              </w:rPr>
              <w:t>2.103.781</w:t>
            </w:r>
          </w:p>
        </w:tc>
        <w:tc>
          <w:tcPr>
            <w:tcW w:w="401" w:type="pct"/>
            <w:tcBorders>
              <w:top w:val="nil"/>
              <w:left w:val="nil"/>
              <w:bottom w:val="nil"/>
              <w:right w:val="single" w:sz="4" w:space="0" w:color="BFBFBF" w:themeColor="background1" w:themeShade="BF"/>
            </w:tcBorders>
            <w:shd w:val="clear" w:color="auto" w:fill="auto"/>
            <w:vAlign w:val="bottom"/>
            <w:hideMark/>
          </w:tcPr>
          <w:p w:rsidR="00195BE7" w:rsidRPr="001E2F6E" w:rsidRDefault="00195BE7" w:rsidP="00195BE7">
            <w:pPr>
              <w:widowControl w:val="0"/>
              <w:spacing w:line="240" w:lineRule="exact"/>
              <w:ind w:right="170"/>
              <w:jc w:val="right"/>
              <w:rPr>
                <w:color w:val="000000"/>
                <w:sz w:val="16"/>
                <w:szCs w:val="16"/>
              </w:rPr>
            </w:pPr>
            <w:r w:rsidRPr="001E2F6E">
              <w:rPr>
                <w:color w:val="000000"/>
                <w:sz w:val="16"/>
                <w:szCs w:val="16"/>
              </w:rPr>
              <w:t>29,7</w:t>
            </w:r>
          </w:p>
        </w:tc>
        <w:tc>
          <w:tcPr>
            <w:tcW w:w="688" w:type="pct"/>
            <w:tcBorders>
              <w:top w:val="nil"/>
              <w:left w:val="single" w:sz="4" w:space="0" w:color="BFBFBF" w:themeColor="background1" w:themeShade="BF"/>
              <w:bottom w:val="nil"/>
            </w:tcBorders>
            <w:shd w:val="clear" w:color="auto" w:fill="auto"/>
            <w:vAlign w:val="bottom"/>
            <w:hideMark/>
          </w:tcPr>
          <w:p w:rsidR="00195BE7" w:rsidRPr="001E2F6E" w:rsidRDefault="00195BE7" w:rsidP="00195BE7">
            <w:pPr>
              <w:widowControl w:val="0"/>
              <w:spacing w:line="240" w:lineRule="exact"/>
              <w:ind w:right="170"/>
              <w:jc w:val="right"/>
              <w:rPr>
                <w:color w:val="000000"/>
                <w:sz w:val="16"/>
                <w:szCs w:val="16"/>
              </w:rPr>
            </w:pPr>
            <w:r w:rsidRPr="001E2F6E">
              <w:rPr>
                <w:color w:val="000000"/>
                <w:sz w:val="16"/>
                <w:szCs w:val="16"/>
              </w:rPr>
              <w:t>28.190.428</w:t>
            </w:r>
          </w:p>
        </w:tc>
        <w:tc>
          <w:tcPr>
            <w:tcW w:w="351" w:type="pct"/>
            <w:tcBorders>
              <w:top w:val="nil"/>
              <w:left w:val="nil"/>
              <w:bottom w:val="nil"/>
              <w:right w:val="single" w:sz="4" w:space="0" w:color="BFBFBF" w:themeColor="background1" w:themeShade="BF"/>
            </w:tcBorders>
            <w:shd w:val="clear" w:color="auto" w:fill="auto"/>
            <w:vAlign w:val="bottom"/>
            <w:hideMark/>
          </w:tcPr>
          <w:p w:rsidR="00195BE7" w:rsidRPr="001E2F6E" w:rsidRDefault="00195BE7" w:rsidP="00195BE7">
            <w:pPr>
              <w:widowControl w:val="0"/>
              <w:spacing w:line="240" w:lineRule="exact"/>
              <w:ind w:right="170"/>
              <w:jc w:val="right"/>
              <w:rPr>
                <w:color w:val="000000"/>
                <w:sz w:val="16"/>
                <w:szCs w:val="16"/>
              </w:rPr>
            </w:pPr>
            <w:r w:rsidRPr="001E2F6E">
              <w:rPr>
                <w:color w:val="000000"/>
                <w:sz w:val="16"/>
                <w:szCs w:val="16"/>
              </w:rPr>
              <w:t>33,3</w:t>
            </w:r>
          </w:p>
        </w:tc>
        <w:tc>
          <w:tcPr>
            <w:tcW w:w="688" w:type="pct"/>
            <w:tcBorders>
              <w:top w:val="nil"/>
              <w:left w:val="single" w:sz="4" w:space="0" w:color="BFBFBF" w:themeColor="background1" w:themeShade="BF"/>
              <w:bottom w:val="nil"/>
            </w:tcBorders>
            <w:shd w:val="clear" w:color="auto" w:fill="auto"/>
            <w:vAlign w:val="bottom"/>
            <w:hideMark/>
          </w:tcPr>
          <w:p w:rsidR="00195BE7" w:rsidRPr="001E2F6E" w:rsidRDefault="00195BE7" w:rsidP="00195BE7">
            <w:pPr>
              <w:widowControl w:val="0"/>
              <w:spacing w:line="240" w:lineRule="exact"/>
              <w:ind w:right="170"/>
              <w:jc w:val="right"/>
              <w:rPr>
                <w:color w:val="000000"/>
                <w:sz w:val="16"/>
                <w:szCs w:val="16"/>
              </w:rPr>
            </w:pPr>
            <w:r w:rsidRPr="001E2F6E">
              <w:rPr>
                <w:color w:val="000000"/>
                <w:sz w:val="16"/>
                <w:szCs w:val="16"/>
              </w:rPr>
              <w:t>4.324.844</w:t>
            </w:r>
          </w:p>
        </w:tc>
        <w:tc>
          <w:tcPr>
            <w:tcW w:w="368" w:type="pct"/>
            <w:tcBorders>
              <w:top w:val="nil"/>
              <w:left w:val="nil"/>
              <w:bottom w:val="nil"/>
              <w:right w:val="nil"/>
            </w:tcBorders>
            <w:shd w:val="clear" w:color="auto" w:fill="auto"/>
            <w:vAlign w:val="bottom"/>
            <w:hideMark/>
          </w:tcPr>
          <w:p w:rsidR="00195BE7" w:rsidRPr="001E2F6E" w:rsidRDefault="00195BE7" w:rsidP="00195BE7">
            <w:pPr>
              <w:widowControl w:val="0"/>
              <w:spacing w:line="240" w:lineRule="exact"/>
              <w:ind w:right="170"/>
              <w:jc w:val="right"/>
              <w:rPr>
                <w:color w:val="000000"/>
                <w:sz w:val="16"/>
                <w:szCs w:val="16"/>
              </w:rPr>
            </w:pPr>
            <w:r w:rsidRPr="001E2F6E">
              <w:rPr>
                <w:color w:val="000000"/>
                <w:sz w:val="16"/>
                <w:szCs w:val="16"/>
              </w:rPr>
              <w:t>24,9</w:t>
            </w:r>
          </w:p>
        </w:tc>
      </w:tr>
      <w:tr w:rsidR="00195BE7" w:rsidRPr="001E2F6E" w:rsidTr="00195BE7">
        <w:trPr>
          <w:jc w:val="center"/>
        </w:trPr>
        <w:tc>
          <w:tcPr>
            <w:tcW w:w="767" w:type="pct"/>
            <w:tcBorders>
              <w:top w:val="single" w:sz="4" w:space="0" w:color="BFBFBF" w:themeColor="background1" w:themeShade="BF"/>
              <w:left w:val="nil"/>
              <w:bottom w:val="single" w:sz="8" w:space="0" w:color="BFBFBF"/>
              <w:right w:val="single" w:sz="4" w:space="0" w:color="BFBFBF" w:themeColor="background1" w:themeShade="BF"/>
            </w:tcBorders>
            <w:shd w:val="clear" w:color="auto" w:fill="auto"/>
            <w:vAlign w:val="center"/>
            <w:hideMark/>
          </w:tcPr>
          <w:p w:rsidR="00195BE7" w:rsidRPr="001E2F6E" w:rsidRDefault="00195BE7" w:rsidP="00195BE7">
            <w:pPr>
              <w:spacing w:line="240" w:lineRule="auto"/>
              <w:rPr>
                <w:b/>
                <w:bCs/>
                <w:sz w:val="16"/>
                <w:szCs w:val="16"/>
                <w:lang w:val="eu-ES"/>
              </w:rPr>
            </w:pPr>
            <w:r w:rsidRPr="001E2F6E">
              <w:rPr>
                <w:b/>
                <w:bCs/>
                <w:sz w:val="16"/>
                <w:szCs w:val="16"/>
                <w:lang w:val="eu-ES"/>
              </w:rPr>
              <w:t>GUZTIRA</w:t>
            </w:r>
          </w:p>
        </w:tc>
        <w:tc>
          <w:tcPr>
            <w:tcW w:w="697" w:type="pct"/>
            <w:tcBorders>
              <w:top w:val="single" w:sz="4" w:space="0" w:color="BFBFBF" w:themeColor="background1" w:themeShade="BF"/>
              <w:left w:val="single" w:sz="4" w:space="0" w:color="BFBFBF" w:themeColor="background1" w:themeShade="BF"/>
              <w:bottom w:val="single" w:sz="8" w:space="0" w:color="BFBFBF"/>
            </w:tcBorders>
            <w:shd w:val="clear" w:color="auto" w:fill="auto"/>
            <w:vAlign w:val="bottom"/>
            <w:hideMark/>
          </w:tcPr>
          <w:p w:rsidR="00195BE7" w:rsidRPr="001E2F6E" w:rsidRDefault="00195BE7" w:rsidP="00195BE7">
            <w:pPr>
              <w:widowControl w:val="0"/>
              <w:spacing w:line="240" w:lineRule="exact"/>
              <w:ind w:right="170"/>
              <w:jc w:val="right"/>
              <w:rPr>
                <w:b/>
                <w:bCs/>
                <w:color w:val="000000"/>
                <w:sz w:val="16"/>
                <w:szCs w:val="16"/>
              </w:rPr>
            </w:pPr>
            <w:r w:rsidRPr="001E2F6E">
              <w:rPr>
                <w:b/>
                <w:bCs/>
                <w:color w:val="000000"/>
                <w:sz w:val="16"/>
                <w:szCs w:val="16"/>
              </w:rPr>
              <w:t>109.040.400</w:t>
            </w:r>
          </w:p>
        </w:tc>
        <w:tc>
          <w:tcPr>
            <w:tcW w:w="371" w:type="pct"/>
            <w:tcBorders>
              <w:top w:val="single" w:sz="4" w:space="0" w:color="BFBFBF" w:themeColor="background1" w:themeShade="BF"/>
              <w:left w:val="nil"/>
              <w:bottom w:val="single" w:sz="8" w:space="0" w:color="BFBFBF"/>
              <w:right w:val="single" w:sz="4" w:space="0" w:color="BFBFBF" w:themeColor="background1" w:themeShade="BF"/>
            </w:tcBorders>
            <w:shd w:val="clear" w:color="auto" w:fill="auto"/>
            <w:vAlign w:val="bottom"/>
            <w:hideMark/>
          </w:tcPr>
          <w:p w:rsidR="00195BE7" w:rsidRPr="001E2F6E" w:rsidRDefault="00195BE7" w:rsidP="00195BE7">
            <w:pPr>
              <w:widowControl w:val="0"/>
              <w:spacing w:line="240" w:lineRule="exact"/>
              <w:ind w:right="170"/>
              <w:jc w:val="right"/>
              <w:rPr>
                <w:b/>
                <w:bCs/>
                <w:color w:val="000000"/>
                <w:sz w:val="16"/>
                <w:szCs w:val="16"/>
              </w:rPr>
            </w:pPr>
            <w:r w:rsidRPr="001E2F6E">
              <w:rPr>
                <w:b/>
                <w:bCs/>
                <w:color w:val="000000"/>
                <w:sz w:val="16"/>
                <w:szCs w:val="16"/>
              </w:rPr>
              <w:t>100</w:t>
            </w:r>
          </w:p>
        </w:tc>
        <w:tc>
          <w:tcPr>
            <w:tcW w:w="670" w:type="pct"/>
            <w:tcBorders>
              <w:top w:val="single" w:sz="4" w:space="0" w:color="BFBFBF" w:themeColor="background1" w:themeShade="BF"/>
              <w:left w:val="single" w:sz="4" w:space="0" w:color="BFBFBF" w:themeColor="background1" w:themeShade="BF"/>
              <w:bottom w:val="single" w:sz="8" w:space="0" w:color="BFBFBF"/>
            </w:tcBorders>
            <w:shd w:val="clear" w:color="auto" w:fill="auto"/>
            <w:vAlign w:val="bottom"/>
            <w:hideMark/>
          </w:tcPr>
          <w:p w:rsidR="00195BE7" w:rsidRPr="001E2F6E" w:rsidRDefault="00195BE7" w:rsidP="00195BE7">
            <w:pPr>
              <w:widowControl w:val="0"/>
              <w:spacing w:line="240" w:lineRule="exact"/>
              <w:ind w:right="170"/>
              <w:jc w:val="right"/>
              <w:rPr>
                <w:b/>
                <w:bCs/>
                <w:color w:val="000000"/>
                <w:sz w:val="16"/>
                <w:szCs w:val="16"/>
              </w:rPr>
            </w:pPr>
            <w:r w:rsidRPr="001E2F6E">
              <w:rPr>
                <w:b/>
                <w:bCs/>
                <w:color w:val="000000"/>
                <w:sz w:val="16"/>
                <w:szCs w:val="16"/>
              </w:rPr>
              <w:t>7.074.996</w:t>
            </w:r>
          </w:p>
        </w:tc>
        <w:tc>
          <w:tcPr>
            <w:tcW w:w="401" w:type="pct"/>
            <w:tcBorders>
              <w:top w:val="single" w:sz="4" w:space="0" w:color="BFBFBF" w:themeColor="background1" w:themeShade="BF"/>
              <w:left w:val="nil"/>
              <w:bottom w:val="single" w:sz="8" w:space="0" w:color="BFBFBF"/>
              <w:right w:val="single" w:sz="4" w:space="0" w:color="BFBFBF" w:themeColor="background1" w:themeShade="BF"/>
            </w:tcBorders>
            <w:shd w:val="clear" w:color="auto" w:fill="auto"/>
            <w:vAlign w:val="bottom"/>
            <w:hideMark/>
          </w:tcPr>
          <w:p w:rsidR="00195BE7" w:rsidRPr="001E2F6E" w:rsidRDefault="00195BE7" w:rsidP="00195BE7">
            <w:pPr>
              <w:widowControl w:val="0"/>
              <w:spacing w:line="240" w:lineRule="exact"/>
              <w:ind w:right="170"/>
              <w:jc w:val="right"/>
              <w:rPr>
                <w:b/>
                <w:bCs/>
                <w:color w:val="000000"/>
                <w:sz w:val="16"/>
                <w:szCs w:val="16"/>
              </w:rPr>
            </w:pPr>
            <w:r w:rsidRPr="001E2F6E">
              <w:rPr>
                <w:b/>
                <w:bCs/>
                <w:color w:val="000000"/>
                <w:sz w:val="16"/>
                <w:szCs w:val="16"/>
              </w:rPr>
              <w:t>100</w:t>
            </w:r>
          </w:p>
        </w:tc>
        <w:tc>
          <w:tcPr>
            <w:tcW w:w="688" w:type="pct"/>
            <w:tcBorders>
              <w:top w:val="single" w:sz="4" w:space="0" w:color="BFBFBF" w:themeColor="background1" w:themeShade="BF"/>
              <w:left w:val="single" w:sz="4" w:space="0" w:color="BFBFBF" w:themeColor="background1" w:themeShade="BF"/>
              <w:bottom w:val="single" w:sz="8" w:space="0" w:color="BFBFBF"/>
            </w:tcBorders>
            <w:shd w:val="clear" w:color="auto" w:fill="auto"/>
            <w:vAlign w:val="bottom"/>
            <w:hideMark/>
          </w:tcPr>
          <w:p w:rsidR="00195BE7" w:rsidRPr="001E2F6E" w:rsidRDefault="00195BE7" w:rsidP="00195BE7">
            <w:pPr>
              <w:widowControl w:val="0"/>
              <w:spacing w:line="240" w:lineRule="exact"/>
              <w:ind w:right="170"/>
              <w:jc w:val="right"/>
              <w:rPr>
                <w:b/>
                <w:bCs/>
                <w:color w:val="000000"/>
                <w:sz w:val="16"/>
                <w:szCs w:val="16"/>
              </w:rPr>
            </w:pPr>
            <w:r w:rsidRPr="001E2F6E">
              <w:rPr>
                <w:b/>
                <w:bCs/>
                <w:color w:val="000000"/>
                <w:sz w:val="16"/>
                <w:szCs w:val="16"/>
              </w:rPr>
              <w:t>84.630.906</w:t>
            </w:r>
          </w:p>
        </w:tc>
        <w:tc>
          <w:tcPr>
            <w:tcW w:w="351" w:type="pct"/>
            <w:tcBorders>
              <w:top w:val="single" w:sz="4" w:space="0" w:color="BFBFBF" w:themeColor="background1" w:themeShade="BF"/>
              <w:left w:val="nil"/>
              <w:bottom w:val="single" w:sz="8" w:space="0" w:color="BFBFBF"/>
              <w:right w:val="single" w:sz="4" w:space="0" w:color="BFBFBF" w:themeColor="background1" w:themeShade="BF"/>
            </w:tcBorders>
            <w:shd w:val="clear" w:color="auto" w:fill="auto"/>
            <w:vAlign w:val="bottom"/>
            <w:hideMark/>
          </w:tcPr>
          <w:p w:rsidR="00195BE7" w:rsidRPr="001E2F6E" w:rsidRDefault="00195BE7" w:rsidP="00195BE7">
            <w:pPr>
              <w:widowControl w:val="0"/>
              <w:spacing w:line="240" w:lineRule="exact"/>
              <w:ind w:right="170"/>
              <w:jc w:val="right"/>
              <w:rPr>
                <w:b/>
                <w:bCs/>
                <w:color w:val="000000"/>
                <w:sz w:val="16"/>
                <w:szCs w:val="16"/>
              </w:rPr>
            </w:pPr>
            <w:r w:rsidRPr="001E2F6E">
              <w:rPr>
                <w:b/>
                <w:bCs/>
                <w:color w:val="000000"/>
                <w:sz w:val="16"/>
                <w:szCs w:val="16"/>
              </w:rPr>
              <w:t>100</w:t>
            </w:r>
          </w:p>
        </w:tc>
        <w:tc>
          <w:tcPr>
            <w:tcW w:w="688" w:type="pct"/>
            <w:tcBorders>
              <w:top w:val="single" w:sz="4" w:space="0" w:color="BFBFBF" w:themeColor="background1" w:themeShade="BF"/>
              <w:left w:val="single" w:sz="4" w:space="0" w:color="BFBFBF" w:themeColor="background1" w:themeShade="BF"/>
              <w:bottom w:val="single" w:sz="8" w:space="0" w:color="BFBFBF"/>
            </w:tcBorders>
            <w:shd w:val="clear" w:color="auto" w:fill="auto"/>
            <w:vAlign w:val="bottom"/>
            <w:hideMark/>
          </w:tcPr>
          <w:p w:rsidR="00195BE7" w:rsidRPr="001E2F6E" w:rsidRDefault="00195BE7" w:rsidP="00195BE7">
            <w:pPr>
              <w:widowControl w:val="0"/>
              <w:spacing w:line="240" w:lineRule="exact"/>
              <w:ind w:right="170"/>
              <w:jc w:val="right"/>
              <w:rPr>
                <w:b/>
                <w:bCs/>
                <w:color w:val="000000"/>
                <w:sz w:val="16"/>
                <w:szCs w:val="16"/>
              </w:rPr>
            </w:pPr>
            <w:r w:rsidRPr="001E2F6E">
              <w:rPr>
                <w:b/>
                <w:bCs/>
                <w:color w:val="000000"/>
                <w:sz w:val="16"/>
                <w:szCs w:val="16"/>
              </w:rPr>
              <w:t>17.334.498</w:t>
            </w:r>
          </w:p>
        </w:tc>
        <w:tc>
          <w:tcPr>
            <w:tcW w:w="368" w:type="pct"/>
            <w:tcBorders>
              <w:top w:val="single" w:sz="4" w:space="0" w:color="BFBFBF" w:themeColor="background1" w:themeShade="BF"/>
              <w:left w:val="nil"/>
              <w:bottom w:val="single" w:sz="8" w:space="0" w:color="BFBFBF"/>
              <w:right w:val="nil"/>
            </w:tcBorders>
            <w:shd w:val="clear" w:color="auto" w:fill="auto"/>
            <w:vAlign w:val="bottom"/>
            <w:hideMark/>
          </w:tcPr>
          <w:p w:rsidR="00195BE7" w:rsidRPr="001E2F6E" w:rsidRDefault="00195BE7" w:rsidP="00195BE7">
            <w:pPr>
              <w:widowControl w:val="0"/>
              <w:spacing w:line="240" w:lineRule="exact"/>
              <w:ind w:right="170"/>
              <w:jc w:val="right"/>
              <w:rPr>
                <w:b/>
                <w:bCs/>
                <w:color w:val="000000"/>
                <w:sz w:val="16"/>
                <w:szCs w:val="16"/>
              </w:rPr>
            </w:pPr>
            <w:r w:rsidRPr="001E2F6E">
              <w:rPr>
                <w:b/>
                <w:bCs/>
                <w:color w:val="000000"/>
                <w:sz w:val="16"/>
                <w:szCs w:val="16"/>
              </w:rPr>
              <w:t>100</w:t>
            </w:r>
          </w:p>
        </w:tc>
      </w:tr>
    </w:tbl>
    <w:p w:rsidR="00195BE7" w:rsidRPr="001E2F6E" w:rsidRDefault="00195BE7" w:rsidP="00195BE7">
      <w:pPr>
        <w:rPr>
          <w:lang w:val="es-ES_tradnl"/>
        </w:rPr>
      </w:pPr>
    </w:p>
    <w:p w:rsidR="00195BE7" w:rsidRPr="001E2F6E" w:rsidRDefault="00195BE7" w:rsidP="00195BE7">
      <w:pPr>
        <w:widowControl w:val="0"/>
        <w:rPr>
          <w:b/>
          <w:color w:val="1F497D" w:themeColor="text2"/>
          <w:lang w:val="es-ES_tradnl"/>
        </w:rPr>
      </w:pPr>
      <w:r w:rsidRPr="001E2F6E">
        <w:rPr>
          <w:b/>
          <w:color w:val="1F497D" w:themeColor="text2"/>
          <w:lang w:val="es-ES_tradnl"/>
        </w:rPr>
        <w:t xml:space="preserve">C. </w:t>
      </w:r>
      <w:r w:rsidRPr="001E2F6E">
        <w:rPr>
          <w:b/>
          <w:color w:val="1F497D" w:themeColor="text2"/>
          <w:lang w:val="eu-ES"/>
        </w:rPr>
        <w:t>Herri-Administrazioen Finantziazioa</w:t>
      </w:r>
    </w:p>
    <w:p w:rsidR="00195BE7" w:rsidRPr="001E2F6E" w:rsidRDefault="00195BE7" w:rsidP="00195BE7">
      <w:pPr>
        <w:rPr>
          <w:lang w:val="es-ES_tradnl"/>
        </w:rPr>
      </w:pPr>
    </w:p>
    <w:p w:rsidR="00195BE7" w:rsidRPr="001E2F6E" w:rsidRDefault="00195BE7" w:rsidP="00195BE7">
      <w:pPr>
        <w:widowControl w:val="0"/>
        <w:spacing w:line="240" w:lineRule="auto"/>
        <w:jc w:val="center"/>
        <w:rPr>
          <w:b/>
          <w:color w:val="1F497D" w:themeColor="text2"/>
          <w:sz w:val="18"/>
          <w:szCs w:val="18"/>
        </w:rPr>
      </w:pPr>
      <w:bookmarkStart w:id="240" w:name="_Toc391989138"/>
      <w:bookmarkStart w:id="241" w:name="_Toc392585803"/>
      <w:r w:rsidRPr="001E2F6E">
        <w:rPr>
          <w:b/>
          <w:color w:val="1F497D" w:themeColor="text2"/>
          <w:sz w:val="18"/>
          <w:szCs w:val="18"/>
        </w:rPr>
        <w:t>1.</w:t>
      </w:r>
      <w:r w:rsidR="00EB6BA6" w:rsidRPr="001E2F6E">
        <w:rPr>
          <w:b/>
          <w:color w:val="1F497D" w:themeColor="text2"/>
          <w:sz w:val="18"/>
          <w:szCs w:val="18"/>
        </w:rPr>
        <w:fldChar w:fldCharType="begin"/>
      </w:r>
      <w:r w:rsidRPr="001E2F6E">
        <w:rPr>
          <w:b/>
          <w:color w:val="1F497D" w:themeColor="text2"/>
          <w:sz w:val="18"/>
          <w:szCs w:val="18"/>
        </w:rPr>
        <w:instrText xml:space="preserve"> SEQ Cuadro_1. \* ARABIC </w:instrText>
      </w:r>
      <w:r w:rsidR="00EB6BA6" w:rsidRPr="001E2F6E">
        <w:rPr>
          <w:b/>
          <w:color w:val="1F497D" w:themeColor="text2"/>
          <w:sz w:val="18"/>
          <w:szCs w:val="18"/>
        </w:rPr>
        <w:fldChar w:fldCharType="separate"/>
      </w:r>
      <w:r w:rsidR="00A327D4">
        <w:rPr>
          <w:b/>
          <w:noProof/>
          <w:color w:val="1F497D" w:themeColor="text2"/>
          <w:sz w:val="18"/>
          <w:szCs w:val="18"/>
        </w:rPr>
        <w:t>68</w:t>
      </w:r>
      <w:r w:rsidR="00EB6BA6" w:rsidRPr="001E2F6E">
        <w:rPr>
          <w:b/>
          <w:color w:val="1F497D" w:themeColor="text2"/>
          <w:sz w:val="18"/>
          <w:szCs w:val="18"/>
        </w:rPr>
        <w:fldChar w:fldCharType="end"/>
      </w:r>
      <w:r w:rsidRPr="001E2F6E">
        <w:rPr>
          <w:b/>
          <w:color w:val="1F497D" w:themeColor="text2"/>
          <w:sz w:val="18"/>
          <w:szCs w:val="18"/>
        </w:rPr>
        <w:t xml:space="preserve"> Taula KAPITALEKO DIRULAGUNTZA OFIZIALEN HAZKUNDEAREN ARLOZ ARLOKO BANAKETA. 2012</w:t>
      </w:r>
      <w:bookmarkEnd w:id="240"/>
      <w:bookmarkEnd w:id="241"/>
    </w:p>
    <w:tbl>
      <w:tblPr>
        <w:tblW w:w="5000" w:type="pct"/>
        <w:jc w:val="center"/>
        <w:tblLook w:val="04A0" w:firstRow="1" w:lastRow="0" w:firstColumn="1" w:lastColumn="0" w:noHBand="0" w:noVBand="1"/>
      </w:tblPr>
      <w:tblGrid>
        <w:gridCol w:w="2282"/>
        <w:gridCol w:w="3243"/>
        <w:gridCol w:w="1824"/>
        <w:gridCol w:w="1655"/>
      </w:tblGrid>
      <w:tr w:rsidR="00195BE7" w:rsidRPr="001E2F6E" w:rsidTr="00195BE7">
        <w:trPr>
          <w:jc w:val="center"/>
        </w:trPr>
        <w:tc>
          <w:tcPr>
            <w:tcW w:w="1267" w:type="pct"/>
            <w:vMerge w:val="restart"/>
            <w:tcBorders>
              <w:bottom w:val="single" w:sz="4" w:space="0" w:color="BFBFBF" w:themeColor="background1" w:themeShade="BF"/>
              <w:right w:val="single" w:sz="4" w:space="0" w:color="BFBFBF" w:themeColor="background1" w:themeShade="BF"/>
            </w:tcBorders>
            <w:shd w:val="clear" w:color="auto" w:fill="DBE5F1" w:themeFill="accent1" w:themeFillTint="33"/>
          </w:tcPr>
          <w:p w:rsidR="00195BE7" w:rsidRPr="001E2F6E" w:rsidRDefault="00195BE7" w:rsidP="00195BE7">
            <w:pPr>
              <w:widowControl w:val="0"/>
              <w:spacing w:line="240" w:lineRule="exact"/>
              <w:jc w:val="center"/>
              <w:rPr>
                <w:b/>
                <w:sz w:val="16"/>
                <w:szCs w:val="16"/>
              </w:rPr>
            </w:pPr>
          </w:p>
        </w:tc>
        <w:tc>
          <w:tcPr>
            <w:tcW w:w="1801" w:type="pct"/>
            <w:vMerge w:val="restart"/>
            <w:tcBorders>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tcPr>
          <w:p w:rsidR="00195BE7" w:rsidRPr="001E2F6E" w:rsidRDefault="00195BE7" w:rsidP="00195BE7">
            <w:pPr>
              <w:widowControl w:val="0"/>
              <w:spacing w:line="240" w:lineRule="exact"/>
              <w:jc w:val="center"/>
              <w:rPr>
                <w:b/>
                <w:sz w:val="16"/>
                <w:szCs w:val="16"/>
              </w:rPr>
            </w:pPr>
            <w:r w:rsidRPr="001E2F6E">
              <w:rPr>
                <w:b/>
                <w:sz w:val="16"/>
                <w:szCs w:val="16"/>
                <w:lang w:val="eu-ES"/>
              </w:rPr>
              <w:t>Inbestimenduak  (Materiala + Immateriala)</w:t>
            </w:r>
            <w:r w:rsidRPr="001E2F6E">
              <w:rPr>
                <w:rStyle w:val="Refdenotaalpie"/>
                <w:sz w:val="16"/>
                <w:szCs w:val="16"/>
              </w:rPr>
              <w:footnoteReference w:id="20"/>
            </w:r>
          </w:p>
        </w:tc>
        <w:tc>
          <w:tcPr>
            <w:tcW w:w="1932" w:type="pct"/>
            <w:gridSpan w:val="2"/>
            <w:tcBorders>
              <w:left w:val="single" w:sz="4" w:space="0" w:color="BFBFBF" w:themeColor="background1" w:themeShade="BF"/>
              <w:bottom w:val="single" w:sz="4" w:space="0" w:color="BFBFBF" w:themeColor="background1" w:themeShade="BF"/>
            </w:tcBorders>
            <w:shd w:val="clear" w:color="auto" w:fill="DBE5F1" w:themeFill="accent1" w:themeFillTint="33"/>
          </w:tcPr>
          <w:p w:rsidR="00195BE7" w:rsidRPr="001E2F6E" w:rsidRDefault="00195BE7" w:rsidP="00195BE7">
            <w:pPr>
              <w:widowControl w:val="0"/>
              <w:spacing w:line="240" w:lineRule="exact"/>
              <w:jc w:val="center"/>
              <w:rPr>
                <w:b/>
                <w:sz w:val="16"/>
                <w:szCs w:val="16"/>
              </w:rPr>
            </w:pPr>
            <w:r w:rsidRPr="001E2F6E">
              <w:rPr>
                <w:b/>
                <w:sz w:val="16"/>
                <w:szCs w:val="16"/>
                <w:lang w:val="eu-ES"/>
              </w:rPr>
              <w:t>Kapitaleko Dirulaguntza Ofizialen hazkundea</w:t>
            </w:r>
            <w:r w:rsidRPr="001E2F6E">
              <w:rPr>
                <w:rStyle w:val="Refdenotaalpie"/>
                <w:b/>
                <w:sz w:val="16"/>
                <w:szCs w:val="16"/>
                <w:lang w:val="eu-ES"/>
              </w:rPr>
              <w:t xml:space="preserve"> </w:t>
            </w:r>
            <w:r w:rsidRPr="001E2F6E">
              <w:rPr>
                <w:rStyle w:val="Refdenotaalpie"/>
                <w:sz w:val="16"/>
                <w:szCs w:val="16"/>
              </w:rPr>
              <w:footnoteReference w:id="21"/>
            </w:r>
          </w:p>
        </w:tc>
      </w:tr>
      <w:tr w:rsidR="00195BE7" w:rsidRPr="001E2F6E" w:rsidTr="00195BE7">
        <w:trPr>
          <w:jc w:val="center"/>
        </w:trPr>
        <w:tc>
          <w:tcPr>
            <w:tcW w:w="1267" w:type="pct"/>
            <w:vMerge/>
            <w:tcBorders>
              <w:top w:val="single" w:sz="4" w:space="0" w:color="BFBFBF" w:themeColor="background1" w:themeShade="BF"/>
              <w:bottom w:val="single" w:sz="4" w:space="0" w:color="BFBFBF" w:themeColor="background1" w:themeShade="BF"/>
              <w:right w:val="single" w:sz="4" w:space="0" w:color="BFBFBF" w:themeColor="background1" w:themeShade="BF"/>
            </w:tcBorders>
          </w:tcPr>
          <w:p w:rsidR="00195BE7" w:rsidRPr="001E2F6E" w:rsidRDefault="00195BE7" w:rsidP="00195BE7">
            <w:pPr>
              <w:widowControl w:val="0"/>
              <w:spacing w:line="240" w:lineRule="exact"/>
              <w:jc w:val="center"/>
              <w:rPr>
                <w:b/>
                <w:sz w:val="16"/>
                <w:szCs w:val="16"/>
              </w:rPr>
            </w:pPr>
          </w:p>
        </w:tc>
        <w:tc>
          <w:tcPr>
            <w:tcW w:w="1801" w:type="pct"/>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195BE7" w:rsidRPr="001E2F6E" w:rsidRDefault="00195BE7" w:rsidP="00195BE7">
            <w:pPr>
              <w:widowControl w:val="0"/>
              <w:spacing w:line="240" w:lineRule="exact"/>
              <w:jc w:val="center"/>
              <w:rPr>
                <w:sz w:val="16"/>
                <w:szCs w:val="16"/>
              </w:rPr>
            </w:pPr>
          </w:p>
        </w:tc>
        <w:tc>
          <w:tcPr>
            <w:tcW w:w="1013"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tcPr>
          <w:p w:rsidR="00195BE7" w:rsidRPr="001E2F6E" w:rsidRDefault="00195BE7" w:rsidP="00195BE7">
            <w:pPr>
              <w:widowControl w:val="0"/>
              <w:spacing w:line="240" w:lineRule="exact"/>
              <w:jc w:val="center"/>
              <w:rPr>
                <w:b/>
                <w:sz w:val="16"/>
                <w:szCs w:val="16"/>
              </w:rPr>
            </w:pPr>
            <w:r w:rsidRPr="001E2F6E">
              <w:rPr>
                <w:b/>
                <w:sz w:val="16"/>
                <w:szCs w:val="16"/>
              </w:rPr>
              <w:t>z.a.</w:t>
            </w:r>
          </w:p>
        </w:tc>
        <w:tc>
          <w:tcPr>
            <w:tcW w:w="919" w:type="pct"/>
            <w:tcBorders>
              <w:top w:val="single" w:sz="4" w:space="0" w:color="BFBFBF" w:themeColor="background1" w:themeShade="BF"/>
              <w:bottom w:val="single" w:sz="4" w:space="0" w:color="BFBFBF" w:themeColor="background1" w:themeShade="BF"/>
            </w:tcBorders>
            <w:shd w:val="clear" w:color="auto" w:fill="DBE5F1" w:themeFill="accent1" w:themeFillTint="33"/>
          </w:tcPr>
          <w:p w:rsidR="00195BE7" w:rsidRPr="001E2F6E" w:rsidRDefault="00195BE7" w:rsidP="00195BE7">
            <w:pPr>
              <w:widowControl w:val="0"/>
              <w:spacing w:line="240" w:lineRule="exact"/>
              <w:jc w:val="center"/>
              <w:rPr>
                <w:sz w:val="16"/>
                <w:szCs w:val="16"/>
              </w:rPr>
            </w:pPr>
          </w:p>
        </w:tc>
      </w:tr>
      <w:tr w:rsidR="00195BE7" w:rsidRPr="001E2F6E" w:rsidTr="00195BE7">
        <w:trPr>
          <w:jc w:val="center"/>
        </w:trPr>
        <w:tc>
          <w:tcPr>
            <w:tcW w:w="1267" w:type="pct"/>
            <w:tcBorders>
              <w:top w:val="single" w:sz="4" w:space="0" w:color="BFBFBF" w:themeColor="background1" w:themeShade="BF"/>
              <w:right w:val="single" w:sz="4" w:space="0" w:color="BFBFBF" w:themeColor="background1" w:themeShade="BF"/>
            </w:tcBorders>
            <w:vAlign w:val="center"/>
          </w:tcPr>
          <w:p w:rsidR="00195BE7" w:rsidRPr="001E2F6E" w:rsidRDefault="00195BE7" w:rsidP="00195BE7">
            <w:pPr>
              <w:spacing w:line="240" w:lineRule="auto"/>
              <w:rPr>
                <w:sz w:val="16"/>
                <w:szCs w:val="16"/>
                <w:lang w:val="eu-ES"/>
              </w:rPr>
            </w:pPr>
            <w:r w:rsidRPr="001E2F6E">
              <w:rPr>
                <w:sz w:val="16"/>
                <w:szCs w:val="16"/>
                <w:lang w:val="eu-ES"/>
              </w:rPr>
              <w:t>Industria</w:t>
            </w:r>
          </w:p>
        </w:tc>
        <w:tc>
          <w:tcPr>
            <w:tcW w:w="1801" w:type="pct"/>
            <w:tcBorders>
              <w:top w:val="single" w:sz="4" w:space="0" w:color="BFBFBF" w:themeColor="background1" w:themeShade="BF"/>
              <w:left w:val="single" w:sz="4" w:space="0" w:color="BFBFBF" w:themeColor="background1" w:themeShade="BF"/>
              <w:right w:val="single" w:sz="4" w:space="0" w:color="BFBFBF" w:themeColor="background1" w:themeShade="BF"/>
            </w:tcBorders>
          </w:tcPr>
          <w:p w:rsidR="00195BE7" w:rsidRPr="001E2F6E" w:rsidRDefault="00195BE7" w:rsidP="00195BE7">
            <w:pPr>
              <w:widowControl w:val="0"/>
              <w:spacing w:line="240" w:lineRule="exact"/>
              <w:ind w:right="170"/>
              <w:jc w:val="right"/>
              <w:rPr>
                <w:sz w:val="16"/>
                <w:szCs w:val="16"/>
              </w:rPr>
            </w:pPr>
            <w:r w:rsidRPr="001E2F6E">
              <w:rPr>
                <w:sz w:val="16"/>
                <w:szCs w:val="16"/>
              </w:rPr>
              <w:t>170.512.348</w:t>
            </w:r>
          </w:p>
        </w:tc>
        <w:tc>
          <w:tcPr>
            <w:tcW w:w="1013" w:type="pct"/>
            <w:tcBorders>
              <w:top w:val="single" w:sz="4" w:space="0" w:color="BFBFBF" w:themeColor="background1" w:themeShade="BF"/>
              <w:left w:val="single" w:sz="4" w:space="0" w:color="BFBFBF" w:themeColor="background1" w:themeShade="BF"/>
            </w:tcBorders>
          </w:tcPr>
          <w:p w:rsidR="00195BE7" w:rsidRPr="001E2F6E" w:rsidRDefault="00195BE7" w:rsidP="00195BE7">
            <w:pPr>
              <w:widowControl w:val="0"/>
              <w:spacing w:line="240" w:lineRule="exact"/>
              <w:ind w:right="170"/>
              <w:jc w:val="right"/>
              <w:rPr>
                <w:sz w:val="16"/>
                <w:szCs w:val="16"/>
              </w:rPr>
            </w:pPr>
            <w:r w:rsidRPr="001E2F6E">
              <w:rPr>
                <w:sz w:val="16"/>
                <w:szCs w:val="16"/>
              </w:rPr>
              <w:t>757.964</w:t>
            </w:r>
          </w:p>
        </w:tc>
        <w:tc>
          <w:tcPr>
            <w:tcW w:w="919" w:type="pct"/>
            <w:tcBorders>
              <w:top w:val="single" w:sz="4" w:space="0" w:color="BFBFBF" w:themeColor="background1" w:themeShade="BF"/>
            </w:tcBorders>
          </w:tcPr>
          <w:p w:rsidR="00195BE7" w:rsidRPr="001E2F6E" w:rsidRDefault="00195BE7" w:rsidP="00195BE7">
            <w:pPr>
              <w:widowControl w:val="0"/>
              <w:spacing w:line="240" w:lineRule="exact"/>
              <w:ind w:right="170"/>
              <w:jc w:val="right"/>
              <w:rPr>
                <w:sz w:val="16"/>
                <w:szCs w:val="16"/>
              </w:rPr>
            </w:pPr>
            <w:r w:rsidRPr="001E2F6E">
              <w:rPr>
                <w:sz w:val="16"/>
                <w:szCs w:val="16"/>
              </w:rPr>
              <w:t>0,4</w:t>
            </w:r>
          </w:p>
        </w:tc>
      </w:tr>
      <w:tr w:rsidR="00195BE7" w:rsidRPr="001E2F6E" w:rsidTr="00195BE7">
        <w:trPr>
          <w:jc w:val="center"/>
        </w:trPr>
        <w:tc>
          <w:tcPr>
            <w:tcW w:w="1267" w:type="pct"/>
            <w:tcBorders>
              <w:right w:val="single" w:sz="4" w:space="0" w:color="BFBFBF" w:themeColor="background1" w:themeShade="BF"/>
            </w:tcBorders>
            <w:vAlign w:val="center"/>
          </w:tcPr>
          <w:p w:rsidR="00195BE7" w:rsidRPr="001E2F6E" w:rsidRDefault="00195BE7" w:rsidP="00195BE7">
            <w:pPr>
              <w:spacing w:line="240" w:lineRule="auto"/>
              <w:rPr>
                <w:sz w:val="16"/>
                <w:szCs w:val="16"/>
                <w:lang w:val="eu-ES"/>
              </w:rPr>
            </w:pPr>
            <w:r w:rsidRPr="001E2F6E">
              <w:rPr>
                <w:sz w:val="16"/>
                <w:szCs w:val="16"/>
                <w:lang w:val="eu-ES"/>
              </w:rPr>
              <w:t>Eraikuntza</w:t>
            </w:r>
          </w:p>
        </w:tc>
        <w:tc>
          <w:tcPr>
            <w:tcW w:w="1801" w:type="pct"/>
            <w:tcBorders>
              <w:left w:val="single" w:sz="4" w:space="0" w:color="BFBFBF" w:themeColor="background1" w:themeShade="BF"/>
              <w:right w:val="single" w:sz="4" w:space="0" w:color="BFBFBF" w:themeColor="background1" w:themeShade="BF"/>
            </w:tcBorders>
          </w:tcPr>
          <w:p w:rsidR="00195BE7" w:rsidRPr="001E2F6E" w:rsidRDefault="00195BE7" w:rsidP="00195BE7">
            <w:pPr>
              <w:widowControl w:val="0"/>
              <w:spacing w:line="240" w:lineRule="exact"/>
              <w:ind w:right="170"/>
              <w:jc w:val="right"/>
              <w:rPr>
                <w:sz w:val="16"/>
                <w:szCs w:val="16"/>
              </w:rPr>
            </w:pPr>
            <w:r w:rsidRPr="001E2F6E">
              <w:rPr>
                <w:sz w:val="16"/>
                <w:szCs w:val="16"/>
              </w:rPr>
              <w:t>1.592.895</w:t>
            </w:r>
          </w:p>
        </w:tc>
        <w:tc>
          <w:tcPr>
            <w:tcW w:w="1013" w:type="pct"/>
            <w:tcBorders>
              <w:left w:val="single" w:sz="4" w:space="0" w:color="BFBFBF" w:themeColor="background1" w:themeShade="BF"/>
            </w:tcBorders>
          </w:tcPr>
          <w:p w:rsidR="00195BE7" w:rsidRPr="001E2F6E" w:rsidRDefault="00195BE7" w:rsidP="00195BE7">
            <w:pPr>
              <w:widowControl w:val="0"/>
              <w:spacing w:line="240" w:lineRule="exact"/>
              <w:ind w:right="170"/>
              <w:jc w:val="right"/>
              <w:rPr>
                <w:sz w:val="16"/>
                <w:szCs w:val="16"/>
              </w:rPr>
            </w:pPr>
            <w:r w:rsidRPr="001E2F6E">
              <w:rPr>
                <w:sz w:val="16"/>
                <w:szCs w:val="16"/>
              </w:rPr>
              <w:t>132.509</w:t>
            </w:r>
          </w:p>
        </w:tc>
        <w:tc>
          <w:tcPr>
            <w:tcW w:w="919" w:type="pct"/>
          </w:tcPr>
          <w:p w:rsidR="00195BE7" w:rsidRPr="001E2F6E" w:rsidRDefault="00195BE7" w:rsidP="00195BE7">
            <w:pPr>
              <w:widowControl w:val="0"/>
              <w:spacing w:line="240" w:lineRule="exact"/>
              <w:ind w:right="170"/>
              <w:jc w:val="right"/>
              <w:rPr>
                <w:sz w:val="16"/>
                <w:szCs w:val="16"/>
              </w:rPr>
            </w:pPr>
            <w:r w:rsidRPr="001E2F6E">
              <w:rPr>
                <w:sz w:val="16"/>
                <w:szCs w:val="16"/>
              </w:rPr>
              <w:t>8,3</w:t>
            </w:r>
          </w:p>
        </w:tc>
      </w:tr>
      <w:tr w:rsidR="00195BE7" w:rsidRPr="001E2F6E" w:rsidTr="00195BE7">
        <w:trPr>
          <w:jc w:val="center"/>
        </w:trPr>
        <w:tc>
          <w:tcPr>
            <w:tcW w:w="1267" w:type="pct"/>
            <w:tcBorders>
              <w:bottom w:val="single" w:sz="4" w:space="0" w:color="BFBFBF" w:themeColor="background1" w:themeShade="BF"/>
              <w:right w:val="single" w:sz="4" w:space="0" w:color="BFBFBF" w:themeColor="background1" w:themeShade="BF"/>
            </w:tcBorders>
            <w:vAlign w:val="center"/>
          </w:tcPr>
          <w:p w:rsidR="00195BE7" w:rsidRPr="001E2F6E" w:rsidRDefault="00195BE7" w:rsidP="00195BE7">
            <w:pPr>
              <w:spacing w:line="240" w:lineRule="auto"/>
              <w:rPr>
                <w:sz w:val="16"/>
                <w:szCs w:val="16"/>
                <w:lang w:val="eu-ES"/>
              </w:rPr>
            </w:pPr>
            <w:r w:rsidRPr="001E2F6E">
              <w:rPr>
                <w:sz w:val="16"/>
                <w:szCs w:val="16"/>
                <w:lang w:val="eu-ES"/>
              </w:rPr>
              <w:t xml:space="preserve">Zerbitzuak </w:t>
            </w:r>
          </w:p>
        </w:tc>
        <w:tc>
          <w:tcPr>
            <w:tcW w:w="1801" w:type="pct"/>
            <w:tcBorders>
              <w:left w:val="single" w:sz="4" w:space="0" w:color="BFBFBF" w:themeColor="background1" w:themeShade="BF"/>
              <w:bottom w:val="single" w:sz="4" w:space="0" w:color="BFBFBF" w:themeColor="background1" w:themeShade="BF"/>
              <w:right w:val="single" w:sz="4" w:space="0" w:color="BFBFBF" w:themeColor="background1" w:themeShade="BF"/>
            </w:tcBorders>
          </w:tcPr>
          <w:p w:rsidR="00195BE7" w:rsidRPr="001E2F6E" w:rsidRDefault="00195BE7" w:rsidP="00195BE7">
            <w:pPr>
              <w:widowControl w:val="0"/>
              <w:spacing w:line="240" w:lineRule="exact"/>
              <w:ind w:right="170"/>
              <w:jc w:val="right"/>
              <w:rPr>
                <w:sz w:val="16"/>
                <w:szCs w:val="16"/>
              </w:rPr>
            </w:pPr>
            <w:r w:rsidRPr="001E2F6E">
              <w:rPr>
                <w:sz w:val="16"/>
                <w:szCs w:val="16"/>
              </w:rPr>
              <w:t>118.130.019</w:t>
            </w:r>
          </w:p>
        </w:tc>
        <w:tc>
          <w:tcPr>
            <w:tcW w:w="1013" w:type="pct"/>
            <w:tcBorders>
              <w:left w:val="single" w:sz="4" w:space="0" w:color="BFBFBF" w:themeColor="background1" w:themeShade="BF"/>
              <w:bottom w:val="single" w:sz="4" w:space="0" w:color="BFBFBF" w:themeColor="background1" w:themeShade="BF"/>
            </w:tcBorders>
          </w:tcPr>
          <w:p w:rsidR="00195BE7" w:rsidRPr="001E2F6E" w:rsidRDefault="00195BE7" w:rsidP="00195BE7">
            <w:pPr>
              <w:widowControl w:val="0"/>
              <w:spacing w:line="240" w:lineRule="exact"/>
              <w:ind w:right="170"/>
              <w:jc w:val="right"/>
              <w:rPr>
                <w:sz w:val="16"/>
                <w:szCs w:val="16"/>
              </w:rPr>
            </w:pPr>
            <w:r w:rsidRPr="001E2F6E">
              <w:rPr>
                <w:sz w:val="16"/>
                <w:szCs w:val="16"/>
              </w:rPr>
              <w:t>30.919.191</w:t>
            </w:r>
          </w:p>
        </w:tc>
        <w:tc>
          <w:tcPr>
            <w:tcW w:w="919" w:type="pct"/>
            <w:tcBorders>
              <w:bottom w:val="single" w:sz="4" w:space="0" w:color="BFBFBF" w:themeColor="background1" w:themeShade="BF"/>
            </w:tcBorders>
          </w:tcPr>
          <w:p w:rsidR="00195BE7" w:rsidRPr="001E2F6E" w:rsidRDefault="00195BE7" w:rsidP="00195BE7">
            <w:pPr>
              <w:widowControl w:val="0"/>
              <w:spacing w:line="240" w:lineRule="exact"/>
              <w:ind w:right="170"/>
              <w:jc w:val="right"/>
              <w:rPr>
                <w:sz w:val="16"/>
                <w:szCs w:val="16"/>
              </w:rPr>
            </w:pPr>
            <w:r w:rsidRPr="001E2F6E">
              <w:rPr>
                <w:sz w:val="16"/>
                <w:szCs w:val="16"/>
              </w:rPr>
              <w:t>26,2</w:t>
            </w:r>
          </w:p>
        </w:tc>
      </w:tr>
      <w:tr w:rsidR="00195BE7" w:rsidRPr="001E2F6E" w:rsidTr="00195BE7">
        <w:trPr>
          <w:jc w:val="center"/>
        </w:trPr>
        <w:tc>
          <w:tcPr>
            <w:tcW w:w="1267" w:type="pct"/>
            <w:tcBorders>
              <w:top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195BE7" w:rsidRPr="001E2F6E" w:rsidRDefault="00195BE7" w:rsidP="00195BE7">
            <w:pPr>
              <w:spacing w:line="240" w:lineRule="auto"/>
              <w:rPr>
                <w:b/>
                <w:bCs/>
                <w:sz w:val="16"/>
                <w:szCs w:val="16"/>
                <w:lang w:val="eu-ES"/>
              </w:rPr>
            </w:pPr>
            <w:r w:rsidRPr="001E2F6E">
              <w:rPr>
                <w:b/>
                <w:bCs/>
                <w:sz w:val="16"/>
                <w:szCs w:val="16"/>
                <w:lang w:val="eu-ES"/>
              </w:rPr>
              <w:t>GUZTIRA*</w:t>
            </w:r>
          </w:p>
        </w:tc>
        <w:tc>
          <w:tcPr>
            <w:tcW w:w="180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195BE7" w:rsidRPr="001E2F6E" w:rsidRDefault="00195BE7" w:rsidP="00195BE7">
            <w:pPr>
              <w:widowControl w:val="0"/>
              <w:spacing w:line="240" w:lineRule="exact"/>
              <w:ind w:right="170"/>
              <w:jc w:val="right"/>
              <w:rPr>
                <w:b/>
                <w:bCs/>
                <w:sz w:val="16"/>
                <w:szCs w:val="16"/>
              </w:rPr>
            </w:pPr>
            <w:r w:rsidRPr="001E2F6E">
              <w:rPr>
                <w:b/>
                <w:sz w:val="16"/>
                <w:szCs w:val="16"/>
              </w:rPr>
              <w:t>291.136.146</w:t>
            </w:r>
          </w:p>
        </w:tc>
        <w:tc>
          <w:tcPr>
            <w:tcW w:w="1013" w:type="pct"/>
            <w:tcBorders>
              <w:top w:val="single" w:sz="4" w:space="0" w:color="BFBFBF" w:themeColor="background1" w:themeShade="BF"/>
              <w:left w:val="single" w:sz="4" w:space="0" w:color="BFBFBF" w:themeColor="background1" w:themeShade="BF"/>
              <w:bottom w:val="single" w:sz="4" w:space="0" w:color="BFBFBF" w:themeColor="background1" w:themeShade="BF"/>
            </w:tcBorders>
          </w:tcPr>
          <w:p w:rsidR="00195BE7" w:rsidRPr="001E2F6E" w:rsidRDefault="00195BE7" w:rsidP="00195BE7">
            <w:pPr>
              <w:widowControl w:val="0"/>
              <w:spacing w:line="240" w:lineRule="exact"/>
              <w:ind w:right="170"/>
              <w:jc w:val="right"/>
              <w:rPr>
                <w:b/>
                <w:sz w:val="16"/>
                <w:szCs w:val="16"/>
              </w:rPr>
            </w:pPr>
            <w:r w:rsidRPr="001E2F6E">
              <w:rPr>
                <w:b/>
                <w:sz w:val="16"/>
                <w:szCs w:val="16"/>
              </w:rPr>
              <w:t>31.862.188</w:t>
            </w:r>
          </w:p>
        </w:tc>
        <w:tc>
          <w:tcPr>
            <w:tcW w:w="919" w:type="pct"/>
            <w:tcBorders>
              <w:top w:val="single" w:sz="4" w:space="0" w:color="BFBFBF" w:themeColor="background1" w:themeShade="BF"/>
              <w:bottom w:val="single" w:sz="4" w:space="0" w:color="BFBFBF" w:themeColor="background1" w:themeShade="BF"/>
            </w:tcBorders>
          </w:tcPr>
          <w:p w:rsidR="00195BE7" w:rsidRPr="001E2F6E" w:rsidRDefault="00195BE7" w:rsidP="00195BE7">
            <w:pPr>
              <w:widowControl w:val="0"/>
              <w:spacing w:line="240" w:lineRule="exact"/>
              <w:ind w:right="170"/>
              <w:jc w:val="right"/>
              <w:rPr>
                <w:b/>
                <w:sz w:val="16"/>
                <w:szCs w:val="16"/>
              </w:rPr>
            </w:pPr>
          </w:p>
        </w:tc>
      </w:tr>
    </w:tbl>
    <w:p w:rsidR="00195BE7" w:rsidRPr="001E2F6E" w:rsidRDefault="00195BE7" w:rsidP="00195BE7">
      <w:pPr>
        <w:widowControl w:val="0"/>
        <w:rPr>
          <w:sz w:val="16"/>
          <w:szCs w:val="16"/>
          <w:lang w:val="eu-ES"/>
        </w:rPr>
      </w:pPr>
      <w:r w:rsidRPr="001E2F6E">
        <w:rPr>
          <w:sz w:val="16"/>
          <w:szCs w:val="16"/>
          <w:lang w:val="eu-ES"/>
        </w:rPr>
        <w:t>*Lehen sektoreari buruzko datuak barne daude</w:t>
      </w:r>
    </w:p>
    <w:p w:rsidR="00195BE7" w:rsidRPr="001E2F6E" w:rsidRDefault="00195BE7" w:rsidP="00195BE7">
      <w:pPr>
        <w:widowControl w:val="0"/>
        <w:rPr>
          <w:lang w:val="eu-ES"/>
        </w:rPr>
      </w:pPr>
    </w:p>
    <w:p w:rsidR="00195BE7" w:rsidRPr="00A253D5" w:rsidRDefault="00195BE7" w:rsidP="00195BE7">
      <w:pPr>
        <w:widowControl w:val="0"/>
        <w:rPr>
          <w:lang w:val="de-DE"/>
        </w:rPr>
      </w:pPr>
    </w:p>
    <w:p w:rsidR="00195BE7" w:rsidRPr="00A105C6" w:rsidRDefault="00195BE7" w:rsidP="00195BE7">
      <w:pPr>
        <w:spacing w:line="240" w:lineRule="auto"/>
        <w:jc w:val="center"/>
        <w:rPr>
          <w:b/>
          <w:color w:val="1F497D" w:themeColor="text2"/>
          <w:sz w:val="18"/>
          <w:szCs w:val="18"/>
          <w:lang w:val="de-DE"/>
        </w:rPr>
      </w:pPr>
      <w:bookmarkStart w:id="242" w:name="_Toc391565511"/>
      <w:bookmarkStart w:id="243" w:name="_Toc391989139"/>
      <w:bookmarkStart w:id="244" w:name="_Toc392585804"/>
      <w:r w:rsidRPr="00A105C6">
        <w:rPr>
          <w:b/>
          <w:color w:val="1F497D" w:themeColor="text2"/>
          <w:sz w:val="18"/>
          <w:szCs w:val="18"/>
          <w:lang w:val="de-DE"/>
        </w:rPr>
        <w:t>1.</w:t>
      </w:r>
      <w:r w:rsidR="00EB6BA6" w:rsidRPr="001E2F6E">
        <w:rPr>
          <w:b/>
          <w:color w:val="1F497D" w:themeColor="text2"/>
          <w:sz w:val="18"/>
          <w:szCs w:val="18"/>
        </w:rPr>
        <w:fldChar w:fldCharType="begin"/>
      </w:r>
      <w:r w:rsidRPr="00A105C6">
        <w:rPr>
          <w:b/>
          <w:color w:val="1F497D" w:themeColor="text2"/>
          <w:sz w:val="18"/>
          <w:szCs w:val="18"/>
          <w:lang w:val="de-DE"/>
        </w:rPr>
        <w:instrText xml:space="preserve"> SEQ Cuadro_1. \* ARABIC </w:instrText>
      </w:r>
      <w:r w:rsidR="00EB6BA6" w:rsidRPr="001E2F6E">
        <w:rPr>
          <w:b/>
          <w:color w:val="1F497D" w:themeColor="text2"/>
          <w:sz w:val="18"/>
          <w:szCs w:val="18"/>
        </w:rPr>
        <w:fldChar w:fldCharType="separate"/>
      </w:r>
      <w:r w:rsidR="00A327D4">
        <w:rPr>
          <w:b/>
          <w:noProof/>
          <w:color w:val="1F497D" w:themeColor="text2"/>
          <w:sz w:val="18"/>
          <w:szCs w:val="18"/>
          <w:lang w:val="de-DE"/>
        </w:rPr>
        <w:t>69</w:t>
      </w:r>
      <w:r w:rsidR="00EB6BA6" w:rsidRPr="001E2F6E">
        <w:rPr>
          <w:b/>
          <w:color w:val="1F497D" w:themeColor="text2"/>
          <w:sz w:val="18"/>
          <w:szCs w:val="18"/>
        </w:rPr>
        <w:fldChar w:fldCharType="end"/>
      </w:r>
      <w:r w:rsidRPr="00A105C6">
        <w:rPr>
          <w:b/>
          <w:color w:val="1F497D" w:themeColor="text2"/>
          <w:sz w:val="18"/>
          <w:szCs w:val="18"/>
          <w:lang w:val="de-DE"/>
        </w:rPr>
        <w:t xml:space="preserve"> Taula </w:t>
      </w:r>
      <w:bookmarkEnd w:id="242"/>
      <w:r w:rsidRPr="00A105C6">
        <w:rPr>
          <w:b/>
          <w:color w:val="1F497D" w:themeColor="text2"/>
          <w:sz w:val="18"/>
          <w:szCs w:val="18"/>
          <w:lang w:val="de-DE"/>
        </w:rPr>
        <w:t>EKITALDIAREN EMAITZARI TRANSFERITUTAKO DIRULAGUNTZA, DOHAINTZA ETA KAPITAL LEGATUEN EGITURA SEKTORIALA (746). 2012</w:t>
      </w:r>
      <w:bookmarkEnd w:id="243"/>
      <w:bookmarkEnd w:id="244"/>
    </w:p>
    <w:tbl>
      <w:tblPr>
        <w:tblW w:w="5000" w:type="pct"/>
        <w:jc w:val="center"/>
        <w:tblLook w:val="04A0" w:firstRow="1" w:lastRow="0" w:firstColumn="1" w:lastColumn="0" w:noHBand="0" w:noVBand="1"/>
      </w:tblPr>
      <w:tblGrid>
        <w:gridCol w:w="2282"/>
        <w:gridCol w:w="3243"/>
        <w:gridCol w:w="1824"/>
        <w:gridCol w:w="1655"/>
      </w:tblGrid>
      <w:tr w:rsidR="00195BE7" w:rsidRPr="001E2F6E" w:rsidTr="00195BE7">
        <w:trPr>
          <w:jc w:val="center"/>
        </w:trPr>
        <w:tc>
          <w:tcPr>
            <w:tcW w:w="1267" w:type="pct"/>
            <w:vMerge w:val="restart"/>
            <w:tcBorders>
              <w:bottom w:val="single" w:sz="4" w:space="0" w:color="BFBFBF" w:themeColor="background1" w:themeShade="BF"/>
              <w:right w:val="single" w:sz="4" w:space="0" w:color="BFBFBF" w:themeColor="background1" w:themeShade="BF"/>
            </w:tcBorders>
            <w:shd w:val="clear" w:color="auto" w:fill="DBE5F1" w:themeFill="accent1" w:themeFillTint="33"/>
          </w:tcPr>
          <w:p w:rsidR="00195BE7" w:rsidRPr="00A105C6" w:rsidRDefault="00195BE7" w:rsidP="00195BE7">
            <w:pPr>
              <w:widowControl w:val="0"/>
              <w:spacing w:line="240" w:lineRule="exact"/>
              <w:jc w:val="center"/>
              <w:rPr>
                <w:b/>
                <w:sz w:val="16"/>
                <w:szCs w:val="16"/>
                <w:lang w:val="de-DE"/>
              </w:rPr>
            </w:pPr>
          </w:p>
        </w:tc>
        <w:tc>
          <w:tcPr>
            <w:tcW w:w="1801" w:type="pct"/>
            <w:vMerge w:val="restart"/>
            <w:tcBorders>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tcPr>
          <w:p w:rsidR="00195BE7" w:rsidRPr="001E2F6E" w:rsidRDefault="00195BE7" w:rsidP="00195BE7">
            <w:pPr>
              <w:widowControl w:val="0"/>
              <w:spacing w:line="240" w:lineRule="exact"/>
              <w:jc w:val="center"/>
              <w:rPr>
                <w:b/>
                <w:sz w:val="16"/>
                <w:szCs w:val="16"/>
              </w:rPr>
            </w:pPr>
            <w:r w:rsidRPr="001E2F6E">
              <w:rPr>
                <w:b/>
                <w:bCs/>
                <w:sz w:val="16"/>
                <w:szCs w:val="16"/>
                <w:lang w:val="eu-ES"/>
              </w:rPr>
              <w:t>Mozkinak</w:t>
            </w:r>
          </w:p>
        </w:tc>
        <w:tc>
          <w:tcPr>
            <w:tcW w:w="1932" w:type="pct"/>
            <w:gridSpan w:val="2"/>
            <w:tcBorders>
              <w:left w:val="single" w:sz="4" w:space="0" w:color="BFBFBF" w:themeColor="background1" w:themeShade="BF"/>
              <w:bottom w:val="single" w:sz="4" w:space="0" w:color="BFBFBF" w:themeColor="background1" w:themeShade="BF"/>
            </w:tcBorders>
            <w:shd w:val="clear" w:color="auto" w:fill="DBE5F1" w:themeFill="accent1" w:themeFillTint="33"/>
          </w:tcPr>
          <w:p w:rsidR="00195BE7" w:rsidRPr="001E2F6E" w:rsidRDefault="00195BE7" w:rsidP="00195BE7">
            <w:pPr>
              <w:widowControl w:val="0"/>
              <w:spacing w:line="240" w:lineRule="exact"/>
              <w:jc w:val="center"/>
              <w:rPr>
                <w:b/>
                <w:sz w:val="16"/>
                <w:szCs w:val="16"/>
              </w:rPr>
            </w:pPr>
            <w:r w:rsidRPr="001E2F6E">
              <w:rPr>
                <w:b/>
                <w:bCs/>
                <w:sz w:val="16"/>
                <w:szCs w:val="16"/>
                <w:lang w:val="eu-ES"/>
              </w:rPr>
              <w:t>Emaitzei Transferitutako Kapitaleko Dirulaguntzak</w:t>
            </w:r>
          </w:p>
        </w:tc>
      </w:tr>
      <w:tr w:rsidR="00195BE7" w:rsidRPr="001E2F6E" w:rsidTr="00195BE7">
        <w:trPr>
          <w:jc w:val="center"/>
        </w:trPr>
        <w:tc>
          <w:tcPr>
            <w:tcW w:w="1267" w:type="pct"/>
            <w:vMerge/>
            <w:tcBorders>
              <w:top w:val="single" w:sz="4" w:space="0" w:color="BFBFBF" w:themeColor="background1" w:themeShade="BF"/>
              <w:bottom w:val="single" w:sz="4" w:space="0" w:color="BFBFBF" w:themeColor="background1" w:themeShade="BF"/>
              <w:right w:val="single" w:sz="4" w:space="0" w:color="BFBFBF" w:themeColor="background1" w:themeShade="BF"/>
            </w:tcBorders>
          </w:tcPr>
          <w:p w:rsidR="00195BE7" w:rsidRPr="001E2F6E" w:rsidRDefault="00195BE7" w:rsidP="00195BE7">
            <w:pPr>
              <w:widowControl w:val="0"/>
              <w:spacing w:line="240" w:lineRule="exact"/>
              <w:jc w:val="center"/>
              <w:rPr>
                <w:b/>
                <w:sz w:val="16"/>
                <w:szCs w:val="16"/>
              </w:rPr>
            </w:pPr>
          </w:p>
        </w:tc>
        <w:tc>
          <w:tcPr>
            <w:tcW w:w="1801" w:type="pct"/>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195BE7" w:rsidRPr="001E2F6E" w:rsidRDefault="00195BE7" w:rsidP="00195BE7">
            <w:pPr>
              <w:widowControl w:val="0"/>
              <w:spacing w:line="240" w:lineRule="exact"/>
              <w:jc w:val="center"/>
              <w:rPr>
                <w:sz w:val="16"/>
                <w:szCs w:val="16"/>
              </w:rPr>
            </w:pPr>
          </w:p>
        </w:tc>
        <w:tc>
          <w:tcPr>
            <w:tcW w:w="1013"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tcPr>
          <w:p w:rsidR="00195BE7" w:rsidRPr="001E2F6E" w:rsidRDefault="00195BE7" w:rsidP="00195BE7">
            <w:pPr>
              <w:widowControl w:val="0"/>
              <w:spacing w:line="240" w:lineRule="exact"/>
              <w:jc w:val="center"/>
              <w:rPr>
                <w:b/>
                <w:sz w:val="16"/>
                <w:szCs w:val="16"/>
              </w:rPr>
            </w:pPr>
            <w:r w:rsidRPr="001E2F6E">
              <w:rPr>
                <w:b/>
                <w:sz w:val="16"/>
                <w:szCs w:val="16"/>
              </w:rPr>
              <w:t>z.a.</w:t>
            </w:r>
          </w:p>
        </w:tc>
        <w:tc>
          <w:tcPr>
            <w:tcW w:w="919" w:type="pct"/>
            <w:tcBorders>
              <w:top w:val="single" w:sz="4" w:space="0" w:color="BFBFBF" w:themeColor="background1" w:themeShade="BF"/>
              <w:bottom w:val="single" w:sz="4" w:space="0" w:color="BFBFBF" w:themeColor="background1" w:themeShade="BF"/>
            </w:tcBorders>
            <w:shd w:val="clear" w:color="auto" w:fill="DBE5F1" w:themeFill="accent1" w:themeFillTint="33"/>
          </w:tcPr>
          <w:p w:rsidR="00195BE7" w:rsidRPr="001E2F6E" w:rsidRDefault="00195BE7" w:rsidP="00195BE7">
            <w:pPr>
              <w:widowControl w:val="0"/>
              <w:spacing w:line="240" w:lineRule="exact"/>
              <w:jc w:val="center"/>
              <w:rPr>
                <w:sz w:val="16"/>
                <w:szCs w:val="16"/>
              </w:rPr>
            </w:pPr>
          </w:p>
        </w:tc>
      </w:tr>
      <w:tr w:rsidR="00195BE7" w:rsidRPr="001E2F6E" w:rsidTr="00195BE7">
        <w:trPr>
          <w:jc w:val="center"/>
        </w:trPr>
        <w:tc>
          <w:tcPr>
            <w:tcW w:w="1267" w:type="pct"/>
            <w:tcBorders>
              <w:top w:val="single" w:sz="4" w:space="0" w:color="BFBFBF" w:themeColor="background1" w:themeShade="BF"/>
              <w:right w:val="single" w:sz="4" w:space="0" w:color="BFBFBF" w:themeColor="background1" w:themeShade="BF"/>
            </w:tcBorders>
          </w:tcPr>
          <w:p w:rsidR="00195BE7" w:rsidRPr="001E2F6E" w:rsidRDefault="00195BE7" w:rsidP="00195BE7">
            <w:pPr>
              <w:widowControl w:val="0"/>
              <w:spacing w:line="240" w:lineRule="exact"/>
              <w:rPr>
                <w:sz w:val="16"/>
                <w:szCs w:val="16"/>
              </w:rPr>
            </w:pPr>
            <w:r w:rsidRPr="001E2F6E">
              <w:rPr>
                <w:sz w:val="16"/>
                <w:szCs w:val="16"/>
              </w:rPr>
              <w:t>Industria</w:t>
            </w:r>
          </w:p>
        </w:tc>
        <w:tc>
          <w:tcPr>
            <w:tcW w:w="1801" w:type="pct"/>
            <w:tcBorders>
              <w:top w:val="single" w:sz="4" w:space="0" w:color="BFBFBF" w:themeColor="background1" w:themeShade="BF"/>
              <w:left w:val="single" w:sz="4" w:space="0" w:color="BFBFBF" w:themeColor="background1" w:themeShade="BF"/>
              <w:right w:val="single" w:sz="4" w:space="0" w:color="BFBFBF" w:themeColor="background1" w:themeShade="BF"/>
            </w:tcBorders>
          </w:tcPr>
          <w:p w:rsidR="00195BE7" w:rsidRPr="001E2F6E" w:rsidRDefault="00195BE7" w:rsidP="00195BE7">
            <w:pPr>
              <w:widowControl w:val="0"/>
              <w:spacing w:line="240" w:lineRule="exact"/>
              <w:ind w:right="170"/>
              <w:jc w:val="right"/>
              <w:rPr>
                <w:sz w:val="16"/>
                <w:szCs w:val="16"/>
              </w:rPr>
            </w:pPr>
            <w:r w:rsidRPr="001E2F6E">
              <w:rPr>
                <w:sz w:val="16"/>
                <w:szCs w:val="16"/>
              </w:rPr>
              <w:t>113.377.006</w:t>
            </w:r>
          </w:p>
        </w:tc>
        <w:tc>
          <w:tcPr>
            <w:tcW w:w="1013" w:type="pct"/>
            <w:tcBorders>
              <w:top w:val="single" w:sz="4" w:space="0" w:color="BFBFBF" w:themeColor="background1" w:themeShade="BF"/>
              <w:left w:val="single" w:sz="4" w:space="0" w:color="BFBFBF" w:themeColor="background1" w:themeShade="BF"/>
            </w:tcBorders>
            <w:vAlign w:val="bottom"/>
          </w:tcPr>
          <w:p w:rsidR="00195BE7" w:rsidRPr="001E2F6E" w:rsidRDefault="00195BE7" w:rsidP="00195BE7">
            <w:pPr>
              <w:widowControl w:val="0"/>
              <w:spacing w:line="240" w:lineRule="exact"/>
              <w:ind w:right="170"/>
              <w:jc w:val="right"/>
              <w:rPr>
                <w:rFonts w:ascii="Calibri" w:hAnsi="Calibri"/>
                <w:color w:val="000000"/>
                <w:sz w:val="16"/>
                <w:szCs w:val="16"/>
              </w:rPr>
            </w:pPr>
            <w:r w:rsidRPr="001E2F6E">
              <w:rPr>
                <w:sz w:val="16"/>
                <w:szCs w:val="16"/>
              </w:rPr>
              <w:t>4.207.996</w:t>
            </w:r>
          </w:p>
        </w:tc>
        <w:tc>
          <w:tcPr>
            <w:tcW w:w="919" w:type="pct"/>
            <w:tcBorders>
              <w:top w:val="single" w:sz="4" w:space="0" w:color="BFBFBF" w:themeColor="background1" w:themeShade="BF"/>
            </w:tcBorders>
          </w:tcPr>
          <w:p w:rsidR="00195BE7" w:rsidRPr="001E2F6E" w:rsidRDefault="00195BE7" w:rsidP="00195BE7">
            <w:pPr>
              <w:widowControl w:val="0"/>
              <w:spacing w:line="240" w:lineRule="exact"/>
              <w:ind w:right="170"/>
              <w:jc w:val="right"/>
              <w:rPr>
                <w:sz w:val="16"/>
                <w:szCs w:val="16"/>
              </w:rPr>
            </w:pPr>
            <w:r w:rsidRPr="001E2F6E">
              <w:rPr>
                <w:sz w:val="16"/>
                <w:szCs w:val="16"/>
              </w:rPr>
              <w:t>3,7</w:t>
            </w:r>
          </w:p>
        </w:tc>
      </w:tr>
      <w:tr w:rsidR="00195BE7" w:rsidRPr="001E2F6E" w:rsidTr="00195BE7">
        <w:trPr>
          <w:jc w:val="center"/>
        </w:trPr>
        <w:tc>
          <w:tcPr>
            <w:tcW w:w="1267" w:type="pct"/>
            <w:tcBorders>
              <w:bottom w:val="single" w:sz="4" w:space="0" w:color="BFBFBF" w:themeColor="background1" w:themeShade="BF"/>
              <w:right w:val="single" w:sz="4" w:space="0" w:color="BFBFBF" w:themeColor="background1" w:themeShade="BF"/>
            </w:tcBorders>
            <w:vAlign w:val="center"/>
          </w:tcPr>
          <w:p w:rsidR="00195BE7" w:rsidRPr="001E2F6E" w:rsidRDefault="00195BE7" w:rsidP="00195BE7">
            <w:pPr>
              <w:spacing w:line="240" w:lineRule="auto"/>
              <w:rPr>
                <w:sz w:val="16"/>
                <w:szCs w:val="16"/>
                <w:lang w:val="eu-ES"/>
              </w:rPr>
            </w:pPr>
            <w:r w:rsidRPr="001E2F6E">
              <w:rPr>
                <w:sz w:val="16"/>
                <w:szCs w:val="16"/>
                <w:lang w:val="eu-ES"/>
              </w:rPr>
              <w:t xml:space="preserve">Zerbitzuak </w:t>
            </w:r>
          </w:p>
        </w:tc>
        <w:tc>
          <w:tcPr>
            <w:tcW w:w="1801" w:type="pct"/>
            <w:tcBorders>
              <w:left w:val="single" w:sz="4" w:space="0" w:color="BFBFBF" w:themeColor="background1" w:themeShade="BF"/>
              <w:bottom w:val="single" w:sz="4" w:space="0" w:color="BFBFBF" w:themeColor="background1" w:themeShade="BF"/>
              <w:right w:val="single" w:sz="4" w:space="0" w:color="BFBFBF" w:themeColor="background1" w:themeShade="BF"/>
            </w:tcBorders>
          </w:tcPr>
          <w:p w:rsidR="00195BE7" w:rsidRPr="001E2F6E" w:rsidRDefault="00195BE7" w:rsidP="00195BE7">
            <w:pPr>
              <w:widowControl w:val="0"/>
              <w:spacing w:line="240" w:lineRule="exact"/>
              <w:ind w:right="170"/>
              <w:jc w:val="right"/>
              <w:rPr>
                <w:sz w:val="16"/>
                <w:szCs w:val="16"/>
              </w:rPr>
            </w:pPr>
            <w:r w:rsidRPr="001E2F6E">
              <w:rPr>
                <w:sz w:val="16"/>
                <w:szCs w:val="16"/>
              </w:rPr>
              <w:t>117.739.420</w:t>
            </w:r>
          </w:p>
        </w:tc>
        <w:tc>
          <w:tcPr>
            <w:tcW w:w="1013" w:type="pct"/>
            <w:tcBorders>
              <w:left w:val="single" w:sz="4" w:space="0" w:color="BFBFBF" w:themeColor="background1" w:themeShade="BF"/>
              <w:bottom w:val="single" w:sz="4" w:space="0" w:color="BFBFBF" w:themeColor="background1" w:themeShade="BF"/>
            </w:tcBorders>
          </w:tcPr>
          <w:p w:rsidR="00195BE7" w:rsidRPr="001E2F6E" w:rsidRDefault="00195BE7" w:rsidP="00195BE7">
            <w:pPr>
              <w:widowControl w:val="0"/>
              <w:spacing w:line="240" w:lineRule="exact"/>
              <w:ind w:right="170"/>
              <w:jc w:val="right"/>
              <w:rPr>
                <w:sz w:val="16"/>
                <w:szCs w:val="16"/>
              </w:rPr>
            </w:pPr>
            <w:r w:rsidRPr="001E2F6E">
              <w:rPr>
                <w:sz w:val="16"/>
                <w:szCs w:val="16"/>
              </w:rPr>
              <w:t>35.651.078</w:t>
            </w:r>
          </w:p>
        </w:tc>
        <w:tc>
          <w:tcPr>
            <w:tcW w:w="919" w:type="pct"/>
            <w:tcBorders>
              <w:bottom w:val="single" w:sz="4" w:space="0" w:color="BFBFBF" w:themeColor="background1" w:themeShade="BF"/>
            </w:tcBorders>
          </w:tcPr>
          <w:p w:rsidR="00195BE7" w:rsidRPr="001E2F6E" w:rsidRDefault="00195BE7" w:rsidP="00195BE7">
            <w:pPr>
              <w:widowControl w:val="0"/>
              <w:spacing w:line="240" w:lineRule="exact"/>
              <w:ind w:right="170"/>
              <w:jc w:val="right"/>
              <w:rPr>
                <w:sz w:val="16"/>
                <w:szCs w:val="16"/>
              </w:rPr>
            </w:pPr>
            <w:r w:rsidRPr="001E2F6E">
              <w:rPr>
                <w:sz w:val="16"/>
                <w:szCs w:val="16"/>
              </w:rPr>
              <w:t>30,3</w:t>
            </w:r>
          </w:p>
        </w:tc>
      </w:tr>
      <w:tr w:rsidR="00195BE7" w:rsidRPr="001E2F6E" w:rsidTr="00195BE7">
        <w:trPr>
          <w:jc w:val="center"/>
        </w:trPr>
        <w:tc>
          <w:tcPr>
            <w:tcW w:w="1267" w:type="pct"/>
            <w:tcBorders>
              <w:top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195BE7" w:rsidRPr="001E2F6E" w:rsidRDefault="00195BE7" w:rsidP="00195BE7">
            <w:pPr>
              <w:spacing w:line="240" w:lineRule="auto"/>
              <w:rPr>
                <w:b/>
                <w:bCs/>
                <w:sz w:val="16"/>
                <w:szCs w:val="16"/>
                <w:lang w:val="eu-ES"/>
              </w:rPr>
            </w:pPr>
            <w:r w:rsidRPr="001E2F6E">
              <w:rPr>
                <w:b/>
                <w:bCs/>
                <w:sz w:val="16"/>
                <w:szCs w:val="16"/>
                <w:lang w:val="eu-ES"/>
              </w:rPr>
              <w:t>GUZTIRA</w:t>
            </w:r>
          </w:p>
        </w:tc>
        <w:tc>
          <w:tcPr>
            <w:tcW w:w="180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195BE7" w:rsidRPr="001E2F6E" w:rsidRDefault="00195BE7" w:rsidP="00195BE7">
            <w:pPr>
              <w:widowControl w:val="0"/>
              <w:spacing w:line="240" w:lineRule="exact"/>
              <w:ind w:right="170"/>
              <w:jc w:val="right"/>
              <w:rPr>
                <w:sz w:val="16"/>
                <w:szCs w:val="16"/>
              </w:rPr>
            </w:pPr>
            <w:r w:rsidRPr="001E2F6E">
              <w:rPr>
                <w:b/>
                <w:bCs/>
                <w:sz w:val="16"/>
                <w:szCs w:val="16"/>
              </w:rPr>
              <w:t>225.062.918</w:t>
            </w:r>
          </w:p>
        </w:tc>
        <w:tc>
          <w:tcPr>
            <w:tcW w:w="1013" w:type="pct"/>
            <w:tcBorders>
              <w:top w:val="single" w:sz="4" w:space="0" w:color="BFBFBF" w:themeColor="background1" w:themeShade="BF"/>
              <w:left w:val="single" w:sz="4" w:space="0" w:color="BFBFBF" w:themeColor="background1" w:themeShade="BF"/>
              <w:bottom w:val="single" w:sz="4" w:space="0" w:color="BFBFBF" w:themeColor="background1" w:themeShade="BF"/>
            </w:tcBorders>
          </w:tcPr>
          <w:p w:rsidR="00195BE7" w:rsidRPr="001E2F6E" w:rsidRDefault="00195BE7" w:rsidP="00195BE7">
            <w:pPr>
              <w:widowControl w:val="0"/>
              <w:spacing w:line="240" w:lineRule="exact"/>
              <w:ind w:right="170"/>
              <w:jc w:val="right"/>
              <w:rPr>
                <w:b/>
                <w:bCs/>
                <w:sz w:val="16"/>
                <w:szCs w:val="16"/>
              </w:rPr>
            </w:pPr>
            <w:r w:rsidRPr="001E2F6E">
              <w:rPr>
                <w:b/>
                <w:bCs/>
                <w:sz w:val="16"/>
                <w:szCs w:val="16"/>
              </w:rPr>
              <w:t>40.034.315</w:t>
            </w:r>
          </w:p>
        </w:tc>
        <w:tc>
          <w:tcPr>
            <w:tcW w:w="919" w:type="pct"/>
            <w:tcBorders>
              <w:top w:val="single" w:sz="4" w:space="0" w:color="BFBFBF" w:themeColor="background1" w:themeShade="BF"/>
              <w:bottom w:val="single" w:sz="4" w:space="0" w:color="BFBFBF" w:themeColor="background1" w:themeShade="BF"/>
            </w:tcBorders>
          </w:tcPr>
          <w:p w:rsidR="00195BE7" w:rsidRPr="001E2F6E" w:rsidRDefault="00195BE7" w:rsidP="00195BE7">
            <w:pPr>
              <w:widowControl w:val="0"/>
              <w:spacing w:line="240" w:lineRule="exact"/>
              <w:ind w:right="170"/>
              <w:jc w:val="right"/>
              <w:rPr>
                <w:sz w:val="16"/>
                <w:szCs w:val="16"/>
              </w:rPr>
            </w:pPr>
            <w:r w:rsidRPr="001E2F6E">
              <w:rPr>
                <w:b/>
                <w:bCs/>
                <w:sz w:val="16"/>
                <w:szCs w:val="16"/>
              </w:rPr>
              <w:t>17,8</w:t>
            </w:r>
          </w:p>
        </w:tc>
      </w:tr>
    </w:tbl>
    <w:p w:rsidR="00195BE7" w:rsidRPr="001E2F6E" w:rsidRDefault="00195BE7" w:rsidP="00195BE7">
      <w:pPr>
        <w:ind w:left="709" w:hanging="709"/>
      </w:pPr>
    </w:p>
    <w:p w:rsidR="00195BE7" w:rsidRPr="001E2F6E" w:rsidRDefault="00195BE7" w:rsidP="00195BE7">
      <w:pPr>
        <w:ind w:left="709" w:hanging="709"/>
      </w:pPr>
    </w:p>
    <w:p w:rsidR="00195BE7" w:rsidRPr="001E2F6E" w:rsidRDefault="00195BE7" w:rsidP="00195BE7">
      <w:r w:rsidRPr="001E2F6E">
        <w:br w:type="page"/>
      </w:r>
    </w:p>
    <w:p w:rsidR="00195BE7" w:rsidRPr="001E2F6E" w:rsidRDefault="00195BE7" w:rsidP="00195BE7">
      <w:pPr>
        <w:pStyle w:val="Ttulo1"/>
        <w:ind w:left="708" w:hanging="708"/>
        <w:rPr>
          <w:color w:val="1F497D" w:themeColor="text2"/>
          <w:sz w:val="26"/>
          <w:szCs w:val="26"/>
        </w:rPr>
      </w:pPr>
      <w:bookmarkStart w:id="245" w:name="_Toc391989024"/>
      <w:bookmarkStart w:id="246" w:name="_Toc392585687"/>
      <w:r w:rsidRPr="001E2F6E">
        <w:rPr>
          <w:color w:val="1F497D" w:themeColor="text2"/>
          <w:sz w:val="26"/>
          <w:szCs w:val="26"/>
        </w:rPr>
        <w:lastRenderedPageBreak/>
        <w:t>6.-</w:t>
      </w:r>
      <w:r w:rsidRPr="001E2F6E">
        <w:rPr>
          <w:color w:val="1F497D" w:themeColor="text2"/>
          <w:sz w:val="26"/>
          <w:szCs w:val="26"/>
        </w:rPr>
        <w:tab/>
        <w:t>EMAITZEN KONTUAK FORMA JURIDIKOA ETA LURRALDE HISTORIKOAREN ARABERA</w:t>
      </w:r>
      <w:bookmarkEnd w:id="245"/>
      <w:bookmarkEnd w:id="246"/>
    </w:p>
    <w:p w:rsidR="00195BE7" w:rsidRPr="001E2F6E" w:rsidRDefault="00195BE7" w:rsidP="00195BE7"/>
    <w:p w:rsidR="00195BE7" w:rsidRPr="001E2F6E" w:rsidRDefault="00195BE7" w:rsidP="00195BE7">
      <w:pPr>
        <w:spacing w:line="240" w:lineRule="auto"/>
        <w:jc w:val="center"/>
        <w:rPr>
          <w:b/>
          <w:color w:val="1F497D" w:themeColor="text2"/>
          <w:sz w:val="18"/>
          <w:szCs w:val="18"/>
        </w:rPr>
      </w:pPr>
      <w:bookmarkStart w:id="247" w:name="_Toc391565513"/>
      <w:bookmarkStart w:id="248" w:name="_Toc391989140"/>
      <w:bookmarkStart w:id="249" w:name="_Toc392585805"/>
      <w:r w:rsidRPr="00F203B2">
        <w:rPr>
          <w:b/>
          <w:color w:val="1F497D" w:themeColor="text2"/>
          <w:sz w:val="18"/>
          <w:szCs w:val="18"/>
          <w:lang w:val="de-DE"/>
        </w:rPr>
        <w:t>1.</w:t>
      </w:r>
      <w:r w:rsidR="00EB6BA6" w:rsidRPr="001E2F6E">
        <w:rPr>
          <w:b/>
          <w:color w:val="1F497D" w:themeColor="text2"/>
          <w:sz w:val="18"/>
          <w:szCs w:val="18"/>
        </w:rPr>
        <w:fldChar w:fldCharType="begin"/>
      </w:r>
      <w:r w:rsidRPr="00F203B2">
        <w:rPr>
          <w:b/>
          <w:color w:val="1F497D" w:themeColor="text2"/>
          <w:sz w:val="18"/>
          <w:szCs w:val="18"/>
          <w:lang w:val="de-DE"/>
        </w:rPr>
        <w:instrText xml:space="preserve"> SEQ Cuadro_1. \* ARABIC </w:instrText>
      </w:r>
      <w:r w:rsidR="00EB6BA6" w:rsidRPr="001E2F6E">
        <w:rPr>
          <w:b/>
          <w:color w:val="1F497D" w:themeColor="text2"/>
          <w:sz w:val="18"/>
          <w:szCs w:val="18"/>
        </w:rPr>
        <w:fldChar w:fldCharType="separate"/>
      </w:r>
      <w:r w:rsidR="00A327D4">
        <w:rPr>
          <w:b/>
          <w:noProof/>
          <w:color w:val="1F497D" w:themeColor="text2"/>
          <w:sz w:val="18"/>
          <w:szCs w:val="18"/>
          <w:lang w:val="de-DE"/>
        </w:rPr>
        <w:t>70</w:t>
      </w:r>
      <w:r w:rsidR="00EB6BA6" w:rsidRPr="001E2F6E">
        <w:rPr>
          <w:b/>
          <w:color w:val="1F497D" w:themeColor="text2"/>
          <w:sz w:val="18"/>
          <w:szCs w:val="18"/>
        </w:rPr>
        <w:fldChar w:fldCharType="end"/>
      </w:r>
      <w:r w:rsidRPr="00F203B2">
        <w:rPr>
          <w:b/>
          <w:color w:val="1F497D" w:themeColor="text2"/>
          <w:sz w:val="18"/>
          <w:szCs w:val="18"/>
          <w:lang w:val="de-DE"/>
        </w:rPr>
        <w:t xml:space="preserve"> Taula </w:t>
      </w:r>
      <w:bookmarkEnd w:id="247"/>
      <w:r w:rsidRPr="00F203B2">
        <w:rPr>
          <w:b/>
          <w:color w:val="1F497D" w:themeColor="text2"/>
          <w:sz w:val="18"/>
          <w:szCs w:val="18"/>
          <w:lang w:val="de-DE"/>
        </w:rPr>
        <w:t xml:space="preserve">KOOPERATIBEN EMAITZEN KONTUAK, JARDUERA-SEKTOREAREN ARABERA. </w:t>
      </w:r>
      <w:r w:rsidRPr="001E2F6E">
        <w:rPr>
          <w:b/>
          <w:color w:val="1F497D" w:themeColor="text2"/>
          <w:sz w:val="18"/>
          <w:szCs w:val="18"/>
        </w:rPr>
        <w:t>2012</w:t>
      </w:r>
      <w:bookmarkEnd w:id="248"/>
      <w:r w:rsidR="00462130" w:rsidRPr="001E2F6E">
        <w:rPr>
          <w:b/>
          <w:color w:val="1F497D" w:themeColor="text2"/>
          <w:sz w:val="18"/>
          <w:szCs w:val="18"/>
        </w:rPr>
        <w:t xml:space="preserve"> </w:t>
      </w:r>
      <w:r w:rsidRPr="001E2F6E">
        <w:rPr>
          <w:b/>
          <w:color w:val="1F497D" w:themeColor="text2"/>
          <w:sz w:val="18"/>
          <w:szCs w:val="18"/>
        </w:rPr>
        <w:t>(</w:t>
      </w:r>
      <w:r w:rsidR="00462130" w:rsidRPr="001E2F6E">
        <w:rPr>
          <w:b/>
          <w:color w:val="1F497D" w:themeColor="text2"/>
          <w:sz w:val="18"/>
          <w:szCs w:val="18"/>
        </w:rPr>
        <w:t xml:space="preserve">zifra absolutuak </w:t>
      </w:r>
      <w:r w:rsidRPr="001E2F6E">
        <w:rPr>
          <w:b/>
          <w:color w:val="1F497D" w:themeColor="text2"/>
          <w:sz w:val="18"/>
          <w:szCs w:val="18"/>
        </w:rPr>
        <w:t>Euroan) (Ohiko prezioak)</w:t>
      </w:r>
      <w:bookmarkEnd w:id="249"/>
    </w:p>
    <w:tbl>
      <w:tblPr>
        <w:tblW w:w="5000" w:type="pct"/>
        <w:jc w:val="center"/>
        <w:tblCellMar>
          <w:left w:w="70" w:type="dxa"/>
          <w:right w:w="70" w:type="dxa"/>
        </w:tblCellMar>
        <w:tblLook w:val="04A0" w:firstRow="1" w:lastRow="0" w:firstColumn="1" w:lastColumn="0" w:noHBand="0" w:noVBand="1"/>
      </w:tblPr>
      <w:tblGrid>
        <w:gridCol w:w="3279"/>
        <w:gridCol w:w="1173"/>
        <w:gridCol w:w="948"/>
        <w:gridCol w:w="1173"/>
        <w:gridCol w:w="1182"/>
        <w:gridCol w:w="1173"/>
      </w:tblGrid>
      <w:tr w:rsidR="00195BE7" w:rsidRPr="001E2F6E" w:rsidTr="00195BE7">
        <w:trPr>
          <w:jc w:val="center"/>
        </w:trPr>
        <w:tc>
          <w:tcPr>
            <w:tcW w:w="1836" w:type="pct"/>
            <w:tcBorders>
              <w:top w:val="single" w:sz="8" w:space="0" w:color="BFBFBF"/>
              <w:left w:val="nil"/>
              <w:bottom w:val="single" w:sz="8" w:space="0" w:color="BFBFBF"/>
              <w:right w:val="single" w:sz="8" w:space="0" w:color="BFBFBF"/>
            </w:tcBorders>
            <w:shd w:val="clear" w:color="000000" w:fill="DBE5F1"/>
            <w:vAlign w:val="bottom"/>
            <w:hideMark/>
          </w:tcPr>
          <w:p w:rsidR="00195BE7" w:rsidRPr="001E2F6E" w:rsidRDefault="00195BE7" w:rsidP="00195BE7">
            <w:pPr>
              <w:spacing w:line="220" w:lineRule="exact"/>
              <w:rPr>
                <w:color w:val="000000"/>
                <w:sz w:val="16"/>
                <w:szCs w:val="16"/>
              </w:rPr>
            </w:pPr>
            <w:r w:rsidRPr="001E2F6E">
              <w:rPr>
                <w:color w:val="000000"/>
                <w:sz w:val="16"/>
                <w:szCs w:val="16"/>
              </w:rPr>
              <w:t> </w:t>
            </w:r>
          </w:p>
        </w:tc>
        <w:tc>
          <w:tcPr>
            <w:tcW w:w="657" w:type="pct"/>
            <w:tcBorders>
              <w:top w:val="single" w:sz="8" w:space="0" w:color="BFBFBF"/>
              <w:left w:val="nil"/>
              <w:bottom w:val="single" w:sz="8" w:space="0" w:color="BFBFBF"/>
              <w:right w:val="single" w:sz="8" w:space="0" w:color="BFBFBF"/>
            </w:tcBorders>
            <w:shd w:val="clear" w:color="000000" w:fill="DBE5F1"/>
            <w:vAlign w:val="center"/>
            <w:hideMark/>
          </w:tcPr>
          <w:p w:rsidR="00195BE7" w:rsidRPr="001E2F6E" w:rsidRDefault="00195BE7" w:rsidP="00195BE7">
            <w:pPr>
              <w:spacing w:line="220" w:lineRule="exact"/>
              <w:jc w:val="center"/>
              <w:rPr>
                <w:rFonts w:eastAsia="Times New Roman"/>
                <w:b/>
                <w:bCs/>
                <w:color w:val="000000"/>
                <w:sz w:val="16"/>
                <w:szCs w:val="16"/>
                <w:lang w:eastAsia="es-ES"/>
              </w:rPr>
            </w:pPr>
            <w:r w:rsidRPr="001E2F6E">
              <w:rPr>
                <w:rFonts w:eastAsia="Times New Roman"/>
                <w:b/>
                <w:bCs/>
                <w:color w:val="000000"/>
                <w:sz w:val="16"/>
                <w:szCs w:val="16"/>
                <w:lang w:eastAsia="es-ES"/>
              </w:rPr>
              <w:t>GUZTIRA</w:t>
            </w:r>
          </w:p>
        </w:tc>
        <w:tc>
          <w:tcPr>
            <w:tcW w:w="531" w:type="pct"/>
            <w:tcBorders>
              <w:top w:val="single" w:sz="8" w:space="0" w:color="BFBFBF"/>
              <w:left w:val="nil"/>
              <w:bottom w:val="single" w:sz="8" w:space="0" w:color="BFBFBF"/>
              <w:right w:val="single" w:sz="8" w:space="0" w:color="BFBFBF"/>
            </w:tcBorders>
            <w:shd w:val="clear" w:color="000000" w:fill="DBE5F1"/>
            <w:vAlign w:val="center"/>
            <w:hideMark/>
          </w:tcPr>
          <w:p w:rsidR="00195BE7" w:rsidRPr="001E2F6E" w:rsidRDefault="00195BE7" w:rsidP="00195BE7">
            <w:pPr>
              <w:spacing w:line="220" w:lineRule="exact"/>
              <w:jc w:val="center"/>
              <w:rPr>
                <w:b/>
                <w:bCs/>
                <w:sz w:val="16"/>
                <w:szCs w:val="16"/>
                <w:lang w:val="eu-ES"/>
              </w:rPr>
            </w:pPr>
            <w:r w:rsidRPr="001E2F6E">
              <w:rPr>
                <w:b/>
                <w:bCs/>
                <w:sz w:val="16"/>
                <w:szCs w:val="16"/>
                <w:lang w:val="eu-ES"/>
              </w:rPr>
              <w:t>Lehen sektorea</w:t>
            </w:r>
          </w:p>
        </w:tc>
        <w:tc>
          <w:tcPr>
            <w:tcW w:w="657" w:type="pct"/>
            <w:tcBorders>
              <w:top w:val="single" w:sz="8" w:space="0" w:color="BFBFBF"/>
              <w:left w:val="nil"/>
              <w:bottom w:val="single" w:sz="8" w:space="0" w:color="BFBFBF"/>
              <w:right w:val="single" w:sz="8" w:space="0" w:color="BFBFBF"/>
            </w:tcBorders>
            <w:shd w:val="clear" w:color="000000" w:fill="DBE5F1"/>
            <w:vAlign w:val="center"/>
            <w:hideMark/>
          </w:tcPr>
          <w:p w:rsidR="00195BE7" w:rsidRPr="001E2F6E" w:rsidRDefault="00195BE7" w:rsidP="00195BE7">
            <w:pPr>
              <w:spacing w:line="220" w:lineRule="exact"/>
              <w:jc w:val="center"/>
              <w:rPr>
                <w:b/>
                <w:bCs/>
                <w:sz w:val="16"/>
                <w:szCs w:val="16"/>
                <w:lang w:val="eu-ES"/>
              </w:rPr>
            </w:pPr>
            <w:r w:rsidRPr="001E2F6E">
              <w:rPr>
                <w:b/>
                <w:bCs/>
                <w:sz w:val="16"/>
                <w:szCs w:val="16"/>
                <w:lang w:val="eu-ES"/>
              </w:rPr>
              <w:t>Industria</w:t>
            </w:r>
          </w:p>
        </w:tc>
        <w:tc>
          <w:tcPr>
            <w:tcW w:w="662" w:type="pct"/>
            <w:tcBorders>
              <w:top w:val="single" w:sz="8" w:space="0" w:color="BFBFBF"/>
              <w:left w:val="nil"/>
              <w:bottom w:val="single" w:sz="8" w:space="0" w:color="BFBFBF"/>
              <w:right w:val="single" w:sz="8" w:space="0" w:color="BFBFBF"/>
            </w:tcBorders>
            <w:shd w:val="clear" w:color="000000" w:fill="DBE5F1"/>
            <w:vAlign w:val="center"/>
            <w:hideMark/>
          </w:tcPr>
          <w:p w:rsidR="00195BE7" w:rsidRPr="001E2F6E" w:rsidRDefault="00195BE7" w:rsidP="00195BE7">
            <w:pPr>
              <w:spacing w:line="220" w:lineRule="exact"/>
              <w:jc w:val="center"/>
              <w:rPr>
                <w:b/>
                <w:bCs/>
                <w:sz w:val="16"/>
                <w:szCs w:val="16"/>
                <w:lang w:val="eu-ES"/>
              </w:rPr>
            </w:pPr>
            <w:r w:rsidRPr="001E2F6E">
              <w:rPr>
                <w:b/>
                <w:bCs/>
                <w:sz w:val="16"/>
                <w:szCs w:val="16"/>
                <w:lang w:val="eu-ES"/>
              </w:rPr>
              <w:t>Eraikuntza</w:t>
            </w:r>
          </w:p>
        </w:tc>
        <w:tc>
          <w:tcPr>
            <w:tcW w:w="657" w:type="pct"/>
            <w:tcBorders>
              <w:top w:val="single" w:sz="8" w:space="0" w:color="BFBFBF"/>
              <w:left w:val="nil"/>
              <w:bottom w:val="single" w:sz="8" w:space="0" w:color="BFBFBF"/>
              <w:right w:val="nil"/>
            </w:tcBorders>
            <w:shd w:val="clear" w:color="000000" w:fill="DBE5F1"/>
            <w:vAlign w:val="center"/>
            <w:hideMark/>
          </w:tcPr>
          <w:p w:rsidR="00195BE7" w:rsidRPr="001E2F6E" w:rsidRDefault="00195BE7" w:rsidP="00195BE7">
            <w:pPr>
              <w:spacing w:line="220" w:lineRule="exact"/>
              <w:jc w:val="center"/>
              <w:rPr>
                <w:b/>
                <w:bCs/>
                <w:sz w:val="16"/>
                <w:szCs w:val="16"/>
                <w:lang w:val="eu-ES"/>
              </w:rPr>
            </w:pPr>
            <w:r w:rsidRPr="001E2F6E">
              <w:rPr>
                <w:b/>
                <w:bCs/>
                <w:sz w:val="16"/>
                <w:szCs w:val="16"/>
                <w:lang w:val="eu-ES"/>
              </w:rPr>
              <w:t>Zerbitzuak</w:t>
            </w:r>
          </w:p>
        </w:tc>
      </w:tr>
      <w:tr w:rsidR="00195BE7" w:rsidRPr="001E2F6E" w:rsidTr="00195BE7">
        <w:trPr>
          <w:jc w:val="center"/>
        </w:trPr>
        <w:tc>
          <w:tcPr>
            <w:tcW w:w="1836" w:type="pct"/>
            <w:tcBorders>
              <w:top w:val="nil"/>
              <w:left w:val="nil"/>
              <w:bottom w:val="nil"/>
              <w:right w:val="single" w:sz="8" w:space="0" w:color="BFBFBF"/>
            </w:tcBorders>
            <w:shd w:val="clear" w:color="auto" w:fill="auto"/>
            <w:vAlign w:val="bottom"/>
            <w:hideMark/>
          </w:tcPr>
          <w:p w:rsidR="00195BE7" w:rsidRPr="001E2F6E" w:rsidRDefault="00195BE7" w:rsidP="00195BE7">
            <w:pPr>
              <w:spacing w:line="220" w:lineRule="exact"/>
              <w:rPr>
                <w:b/>
                <w:bCs/>
                <w:sz w:val="16"/>
                <w:szCs w:val="16"/>
                <w:lang w:val="eu-ES"/>
              </w:rPr>
            </w:pPr>
            <w:r w:rsidRPr="001E2F6E">
              <w:rPr>
                <w:b/>
                <w:bCs/>
                <w:sz w:val="16"/>
                <w:szCs w:val="16"/>
                <w:lang w:val="eu-ES"/>
              </w:rPr>
              <w:t>DIRU-SARRERAK</w:t>
            </w:r>
          </w:p>
        </w:tc>
        <w:tc>
          <w:tcPr>
            <w:tcW w:w="657" w:type="pct"/>
            <w:tcBorders>
              <w:top w:val="nil"/>
              <w:left w:val="nil"/>
              <w:bottom w:val="nil"/>
              <w:right w:val="single" w:sz="8" w:space="0" w:color="BFBFBF"/>
            </w:tcBorders>
            <w:shd w:val="clear" w:color="auto" w:fill="auto"/>
            <w:vAlign w:val="bottom"/>
            <w:hideMark/>
          </w:tcPr>
          <w:p w:rsidR="00195BE7" w:rsidRPr="001E2F6E" w:rsidRDefault="00195BE7" w:rsidP="00195BE7">
            <w:pPr>
              <w:spacing w:line="220" w:lineRule="exact"/>
              <w:jc w:val="center"/>
              <w:rPr>
                <w:b/>
                <w:bCs/>
                <w:color w:val="000000"/>
                <w:sz w:val="16"/>
                <w:szCs w:val="16"/>
              </w:rPr>
            </w:pPr>
            <w:r w:rsidRPr="001E2F6E">
              <w:rPr>
                <w:b/>
                <w:bCs/>
                <w:color w:val="000000"/>
                <w:sz w:val="16"/>
                <w:szCs w:val="16"/>
              </w:rPr>
              <w:t> </w:t>
            </w:r>
          </w:p>
        </w:tc>
        <w:tc>
          <w:tcPr>
            <w:tcW w:w="531" w:type="pct"/>
            <w:tcBorders>
              <w:top w:val="nil"/>
              <w:left w:val="nil"/>
              <w:bottom w:val="nil"/>
              <w:right w:val="single" w:sz="8" w:space="0" w:color="BFBFBF"/>
            </w:tcBorders>
            <w:shd w:val="clear" w:color="auto" w:fill="auto"/>
            <w:vAlign w:val="bottom"/>
            <w:hideMark/>
          </w:tcPr>
          <w:p w:rsidR="00195BE7" w:rsidRPr="001E2F6E" w:rsidRDefault="00195BE7" w:rsidP="00195BE7">
            <w:pPr>
              <w:spacing w:line="220" w:lineRule="exact"/>
              <w:jc w:val="center"/>
              <w:rPr>
                <w:b/>
                <w:bCs/>
                <w:color w:val="000000"/>
                <w:sz w:val="16"/>
                <w:szCs w:val="16"/>
              </w:rPr>
            </w:pPr>
            <w:r w:rsidRPr="001E2F6E">
              <w:rPr>
                <w:b/>
                <w:bCs/>
                <w:color w:val="000000"/>
                <w:sz w:val="16"/>
                <w:szCs w:val="16"/>
              </w:rPr>
              <w:t> </w:t>
            </w:r>
          </w:p>
        </w:tc>
        <w:tc>
          <w:tcPr>
            <w:tcW w:w="657" w:type="pct"/>
            <w:tcBorders>
              <w:top w:val="nil"/>
              <w:left w:val="nil"/>
              <w:bottom w:val="nil"/>
              <w:right w:val="single" w:sz="8" w:space="0" w:color="BFBFBF"/>
            </w:tcBorders>
            <w:shd w:val="clear" w:color="auto" w:fill="auto"/>
            <w:vAlign w:val="bottom"/>
            <w:hideMark/>
          </w:tcPr>
          <w:p w:rsidR="00195BE7" w:rsidRPr="001E2F6E" w:rsidRDefault="00195BE7" w:rsidP="00195BE7">
            <w:pPr>
              <w:spacing w:line="220" w:lineRule="exact"/>
              <w:jc w:val="center"/>
              <w:rPr>
                <w:b/>
                <w:bCs/>
                <w:color w:val="000000"/>
                <w:sz w:val="16"/>
                <w:szCs w:val="16"/>
              </w:rPr>
            </w:pPr>
            <w:r w:rsidRPr="001E2F6E">
              <w:rPr>
                <w:b/>
                <w:bCs/>
                <w:color w:val="000000"/>
                <w:sz w:val="16"/>
                <w:szCs w:val="16"/>
              </w:rPr>
              <w:t> </w:t>
            </w:r>
          </w:p>
        </w:tc>
        <w:tc>
          <w:tcPr>
            <w:tcW w:w="662" w:type="pct"/>
            <w:tcBorders>
              <w:top w:val="nil"/>
              <w:left w:val="nil"/>
              <w:bottom w:val="nil"/>
              <w:right w:val="single" w:sz="8" w:space="0" w:color="BFBFBF"/>
            </w:tcBorders>
            <w:shd w:val="clear" w:color="auto" w:fill="auto"/>
            <w:vAlign w:val="bottom"/>
            <w:hideMark/>
          </w:tcPr>
          <w:p w:rsidR="00195BE7" w:rsidRPr="001E2F6E" w:rsidRDefault="00195BE7" w:rsidP="00195BE7">
            <w:pPr>
              <w:spacing w:line="220" w:lineRule="exact"/>
              <w:jc w:val="center"/>
              <w:rPr>
                <w:b/>
                <w:bCs/>
                <w:color w:val="000000"/>
                <w:sz w:val="16"/>
                <w:szCs w:val="16"/>
              </w:rPr>
            </w:pPr>
            <w:r w:rsidRPr="001E2F6E">
              <w:rPr>
                <w:b/>
                <w:bCs/>
                <w:color w:val="000000"/>
                <w:sz w:val="16"/>
                <w:szCs w:val="16"/>
              </w:rPr>
              <w:t> </w:t>
            </w:r>
          </w:p>
        </w:tc>
        <w:tc>
          <w:tcPr>
            <w:tcW w:w="657" w:type="pct"/>
            <w:tcBorders>
              <w:top w:val="nil"/>
              <w:left w:val="nil"/>
              <w:bottom w:val="nil"/>
              <w:right w:val="single" w:sz="8" w:space="0" w:color="BFBFBF"/>
            </w:tcBorders>
            <w:shd w:val="clear" w:color="auto" w:fill="auto"/>
            <w:noWrap/>
            <w:vAlign w:val="bottom"/>
            <w:hideMark/>
          </w:tcPr>
          <w:p w:rsidR="00195BE7" w:rsidRPr="001E2F6E" w:rsidRDefault="00195BE7" w:rsidP="00195BE7">
            <w:pPr>
              <w:spacing w:line="220" w:lineRule="exact"/>
              <w:jc w:val="right"/>
              <w:rPr>
                <w:color w:val="000000"/>
                <w:sz w:val="16"/>
                <w:szCs w:val="16"/>
              </w:rPr>
            </w:pPr>
            <w:r w:rsidRPr="001E2F6E">
              <w:rPr>
                <w:color w:val="000000"/>
                <w:sz w:val="16"/>
                <w:szCs w:val="16"/>
              </w:rPr>
              <w:t> </w:t>
            </w:r>
          </w:p>
        </w:tc>
      </w:tr>
      <w:tr w:rsidR="00195BE7" w:rsidRPr="001E2F6E" w:rsidTr="00195BE7">
        <w:trPr>
          <w:jc w:val="center"/>
        </w:trPr>
        <w:tc>
          <w:tcPr>
            <w:tcW w:w="1836" w:type="pct"/>
            <w:tcBorders>
              <w:top w:val="nil"/>
              <w:left w:val="nil"/>
              <w:bottom w:val="nil"/>
              <w:right w:val="single" w:sz="8" w:space="0" w:color="BFBFBF"/>
            </w:tcBorders>
            <w:shd w:val="clear" w:color="auto" w:fill="auto"/>
            <w:vAlign w:val="bottom"/>
            <w:hideMark/>
          </w:tcPr>
          <w:p w:rsidR="00195BE7" w:rsidRPr="001E2F6E" w:rsidRDefault="00195BE7" w:rsidP="00195BE7">
            <w:pPr>
              <w:spacing w:line="220" w:lineRule="exact"/>
              <w:rPr>
                <w:sz w:val="16"/>
                <w:szCs w:val="16"/>
                <w:lang w:val="eu-ES"/>
              </w:rPr>
            </w:pPr>
            <w:r w:rsidRPr="001E2F6E">
              <w:rPr>
                <w:sz w:val="16"/>
                <w:szCs w:val="16"/>
                <w:lang w:val="eu-ES"/>
              </w:rPr>
              <w:t>70 Salmenta garbiak</w:t>
            </w:r>
          </w:p>
        </w:tc>
        <w:tc>
          <w:tcPr>
            <w:tcW w:w="657" w:type="pct"/>
            <w:tcBorders>
              <w:top w:val="nil"/>
              <w:left w:val="nil"/>
              <w:bottom w:val="nil"/>
              <w:right w:val="single" w:sz="8" w:space="0" w:color="BFBFBF"/>
            </w:tcBorders>
            <w:shd w:val="clear" w:color="auto" w:fill="auto"/>
            <w:noWrap/>
            <w:vAlign w:val="center"/>
            <w:hideMark/>
          </w:tcPr>
          <w:p w:rsidR="00195BE7" w:rsidRPr="001E2F6E" w:rsidRDefault="00195BE7" w:rsidP="00195BE7">
            <w:pPr>
              <w:spacing w:line="220" w:lineRule="exact"/>
              <w:jc w:val="right"/>
              <w:rPr>
                <w:color w:val="000000"/>
                <w:sz w:val="16"/>
                <w:szCs w:val="16"/>
              </w:rPr>
            </w:pPr>
            <w:r w:rsidRPr="001E2F6E">
              <w:rPr>
                <w:color w:val="000000"/>
                <w:sz w:val="16"/>
                <w:szCs w:val="16"/>
              </w:rPr>
              <w:t>7.627.602.062</w:t>
            </w:r>
          </w:p>
        </w:tc>
        <w:tc>
          <w:tcPr>
            <w:tcW w:w="531" w:type="pct"/>
            <w:tcBorders>
              <w:top w:val="nil"/>
              <w:left w:val="nil"/>
              <w:bottom w:val="nil"/>
              <w:right w:val="single" w:sz="8" w:space="0" w:color="BFBFBF"/>
            </w:tcBorders>
            <w:shd w:val="clear" w:color="auto" w:fill="auto"/>
            <w:noWrap/>
            <w:vAlign w:val="center"/>
            <w:hideMark/>
          </w:tcPr>
          <w:p w:rsidR="00195BE7" w:rsidRPr="001E2F6E" w:rsidRDefault="00195BE7" w:rsidP="00195BE7">
            <w:pPr>
              <w:spacing w:line="220" w:lineRule="exact"/>
              <w:jc w:val="right"/>
              <w:rPr>
                <w:color w:val="000000"/>
                <w:sz w:val="16"/>
                <w:szCs w:val="16"/>
              </w:rPr>
            </w:pPr>
            <w:r w:rsidRPr="001E2F6E">
              <w:rPr>
                <w:color w:val="000000"/>
                <w:sz w:val="16"/>
                <w:szCs w:val="16"/>
              </w:rPr>
              <w:t>9.266.590</w:t>
            </w:r>
          </w:p>
        </w:tc>
        <w:tc>
          <w:tcPr>
            <w:tcW w:w="657" w:type="pct"/>
            <w:tcBorders>
              <w:top w:val="nil"/>
              <w:left w:val="nil"/>
              <w:bottom w:val="nil"/>
              <w:right w:val="single" w:sz="8" w:space="0" w:color="BFBFBF"/>
            </w:tcBorders>
            <w:shd w:val="clear" w:color="auto" w:fill="auto"/>
            <w:noWrap/>
            <w:vAlign w:val="center"/>
            <w:hideMark/>
          </w:tcPr>
          <w:p w:rsidR="00195BE7" w:rsidRPr="001E2F6E" w:rsidRDefault="00195BE7" w:rsidP="00195BE7">
            <w:pPr>
              <w:spacing w:line="220" w:lineRule="exact"/>
              <w:jc w:val="right"/>
              <w:rPr>
                <w:color w:val="000000"/>
                <w:sz w:val="16"/>
                <w:szCs w:val="16"/>
              </w:rPr>
            </w:pPr>
            <w:r w:rsidRPr="001E2F6E">
              <w:rPr>
                <w:color w:val="000000"/>
                <w:sz w:val="16"/>
                <w:szCs w:val="16"/>
              </w:rPr>
              <w:t>4.101.759.685</w:t>
            </w:r>
          </w:p>
        </w:tc>
        <w:tc>
          <w:tcPr>
            <w:tcW w:w="662" w:type="pct"/>
            <w:tcBorders>
              <w:top w:val="nil"/>
              <w:left w:val="nil"/>
              <w:bottom w:val="nil"/>
              <w:right w:val="single" w:sz="8" w:space="0" w:color="BFBFBF"/>
            </w:tcBorders>
            <w:shd w:val="clear" w:color="auto" w:fill="auto"/>
            <w:noWrap/>
            <w:vAlign w:val="center"/>
            <w:hideMark/>
          </w:tcPr>
          <w:p w:rsidR="00195BE7" w:rsidRPr="001E2F6E" w:rsidRDefault="00195BE7" w:rsidP="00195BE7">
            <w:pPr>
              <w:spacing w:line="220" w:lineRule="exact"/>
              <w:jc w:val="right"/>
              <w:rPr>
                <w:color w:val="000000"/>
                <w:sz w:val="16"/>
                <w:szCs w:val="16"/>
              </w:rPr>
            </w:pPr>
            <w:r w:rsidRPr="001E2F6E">
              <w:rPr>
                <w:color w:val="000000"/>
                <w:sz w:val="16"/>
                <w:szCs w:val="16"/>
              </w:rPr>
              <w:t>139.104.225</w:t>
            </w:r>
          </w:p>
        </w:tc>
        <w:tc>
          <w:tcPr>
            <w:tcW w:w="657" w:type="pct"/>
            <w:tcBorders>
              <w:top w:val="nil"/>
              <w:left w:val="nil"/>
              <w:bottom w:val="nil"/>
              <w:right w:val="single" w:sz="8" w:space="0" w:color="BFBFBF"/>
            </w:tcBorders>
            <w:shd w:val="clear" w:color="auto" w:fill="auto"/>
            <w:noWrap/>
            <w:vAlign w:val="center"/>
            <w:hideMark/>
          </w:tcPr>
          <w:p w:rsidR="00195BE7" w:rsidRPr="001E2F6E" w:rsidRDefault="00195BE7" w:rsidP="00195BE7">
            <w:pPr>
              <w:spacing w:line="220" w:lineRule="exact"/>
              <w:jc w:val="right"/>
              <w:rPr>
                <w:color w:val="000000"/>
                <w:sz w:val="16"/>
                <w:szCs w:val="16"/>
              </w:rPr>
            </w:pPr>
            <w:r w:rsidRPr="001E2F6E">
              <w:rPr>
                <w:color w:val="000000"/>
                <w:sz w:val="16"/>
                <w:szCs w:val="16"/>
              </w:rPr>
              <w:t>3.377.471.562</w:t>
            </w:r>
          </w:p>
        </w:tc>
      </w:tr>
      <w:tr w:rsidR="00195BE7" w:rsidRPr="001E2F6E" w:rsidTr="00195BE7">
        <w:trPr>
          <w:jc w:val="center"/>
        </w:trPr>
        <w:tc>
          <w:tcPr>
            <w:tcW w:w="1836" w:type="pct"/>
            <w:tcBorders>
              <w:top w:val="nil"/>
              <w:left w:val="nil"/>
              <w:bottom w:val="nil"/>
              <w:right w:val="single" w:sz="8" w:space="0" w:color="BFBFBF"/>
            </w:tcBorders>
            <w:shd w:val="clear" w:color="auto" w:fill="auto"/>
            <w:vAlign w:val="bottom"/>
            <w:hideMark/>
          </w:tcPr>
          <w:p w:rsidR="00195BE7" w:rsidRPr="001E2F6E" w:rsidRDefault="00195BE7" w:rsidP="00195BE7">
            <w:pPr>
              <w:spacing w:line="220" w:lineRule="exact"/>
              <w:rPr>
                <w:sz w:val="16"/>
                <w:szCs w:val="16"/>
                <w:lang w:val="eu-ES"/>
              </w:rPr>
            </w:pPr>
            <w:r w:rsidRPr="001E2F6E">
              <w:rPr>
                <w:sz w:val="16"/>
                <w:szCs w:val="16"/>
                <w:lang w:val="eu-ES"/>
              </w:rPr>
              <w:t>71 Izakinen aldaketa</w:t>
            </w:r>
          </w:p>
        </w:tc>
        <w:tc>
          <w:tcPr>
            <w:tcW w:w="657" w:type="pct"/>
            <w:tcBorders>
              <w:top w:val="nil"/>
              <w:left w:val="nil"/>
              <w:bottom w:val="nil"/>
              <w:right w:val="single" w:sz="8" w:space="0" w:color="BFBFBF"/>
            </w:tcBorders>
            <w:shd w:val="clear" w:color="auto" w:fill="auto"/>
            <w:noWrap/>
            <w:vAlign w:val="center"/>
            <w:hideMark/>
          </w:tcPr>
          <w:p w:rsidR="00195BE7" w:rsidRPr="001E2F6E" w:rsidRDefault="00195BE7" w:rsidP="00195BE7">
            <w:pPr>
              <w:spacing w:line="220" w:lineRule="exact"/>
              <w:jc w:val="right"/>
              <w:rPr>
                <w:color w:val="000000"/>
                <w:sz w:val="16"/>
                <w:szCs w:val="16"/>
              </w:rPr>
            </w:pPr>
            <w:r w:rsidRPr="001E2F6E">
              <w:rPr>
                <w:color w:val="000000"/>
                <w:sz w:val="16"/>
                <w:szCs w:val="16"/>
              </w:rPr>
              <w:t>25.879.100</w:t>
            </w:r>
          </w:p>
        </w:tc>
        <w:tc>
          <w:tcPr>
            <w:tcW w:w="531" w:type="pct"/>
            <w:tcBorders>
              <w:top w:val="nil"/>
              <w:left w:val="nil"/>
              <w:bottom w:val="nil"/>
              <w:right w:val="single" w:sz="8" w:space="0" w:color="BFBFBF"/>
            </w:tcBorders>
            <w:shd w:val="clear" w:color="auto" w:fill="auto"/>
            <w:noWrap/>
            <w:vAlign w:val="center"/>
            <w:hideMark/>
          </w:tcPr>
          <w:p w:rsidR="00195BE7" w:rsidRPr="001E2F6E" w:rsidRDefault="00195BE7" w:rsidP="00195BE7">
            <w:pPr>
              <w:spacing w:line="220" w:lineRule="exact"/>
              <w:jc w:val="right"/>
              <w:rPr>
                <w:color w:val="000000"/>
                <w:sz w:val="16"/>
                <w:szCs w:val="16"/>
              </w:rPr>
            </w:pPr>
            <w:r w:rsidRPr="001E2F6E">
              <w:rPr>
                <w:color w:val="000000"/>
                <w:sz w:val="16"/>
                <w:szCs w:val="16"/>
              </w:rPr>
              <w:t>12.631</w:t>
            </w:r>
          </w:p>
        </w:tc>
        <w:tc>
          <w:tcPr>
            <w:tcW w:w="657" w:type="pct"/>
            <w:tcBorders>
              <w:top w:val="nil"/>
              <w:left w:val="nil"/>
              <w:bottom w:val="nil"/>
              <w:right w:val="single" w:sz="8" w:space="0" w:color="BFBFBF"/>
            </w:tcBorders>
            <w:shd w:val="clear" w:color="auto" w:fill="auto"/>
            <w:noWrap/>
            <w:vAlign w:val="center"/>
            <w:hideMark/>
          </w:tcPr>
          <w:p w:rsidR="00195BE7" w:rsidRPr="001E2F6E" w:rsidRDefault="00195BE7" w:rsidP="00195BE7">
            <w:pPr>
              <w:spacing w:line="220" w:lineRule="exact"/>
              <w:jc w:val="right"/>
              <w:rPr>
                <w:color w:val="000000"/>
                <w:sz w:val="16"/>
                <w:szCs w:val="16"/>
              </w:rPr>
            </w:pPr>
            <w:r w:rsidRPr="001E2F6E">
              <w:rPr>
                <w:color w:val="000000"/>
                <w:sz w:val="16"/>
                <w:szCs w:val="16"/>
              </w:rPr>
              <w:t>22.333.899</w:t>
            </w:r>
          </w:p>
        </w:tc>
        <w:tc>
          <w:tcPr>
            <w:tcW w:w="662" w:type="pct"/>
            <w:tcBorders>
              <w:top w:val="nil"/>
              <w:left w:val="nil"/>
              <w:bottom w:val="nil"/>
              <w:right w:val="single" w:sz="8" w:space="0" w:color="BFBFBF"/>
            </w:tcBorders>
            <w:shd w:val="clear" w:color="auto" w:fill="auto"/>
            <w:noWrap/>
            <w:vAlign w:val="center"/>
            <w:hideMark/>
          </w:tcPr>
          <w:p w:rsidR="00195BE7" w:rsidRPr="001E2F6E" w:rsidRDefault="00195BE7" w:rsidP="00195BE7">
            <w:pPr>
              <w:spacing w:line="220" w:lineRule="exact"/>
              <w:jc w:val="right"/>
              <w:rPr>
                <w:color w:val="000000"/>
                <w:sz w:val="16"/>
                <w:szCs w:val="16"/>
              </w:rPr>
            </w:pPr>
            <w:r w:rsidRPr="001E2F6E">
              <w:rPr>
                <w:color w:val="000000"/>
                <w:sz w:val="16"/>
                <w:szCs w:val="16"/>
              </w:rPr>
              <w:t>1.226.657</w:t>
            </w:r>
          </w:p>
        </w:tc>
        <w:tc>
          <w:tcPr>
            <w:tcW w:w="657" w:type="pct"/>
            <w:tcBorders>
              <w:top w:val="nil"/>
              <w:left w:val="nil"/>
              <w:bottom w:val="nil"/>
              <w:right w:val="single" w:sz="8" w:space="0" w:color="BFBFBF"/>
            </w:tcBorders>
            <w:shd w:val="clear" w:color="auto" w:fill="auto"/>
            <w:noWrap/>
            <w:vAlign w:val="center"/>
            <w:hideMark/>
          </w:tcPr>
          <w:p w:rsidR="00195BE7" w:rsidRPr="001E2F6E" w:rsidRDefault="00195BE7" w:rsidP="00195BE7">
            <w:pPr>
              <w:spacing w:line="220" w:lineRule="exact"/>
              <w:jc w:val="right"/>
              <w:rPr>
                <w:color w:val="000000"/>
                <w:sz w:val="16"/>
                <w:szCs w:val="16"/>
              </w:rPr>
            </w:pPr>
            <w:r w:rsidRPr="001E2F6E">
              <w:rPr>
                <w:color w:val="000000"/>
                <w:sz w:val="16"/>
                <w:szCs w:val="16"/>
              </w:rPr>
              <w:t>2.305.914</w:t>
            </w:r>
          </w:p>
        </w:tc>
      </w:tr>
      <w:tr w:rsidR="00195BE7" w:rsidRPr="001E2F6E" w:rsidTr="00195BE7">
        <w:trPr>
          <w:jc w:val="center"/>
        </w:trPr>
        <w:tc>
          <w:tcPr>
            <w:tcW w:w="1836" w:type="pct"/>
            <w:tcBorders>
              <w:top w:val="nil"/>
              <w:left w:val="nil"/>
              <w:bottom w:val="nil"/>
              <w:right w:val="single" w:sz="8" w:space="0" w:color="BFBFBF"/>
            </w:tcBorders>
            <w:shd w:val="clear" w:color="auto" w:fill="auto"/>
            <w:vAlign w:val="bottom"/>
            <w:hideMark/>
          </w:tcPr>
          <w:p w:rsidR="00195BE7" w:rsidRPr="001E2F6E" w:rsidRDefault="00195BE7" w:rsidP="00195BE7">
            <w:pPr>
              <w:spacing w:line="220" w:lineRule="exact"/>
              <w:rPr>
                <w:sz w:val="16"/>
                <w:szCs w:val="16"/>
                <w:lang w:val="eu-ES"/>
              </w:rPr>
            </w:pPr>
            <w:r w:rsidRPr="001E2F6E">
              <w:rPr>
                <w:sz w:val="16"/>
                <w:szCs w:val="16"/>
                <w:lang w:val="eu-ES"/>
              </w:rPr>
              <w:t>73 Ibilgeturako egindako lanak</w:t>
            </w:r>
          </w:p>
        </w:tc>
        <w:tc>
          <w:tcPr>
            <w:tcW w:w="657" w:type="pct"/>
            <w:tcBorders>
              <w:top w:val="nil"/>
              <w:left w:val="nil"/>
              <w:bottom w:val="nil"/>
              <w:right w:val="single" w:sz="8" w:space="0" w:color="BFBFBF"/>
            </w:tcBorders>
            <w:shd w:val="clear" w:color="auto" w:fill="auto"/>
            <w:noWrap/>
            <w:vAlign w:val="center"/>
            <w:hideMark/>
          </w:tcPr>
          <w:p w:rsidR="00195BE7" w:rsidRPr="001E2F6E" w:rsidRDefault="00195BE7" w:rsidP="00195BE7">
            <w:pPr>
              <w:spacing w:line="220" w:lineRule="exact"/>
              <w:jc w:val="right"/>
              <w:rPr>
                <w:color w:val="000000"/>
                <w:sz w:val="16"/>
                <w:szCs w:val="16"/>
              </w:rPr>
            </w:pPr>
            <w:r w:rsidRPr="001E2F6E">
              <w:rPr>
                <w:color w:val="000000"/>
                <w:sz w:val="16"/>
                <w:szCs w:val="16"/>
              </w:rPr>
              <w:t>23.334.030</w:t>
            </w:r>
          </w:p>
        </w:tc>
        <w:tc>
          <w:tcPr>
            <w:tcW w:w="531" w:type="pct"/>
            <w:tcBorders>
              <w:top w:val="nil"/>
              <w:left w:val="nil"/>
              <w:bottom w:val="nil"/>
              <w:right w:val="single" w:sz="8" w:space="0" w:color="BFBFBF"/>
            </w:tcBorders>
            <w:shd w:val="clear" w:color="auto" w:fill="auto"/>
            <w:noWrap/>
            <w:vAlign w:val="center"/>
            <w:hideMark/>
          </w:tcPr>
          <w:p w:rsidR="00195BE7" w:rsidRPr="001E2F6E" w:rsidRDefault="00195BE7" w:rsidP="00195BE7">
            <w:pPr>
              <w:spacing w:line="220" w:lineRule="exact"/>
              <w:jc w:val="right"/>
              <w:rPr>
                <w:color w:val="000000"/>
                <w:sz w:val="16"/>
                <w:szCs w:val="16"/>
              </w:rPr>
            </w:pPr>
            <w:r w:rsidRPr="001E2F6E">
              <w:rPr>
                <w:color w:val="000000"/>
                <w:sz w:val="16"/>
                <w:szCs w:val="16"/>
              </w:rPr>
              <w:t> </w:t>
            </w:r>
          </w:p>
        </w:tc>
        <w:tc>
          <w:tcPr>
            <w:tcW w:w="657" w:type="pct"/>
            <w:tcBorders>
              <w:top w:val="nil"/>
              <w:left w:val="nil"/>
              <w:bottom w:val="nil"/>
              <w:right w:val="single" w:sz="8" w:space="0" w:color="BFBFBF"/>
            </w:tcBorders>
            <w:shd w:val="clear" w:color="auto" w:fill="auto"/>
            <w:noWrap/>
            <w:vAlign w:val="center"/>
            <w:hideMark/>
          </w:tcPr>
          <w:p w:rsidR="00195BE7" w:rsidRPr="001E2F6E" w:rsidRDefault="00195BE7" w:rsidP="00195BE7">
            <w:pPr>
              <w:spacing w:line="220" w:lineRule="exact"/>
              <w:jc w:val="right"/>
              <w:rPr>
                <w:color w:val="000000"/>
                <w:sz w:val="16"/>
                <w:szCs w:val="16"/>
              </w:rPr>
            </w:pPr>
            <w:r w:rsidRPr="001E2F6E">
              <w:rPr>
                <w:color w:val="000000"/>
                <w:sz w:val="16"/>
                <w:szCs w:val="16"/>
              </w:rPr>
              <w:t>21.125.428</w:t>
            </w:r>
          </w:p>
        </w:tc>
        <w:tc>
          <w:tcPr>
            <w:tcW w:w="662" w:type="pct"/>
            <w:tcBorders>
              <w:top w:val="nil"/>
              <w:left w:val="nil"/>
              <w:bottom w:val="nil"/>
              <w:right w:val="single" w:sz="8" w:space="0" w:color="BFBFBF"/>
            </w:tcBorders>
            <w:shd w:val="clear" w:color="auto" w:fill="auto"/>
            <w:noWrap/>
            <w:vAlign w:val="center"/>
            <w:hideMark/>
          </w:tcPr>
          <w:p w:rsidR="00195BE7" w:rsidRPr="001E2F6E" w:rsidRDefault="00195BE7" w:rsidP="00195BE7">
            <w:pPr>
              <w:spacing w:line="220" w:lineRule="exact"/>
              <w:jc w:val="right"/>
              <w:rPr>
                <w:color w:val="000000"/>
                <w:sz w:val="16"/>
                <w:szCs w:val="16"/>
              </w:rPr>
            </w:pPr>
            <w:r w:rsidRPr="001E2F6E">
              <w:rPr>
                <w:color w:val="000000"/>
                <w:sz w:val="16"/>
                <w:szCs w:val="16"/>
              </w:rPr>
              <w:t> </w:t>
            </w:r>
          </w:p>
        </w:tc>
        <w:tc>
          <w:tcPr>
            <w:tcW w:w="657" w:type="pct"/>
            <w:tcBorders>
              <w:top w:val="nil"/>
              <w:left w:val="nil"/>
              <w:bottom w:val="nil"/>
              <w:right w:val="single" w:sz="8" w:space="0" w:color="BFBFBF"/>
            </w:tcBorders>
            <w:shd w:val="clear" w:color="auto" w:fill="auto"/>
            <w:noWrap/>
            <w:vAlign w:val="center"/>
            <w:hideMark/>
          </w:tcPr>
          <w:p w:rsidR="00195BE7" w:rsidRPr="001E2F6E" w:rsidRDefault="00195BE7" w:rsidP="00195BE7">
            <w:pPr>
              <w:spacing w:line="220" w:lineRule="exact"/>
              <w:jc w:val="right"/>
              <w:rPr>
                <w:color w:val="000000"/>
                <w:sz w:val="16"/>
                <w:szCs w:val="16"/>
              </w:rPr>
            </w:pPr>
            <w:r w:rsidRPr="001E2F6E">
              <w:rPr>
                <w:color w:val="000000"/>
                <w:sz w:val="16"/>
                <w:szCs w:val="16"/>
              </w:rPr>
              <w:t>2.208.602</w:t>
            </w:r>
          </w:p>
        </w:tc>
      </w:tr>
      <w:tr w:rsidR="00195BE7" w:rsidRPr="001E2F6E" w:rsidTr="00195BE7">
        <w:trPr>
          <w:jc w:val="center"/>
        </w:trPr>
        <w:tc>
          <w:tcPr>
            <w:tcW w:w="1836" w:type="pct"/>
            <w:tcBorders>
              <w:top w:val="nil"/>
              <w:left w:val="nil"/>
              <w:bottom w:val="nil"/>
              <w:right w:val="single" w:sz="8" w:space="0" w:color="BFBFBF"/>
            </w:tcBorders>
            <w:shd w:val="clear" w:color="auto" w:fill="auto"/>
            <w:vAlign w:val="bottom"/>
            <w:hideMark/>
          </w:tcPr>
          <w:p w:rsidR="00195BE7" w:rsidRPr="001E2F6E" w:rsidRDefault="00195BE7" w:rsidP="00195BE7">
            <w:pPr>
              <w:spacing w:line="220" w:lineRule="exact"/>
              <w:rPr>
                <w:sz w:val="16"/>
                <w:szCs w:val="16"/>
                <w:lang w:val="eu-ES"/>
              </w:rPr>
            </w:pPr>
            <w:r w:rsidRPr="001E2F6E">
              <w:rPr>
                <w:sz w:val="16"/>
                <w:szCs w:val="16"/>
                <w:lang w:val="eu-ES"/>
              </w:rPr>
              <w:t>74 Ustiapeneko dirulaguntzak</w:t>
            </w:r>
          </w:p>
        </w:tc>
        <w:tc>
          <w:tcPr>
            <w:tcW w:w="657" w:type="pct"/>
            <w:tcBorders>
              <w:top w:val="nil"/>
              <w:left w:val="nil"/>
              <w:bottom w:val="nil"/>
              <w:right w:val="single" w:sz="8" w:space="0" w:color="BFBFBF"/>
            </w:tcBorders>
            <w:shd w:val="clear" w:color="auto" w:fill="auto"/>
            <w:noWrap/>
            <w:vAlign w:val="center"/>
            <w:hideMark/>
          </w:tcPr>
          <w:p w:rsidR="00195BE7" w:rsidRPr="001E2F6E" w:rsidRDefault="00195BE7" w:rsidP="00195BE7">
            <w:pPr>
              <w:spacing w:line="220" w:lineRule="exact"/>
              <w:jc w:val="right"/>
              <w:rPr>
                <w:color w:val="000000"/>
                <w:sz w:val="16"/>
                <w:szCs w:val="16"/>
              </w:rPr>
            </w:pPr>
            <w:r w:rsidRPr="001E2F6E">
              <w:rPr>
                <w:color w:val="000000"/>
                <w:sz w:val="16"/>
                <w:szCs w:val="16"/>
              </w:rPr>
              <w:t>315.464.289</w:t>
            </w:r>
          </w:p>
        </w:tc>
        <w:tc>
          <w:tcPr>
            <w:tcW w:w="531" w:type="pct"/>
            <w:tcBorders>
              <w:top w:val="nil"/>
              <w:left w:val="nil"/>
              <w:bottom w:val="nil"/>
              <w:right w:val="single" w:sz="8" w:space="0" w:color="BFBFBF"/>
            </w:tcBorders>
            <w:shd w:val="clear" w:color="auto" w:fill="auto"/>
            <w:noWrap/>
            <w:vAlign w:val="center"/>
            <w:hideMark/>
          </w:tcPr>
          <w:p w:rsidR="00195BE7" w:rsidRPr="001E2F6E" w:rsidRDefault="00195BE7" w:rsidP="00195BE7">
            <w:pPr>
              <w:spacing w:line="220" w:lineRule="exact"/>
              <w:jc w:val="right"/>
              <w:rPr>
                <w:color w:val="000000"/>
                <w:sz w:val="16"/>
                <w:szCs w:val="16"/>
              </w:rPr>
            </w:pPr>
            <w:r w:rsidRPr="001E2F6E">
              <w:rPr>
                <w:color w:val="000000"/>
                <w:sz w:val="16"/>
                <w:szCs w:val="16"/>
              </w:rPr>
              <w:t>1.709.946</w:t>
            </w:r>
          </w:p>
        </w:tc>
        <w:tc>
          <w:tcPr>
            <w:tcW w:w="657" w:type="pct"/>
            <w:tcBorders>
              <w:top w:val="nil"/>
              <w:left w:val="nil"/>
              <w:bottom w:val="nil"/>
              <w:right w:val="single" w:sz="8" w:space="0" w:color="BFBFBF"/>
            </w:tcBorders>
            <w:shd w:val="clear" w:color="auto" w:fill="auto"/>
            <w:noWrap/>
            <w:vAlign w:val="center"/>
            <w:hideMark/>
          </w:tcPr>
          <w:p w:rsidR="00195BE7" w:rsidRPr="001E2F6E" w:rsidRDefault="00195BE7" w:rsidP="00195BE7">
            <w:pPr>
              <w:spacing w:line="220" w:lineRule="exact"/>
              <w:jc w:val="right"/>
              <w:rPr>
                <w:color w:val="000000"/>
                <w:sz w:val="16"/>
                <w:szCs w:val="16"/>
              </w:rPr>
            </w:pPr>
            <w:r w:rsidRPr="001E2F6E">
              <w:rPr>
                <w:color w:val="000000"/>
                <w:sz w:val="16"/>
                <w:szCs w:val="16"/>
              </w:rPr>
              <w:t>36.237.629</w:t>
            </w:r>
          </w:p>
        </w:tc>
        <w:tc>
          <w:tcPr>
            <w:tcW w:w="662" w:type="pct"/>
            <w:tcBorders>
              <w:top w:val="nil"/>
              <w:left w:val="nil"/>
              <w:bottom w:val="nil"/>
              <w:right w:val="single" w:sz="8" w:space="0" w:color="BFBFBF"/>
            </w:tcBorders>
            <w:shd w:val="clear" w:color="auto" w:fill="auto"/>
            <w:noWrap/>
            <w:vAlign w:val="center"/>
            <w:hideMark/>
          </w:tcPr>
          <w:p w:rsidR="00195BE7" w:rsidRPr="001E2F6E" w:rsidRDefault="00195BE7" w:rsidP="00195BE7">
            <w:pPr>
              <w:spacing w:line="220" w:lineRule="exact"/>
              <w:jc w:val="right"/>
              <w:rPr>
                <w:color w:val="000000"/>
                <w:sz w:val="16"/>
                <w:szCs w:val="16"/>
              </w:rPr>
            </w:pPr>
            <w:r w:rsidRPr="001E2F6E">
              <w:rPr>
                <w:color w:val="000000"/>
                <w:sz w:val="16"/>
                <w:szCs w:val="16"/>
              </w:rPr>
              <w:t>631.317</w:t>
            </w:r>
          </w:p>
        </w:tc>
        <w:tc>
          <w:tcPr>
            <w:tcW w:w="657" w:type="pct"/>
            <w:tcBorders>
              <w:top w:val="nil"/>
              <w:left w:val="nil"/>
              <w:bottom w:val="nil"/>
              <w:right w:val="single" w:sz="8" w:space="0" w:color="BFBFBF"/>
            </w:tcBorders>
            <w:shd w:val="clear" w:color="auto" w:fill="auto"/>
            <w:noWrap/>
            <w:vAlign w:val="center"/>
            <w:hideMark/>
          </w:tcPr>
          <w:p w:rsidR="00195BE7" w:rsidRPr="001E2F6E" w:rsidRDefault="00195BE7" w:rsidP="00195BE7">
            <w:pPr>
              <w:spacing w:line="220" w:lineRule="exact"/>
              <w:jc w:val="right"/>
              <w:rPr>
                <w:color w:val="000000"/>
                <w:sz w:val="16"/>
                <w:szCs w:val="16"/>
              </w:rPr>
            </w:pPr>
            <w:r w:rsidRPr="001E2F6E">
              <w:rPr>
                <w:color w:val="000000"/>
                <w:sz w:val="16"/>
                <w:szCs w:val="16"/>
              </w:rPr>
              <w:t>276.885.397</w:t>
            </w:r>
          </w:p>
        </w:tc>
      </w:tr>
      <w:tr w:rsidR="00195BE7" w:rsidRPr="001E2F6E" w:rsidTr="00195BE7">
        <w:trPr>
          <w:jc w:val="center"/>
        </w:trPr>
        <w:tc>
          <w:tcPr>
            <w:tcW w:w="1836" w:type="pct"/>
            <w:tcBorders>
              <w:top w:val="nil"/>
              <w:left w:val="nil"/>
              <w:bottom w:val="nil"/>
              <w:right w:val="single" w:sz="8" w:space="0" w:color="BFBFBF"/>
            </w:tcBorders>
            <w:shd w:val="clear" w:color="auto" w:fill="auto"/>
            <w:vAlign w:val="bottom"/>
            <w:hideMark/>
          </w:tcPr>
          <w:p w:rsidR="00195BE7" w:rsidRPr="001E2F6E" w:rsidRDefault="00195BE7" w:rsidP="00195BE7">
            <w:pPr>
              <w:spacing w:line="220" w:lineRule="exact"/>
              <w:rPr>
                <w:sz w:val="16"/>
                <w:szCs w:val="16"/>
                <w:lang w:val="eu-ES"/>
              </w:rPr>
            </w:pPr>
            <w:r w:rsidRPr="001E2F6E">
              <w:rPr>
                <w:sz w:val="16"/>
                <w:szCs w:val="16"/>
                <w:lang w:val="eu-ES"/>
              </w:rPr>
              <w:t>75 Diru-sarrera osagarriak</w:t>
            </w:r>
          </w:p>
        </w:tc>
        <w:tc>
          <w:tcPr>
            <w:tcW w:w="657" w:type="pct"/>
            <w:tcBorders>
              <w:top w:val="nil"/>
              <w:left w:val="nil"/>
              <w:bottom w:val="nil"/>
              <w:right w:val="single" w:sz="8" w:space="0" w:color="BFBFBF"/>
            </w:tcBorders>
            <w:shd w:val="clear" w:color="auto" w:fill="auto"/>
            <w:noWrap/>
            <w:vAlign w:val="center"/>
            <w:hideMark/>
          </w:tcPr>
          <w:p w:rsidR="00195BE7" w:rsidRPr="001E2F6E" w:rsidRDefault="00195BE7" w:rsidP="00195BE7">
            <w:pPr>
              <w:spacing w:line="220" w:lineRule="exact"/>
              <w:jc w:val="right"/>
              <w:rPr>
                <w:color w:val="000000"/>
                <w:sz w:val="16"/>
                <w:szCs w:val="16"/>
              </w:rPr>
            </w:pPr>
            <w:r w:rsidRPr="001E2F6E">
              <w:rPr>
                <w:color w:val="000000"/>
                <w:sz w:val="16"/>
                <w:szCs w:val="16"/>
              </w:rPr>
              <w:t>695.549.859</w:t>
            </w:r>
          </w:p>
        </w:tc>
        <w:tc>
          <w:tcPr>
            <w:tcW w:w="531" w:type="pct"/>
            <w:tcBorders>
              <w:top w:val="nil"/>
              <w:left w:val="nil"/>
              <w:bottom w:val="nil"/>
              <w:right w:val="single" w:sz="8" w:space="0" w:color="BFBFBF"/>
            </w:tcBorders>
            <w:shd w:val="clear" w:color="auto" w:fill="auto"/>
            <w:noWrap/>
            <w:vAlign w:val="center"/>
            <w:hideMark/>
          </w:tcPr>
          <w:p w:rsidR="00195BE7" w:rsidRPr="001E2F6E" w:rsidRDefault="00195BE7" w:rsidP="00195BE7">
            <w:pPr>
              <w:spacing w:line="220" w:lineRule="exact"/>
              <w:jc w:val="right"/>
              <w:rPr>
                <w:color w:val="000000"/>
                <w:sz w:val="16"/>
                <w:szCs w:val="16"/>
              </w:rPr>
            </w:pPr>
            <w:r w:rsidRPr="001E2F6E">
              <w:rPr>
                <w:color w:val="000000"/>
                <w:sz w:val="16"/>
                <w:szCs w:val="16"/>
              </w:rPr>
              <w:t>6.352</w:t>
            </w:r>
          </w:p>
        </w:tc>
        <w:tc>
          <w:tcPr>
            <w:tcW w:w="657" w:type="pct"/>
            <w:tcBorders>
              <w:top w:val="nil"/>
              <w:left w:val="nil"/>
              <w:bottom w:val="nil"/>
              <w:right w:val="single" w:sz="8" w:space="0" w:color="BFBFBF"/>
            </w:tcBorders>
            <w:shd w:val="clear" w:color="auto" w:fill="auto"/>
            <w:noWrap/>
            <w:vAlign w:val="center"/>
            <w:hideMark/>
          </w:tcPr>
          <w:p w:rsidR="00195BE7" w:rsidRPr="001E2F6E" w:rsidRDefault="00195BE7" w:rsidP="00195BE7">
            <w:pPr>
              <w:spacing w:line="220" w:lineRule="exact"/>
              <w:jc w:val="right"/>
              <w:rPr>
                <w:color w:val="000000"/>
                <w:sz w:val="16"/>
                <w:szCs w:val="16"/>
              </w:rPr>
            </w:pPr>
            <w:r w:rsidRPr="001E2F6E">
              <w:rPr>
                <w:color w:val="000000"/>
                <w:sz w:val="16"/>
                <w:szCs w:val="16"/>
              </w:rPr>
              <w:t>139.051.509</w:t>
            </w:r>
          </w:p>
        </w:tc>
        <w:tc>
          <w:tcPr>
            <w:tcW w:w="662" w:type="pct"/>
            <w:tcBorders>
              <w:top w:val="nil"/>
              <w:left w:val="nil"/>
              <w:bottom w:val="nil"/>
              <w:right w:val="single" w:sz="8" w:space="0" w:color="BFBFBF"/>
            </w:tcBorders>
            <w:shd w:val="clear" w:color="auto" w:fill="auto"/>
            <w:noWrap/>
            <w:vAlign w:val="center"/>
            <w:hideMark/>
          </w:tcPr>
          <w:p w:rsidR="00195BE7" w:rsidRPr="001E2F6E" w:rsidRDefault="00195BE7" w:rsidP="00195BE7">
            <w:pPr>
              <w:spacing w:line="220" w:lineRule="exact"/>
              <w:jc w:val="right"/>
              <w:rPr>
                <w:color w:val="000000"/>
                <w:sz w:val="16"/>
                <w:szCs w:val="16"/>
              </w:rPr>
            </w:pPr>
            <w:r w:rsidRPr="001E2F6E">
              <w:rPr>
                <w:color w:val="000000"/>
                <w:sz w:val="16"/>
                <w:szCs w:val="16"/>
              </w:rPr>
              <w:t>1.248.313</w:t>
            </w:r>
          </w:p>
        </w:tc>
        <w:tc>
          <w:tcPr>
            <w:tcW w:w="657" w:type="pct"/>
            <w:tcBorders>
              <w:top w:val="nil"/>
              <w:left w:val="nil"/>
              <w:bottom w:val="nil"/>
              <w:right w:val="single" w:sz="8" w:space="0" w:color="BFBFBF"/>
            </w:tcBorders>
            <w:shd w:val="clear" w:color="auto" w:fill="auto"/>
            <w:noWrap/>
            <w:vAlign w:val="center"/>
            <w:hideMark/>
          </w:tcPr>
          <w:p w:rsidR="00195BE7" w:rsidRPr="001E2F6E" w:rsidRDefault="00195BE7" w:rsidP="00195BE7">
            <w:pPr>
              <w:spacing w:line="220" w:lineRule="exact"/>
              <w:jc w:val="right"/>
              <w:rPr>
                <w:color w:val="000000"/>
                <w:sz w:val="16"/>
                <w:szCs w:val="16"/>
              </w:rPr>
            </w:pPr>
            <w:r w:rsidRPr="001E2F6E">
              <w:rPr>
                <w:color w:val="000000"/>
                <w:sz w:val="16"/>
                <w:szCs w:val="16"/>
              </w:rPr>
              <w:t>555.243.685</w:t>
            </w:r>
          </w:p>
        </w:tc>
      </w:tr>
      <w:tr w:rsidR="00195BE7" w:rsidRPr="001E2F6E" w:rsidTr="00195BE7">
        <w:trPr>
          <w:jc w:val="center"/>
        </w:trPr>
        <w:tc>
          <w:tcPr>
            <w:tcW w:w="1836" w:type="pct"/>
            <w:tcBorders>
              <w:top w:val="nil"/>
              <w:left w:val="nil"/>
              <w:bottom w:val="nil"/>
              <w:right w:val="single" w:sz="8" w:space="0" w:color="BFBFBF"/>
            </w:tcBorders>
            <w:shd w:val="clear" w:color="auto" w:fill="auto"/>
            <w:vAlign w:val="bottom"/>
            <w:hideMark/>
          </w:tcPr>
          <w:p w:rsidR="00195BE7" w:rsidRPr="001E2F6E" w:rsidRDefault="00195BE7" w:rsidP="00195BE7">
            <w:pPr>
              <w:spacing w:line="220" w:lineRule="exact"/>
              <w:rPr>
                <w:sz w:val="16"/>
                <w:szCs w:val="16"/>
                <w:lang w:val="eu-ES"/>
              </w:rPr>
            </w:pPr>
            <w:r w:rsidRPr="001E2F6E">
              <w:rPr>
                <w:sz w:val="16"/>
                <w:szCs w:val="16"/>
                <w:lang w:val="eu-ES"/>
              </w:rPr>
              <w:t>76 Finantza-sarrerak</w:t>
            </w:r>
          </w:p>
        </w:tc>
        <w:tc>
          <w:tcPr>
            <w:tcW w:w="657" w:type="pct"/>
            <w:tcBorders>
              <w:top w:val="nil"/>
              <w:left w:val="nil"/>
              <w:bottom w:val="nil"/>
              <w:right w:val="single" w:sz="8" w:space="0" w:color="BFBFBF"/>
            </w:tcBorders>
            <w:shd w:val="clear" w:color="auto" w:fill="auto"/>
            <w:noWrap/>
            <w:vAlign w:val="center"/>
            <w:hideMark/>
          </w:tcPr>
          <w:p w:rsidR="00195BE7" w:rsidRPr="001E2F6E" w:rsidRDefault="00195BE7" w:rsidP="00195BE7">
            <w:pPr>
              <w:spacing w:line="220" w:lineRule="exact"/>
              <w:jc w:val="right"/>
              <w:rPr>
                <w:color w:val="000000"/>
                <w:sz w:val="16"/>
                <w:szCs w:val="16"/>
              </w:rPr>
            </w:pPr>
            <w:r w:rsidRPr="001E2F6E">
              <w:rPr>
                <w:color w:val="000000"/>
                <w:sz w:val="16"/>
                <w:szCs w:val="16"/>
              </w:rPr>
              <w:t>176.593.285</w:t>
            </w:r>
          </w:p>
        </w:tc>
        <w:tc>
          <w:tcPr>
            <w:tcW w:w="531" w:type="pct"/>
            <w:tcBorders>
              <w:top w:val="nil"/>
              <w:left w:val="nil"/>
              <w:bottom w:val="nil"/>
              <w:right w:val="single" w:sz="8" w:space="0" w:color="BFBFBF"/>
            </w:tcBorders>
            <w:shd w:val="clear" w:color="auto" w:fill="auto"/>
            <w:noWrap/>
            <w:vAlign w:val="center"/>
            <w:hideMark/>
          </w:tcPr>
          <w:p w:rsidR="00195BE7" w:rsidRPr="001E2F6E" w:rsidRDefault="00195BE7" w:rsidP="00195BE7">
            <w:pPr>
              <w:spacing w:line="220" w:lineRule="exact"/>
              <w:jc w:val="right"/>
              <w:rPr>
                <w:color w:val="000000"/>
                <w:sz w:val="16"/>
                <w:szCs w:val="16"/>
              </w:rPr>
            </w:pPr>
            <w:r w:rsidRPr="001E2F6E">
              <w:rPr>
                <w:color w:val="000000"/>
                <w:sz w:val="16"/>
                <w:szCs w:val="16"/>
              </w:rPr>
              <w:t>11.834</w:t>
            </w:r>
          </w:p>
        </w:tc>
        <w:tc>
          <w:tcPr>
            <w:tcW w:w="657" w:type="pct"/>
            <w:tcBorders>
              <w:top w:val="nil"/>
              <w:left w:val="nil"/>
              <w:bottom w:val="nil"/>
              <w:right w:val="single" w:sz="8" w:space="0" w:color="BFBFBF"/>
            </w:tcBorders>
            <w:shd w:val="clear" w:color="auto" w:fill="auto"/>
            <w:noWrap/>
            <w:vAlign w:val="center"/>
            <w:hideMark/>
          </w:tcPr>
          <w:p w:rsidR="00195BE7" w:rsidRPr="001E2F6E" w:rsidRDefault="00195BE7" w:rsidP="00195BE7">
            <w:pPr>
              <w:spacing w:line="220" w:lineRule="exact"/>
              <w:jc w:val="right"/>
              <w:rPr>
                <w:color w:val="000000"/>
                <w:sz w:val="16"/>
                <w:szCs w:val="16"/>
              </w:rPr>
            </w:pPr>
            <w:r w:rsidRPr="001E2F6E">
              <w:rPr>
                <w:color w:val="000000"/>
                <w:sz w:val="16"/>
                <w:szCs w:val="16"/>
              </w:rPr>
              <w:t>81.855.587</w:t>
            </w:r>
          </w:p>
        </w:tc>
        <w:tc>
          <w:tcPr>
            <w:tcW w:w="662" w:type="pct"/>
            <w:tcBorders>
              <w:top w:val="nil"/>
              <w:left w:val="nil"/>
              <w:bottom w:val="nil"/>
              <w:right w:val="single" w:sz="8" w:space="0" w:color="BFBFBF"/>
            </w:tcBorders>
            <w:shd w:val="clear" w:color="auto" w:fill="auto"/>
            <w:noWrap/>
            <w:vAlign w:val="center"/>
            <w:hideMark/>
          </w:tcPr>
          <w:p w:rsidR="00195BE7" w:rsidRPr="001E2F6E" w:rsidRDefault="00195BE7" w:rsidP="00195BE7">
            <w:pPr>
              <w:spacing w:line="220" w:lineRule="exact"/>
              <w:jc w:val="right"/>
              <w:rPr>
                <w:color w:val="000000"/>
                <w:sz w:val="16"/>
                <w:szCs w:val="16"/>
              </w:rPr>
            </w:pPr>
            <w:r w:rsidRPr="001E2F6E">
              <w:rPr>
                <w:color w:val="000000"/>
                <w:sz w:val="16"/>
                <w:szCs w:val="16"/>
              </w:rPr>
              <w:t>303.897</w:t>
            </w:r>
          </w:p>
        </w:tc>
        <w:tc>
          <w:tcPr>
            <w:tcW w:w="657" w:type="pct"/>
            <w:tcBorders>
              <w:top w:val="nil"/>
              <w:left w:val="nil"/>
              <w:bottom w:val="nil"/>
              <w:right w:val="single" w:sz="8" w:space="0" w:color="BFBFBF"/>
            </w:tcBorders>
            <w:shd w:val="clear" w:color="auto" w:fill="auto"/>
            <w:noWrap/>
            <w:vAlign w:val="center"/>
            <w:hideMark/>
          </w:tcPr>
          <w:p w:rsidR="00195BE7" w:rsidRPr="001E2F6E" w:rsidRDefault="00195BE7" w:rsidP="00195BE7">
            <w:pPr>
              <w:spacing w:line="220" w:lineRule="exact"/>
              <w:jc w:val="right"/>
              <w:rPr>
                <w:color w:val="000000"/>
                <w:sz w:val="16"/>
                <w:szCs w:val="16"/>
              </w:rPr>
            </w:pPr>
            <w:r w:rsidRPr="001E2F6E">
              <w:rPr>
                <w:color w:val="000000"/>
                <w:sz w:val="16"/>
                <w:szCs w:val="16"/>
              </w:rPr>
              <w:t>94.421.967</w:t>
            </w:r>
          </w:p>
        </w:tc>
      </w:tr>
      <w:tr w:rsidR="00195BE7" w:rsidRPr="001E2F6E" w:rsidTr="00195BE7">
        <w:trPr>
          <w:jc w:val="center"/>
        </w:trPr>
        <w:tc>
          <w:tcPr>
            <w:tcW w:w="1836" w:type="pct"/>
            <w:tcBorders>
              <w:top w:val="nil"/>
              <w:left w:val="nil"/>
              <w:bottom w:val="nil"/>
              <w:right w:val="single" w:sz="8" w:space="0" w:color="BFBFBF"/>
            </w:tcBorders>
            <w:shd w:val="clear" w:color="auto" w:fill="auto"/>
            <w:vAlign w:val="bottom"/>
            <w:hideMark/>
          </w:tcPr>
          <w:p w:rsidR="00195BE7" w:rsidRPr="001E2F6E" w:rsidRDefault="00195BE7" w:rsidP="00195BE7">
            <w:pPr>
              <w:spacing w:line="220" w:lineRule="exact"/>
              <w:rPr>
                <w:sz w:val="16"/>
                <w:szCs w:val="16"/>
                <w:lang w:val="eu-ES"/>
              </w:rPr>
            </w:pPr>
            <w:r w:rsidRPr="001E2F6E">
              <w:rPr>
                <w:sz w:val="16"/>
                <w:szCs w:val="16"/>
                <w:lang w:val="eu-ES"/>
              </w:rPr>
              <w:t>77 Ezohiko diru-sarrerak</w:t>
            </w:r>
          </w:p>
        </w:tc>
        <w:tc>
          <w:tcPr>
            <w:tcW w:w="657" w:type="pct"/>
            <w:tcBorders>
              <w:top w:val="nil"/>
              <w:left w:val="nil"/>
              <w:bottom w:val="nil"/>
              <w:right w:val="single" w:sz="8" w:space="0" w:color="BFBFBF"/>
            </w:tcBorders>
            <w:shd w:val="clear" w:color="auto" w:fill="auto"/>
            <w:noWrap/>
            <w:vAlign w:val="center"/>
            <w:hideMark/>
          </w:tcPr>
          <w:p w:rsidR="00195BE7" w:rsidRPr="001E2F6E" w:rsidRDefault="00195BE7" w:rsidP="00195BE7">
            <w:pPr>
              <w:spacing w:line="220" w:lineRule="exact"/>
              <w:jc w:val="right"/>
              <w:rPr>
                <w:color w:val="000000"/>
                <w:sz w:val="16"/>
                <w:szCs w:val="16"/>
              </w:rPr>
            </w:pPr>
            <w:r w:rsidRPr="001E2F6E">
              <w:rPr>
                <w:color w:val="000000"/>
                <w:sz w:val="16"/>
                <w:szCs w:val="16"/>
              </w:rPr>
              <w:t>90.684.223</w:t>
            </w:r>
          </w:p>
        </w:tc>
        <w:tc>
          <w:tcPr>
            <w:tcW w:w="531" w:type="pct"/>
            <w:tcBorders>
              <w:top w:val="nil"/>
              <w:left w:val="nil"/>
              <w:bottom w:val="nil"/>
              <w:right w:val="single" w:sz="8" w:space="0" w:color="BFBFBF"/>
            </w:tcBorders>
            <w:shd w:val="clear" w:color="auto" w:fill="auto"/>
            <w:noWrap/>
            <w:vAlign w:val="center"/>
            <w:hideMark/>
          </w:tcPr>
          <w:p w:rsidR="00195BE7" w:rsidRPr="001E2F6E" w:rsidRDefault="00195BE7" w:rsidP="00195BE7">
            <w:pPr>
              <w:spacing w:line="220" w:lineRule="exact"/>
              <w:jc w:val="right"/>
              <w:rPr>
                <w:color w:val="000000"/>
                <w:sz w:val="16"/>
                <w:szCs w:val="16"/>
              </w:rPr>
            </w:pPr>
            <w:r w:rsidRPr="001E2F6E">
              <w:rPr>
                <w:color w:val="000000"/>
                <w:sz w:val="16"/>
                <w:szCs w:val="16"/>
              </w:rPr>
              <w:t>248.228</w:t>
            </w:r>
          </w:p>
        </w:tc>
        <w:tc>
          <w:tcPr>
            <w:tcW w:w="657" w:type="pct"/>
            <w:tcBorders>
              <w:top w:val="nil"/>
              <w:left w:val="nil"/>
              <w:bottom w:val="nil"/>
              <w:right w:val="single" w:sz="8" w:space="0" w:color="BFBFBF"/>
            </w:tcBorders>
            <w:shd w:val="clear" w:color="auto" w:fill="auto"/>
            <w:noWrap/>
            <w:vAlign w:val="center"/>
            <w:hideMark/>
          </w:tcPr>
          <w:p w:rsidR="00195BE7" w:rsidRPr="001E2F6E" w:rsidRDefault="00195BE7" w:rsidP="00195BE7">
            <w:pPr>
              <w:spacing w:line="220" w:lineRule="exact"/>
              <w:jc w:val="right"/>
              <w:rPr>
                <w:color w:val="000000"/>
                <w:sz w:val="16"/>
                <w:szCs w:val="16"/>
              </w:rPr>
            </w:pPr>
            <w:r w:rsidRPr="001E2F6E">
              <w:rPr>
                <w:color w:val="000000"/>
                <w:sz w:val="16"/>
                <w:szCs w:val="16"/>
              </w:rPr>
              <w:t>72.664.854</w:t>
            </w:r>
          </w:p>
        </w:tc>
        <w:tc>
          <w:tcPr>
            <w:tcW w:w="662" w:type="pct"/>
            <w:tcBorders>
              <w:top w:val="nil"/>
              <w:left w:val="nil"/>
              <w:bottom w:val="nil"/>
              <w:right w:val="single" w:sz="8" w:space="0" w:color="BFBFBF"/>
            </w:tcBorders>
            <w:shd w:val="clear" w:color="auto" w:fill="auto"/>
            <w:noWrap/>
            <w:vAlign w:val="center"/>
            <w:hideMark/>
          </w:tcPr>
          <w:p w:rsidR="00195BE7" w:rsidRPr="001E2F6E" w:rsidRDefault="00195BE7" w:rsidP="00195BE7">
            <w:pPr>
              <w:spacing w:line="220" w:lineRule="exact"/>
              <w:jc w:val="right"/>
              <w:rPr>
                <w:color w:val="000000"/>
                <w:sz w:val="16"/>
                <w:szCs w:val="16"/>
              </w:rPr>
            </w:pPr>
            <w:r w:rsidRPr="001E2F6E">
              <w:rPr>
                <w:color w:val="000000"/>
                <w:sz w:val="16"/>
                <w:szCs w:val="16"/>
              </w:rPr>
              <w:t>506.225</w:t>
            </w:r>
          </w:p>
        </w:tc>
        <w:tc>
          <w:tcPr>
            <w:tcW w:w="657" w:type="pct"/>
            <w:tcBorders>
              <w:top w:val="nil"/>
              <w:left w:val="nil"/>
              <w:bottom w:val="nil"/>
              <w:right w:val="single" w:sz="8" w:space="0" w:color="BFBFBF"/>
            </w:tcBorders>
            <w:shd w:val="clear" w:color="auto" w:fill="auto"/>
            <w:noWrap/>
            <w:vAlign w:val="center"/>
            <w:hideMark/>
          </w:tcPr>
          <w:p w:rsidR="00195BE7" w:rsidRPr="001E2F6E" w:rsidRDefault="00195BE7" w:rsidP="00195BE7">
            <w:pPr>
              <w:spacing w:line="220" w:lineRule="exact"/>
              <w:jc w:val="right"/>
              <w:rPr>
                <w:color w:val="000000"/>
                <w:sz w:val="16"/>
                <w:szCs w:val="16"/>
              </w:rPr>
            </w:pPr>
            <w:r w:rsidRPr="001E2F6E">
              <w:rPr>
                <w:color w:val="000000"/>
                <w:sz w:val="16"/>
                <w:szCs w:val="16"/>
              </w:rPr>
              <w:t>17.264.916</w:t>
            </w:r>
          </w:p>
        </w:tc>
      </w:tr>
      <w:tr w:rsidR="00195BE7" w:rsidRPr="001E2F6E" w:rsidTr="00195BE7">
        <w:trPr>
          <w:jc w:val="center"/>
        </w:trPr>
        <w:tc>
          <w:tcPr>
            <w:tcW w:w="1836" w:type="pct"/>
            <w:tcBorders>
              <w:top w:val="nil"/>
              <w:left w:val="nil"/>
              <w:bottom w:val="single" w:sz="8" w:space="0" w:color="BFBFBF"/>
              <w:right w:val="single" w:sz="8" w:space="0" w:color="BFBFBF"/>
            </w:tcBorders>
            <w:shd w:val="clear" w:color="auto" w:fill="auto"/>
            <w:vAlign w:val="bottom"/>
            <w:hideMark/>
          </w:tcPr>
          <w:p w:rsidR="00195BE7" w:rsidRPr="001E2F6E" w:rsidRDefault="00195BE7" w:rsidP="00195BE7">
            <w:pPr>
              <w:spacing w:line="220" w:lineRule="exact"/>
              <w:rPr>
                <w:sz w:val="16"/>
                <w:szCs w:val="16"/>
                <w:lang w:val="eu-ES"/>
              </w:rPr>
            </w:pPr>
            <w:r w:rsidRPr="001E2F6E">
              <w:rPr>
                <w:sz w:val="16"/>
                <w:szCs w:val="16"/>
                <w:lang w:val="eu-ES"/>
              </w:rPr>
              <w:t>79 Gehiegizko hornidura</w:t>
            </w:r>
          </w:p>
        </w:tc>
        <w:tc>
          <w:tcPr>
            <w:tcW w:w="657" w:type="pct"/>
            <w:tcBorders>
              <w:top w:val="nil"/>
              <w:left w:val="nil"/>
              <w:bottom w:val="single" w:sz="8" w:space="0" w:color="BFBFBF"/>
              <w:right w:val="single" w:sz="8" w:space="0" w:color="BFBFBF"/>
            </w:tcBorders>
            <w:shd w:val="clear" w:color="auto" w:fill="auto"/>
            <w:noWrap/>
            <w:vAlign w:val="center"/>
            <w:hideMark/>
          </w:tcPr>
          <w:p w:rsidR="00195BE7" w:rsidRPr="001E2F6E" w:rsidRDefault="00195BE7" w:rsidP="00195BE7">
            <w:pPr>
              <w:spacing w:line="220" w:lineRule="exact"/>
              <w:jc w:val="right"/>
              <w:rPr>
                <w:color w:val="000000"/>
                <w:sz w:val="16"/>
                <w:szCs w:val="16"/>
              </w:rPr>
            </w:pPr>
            <w:r w:rsidRPr="001E2F6E">
              <w:rPr>
                <w:color w:val="000000"/>
                <w:sz w:val="16"/>
                <w:szCs w:val="16"/>
              </w:rPr>
              <w:t>124.779.618</w:t>
            </w:r>
          </w:p>
        </w:tc>
        <w:tc>
          <w:tcPr>
            <w:tcW w:w="531" w:type="pct"/>
            <w:tcBorders>
              <w:top w:val="nil"/>
              <w:left w:val="nil"/>
              <w:bottom w:val="single" w:sz="8" w:space="0" w:color="BFBFBF"/>
              <w:right w:val="single" w:sz="8" w:space="0" w:color="BFBFBF"/>
            </w:tcBorders>
            <w:shd w:val="clear" w:color="auto" w:fill="auto"/>
            <w:noWrap/>
            <w:vAlign w:val="center"/>
            <w:hideMark/>
          </w:tcPr>
          <w:p w:rsidR="00195BE7" w:rsidRPr="001E2F6E" w:rsidRDefault="00195BE7" w:rsidP="00195BE7">
            <w:pPr>
              <w:spacing w:line="220" w:lineRule="exact"/>
              <w:jc w:val="right"/>
              <w:rPr>
                <w:color w:val="000000"/>
                <w:sz w:val="16"/>
                <w:szCs w:val="16"/>
              </w:rPr>
            </w:pPr>
            <w:r w:rsidRPr="001E2F6E">
              <w:rPr>
                <w:color w:val="000000"/>
                <w:sz w:val="16"/>
                <w:szCs w:val="16"/>
              </w:rPr>
              <w:t> </w:t>
            </w:r>
          </w:p>
        </w:tc>
        <w:tc>
          <w:tcPr>
            <w:tcW w:w="657" w:type="pct"/>
            <w:tcBorders>
              <w:top w:val="nil"/>
              <w:left w:val="nil"/>
              <w:bottom w:val="single" w:sz="8" w:space="0" w:color="BFBFBF"/>
              <w:right w:val="single" w:sz="8" w:space="0" w:color="BFBFBF"/>
            </w:tcBorders>
            <w:shd w:val="clear" w:color="auto" w:fill="auto"/>
            <w:noWrap/>
            <w:vAlign w:val="center"/>
            <w:hideMark/>
          </w:tcPr>
          <w:p w:rsidR="00195BE7" w:rsidRPr="001E2F6E" w:rsidRDefault="00195BE7" w:rsidP="00195BE7">
            <w:pPr>
              <w:spacing w:line="220" w:lineRule="exact"/>
              <w:jc w:val="right"/>
              <w:rPr>
                <w:color w:val="000000"/>
                <w:sz w:val="16"/>
                <w:szCs w:val="16"/>
              </w:rPr>
            </w:pPr>
            <w:r w:rsidRPr="001E2F6E">
              <w:rPr>
                <w:color w:val="000000"/>
                <w:sz w:val="16"/>
                <w:szCs w:val="16"/>
              </w:rPr>
              <w:t>54.479.965</w:t>
            </w:r>
          </w:p>
        </w:tc>
        <w:tc>
          <w:tcPr>
            <w:tcW w:w="662" w:type="pct"/>
            <w:tcBorders>
              <w:top w:val="nil"/>
              <w:left w:val="nil"/>
              <w:bottom w:val="single" w:sz="8" w:space="0" w:color="BFBFBF"/>
              <w:right w:val="single" w:sz="8" w:space="0" w:color="BFBFBF"/>
            </w:tcBorders>
            <w:shd w:val="clear" w:color="auto" w:fill="auto"/>
            <w:noWrap/>
            <w:vAlign w:val="center"/>
            <w:hideMark/>
          </w:tcPr>
          <w:p w:rsidR="00195BE7" w:rsidRPr="001E2F6E" w:rsidRDefault="00195BE7" w:rsidP="00195BE7">
            <w:pPr>
              <w:spacing w:line="220" w:lineRule="exact"/>
              <w:jc w:val="right"/>
              <w:rPr>
                <w:color w:val="000000"/>
                <w:sz w:val="16"/>
                <w:szCs w:val="16"/>
              </w:rPr>
            </w:pPr>
            <w:r w:rsidRPr="001E2F6E">
              <w:rPr>
                <w:color w:val="000000"/>
                <w:sz w:val="16"/>
                <w:szCs w:val="16"/>
              </w:rPr>
              <w:t>102.345</w:t>
            </w:r>
          </w:p>
        </w:tc>
        <w:tc>
          <w:tcPr>
            <w:tcW w:w="657" w:type="pct"/>
            <w:tcBorders>
              <w:top w:val="nil"/>
              <w:left w:val="nil"/>
              <w:bottom w:val="nil"/>
              <w:right w:val="single" w:sz="8" w:space="0" w:color="BFBFBF"/>
            </w:tcBorders>
            <w:shd w:val="clear" w:color="auto" w:fill="auto"/>
            <w:noWrap/>
            <w:vAlign w:val="center"/>
            <w:hideMark/>
          </w:tcPr>
          <w:p w:rsidR="00195BE7" w:rsidRPr="001E2F6E" w:rsidRDefault="00195BE7" w:rsidP="00195BE7">
            <w:pPr>
              <w:spacing w:line="220" w:lineRule="exact"/>
              <w:jc w:val="right"/>
              <w:rPr>
                <w:color w:val="000000"/>
                <w:sz w:val="16"/>
                <w:szCs w:val="16"/>
              </w:rPr>
            </w:pPr>
            <w:r w:rsidRPr="001E2F6E">
              <w:rPr>
                <w:color w:val="000000"/>
                <w:sz w:val="16"/>
                <w:szCs w:val="16"/>
              </w:rPr>
              <w:t>70.197.308</w:t>
            </w:r>
          </w:p>
        </w:tc>
      </w:tr>
      <w:tr w:rsidR="00195BE7" w:rsidRPr="001E2F6E" w:rsidTr="00195BE7">
        <w:trPr>
          <w:jc w:val="center"/>
        </w:trPr>
        <w:tc>
          <w:tcPr>
            <w:tcW w:w="1836" w:type="pct"/>
            <w:tcBorders>
              <w:top w:val="nil"/>
              <w:left w:val="nil"/>
              <w:bottom w:val="single" w:sz="8" w:space="0" w:color="BFBFBF"/>
              <w:right w:val="single" w:sz="8" w:space="0" w:color="BFBFBF"/>
            </w:tcBorders>
            <w:shd w:val="clear" w:color="000000" w:fill="E6E6E6"/>
            <w:vAlign w:val="bottom"/>
            <w:hideMark/>
          </w:tcPr>
          <w:p w:rsidR="00195BE7" w:rsidRPr="001E2F6E" w:rsidRDefault="00195BE7" w:rsidP="00195BE7">
            <w:pPr>
              <w:spacing w:line="220" w:lineRule="exact"/>
              <w:rPr>
                <w:rFonts w:eastAsia="Times New Roman"/>
                <w:b/>
                <w:bCs/>
                <w:color w:val="000000"/>
                <w:sz w:val="16"/>
                <w:szCs w:val="16"/>
                <w:lang w:eastAsia="es-ES"/>
              </w:rPr>
            </w:pPr>
            <w:r w:rsidRPr="001E2F6E">
              <w:rPr>
                <w:rFonts w:eastAsia="Times New Roman"/>
                <w:b/>
                <w:bCs/>
                <w:color w:val="000000"/>
                <w:sz w:val="16"/>
                <w:szCs w:val="16"/>
                <w:lang w:eastAsia="es-ES"/>
              </w:rPr>
              <w:t> </w:t>
            </w:r>
          </w:p>
        </w:tc>
        <w:tc>
          <w:tcPr>
            <w:tcW w:w="657" w:type="pct"/>
            <w:tcBorders>
              <w:top w:val="nil"/>
              <w:left w:val="nil"/>
              <w:bottom w:val="single" w:sz="8" w:space="0" w:color="BFBFBF"/>
              <w:right w:val="single" w:sz="8" w:space="0" w:color="BFBFBF"/>
            </w:tcBorders>
            <w:shd w:val="clear" w:color="000000" w:fill="E6E6E6"/>
            <w:vAlign w:val="center"/>
            <w:hideMark/>
          </w:tcPr>
          <w:p w:rsidR="00195BE7" w:rsidRPr="001E2F6E" w:rsidRDefault="00195BE7" w:rsidP="00195BE7">
            <w:pPr>
              <w:spacing w:line="220" w:lineRule="exact"/>
              <w:jc w:val="right"/>
              <w:rPr>
                <w:b/>
                <w:bCs/>
                <w:color w:val="000000"/>
                <w:sz w:val="16"/>
                <w:szCs w:val="16"/>
              </w:rPr>
            </w:pPr>
            <w:r w:rsidRPr="001E2F6E">
              <w:rPr>
                <w:b/>
                <w:bCs/>
                <w:color w:val="000000"/>
                <w:sz w:val="16"/>
                <w:szCs w:val="16"/>
              </w:rPr>
              <w:t>9.079.886.468</w:t>
            </w:r>
          </w:p>
        </w:tc>
        <w:tc>
          <w:tcPr>
            <w:tcW w:w="531" w:type="pct"/>
            <w:tcBorders>
              <w:top w:val="nil"/>
              <w:left w:val="nil"/>
              <w:bottom w:val="single" w:sz="8" w:space="0" w:color="BFBFBF"/>
              <w:right w:val="single" w:sz="8" w:space="0" w:color="BFBFBF"/>
            </w:tcBorders>
            <w:shd w:val="clear" w:color="000000" w:fill="E6E6E6"/>
            <w:vAlign w:val="center"/>
            <w:hideMark/>
          </w:tcPr>
          <w:p w:rsidR="00195BE7" w:rsidRPr="001E2F6E" w:rsidRDefault="00195BE7" w:rsidP="00195BE7">
            <w:pPr>
              <w:spacing w:line="220" w:lineRule="exact"/>
              <w:jc w:val="right"/>
              <w:rPr>
                <w:b/>
                <w:bCs/>
                <w:color w:val="000000"/>
                <w:sz w:val="16"/>
                <w:szCs w:val="16"/>
              </w:rPr>
            </w:pPr>
            <w:r w:rsidRPr="001E2F6E">
              <w:rPr>
                <w:b/>
                <w:bCs/>
                <w:color w:val="000000"/>
                <w:sz w:val="16"/>
                <w:szCs w:val="16"/>
              </w:rPr>
              <w:t>11.255.581</w:t>
            </w:r>
          </w:p>
        </w:tc>
        <w:tc>
          <w:tcPr>
            <w:tcW w:w="657" w:type="pct"/>
            <w:tcBorders>
              <w:top w:val="nil"/>
              <w:left w:val="nil"/>
              <w:bottom w:val="single" w:sz="8" w:space="0" w:color="BFBFBF"/>
              <w:right w:val="single" w:sz="8" w:space="0" w:color="BFBFBF"/>
            </w:tcBorders>
            <w:shd w:val="clear" w:color="000000" w:fill="E6E6E6"/>
            <w:vAlign w:val="center"/>
            <w:hideMark/>
          </w:tcPr>
          <w:p w:rsidR="00195BE7" w:rsidRPr="001E2F6E" w:rsidRDefault="00195BE7" w:rsidP="00195BE7">
            <w:pPr>
              <w:spacing w:line="220" w:lineRule="exact"/>
              <w:jc w:val="right"/>
              <w:rPr>
                <w:b/>
                <w:bCs/>
                <w:color w:val="000000"/>
                <w:sz w:val="16"/>
                <w:szCs w:val="16"/>
              </w:rPr>
            </w:pPr>
            <w:r w:rsidRPr="001E2F6E">
              <w:rPr>
                <w:b/>
                <w:bCs/>
                <w:color w:val="000000"/>
                <w:sz w:val="16"/>
                <w:szCs w:val="16"/>
              </w:rPr>
              <w:t>4.529.508.556</w:t>
            </w:r>
          </w:p>
        </w:tc>
        <w:tc>
          <w:tcPr>
            <w:tcW w:w="662" w:type="pct"/>
            <w:tcBorders>
              <w:top w:val="nil"/>
              <w:left w:val="nil"/>
              <w:bottom w:val="single" w:sz="8" w:space="0" w:color="BFBFBF"/>
              <w:right w:val="single" w:sz="8" w:space="0" w:color="BFBFBF"/>
            </w:tcBorders>
            <w:shd w:val="clear" w:color="000000" w:fill="E6E6E6"/>
            <w:vAlign w:val="center"/>
            <w:hideMark/>
          </w:tcPr>
          <w:p w:rsidR="00195BE7" w:rsidRPr="001E2F6E" w:rsidRDefault="00195BE7" w:rsidP="00195BE7">
            <w:pPr>
              <w:spacing w:line="220" w:lineRule="exact"/>
              <w:jc w:val="right"/>
              <w:rPr>
                <w:b/>
                <w:bCs/>
                <w:color w:val="000000"/>
                <w:sz w:val="16"/>
                <w:szCs w:val="16"/>
              </w:rPr>
            </w:pPr>
            <w:r w:rsidRPr="001E2F6E">
              <w:rPr>
                <w:b/>
                <w:bCs/>
                <w:color w:val="000000"/>
                <w:sz w:val="16"/>
                <w:szCs w:val="16"/>
              </w:rPr>
              <w:t>143.122.978</w:t>
            </w:r>
          </w:p>
        </w:tc>
        <w:tc>
          <w:tcPr>
            <w:tcW w:w="657" w:type="pct"/>
            <w:tcBorders>
              <w:top w:val="nil"/>
              <w:left w:val="nil"/>
              <w:bottom w:val="single" w:sz="8" w:space="0" w:color="BFBFBF"/>
              <w:right w:val="nil"/>
            </w:tcBorders>
            <w:shd w:val="clear" w:color="000000" w:fill="E6E6E6"/>
            <w:vAlign w:val="center"/>
            <w:hideMark/>
          </w:tcPr>
          <w:p w:rsidR="00195BE7" w:rsidRPr="001E2F6E" w:rsidRDefault="00195BE7" w:rsidP="00195BE7">
            <w:pPr>
              <w:spacing w:line="220" w:lineRule="exact"/>
              <w:jc w:val="right"/>
              <w:rPr>
                <w:b/>
                <w:bCs/>
                <w:color w:val="000000"/>
                <w:sz w:val="16"/>
                <w:szCs w:val="16"/>
              </w:rPr>
            </w:pPr>
            <w:r w:rsidRPr="001E2F6E">
              <w:rPr>
                <w:b/>
                <w:bCs/>
                <w:color w:val="000000"/>
                <w:sz w:val="16"/>
                <w:szCs w:val="16"/>
              </w:rPr>
              <w:t>4.395.999.351</w:t>
            </w:r>
          </w:p>
        </w:tc>
      </w:tr>
      <w:tr w:rsidR="00195BE7" w:rsidRPr="001E2F6E" w:rsidTr="00195BE7">
        <w:trPr>
          <w:jc w:val="center"/>
        </w:trPr>
        <w:tc>
          <w:tcPr>
            <w:tcW w:w="1836" w:type="pct"/>
            <w:tcBorders>
              <w:top w:val="nil"/>
              <w:left w:val="nil"/>
              <w:bottom w:val="nil"/>
              <w:right w:val="single" w:sz="8" w:space="0" w:color="BFBFBF"/>
            </w:tcBorders>
            <w:shd w:val="clear" w:color="auto" w:fill="auto"/>
            <w:vAlign w:val="bottom"/>
            <w:hideMark/>
          </w:tcPr>
          <w:p w:rsidR="00195BE7" w:rsidRPr="001E2F6E" w:rsidRDefault="00195BE7" w:rsidP="00195BE7">
            <w:pPr>
              <w:spacing w:line="220" w:lineRule="exact"/>
              <w:rPr>
                <w:b/>
                <w:bCs/>
                <w:sz w:val="16"/>
                <w:szCs w:val="16"/>
                <w:lang w:val="eu-ES"/>
              </w:rPr>
            </w:pPr>
            <w:r w:rsidRPr="001E2F6E">
              <w:rPr>
                <w:b/>
                <w:bCs/>
                <w:sz w:val="16"/>
                <w:szCs w:val="16"/>
                <w:lang w:val="eu-ES"/>
              </w:rPr>
              <w:t>GASTUAK</w:t>
            </w:r>
          </w:p>
        </w:tc>
        <w:tc>
          <w:tcPr>
            <w:tcW w:w="657" w:type="pct"/>
            <w:tcBorders>
              <w:top w:val="nil"/>
              <w:left w:val="nil"/>
              <w:bottom w:val="nil"/>
              <w:right w:val="single" w:sz="8" w:space="0" w:color="BFBFBF"/>
            </w:tcBorders>
            <w:shd w:val="clear" w:color="auto" w:fill="auto"/>
            <w:noWrap/>
            <w:vAlign w:val="center"/>
            <w:hideMark/>
          </w:tcPr>
          <w:p w:rsidR="00195BE7" w:rsidRPr="001E2F6E" w:rsidRDefault="00195BE7" w:rsidP="00195BE7">
            <w:pPr>
              <w:spacing w:line="220" w:lineRule="exact"/>
              <w:jc w:val="right"/>
              <w:rPr>
                <w:color w:val="000000"/>
                <w:sz w:val="16"/>
                <w:szCs w:val="16"/>
              </w:rPr>
            </w:pPr>
            <w:r w:rsidRPr="001E2F6E">
              <w:rPr>
                <w:color w:val="000000"/>
                <w:sz w:val="16"/>
                <w:szCs w:val="16"/>
              </w:rPr>
              <w:t> </w:t>
            </w:r>
          </w:p>
        </w:tc>
        <w:tc>
          <w:tcPr>
            <w:tcW w:w="531" w:type="pct"/>
            <w:tcBorders>
              <w:top w:val="nil"/>
              <w:left w:val="nil"/>
              <w:bottom w:val="nil"/>
              <w:right w:val="single" w:sz="8" w:space="0" w:color="BFBFBF"/>
            </w:tcBorders>
            <w:shd w:val="clear" w:color="auto" w:fill="auto"/>
            <w:vAlign w:val="center"/>
            <w:hideMark/>
          </w:tcPr>
          <w:p w:rsidR="00195BE7" w:rsidRPr="001E2F6E" w:rsidRDefault="00195BE7" w:rsidP="00195BE7">
            <w:pPr>
              <w:spacing w:line="220" w:lineRule="exact"/>
              <w:jc w:val="right"/>
              <w:rPr>
                <w:b/>
                <w:bCs/>
                <w:color w:val="000000"/>
                <w:sz w:val="16"/>
                <w:szCs w:val="16"/>
              </w:rPr>
            </w:pPr>
            <w:r w:rsidRPr="001E2F6E">
              <w:rPr>
                <w:b/>
                <w:bCs/>
                <w:color w:val="000000"/>
                <w:sz w:val="16"/>
                <w:szCs w:val="16"/>
              </w:rPr>
              <w:t> </w:t>
            </w:r>
          </w:p>
        </w:tc>
        <w:tc>
          <w:tcPr>
            <w:tcW w:w="657" w:type="pct"/>
            <w:tcBorders>
              <w:top w:val="nil"/>
              <w:left w:val="nil"/>
              <w:bottom w:val="nil"/>
              <w:right w:val="single" w:sz="8" w:space="0" w:color="BFBFBF"/>
            </w:tcBorders>
            <w:shd w:val="clear" w:color="auto" w:fill="auto"/>
            <w:vAlign w:val="center"/>
            <w:hideMark/>
          </w:tcPr>
          <w:p w:rsidR="00195BE7" w:rsidRPr="001E2F6E" w:rsidRDefault="00195BE7" w:rsidP="00195BE7">
            <w:pPr>
              <w:spacing w:line="220" w:lineRule="exact"/>
              <w:jc w:val="right"/>
              <w:rPr>
                <w:b/>
                <w:bCs/>
                <w:color w:val="000000"/>
                <w:sz w:val="16"/>
                <w:szCs w:val="16"/>
              </w:rPr>
            </w:pPr>
            <w:r w:rsidRPr="001E2F6E">
              <w:rPr>
                <w:b/>
                <w:bCs/>
                <w:color w:val="000000"/>
                <w:sz w:val="16"/>
                <w:szCs w:val="16"/>
              </w:rPr>
              <w:t> </w:t>
            </w:r>
          </w:p>
        </w:tc>
        <w:tc>
          <w:tcPr>
            <w:tcW w:w="662" w:type="pct"/>
            <w:tcBorders>
              <w:top w:val="nil"/>
              <w:left w:val="nil"/>
              <w:bottom w:val="nil"/>
              <w:right w:val="single" w:sz="8" w:space="0" w:color="BFBFBF"/>
            </w:tcBorders>
            <w:shd w:val="clear" w:color="auto" w:fill="auto"/>
            <w:vAlign w:val="center"/>
            <w:hideMark/>
          </w:tcPr>
          <w:p w:rsidR="00195BE7" w:rsidRPr="001E2F6E" w:rsidRDefault="00195BE7" w:rsidP="00195BE7">
            <w:pPr>
              <w:spacing w:line="220" w:lineRule="exact"/>
              <w:jc w:val="right"/>
              <w:rPr>
                <w:b/>
                <w:bCs/>
                <w:color w:val="000000"/>
                <w:sz w:val="16"/>
                <w:szCs w:val="16"/>
              </w:rPr>
            </w:pPr>
            <w:r w:rsidRPr="001E2F6E">
              <w:rPr>
                <w:b/>
                <w:bCs/>
                <w:color w:val="000000"/>
                <w:sz w:val="16"/>
                <w:szCs w:val="16"/>
              </w:rPr>
              <w:t> </w:t>
            </w:r>
          </w:p>
        </w:tc>
        <w:tc>
          <w:tcPr>
            <w:tcW w:w="657" w:type="pct"/>
            <w:tcBorders>
              <w:top w:val="nil"/>
              <w:left w:val="nil"/>
              <w:bottom w:val="nil"/>
              <w:right w:val="single" w:sz="8" w:space="0" w:color="BFBFBF"/>
            </w:tcBorders>
            <w:shd w:val="clear" w:color="auto" w:fill="auto"/>
            <w:noWrap/>
            <w:vAlign w:val="center"/>
            <w:hideMark/>
          </w:tcPr>
          <w:p w:rsidR="00195BE7" w:rsidRPr="001E2F6E" w:rsidRDefault="00195BE7" w:rsidP="00195BE7">
            <w:pPr>
              <w:spacing w:line="220" w:lineRule="exact"/>
              <w:jc w:val="right"/>
              <w:rPr>
                <w:color w:val="000000"/>
                <w:sz w:val="16"/>
                <w:szCs w:val="16"/>
              </w:rPr>
            </w:pPr>
            <w:r w:rsidRPr="001E2F6E">
              <w:rPr>
                <w:color w:val="000000"/>
                <w:sz w:val="16"/>
                <w:szCs w:val="16"/>
              </w:rPr>
              <w:t> </w:t>
            </w:r>
          </w:p>
        </w:tc>
      </w:tr>
      <w:tr w:rsidR="00195BE7" w:rsidRPr="001E2F6E" w:rsidTr="00195BE7">
        <w:trPr>
          <w:jc w:val="center"/>
        </w:trPr>
        <w:tc>
          <w:tcPr>
            <w:tcW w:w="1836" w:type="pct"/>
            <w:tcBorders>
              <w:top w:val="nil"/>
              <w:left w:val="nil"/>
              <w:bottom w:val="nil"/>
              <w:right w:val="single" w:sz="8" w:space="0" w:color="BFBFBF"/>
            </w:tcBorders>
            <w:shd w:val="clear" w:color="auto" w:fill="auto"/>
            <w:vAlign w:val="bottom"/>
            <w:hideMark/>
          </w:tcPr>
          <w:p w:rsidR="00195BE7" w:rsidRPr="001E2F6E" w:rsidRDefault="00195BE7" w:rsidP="00195BE7">
            <w:pPr>
              <w:spacing w:line="220" w:lineRule="exact"/>
              <w:rPr>
                <w:sz w:val="16"/>
                <w:szCs w:val="16"/>
                <w:lang w:val="eu-ES"/>
              </w:rPr>
            </w:pPr>
            <w:r w:rsidRPr="001E2F6E">
              <w:rPr>
                <w:sz w:val="16"/>
                <w:szCs w:val="16"/>
                <w:lang w:val="eu-ES"/>
              </w:rPr>
              <w:t>60 Erosketa garbiak</w:t>
            </w:r>
          </w:p>
        </w:tc>
        <w:tc>
          <w:tcPr>
            <w:tcW w:w="657" w:type="pct"/>
            <w:tcBorders>
              <w:top w:val="nil"/>
              <w:left w:val="nil"/>
              <w:bottom w:val="nil"/>
              <w:right w:val="single" w:sz="8" w:space="0" w:color="BFBFBF"/>
            </w:tcBorders>
            <w:shd w:val="clear" w:color="auto" w:fill="auto"/>
            <w:noWrap/>
            <w:vAlign w:val="center"/>
            <w:hideMark/>
          </w:tcPr>
          <w:p w:rsidR="00195BE7" w:rsidRPr="001E2F6E" w:rsidRDefault="00195BE7" w:rsidP="00195BE7">
            <w:pPr>
              <w:spacing w:line="220" w:lineRule="exact"/>
              <w:jc w:val="right"/>
              <w:rPr>
                <w:color w:val="000000"/>
                <w:sz w:val="16"/>
                <w:szCs w:val="16"/>
              </w:rPr>
            </w:pPr>
            <w:r w:rsidRPr="001E2F6E">
              <w:rPr>
                <w:color w:val="000000"/>
                <w:sz w:val="16"/>
                <w:szCs w:val="16"/>
              </w:rPr>
              <w:t>4.515.347.797</w:t>
            </w:r>
          </w:p>
        </w:tc>
        <w:tc>
          <w:tcPr>
            <w:tcW w:w="531" w:type="pct"/>
            <w:tcBorders>
              <w:top w:val="nil"/>
              <w:left w:val="nil"/>
              <w:bottom w:val="nil"/>
              <w:right w:val="single" w:sz="8" w:space="0" w:color="BFBFBF"/>
            </w:tcBorders>
            <w:shd w:val="clear" w:color="auto" w:fill="auto"/>
            <w:noWrap/>
            <w:vAlign w:val="center"/>
            <w:hideMark/>
          </w:tcPr>
          <w:p w:rsidR="00195BE7" w:rsidRPr="001E2F6E" w:rsidRDefault="00195BE7" w:rsidP="00195BE7">
            <w:pPr>
              <w:spacing w:line="220" w:lineRule="exact"/>
              <w:jc w:val="right"/>
              <w:rPr>
                <w:color w:val="000000"/>
                <w:sz w:val="16"/>
                <w:szCs w:val="16"/>
              </w:rPr>
            </w:pPr>
            <w:r w:rsidRPr="001E2F6E">
              <w:rPr>
                <w:color w:val="000000"/>
                <w:sz w:val="16"/>
                <w:szCs w:val="16"/>
              </w:rPr>
              <w:t>5.894.916</w:t>
            </w:r>
          </w:p>
        </w:tc>
        <w:tc>
          <w:tcPr>
            <w:tcW w:w="657" w:type="pct"/>
            <w:tcBorders>
              <w:top w:val="nil"/>
              <w:left w:val="nil"/>
              <w:bottom w:val="nil"/>
              <w:right w:val="single" w:sz="8" w:space="0" w:color="BFBFBF"/>
            </w:tcBorders>
            <w:shd w:val="clear" w:color="auto" w:fill="auto"/>
            <w:noWrap/>
            <w:vAlign w:val="center"/>
            <w:hideMark/>
          </w:tcPr>
          <w:p w:rsidR="00195BE7" w:rsidRPr="001E2F6E" w:rsidRDefault="00195BE7" w:rsidP="00195BE7">
            <w:pPr>
              <w:spacing w:line="220" w:lineRule="exact"/>
              <w:jc w:val="right"/>
              <w:rPr>
                <w:color w:val="000000"/>
                <w:sz w:val="16"/>
                <w:szCs w:val="16"/>
              </w:rPr>
            </w:pPr>
            <w:r w:rsidRPr="001E2F6E">
              <w:rPr>
                <w:color w:val="000000"/>
                <w:sz w:val="16"/>
                <w:szCs w:val="16"/>
              </w:rPr>
              <w:t>2.414.538.948</w:t>
            </w:r>
          </w:p>
        </w:tc>
        <w:tc>
          <w:tcPr>
            <w:tcW w:w="662" w:type="pct"/>
            <w:tcBorders>
              <w:top w:val="nil"/>
              <w:left w:val="nil"/>
              <w:bottom w:val="nil"/>
              <w:right w:val="single" w:sz="8" w:space="0" w:color="BFBFBF"/>
            </w:tcBorders>
            <w:shd w:val="clear" w:color="auto" w:fill="auto"/>
            <w:noWrap/>
            <w:vAlign w:val="center"/>
            <w:hideMark/>
          </w:tcPr>
          <w:p w:rsidR="00195BE7" w:rsidRPr="001E2F6E" w:rsidRDefault="00195BE7" w:rsidP="00195BE7">
            <w:pPr>
              <w:spacing w:line="220" w:lineRule="exact"/>
              <w:jc w:val="right"/>
              <w:rPr>
                <w:color w:val="000000"/>
                <w:sz w:val="16"/>
                <w:szCs w:val="16"/>
              </w:rPr>
            </w:pPr>
            <w:r w:rsidRPr="001E2F6E">
              <w:rPr>
                <w:color w:val="000000"/>
                <w:sz w:val="16"/>
                <w:szCs w:val="16"/>
              </w:rPr>
              <w:t>86.497.332</w:t>
            </w:r>
          </w:p>
        </w:tc>
        <w:tc>
          <w:tcPr>
            <w:tcW w:w="657" w:type="pct"/>
            <w:tcBorders>
              <w:top w:val="nil"/>
              <w:left w:val="nil"/>
              <w:bottom w:val="nil"/>
              <w:right w:val="single" w:sz="8" w:space="0" w:color="BFBFBF"/>
            </w:tcBorders>
            <w:shd w:val="clear" w:color="auto" w:fill="auto"/>
            <w:noWrap/>
            <w:vAlign w:val="center"/>
            <w:hideMark/>
          </w:tcPr>
          <w:p w:rsidR="00195BE7" w:rsidRPr="001E2F6E" w:rsidRDefault="00195BE7" w:rsidP="00195BE7">
            <w:pPr>
              <w:spacing w:line="220" w:lineRule="exact"/>
              <w:jc w:val="right"/>
              <w:rPr>
                <w:color w:val="000000"/>
                <w:sz w:val="16"/>
                <w:szCs w:val="16"/>
              </w:rPr>
            </w:pPr>
            <w:r w:rsidRPr="001E2F6E">
              <w:rPr>
                <w:color w:val="000000"/>
                <w:sz w:val="16"/>
                <w:szCs w:val="16"/>
              </w:rPr>
              <w:t>2.008.416.602</w:t>
            </w:r>
          </w:p>
        </w:tc>
      </w:tr>
      <w:tr w:rsidR="00195BE7" w:rsidRPr="001E2F6E" w:rsidTr="00195BE7">
        <w:trPr>
          <w:jc w:val="center"/>
        </w:trPr>
        <w:tc>
          <w:tcPr>
            <w:tcW w:w="1836" w:type="pct"/>
            <w:tcBorders>
              <w:top w:val="nil"/>
              <w:left w:val="nil"/>
              <w:bottom w:val="nil"/>
              <w:right w:val="single" w:sz="8" w:space="0" w:color="BFBFBF"/>
            </w:tcBorders>
            <w:shd w:val="clear" w:color="auto" w:fill="auto"/>
            <w:vAlign w:val="bottom"/>
            <w:hideMark/>
          </w:tcPr>
          <w:p w:rsidR="00195BE7" w:rsidRPr="001E2F6E" w:rsidRDefault="00195BE7" w:rsidP="00195BE7">
            <w:pPr>
              <w:spacing w:line="220" w:lineRule="exact"/>
              <w:rPr>
                <w:sz w:val="16"/>
                <w:szCs w:val="16"/>
                <w:lang w:val="eu-ES"/>
              </w:rPr>
            </w:pPr>
            <w:r w:rsidRPr="001E2F6E">
              <w:rPr>
                <w:sz w:val="16"/>
                <w:szCs w:val="16"/>
                <w:lang w:val="eu-ES"/>
              </w:rPr>
              <w:t>61 Izakinen aldaketa</w:t>
            </w:r>
          </w:p>
        </w:tc>
        <w:tc>
          <w:tcPr>
            <w:tcW w:w="657" w:type="pct"/>
            <w:tcBorders>
              <w:top w:val="nil"/>
              <w:left w:val="nil"/>
              <w:bottom w:val="nil"/>
              <w:right w:val="single" w:sz="8" w:space="0" w:color="BFBFBF"/>
            </w:tcBorders>
            <w:shd w:val="clear" w:color="auto" w:fill="auto"/>
            <w:noWrap/>
            <w:vAlign w:val="center"/>
            <w:hideMark/>
          </w:tcPr>
          <w:p w:rsidR="00195BE7" w:rsidRPr="001E2F6E" w:rsidRDefault="00195BE7" w:rsidP="00195BE7">
            <w:pPr>
              <w:spacing w:line="220" w:lineRule="exact"/>
              <w:jc w:val="right"/>
              <w:rPr>
                <w:color w:val="000000"/>
                <w:sz w:val="16"/>
                <w:szCs w:val="16"/>
              </w:rPr>
            </w:pPr>
            <w:r w:rsidRPr="001E2F6E">
              <w:rPr>
                <w:color w:val="000000"/>
                <w:sz w:val="16"/>
                <w:szCs w:val="16"/>
              </w:rPr>
              <w:t>30.749.104</w:t>
            </w:r>
          </w:p>
        </w:tc>
        <w:tc>
          <w:tcPr>
            <w:tcW w:w="531" w:type="pct"/>
            <w:tcBorders>
              <w:top w:val="nil"/>
              <w:left w:val="nil"/>
              <w:bottom w:val="nil"/>
              <w:right w:val="single" w:sz="8" w:space="0" w:color="BFBFBF"/>
            </w:tcBorders>
            <w:shd w:val="clear" w:color="auto" w:fill="auto"/>
            <w:noWrap/>
            <w:vAlign w:val="center"/>
            <w:hideMark/>
          </w:tcPr>
          <w:p w:rsidR="00195BE7" w:rsidRPr="001E2F6E" w:rsidRDefault="00195BE7" w:rsidP="00195BE7">
            <w:pPr>
              <w:spacing w:line="220" w:lineRule="exact"/>
              <w:jc w:val="right"/>
              <w:rPr>
                <w:color w:val="000000"/>
                <w:sz w:val="16"/>
                <w:szCs w:val="16"/>
              </w:rPr>
            </w:pPr>
            <w:r w:rsidRPr="001E2F6E">
              <w:rPr>
                <w:color w:val="000000"/>
                <w:sz w:val="16"/>
                <w:szCs w:val="16"/>
              </w:rPr>
              <w:t>85.101</w:t>
            </w:r>
          </w:p>
        </w:tc>
        <w:tc>
          <w:tcPr>
            <w:tcW w:w="657" w:type="pct"/>
            <w:tcBorders>
              <w:top w:val="nil"/>
              <w:left w:val="nil"/>
              <w:bottom w:val="nil"/>
              <w:right w:val="single" w:sz="8" w:space="0" w:color="BFBFBF"/>
            </w:tcBorders>
            <w:shd w:val="clear" w:color="auto" w:fill="auto"/>
            <w:noWrap/>
            <w:vAlign w:val="center"/>
            <w:hideMark/>
          </w:tcPr>
          <w:p w:rsidR="00195BE7" w:rsidRPr="001E2F6E" w:rsidRDefault="00195BE7" w:rsidP="00195BE7">
            <w:pPr>
              <w:spacing w:line="220" w:lineRule="exact"/>
              <w:jc w:val="right"/>
              <w:rPr>
                <w:color w:val="000000"/>
                <w:sz w:val="16"/>
                <w:szCs w:val="16"/>
              </w:rPr>
            </w:pPr>
            <w:r w:rsidRPr="001E2F6E">
              <w:rPr>
                <w:color w:val="000000"/>
                <w:sz w:val="16"/>
                <w:szCs w:val="16"/>
              </w:rPr>
              <w:t>22.483.885</w:t>
            </w:r>
          </w:p>
        </w:tc>
        <w:tc>
          <w:tcPr>
            <w:tcW w:w="662" w:type="pct"/>
            <w:tcBorders>
              <w:top w:val="nil"/>
              <w:left w:val="nil"/>
              <w:bottom w:val="nil"/>
              <w:right w:val="single" w:sz="8" w:space="0" w:color="BFBFBF"/>
            </w:tcBorders>
            <w:shd w:val="clear" w:color="auto" w:fill="auto"/>
            <w:noWrap/>
            <w:vAlign w:val="center"/>
            <w:hideMark/>
          </w:tcPr>
          <w:p w:rsidR="00195BE7" w:rsidRPr="001E2F6E" w:rsidRDefault="00195BE7" w:rsidP="00195BE7">
            <w:pPr>
              <w:spacing w:line="220" w:lineRule="exact"/>
              <w:jc w:val="right"/>
              <w:rPr>
                <w:color w:val="000000"/>
                <w:sz w:val="16"/>
                <w:szCs w:val="16"/>
              </w:rPr>
            </w:pPr>
            <w:r w:rsidRPr="001E2F6E">
              <w:rPr>
                <w:color w:val="000000"/>
                <w:sz w:val="16"/>
                <w:szCs w:val="16"/>
              </w:rPr>
              <w:t>-59.087</w:t>
            </w:r>
          </w:p>
        </w:tc>
        <w:tc>
          <w:tcPr>
            <w:tcW w:w="657" w:type="pct"/>
            <w:tcBorders>
              <w:top w:val="nil"/>
              <w:left w:val="nil"/>
              <w:bottom w:val="nil"/>
              <w:right w:val="single" w:sz="8" w:space="0" w:color="BFBFBF"/>
            </w:tcBorders>
            <w:shd w:val="clear" w:color="auto" w:fill="auto"/>
            <w:noWrap/>
            <w:vAlign w:val="center"/>
            <w:hideMark/>
          </w:tcPr>
          <w:p w:rsidR="00195BE7" w:rsidRPr="001E2F6E" w:rsidRDefault="00195BE7" w:rsidP="00195BE7">
            <w:pPr>
              <w:spacing w:line="220" w:lineRule="exact"/>
              <w:jc w:val="right"/>
              <w:rPr>
                <w:color w:val="000000"/>
                <w:sz w:val="16"/>
                <w:szCs w:val="16"/>
              </w:rPr>
            </w:pPr>
            <w:r w:rsidRPr="001E2F6E">
              <w:rPr>
                <w:color w:val="000000"/>
                <w:sz w:val="16"/>
                <w:szCs w:val="16"/>
              </w:rPr>
              <w:t>8.239.204</w:t>
            </w:r>
          </w:p>
        </w:tc>
      </w:tr>
      <w:tr w:rsidR="00195BE7" w:rsidRPr="001E2F6E" w:rsidTr="00195BE7">
        <w:trPr>
          <w:jc w:val="center"/>
        </w:trPr>
        <w:tc>
          <w:tcPr>
            <w:tcW w:w="1836" w:type="pct"/>
            <w:tcBorders>
              <w:top w:val="nil"/>
              <w:left w:val="nil"/>
              <w:bottom w:val="nil"/>
              <w:right w:val="single" w:sz="8" w:space="0" w:color="BFBFBF"/>
            </w:tcBorders>
            <w:shd w:val="clear" w:color="auto" w:fill="auto"/>
            <w:vAlign w:val="bottom"/>
            <w:hideMark/>
          </w:tcPr>
          <w:p w:rsidR="00195BE7" w:rsidRPr="001E2F6E" w:rsidRDefault="00195BE7" w:rsidP="00195BE7">
            <w:pPr>
              <w:spacing w:line="220" w:lineRule="exact"/>
              <w:rPr>
                <w:sz w:val="16"/>
                <w:szCs w:val="16"/>
                <w:lang w:val="eu-ES"/>
              </w:rPr>
            </w:pPr>
            <w:r w:rsidRPr="001E2F6E">
              <w:rPr>
                <w:sz w:val="16"/>
                <w:szCs w:val="16"/>
                <w:lang w:val="eu-ES"/>
              </w:rPr>
              <w:t>62 Kanpoko zerbitzuak</w:t>
            </w:r>
          </w:p>
        </w:tc>
        <w:tc>
          <w:tcPr>
            <w:tcW w:w="657" w:type="pct"/>
            <w:tcBorders>
              <w:top w:val="nil"/>
              <w:left w:val="nil"/>
              <w:bottom w:val="nil"/>
              <w:right w:val="single" w:sz="8" w:space="0" w:color="BFBFBF"/>
            </w:tcBorders>
            <w:shd w:val="clear" w:color="auto" w:fill="auto"/>
            <w:noWrap/>
            <w:vAlign w:val="center"/>
            <w:hideMark/>
          </w:tcPr>
          <w:p w:rsidR="00195BE7" w:rsidRPr="001E2F6E" w:rsidRDefault="00195BE7" w:rsidP="00195BE7">
            <w:pPr>
              <w:spacing w:line="220" w:lineRule="exact"/>
              <w:jc w:val="right"/>
              <w:rPr>
                <w:color w:val="000000"/>
                <w:sz w:val="16"/>
                <w:szCs w:val="16"/>
              </w:rPr>
            </w:pPr>
            <w:r w:rsidRPr="001E2F6E">
              <w:rPr>
                <w:color w:val="000000"/>
                <w:sz w:val="16"/>
                <w:szCs w:val="16"/>
              </w:rPr>
              <w:t>1.064.625.906</w:t>
            </w:r>
          </w:p>
        </w:tc>
        <w:tc>
          <w:tcPr>
            <w:tcW w:w="531" w:type="pct"/>
            <w:tcBorders>
              <w:top w:val="nil"/>
              <w:left w:val="nil"/>
              <w:bottom w:val="nil"/>
              <w:right w:val="single" w:sz="8" w:space="0" w:color="BFBFBF"/>
            </w:tcBorders>
            <w:shd w:val="clear" w:color="auto" w:fill="auto"/>
            <w:noWrap/>
            <w:vAlign w:val="center"/>
            <w:hideMark/>
          </w:tcPr>
          <w:p w:rsidR="00195BE7" w:rsidRPr="001E2F6E" w:rsidRDefault="00195BE7" w:rsidP="00195BE7">
            <w:pPr>
              <w:spacing w:line="220" w:lineRule="exact"/>
              <w:jc w:val="right"/>
              <w:rPr>
                <w:color w:val="000000"/>
                <w:sz w:val="16"/>
                <w:szCs w:val="16"/>
              </w:rPr>
            </w:pPr>
            <w:r w:rsidRPr="001E2F6E">
              <w:rPr>
                <w:color w:val="000000"/>
                <w:sz w:val="16"/>
                <w:szCs w:val="16"/>
              </w:rPr>
              <w:t>1.862.000</w:t>
            </w:r>
          </w:p>
        </w:tc>
        <w:tc>
          <w:tcPr>
            <w:tcW w:w="657" w:type="pct"/>
            <w:tcBorders>
              <w:top w:val="nil"/>
              <w:left w:val="nil"/>
              <w:bottom w:val="nil"/>
              <w:right w:val="single" w:sz="8" w:space="0" w:color="BFBFBF"/>
            </w:tcBorders>
            <w:shd w:val="clear" w:color="auto" w:fill="auto"/>
            <w:noWrap/>
            <w:vAlign w:val="center"/>
            <w:hideMark/>
          </w:tcPr>
          <w:p w:rsidR="00195BE7" w:rsidRPr="001E2F6E" w:rsidRDefault="00195BE7" w:rsidP="00195BE7">
            <w:pPr>
              <w:spacing w:line="220" w:lineRule="exact"/>
              <w:jc w:val="right"/>
              <w:rPr>
                <w:color w:val="000000"/>
                <w:sz w:val="16"/>
                <w:szCs w:val="16"/>
              </w:rPr>
            </w:pPr>
            <w:r w:rsidRPr="001E2F6E">
              <w:rPr>
                <w:color w:val="000000"/>
                <w:sz w:val="16"/>
                <w:szCs w:val="16"/>
              </w:rPr>
              <w:t>650.669.940</w:t>
            </w:r>
          </w:p>
        </w:tc>
        <w:tc>
          <w:tcPr>
            <w:tcW w:w="662" w:type="pct"/>
            <w:tcBorders>
              <w:top w:val="nil"/>
              <w:left w:val="nil"/>
              <w:bottom w:val="nil"/>
              <w:right w:val="single" w:sz="8" w:space="0" w:color="BFBFBF"/>
            </w:tcBorders>
            <w:shd w:val="clear" w:color="auto" w:fill="auto"/>
            <w:noWrap/>
            <w:vAlign w:val="center"/>
            <w:hideMark/>
          </w:tcPr>
          <w:p w:rsidR="00195BE7" w:rsidRPr="001E2F6E" w:rsidRDefault="00195BE7" w:rsidP="00195BE7">
            <w:pPr>
              <w:spacing w:line="220" w:lineRule="exact"/>
              <w:jc w:val="right"/>
              <w:rPr>
                <w:color w:val="000000"/>
                <w:sz w:val="16"/>
                <w:szCs w:val="16"/>
              </w:rPr>
            </w:pPr>
            <w:r w:rsidRPr="001E2F6E">
              <w:rPr>
                <w:color w:val="000000"/>
                <w:sz w:val="16"/>
                <w:szCs w:val="16"/>
              </w:rPr>
              <w:t>15.937.626</w:t>
            </w:r>
          </w:p>
        </w:tc>
        <w:tc>
          <w:tcPr>
            <w:tcW w:w="657" w:type="pct"/>
            <w:tcBorders>
              <w:top w:val="nil"/>
              <w:left w:val="nil"/>
              <w:bottom w:val="nil"/>
              <w:right w:val="single" w:sz="8" w:space="0" w:color="BFBFBF"/>
            </w:tcBorders>
            <w:shd w:val="clear" w:color="auto" w:fill="auto"/>
            <w:noWrap/>
            <w:vAlign w:val="center"/>
            <w:hideMark/>
          </w:tcPr>
          <w:p w:rsidR="00195BE7" w:rsidRPr="001E2F6E" w:rsidRDefault="00195BE7" w:rsidP="00195BE7">
            <w:pPr>
              <w:spacing w:line="220" w:lineRule="exact"/>
              <w:jc w:val="right"/>
              <w:rPr>
                <w:color w:val="000000"/>
                <w:sz w:val="16"/>
                <w:szCs w:val="16"/>
              </w:rPr>
            </w:pPr>
            <w:r w:rsidRPr="001E2F6E">
              <w:rPr>
                <w:color w:val="000000"/>
                <w:sz w:val="16"/>
                <w:szCs w:val="16"/>
              </w:rPr>
              <w:t>396.156.340</w:t>
            </w:r>
          </w:p>
        </w:tc>
      </w:tr>
      <w:tr w:rsidR="00195BE7" w:rsidRPr="001E2F6E" w:rsidTr="00195BE7">
        <w:trPr>
          <w:jc w:val="center"/>
        </w:trPr>
        <w:tc>
          <w:tcPr>
            <w:tcW w:w="1836" w:type="pct"/>
            <w:tcBorders>
              <w:top w:val="nil"/>
              <w:left w:val="nil"/>
              <w:bottom w:val="nil"/>
              <w:right w:val="single" w:sz="8" w:space="0" w:color="BFBFBF"/>
            </w:tcBorders>
            <w:shd w:val="clear" w:color="auto" w:fill="auto"/>
            <w:vAlign w:val="bottom"/>
            <w:hideMark/>
          </w:tcPr>
          <w:p w:rsidR="00195BE7" w:rsidRPr="001E2F6E" w:rsidRDefault="00195BE7" w:rsidP="00195BE7">
            <w:pPr>
              <w:spacing w:line="220" w:lineRule="exact"/>
              <w:rPr>
                <w:sz w:val="16"/>
                <w:szCs w:val="16"/>
                <w:lang w:val="eu-ES"/>
              </w:rPr>
            </w:pPr>
            <w:r w:rsidRPr="001E2F6E">
              <w:rPr>
                <w:sz w:val="16"/>
                <w:szCs w:val="16"/>
                <w:lang w:val="eu-ES"/>
              </w:rPr>
              <w:t>63 Jarduerari lotutako zergak</w:t>
            </w:r>
          </w:p>
        </w:tc>
        <w:tc>
          <w:tcPr>
            <w:tcW w:w="657" w:type="pct"/>
            <w:tcBorders>
              <w:top w:val="nil"/>
              <w:left w:val="nil"/>
              <w:bottom w:val="nil"/>
              <w:right w:val="single" w:sz="8" w:space="0" w:color="BFBFBF"/>
            </w:tcBorders>
            <w:shd w:val="clear" w:color="auto" w:fill="auto"/>
            <w:noWrap/>
            <w:vAlign w:val="center"/>
            <w:hideMark/>
          </w:tcPr>
          <w:p w:rsidR="00195BE7" w:rsidRPr="001E2F6E" w:rsidRDefault="00195BE7" w:rsidP="00195BE7">
            <w:pPr>
              <w:spacing w:line="220" w:lineRule="exact"/>
              <w:jc w:val="right"/>
              <w:rPr>
                <w:color w:val="000000"/>
                <w:sz w:val="16"/>
                <w:szCs w:val="16"/>
              </w:rPr>
            </w:pPr>
            <w:r w:rsidRPr="001E2F6E">
              <w:rPr>
                <w:color w:val="000000"/>
                <w:sz w:val="16"/>
                <w:szCs w:val="16"/>
              </w:rPr>
              <w:t>-49.630.853</w:t>
            </w:r>
          </w:p>
        </w:tc>
        <w:tc>
          <w:tcPr>
            <w:tcW w:w="531" w:type="pct"/>
            <w:tcBorders>
              <w:top w:val="nil"/>
              <w:left w:val="nil"/>
              <w:bottom w:val="nil"/>
              <w:right w:val="single" w:sz="8" w:space="0" w:color="BFBFBF"/>
            </w:tcBorders>
            <w:shd w:val="clear" w:color="auto" w:fill="auto"/>
            <w:noWrap/>
            <w:vAlign w:val="center"/>
            <w:hideMark/>
          </w:tcPr>
          <w:p w:rsidR="00195BE7" w:rsidRPr="001E2F6E" w:rsidRDefault="00195BE7" w:rsidP="00195BE7">
            <w:pPr>
              <w:spacing w:line="220" w:lineRule="exact"/>
              <w:jc w:val="right"/>
              <w:rPr>
                <w:color w:val="000000"/>
                <w:sz w:val="16"/>
                <w:szCs w:val="16"/>
              </w:rPr>
            </w:pPr>
            <w:r w:rsidRPr="001E2F6E">
              <w:rPr>
                <w:color w:val="000000"/>
                <w:sz w:val="16"/>
                <w:szCs w:val="16"/>
              </w:rPr>
              <w:t>15.738</w:t>
            </w:r>
          </w:p>
        </w:tc>
        <w:tc>
          <w:tcPr>
            <w:tcW w:w="657" w:type="pct"/>
            <w:tcBorders>
              <w:top w:val="nil"/>
              <w:left w:val="nil"/>
              <w:bottom w:val="nil"/>
              <w:right w:val="single" w:sz="8" w:space="0" w:color="BFBFBF"/>
            </w:tcBorders>
            <w:shd w:val="clear" w:color="auto" w:fill="auto"/>
            <w:noWrap/>
            <w:vAlign w:val="center"/>
            <w:hideMark/>
          </w:tcPr>
          <w:p w:rsidR="00195BE7" w:rsidRPr="001E2F6E" w:rsidRDefault="00195BE7" w:rsidP="00195BE7">
            <w:pPr>
              <w:spacing w:line="220" w:lineRule="exact"/>
              <w:jc w:val="right"/>
              <w:rPr>
                <w:color w:val="000000"/>
                <w:sz w:val="16"/>
                <w:szCs w:val="16"/>
              </w:rPr>
            </w:pPr>
            <w:r w:rsidRPr="001E2F6E">
              <w:rPr>
                <w:color w:val="000000"/>
                <w:sz w:val="16"/>
                <w:szCs w:val="16"/>
              </w:rPr>
              <w:t>9.481.810</w:t>
            </w:r>
          </w:p>
        </w:tc>
        <w:tc>
          <w:tcPr>
            <w:tcW w:w="662" w:type="pct"/>
            <w:tcBorders>
              <w:top w:val="nil"/>
              <w:left w:val="nil"/>
              <w:bottom w:val="nil"/>
              <w:right w:val="single" w:sz="8" w:space="0" w:color="BFBFBF"/>
            </w:tcBorders>
            <w:shd w:val="clear" w:color="auto" w:fill="auto"/>
            <w:noWrap/>
            <w:vAlign w:val="center"/>
            <w:hideMark/>
          </w:tcPr>
          <w:p w:rsidR="00195BE7" w:rsidRPr="001E2F6E" w:rsidRDefault="00195BE7" w:rsidP="00195BE7">
            <w:pPr>
              <w:spacing w:line="220" w:lineRule="exact"/>
              <w:jc w:val="right"/>
              <w:rPr>
                <w:color w:val="000000"/>
                <w:sz w:val="16"/>
                <w:szCs w:val="16"/>
              </w:rPr>
            </w:pPr>
            <w:r w:rsidRPr="001E2F6E">
              <w:rPr>
                <w:color w:val="000000"/>
                <w:sz w:val="16"/>
                <w:szCs w:val="16"/>
              </w:rPr>
              <w:t>799.863</w:t>
            </w:r>
          </w:p>
        </w:tc>
        <w:tc>
          <w:tcPr>
            <w:tcW w:w="657" w:type="pct"/>
            <w:tcBorders>
              <w:top w:val="nil"/>
              <w:left w:val="nil"/>
              <w:bottom w:val="nil"/>
              <w:right w:val="single" w:sz="8" w:space="0" w:color="BFBFBF"/>
            </w:tcBorders>
            <w:shd w:val="clear" w:color="auto" w:fill="auto"/>
            <w:noWrap/>
            <w:vAlign w:val="center"/>
            <w:hideMark/>
          </w:tcPr>
          <w:p w:rsidR="00195BE7" w:rsidRPr="001E2F6E" w:rsidRDefault="00195BE7" w:rsidP="00195BE7">
            <w:pPr>
              <w:spacing w:line="220" w:lineRule="exact"/>
              <w:jc w:val="right"/>
              <w:rPr>
                <w:color w:val="000000"/>
                <w:sz w:val="16"/>
                <w:szCs w:val="16"/>
              </w:rPr>
            </w:pPr>
            <w:r w:rsidRPr="001E2F6E">
              <w:rPr>
                <w:color w:val="000000"/>
                <w:sz w:val="16"/>
                <w:szCs w:val="16"/>
              </w:rPr>
              <w:t>-59.928.264</w:t>
            </w:r>
          </w:p>
        </w:tc>
      </w:tr>
      <w:tr w:rsidR="00195BE7" w:rsidRPr="001E2F6E" w:rsidTr="00195BE7">
        <w:trPr>
          <w:jc w:val="center"/>
        </w:trPr>
        <w:tc>
          <w:tcPr>
            <w:tcW w:w="1836" w:type="pct"/>
            <w:tcBorders>
              <w:top w:val="nil"/>
              <w:left w:val="nil"/>
              <w:bottom w:val="nil"/>
              <w:right w:val="single" w:sz="8" w:space="0" w:color="BFBFBF"/>
            </w:tcBorders>
            <w:shd w:val="clear" w:color="auto" w:fill="auto"/>
            <w:vAlign w:val="bottom"/>
            <w:hideMark/>
          </w:tcPr>
          <w:p w:rsidR="00195BE7" w:rsidRPr="001E2F6E" w:rsidRDefault="00195BE7" w:rsidP="00195BE7">
            <w:pPr>
              <w:spacing w:line="220" w:lineRule="exact"/>
              <w:rPr>
                <w:sz w:val="16"/>
                <w:szCs w:val="16"/>
                <w:lang w:val="eu-ES"/>
              </w:rPr>
            </w:pPr>
            <w:r w:rsidRPr="001E2F6E">
              <w:rPr>
                <w:sz w:val="16"/>
                <w:szCs w:val="16"/>
                <w:lang w:val="eu-ES"/>
              </w:rPr>
              <w:t>64 Pertsonal-gastuak</w:t>
            </w:r>
          </w:p>
        </w:tc>
        <w:tc>
          <w:tcPr>
            <w:tcW w:w="657" w:type="pct"/>
            <w:tcBorders>
              <w:top w:val="nil"/>
              <w:left w:val="nil"/>
              <w:bottom w:val="nil"/>
              <w:right w:val="single" w:sz="8" w:space="0" w:color="BFBFBF"/>
            </w:tcBorders>
            <w:shd w:val="clear" w:color="auto" w:fill="auto"/>
            <w:noWrap/>
            <w:vAlign w:val="center"/>
            <w:hideMark/>
          </w:tcPr>
          <w:p w:rsidR="00195BE7" w:rsidRPr="001E2F6E" w:rsidRDefault="00195BE7" w:rsidP="00195BE7">
            <w:pPr>
              <w:spacing w:line="220" w:lineRule="exact"/>
              <w:jc w:val="right"/>
              <w:rPr>
                <w:color w:val="000000"/>
                <w:sz w:val="16"/>
                <w:szCs w:val="16"/>
              </w:rPr>
            </w:pPr>
            <w:r w:rsidRPr="001E2F6E">
              <w:rPr>
                <w:color w:val="000000"/>
                <w:sz w:val="16"/>
                <w:szCs w:val="16"/>
              </w:rPr>
              <w:t>1799805750</w:t>
            </w:r>
          </w:p>
        </w:tc>
        <w:tc>
          <w:tcPr>
            <w:tcW w:w="531" w:type="pct"/>
            <w:tcBorders>
              <w:top w:val="nil"/>
              <w:left w:val="nil"/>
              <w:bottom w:val="nil"/>
              <w:right w:val="single" w:sz="8" w:space="0" w:color="BFBFBF"/>
            </w:tcBorders>
            <w:shd w:val="clear" w:color="auto" w:fill="auto"/>
            <w:noWrap/>
            <w:vAlign w:val="center"/>
            <w:hideMark/>
          </w:tcPr>
          <w:p w:rsidR="00195BE7" w:rsidRPr="001E2F6E" w:rsidRDefault="00195BE7" w:rsidP="00195BE7">
            <w:pPr>
              <w:spacing w:line="220" w:lineRule="exact"/>
              <w:jc w:val="right"/>
              <w:rPr>
                <w:color w:val="000000"/>
                <w:sz w:val="16"/>
                <w:szCs w:val="16"/>
              </w:rPr>
            </w:pPr>
            <w:r w:rsidRPr="001E2F6E">
              <w:rPr>
                <w:color w:val="000000"/>
                <w:sz w:val="16"/>
                <w:szCs w:val="16"/>
              </w:rPr>
              <w:t>2.579.854</w:t>
            </w:r>
          </w:p>
        </w:tc>
        <w:tc>
          <w:tcPr>
            <w:tcW w:w="657" w:type="pct"/>
            <w:tcBorders>
              <w:top w:val="nil"/>
              <w:left w:val="nil"/>
              <w:bottom w:val="nil"/>
              <w:right w:val="single" w:sz="8" w:space="0" w:color="BFBFBF"/>
            </w:tcBorders>
            <w:shd w:val="clear" w:color="auto" w:fill="auto"/>
            <w:noWrap/>
            <w:vAlign w:val="center"/>
            <w:hideMark/>
          </w:tcPr>
          <w:p w:rsidR="00195BE7" w:rsidRPr="001E2F6E" w:rsidRDefault="00195BE7" w:rsidP="00195BE7">
            <w:pPr>
              <w:spacing w:line="220" w:lineRule="exact"/>
              <w:jc w:val="right"/>
              <w:rPr>
                <w:color w:val="000000"/>
                <w:sz w:val="16"/>
                <w:szCs w:val="16"/>
              </w:rPr>
            </w:pPr>
            <w:r w:rsidRPr="001E2F6E">
              <w:rPr>
                <w:color w:val="000000"/>
                <w:sz w:val="16"/>
                <w:szCs w:val="16"/>
              </w:rPr>
              <w:t>882.699.780</w:t>
            </w:r>
          </w:p>
        </w:tc>
        <w:tc>
          <w:tcPr>
            <w:tcW w:w="662" w:type="pct"/>
            <w:tcBorders>
              <w:top w:val="nil"/>
              <w:left w:val="nil"/>
              <w:bottom w:val="nil"/>
              <w:right w:val="single" w:sz="8" w:space="0" w:color="BFBFBF"/>
            </w:tcBorders>
            <w:shd w:val="clear" w:color="auto" w:fill="auto"/>
            <w:noWrap/>
            <w:vAlign w:val="center"/>
            <w:hideMark/>
          </w:tcPr>
          <w:p w:rsidR="00195BE7" w:rsidRPr="001E2F6E" w:rsidRDefault="00195BE7" w:rsidP="00195BE7">
            <w:pPr>
              <w:spacing w:line="220" w:lineRule="exact"/>
              <w:jc w:val="right"/>
              <w:rPr>
                <w:color w:val="000000"/>
                <w:sz w:val="16"/>
                <w:szCs w:val="16"/>
              </w:rPr>
            </w:pPr>
            <w:r w:rsidRPr="001E2F6E">
              <w:rPr>
                <w:color w:val="000000"/>
                <w:sz w:val="16"/>
                <w:szCs w:val="16"/>
              </w:rPr>
              <w:t>36.182.556</w:t>
            </w:r>
          </w:p>
        </w:tc>
        <w:tc>
          <w:tcPr>
            <w:tcW w:w="657" w:type="pct"/>
            <w:tcBorders>
              <w:top w:val="nil"/>
              <w:left w:val="nil"/>
              <w:bottom w:val="nil"/>
              <w:right w:val="single" w:sz="8" w:space="0" w:color="BFBFBF"/>
            </w:tcBorders>
            <w:shd w:val="clear" w:color="auto" w:fill="auto"/>
            <w:noWrap/>
            <w:vAlign w:val="center"/>
            <w:hideMark/>
          </w:tcPr>
          <w:p w:rsidR="00195BE7" w:rsidRPr="001E2F6E" w:rsidRDefault="00195BE7" w:rsidP="00195BE7">
            <w:pPr>
              <w:spacing w:line="220" w:lineRule="exact"/>
              <w:jc w:val="right"/>
              <w:rPr>
                <w:color w:val="000000"/>
                <w:sz w:val="16"/>
                <w:szCs w:val="16"/>
              </w:rPr>
            </w:pPr>
            <w:r w:rsidRPr="001E2F6E">
              <w:rPr>
                <w:color w:val="000000"/>
                <w:sz w:val="16"/>
                <w:szCs w:val="16"/>
              </w:rPr>
              <w:t>878.343.560</w:t>
            </w:r>
          </w:p>
        </w:tc>
      </w:tr>
      <w:tr w:rsidR="00195BE7" w:rsidRPr="001E2F6E" w:rsidTr="00195BE7">
        <w:trPr>
          <w:jc w:val="center"/>
        </w:trPr>
        <w:tc>
          <w:tcPr>
            <w:tcW w:w="1836" w:type="pct"/>
            <w:tcBorders>
              <w:top w:val="nil"/>
              <w:left w:val="nil"/>
              <w:bottom w:val="nil"/>
              <w:right w:val="single" w:sz="8" w:space="0" w:color="BFBFBF"/>
            </w:tcBorders>
            <w:shd w:val="clear" w:color="auto" w:fill="auto"/>
            <w:vAlign w:val="bottom"/>
            <w:hideMark/>
          </w:tcPr>
          <w:p w:rsidR="00195BE7" w:rsidRPr="001E2F6E" w:rsidRDefault="00195BE7" w:rsidP="00195BE7">
            <w:pPr>
              <w:spacing w:line="220" w:lineRule="exact"/>
              <w:rPr>
                <w:sz w:val="16"/>
                <w:szCs w:val="16"/>
                <w:lang w:val="eu-ES"/>
              </w:rPr>
            </w:pPr>
            <w:r w:rsidRPr="001E2F6E">
              <w:rPr>
                <w:sz w:val="16"/>
                <w:szCs w:val="16"/>
                <w:lang w:val="eu-ES"/>
              </w:rPr>
              <w:t>65 Kudeaketa-gastuak</w:t>
            </w:r>
          </w:p>
        </w:tc>
        <w:tc>
          <w:tcPr>
            <w:tcW w:w="657" w:type="pct"/>
            <w:tcBorders>
              <w:top w:val="nil"/>
              <w:left w:val="nil"/>
              <w:bottom w:val="nil"/>
              <w:right w:val="single" w:sz="8" w:space="0" w:color="BFBFBF"/>
            </w:tcBorders>
            <w:shd w:val="clear" w:color="auto" w:fill="auto"/>
            <w:noWrap/>
            <w:vAlign w:val="center"/>
            <w:hideMark/>
          </w:tcPr>
          <w:p w:rsidR="00195BE7" w:rsidRPr="001E2F6E" w:rsidRDefault="00195BE7" w:rsidP="00195BE7">
            <w:pPr>
              <w:spacing w:line="220" w:lineRule="exact"/>
              <w:jc w:val="right"/>
              <w:rPr>
                <w:color w:val="000000"/>
                <w:sz w:val="16"/>
                <w:szCs w:val="16"/>
              </w:rPr>
            </w:pPr>
            <w:r w:rsidRPr="001E2F6E">
              <w:rPr>
                <w:color w:val="000000"/>
                <w:sz w:val="16"/>
                <w:szCs w:val="16"/>
              </w:rPr>
              <w:t>531.498.597</w:t>
            </w:r>
          </w:p>
        </w:tc>
        <w:tc>
          <w:tcPr>
            <w:tcW w:w="531" w:type="pct"/>
            <w:tcBorders>
              <w:top w:val="nil"/>
              <w:left w:val="nil"/>
              <w:bottom w:val="nil"/>
              <w:right w:val="single" w:sz="8" w:space="0" w:color="BFBFBF"/>
            </w:tcBorders>
            <w:shd w:val="clear" w:color="auto" w:fill="auto"/>
            <w:noWrap/>
            <w:vAlign w:val="center"/>
            <w:hideMark/>
          </w:tcPr>
          <w:p w:rsidR="00195BE7" w:rsidRPr="001E2F6E" w:rsidRDefault="00195BE7" w:rsidP="00195BE7">
            <w:pPr>
              <w:spacing w:line="220" w:lineRule="exact"/>
              <w:jc w:val="right"/>
              <w:rPr>
                <w:color w:val="000000"/>
                <w:sz w:val="16"/>
                <w:szCs w:val="16"/>
              </w:rPr>
            </w:pPr>
            <w:r w:rsidRPr="001E2F6E">
              <w:rPr>
                <w:color w:val="000000"/>
                <w:sz w:val="16"/>
                <w:szCs w:val="16"/>
              </w:rPr>
              <w:t>113.995</w:t>
            </w:r>
          </w:p>
        </w:tc>
        <w:tc>
          <w:tcPr>
            <w:tcW w:w="657" w:type="pct"/>
            <w:tcBorders>
              <w:top w:val="nil"/>
              <w:left w:val="nil"/>
              <w:bottom w:val="nil"/>
              <w:right w:val="single" w:sz="8" w:space="0" w:color="BFBFBF"/>
            </w:tcBorders>
            <w:shd w:val="clear" w:color="auto" w:fill="auto"/>
            <w:noWrap/>
            <w:vAlign w:val="center"/>
            <w:hideMark/>
          </w:tcPr>
          <w:p w:rsidR="00195BE7" w:rsidRPr="001E2F6E" w:rsidRDefault="00195BE7" w:rsidP="00195BE7">
            <w:pPr>
              <w:spacing w:line="220" w:lineRule="exact"/>
              <w:jc w:val="right"/>
              <w:rPr>
                <w:color w:val="000000"/>
                <w:sz w:val="16"/>
                <w:szCs w:val="16"/>
              </w:rPr>
            </w:pPr>
            <w:r w:rsidRPr="001E2F6E">
              <w:rPr>
                <w:color w:val="000000"/>
                <w:sz w:val="16"/>
                <w:szCs w:val="16"/>
              </w:rPr>
              <w:t>38.033.309</w:t>
            </w:r>
          </w:p>
        </w:tc>
        <w:tc>
          <w:tcPr>
            <w:tcW w:w="662" w:type="pct"/>
            <w:tcBorders>
              <w:top w:val="nil"/>
              <w:left w:val="nil"/>
              <w:bottom w:val="nil"/>
              <w:right w:val="single" w:sz="8" w:space="0" w:color="BFBFBF"/>
            </w:tcBorders>
            <w:shd w:val="clear" w:color="auto" w:fill="auto"/>
            <w:noWrap/>
            <w:vAlign w:val="center"/>
            <w:hideMark/>
          </w:tcPr>
          <w:p w:rsidR="00195BE7" w:rsidRPr="001E2F6E" w:rsidRDefault="00195BE7" w:rsidP="00195BE7">
            <w:pPr>
              <w:spacing w:line="220" w:lineRule="exact"/>
              <w:jc w:val="right"/>
              <w:rPr>
                <w:color w:val="000000"/>
                <w:sz w:val="16"/>
                <w:szCs w:val="16"/>
              </w:rPr>
            </w:pPr>
            <w:r w:rsidRPr="001E2F6E">
              <w:rPr>
                <w:color w:val="000000"/>
                <w:sz w:val="16"/>
                <w:szCs w:val="16"/>
              </w:rPr>
              <w:t>268.676</w:t>
            </w:r>
          </w:p>
        </w:tc>
        <w:tc>
          <w:tcPr>
            <w:tcW w:w="657" w:type="pct"/>
            <w:tcBorders>
              <w:top w:val="nil"/>
              <w:left w:val="nil"/>
              <w:bottom w:val="nil"/>
              <w:right w:val="single" w:sz="8" w:space="0" w:color="BFBFBF"/>
            </w:tcBorders>
            <w:shd w:val="clear" w:color="auto" w:fill="auto"/>
            <w:noWrap/>
            <w:vAlign w:val="center"/>
            <w:hideMark/>
          </w:tcPr>
          <w:p w:rsidR="00195BE7" w:rsidRPr="001E2F6E" w:rsidRDefault="00195BE7" w:rsidP="00195BE7">
            <w:pPr>
              <w:spacing w:line="220" w:lineRule="exact"/>
              <w:jc w:val="right"/>
              <w:rPr>
                <w:color w:val="000000"/>
                <w:sz w:val="16"/>
                <w:szCs w:val="16"/>
              </w:rPr>
            </w:pPr>
            <w:r w:rsidRPr="001E2F6E">
              <w:rPr>
                <w:color w:val="000000"/>
                <w:sz w:val="16"/>
                <w:szCs w:val="16"/>
              </w:rPr>
              <w:t>493.082.618</w:t>
            </w:r>
          </w:p>
        </w:tc>
      </w:tr>
      <w:tr w:rsidR="00195BE7" w:rsidRPr="001E2F6E" w:rsidTr="00195BE7">
        <w:trPr>
          <w:jc w:val="center"/>
        </w:trPr>
        <w:tc>
          <w:tcPr>
            <w:tcW w:w="1836" w:type="pct"/>
            <w:tcBorders>
              <w:top w:val="nil"/>
              <w:left w:val="nil"/>
              <w:bottom w:val="nil"/>
              <w:right w:val="single" w:sz="8" w:space="0" w:color="BFBFBF"/>
            </w:tcBorders>
            <w:shd w:val="clear" w:color="auto" w:fill="auto"/>
            <w:vAlign w:val="bottom"/>
            <w:hideMark/>
          </w:tcPr>
          <w:p w:rsidR="00195BE7" w:rsidRPr="001E2F6E" w:rsidRDefault="00195BE7" w:rsidP="00195BE7">
            <w:pPr>
              <w:spacing w:line="220" w:lineRule="exact"/>
              <w:rPr>
                <w:sz w:val="16"/>
                <w:szCs w:val="16"/>
                <w:lang w:val="eu-ES"/>
              </w:rPr>
            </w:pPr>
            <w:r w:rsidRPr="001E2F6E">
              <w:rPr>
                <w:sz w:val="16"/>
                <w:szCs w:val="16"/>
                <w:lang w:val="eu-ES"/>
              </w:rPr>
              <w:t>66 Finantza-gastuak</w:t>
            </w:r>
          </w:p>
        </w:tc>
        <w:tc>
          <w:tcPr>
            <w:tcW w:w="657" w:type="pct"/>
            <w:tcBorders>
              <w:top w:val="nil"/>
              <w:left w:val="nil"/>
              <w:bottom w:val="nil"/>
              <w:right w:val="single" w:sz="8" w:space="0" w:color="BFBFBF"/>
            </w:tcBorders>
            <w:shd w:val="clear" w:color="auto" w:fill="auto"/>
            <w:noWrap/>
            <w:vAlign w:val="center"/>
            <w:hideMark/>
          </w:tcPr>
          <w:p w:rsidR="00195BE7" w:rsidRPr="001E2F6E" w:rsidRDefault="00195BE7" w:rsidP="00195BE7">
            <w:pPr>
              <w:spacing w:line="220" w:lineRule="exact"/>
              <w:jc w:val="right"/>
              <w:rPr>
                <w:color w:val="000000"/>
                <w:sz w:val="16"/>
                <w:szCs w:val="16"/>
              </w:rPr>
            </w:pPr>
            <w:r w:rsidRPr="001E2F6E">
              <w:rPr>
                <w:color w:val="000000"/>
                <w:sz w:val="16"/>
                <w:szCs w:val="16"/>
              </w:rPr>
              <w:t>185.939.041</w:t>
            </w:r>
          </w:p>
        </w:tc>
        <w:tc>
          <w:tcPr>
            <w:tcW w:w="531" w:type="pct"/>
            <w:tcBorders>
              <w:top w:val="nil"/>
              <w:left w:val="nil"/>
              <w:bottom w:val="nil"/>
              <w:right w:val="single" w:sz="8" w:space="0" w:color="BFBFBF"/>
            </w:tcBorders>
            <w:shd w:val="clear" w:color="auto" w:fill="auto"/>
            <w:noWrap/>
            <w:vAlign w:val="center"/>
            <w:hideMark/>
          </w:tcPr>
          <w:p w:rsidR="00195BE7" w:rsidRPr="001E2F6E" w:rsidRDefault="00195BE7" w:rsidP="00195BE7">
            <w:pPr>
              <w:spacing w:line="220" w:lineRule="exact"/>
              <w:jc w:val="right"/>
              <w:rPr>
                <w:color w:val="000000"/>
                <w:sz w:val="16"/>
                <w:szCs w:val="16"/>
              </w:rPr>
            </w:pPr>
            <w:r w:rsidRPr="001E2F6E">
              <w:rPr>
                <w:color w:val="000000"/>
                <w:sz w:val="16"/>
                <w:szCs w:val="16"/>
              </w:rPr>
              <w:t>131.154</w:t>
            </w:r>
          </w:p>
        </w:tc>
        <w:tc>
          <w:tcPr>
            <w:tcW w:w="657" w:type="pct"/>
            <w:tcBorders>
              <w:top w:val="nil"/>
              <w:left w:val="nil"/>
              <w:bottom w:val="nil"/>
              <w:right w:val="single" w:sz="8" w:space="0" w:color="BFBFBF"/>
            </w:tcBorders>
            <w:shd w:val="clear" w:color="auto" w:fill="auto"/>
            <w:noWrap/>
            <w:vAlign w:val="center"/>
            <w:hideMark/>
          </w:tcPr>
          <w:p w:rsidR="00195BE7" w:rsidRPr="001E2F6E" w:rsidRDefault="00195BE7" w:rsidP="00195BE7">
            <w:pPr>
              <w:spacing w:line="220" w:lineRule="exact"/>
              <w:jc w:val="right"/>
              <w:rPr>
                <w:color w:val="000000"/>
                <w:sz w:val="16"/>
                <w:szCs w:val="16"/>
              </w:rPr>
            </w:pPr>
            <w:r w:rsidRPr="001E2F6E">
              <w:rPr>
                <w:color w:val="000000"/>
                <w:sz w:val="16"/>
                <w:szCs w:val="16"/>
              </w:rPr>
              <w:t>94.931.319</w:t>
            </w:r>
          </w:p>
        </w:tc>
        <w:tc>
          <w:tcPr>
            <w:tcW w:w="662" w:type="pct"/>
            <w:tcBorders>
              <w:top w:val="nil"/>
              <w:left w:val="nil"/>
              <w:bottom w:val="nil"/>
              <w:right w:val="single" w:sz="8" w:space="0" w:color="BFBFBF"/>
            </w:tcBorders>
            <w:shd w:val="clear" w:color="auto" w:fill="auto"/>
            <w:noWrap/>
            <w:vAlign w:val="center"/>
            <w:hideMark/>
          </w:tcPr>
          <w:p w:rsidR="00195BE7" w:rsidRPr="001E2F6E" w:rsidRDefault="00195BE7" w:rsidP="00195BE7">
            <w:pPr>
              <w:spacing w:line="220" w:lineRule="exact"/>
              <w:jc w:val="right"/>
              <w:rPr>
                <w:color w:val="000000"/>
                <w:sz w:val="16"/>
                <w:szCs w:val="16"/>
              </w:rPr>
            </w:pPr>
            <w:r w:rsidRPr="001E2F6E">
              <w:rPr>
                <w:color w:val="000000"/>
                <w:sz w:val="16"/>
                <w:szCs w:val="16"/>
              </w:rPr>
              <w:t>1.532.136</w:t>
            </w:r>
          </w:p>
        </w:tc>
        <w:tc>
          <w:tcPr>
            <w:tcW w:w="657" w:type="pct"/>
            <w:tcBorders>
              <w:top w:val="nil"/>
              <w:left w:val="nil"/>
              <w:bottom w:val="nil"/>
              <w:right w:val="single" w:sz="8" w:space="0" w:color="BFBFBF"/>
            </w:tcBorders>
            <w:shd w:val="clear" w:color="auto" w:fill="auto"/>
            <w:noWrap/>
            <w:vAlign w:val="center"/>
            <w:hideMark/>
          </w:tcPr>
          <w:p w:rsidR="00195BE7" w:rsidRPr="001E2F6E" w:rsidRDefault="00195BE7" w:rsidP="00195BE7">
            <w:pPr>
              <w:spacing w:line="220" w:lineRule="exact"/>
              <w:jc w:val="right"/>
              <w:rPr>
                <w:color w:val="000000"/>
                <w:sz w:val="16"/>
                <w:szCs w:val="16"/>
              </w:rPr>
            </w:pPr>
            <w:r w:rsidRPr="001E2F6E">
              <w:rPr>
                <w:color w:val="000000"/>
                <w:sz w:val="16"/>
                <w:szCs w:val="16"/>
              </w:rPr>
              <w:t>89.344.431</w:t>
            </w:r>
          </w:p>
        </w:tc>
      </w:tr>
      <w:tr w:rsidR="00195BE7" w:rsidRPr="001E2F6E" w:rsidTr="00195BE7">
        <w:trPr>
          <w:jc w:val="center"/>
        </w:trPr>
        <w:tc>
          <w:tcPr>
            <w:tcW w:w="1836" w:type="pct"/>
            <w:tcBorders>
              <w:top w:val="nil"/>
              <w:left w:val="nil"/>
              <w:bottom w:val="nil"/>
              <w:right w:val="single" w:sz="8" w:space="0" w:color="BFBFBF"/>
            </w:tcBorders>
            <w:shd w:val="clear" w:color="auto" w:fill="auto"/>
            <w:vAlign w:val="bottom"/>
            <w:hideMark/>
          </w:tcPr>
          <w:p w:rsidR="00195BE7" w:rsidRPr="001E2F6E" w:rsidRDefault="00195BE7" w:rsidP="00195BE7">
            <w:pPr>
              <w:spacing w:line="220" w:lineRule="exact"/>
              <w:rPr>
                <w:sz w:val="16"/>
                <w:szCs w:val="16"/>
                <w:lang w:val="eu-ES"/>
              </w:rPr>
            </w:pPr>
            <w:r w:rsidRPr="001E2F6E">
              <w:rPr>
                <w:sz w:val="16"/>
                <w:szCs w:val="16"/>
                <w:lang w:val="eu-ES"/>
              </w:rPr>
              <w:t>67 Ezohiko gastuak</w:t>
            </w:r>
          </w:p>
        </w:tc>
        <w:tc>
          <w:tcPr>
            <w:tcW w:w="657" w:type="pct"/>
            <w:tcBorders>
              <w:top w:val="nil"/>
              <w:left w:val="nil"/>
              <w:bottom w:val="nil"/>
              <w:right w:val="single" w:sz="8" w:space="0" w:color="BFBFBF"/>
            </w:tcBorders>
            <w:shd w:val="clear" w:color="auto" w:fill="auto"/>
            <w:noWrap/>
            <w:vAlign w:val="center"/>
            <w:hideMark/>
          </w:tcPr>
          <w:p w:rsidR="00195BE7" w:rsidRPr="001E2F6E" w:rsidRDefault="00195BE7" w:rsidP="00195BE7">
            <w:pPr>
              <w:spacing w:line="220" w:lineRule="exact"/>
              <w:jc w:val="right"/>
              <w:rPr>
                <w:color w:val="000000"/>
                <w:sz w:val="16"/>
                <w:szCs w:val="16"/>
              </w:rPr>
            </w:pPr>
            <w:r w:rsidRPr="001E2F6E">
              <w:rPr>
                <w:color w:val="000000"/>
                <w:sz w:val="16"/>
                <w:szCs w:val="16"/>
              </w:rPr>
              <w:t>88.865.740</w:t>
            </w:r>
          </w:p>
        </w:tc>
        <w:tc>
          <w:tcPr>
            <w:tcW w:w="531" w:type="pct"/>
            <w:tcBorders>
              <w:top w:val="nil"/>
              <w:left w:val="nil"/>
              <w:bottom w:val="nil"/>
              <w:right w:val="single" w:sz="8" w:space="0" w:color="BFBFBF"/>
            </w:tcBorders>
            <w:shd w:val="clear" w:color="auto" w:fill="auto"/>
            <w:noWrap/>
            <w:vAlign w:val="center"/>
            <w:hideMark/>
          </w:tcPr>
          <w:p w:rsidR="00195BE7" w:rsidRPr="001E2F6E" w:rsidRDefault="00195BE7" w:rsidP="00195BE7">
            <w:pPr>
              <w:spacing w:line="220" w:lineRule="exact"/>
              <w:jc w:val="right"/>
              <w:rPr>
                <w:color w:val="000000"/>
                <w:sz w:val="16"/>
                <w:szCs w:val="16"/>
              </w:rPr>
            </w:pPr>
            <w:r w:rsidRPr="001E2F6E">
              <w:rPr>
                <w:color w:val="000000"/>
                <w:sz w:val="16"/>
                <w:szCs w:val="16"/>
              </w:rPr>
              <w:t>15.055</w:t>
            </w:r>
          </w:p>
        </w:tc>
        <w:tc>
          <w:tcPr>
            <w:tcW w:w="657" w:type="pct"/>
            <w:tcBorders>
              <w:top w:val="nil"/>
              <w:left w:val="nil"/>
              <w:bottom w:val="nil"/>
              <w:right w:val="single" w:sz="8" w:space="0" w:color="BFBFBF"/>
            </w:tcBorders>
            <w:shd w:val="clear" w:color="auto" w:fill="auto"/>
            <w:noWrap/>
            <w:vAlign w:val="center"/>
            <w:hideMark/>
          </w:tcPr>
          <w:p w:rsidR="00195BE7" w:rsidRPr="001E2F6E" w:rsidRDefault="00195BE7" w:rsidP="00195BE7">
            <w:pPr>
              <w:spacing w:line="220" w:lineRule="exact"/>
              <w:jc w:val="right"/>
              <w:rPr>
                <w:color w:val="000000"/>
                <w:sz w:val="16"/>
                <w:szCs w:val="16"/>
              </w:rPr>
            </w:pPr>
            <w:r w:rsidRPr="001E2F6E">
              <w:rPr>
                <w:color w:val="000000"/>
                <w:sz w:val="16"/>
                <w:szCs w:val="16"/>
              </w:rPr>
              <w:t>20.110.343</w:t>
            </w:r>
          </w:p>
        </w:tc>
        <w:tc>
          <w:tcPr>
            <w:tcW w:w="662" w:type="pct"/>
            <w:tcBorders>
              <w:top w:val="nil"/>
              <w:left w:val="nil"/>
              <w:bottom w:val="nil"/>
              <w:right w:val="single" w:sz="8" w:space="0" w:color="BFBFBF"/>
            </w:tcBorders>
            <w:shd w:val="clear" w:color="auto" w:fill="auto"/>
            <w:noWrap/>
            <w:vAlign w:val="center"/>
            <w:hideMark/>
          </w:tcPr>
          <w:p w:rsidR="00195BE7" w:rsidRPr="001E2F6E" w:rsidRDefault="00195BE7" w:rsidP="00195BE7">
            <w:pPr>
              <w:spacing w:line="220" w:lineRule="exact"/>
              <w:jc w:val="right"/>
              <w:rPr>
                <w:color w:val="000000"/>
                <w:sz w:val="16"/>
                <w:szCs w:val="16"/>
              </w:rPr>
            </w:pPr>
            <w:r w:rsidRPr="001E2F6E">
              <w:rPr>
                <w:color w:val="000000"/>
                <w:sz w:val="16"/>
                <w:szCs w:val="16"/>
              </w:rPr>
              <w:t>402.968</w:t>
            </w:r>
          </w:p>
        </w:tc>
        <w:tc>
          <w:tcPr>
            <w:tcW w:w="657" w:type="pct"/>
            <w:tcBorders>
              <w:top w:val="nil"/>
              <w:left w:val="nil"/>
              <w:bottom w:val="nil"/>
              <w:right w:val="single" w:sz="8" w:space="0" w:color="BFBFBF"/>
            </w:tcBorders>
            <w:shd w:val="clear" w:color="auto" w:fill="auto"/>
            <w:noWrap/>
            <w:vAlign w:val="center"/>
            <w:hideMark/>
          </w:tcPr>
          <w:p w:rsidR="00195BE7" w:rsidRPr="001E2F6E" w:rsidRDefault="00195BE7" w:rsidP="00195BE7">
            <w:pPr>
              <w:spacing w:line="220" w:lineRule="exact"/>
              <w:jc w:val="right"/>
              <w:rPr>
                <w:color w:val="000000"/>
                <w:sz w:val="16"/>
                <w:szCs w:val="16"/>
              </w:rPr>
            </w:pPr>
            <w:r w:rsidRPr="001E2F6E">
              <w:rPr>
                <w:color w:val="000000"/>
                <w:sz w:val="16"/>
                <w:szCs w:val="16"/>
              </w:rPr>
              <w:t>68.337.374</w:t>
            </w:r>
          </w:p>
        </w:tc>
      </w:tr>
      <w:tr w:rsidR="00195BE7" w:rsidRPr="001E2F6E" w:rsidTr="00195BE7">
        <w:trPr>
          <w:jc w:val="center"/>
        </w:trPr>
        <w:tc>
          <w:tcPr>
            <w:tcW w:w="1836" w:type="pct"/>
            <w:tcBorders>
              <w:top w:val="nil"/>
              <w:left w:val="nil"/>
              <w:bottom w:val="nil"/>
              <w:right w:val="single" w:sz="8" w:space="0" w:color="BFBFBF"/>
            </w:tcBorders>
            <w:shd w:val="clear" w:color="auto" w:fill="auto"/>
            <w:vAlign w:val="bottom"/>
            <w:hideMark/>
          </w:tcPr>
          <w:p w:rsidR="00195BE7" w:rsidRPr="001E2F6E" w:rsidRDefault="00195BE7" w:rsidP="00195BE7">
            <w:pPr>
              <w:spacing w:line="220" w:lineRule="exact"/>
              <w:rPr>
                <w:sz w:val="16"/>
                <w:szCs w:val="16"/>
                <w:lang w:val="eu-ES"/>
              </w:rPr>
            </w:pPr>
            <w:r w:rsidRPr="001E2F6E">
              <w:rPr>
                <w:sz w:val="16"/>
                <w:szCs w:val="16"/>
                <w:lang w:val="eu-ES"/>
              </w:rPr>
              <w:t>68 Ekitaldiaren amortizaziorako hornidura</w:t>
            </w:r>
          </w:p>
        </w:tc>
        <w:tc>
          <w:tcPr>
            <w:tcW w:w="657" w:type="pct"/>
            <w:tcBorders>
              <w:top w:val="nil"/>
              <w:left w:val="nil"/>
              <w:bottom w:val="nil"/>
              <w:right w:val="single" w:sz="8" w:space="0" w:color="BFBFBF"/>
            </w:tcBorders>
            <w:shd w:val="clear" w:color="auto" w:fill="auto"/>
            <w:noWrap/>
            <w:vAlign w:val="center"/>
            <w:hideMark/>
          </w:tcPr>
          <w:p w:rsidR="00195BE7" w:rsidRPr="001E2F6E" w:rsidRDefault="00195BE7" w:rsidP="00195BE7">
            <w:pPr>
              <w:spacing w:line="220" w:lineRule="exact"/>
              <w:jc w:val="right"/>
              <w:rPr>
                <w:color w:val="000000"/>
                <w:sz w:val="16"/>
                <w:szCs w:val="16"/>
              </w:rPr>
            </w:pPr>
            <w:r w:rsidRPr="001E2F6E">
              <w:rPr>
                <w:color w:val="000000"/>
                <w:sz w:val="16"/>
                <w:szCs w:val="16"/>
              </w:rPr>
              <w:t>257.144.869</w:t>
            </w:r>
          </w:p>
        </w:tc>
        <w:tc>
          <w:tcPr>
            <w:tcW w:w="531" w:type="pct"/>
            <w:tcBorders>
              <w:top w:val="nil"/>
              <w:left w:val="nil"/>
              <w:bottom w:val="nil"/>
              <w:right w:val="single" w:sz="8" w:space="0" w:color="BFBFBF"/>
            </w:tcBorders>
            <w:shd w:val="clear" w:color="auto" w:fill="auto"/>
            <w:noWrap/>
            <w:vAlign w:val="center"/>
            <w:hideMark/>
          </w:tcPr>
          <w:p w:rsidR="00195BE7" w:rsidRPr="001E2F6E" w:rsidRDefault="00195BE7" w:rsidP="00195BE7">
            <w:pPr>
              <w:spacing w:line="220" w:lineRule="exact"/>
              <w:jc w:val="right"/>
              <w:rPr>
                <w:color w:val="000000"/>
                <w:sz w:val="16"/>
                <w:szCs w:val="16"/>
              </w:rPr>
            </w:pPr>
            <w:r w:rsidRPr="001E2F6E">
              <w:rPr>
                <w:color w:val="000000"/>
                <w:sz w:val="16"/>
                <w:szCs w:val="16"/>
              </w:rPr>
              <w:t>680.025</w:t>
            </w:r>
          </w:p>
        </w:tc>
        <w:tc>
          <w:tcPr>
            <w:tcW w:w="657" w:type="pct"/>
            <w:tcBorders>
              <w:top w:val="nil"/>
              <w:left w:val="nil"/>
              <w:bottom w:val="nil"/>
              <w:right w:val="single" w:sz="8" w:space="0" w:color="BFBFBF"/>
            </w:tcBorders>
            <w:shd w:val="clear" w:color="auto" w:fill="auto"/>
            <w:noWrap/>
            <w:vAlign w:val="center"/>
            <w:hideMark/>
          </w:tcPr>
          <w:p w:rsidR="00195BE7" w:rsidRPr="001E2F6E" w:rsidRDefault="00195BE7" w:rsidP="00195BE7">
            <w:pPr>
              <w:spacing w:line="220" w:lineRule="exact"/>
              <w:jc w:val="right"/>
              <w:rPr>
                <w:color w:val="000000"/>
                <w:sz w:val="16"/>
                <w:szCs w:val="16"/>
              </w:rPr>
            </w:pPr>
            <w:r w:rsidRPr="001E2F6E">
              <w:rPr>
                <w:color w:val="000000"/>
                <w:sz w:val="16"/>
                <w:szCs w:val="16"/>
              </w:rPr>
              <w:t>168.379.508</w:t>
            </w:r>
          </w:p>
        </w:tc>
        <w:tc>
          <w:tcPr>
            <w:tcW w:w="662" w:type="pct"/>
            <w:tcBorders>
              <w:top w:val="nil"/>
              <w:left w:val="nil"/>
              <w:bottom w:val="nil"/>
              <w:right w:val="single" w:sz="8" w:space="0" w:color="BFBFBF"/>
            </w:tcBorders>
            <w:shd w:val="clear" w:color="auto" w:fill="auto"/>
            <w:noWrap/>
            <w:vAlign w:val="center"/>
            <w:hideMark/>
          </w:tcPr>
          <w:p w:rsidR="00195BE7" w:rsidRPr="001E2F6E" w:rsidRDefault="00195BE7" w:rsidP="00195BE7">
            <w:pPr>
              <w:spacing w:line="220" w:lineRule="exact"/>
              <w:jc w:val="right"/>
              <w:rPr>
                <w:color w:val="000000"/>
                <w:sz w:val="16"/>
                <w:szCs w:val="16"/>
              </w:rPr>
            </w:pPr>
            <w:r w:rsidRPr="001E2F6E">
              <w:rPr>
                <w:color w:val="000000"/>
                <w:sz w:val="16"/>
                <w:szCs w:val="16"/>
              </w:rPr>
              <w:t>1.497.412</w:t>
            </w:r>
          </w:p>
        </w:tc>
        <w:tc>
          <w:tcPr>
            <w:tcW w:w="657" w:type="pct"/>
            <w:tcBorders>
              <w:top w:val="nil"/>
              <w:left w:val="nil"/>
              <w:bottom w:val="nil"/>
              <w:right w:val="single" w:sz="8" w:space="0" w:color="BFBFBF"/>
            </w:tcBorders>
            <w:shd w:val="clear" w:color="auto" w:fill="auto"/>
            <w:noWrap/>
            <w:vAlign w:val="center"/>
            <w:hideMark/>
          </w:tcPr>
          <w:p w:rsidR="00195BE7" w:rsidRPr="001E2F6E" w:rsidRDefault="00195BE7" w:rsidP="00195BE7">
            <w:pPr>
              <w:spacing w:line="220" w:lineRule="exact"/>
              <w:jc w:val="right"/>
              <w:rPr>
                <w:color w:val="000000"/>
                <w:sz w:val="16"/>
                <w:szCs w:val="16"/>
              </w:rPr>
            </w:pPr>
            <w:r w:rsidRPr="001E2F6E">
              <w:rPr>
                <w:color w:val="000000"/>
                <w:sz w:val="16"/>
                <w:szCs w:val="16"/>
              </w:rPr>
              <w:t>86.587.925</w:t>
            </w:r>
          </w:p>
        </w:tc>
      </w:tr>
      <w:tr w:rsidR="00195BE7" w:rsidRPr="001E2F6E" w:rsidTr="00195BE7">
        <w:trPr>
          <w:jc w:val="center"/>
        </w:trPr>
        <w:tc>
          <w:tcPr>
            <w:tcW w:w="1836" w:type="pct"/>
            <w:tcBorders>
              <w:top w:val="nil"/>
              <w:left w:val="nil"/>
              <w:bottom w:val="single" w:sz="8" w:space="0" w:color="BFBFBF"/>
              <w:right w:val="single" w:sz="8" w:space="0" w:color="BFBFBF"/>
            </w:tcBorders>
            <w:shd w:val="clear" w:color="auto" w:fill="auto"/>
            <w:vAlign w:val="bottom"/>
            <w:hideMark/>
          </w:tcPr>
          <w:p w:rsidR="00195BE7" w:rsidRPr="001E2F6E" w:rsidRDefault="00195BE7" w:rsidP="00195BE7">
            <w:pPr>
              <w:spacing w:line="220" w:lineRule="exact"/>
              <w:rPr>
                <w:sz w:val="16"/>
                <w:szCs w:val="16"/>
                <w:lang w:val="eu-ES"/>
              </w:rPr>
            </w:pPr>
            <w:r w:rsidRPr="001E2F6E">
              <w:rPr>
                <w:sz w:val="16"/>
                <w:szCs w:val="16"/>
                <w:lang w:val="eu-ES"/>
              </w:rPr>
              <w:t>69 Hornidura-zuzkidurak</w:t>
            </w:r>
          </w:p>
        </w:tc>
        <w:tc>
          <w:tcPr>
            <w:tcW w:w="657" w:type="pct"/>
            <w:tcBorders>
              <w:top w:val="nil"/>
              <w:left w:val="nil"/>
              <w:bottom w:val="single" w:sz="8" w:space="0" w:color="BFBFBF"/>
              <w:right w:val="single" w:sz="8" w:space="0" w:color="BFBFBF"/>
            </w:tcBorders>
            <w:shd w:val="clear" w:color="auto" w:fill="auto"/>
            <w:noWrap/>
            <w:vAlign w:val="center"/>
            <w:hideMark/>
          </w:tcPr>
          <w:p w:rsidR="00195BE7" w:rsidRPr="001E2F6E" w:rsidRDefault="00195BE7" w:rsidP="00195BE7">
            <w:pPr>
              <w:spacing w:line="220" w:lineRule="exact"/>
              <w:jc w:val="right"/>
              <w:rPr>
                <w:color w:val="000000"/>
                <w:sz w:val="16"/>
                <w:szCs w:val="16"/>
              </w:rPr>
            </w:pPr>
            <w:r w:rsidRPr="001E2F6E">
              <w:rPr>
                <w:color w:val="000000"/>
                <w:sz w:val="16"/>
                <w:szCs w:val="16"/>
              </w:rPr>
              <w:t>570.491.960</w:t>
            </w:r>
          </w:p>
        </w:tc>
        <w:tc>
          <w:tcPr>
            <w:tcW w:w="531" w:type="pct"/>
            <w:tcBorders>
              <w:top w:val="nil"/>
              <w:left w:val="nil"/>
              <w:bottom w:val="single" w:sz="8" w:space="0" w:color="BFBFBF"/>
              <w:right w:val="single" w:sz="8" w:space="0" w:color="BFBFBF"/>
            </w:tcBorders>
            <w:shd w:val="clear" w:color="auto" w:fill="auto"/>
            <w:noWrap/>
            <w:vAlign w:val="center"/>
            <w:hideMark/>
          </w:tcPr>
          <w:p w:rsidR="00195BE7" w:rsidRPr="001E2F6E" w:rsidRDefault="00195BE7" w:rsidP="00195BE7">
            <w:pPr>
              <w:spacing w:line="220" w:lineRule="exact"/>
              <w:jc w:val="right"/>
              <w:rPr>
                <w:color w:val="000000"/>
                <w:sz w:val="16"/>
                <w:szCs w:val="16"/>
              </w:rPr>
            </w:pPr>
            <w:r w:rsidRPr="001E2F6E">
              <w:rPr>
                <w:color w:val="000000"/>
                <w:sz w:val="16"/>
                <w:szCs w:val="16"/>
              </w:rPr>
              <w:t>32.262</w:t>
            </w:r>
          </w:p>
        </w:tc>
        <w:tc>
          <w:tcPr>
            <w:tcW w:w="657" w:type="pct"/>
            <w:tcBorders>
              <w:top w:val="nil"/>
              <w:left w:val="nil"/>
              <w:bottom w:val="single" w:sz="8" w:space="0" w:color="BFBFBF"/>
              <w:right w:val="single" w:sz="8" w:space="0" w:color="BFBFBF"/>
            </w:tcBorders>
            <w:shd w:val="clear" w:color="auto" w:fill="auto"/>
            <w:noWrap/>
            <w:vAlign w:val="center"/>
            <w:hideMark/>
          </w:tcPr>
          <w:p w:rsidR="00195BE7" w:rsidRPr="001E2F6E" w:rsidRDefault="00195BE7" w:rsidP="00195BE7">
            <w:pPr>
              <w:spacing w:line="220" w:lineRule="exact"/>
              <w:jc w:val="right"/>
              <w:rPr>
                <w:color w:val="000000"/>
                <w:sz w:val="16"/>
                <w:szCs w:val="16"/>
              </w:rPr>
            </w:pPr>
            <w:r w:rsidRPr="001E2F6E">
              <w:rPr>
                <w:color w:val="000000"/>
                <w:sz w:val="16"/>
                <w:szCs w:val="16"/>
              </w:rPr>
              <w:t>113.069.678</w:t>
            </w:r>
          </w:p>
        </w:tc>
        <w:tc>
          <w:tcPr>
            <w:tcW w:w="662" w:type="pct"/>
            <w:tcBorders>
              <w:top w:val="nil"/>
              <w:left w:val="nil"/>
              <w:bottom w:val="single" w:sz="8" w:space="0" w:color="BFBFBF"/>
              <w:right w:val="single" w:sz="8" w:space="0" w:color="BFBFBF"/>
            </w:tcBorders>
            <w:shd w:val="clear" w:color="auto" w:fill="auto"/>
            <w:noWrap/>
            <w:vAlign w:val="center"/>
            <w:hideMark/>
          </w:tcPr>
          <w:p w:rsidR="00195BE7" w:rsidRPr="001E2F6E" w:rsidRDefault="00195BE7" w:rsidP="00195BE7">
            <w:pPr>
              <w:spacing w:line="220" w:lineRule="exact"/>
              <w:jc w:val="right"/>
              <w:rPr>
                <w:color w:val="000000"/>
                <w:sz w:val="16"/>
                <w:szCs w:val="16"/>
              </w:rPr>
            </w:pPr>
            <w:r w:rsidRPr="001E2F6E">
              <w:rPr>
                <w:color w:val="000000"/>
                <w:sz w:val="16"/>
                <w:szCs w:val="16"/>
              </w:rPr>
              <w:t>2.957.889</w:t>
            </w:r>
          </w:p>
        </w:tc>
        <w:tc>
          <w:tcPr>
            <w:tcW w:w="657" w:type="pct"/>
            <w:tcBorders>
              <w:top w:val="nil"/>
              <w:left w:val="nil"/>
              <w:bottom w:val="single" w:sz="8" w:space="0" w:color="BFBFBF"/>
              <w:right w:val="single" w:sz="8" w:space="0" w:color="BFBFBF"/>
            </w:tcBorders>
            <w:shd w:val="clear" w:color="auto" w:fill="auto"/>
            <w:noWrap/>
            <w:vAlign w:val="center"/>
            <w:hideMark/>
          </w:tcPr>
          <w:p w:rsidR="00195BE7" w:rsidRPr="001E2F6E" w:rsidRDefault="00195BE7" w:rsidP="00195BE7">
            <w:pPr>
              <w:spacing w:line="220" w:lineRule="exact"/>
              <w:jc w:val="right"/>
              <w:rPr>
                <w:color w:val="000000"/>
                <w:sz w:val="16"/>
                <w:szCs w:val="16"/>
              </w:rPr>
            </w:pPr>
            <w:r w:rsidRPr="001E2F6E">
              <w:rPr>
                <w:color w:val="000000"/>
                <w:sz w:val="16"/>
                <w:szCs w:val="16"/>
              </w:rPr>
              <w:t>454.432.132</w:t>
            </w:r>
          </w:p>
        </w:tc>
      </w:tr>
      <w:tr w:rsidR="00195BE7" w:rsidRPr="001E2F6E" w:rsidTr="00195BE7">
        <w:trPr>
          <w:jc w:val="center"/>
        </w:trPr>
        <w:tc>
          <w:tcPr>
            <w:tcW w:w="1836" w:type="pct"/>
            <w:tcBorders>
              <w:top w:val="nil"/>
              <w:left w:val="nil"/>
              <w:bottom w:val="single" w:sz="8" w:space="0" w:color="BFBFBF"/>
              <w:right w:val="single" w:sz="8" w:space="0" w:color="BFBFBF"/>
            </w:tcBorders>
            <w:shd w:val="clear" w:color="000000" w:fill="E6E6E6"/>
            <w:vAlign w:val="bottom"/>
            <w:hideMark/>
          </w:tcPr>
          <w:p w:rsidR="00195BE7" w:rsidRPr="001E2F6E" w:rsidRDefault="00195BE7" w:rsidP="00195BE7">
            <w:pPr>
              <w:spacing w:line="220" w:lineRule="exact"/>
              <w:rPr>
                <w:rFonts w:eastAsia="Times New Roman"/>
                <w:color w:val="000000"/>
                <w:sz w:val="16"/>
                <w:szCs w:val="16"/>
                <w:lang w:eastAsia="es-ES"/>
              </w:rPr>
            </w:pPr>
            <w:r w:rsidRPr="001E2F6E">
              <w:rPr>
                <w:rFonts w:eastAsia="Times New Roman"/>
                <w:color w:val="000000"/>
                <w:sz w:val="16"/>
                <w:szCs w:val="16"/>
                <w:lang w:eastAsia="es-ES"/>
              </w:rPr>
              <w:t> </w:t>
            </w:r>
          </w:p>
        </w:tc>
        <w:tc>
          <w:tcPr>
            <w:tcW w:w="657" w:type="pct"/>
            <w:tcBorders>
              <w:top w:val="nil"/>
              <w:left w:val="nil"/>
              <w:bottom w:val="single" w:sz="8" w:space="0" w:color="BFBFBF"/>
              <w:right w:val="nil"/>
            </w:tcBorders>
            <w:shd w:val="clear" w:color="000000" w:fill="E6E6E6"/>
            <w:vAlign w:val="center"/>
            <w:hideMark/>
          </w:tcPr>
          <w:p w:rsidR="00195BE7" w:rsidRPr="001E2F6E" w:rsidRDefault="00195BE7" w:rsidP="00195BE7">
            <w:pPr>
              <w:spacing w:line="220" w:lineRule="exact"/>
              <w:jc w:val="right"/>
              <w:rPr>
                <w:b/>
                <w:bCs/>
                <w:color w:val="000000"/>
                <w:sz w:val="16"/>
                <w:szCs w:val="16"/>
              </w:rPr>
            </w:pPr>
            <w:r w:rsidRPr="001E2F6E">
              <w:rPr>
                <w:b/>
                <w:bCs/>
                <w:color w:val="000000"/>
                <w:sz w:val="16"/>
                <w:szCs w:val="16"/>
              </w:rPr>
              <w:t>8.994.837.911</w:t>
            </w:r>
          </w:p>
        </w:tc>
        <w:tc>
          <w:tcPr>
            <w:tcW w:w="531" w:type="pct"/>
            <w:tcBorders>
              <w:top w:val="nil"/>
              <w:left w:val="nil"/>
              <w:bottom w:val="single" w:sz="8" w:space="0" w:color="BFBFBF"/>
              <w:right w:val="nil"/>
            </w:tcBorders>
            <w:shd w:val="clear" w:color="000000" w:fill="E6E6E6"/>
            <w:vAlign w:val="center"/>
            <w:hideMark/>
          </w:tcPr>
          <w:p w:rsidR="00195BE7" w:rsidRPr="001E2F6E" w:rsidRDefault="00195BE7" w:rsidP="00195BE7">
            <w:pPr>
              <w:spacing w:line="220" w:lineRule="exact"/>
              <w:jc w:val="right"/>
              <w:rPr>
                <w:b/>
                <w:bCs/>
                <w:color w:val="000000"/>
                <w:sz w:val="16"/>
                <w:szCs w:val="16"/>
              </w:rPr>
            </w:pPr>
            <w:r w:rsidRPr="001E2F6E">
              <w:rPr>
                <w:b/>
                <w:bCs/>
                <w:color w:val="000000"/>
                <w:sz w:val="16"/>
                <w:szCs w:val="16"/>
              </w:rPr>
              <w:t>11.410.098</w:t>
            </w:r>
          </w:p>
        </w:tc>
        <w:tc>
          <w:tcPr>
            <w:tcW w:w="657" w:type="pct"/>
            <w:tcBorders>
              <w:top w:val="nil"/>
              <w:left w:val="nil"/>
              <w:bottom w:val="single" w:sz="8" w:space="0" w:color="BFBFBF"/>
              <w:right w:val="nil"/>
            </w:tcBorders>
            <w:shd w:val="clear" w:color="000000" w:fill="E6E6E6"/>
            <w:vAlign w:val="center"/>
            <w:hideMark/>
          </w:tcPr>
          <w:p w:rsidR="00195BE7" w:rsidRPr="001E2F6E" w:rsidRDefault="00195BE7" w:rsidP="00195BE7">
            <w:pPr>
              <w:spacing w:line="220" w:lineRule="exact"/>
              <w:jc w:val="right"/>
              <w:rPr>
                <w:b/>
                <w:bCs/>
                <w:color w:val="000000"/>
                <w:sz w:val="16"/>
                <w:szCs w:val="16"/>
              </w:rPr>
            </w:pPr>
            <w:r w:rsidRPr="001E2F6E">
              <w:rPr>
                <w:b/>
                <w:bCs/>
                <w:color w:val="000000"/>
                <w:sz w:val="16"/>
                <w:szCs w:val="16"/>
              </w:rPr>
              <w:t>4.414.398.522</w:t>
            </w:r>
          </w:p>
        </w:tc>
        <w:tc>
          <w:tcPr>
            <w:tcW w:w="662" w:type="pct"/>
            <w:tcBorders>
              <w:top w:val="nil"/>
              <w:left w:val="nil"/>
              <w:bottom w:val="single" w:sz="8" w:space="0" w:color="BFBFBF"/>
              <w:right w:val="nil"/>
            </w:tcBorders>
            <w:shd w:val="clear" w:color="000000" w:fill="E6E6E6"/>
            <w:vAlign w:val="center"/>
            <w:hideMark/>
          </w:tcPr>
          <w:p w:rsidR="00195BE7" w:rsidRPr="001E2F6E" w:rsidRDefault="00195BE7" w:rsidP="00195BE7">
            <w:pPr>
              <w:spacing w:line="220" w:lineRule="exact"/>
              <w:jc w:val="right"/>
              <w:rPr>
                <w:b/>
                <w:bCs/>
                <w:color w:val="000000"/>
                <w:sz w:val="16"/>
                <w:szCs w:val="16"/>
              </w:rPr>
            </w:pPr>
            <w:r w:rsidRPr="001E2F6E">
              <w:rPr>
                <w:b/>
                <w:bCs/>
                <w:color w:val="000000"/>
                <w:sz w:val="16"/>
                <w:szCs w:val="16"/>
              </w:rPr>
              <w:t>146.017.370</w:t>
            </w:r>
          </w:p>
        </w:tc>
        <w:tc>
          <w:tcPr>
            <w:tcW w:w="657" w:type="pct"/>
            <w:tcBorders>
              <w:top w:val="nil"/>
              <w:left w:val="nil"/>
              <w:bottom w:val="single" w:sz="8" w:space="0" w:color="BFBFBF"/>
              <w:right w:val="nil"/>
            </w:tcBorders>
            <w:shd w:val="clear" w:color="000000" w:fill="E6E6E6"/>
            <w:vAlign w:val="center"/>
            <w:hideMark/>
          </w:tcPr>
          <w:p w:rsidR="00195BE7" w:rsidRPr="001E2F6E" w:rsidRDefault="00195BE7" w:rsidP="00195BE7">
            <w:pPr>
              <w:spacing w:line="220" w:lineRule="exact"/>
              <w:jc w:val="right"/>
              <w:rPr>
                <w:b/>
                <w:bCs/>
                <w:color w:val="000000"/>
                <w:sz w:val="16"/>
                <w:szCs w:val="16"/>
              </w:rPr>
            </w:pPr>
            <w:r w:rsidRPr="001E2F6E">
              <w:rPr>
                <w:b/>
                <w:bCs/>
                <w:color w:val="000000"/>
                <w:sz w:val="16"/>
                <w:szCs w:val="16"/>
              </w:rPr>
              <w:t>4.423.011.922</w:t>
            </w:r>
          </w:p>
        </w:tc>
      </w:tr>
      <w:tr w:rsidR="00195BE7" w:rsidRPr="001E2F6E" w:rsidTr="00195BE7">
        <w:trPr>
          <w:jc w:val="center"/>
        </w:trPr>
        <w:tc>
          <w:tcPr>
            <w:tcW w:w="1836" w:type="pct"/>
            <w:tcBorders>
              <w:top w:val="nil"/>
              <w:left w:val="nil"/>
              <w:bottom w:val="single" w:sz="8" w:space="0" w:color="BFBFBF"/>
              <w:right w:val="single" w:sz="8" w:space="0" w:color="BFBFBF"/>
            </w:tcBorders>
            <w:shd w:val="clear" w:color="000000" w:fill="DDEEFF"/>
            <w:vAlign w:val="bottom"/>
            <w:hideMark/>
          </w:tcPr>
          <w:p w:rsidR="00195BE7" w:rsidRPr="001E2F6E" w:rsidRDefault="00195BE7" w:rsidP="00195BE7">
            <w:pPr>
              <w:spacing w:line="240" w:lineRule="auto"/>
              <w:rPr>
                <w:b/>
                <w:bCs/>
                <w:sz w:val="16"/>
                <w:szCs w:val="16"/>
                <w:lang w:val="eu-ES"/>
              </w:rPr>
            </w:pPr>
            <w:r w:rsidRPr="001E2F6E">
              <w:rPr>
                <w:b/>
                <w:bCs/>
                <w:sz w:val="16"/>
                <w:szCs w:val="16"/>
                <w:lang w:val="eu-ES"/>
              </w:rPr>
              <w:t>MOZKINAK (+) edo GALERAK (-)</w:t>
            </w:r>
          </w:p>
        </w:tc>
        <w:tc>
          <w:tcPr>
            <w:tcW w:w="657" w:type="pct"/>
            <w:tcBorders>
              <w:top w:val="nil"/>
              <w:left w:val="nil"/>
              <w:bottom w:val="single" w:sz="8" w:space="0" w:color="BFBFBF"/>
              <w:right w:val="single" w:sz="8" w:space="0" w:color="BFBFBF"/>
            </w:tcBorders>
            <w:shd w:val="clear" w:color="000000" w:fill="DDEEFF"/>
            <w:vAlign w:val="center"/>
            <w:hideMark/>
          </w:tcPr>
          <w:p w:rsidR="00195BE7" w:rsidRPr="001E2F6E" w:rsidRDefault="00195BE7" w:rsidP="00195BE7">
            <w:pPr>
              <w:spacing w:line="240" w:lineRule="auto"/>
              <w:jc w:val="right"/>
              <w:rPr>
                <w:b/>
                <w:bCs/>
                <w:color w:val="000000"/>
                <w:sz w:val="16"/>
                <w:szCs w:val="16"/>
              </w:rPr>
            </w:pPr>
            <w:r w:rsidRPr="001E2F6E">
              <w:rPr>
                <w:b/>
                <w:bCs/>
                <w:color w:val="000000"/>
                <w:sz w:val="16"/>
                <w:szCs w:val="16"/>
              </w:rPr>
              <w:t>85.048.557</w:t>
            </w:r>
          </w:p>
        </w:tc>
        <w:tc>
          <w:tcPr>
            <w:tcW w:w="531" w:type="pct"/>
            <w:tcBorders>
              <w:top w:val="nil"/>
              <w:left w:val="nil"/>
              <w:bottom w:val="single" w:sz="8" w:space="0" w:color="BFBFBF"/>
              <w:right w:val="single" w:sz="8" w:space="0" w:color="BFBFBF"/>
            </w:tcBorders>
            <w:shd w:val="clear" w:color="000000" w:fill="DDEEFF"/>
            <w:vAlign w:val="center"/>
            <w:hideMark/>
          </w:tcPr>
          <w:p w:rsidR="00195BE7" w:rsidRPr="001E2F6E" w:rsidRDefault="00195BE7" w:rsidP="00195BE7">
            <w:pPr>
              <w:spacing w:line="240" w:lineRule="auto"/>
              <w:jc w:val="right"/>
              <w:rPr>
                <w:b/>
                <w:bCs/>
                <w:color w:val="000000"/>
                <w:sz w:val="16"/>
                <w:szCs w:val="16"/>
              </w:rPr>
            </w:pPr>
            <w:r w:rsidRPr="001E2F6E">
              <w:rPr>
                <w:b/>
                <w:bCs/>
                <w:color w:val="000000"/>
                <w:sz w:val="16"/>
                <w:szCs w:val="16"/>
              </w:rPr>
              <w:t>-154.517</w:t>
            </w:r>
          </w:p>
        </w:tc>
        <w:tc>
          <w:tcPr>
            <w:tcW w:w="657" w:type="pct"/>
            <w:tcBorders>
              <w:top w:val="nil"/>
              <w:left w:val="nil"/>
              <w:bottom w:val="single" w:sz="8" w:space="0" w:color="BFBFBF"/>
              <w:right w:val="single" w:sz="8" w:space="0" w:color="BFBFBF"/>
            </w:tcBorders>
            <w:shd w:val="clear" w:color="000000" w:fill="DDEEFF"/>
            <w:vAlign w:val="center"/>
            <w:hideMark/>
          </w:tcPr>
          <w:p w:rsidR="00195BE7" w:rsidRPr="001E2F6E" w:rsidRDefault="00195BE7" w:rsidP="00195BE7">
            <w:pPr>
              <w:spacing w:line="240" w:lineRule="auto"/>
              <w:jc w:val="right"/>
              <w:rPr>
                <w:b/>
                <w:bCs/>
                <w:color w:val="000000"/>
                <w:sz w:val="16"/>
                <w:szCs w:val="16"/>
              </w:rPr>
            </w:pPr>
            <w:r w:rsidRPr="001E2F6E">
              <w:rPr>
                <w:b/>
                <w:bCs/>
                <w:color w:val="000000"/>
                <w:sz w:val="16"/>
                <w:szCs w:val="16"/>
              </w:rPr>
              <w:t>115.110.035</w:t>
            </w:r>
          </w:p>
        </w:tc>
        <w:tc>
          <w:tcPr>
            <w:tcW w:w="662" w:type="pct"/>
            <w:tcBorders>
              <w:top w:val="nil"/>
              <w:left w:val="nil"/>
              <w:bottom w:val="single" w:sz="8" w:space="0" w:color="BFBFBF"/>
              <w:right w:val="single" w:sz="8" w:space="0" w:color="BFBFBF"/>
            </w:tcBorders>
            <w:shd w:val="clear" w:color="000000" w:fill="DDEEFF"/>
            <w:vAlign w:val="center"/>
            <w:hideMark/>
          </w:tcPr>
          <w:p w:rsidR="00195BE7" w:rsidRPr="001E2F6E" w:rsidRDefault="00195BE7" w:rsidP="00195BE7">
            <w:pPr>
              <w:spacing w:line="240" w:lineRule="auto"/>
              <w:jc w:val="right"/>
              <w:rPr>
                <w:b/>
                <w:bCs/>
                <w:color w:val="000000"/>
                <w:sz w:val="16"/>
                <w:szCs w:val="16"/>
              </w:rPr>
            </w:pPr>
            <w:r w:rsidRPr="001E2F6E">
              <w:rPr>
                <w:b/>
                <w:bCs/>
                <w:color w:val="000000"/>
                <w:sz w:val="16"/>
                <w:szCs w:val="16"/>
              </w:rPr>
              <w:t>-2.894.391</w:t>
            </w:r>
          </w:p>
        </w:tc>
        <w:tc>
          <w:tcPr>
            <w:tcW w:w="657" w:type="pct"/>
            <w:tcBorders>
              <w:top w:val="nil"/>
              <w:left w:val="nil"/>
              <w:bottom w:val="single" w:sz="8" w:space="0" w:color="BFBFBF"/>
              <w:right w:val="nil"/>
            </w:tcBorders>
            <w:shd w:val="clear" w:color="000000" w:fill="DDEEFF"/>
            <w:vAlign w:val="center"/>
            <w:hideMark/>
          </w:tcPr>
          <w:p w:rsidR="00195BE7" w:rsidRPr="001E2F6E" w:rsidRDefault="00195BE7" w:rsidP="00195BE7">
            <w:pPr>
              <w:spacing w:line="240" w:lineRule="auto"/>
              <w:jc w:val="right"/>
              <w:rPr>
                <w:b/>
                <w:bCs/>
                <w:color w:val="000000"/>
                <w:sz w:val="16"/>
                <w:szCs w:val="16"/>
              </w:rPr>
            </w:pPr>
            <w:r w:rsidRPr="001E2F6E">
              <w:rPr>
                <w:b/>
                <w:bCs/>
                <w:color w:val="000000"/>
                <w:sz w:val="16"/>
                <w:szCs w:val="16"/>
              </w:rPr>
              <w:t>-27.012.571</w:t>
            </w:r>
          </w:p>
        </w:tc>
      </w:tr>
      <w:tr w:rsidR="00195BE7" w:rsidRPr="001E2F6E" w:rsidTr="00195BE7">
        <w:trPr>
          <w:jc w:val="center"/>
        </w:trPr>
        <w:tc>
          <w:tcPr>
            <w:tcW w:w="1836" w:type="pct"/>
            <w:tcBorders>
              <w:top w:val="nil"/>
              <w:left w:val="nil"/>
              <w:bottom w:val="single" w:sz="8" w:space="0" w:color="BFBFBF"/>
              <w:right w:val="single" w:sz="8" w:space="0" w:color="BFBFBF"/>
            </w:tcBorders>
            <w:shd w:val="clear" w:color="auto" w:fill="auto"/>
            <w:vAlign w:val="bottom"/>
            <w:hideMark/>
          </w:tcPr>
          <w:p w:rsidR="00195BE7" w:rsidRPr="001E2F6E" w:rsidRDefault="00195BE7" w:rsidP="00195BE7">
            <w:pPr>
              <w:spacing w:line="240" w:lineRule="auto"/>
              <w:rPr>
                <w:b/>
                <w:sz w:val="10"/>
                <w:szCs w:val="10"/>
                <w:lang w:val="eu-ES"/>
              </w:rPr>
            </w:pPr>
            <w:r w:rsidRPr="001E2F6E">
              <w:rPr>
                <w:b/>
                <w:sz w:val="10"/>
                <w:szCs w:val="10"/>
                <w:lang w:val="eu-ES"/>
              </w:rPr>
              <w:t> </w:t>
            </w:r>
          </w:p>
        </w:tc>
        <w:tc>
          <w:tcPr>
            <w:tcW w:w="657" w:type="pct"/>
            <w:tcBorders>
              <w:top w:val="nil"/>
              <w:left w:val="nil"/>
              <w:bottom w:val="single" w:sz="8" w:space="0" w:color="BFBFBF"/>
              <w:right w:val="single" w:sz="8" w:space="0" w:color="BFBFBF"/>
            </w:tcBorders>
            <w:shd w:val="clear" w:color="auto" w:fill="auto"/>
            <w:vAlign w:val="center"/>
            <w:hideMark/>
          </w:tcPr>
          <w:p w:rsidR="00195BE7" w:rsidRPr="001E2F6E" w:rsidRDefault="00195BE7" w:rsidP="00195BE7">
            <w:pPr>
              <w:spacing w:line="240" w:lineRule="auto"/>
              <w:jc w:val="right"/>
              <w:rPr>
                <w:b/>
                <w:bCs/>
                <w:color w:val="000000"/>
                <w:sz w:val="10"/>
                <w:szCs w:val="10"/>
              </w:rPr>
            </w:pPr>
            <w:r w:rsidRPr="001E2F6E">
              <w:rPr>
                <w:b/>
                <w:bCs/>
                <w:color w:val="000000"/>
                <w:sz w:val="10"/>
                <w:szCs w:val="10"/>
              </w:rPr>
              <w:t> </w:t>
            </w:r>
          </w:p>
        </w:tc>
        <w:tc>
          <w:tcPr>
            <w:tcW w:w="531" w:type="pct"/>
            <w:tcBorders>
              <w:top w:val="nil"/>
              <w:left w:val="nil"/>
              <w:bottom w:val="single" w:sz="8" w:space="0" w:color="BFBFBF"/>
              <w:right w:val="single" w:sz="8" w:space="0" w:color="BFBFBF"/>
            </w:tcBorders>
            <w:shd w:val="clear" w:color="auto" w:fill="auto"/>
            <w:vAlign w:val="center"/>
            <w:hideMark/>
          </w:tcPr>
          <w:p w:rsidR="00195BE7" w:rsidRPr="001E2F6E" w:rsidRDefault="00195BE7" w:rsidP="00195BE7">
            <w:pPr>
              <w:spacing w:line="240" w:lineRule="auto"/>
              <w:jc w:val="right"/>
              <w:rPr>
                <w:b/>
                <w:bCs/>
                <w:color w:val="000000"/>
                <w:sz w:val="10"/>
                <w:szCs w:val="10"/>
              </w:rPr>
            </w:pPr>
            <w:r w:rsidRPr="001E2F6E">
              <w:rPr>
                <w:b/>
                <w:bCs/>
                <w:color w:val="000000"/>
                <w:sz w:val="10"/>
                <w:szCs w:val="10"/>
              </w:rPr>
              <w:t> </w:t>
            </w:r>
          </w:p>
        </w:tc>
        <w:tc>
          <w:tcPr>
            <w:tcW w:w="657" w:type="pct"/>
            <w:tcBorders>
              <w:top w:val="nil"/>
              <w:left w:val="nil"/>
              <w:bottom w:val="single" w:sz="8" w:space="0" w:color="BFBFBF"/>
              <w:right w:val="single" w:sz="8" w:space="0" w:color="BFBFBF"/>
            </w:tcBorders>
            <w:shd w:val="clear" w:color="auto" w:fill="auto"/>
            <w:vAlign w:val="center"/>
            <w:hideMark/>
          </w:tcPr>
          <w:p w:rsidR="00195BE7" w:rsidRPr="001E2F6E" w:rsidRDefault="00195BE7" w:rsidP="00195BE7">
            <w:pPr>
              <w:spacing w:line="240" w:lineRule="auto"/>
              <w:jc w:val="right"/>
              <w:rPr>
                <w:b/>
                <w:bCs/>
                <w:color w:val="000000"/>
                <w:sz w:val="10"/>
                <w:szCs w:val="10"/>
              </w:rPr>
            </w:pPr>
            <w:r w:rsidRPr="001E2F6E">
              <w:rPr>
                <w:b/>
                <w:bCs/>
                <w:color w:val="000000"/>
                <w:sz w:val="10"/>
                <w:szCs w:val="10"/>
              </w:rPr>
              <w:t> </w:t>
            </w:r>
          </w:p>
        </w:tc>
        <w:tc>
          <w:tcPr>
            <w:tcW w:w="662" w:type="pct"/>
            <w:tcBorders>
              <w:top w:val="nil"/>
              <w:left w:val="nil"/>
              <w:bottom w:val="single" w:sz="8" w:space="0" w:color="BFBFBF"/>
              <w:right w:val="single" w:sz="8" w:space="0" w:color="BFBFBF"/>
            </w:tcBorders>
            <w:shd w:val="clear" w:color="auto" w:fill="auto"/>
            <w:vAlign w:val="center"/>
            <w:hideMark/>
          </w:tcPr>
          <w:p w:rsidR="00195BE7" w:rsidRPr="001E2F6E" w:rsidRDefault="00195BE7" w:rsidP="00195BE7">
            <w:pPr>
              <w:spacing w:line="240" w:lineRule="auto"/>
              <w:jc w:val="right"/>
              <w:rPr>
                <w:b/>
                <w:bCs/>
                <w:color w:val="000000"/>
                <w:sz w:val="10"/>
                <w:szCs w:val="10"/>
              </w:rPr>
            </w:pPr>
            <w:r w:rsidRPr="001E2F6E">
              <w:rPr>
                <w:b/>
                <w:bCs/>
                <w:color w:val="000000"/>
                <w:sz w:val="10"/>
                <w:szCs w:val="10"/>
              </w:rPr>
              <w:t> </w:t>
            </w:r>
          </w:p>
        </w:tc>
        <w:tc>
          <w:tcPr>
            <w:tcW w:w="657" w:type="pct"/>
            <w:tcBorders>
              <w:top w:val="nil"/>
              <w:left w:val="nil"/>
              <w:bottom w:val="single" w:sz="8" w:space="0" w:color="BFBFBF"/>
              <w:right w:val="nil"/>
            </w:tcBorders>
            <w:shd w:val="clear" w:color="auto" w:fill="auto"/>
            <w:vAlign w:val="center"/>
            <w:hideMark/>
          </w:tcPr>
          <w:p w:rsidR="00195BE7" w:rsidRPr="001E2F6E" w:rsidRDefault="00195BE7" w:rsidP="00195BE7">
            <w:pPr>
              <w:spacing w:line="240" w:lineRule="auto"/>
              <w:jc w:val="right"/>
              <w:rPr>
                <w:b/>
                <w:bCs/>
                <w:color w:val="000000"/>
                <w:sz w:val="10"/>
                <w:szCs w:val="10"/>
              </w:rPr>
            </w:pPr>
            <w:r w:rsidRPr="001E2F6E">
              <w:rPr>
                <w:b/>
                <w:bCs/>
                <w:color w:val="000000"/>
                <w:sz w:val="10"/>
                <w:szCs w:val="10"/>
              </w:rPr>
              <w:t> </w:t>
            </w:r>
          </w:p>
        </w:tc>
      </w:tr>
      <w:tr w:rsidR="00195BE7" w:rsidRPr="001E2F6E" w:rsidTr="00195BE7">
        <w:trPr>
          <w:jc w:val="center"/>
        </w:trPr>
        <w:tc>
          <w:tcPr>
            <w:tcW w:w="1836" w:type="pct"/>
            <w:tcBorders>
              <w:top w:val="nil"/>
              <w:left w:val="nil"/>
              <w:bottom w:val="single" w:sz="8" w:space="0" w:color="BFBFBF"/>
              <w:right w:val="single" w:sz="8" w:space="0" w:color="BFBFBF"/>
            </w:tcBorders>
            <w:shd w:val="clear" w:color="000000" w:fill="DDEEFF"/>
            <w:vAlign w:val="bottom"/>
            <w:hideMark/>
          </w:tcPr>
          <w:p w:rsidR="00195BE7" w:rsidRPr="001E2F6E" w:rsidRDefault="00195BE7" w:rsidP="00195BE7">
            <w:pPr>
              <w:spacing w:line="220" w:lineRule="exact"/>
              <w:rPr>
                <w:b/>
                <w:bCs/>
                <w:sz w:val="16"/>
                <w:szCs w:val="16"/>
                <w:lang w:val="eu-ES"/>
              </w:rPr>
            </w:pPr>
            <w:r w:rsidRPr="001E2F6E">
              <w:rPr>
                <w:b/>
                <w:bCs/>
                <w:sz w:val="16"/>
                <w:szCs w:val="16"/>
                <w:lang w:val="eu-ES"/>
              </w:rPr>
              <w:t>CASH FLOW</w:t>
            </w:r>
          </w:p>
        </w:tc>
        <w:tc>
          <w:tcPr>
            <w:tcW w:w="657" w:type="pct"/>
            <w:tcBorders>
              <w:top w:val="nil"/>
              <w:left w:val="nil"/>
              <w:bottom w:val="single" w:sz="8" w:space="0" w:color="BFBFBF"/>
              <w:right w:val="single" w:sz="8" w:space="0" w:color="BFBFBF"/>
            </w:tcBorders>
            <w:shd w:val="clear" w:color="000000" w:fill="DDEEFF"/>
            <w:vAlign w:val="center"/>
            <w:hideMark/>
          </w:tcPr>
          <w:p w:rsidR="00195BE7" w:rsidRPr="001E2F6E" w:rsidRDefault="00195BE7" w:rsidP="00195BE7">
            <w:pPr>
              <w:spacing w:line="220" w:lineRule="exact"/>
              <w:jc w:val="right"/>
              <w:rPr>
                <w:b/>
                <w:bCs/>
                <w:color w:val="000000"/>
                <w:sz w:val="16"/>
                <w:szCs w:val="16"/>
              </w:rPr>
            </w:pPr>
            <w:r w:rsidRPr="001E2F6E">
              <w:rPr>
                <w:b/>
                <w:bCs/>
                <w:color w:val="000000"/>
                <w:sz w:val="16"/>
                <w:szCs w:val="16"/>
              </w:rPr>
              <w:t>912.685.387</w:t>
            </w:r>
          </w:p>
        </w:tc>
        <w:tc>
          <w:tcPr>
            <w:tcW w:w="531" w:type="pct"/>
            <w:tcBorders>
              <w:top w:val="nil"/>
              <w:left w:val="nil"/>
              <w:bottom w:val="single" w:sz="8" w:space="0" w:color="BFBFBF"/>
              <w:right w:val="single" w:sz="8" w:space="0" w:color="BFBFBF"/>
            </w:tcBorders>
            <w:shd w:val="clear" w:color="000000" w:fill="DDEEFF"/>
            <w:vAlign w:val="center"/>
            <w:hideMark/>
          </w:tcPr>
          <w:p w:rsidR="00195BE7" w:rsidRPr="001E2F6E" w:rsidRDefault="00195BE7" w:rsidP="00195BE7">
            <w:pPr>
              <w:spacing w:line="220" w:lineRule="exact"/>
              <w:jc w:val="right"/>
              <w:rPr>
                <w:b/>
                <w:bCs/>
                <w:color w:val="000000"/>
                <w:sz w:val="16"/>
                <w:szCs w:val="16"/>
              </w:rPr>
            </w:pPr>
            <w:r w:rsidRPr="001E2F6E">
              <w:rPr>
                <w:b/>
                <w:bCs/>
                <w:color w:val="000000"/>
                <w:sz w:val="16"/>
                <w:szCs w:val="16"/>
              </w:rPr>
              <w:t>557.770</w:t>
            </w:r>
          </w:p>
        </w:tc>
        <w:tc>
          <w:tcPr>
            <w:tcW w:w="657" w:type="pct"/>
            <w:tcBorders>
              <w:top w:val="nil"/>
              <w:left w:val="nil"/>
              <w:bottom w:val="single" w:sz="8" w:space="0" w:color="BFBFBF"/>
              <w:right w:val="single" w:sz="8" w:space="0" w:color="BFBFBF"/>
            </w:tcBorders>
            <w:shd w:val="clear" w:color="000000" w:fill="DDEEFF"/>
            <w:vAlign w:val="center"/>
            <w:hideMark/>
          </w:tcPr>
          <w:p w:rsidR="00195BE7" w:rsidRPr="001E2F6E" w:rsidRDefault="00195BE7" w:rsidP="00195BE7">
            <w:pPr>
              <w:spacing w:line="220" w:lineRule="exact"/>
              <w:jc w:val="right"/>
              <w:rPr>
                <w:b/>
                <w:bCs/>
                <w:color w:val="000000"/>
                <w:sz w:val="16"/>
                <w:szCs w:val="16"/>
              </w:rPr>
            </w:pPr>
            <w:r w:rsidRPr="001E2F6E">
              <w:rPr>
                <w:b/>
                <w:bCs/>
                <w:color w:val="000000"/>
                <w:sz w:val="16"/>
                <w:szCs w:val="16"/>
              </w:rPr>
              <w:t>396.559.221</w:t>
            </w:r>
          </w:p>
        </w:tc>
        <w:tc>
          <w:tcPr>
            <w:tcW w:w="662" w:type="pct"/>
            <w:tcBorders>
              <w:top w:val="nil"/>
              <w:left w:val="nil"/>
              <w:bottom w:val="single" w:sz="8" w:space="0" w:color="BFBFBF"/>
              <w:right w:val="single" w:sz="8" w:space="0" w:color="BFBFBF"/>
            </w:tcBorders>
            <w:shd w:val="clear" w:color="000000" w:fill="DDEEFF"/>
            <w:vAlign w:val="center"/>
            <w:hideMark/>
          </w:tcPr>
          <w:p w:rsidR="00195BE7" w:rsidRPr="001E2F6E" w:rsidRDefault="00195BE7" w:rsidP="00195BE7">
            <w:pPr>
              <w:spacing w:line="220" w:lineRule="exact"/>
              <w:jc w:val="right"/>
              <w:rPr>
                <w:b/>
                <w:bCs/>
                <w:color w:val="000000"/>
                <w:sz w:val="16"/>
                <w:szCs w:val="16"/>
              </w:rPr>
            </w:pPr>
            <w:r w:rsidRPr="001E2F6E">
              <w:rPr>
                <w:b/>
                <w:bCs/>
                <w:color w:val="000000"/>
                <w:sz w:val="16"/>
                <w:szCs w:val="16"/>
              </w:rPr>
              <w:t>1.560.909</w:t>
            </w:r>
          </w:p>
        </w:tc>
        <w:tc>
          <w:tcPr>
            <w:tcW w:w="657" w:type="pct"/>
            <w:tcBorders>
              <w:top w:val="nil"/>
              <w:left w:val="nil"/>
              <w:bottom w:val="single" w:sz="8" w:space="0" w:color="BFBFBF"/>
              <w:right w:val="single" w:sz="8" w:space="0" w:color="BFBFBF"/>
            </w:tcBorders>
            <w:shd w:val="clear" w:color="000000" w:fill="DDEEFF"/>
            <w:vAlign w:val="center"/>
            <w:hideMark/>
          </w:tcPr>
          <w:p w:rsidR="00195BE7" w:rsidRPr="001E2F6E" w:rsidRDefault="00195BE7" w:rsidP="00195BE7">
            <w:pPr>
              <w:spacing w:line="220" w:lineRule="exact"/>
              <w:jc w:val="right"/>
              <w:rPr>
                <w:b/>
                <w:bCs/>
                <w:color w:val="000000"/>
                <w:sz w:val="16"/>
                <w:szCs w:val="16"/>
              </w:rPr>
            </w:pPr>
            <w:r w:rsidRPr="001E2F6E">
              <w:rPr>
                <w:b/>
                <w:bCs/>
                <w:color w:val="000000"/>
                <w:sz w:val="16"/>
                <w:szCs w:val="16"/>
              </w:rPr>
              <w:t>514.007.486</w:t>
            </w:r>
          </w:p>
        </w:tc>
      </w:tr>
    </w:tbl>
    <w:p w:rsidR="00195BE7" w:rsidRPr="001E2F6E" w:rsidRDefault="00195BE7" w:rsidP="00195BE7">
      <w:pPr>
        <w:spacing w:line="240" w:lineRule="auto"/>
        <w:jc w:val="center"/>
        <w:rPr>
          <w:b/>
          <w:color w:val="1F497D" w:themeColor="text2"/>
          <w:sz w:val="18"/>
          <w:szCs w:val="18"/>
        </w:rPr>
      </w:pPr>
    </w:p>
    <w:p w:rsidR="00195BE7" w:rsidRPr="001E2F6E" w:rsidRDefault="00195BE7" w:rsidP="00195BE7">
      <w:pPr>
        <w:spacing w:line="240" w:lineRule="auto"/>
        <w:jc w:val="center"/>
        <w:rPr>
          <w:b/>
          <w:color w:val="1F497D" w:themeColor="text2"/>
          <w:sz w:val="18"/>
          <w:szCs w:val="18"/>
        </w:rPr>
      </w:pPr>
      <w:bookmarkStart w:id="250" w:name="_Toc391989141"/>
      <w:bookmarkStart w:id="251" w:name="_Toc392585806"/>
      <w:r w:rsidRPr="00F203B2">
        <w:rPr>
          <w:b/>
          <w:color w:val="1F497D" w:themeColor="text2"/>
          <w:sz w:val="18"/>
          <w:szCs w:val="18"/>
          <w:lang w:val="de-DE"/>
        </w:rPr>
        <w:t>1.</w:t>
      </w:r>
      <w:r w:rsidR="00EB6BA6" w:rsidRPr="001E2F6E">
        <w:rPr>
          <w:b/>
          <w:color w:val="1F497D" w:themeColor="text2"/>
          <w:sz w:val="18"/>
          <w:szCs w:val="18"/>
        </w:rPr>
        <w:fldChar w:fldCharType="begin"/>
      </w:r>
      <w:r w:rsidRPr="00F203B2">
        <w:rPr>
          <w:b/>
          <w:color w:val="1F497D" w:themeColor="text2"/>
          <w:sz w:val="18"/>
          <w:szCs w:val="18"/>
          <w:lang w:val="de-DE"/>
        </w:rPr>
        <w:instrText xml:space="preserve"> SEQ Cuadro_1. \* ARABIC </w:instrText>
      </w:r>
      <w:r w:rsidR="00EB6BA6" w:rsidRPr="001E2F6E">
        <w:rPr>
          <w:b/>
          <w:color w:val="1F497D" w:themeColor="text2"/>
          <w:sz w:val="18"/>
          <w:szCs w:val="18"/>
        </w:rPr>
        <w:fldChar w:fldCharType="separate"/>
      </w:r>
      <w:r w:rsidR="00A327D4">
        <w:rPr>
          <w:b/>
          <w:noProof/>
          <w:color w:val="1F497D" w:themeColor="text2"/>
          <w:sz w:val="18"/>
          <w:szCs w:val="18"/>
          <w:lang w:val="de-DE"/>
        </w:rPr>
        <w:t>71</w:t>
      </w:r>
      <w:r w:rsidR="00EB6BA6" w:rsidRPr="001E2F6E">
        <w:rPr>
          <w:b/>
          <w:color w:val="1F497D" w:themeColor="text2"/>
          <w:sz w:val="18"/>
          <w:szCs w:val="18"/>
        </w:rPr>
        <w:fldChar w:fldCharType="end"/>
      </w:r>
      <w:r w:rsidRPr="00F203B2">
        <w:rPr>
          <w:b/>
          <w:color w:val="1F497D" w:themeColor="text2"/>
          <w:sz w:val="18"/>
          <w:szCs w:val="18"/>
          <w:lang w:val="de-DE"/>
        </w:rPr>
        <w:t xml:space="preserve"> Taula LSA SOZIETATEEN EMAITZEN KONTUAK, JARDUERA-SEKTOREAREN ARABERA. </w:t>
      </w:r>
      <w:r w:rsidRPr="001E2F6E">
        <w:rPr>
          <w:b/>
          <w:color w:val="1F497D" w:themeColor="text2"/>
          <w:sz w:val="18"/>
          <w:szCs w:val="18"/>
        </w:rPr>
        <w:t>2012</w:t>
      </w:r>
      <w:bookmarkEnd w:id="250"/>
      <w:r w:rsidR="00462130" w:rsidRPr="001E2F6E">
        <w:rPr>
          <w:b/>
          <w:color w:val="1F497D" w:themeColor="text2"/>
          <w:sz w:val="18"/>
          <w:szCs w:val="18"/>
        </w:rPr>
        <w:t xml:space="preserve"> </w:t>
      </w:r>
      <w:r w:rsidRPr="001E2F6E">
        <w:rPr>
          <w:b/>
          <w:color w:val="1F497D" w:themeColor="text2"/>
          <w:sz w:val="18"/>
          <w:szCs w:val="18"/>
        </w:rPr>
        <w:t xml:space="preserve"> (</w:t>
      </w:r>
      <w:r w:rsidR="00462130" w:rsidRPr="001E2F6E">
        <w:rPr>
          <w:b/>
          <w:color w:val="1F497D" w:themeColor="text2"/>
          <w:sz w:val="18"/>
          <w:szCs w:val="18"/>
        </w:rPr>
        <w:t xml:space="preserve">zifra absolutuak </w:t>
      </w:r>
      <w:r w:rsidRPr="001E2F6E">
        <w:rPr>
          <w:b/>
          <w:color w:val="1F497D" w:themeColor="text2"/>
          <w:sz w:val="18"/>
          <w:szCs w:val="18"/>
        </w:rPr>
        <w:t>Euroan) (Ohiko prezioak)</w:t>
      </w:r>
      <w:bookmarkEnd w:id="251"/>
    </w:p>
    <w:tbl>
      <w:tblPr>
        <w:tblW w:w="5000" w:type="pct"/>
        <w:jc w:val="center"/>
        <w:tblCellMar>
          <w:left w:w="70" w:type="dxa"/>
          <w:right w:w="70" w:type="dxa"/>
        </w:tblCellMar>
        <w:tblLook w:val="04A0" w:firstRow="1" w:lastRow="0" w:firstColumn="1" w:lastColumn="0" w:noHBand="0" w:noVBand="1"/>
      </w:tblPr>
      <w:tblGrid>
        <w:gridCol w:w="3545"/>
        <w:gridCol w:w="1071"/>
        <w:gridCol w:w="821"/>
        <w:gridCol w:w="1071"/>
        <w:gridCol w:w="1220"/>
        <w:gridCol w:w="1200"/>
      </w:tblGrid>
      <w:tr w:rsidR="00195BE7" w:rsidRPr="001E2F6E" w:rsidTr="00195BE7">
        <w:trPr>
          <w:jc w:val="center"/>
        </w:trPr>
        <w:tc>
          <w:tcPr>
            <w:tcW w:w="1985" w:type="pct"/>
            <w:tcBorders>
              <w:top w:val="single" w:sz="8" w:space="0" w:color="BFBFBF"/>
              <w:left w:val="nil"/>
              <w:bottom w:val="single" w:sz="8" w:space="0" w:color="BFBFBF"/>
              <w:right w:val="single" w:sz="8" w:space="0" w:color="BFBFBF"/>
            </w:tcBorders>
            <w:shd w:val="clear" w:color="000000" w:fill="DBE5F1"/>
            <w:vAlign w:val="bottom"/>
            <w:hideMark/>
          </w:tcPr>
          <w:p w:rsidR="00195BE7" w:rsidRPr="001E2F6E" w:rsidRDefault="00195BE7" w:rsidP="00195BE7">
            <w:pPr>
              <w:spacing w:line="220" w:lineRule="exact"/>
              <w:rPr>
                <w:color w:val="000000"/>
                <w:sz w:val="16"/>
                <w:szCs w:val="16"/>
              </w:rPr>
            </w:pPr>
            <w:r w:rsidRPr="001E2F6E">
              <w:rPr>
                <w:color w:val="000000"/>
                <w:sz w:val="16"/>
                <w:szCs w:val="16"/>
              </w:rPr>
              <w:t> </w:t>
            </w:r>
          </w:p>
        </w:tc>
        <w:tc>
          <w:tcPr>
            <w:tcW w:w="600" w:type="pct"/>
            <w:tcBorders>
              <w:top w:val="single" w:sz="8" w:space="0" w:color="BFBFBF"/>
              <w:left w:val="nil"/>
              <w:bottom w:val="single" w:sz="8" w:space="0" w:color="BFBFBF"/>
              <w:right w:val="single" w:sz="8" w:space="0" w:color="BFBFBF"/>
            </w:tcBorders>
            <w:shd w:val="clear" w:color="000000" w:fill="DBE5F1"/>
            <w:vAlign w:val="center"/>
            <w:hideMark/>
          </w:tcPr>
          <w:p w:rsidR="00195BE7" w:rsidRPr="001E2F6E" w:rsidRDefault="00195BE7" w:rsidP="00195BE7">
            <w:pPr>
              <w:spacing w:line="220" w:lineRule="exact"/>
              <w:jc w:val="center"/>
              <w:rPr>
                <w:rFonts w:eastAsia="Times New Roman"/>
                <w:b/>
                <w:bCs/>
                <w:color w:val="000000"/>
                <w:sz w:val="16"/>
                <w:szCs w:val="16"/>
                <w:lang w:eastAsia="es-ES"/>
              </w:rPr>
            </w:pPr>
            <w:r w:rsidRPr="001E2F6E">
              <w:rPr>
                <w:rFonts w:eastAsia="Times New Roman"/>
                <w:b/>
                <w:bCs/>
                <w:color w:val="000000"/>
                <w:sz w:val="16"/>
                <w:szCs w:val="16"/>
                <w:lang w:eastAsia="es-ES"/>
              </w:rPr>
              <w:t>GUZTIRA</w:t>
            </w:r>
          </w:p>
        </w:tc>
        <w:tc>
          <w:tcPr>
            <w:tcW w:w="460" w:type="pct"/>
            <w:tcBorders>
              <w:top w:val="single" w:sz="8" w:space="0" w:color="BFBFBF"/>
              <w:left w:val="nil"/>
              <w:bottom w:val="single" w:sz="8" w:space="0" w:color="BFBFBF"/>
              <w:right w:val="single" w:sz="8" w:space="0" w:color="BFBFBF"/>
            </w:tcBorders>
            <w:shd w:val="clear" w:color="000000" w:fill="DBE5F1"/>
            <w:vAlign w:val="center"/>
            <w:hideMark/>
          </w:tcPr>
          <w:p w:rsidR="00195BE7" w:rsidRPr="001E2F6E" w:rsidRDefault="00195BE7" w:rsidP="00195BE7">
            <w:pPr>
              <w:spacing w:line="220" w:lineRule="exact"/>
              <w:jc w:val="center"/>
              <w:rPr>
                <w:b/>
                <w:bCs/>
                <w:sz w:val="16"/>
                <w:szCs w:val="16"/>
                <w:lang w:val="eu-ES"/>
              </w:rPr>
            </w:pPr>
            <w:r w:rsidRPr="001E2F6E">
              <w:rPr>
                <w:b/>
                <w:bCs/>
                <w:sz w:val="16"/>
                <w:szCs w:val="16"/>
                <w:lang w:val="eu-ES"/>
              </w:rPr>
              <w:t>Lehen sektorea</w:t>
            </w:r>
          </w:p>
        </w:tc>
        <w:tc>
          <w:tcPr>
            <w:tcW w:w="600" w:type="pct"/>
            <w:tcBorders>
              <w:top w:val="single" w:sz="8" w:space="0" w:color="BFBFBF"/>
              <w:left w:val="nil"/>
              <w:bottom w:val="single" w:sz="8" w:space="0" w:color="BFBFBF"/>
              <w:right w:val="single" w:sz="8" w:space="0" w:color="BFBFBF"/>
            </w:tcBorders>
            <w:shd w:val="clear" w:color="000000" w:fill="DBE5F1"/>
            <w:vAlign w:val="center"/>
            <w:hideMark/>
          </w:tcPr>
          <w:p w:rsidR="00195BE7" w:rsidRPr="001E2F6E" w:rsidRDefault="00195BE7" w:rsidP="00195BE7">
            <w:pPr>
              <w:spacing w:line="220" w:lineRule="exact"/>
              <w:jc w:val="center"/>
              <w:rPr>
                <w:b/>
                <w:bCs/>
                <w:sz w:val="16"/>
                <w:szCs w:val="16"/>
                <w:lang w:val="eu-ES"/>
              </w:rPr>
            </w:pPr>
            <w:r w:rsidRPr="001E2F6E">
              <w:rPr>
                <w:b/>
                <w:bCs/>
                <w:sz w:val="16"/>
                <w:szCs w:val="16"/>
                <w:lang w:val="eu-ES"/>
              </w:rPr>
              <w:t>Industria</w:t>
            </w:r>
          </w:p>
        </w:tc>
        <w:tc>
          <w:tcPr>
            <w:tcW w:w="683" w:type="pct"/>
            <w:tcBorders>
              <w:top w:val="single" w:sz="8" w:space="0" w:color="BFBFBF"/>
              <w:left w:val="nil"/>
              <w:bottom w:val="single" w:sz="8" w:space="0" w:color="BFBFBF"/>
              <w:right w:val="single" w:sz="8" w:space="0" w:color="BFBFBF"/>
            </w:tcBorders>
            <w:shd w:val="clear" w:color="000000" w:fill="DBE5F1"/>
            <w:vAlign w:val="center"/>
            <w:hideMark/>
          </w:tcPr>
          <w:p w:rsidR="00195BE7" w:rsidRPr="001E2F6E" w:rsidRDefault="00195BE7" w:rsidP="00195BE7">
            <w:pPr>
              <w:spacing w:line="220" w:lineRule="exact"/>
              <w:jc w:val="center"/>
              <w:rPr>
                <w:b/>
                <w:bCs/>
                <w:sz w:val="16"/>
                <w:szCs w:val="16"/>
                <w:lang w:val="eu-ES"/>
              </w:rPr>
            </w:pPr>
            <w:r w:rsidRPr="001E2F6E">
              <w:rPr>
                <w:b/>
                <w:bCs/>
                <w:sz w:val="16"/>
                <w:szCs w:val="16"/>
                <w:lang w:val="eu-ES"/>
              </w:rPr>
              <w:t>Eraikuntza</w:t>
            </w:r>
          </w:p>
        </w:tc>
        <w:tc>
          <w:tcPr>
            <w:tcW w:w="672" w:type="pct"/>
            <w:tcBorders>
              <w:top w:val="single" w:sz="8" w:space="0" w:color="BFBFBF"/>
              <w:left w:val="nil"/>
              <w:bottom w:val="single" w:sz="8" w:space="0" w:color="BFBFBF"/>
              <w:right w:val="nil"/>
            </w:tcBorders>
            <w:shd w:val="clear" w:color="000000" w:fill="DBE5F1"/>
            <w:vAlign w:val="center"/>
            <w:hideMark/>
          </w:tcPr>
          <w:p w:rsidR="00195BE7" w:rsidRPr="001E2F6E" w:rsidRDefault="00195BE7" w:rsidP="00195BE7">
            <w:pPr>
              <w:spacing w:line="220" w:lineRule="exact"/>
              <w:jc w:val="center"/>
              <w:rPr>
                <w:b/>
                <w:bCs/>
                <w:sz w:val="16"/>
                <w:szCs w:val="16"/>
                <w:lang w:val="eu-ES"/>
              </w:rPr>
            </w:pPr>
            <w:r w:rsidRPr="001E2F6E">
              <w:rPr>
                <w:b/>
                <w:bCs/>
                <w:sz w:val="16"/>
                <w:szCs w:val="16"/>
                <w:lang w:val="eu-ES"/>
              </w:rPr>
              <w:t>Zerbitzuak</w:t>
            </w:r>
          </w:p>
        </w:tc>
      </w:tr>
      <w:tr w:rsidR="00195BE7" w:rsidRPr="001E2F6E" w:rsidTr="00195BE7">
        <w:trPr>
          <w:jc w:val="center"/>
        </w:trPr>
        <w:tc>
          <w:tcPr>
            <w:tcW w:w="1985" w:type="pct"/>
            <w:tcBorders>
              <w:top w:val="nil"/>
              <w:left w:val="nil"/>
              <w:bottom w:val="nil"/>
              <w:right w:val="single" w:sz="8" w:space="0" w:color="BFBFBF"/>
            </w:tcBorders>
            <w:shd w:val="clear" w:color="auto" w:fill="auto"/>
            <w:vAlign w:val="bottom"/>
            <w:hideMark/>
          </w:tcPr>
          <w:p w:rsidR="00195BE7" w:rsidRPr="001E2F6E" w:rsidRDefault="00195BE7" w:rsidP="00195BE7">
            <w:pPr>
              <w:spacing w:line="220" w:lineRule="exact"/>
              <w:rPr>
                <w:b/>
                <w:bCs/>
                <w:sz w:val="16"/>
                <w:szCs w:val="16"/>
                <w:lang w:val="eu-ES"/>
              </w:rPr>
            </w:pPr>
            <w:r w:rsidRPr="001E2F6E">
              <w:rPr>
                <w:b/>
                <w:bCs/>
                <w:sz w:val="16"/>
                <w:szCs w:val="16"/>
                <w:lang w:val="eu-ES"/>
              </w:rPr>
              <w:t>DIRU-SARRERAK</w:t>
            </w:r>
          </w:p>
        </w:tc>
        <w:tc>
          <w:tcPr>
            <w:tcW w:w="600" w:type="pct"/>
            <w:tcBorders>
              <w:top w:val="nil"/>
              <w:left w:val="nil"/>
              <w:bottom w:val="nil"/>
              <w:right w:val="single" w:sz="8" w:space="0" w:color="BFBFBF"/>
            </w:tcBorders>
            <w:shd w:val="clear" w:color="auto" w:fill="auto"/>
            <w:vAlign w:val="bottom"/>
            <w:hideMark/>
          </w:tcPr>
          <w:p w:rsidR="00195BE7" w:rsidRPr="001E2F6E" w:rsidRDefault="00195BE7" w:rsidP="00195BE7">
            <w:pPr>
              <w:spacing w:line="220" w:lineRule="exact"/>
              <w:jc w:val="center"/>
              <w:rPr>
                <w:b/>
                <w:bCs/>
                <w:color w:val="000000"/>
                <w:sz w:val="16"/>
                <w:szCs w:val="16"/>
              </w:rPr>
            </w:pPr>
            <w:r w:rsidRPr="001E2F6E">
              <w:rPr>
                <w:b/>
                <w:bCs/>
                <w:color w:val="000000"/>
                <w:sz w:val="16"/>
                <w:szCs w:val="16"/>
              </w:rPr>
              <w:t> </w:t>
            </w:r>
          </w:p>
        </w:tc>
        <w:tc>
          <w:tcPr>
            <w:tcW w:w="460" w:type="pct"/>
            <w:tcBorders>
              <w:top w:val="nil"/>
              <w:left w:val="nil"/>
              <w:bottom w:val="nil"/>
              <w:right w:val="single" w:sz="8" w:space="0" w:color="BFBFBF"/>
            </w:tcBorders>
            <w:shd w:val="clear" w:color="auto" w:fill="auto"/>
            <w:vAlign w:val="bottom"/>
            <w:hideMark/>
          </w:tcPr>
          <w:p w:rsidR="00195BE7" w:rsidRPr="001E2F6E" w:rsidRDefault="00195BE7" w:rsidP="00195BE7">
            <w:pPr>
              <w:spacing w:line="220" w:lineRule="exact"/>
              <w:jc w:val="center"/>
              <w:rPr>
                <w:b/>
                <w:bCs/>
                <w:color w:val="000000"/>
                <w:sz w:val="16"/>
                <w:szCs w:val="16"/>
              </w:rPr>
            </w:pPr>
            <w:r w:rsidRPr="001E2F6E">
              <w:rPr>
                <w:b/>
                <w:bCs/>
                <w:color w:val="000000"/>
                <w:sz w:val="16"/>
                <w:szCs w:val="16"/>
              </w:rPr>
              <w:t> </w:t>
            </w:r>
          </w:p>
        </w:tc>
        <w:tc>
          <w:tcPr>
            <w:tcW w:w="600" w:type="pct"/>
            <w:tcBorders>
              <w:top w:val="nil"/>
              <w:left w:val="nil"/>
              <w:bottom w:val="nil"/>
              <w:right w:val="single" w:sz="8" w:space="0" w:color="BFBFBF"/>
            </w:tcBorders>
            <w:shd w:val="clear" w:color="auto" w:fill="auto"/>
            <w:vAlign w:val="bottom"/>
            <w:hideMark/>
          </w:tcPr>
          <w:p w:rsidR="00195BE7" w:rsidRPr="001E2F6E" w:rsidRDefault="00195BE7" w:rsidP="00195BE7">
            <w:pPr>
              <w:spacing w:line="220" w:lineRule="exact"/>
              <w:jc w:val="center"/>
              <w:rPr>
                <w:b/>
                <w:bCs/>
                <w:color w:val="000000"/>
                <w:sz w:val="16"/>
                <w:szCs w:val="16"/>
              </w:rPr>
            </w:pPr>
            <w:r w:rsidRPr="001E2F6E">
              <w:rPr>
                <w:b/>
                <w:bCs/>
                <w:color w:val="000000"/>
                <w:sz w:val="16"/>
                <w:szCs w:val="16"/>
              </w:rPr>
              <w:t> </w:t>
            </w:r>
          </w:p>
        </w:tc>
        <w:tc>
          <w:tcPr>
            <w:tcW w:w="683" w:type="pct"/>
            <w:tcBorders>
              <w:top w:val="nil"/>
              <w:left w:val="nil"/>
              <w:bottom w:val="nil"/>
              <w:right w:val="single" w:sz="8" w:space="0" w:color="BFBFBF"/>
            </w:tcBorders>
            <w:shd w:val="clear" w:color="auto" w:fill="auto"/>
            <w:vAlign w:val="bottom"/>
            <w:hideMark/>
          </w:tcPr>
          <w:p w:rsidR="00195BE7" w:rsidRPr="001E2F6E" w:rsidRDefault="00195BE7" w:rsidP="00195BE7">
            <w:pPr>
              <w:spacing w:line="220" w:lineRule="exact"/>
              <w:jc w:val="center"/>
              <w:rPr>
                <w:b/>
                <w:bCs/>
                <w:color w:val="000000"/>
                <w:sz w:val="16"/>
                <w:szCs w:val="16"/>
              </w:rPr>
            </w:pPr>
            <w:r w:rsidRPr="001E2F6E">
              <w:rPr>
                <w:b/>
                <w:bCs/>
                <w:color w:val="000000"/>
                <w:sz w:val="16"/>
                <w:szCs w:val="16"/>
              </w:rPr>
              <w:t> </w:t>
            </w:r>
          </w:p>
        </w:tc>
        <w:tc>
          <w:tcPr>
            <w:tcW w:w="672" w:type="pct"/>
            <w:tcBorders>
              <w:top w:val="nil"/>
              <w:left w:val="nil"/>
              <w:bottom w:val="nil"/>
              <w:right w:val="single" w:sz="8" w:space="0" w:color="BFBFBF"/>
            </w:tcBorders>
            <w:shd w:val="clear" w:color="auto" w:fill="auto"/>
            <w:noWrap/>
            <w:vAlign w:val="bottom"/>
            <w:hideMark/>
          </w:tcPr>
          <w:p w:rsidR="00195BE7" w:rsidRPr="001E2F6E" w:rsidRDefault="00195BE7" w:rsidP="00195BE7">
            <w:pPr>
              <w:spacing w:line="220" w:lineRule="exact"/>
              <w:jc w:val="right"/>
              <w:rPr>
                <w:color w:val="000000"/>
                <w:sz w:val="16"/>
                <w:szCs w:val="16"/>
              </w:rPr>
            </w:pPr>
            <w:r w:rsidRPr="001E2F6E">
              <w:rPr>
                <w:color w:val="000000"/>
                <w:sz w:val="16"/>
                <w:szCs w:val="16"/>
              </w:rPr>
              <w:t> </w:t>
            </w:r>
          </w:p>
        </w:tc>
      </w:tr>
      <w:tr w:rsidR="00195BE7" w:rsidRPr="001E2F6E" w:rsidTr="00195BE7">
        <w:trPr>
          <w:jc w:val="center"/>
        </w:trPr>
        <w:tc>
          <w:tcPr>
            <w:tcW w:w="1985" w:type="pct"/>
            <w:tcBorders>
              <w:top w:val="nil"/>
              <w:left w:val="nil"/>
              <w:bottom w:val="nil"/>
              <w:right w:val="single" w:sz="8" w:space="0" w:color="BFBFBF"/>
            </w:tcBorders>
            <w:shd w:val="clear" w:color="auto" w:fill="auto"/>
            <w:vAlign w:val="bottom"/>
            <w:hideMark/>
          </w:tcPr>
          <w:p w:rsidR="00195BE7" w:rsidRPr="001E2F6E" w:rsidRDefault="00195BE7" w:rsidP="00195BE7">
            <w:pPr>
              <w:spacing w:line="220" w:lineRule="exact"/>
              <w:rPr>
                <w:sz w:val="16"/>
                <w:szCs w:val="16"/>
                <w:lang w:val="eu-ES"/>
              </w:rPr>
            </w:pPr>
            <w:r w:rsidRPr="001E2F6E">
              <w:rPr>
                <w:sz w:val="16"/>
                <w:szCs w:val="16"/>
                <w:lang w:val="eu-ES"/>
              </w:rPr>
              <w:t>70 Salmenta garbiak</w:t>
            </w:r>
          </w:p>
        </w:tc>
        <w:tc>
          <w:tcPr>
            <w:tcW w:w="600" w:type="pct"/>
            <w:tcBorders>
              <w:top w:val="nil"/>
              <w:left w:val="nil"/>
              <w:bottom w:val="nil"/>
              <w:right w:val="single" w:sz="8" w:space="0" w:color="BFBFBF"/>
            </w:tcBorders>
            <w:shd w:val="clear" w:color="auto" w:fill="auto"/>
            <w:noWrap/>
            <w:vAlign w:val="bottom"/>
            <w:hideMark/>
          </w:tcPr>
          <w:p w:rsidR="00195BE7" w:rsidRPr="001E2F6E" w:rsidRDefault="00195BE7" w:rsidP="00195BE7">
            <w:pPr>
              <w:spacing w:line="220" w:lineRule="exact"/>
              <w:jc w:val="right"/>
              <w:rPr>
                <w:color w:val="000000"/>
                <w:sz w:val="16"/>
                <w:szCs w:val="16"/>
              </w:rPr>
            </w:pPr>
            <w:r w:rsidRPr="001E2F6E">
              <w:rPr>
                <w:color w:val="000000"/>
                <w:sz w:val="16"/>
                <w:szCs w:val="16"/>
              </w:rPr>
              <w:t>393.034.185</w:t>
            </w:r>
          </w:p>
        </w:tc>
        <w:tc>
          <w:tcPr>
            <w:tcW w:w="460" w:type="pct"/>
            <w:tcBorders>
              <w:top w:val="nil"/>
              <w:left w:val="nil"/>
              <w:bottom w:val="nil"/>
              <w:right w:val="single" w:sz="8" w:space="0" w:color="BFBFBF"/>
            </w:tcBorders>
            <w:shd w:val="clear" w:color="auto" w:fill="auto"/>
            <w:noWrap/>
            <w:vAlign w:val="bottom"/>
            <w:hideMark/>
          </w:tcPr>
          <w:p w:rsidR="00195BE7" w:rsidRPr="001E2F6E" w:rsidRDefault="00195BE7" w:rsidP="00195BE7">
            <w:pPr>
              <w:spacing w:line="220" w:lineRule="exact"/>
              <w:jc w:val="right"/>
              <w:rPr>
                <w:color w:val="000000"/>
                <w:sz w:val="16"/>
                <w:szCs w:val="16"/>
              </w:rPr>
            </w:pPr>
            <w:r w:rsidRPr="001E2F6E">
              <w:rPr>
                <w:color w:val="000000"/>
                <w:sz w:val="16"/>
                <w:szCs w:val="16"/>
              </w:rPr>
              <w:t> </w:t>
            </w:r>
          </w:p>
        </w:tc>
        <w:tc>
          <w:tcPr>
            <w:tcW w:w="600" w:type="pct"/>
            <w:tcBorders>
              <w:top w:val="nil"/>
              <w:left w:val="nil"/>
              <w:bottom w:val="nil"/>
              <w:right w:val="single" w:sz="8" w:space="0" w:color="BFBFBF"/>
            </w:tcBorders>
            <w:shd w:val="clear" w:color="auto" w:fill="auto"/>
            <w:noWrap/>
            <w:vAlign w:val="bottom"/>
            <w:hideMark/>
          </w:tcPr>
          <w:p w:rsidR="00195BE7" w:rsidRPr="001E2F6E" w:rsidRDefault="00195BE7" w:rsidP="00195BE7">
            <w:pPr>
              <w:spacing w:line="220" w:lineRule="exact"/>
              <w:jc w:val="right"/>
              <w:rPr>
                <w:color w:val="000000"/>
                <w:sz w:val="16"/>
                <w:szCs w:val="16"/>
              </w:rPr>
            </w:pPr>
            <w:r w:rsidRPr="001E2F6E">
              <w:rPr>
                <w:color w:val="000000"/>
                <w:sz w:val="16"/>
                <w:szCs w:val="16"/>
              </w:rPr>
              <w:t>310.998.595</w:t>
            </w:r>
          </w:p>
        </w:tc>
        <w:tc>
          <w:tcPr>
            <w:tcW w:w="683" w:type="pct"/>
            <w:tcBorders>
              <w:top w:val="nil"/>
              <w:left w:val="nil"/>
              <w:bottom w:val="nil"/>
              <w:right w:val="single" w:sz="8" w:space="0" w:color="BFBFBF"/>
            </w:tcBorders>
            <w:shd w:val="clear" w:color="auto" w:fill="auto"/>
            <w:noWrap/>
            <w:vAlign w:val="bottom"/>
            <w:hideMark/>
          </w:tcPr>
          <w:p w:rsidR="00195BE7" w:rsidRPr="001E2F6E" w:rsidRDefault="00195BE7" w:rsidP="00195BE7">
            <w:pPr>
              <w:spacing w:line="220" w:lineRule="exact"/>
              <w:jc w:val="right"/>
              <w:rPr>
                <w:color w:val="000000"/>
                <w:sz w:val="16"/>
                <w:szCs w:val="16"/>
              </w:rPr>
            </w:pPr>
            <w:r w:rsidRPr="001E2F6E">
              <w:rPr>
                <w:color w:val="000000"/>
                <w:sz w:val="16"/>
                <w:szCs w:val="16"/>
              </w:rPr>
              <w:t>25.304.873</w:t>
            </w:r>
          </w:p>
        </w:tc>
        <w:tc>
          <w:tcPr>
            <w:tcW w:w="672" w:type="pct"/>
            <w:tcBorders>
              <w:top w:val="nil"/>
              <w:left w:val="nil"/>
              <w:bottom w:val="nil"/>
              <w:right w:val="single" w:sz="8" w:space="0" w:color="BFBFBF"/>
            </w:tcBorders>
            <w:shd w:val="clear" w:color="auto" w:fill="auto"/>
            <w:noWrap/>
            <w:vAlign w:val="bottom"/>
            <w:hideMark/>
          </w:tcPr>
          <w:p w:rsidR="00195BE7" w:rsidRPr="001E2F6E" w:rsidRDefault="00195BE7" w:rsidP="00195BE7">
            <w:pPr>
              <w:spacing w:line="220" w:lineRule="exact"/>
              <w:jc w:val="right"/>
              <w:rPr>
                <w:color w:val="000000"/>
                <w:sz w:val="16"/>
                <w:szCs w:val="16"/>
              </w:rPr>
            </w:pPr>
            <w:r w:rsidRPr="001E2F6E">
              <w:rPr>
                <w:color w:val="000000"/>
                <w:sz w:val="16"/>
                <w:szCs w:val="16"/>
              </w:rPr>
              <w:t>56.730.717</w:t>
            </w:r>
          </w:p>
        </w:tc>
      </w:tr>
      <w:tr w:rsidR="00195BE7" w:rsidRPr="001E2F6E" w:rsidTr="00195BE7">
        <w:trPr>
          <w:jc w:val="center"/>
        </w:trPr>
        <w:tc>
          <w:tcPr>
            <w:tcW w:w="1985" w:type="pct"/>
            <w:tcBorders>
              <w:top w:val="nil"/>
              <w:left w:val="nil"/>
              <w:bottom w:val="nil"/>
              <w:right w:val="single" w:sz="8" w:space="0" w:color="BFBFBF"/>
            </w:tcBorders>
            <w:shd w:val="clear" w:color="auto" w:fill="auto"/>
            <w:vAlign w:val="bottom"/>
            <w:hideMark/>
          </w:tcPr>
          <w:p w:rsidR="00195BE7" w:rsidRPr="001E2F6E" w:rsidRDefault="00195BE7" w:rsidP="00195BE7">
            <w:pPr>
              <w:spacing w:line="220" w:lineRule="exact"/>
              <w:rPr>
                <w:sz w:val="16"/>
                <w:szCs w:val="16"/>
                <w:lang w:val="eu-ES"/>
              </w:rPr>
            </w:pPr>
            <w:r w:rsidRPr="001E2F6E">
              <w:rPr>
                <w:sz w:val="16"/>
                <w:szCs w:val="16"/>
                <w:lang w:val="eu-ES"/>
              </w:rPr>
              <w:t>71 Izakinen aldaketa</w:t>
            </w:r>
          </w:p>
        </w:tc>
        <w:tc>
          <w:tcPr>
            <w:tcW w:w="600" w:type="pct"/>
            <w:tcBorders>
              <w:top w:val="nil"/>
              <w:left w:val="nil"/>
              <w:bottom w:val="nil"/>
              <w:right w:val="single" w:sz="8" w:space="0" w:color="BFBFBF"/>
            </w:tcBorders>
            <w:shd w:val="clear" w:color="auto" w:fill="auto"/>
            <w:noWrap/>
            <w:vAlign w:val="bottom"/>
            <w:hideMark/>
          </w:tcPr>
          <w:p w:rsidR="00195BE7" w:rsidRPr="001E2F6E" w:rsidRDefault="00195BE7" w:rsidP="00195BE7">
            <w:pPr>
              <w:spacing w:line="220" w:lineRule="exact"/>
              <w:jc w:val="right"/>
              <w:rPr>
                <w:color w:val="000000"/>
                <w:sz w:val="16"/>
                <w:szCs w:val="16"/>
              </w:rPr>
            </w:pPr>
            <w:r w:rsidRPr="001E2F6E">
              <w:rPr>
                <w:color w:val="000000"/>
                <w:sz w:val="16"/>
                <w:szCs w:val="16"/>
              </w:rPr>
              <w:t>499.102</w:t>
            </w:r>
          </w:p>
        </w:tc>
        <w:tc>
          <w:tcPr>
            <w:tcW w:w="460" w:type="pct"/>
            <w:tcBorders>
              <w:top w:val="nil"/>
              <w:left w:val="nil"/>
              <w:bottom w:val="nil"/>
              <w:right w:val="single" w:sz="8" w:space="0" w:color="BFBFBF"/>
            </w:tcBorders>
            <w:shd w:val="clear" w:color="auto" w:fill="auto"/>
            <w:noWrap/>
            <w:vAlign w:val="bottom"/>
            <w:hideMark/>
          </w:tcPr>
          <w:p w:rsidR="00195BE7" w:rsidRPr="001E2F6E" w:rsidRDefault="00195BE7" w:rsidP="00195BE7">
            <w:pPr>
              <w:spacing w:line="220" w:lineRule="exact"/>
              <w:jc w:val="right"/>
              <w:rPr>
                <w:color w:val="000000"/>
                <w:sz w:val="16"/>
                <w:szCs w:val="16"/>
              </w:rPr>
            </w:pPr>
            <w:r w:rsidRPr="001E2F6E">
              <w:rPr>
                <w:color w:val="000000"/>
                <w:sz w:val="16"/>
                <w:szCs w:val="16"/>
              </w:rPr>
              <w:t> </w:t>
            </w:r>
          </w:p>
        </w:tc>
        <w:tc>
          <w:tcPr>
            <w:tcW w:w="600" w:type="pct"/>
            <w:tcBorders>
              <w:top w:val="nil"/>
              <w:left w:val="nil"/>
              <w:bottom w:val="nil"/>
              <w:right w:val="single" w:sz="8" w:space="0" w:color="BFBFBF"/>
            </w:tcBorders>
            <w:shd w:val="clear" w:color="auto" w:fill="auto"/>
            <w:noWrap/>
            <w:vAlign w:val="bottom"/>
            <w:hideMark/>
          </w:tcPr>
          <w:p w:rsidR="00195BE7" w:rsidRPr="001E2F6E" w:rsidRDefault="00195BE7" w:rsidP="00195BE7">
            <w:pPr>
              <w:spacing w:line="220" w:lineRule="exact"/>
              <w:jc w:val="right"/>
              <w:rPr>
                <w:color w:val="000000"/>
                <w:sz w:val="16"/>
                <w:szCs w:val="16"/>
              </w:rPr>
            </w:pPr>
            <w:r w:rsidRPr="001E2F6E">
              <w:rPr>
                <w:color w:val="000000"/>
                <w:sz w:val="16"/>
                <w:szCs w:val="16"/>
              </w:rPr>
              <w:t>652.374</w:t>
            </w:r>
          </w:p>
        </w:tc>
        <w:tc>
          <w:tcPr>
            <w:tcW w:w="683" w:type="pct"/>
            <w:tcBorders>
              <w:top w:val="nil"/>
              <w:left w:val="nil"/>
              <w:bottom w:val="nil"/>
              <w:right w:val="single" w:sz="8" w:space="0" w:color="BFBFBF"/>
            </w:tcBorders>
            <w:shd w:val="clear" w:color="auto" w:fill="auto"/>
            <w:noWrap/>
            <w:vAlign w:val="bottom"/>
            <w:hideMark/>
          </w:tcPr>
          <w:p w:rsidR="00195BE7" w:rsidRPr="001E2F6E" w:rsidRDefault="00195BE7" w:rsidP="00195BE7">
            <w:pPr>
              <w:spacing w:line="220" w:lineRule="exact"/>
              <w:jc w:val="right"/>
              <w:rPr>
                <w:color w:val="000000"/>
                <w:sz w:val="16"/>
                <w:szCs w:val="16"/>
              </w:rPr>
            </w:pPr>
            <w:r w:rsidRPr="001E2F6E">
              <w:rPr>
                <w:color w:val="000000"/>
                <w:sz w:val="16"/>
                <w:szCs w:val="16"/>
              </w:rPr>
              <w:t>-441.619</w:t>
            </w:r>
          </w:p>
        </w:tc>
        <w:tc>
          <w:tcPr>
            <w:tcW w:w="672" w:type="pct"/>
            <w:tcBorders>
              <w:top w:val="nil"/>
              <w:left w:val="nil"/>
              <w:bottom w:val="nil"/>
              <w:right w:val="single" w:sz="8" w:space="0" w:color="BFBFBF"/>
            </w:tcBorders>
            <w:shd w:val="clear" w:color="auto" w:fill="auto"/>
            <w:noWrap/>
            <w:vAlign w:val="bottom"/>
            <w:hideMark/>
          </w:tcPr>
          <w:p w:rsidR="00195BE7" w:rsidRPr="001E2F6E" w:rsidRDefault="00195BE7" w:rsidP="00195BE7">
            <w:pPr>
              <w:spacing w:line="220" w:lineRule="exact"/>
              <w:jc w:val="right"/>
              <w:rPr>
                <w:color w:val="000000"/>
                <w:sz w:val="16"/>
                <w:szCs w:val="16"/>
              </w:rPr>
            </w:pPr>
            <w:r w:rsidRPr="001E2F6E">
              <w:rPr>
                <w:color w:val="000000"/>
                <w:sz w:val="16"/>
                <w:szCs w:val="16"/>
              </w:rPr>
              <w:t>288.348</w:t>
            </w:r>
          </w:p>
        </w:tc>
      </w:tr>
      <w:tr w:rsidR="00195BE7" w:rsidRPr="001E2F6E" w:rsidTr="00195BE7">
        <w:trPr>
          <w:jc w:val="center"/>
        </w:trPr>
        <w:tc>
          <w:tcPr>
            <w:tcW w:w="1985" w:type="pct"/>
            <w:tcBorders>
              <w:top w:val="nil"/>
              <w:left w:val="nil"/>
              <w:bottom w:val="nil"/>
              <w:right w:val="single" w:sz="8" w:space="0" w:color="BFBFBF"/>
            </w:tcBorders>
            <w:shd w:val="clear" w:color="auto" w:fill="auto"/>
            <w:vAlign w:val="bottom"/>
            <w:hideMark/>
          </w:tcPr>
          <w:p w:rsidR="00195BE7" w:rsidRPr="001E2F6E" w:rsidRDefault="00195BE7" w:rsidP="00195BE7">
            <w:pPr>
              <w:spacing w:line="220" w:lineRule="exact"/>
              <w:rPr>
                <w:sz w:val="16"/>
                <w:szCs w:val="16"/>
                <w:lang w:val="eu-ES"/>
              </w:rPr>
            </w:pPr>
            <w:r w:rsidRPr="001E2F6E">
              <w:rPr>
                <w:sz w:val="16"/>
                <w:szCs w:val="16"/>
                <w:lang w:val="eu-ES"/>
              </w:rPr>
              <w:t>73 Ibilgeturako egindako lanak</w:t>
            </w:r>
          </w:p>
        </w:tc>
        <w:tc>
          <w:tcPr>
            <w:tcW w:w="600" w:type="pct"/>
            <w:tcBorders>
              <w:top w:val="nil"/>
              <w:left w:val="nil"/>
              <w:bottom w:val="nil"/>
              <w:right w:val="single" w:sz="8" w:space="0" w:color="BFBFBF"/>
            </w:tcBorders>
            <w:shd w:val="clear" w:color="auto" w:fill="auto"/>
            <w:noWrap/>
            <w:vAlign w:val="bottom"/>
            <w:hideMark/>
          </w:tcPr>
          <w:p w:rsidR="00195BE7" w:rsidRPr="001E2F6E" w:rsidRDefault="00195BE7" w:rsidP="00195BE7">
            <w:pPr>
              <w:spacing w:line="220" w:lineRule="exact"/>
              <w:jc w:val="right"/>
              <w:rPr>
                <w:color w:val="000000"/>
                <w:sz w:val="16"/>
                <w:szCs w:val="16"/>
              </w:rPr>
            </w:pPr>
            <w:r w:rsidRPr="001E2F6E">
              <w:rPr>
                <w:color w:val="000000"/>
                <w:sz w:val="16"/>
                <w:szCs w:val="16"/>
              </w:rPr>
              <w:t>79.036</w:t>
            </w:r>
          </w:p>
        </w:tc>
        <w:tc>
          <w:tcPr>
            <w:tcW w:w="460" w:type="pct"/>
            <w:tcBorders>
              <w:top w:val="nil"/>
              <w:left w:val="nil"/>
              <w:bottom w:val="nil"/>
              <w:right w:val="single" w:sz="8" w:space="0" w:color="BFBFBF"/>
            </w:tcBorders>
            <w:shd w:val="clear" w:color="auto" w:fill="auto"/>
            <w:noWrap/>
            <w:vAlign w:val="bottom"/>
            <w:hideMark/>
          </w:tcPr>
          <w:p w:rsidR="00195BE7" w:rsidRPr="001E2F6E" w:rsidRDefault="00195BE7" w:rsidP="00195BE7">
            <w:pPr>
              <w:spacing w:line="220" w:lineRule="exact"/>
              <w:jc w:val="right"/>
              <w:rPr>
                <w:color w:val="000000"/>
                <w:sz w:val="16"/>
                <w:szCs w:val="16"/>
              </w:rPr>
            </w:pPr>
            <w:r w:rsidRPr="001E2F6E">
              <w:rPr>
                <w:color w:val="000000"/>
                <w:sz w:val="16"/>
                <w:szCs w:val="16"/>
              </w:rPr>
              <w:t> </w:t>
            </w:r>
          </w:p>
        </w:tc>
        <w:tc>
          <w:tcPr>
            <w:tcW w:w="600" w:type="pct"/>
            <w:tcBorders>
              <w:top w:val="nil"/>
              <w:left w:val="nil"/>
              <w:bottom w:val="nil"/>
              <w:right w:val="single" w:sz="8" w:space="0" w:color="BFBFBF"/>
            </w:tcBorders>
            <w:shd w:val="clear" w:color="auto" w:fill="auto"/>
            <w:noWrap/>
            <w:vAlign w:val="bottom"/>
            <w:hideMark/>
          </w:tcPr>
          <w:p w:rsidR="00195BE7" w:rsidRPr="001E2F6E" w:rsidRDefault="00195BE7" w:rsidP="00195BE7">
            <w:pPr>
              <w:spacing w:line="220" w:lineRule="exact"/>
              <w:jc w:val="right"/>
              <w:rPr>
                <w:color w:val="000000"/>
                <w:sz w:val="16"/>
                <w:szCs w:val="16"/>
              </w:rPr>
            </w:pPr>
            <w:r w:rsidRPr="001E2F6E">
              <w:rPr>
                <w:color w:val="000000"/>
                <w:sz w:val="16"/>
                <w:szCs w:val="16"/>
              </w:rPr>
              <w:t>38.036</w:t>
            </w:r>
          </w:p>
        </w:tc>
        <w:tc>
          <w:tcPr>
            <w:tcW w:w="683" w:type="pct"/>
            <w:tcBorders>
              <w:top w:val="nil"/>
              <w:left w:val="nil"/>
              <w:bottom w:val="nil"/>
              <w:right w:val="single" w:sz="8" w:space="0" w:color="BFBFBF"/>
            </w:tcBorders>
            <w:shd w:val="clear" w:color="auto" w:fill="auto"/>
            <w:noWrap/>
            <w:vAlign w:val="bottom"/>
            <w:hideMark/>
          </w:tcPr>
          <w:p w:rsidR="00195BE7" w:rsidRPr="001E2F6E" w:rsidRDefault="00195BE7" w:rsidP="00195BE7">
            <w:pPr>
              <w:spacing w:line="220" w:lineRule="exact"/>
              <w:jc w:val="right"/>
              <w:rPr>
                <w:color w:val="000000"/>
                <w:sz w:val="16"/>
                <w:szCs w:val="16"/>
              </w:rPr>
            </w:pPr>
            <w:r w:rsidRPr="001E2F6E">
              <w:rPr>
                <w:color w:val="000000"/>
                <w:sz w:val="16"/>
                <w:szCs w:val="16"/>
              </w:rPr>
              <w:t>41.000</w:t>
            </w:r>
          </w:p>
        </w:tc>
        <w:tc>
          <w:tcPr>
            <w:tcW w:w="672" w:type="pct"/>
            <w:tcBorders>
              <w:top w:val="nil"/>
              <w:left w:val="nil"/>
              <w:bottom w:val="nil"/>
              <w:right w:val="single" w:sz="8" w:space="0" w:color="BFBFBF"/>
            </w:tcBorders>
            <w:shd w:val="clear" w:color="auto" w:fill="auto"/>
            <w:noWrap/>
            <w:vAlign w:val="bottom"/>
            <w:hideMark/>
          </w:tcPr>
          <w:p w:rsidR="00195BE7" w:rsidRPr="001E2F6E" w:rsidRDefault="00195BE7" w:rsidP="00195BE7">
            <w:pPr>
              <w:spacing w:line="220" w:lineRule="exact"/>
              <w:jc w:val="right"/>
              <w:rPr>
                <w:color w:val="000000"/>
                <w:sz w:val="16"/>
                <w:szCs w:val="16"/>
              </w:rPr>
            </w:pPr>
            <w:r w:rsidRPr="001E2F6E">
              <w:rPr>
                <w:color w:val="000000"/>
                <w:sz w:val="16"/>
                <w:szCs w:val="16"/>
              </w:rPr>
              <w:t> </w:t>
            </w:r>
          </w:p>
        </w:tc>
      </w:tr>
      <w:tr w:rsidR="00195BE7" w:rsidRPr="001E2F6E" w:rsidTr="00195BE7">
        <w:trPr>
          <w:jc w:val="center"/>
        </w:trPr>
        <w:tc>
          <w:tcPr>
            <w:tcW w:w="1985" w:type="pct"/>
            <w:tcBorders>
              <w:top w:val="nil"/>
              <w:left w:val="nil"/>
              <w:bottom w:val="nil"/>
              <w:right w:val="single" w:sz="8" w:space="0" w:color="BFBFBF"/>
            </w:tcBorders>
            <w:shd w:val="clear" w:color="auto" w:fill="auto"/>
            <w:vAlign w:val="bottom"/>
            <w:hideMark/>
          </w:tcPr>
          <w:p w:rsidR="00195BE7" w:rsidRPr="001E2F6E" w:rsidRDefault="00195BE7" w:rsidP="00195BE7">
            <w:pPr>
              <w:spacing w:line="220" w:lineRule="exact"/>
              <w:rPr>
                <w:sz w:val="16"/>
                <w:szCs w:val="16"/>
                <w:lang w:val="eu-ES"/>
              </w:rPr>
            </w:pPr>
            <w:r w:rsidRPr="001E2F6E">
              <w:rPr>
                <w:sz w:val="16"/>
                <w:szCs w:val="16"/>
                <w:lang w:val="eu-ES"/>
              </w:rPr>
              <w:t>74 Ustiapeneko dirulaguntzak</w:t>
            </w:r>
          </w:p>
        </w:tc>
        <w:tc>
          <w:tcPr>
            <w:tcW w:w="600" w:type="pct"/>
            <w:tcBorders>
              <w:top w:val="nil"/>
              <w:left w:val="nil"/>
              <w:bottom w:val="nil"/>
              <w:right w:val="single" w:sz="8" w:space="0" w:color="BFBFBF"/>
            </w:tcBorders>
            <w:shd w:val="clear" w:color="auto" w:fill="auto"/>
            <w:noWrap/>
            <w:vAlign w:val="bottom"/>
            <w:hideMark/>
          </w:tcPr>
          <w:p w:rsidR="00195BE7" w:rsidRPr="001E2F6E" w:rsidRDefault="00195BE7" w:rsidP="00195BE7">
            <w:pPr>
              <w:spacing w:line="220" w:lineRule="exact"/>
              <w:jc w:val="right"/>
              <w:rPr>
                <w:color w:val="000000"/>
                <w:sz w:val="16"/>
                <w:szCs w:val="16"/>
              </w:rPr>
            </w:pPr>
            <w:r w:rsidRPr="001E2F6E">
              <w:rPr>
                <w:color w:val="000000"/>
                <w:sz w:val="16"/>
                <w:szCs w:val="16"/>
              </w:rPr>
              <w:t>11.155.883</w:t>
            </w:r>
          </w:p>
        </w:tc>
        <w:tc>
          <w:tcPr>
            <w:tcW w:w="460" w:type="pct"/>
            <w:tcBorders>
              <w:top w:val="nil"/>
              <w:left w:val="nil"/>
              <w:bottom w:val="nil"/>
              <w:right w:val="single" w:sz="8" w:space="0" w:color="BFBFBF"/>
            </w:tcBorders>
            <w:shd w:val="clear" w:color="auto" w:fill="auto"/>
            <w:noWrap/>
            <w:vAlign w:val="bottom"/>
            <w:hideMark/>
          </w:tcPr>
          <w:p w:rsidR="00195BE7" w:rsidRPr="001E2F6E" w:rsidRDefault="00195BE7" w:rsidP="00195BE7">
            <w:pPr>
              <w:spacing w:line="220" w:lineRule="exact"/>
              <w:jc w:val="right"/>
              <w:rPr>
                <w:color w:val="000000"/>
                <w:sz w:val="16"/>
                <w:szCs w:val="16"/>
              </w:rPr>
            </w:pPr>
            <w:r w:rsidRPr="001E2F6E">
              <w:rPr>
                <w:color w:val="000000"/>
                <w:sz w:val="16"/>
                <w:szCs w:val="16"/>
              </w:rPr>
              <w:t> </w:t>
            </w:r>
          </w:p>
        </w:tc>
        <w:tc>
          <w:tcPr>
            <w:tcW w:w="600" w:type="pct"/>
            <w:tcBorders>
              <w:top w:val="nil"/>
              <w:left w:val="nil"/>
              <w:bottom w:val="nil"/>
              <w:right w:val="single" w:sz="8" w:space="0" w:color="BFBFBF"/>
            </w:tcBorders>
            <w:shd w:val="clear" w:color="auto" w:fill="auto"/>
            <w:noWrap/>
            <w:vAlign w:val="bottom"/>
            <w:hideMark/>
          </w:tcPr>
          <w:p w:rsidR="00195BE7" w:rsidRPr="001E2F6E" w:rsidRDefault="00195BE7" w:rsidP="00195BE7">
            <w:pPr>
              <w:spacing w:line="220" w:lineRule="exact"/>
              <w:jc w:val="right"/>
              <w:rPr>
                <w:color w:val="000000"/>
                <w:sz w:val="16"/>
                <w:szCs w:val="16"/>
              </w:rPr>
            </w:pPr>
            <w:r w:rsidRPr="001E2F6E">
              <w:rPr>
                <w:color w:val="000000"/>
                <w:sz w:val="16"/>
                <w:szCs w:val="16"/>
              </w:rPr>
              <w:t>2.574.598</w:t>
            </w:r>
          </w:p>
        </w:tc>
        <w:tc>
          <w:tcPr>
            <w:tcW w:w="683" w:type="pct"/>
            <w:tcBorders>
              <w:top w:val="nil"/>
              <w:left w:val="nil"/>
              <w:bottom w:val="nil"/>
              <w:right w:val="single" w:sz="8" w:space="0" w:color="BFBFBF"/>
            </w:tcBorders>
            <w:shd w:val="clear" w:color="auto" w:fill="auto"/>
            <w:noWrap/>
            <w:vAlign w:val="bottom"/>
            <w:hideMark/>
          </w:tcPr>
          <w:p w:rsidR="00195BE7" w:rsidRPr="001E2F6E" w:rsidRDefault="00195BE7" w:rsidP="00195BE7">
            <w:pPr>
              <w:spacing w:line="220" w:lineRule="exact"/>
              <w:jc w:val="right"/>
              <w:rPr>
                <w:color w:val="000000"/>
                <w:sz w:val="16"/>
                <w:szCs w:val="16"/>
              </w:rPr>
            </w:pPr>
            <w:r w:rsidRPr="001E2F6E">
              <w:rPr>
                <w:color w:val="000000"/>
                <w:sz w:val="16"/>
                <w:szCs w:val="16"/>
              </w:rPr>
              <w:t>60.566</w:t>
            </w:r>
          </w:p>
        </w:tc>
        <w:tc>
          <w:tcPr>
            <w:tcW w:w="672" w:type="pct"/>
            <w:tcBorders>
              <w:top w:val="nil"/>
              <w:left w:val="nil"/>
              <w:bottom w:val="nil"/>
              <w:right w:val="single" w:sz="8" w:space="0" w:color="BFBFBF"/>
            </w:tcBorders>
            <w:shd w:val="clear" w:color="auto" w:fill="auto"/>
            <w:noWrap/>
            <w:vAlign w:val="bottom"/>
            <w:hideMark/>
          </w:tcPr>
          <w:p w:rsidR="00195BE7" w:rsidRPr="001E2F6E" w:rsidRDefault="00195BE7" w:rsidP="00195BE7">
            <w:pPr>
              <w:spacing w:line="220" w:lineRule="exact"/>
              <w:jc w:val="right"/>
              <w:rPr>
                <w:color w:val="000000"/>
                <w:sz w:val="16"/>
                <w:szCs w:val="16"/>
              </w:rPr>
            </w:pPr>
            <w:r w:rsidRPr="001E2F6E">
              <w:rPr>
                <w:color w:val="000000"/>
                <w:sz w:val="16"/>
                <w:szCs w:val="16"/>
              </w:rPr>
              <w:t>8.520.719</w:t>
            </w:r>
          </w:p>
        </w:tc>
      </w:tr>
      <w:tr w:rsidR="00195BE7" w:rsidRPr="001E2F6E" w:rsidTr="00195BE7">
        <w:trPr>
          <w:jc w:val="center"/>
        </w:trPr>
        <w:tc>
          <w:tcPr>
            <w:tcW w:w="1985" w:type="pct"/>
            <w:tcBorders>
              <w:top w:val="nil"/>
              <w:left w:val="nil"/>
              <w:bottom w:val="nil"/>
              <w:right w:val="single" w:sz="8" w:space="0" w:color="BFBFBF"/>
            </w:tcBorders>
            <w:shd w:val="clear" w:color="auto" w:fill="auto"/>
            <w:vAlign w:val="bottom"/>
            <w:hideMark/>
          </w:tcPr>
          <w:p w:rsidR="00195BE7" w:rsidRPr="001E2F6E" w:rsidRDefault="00195BE7" w:rsidP="00195BE7">
            <w:pPr>
              <w:spacing w:line="220" w:lineRule="exact"/>
              <w:rPr>
                <w:sz w:val="16"/>
                <w:szCs w:val="16"/>
                <w:lang w:val="eu-ES"/>
              </w:rPr>
            </w:pPr>
            <w:r w:rsidRPr="001E2F6E">
              <w:rPr>
                <w:sz w:val="16"/>
                <w:szCs w:val="16"/>
                <w:lang w:val="eu-ES"/>
              </w:rPr>
              <w:t>75 Diru-sarrera osagarriak</w:t>
            </w:r>
          </w:p>
        </w:tc>
        <w:tc>
          <w:tcPr>
            <w:tcW w:w="600" w:type="pct"/>
            <w:tcBorders>
              <w:top w:val="nil"/>
              <w:left w:val="nil"/>
              <w:bottom w:val="nil"/>
              <w:right w:val="single" w:sz="8" w:space="0" w:color="BFBFBF"/>
            </w:tcBorders>
            <w:shd w:val="clear" w:color="auto" w:fill="auto"/>
            <w:noWrap/>
            <w:vAlign w:val="bottom"/>
            <w:hideMark/>
          </w:tcPr>
          <w:p w:rsidR="00195BE7" w:rsidRPr="001E2F6E" w:rsidRDefault="00195BE7" w:rsidP="00195BE7">
            <w:pPr>
              <w:spacing w:line="220" w:lineRule="exact"/>
              <w:jc w:val="right"/>
              <w:rPr>
                <w:color w:val="000000"/>
                <w:sz w:val="16"/>
                <w:szCs w:val="16"/>
              </w:rPr>
            </w:pPr>
            <w:r w:rsidRPr="001E2F6E">
              <w:rPr>
                <w:color w:val="000000"/>
                <w:sz w:val="16"/>
                <w:szCs w:val="16"/>
              </w:rPr>
              <w:t>1.058.241</w:t>
            </w:r>
          </w:p>
        </w:tc>
        <w:tc>
          <w:tcPr>
            <w:tcW w:w="460" w:type="pct"/>
            <w:tcBorders>
              <w:top w:val="nil"/>
              <w:left w:val="nil"/>
              <w:bottom w:val="nil"/>
              <w:right w:val="single" w:sz="8" w:space="0" w:color="BFBFBF"/>
            </w:tcBorders>
            <w:shd w:val="clear" w:color="auto" w:fill="auto"/>
            <w:noWrap/>
            <w:vAlign w:val="bottom"/>
            <w:hideMark/>
          </w:tcPr>
          <w:p w:rsidR="00195BE7" w:rsidRPr="001E2F6E" w:rsidRDefault="00195BE7" w:rsidP="00195BE7">
            <w:pPr>
              <w:spacing w:line="220" w:lineRule="exact"/>
              <w:jc w:val="right"/>
              <w:rPr>
                <w:color w:val="000000"/>
                <w:sz w:val="16"/>
                <w:szCs w:val="16"/>
              </w:rPr>
            </w:pPr>
            <w:r w:rsidRPr="001E2F6E">
              <w:rPr>
                <w:color w:val="000000"/>
                <w:sz w:val="16"/>
                <w:szCs w:val="16"/>
              </w:rPr>
              <w:t> </w:t>
            </w:r>
          </w:p>
        </w:tc>
        <w:tc>
          <w:tcPr>
            <w:tcW w:w="600" w:type="pct"/>
            <w:tcBorders>
              <w:top w:val="nil"/>
              <w:left w:val="nil"/>
              <w:bottom w:val="nil"/>
              <w:right w:val="single" w:sz="8" w:space="0" w:color="BFBFBF"/>
            </w:tcBorders>
            <w:shd w:val="clear" w:color="auto" w:fill="auto"/>
            <w:noWrap/>
            <w:vAlign w:val="bottom"/>
            <w:hideMark/>
          </w:tcPr>
          <w:p w:rsidR="00195BE7" w:rsidRPr="001E2F6E" w:rsidRDefault="00195BE7" w:rsidP="00195BE7">
            <w:pPr>
              <w:spacing w:line="220" w:lineRule="exact"/>
              <w:jc w:val="right"/>
              <w:rPr>
                <w:color w:val="000000"/>
                <w:sz w:val="16"/>
                <w:szCs w:val="16"/>
              </w:rPr>
            </w:pPr>
            <w:r w:rsidRPr="001E2F6E">
              <w:rPr>
                <w:color w:val="000000"/>
                <w:sz w:val="16"/>
                <w:szCs w:val="16"/>
              </w:rPr>
              <w:t>729.316</w:t>
            </w:r>
          </w:p>
        </w:tc>
        <w:tc>
          <w:tcPr>
            <w:tcW w:w="683" w:type="pct"/>
            <w:tcBorders>
              <w:top w:val="nil"/>
              <w:left w:val="nil"/>
              <w:bottom w:val="nil"/>
              <w:right w:val="single" w:sz="8" w:space="0" w:color="BFBFBF"/>
            </w:tcBorders>
            <w:shd w:val="clear" w:color="auto" w:fill="auto"/>
            <w:noWrap/>
            <w:vAlign w:val="bottom"/>
            <w:hideMark/>
          </w:tcPr>
          <w:p w:rsidR="00195BE7" w:rsidRPr="001E2F6E" w:rsidRDefault="00195BE7" w:rsidP="00195BE7">
            <w:pPr>
              <w:spacing w:line="220" w:lineRule="exact"/>
              <w:jc w:val="right"/>
              <w:rPr>
                <w:color w:val="000000"/>
                <w:sz w:val="16"/>
                <w:szCs w:val="16"/>
              </w:rPr>
            </w:pPr>
            <w:r w:rsidRPr="001E2F6E">
              <w:rPr>
                <w:color w:val="000000"/>
                <w:sz w:val="16"/>
                <w:szCs w:val="16"/>
              </w:rPr>
              <w:t>8.133</w:t>
            </w:r>
          </w:p>
        </w:tc>
        <w:tc>
          <w:tcPr>
            <w:tcW w:w="672" w:type="pct"/>
            <w:tcBorders>
              <w:top w:val="nil"/>
              <w:left w:val="nil"/>
              <w:bottom w:val="nil"/>
              <w:right w:val="single" w:sz="8" w:space="0" w:color="BFBFBF"/>
            </w:tcBorders>
            <w:shd w:val="clear" w:color="auto" w:fill="auto"/>
            <w:noWrap/>
            <w:vAlign w:val="bottom"/>
            <w:hideMark/>
          </w:tcPr>
          <w:p w:rsidR="00195BE7" w:rsidRPr="001E2F6E" w:rsidRDefault="00195BE7" w:rsidP="00195BE7">
            <w:pPr>
              <w:spacing w:line="220" w:lineRule="exact"/>
              <w:jc w:val="right"/>
              <w:rPr>
                <w:color w:val="000000"/>
                <w:sz w:val="16"/>
                <w:szCs w:val="16"/>
              </w:rPr>
            </w:pPr>
            <w:r w:rsidRPr="001E2F6E">
              <w:rPr>
                <w:color w:val="000000"/>
                <w:sz w:val="16"/>
                <w:szCs w:val="16"/>
              </w:rPr>
              <w:t>320.792</w:t>
            </w:r>
          </w:p>
        </w:tc>
      </w:tr>
      <w:tr w:rsidR="00195BE7" w:rsidRPr="001E2F6E" w:rsidTr="00195BE7">
        <w:trPr>
          <w:jc w:val="center"/>
        </w:trPr>
        <w:tc>
          <w:tcPr>
            <w:tcW w:w="1985" w:type="pct"/>
            <w:tcBorders>
              <w:top w:val="nil"/>
              <w:left w:val="nil"/>
              <w:bottom w:val="nil"/>
              <w:right w:val="single" w:sz="8" w:space="0" w:color="BFBFBF"/>
            </w:tcBorders>
            <w:shd w:val="clear" w:color="auto" w:fill="auto"/>
            <w:vAlign w:val="bottom"/>
            <w:hideMark/>
          </w:tcPr>
          <w:p w:rsidR="00195BE7" w:rsidRPr="001E2F6E" w:rsidRDefault="00195BE7" w:rsidP="00195BE7">
            <w:pPr>
              <w:spacing w:line="220" w:lineRule="exact"/>
              <w:rPr>
                <w:sz w:val="16"/>
                <w:szCs w:val="16"/>
                <w:lang w:val="eu-ES"/>
              </w:rPr>
            </w:pPr>
            <w:r w:rsidRPr="001E2F6E">
              <w:rPr>
                <w:sz w:val="16"/>
                <w:szCs w:val="16"/>
                <w:lang w:val="eu-ES"/>
              </w:rPr>
              <w:t>76 Finantza-sarrerak</w:t>
            </w:r>
          </w:p>
        </w:tc>
        <w:tc>
          <w:tcPr>
            <w:tcW w:w="600" w:type="pct"/>
            <w:tcBorders>
              <w:top w:val="nil"/>
              <w:left w:val="nil"/>
              <w:bottom w:val="nil"/>
              <w:right w:val="single" w:sz="8" w:space="0" w:color="BFBFBF"/>
            </w:tcBorders>
            <w:shd w:val="clear" w:color="auto" w:fill="auto"/>
            <w:noWrap/>
            <w:vAlign w:val="bottom"/>
            <w:hideMark/>
          </w:tcPr>
          <w:p w:rsidR="00195BE7" w:rsidRPr="001E2F6E" w:rsidRDefault="00195BE7" w:rsidP="00195BE7">
            <w:pPr>
              <w:spacing w:line="220" w:lineRule="exact"/>
              <w:jc w:val="right"/>
              <w:rPr>
                <w:color w:val="000000"/>
                <w:sz w:val="16"/>
                <w:szCs w:val="16"/>
              </w:rPr>
            </w:pPr>
            <w:r w:rsidRPr="001E2F6E">
              <w:rPr>
                <w:color w:val="000000"/>
                <w:sz w:val="16"/>
                <w:szCs w:val="16"/>
              </w:rPr>
              <w:t>1.073.360</w:t>
            </w:r>
          </w:p>
        </w:tc>
        <w:tc>
          <w:tcPr>
            <w:tcW w:w="460" w:type="pct"/>
            <w:tcBorders>
              <w:top w:val="nil"/>
              <w:left w:val="nil"/>
              <w:bottom w:val="nil"/>
              <w:right w:val="single" w:sz="8" w:space="0" w:color="BFBFBF"/>
            </w:tcBorders>
            <w:shd w:val="clear" w:color="auto" w:fill="auto"/>
            <w:noWrap/>
            <w:vAlign w:val="bottom"/>
            <w:hideMark/>
          </w:tcPr>
          <w:p w:rsidR="00195BE7" w:rsidRPr="001E2F6E" w:rsidRDefault="00195BE7" w:rsidP="00195BE7">
            <w:pPr>
              <w:spacing w:line="220" w:lineRule="exact"/>
              <w:jc w:val="right"/>
              <w:rPr>
                <w:color w:val="000000"/>
                <w:sz w:val="16"/>
                <w:szCs w:val="16"/>
              </w:rPr>
            </w:pPr>
            <w:r w:rsidRPr="001E2F6E">
              <w:rPr>
                <w:color w:val="000000"/>
                <w:sz w:val="16"/>
                <w:szCs w:val="16"/>
              </w:rPr>
              <w:t> </w:t>
            </w:r>
          </w:p>
        </w:tc>
        <w:tc>
          <w:tcPr>
            <w:tcW w:w="600" w:type="pct"/>
            <w:tcBorders>
              <w:top w:val="nil"/>
              <w:left w:val="nil"/>
              <w:bottom w:val="nil"/>
              <w:right w:val="single" w:sz="8" w:space="0" w:color="BFBFBF"/>
            </w:tcBorders>
            <w:shd w:val="clear" w:color="auto" w:fill="auto"/>
            <w:noWrap/>
            <w:vAlign w:val="bottom"/>
            <w:hideMark/>
          </w:tcPr>
          <w:p w:rsidR="00195BE7" w:rsidRPr="001E2F6E" w:rsidRDefault="00195BE7" w:rsidP="00195BE7">
            <w:pPr>
              <w:spacing w:line="220" w:lineRule="exact"/>
              <w:jc w:val="right"/>
              <w:rPr>
                <w:color w:val="000000"/>
                <w:sz w:val="16"/>
                <w:szCs w:val="16"/>
              </w:rPr>
            </w:pPr>
            <w:r w:rsidRPr="001E2F6E">
              <w:rPr>
                <w:color w:val="000000"/>
                <w:sz w:val="16"/>
                <w:szCs w:val="16"/>
              </w:rPr>
              <w:t>852.076</w:t>
            </w:r>
          </w:p>
        </w:tc>
        <w:tc>
          <w:tcPr>
            <w:tcW w:w="683" w:type="pct"/>
            <w:tcBorders>
              <w:top w:val="nil"/>
              <w:left w:val="nil"/>
              <w:bottom w:val="nil"/>
              <w:right w:val="single" w:sz="8" w:space="0" w:color="BFBFBF"/>
            </w:tcBorders>
            <w:shd w:val="clear" w:color="auto" w:fill="auto"/>
            <w:noWrap/>
            <w:vAlign w:val="bottom"/>
            <w:hideMark/>
          </w:tcPr>
          <w:p w:rsidR="00195BE7" w:rsidRPr="001E2F6E" w:rsidRDefault="00195BE7" w:rsidP="00195BE7">
            <w:pPr>
              <w:spacing w:line="220" w:lineRule="exact"/>
              <w:jc w:val="right"/>
              <w:rPr>
                <w:color w:val="000000"/>
                <w:sz w:val="16"/>
                <w:szCs w:val="16"/>
              </w:rPr>
            </w:pPr>
            <w:r w:rsidRPr="001E2F6E">
              <w:rPr>
                <w:color w:val="000000"/>
                <w:sz w:val="16"/>
                <w:szCs w:val="16"/>
              </w:rPr>
              <w:t>68.365</w:t>
            </w:r>
          </w:p>
        </w:tc>
        <w:tc>
          <w:tcPr>
            <w:tcW w:w="672" w:type="pct"/>
            <w:tcBorders>
              <w:top w:val="nil"/>
              <w:left w:val="nil"/>
              <w:bottom w:val="nil"/>
              <w:right w:val="single" w:sz="8" w:space="0" w:color="BFBFBF"/>
            </w:tcBorders>
            <w:shd w:val="clear" w:color="auto" w:fill="auto"/>
            <w:noWrap/>
            <w:vAlign w:val="bottom"/>
            <w:hideMark/>
          </w:tcPr>
          <w:p w:rsidR="00195BE7" w:rsidRPr="001E2F6E" w:rsidRDefault="00195BE7" w:rsidP="00195BE7">
            <w:pPr>
              <w:spacing w:line="220" w:lineRule="exact"/>
              <w:jc w:val="right"/>
              <w:rPr>
                <w:color w:val="000000"/>
                <w:sz w:val="16"/>
                <w:szCs w:val="16"/>
              </w:rPr>
            </w:pPr>
            <w:r w:rsidRPr="001E2F6E">
              <w:rPr>
                <w:color w:val="000000"/>
                <w:sz w:val="16"/>
                <w:szCs w:val="16"/>
              </w:rPr>
              <w:t>152.919</w:t>
            </w:r>
          </w:p>
        </w:tc>
      </w:tr>
      <w:tr w:rsidR="00195BE7" w:rsidRPr="001E2F6E" w:rsidTr="00195BE7">
        <w:trPr>
          <w:jc w:val="center"/>
        </w:trPr>
        <w:tc>
          <w:tcPr>
            <w:tcW w:w="1985" w:type="pct"/>
            <w:tcBorders>
              <w:top w:val="nil"/>
              <w:left w:val="nil"/>
              <w:bottom w:val="nil"/>
              <w:right w:val="single" w:sz="8" w:space="0" w:color="BFBFBF"/>
            </w:tcBorders>
            <w:shd w:val="clear" w:color="auto" w:fill="auto"/>
            <w:vAlign w:val="bottom"/>
            <w:hideMark/>
          </w:tcPr>
          <w:p w:rsidR="00195BE7" w:rsidRPr="001E2F6E" w:rsidRDefault="00195BE7" w:rsidP="00195BE7">
            <w:pPr>
              <w:spacing w:line="220" w:lineRule="exact"/>
              <w:rPr>
                <w:sz w:val="16"/>
                <w:szCs w:val="16"/>
                <w:lang w:val="eu-ES"/>
              </w:rPr>
            </w:pPr>
            <w:r w:rsidRPr="001E2F6E">
              <w:rPr>
                <w:sz w:val="16"/>
                <w:szCs w:val="16"/>
                <w:lang w:val="eu-ES"/>
              </w:rPr>
              <w:t>77 Ezohiko diru-sarrerak</w:t>
            </w:r>
          </w:p>
        </w:tc>
        <w:tc>
          <w:tcPr>
            <w:tcW w:w="600" w:type="pct"/>
            <w:tcBorders>
              <w:top w:val="nil"/>
              <w:left w:val="nil"/>
              <w:bottom w:val="nil"/>
              <w:right w:val="single" w:sz="8" w:space="0" w:color="BFBFBF"/>
            </w:tcBorders>
            <w:shd w:val="clear" w:color="auto" w:fill="auto"/>
            <w:noWrap/>
            <w:vAlign w:val="bottom"/>
            <w:hideMark/>
          </w:tcPr>
          <w:p w:rsidR="00195BE7" w:rsidRPr="001E2F6E" w:rsidRDefault="00195BE7" w:rsidP="00195BE7">
            <w:pPr>
              <w:spacing w:line="220" w:lineRule="exact"/>
              <w:jc w:val="right"/>
              <w:rPr>
                <w:color w:val="000000"/>
                <w:sz w:val="16"/>
                <w:szCs w:val="16"/>
              </w:rPr>
            </w:pPr>
            <w:r w:rsidRPr="001E2F6E">
              <w:rPr>
                <w:color w:val="000000"/>
                <w:sz w:val="16"/>
                <w:szCs w:val="16"/>
              </w:rPr>
              <w:t>1.788.694</w:t>
            </w:r>
          </w:p>
        </w:tc>
        <w:tc>
          <w:tcPr>
            <w:tcW w:w="460" w:type="pct"/>
            <w:tcBorders>
              <w:top w:val="nil"/>
              <w:left w:val="nil"/>
              <w:bottom w:val="nil"/>
              <w:right w:val="single" w:sz="8" w:space="0" w:color="BFBFBF"/>
            </w:tcBorders>
            <w:shd w:val="clear" w:color="auto" w:fill="auto"/>
            <w:noWrap/>
            <w:vAlign w:val="bottom"/>
            <w:hideMark/>
          </w:tcPr>
          <w:p w:rsidR="00195BE7" w:rsidRPr="001E2F6E" w:rsidRDefault="00195BE7" w:rsidP="00195BE7">
            <w:pPr>
              <w:spacing w:line="220" w:lineRule="exact"/>
              <w:jc w:val="right"/>
              <w:rPr>
                <w:color w:val="000000"/>
                <w:sz w:val="16"/>
                <w:szCs w:val="16"/>
              </w:rPr>
            </w:pPr>
            <w:r w:rsidRPr="001E2F6E">
              <w:rPr>
                <w:color w:val="000000"/>
                <w:sz w:val="16"/>
                <w:szCs w:val="16"/>
              </w:rPr>
              <w:t> </w:t>
            </w:r>
          </w:p>
        </w:tc>
        <w:tc>
          <w:tcPr>
            <w:tcW w:w="600" w:type="pct"/>
            <w:tcBorders>
              <w:top w:val="nil"/>
              <w:left w:val="nil"/>
              <w:bottom w:val="nil"/>
              <w:right w:val="single" w:sz="8" w:space="0" w:color="BFBFBF"/>
            </w:tcBorders>
            <w:shd w:val="clear" w:color="auto" w:fill="auto"/>
            <w:noWrap/>
            <w:vAlign w:val="bottom"/>
            <w:hideMark/>
          </w:tcPr>
          <w:p w:rsidR="00195BE7" w:rsidRPr="001E2F6E" w:rsidRDefault="00195BE7" w:rsidP="00195BE7">
            <w:pPr>
              <w:spacing w:line="220" w:lineRule="exact"/>
              <w:jc w:val="right"/>
              <w:rPr>
                <w:color w:val="000000"/>
                <w:sz w:val="16"/>
                <w:szCs w:val="16"/>
              </w:rPr>
            </w:pPr>
            <w:r w:rsidRPr="001E2F6E">
              <w:rPr>
                <w:color w:val="000000"/>
                <w:sz w:val="16"/>
                <w:szCs w:val="16"/>
              </w:rPr>
              <w:t>1.429.661</w:t>
            </w:r>
          </w:p>
        </w:tc>
        <w:tc>
          <w:tcPr>
            <w:tcW w:w="683" w:type="pct"/>
            <w:tcBorders>
              <w:top w:val="nil"/>
              <w:left w:val="nil"/>
              <w:bottom w:val="nil"/>
              <w:right w:val="single" w:sz="8" w:space="0" w:color="BFBFBF"/>
            </w:tcBorders>
            <w:shd w:val="clear" w:color="auto" w:fill="auto"/>
            <w:noWrap/>
            <w:vAlign w:val="bottom"/>
            <w:hideMark/>
          </w:tcPr>
          <w:p w:rsidR="00195BE7" w:rsidRPr="001E2F6E" w:rsidRDefault="00195BE7" w:rsidP="00195BE7">
            <w:pPr>
              <w:spacing w:line="220" w:lineRule="exact"/>
              <w:jc w:val="right"/>
              <w:rPr>
                <w:color w:val="000000"/>
                <w:sz w:val="16"/>
                <w:szCs w:val="16"/>
              </w:rPr>
            </w:pPr>
            <w:r w:rsidRPr="001E2F6E">
              <w:rPr>
                <w:color w:val="000000"/>
                <w:sz w:val="16"/>
                <w:szCs w:val="16"/>
              </w:rPr>
              <w:t>67.329</w:t>
            </w:r>
          </w:p>
        </w:tc>
        <w:tc>
          <w:tcPr>
            <w:tcW w:w="672" w:type="pct"/>
            <w:tcBorders>
              <w:top w:val="nil"/>
              <w:left w:val="nil"/>
              <w:bottom w:val="nil"/>
              <w:right w:val="single" w:sz="8" w:space="0" w:color="BFBFBF"/>
            </w:tcBorders>
            <w:shd w:val="clear" w:color="auto" w:fill="auto"/>
            <w:noWrap/>
            <w:vAlign w:val="bottom"/>
            <w:hideMark/>
          </w:tcPr>
          <w:p w:rsidR="00195BE7" w:rsidRPr="001E2F6E" w:rsidRDefault="00195BE7" w:rsidP="00195BE7">
            <w:pPr>
              <w:spacing w:line="220" w:lineRule="exact"/>
              <w:jc w:val="right"/>
              <w:rPr>
                <w:color w:val="000000"/>
                <w:sz w:val="16"/>
                <w:szCs w:val="16"/>
              </w:rPr>
            </w:pPr>
            <w:r w:rsidRPr="001E2F6E">
              <w:rPr>
                <w:color w:val="000000"/>
                <w:sz w:val="16"/>
                <w:szCs w:val="16"/>
              </w:rPr>
              <w:t>291.704</w:t>
            </w:r>
          </w:p>
        </w:tc>
      </w:tr>
      <w:tr w:rsidR="00195BE7" w:rsidRPr="001E2F6E" w:rsidTr="00195BE7">
        <w:trPr>
          <w:jc w:val="center"/>
        </w:trPr>
        <w:tc>
          <w:tcPr>
            <w:tcW w:w="1985" w:type="pct"/>
            <w:tcBorders>
              <w:top w:val="nil"/>
              <w:left w:val="nil"/>
              <w:bottom w:val="single" w:sz="8" w:space="0" w:color="BFBFBF"/>
              <w:right w:val="single" w:sz="8" w:space="0" w:color="BFBFBF"/>
            </w:tcBorders>
            <w:shd w:val="clear" w:color="auto" w:fill="auto"/>
            <w:vAlign w:val="bottom"/>
            <w:hideMark/>
          </w:tcPr>
          <w:p w:rsidR="00195BE7" w:rsidRPr="001E2F6E" w:rsidRDefault="00195BE7" w:rsidP="00195BE7">
            <w:pPr>
              <w:spacing w:line="220" w:lineRule="exact"/>
              <w:rPr>
                <w:sz w:val="16"/>
                <w:szCs w:val="16"/>
                <w:lang w:val="eu-ES"/>
              </w:rPr>
            </w:pPr>
            <w:r w:rsidRPr="001E2F6E">
              <w:rPr>
                <w:sz w:val="16"/>
                <w:szCs w:val="16"/>
                <w:lang w:val="eu-ES"/>
              </w:rPr>
              <w:t>79 Gehiegizko hornidura</w:t>
            </w:r>
          </w:p>
        </w:tc>
        <w:tc>
          <w:tcPr>
            <w:tcW w:w="600" w:type="pct"/>
            <w:tcBorders>
              <w:top w:val="nil"/>
              <w:left w:val="nil"/>
              <w:bottom w:val="single" w:sz="8" w:space="0" w:color="BFBFBF"/>
              <w:right w:val="single" w:sz="8" w:space="0" w:color="BFBFBF"/>
            </w:tcBorders>
            <w:shd w:val="clear" w:color="auto" w:fill="auto"/>
            <w:noWrap/>
            <w:vAlign w:val="bottom"/>
            <w:hideMark/>
          </w:tcPr>
          <w:p w:rsidR="00195BE7" w:rsidRPr="001E2F6E" w:rsidRDefault="00195BE7" w:rsidP="00195BE7">
            <w:pPr>
              <w:spacing w:line="220" w:lineRule="exact"/>
              <w:jc w:val="right"/>
              <w:rPr>
                <w:color w:val="000000"/>
                <w:sz w:val="16"/>
                <w:szCs w:val="16"/>
              </w:rPr>
            </w:pPr>
            <w:r w:rsidRPr="001E2F6E">
              <w:rPr>
                <w:color w:val="000000"/>
                <w:sz w:val="16"/>
                <w:szCs w:val="16"/>
              </w:rPr>
              <w:t>503.750</w:t>
            </w:r>
          </w:p>
        </w:tc>
        <w:tc>
          <w:tcPr>
            <w:tcW w:w="460" w:type="pct"/>
            <w:tcBorders>
              <w:top w:val="nil"/>
              <w:left w:val="nil"/>
              <w:bottom w:val="single" w:sz="8" w:space="0" w:color="BFBFBF"/>
              <w:right w:val="single" w:sz="8" w:space="0" w:color="BFBFBF"/>
            </w:tcBorders>
            <w:shd w:val="clear" w:color="auto" w:fill="auto"/>
            <w:noWrap/>
            <w:vAlign w:val="bottom"/>
            <w:hideMark/>
          </w:tcPr>
          <w:p w:rsidR="00195BE7" w:rsidRPr="001E2F6E" w:rsidRDefault="00195BE7" w:rsidP="00195BE7">
            <w:pPr>
              <w:spacing w:line="220" w:lineRule="exact"/>
              <w:jc w:val="right"/>
              <w:rPr>
                <w:color w:val="000000"/>
                <w:sz w:val="16"/>
                <w:szCs w:val="16"/>
              </w:rPr>
            </w:pPr>
            <w:r w:rsidRPr="001E2F6E">
              <w:rPr>
                <w:color w:val="000000"/>
                <w:sz w:val="16"/>
                <w:szCs w:val="16"/>
              </w:rPr>
              <w:t> </w:t>
            </w:r>
          </w:p>
        </w:tc>
        <w:tc>
          <w:tcPr>
            <w:tcW w:w="600" w:type="pct"/>
            <w:tcBorders>
              <w:top w:val="nil"/>
              <w:left w:val="nil"/>
              <w:bottom w:val="single" w:sz="8" w:space="0" w:color="BFBFBF"/>
              <w:right w:val="single" w:sz="8" w:space="0" w:color="BFBFBF"/>
            </w:tcBorders>
            <w:shd w:val="clear" w:color="auto" w:fill="auto"/>
            <w:noWrap/>
            <w:vAlign w:val="bottom"/>
            <w:hideMark/>
          </w:tcPr>
          <w:p w:rsidR="00195BE7" w:rsidRPr="001E2F6E" w:rsidRDefault="00195BE7" w:rsidP="00195BE7">
            <w:pPr>
              <w:spacing w:line="220" w:lineRule="exact"/>
              <w:jc w:val="right"/>
              <w:rPr>
                <w:color w:val="000000"/>
                <w:sz w:val="16"/>
                <w:szCs w:val="16"/>
              </w:rPr>
            </w:pPr>
            <w:r w:rsidRPr="001E2F6E">
              <w:rPr>
                <w:color w:val="000000"/>
                <w:sz w:val="16"/>
                <w:szCs w:val="16"/>
              </w:rPr>
              <w:t>290.244</w:t>
            </w:r>
          </w:p>
        </w:tc>
        <w:tc>
          <w:tcPr>
            <w:tcW w:w="683" w:type="pct"/>
            <w:tcBorders>
              <w:top w:val="nil"/>
              <w:left w:val="nil"/>
              <w:bottom w:val="single" w:sz="8" w:space="0" w:color="BFBFBF"/>
              <w:right w:val="single" w:sz="8" w:space="0" w:color="BFBFBF"/>
            </w:tcBorders>
            <w:shd w:val="clear" w:color="auto" w:fill="auto"/>
            <w:noWrap/>
            <w:vAlign w:val="bottom"/>
            <w:hideMark/>
          </w:tcPr>
          <w:p w:rsidR="00195BE7" w:rsidRPr="001E2F6E" w:rsidRDefault="00195BE7" w:rsidP="00195BE7">
            <w:pPr>
              <w:spacing w:line="220" w:lineRule="exact"/>
              <w:jc w:val="right"/>
              <w:rPr>
                <w:color w:val="000000"/>
                <w:sz w:val="16"/>
                <w:szCs w:val="16"/>
              </w:rPr>
            </w:pPr>
            <w:r w:rsidRPr="001E2F6E">
              <w:rPr>
                <w:color w:val="000000"/>
                <w:sz w:val="16"/>
                <w:szCs w:val="16"/>
              </w:rPr>
              <w:t> </w:t>
            </w:r>
          </w:p>
        </w:tc>
        <w:tc>
          <w:tcPr>
            <w:tcW w:w="672" w:type="pct"/>
            <w:tcBorders>
              <w:top w:val="nil"/>
              <w:left w:val="nil"/>
              <w:bottom w:val="single" w:sz="8" w:space="0" w:color="BFBFBF"/>
              <w:right w:val="single" w:sz="8" w:space="0" w:color="BFBFBF"/>
            </w:tcBorders>
            <w:shd w:val="clear" w:color="auto" w:fill="auto"/>
            <w:noWrap/>
            <w:vAlign w:val="bottom"/>
            <w:hideMark/>
          </w:tcPr>
          <w:p w:rsidR="00195BE7" w:rsidRPr="001E2F6E" w:rsidRDefault="00195BE7" w:rsidP="00195BE7">
            <w:pPr>
              <w:spacing w:line="220" w:lineRule="exact"/>
              <w:jc w:val="right"/>
              <w:rPr>
                <w:color w:val="000000"/>
                <w:sz w:val="16"/>
                <w:szCs w:val="16"/>
              </w:rPr>
            </w:pPr>
            <w:r w:rsidRPr="001E2F6E">
              <w:rPr>
                <w:color w:val="000000"/>
                <w:sz w:val="16"/>
                <w:szCs w:val="16"/>
              </w:rPr>
              <w:t>213.506</w:t>
            </w:r>
          </w:p>
        </w:tc>
      </w:tr>
      <w:tr w:rsidR="00195BE7" w:rsidRPr="001E2F6E" w:rsidTr="00195BE7">
        <w:trPr>
          <w:jc w:val="center"/>
        </w:trPr>
        <w:tc>
          <w:tcPr>
            <w:tcW w:w="1985" w:type="pct"/>
            <w:tcBorders>
              <w:top w:val="nil"/>
              <w:left w:val="nil"/>
              <w:bottom w:val="single" w:sz="8" w:space="0" w:color="BFBFBF"/>
              <w:right w:val="single" w:sz="8" w:space="0" w:color="BFBFBF"/>
            </w:tcBorders>
            <w:shd w:val="clear" w:color="000000" w:fill="E6E6E6"/>
            <w:vAlign w:val="bottom"/>
            <w:hideMark/>
          </w:tcPr>
          <w:p w:rsidR="00195BE7" w:rsidRPr="001E2F6E" w:rsidRDefault="00195BE7" w:rsidP="00195BE7">
            <w:pPr>
              <w:spacing w:line="220" w:lineRule="exact"/>
              <w:rPr>
                <w:rFonts w:eastAsia="Times New Roman"/>
                <w:b/>
                <w:bCs/>
                <w:color w:val="000000"/>
                <w:sz w:val="16"/>
                <w:szCs w:val="16"/>
                <w:lang w:eastAsia="es-ES"/>
              </w:rPr>
            </w:pPr>
            <w:r w:rsidRPr="001E2F6E">
              <w:rPr>
                <w:rFonts w:eastAsia="Times New Roman"/>
                <w:b/>
                <w:bCs/>
                <w:color w:val="000000"/>
                <w:sz w:val="16"/>
                <w:szCs w:val="16"/>
                <w:lang w:eastAsia="es-ES"/>
              </w:rPr>
              <w:t> </w:t>
            </w:r>
          </w:p>
        </w:tc>
        <w:tc>
          <w:tcPr>
            <w:tcW w:w="600" w:type="pct"/>
            <w:tcBorders>
              <w:top w:val="nil"/>
              <w:left w:val="nil"/>
              <w:bottom w:val="single" w:sz="8" w:space="0" w:color="BFBFBF"/>
              <w:right w:val="single" w:sz="8" w:space="0" w:color="BFBFBF"/>
            </w:tcBorders>
            <w:shd w:val="clear" w:color="000000" w:fill="E6E6E6"/>
            <w:vAlign w:val="bottom"/>
            <w:hideMark/>
          </w:tcPr>
          <w:p w:rsidR="00195BE7" w:rsidRPr="001E2F6E" w:rsidRDefault="00195BE7" w:rsidP="00195BE7">
            <w:pPr>
              <w:spacing w:line="220" w:lineRule="exact"/>
              <w:jc w:val="right"/>
              <w:rPr>
                <w:b/>
                <w:bCs/>
                <w:color w:val="000000"/>
                <w:sz w:val="16"/>
                <w:szCs w:val="16"/>
              </w:rPr>
            </w:pPr>
            <w:r w:rsidRPr="001E2F6E">
              <w:rPr>
                <w:b/>
                <w:bCs/>
                <w:color w:val="000000"/>
                <w:sz w:val="16"/>
                <w:szCs w:val="16"/>
              </w:rPr>
              <w:t>409.192.251</w:t>
            </w:r>
          </w:p>
        </w:tc>
        <w:tc>
          <w:tcPr>
            <w:tcW w:w="460" w:type="pct"/>
            <w:tcBorders>
              <w:top w:val="nil"/>
              <w:left w:val="nil"/>
              <w:bottom w:val="single" w:sz="8" w:space="0" w:color="BFBFBF"/>
              <w:right w:val="single" w:sz="8" w:space="0" w:color="BFBFBF"/>
            </w:tcBorders>
            <w:shd w:val="clear" w:color="000000" w:fill="E6E6E6"/>
            <w:vAlign w:val="bottom"/>
            <w:hideMark/>
          </w:tcPr>
          <w:p w:rsidR="00195BE7" w:rsidRPr="001E2F6E" w:rsidRDefault="00195BE7" w:rsidP="00195BE7">
            <w:pPr>
              <w:spacing w:line="220" w:lineRule="exact"/>
              <w:jc w:val="right"/>
              <w:rPr>
                <w:b/>
                <w:bCs/>
                <w:color w:val="000000"/>
                <w:sz w:val="16"/>
                <w:szCs w:val="16"/>
              </w:rPr>
            </w:pPr>
            <w:r w:rsidRPr="001E2F6E">
              <w:rPr>
                <w:b/>
                <w:bCs/>
                <w:color w:val="000000"/>
                <w:sz w:val="16"/>
                <w:szCs w:val="16"/>
              </w:rPr>
              <w:t>0</w:t>
            </w:r>
          </w:p>
        </w:tc>
        <w:tc>
          <w:tcPr>
            <w:tcW w:w="600" w:type="pct"/>
            <w:tcBorders>
              <w:top w:val="nil"/>
              <w:left w:val="nil"/>
              <w:bottom w:val="single" w:sz="8" w:space="0" w:color="BFBFBF"/>
              <w:right w:val="single" w:sz="8" w:space="0" w:color="BFBFBF"/>
            </w:tcBorders>
            <w:shd w:val="clear" w:color="000000" w:fill="E6E6E6"/>
            <w:vAlign w:val="bottom"/>
            <w:hideMark/>
          </w:tcPr>
          <w:p w:rsidR="00195BE7" w:rsidRPr="001E2F6E" w:rsidRDefault="00195BE7" w:rsidP="00195BE7">
            <w:pPr>
              <w:spacing w:line="220" w:lineRule="exact"/>
              <w:jc w:val="right"/>
              <w:rPr>
                <w:b/>
                <w:bCs/>
                <w:color w:val="000000"/>
                <w:sz w:val="16"/>
                <w:szCs w:val="16"/>
              </w:rPr>
            </w:pPr>
            <w:r w:rsidRPr="001E2F6E">
              <w:rPr>
                <w:b/>
                <w:bCs/>
                <w:color w:val="000000"/>
                <w:sz w:val="16"/>
                <w:szCs w:val="16"/>
              </w:rPr>
              <w:t>317.564.900</w:t>
            </w:r>
          </w:p>
        </w:tc>
        <w:tc>
          <w:tcPr>
            <w:tcW w:w="683" w:type="pct"/>
            <w:tcBorders>
              <w:top w:val="nil"/>
              <w:left w:val="nil"/>
              <w:bottom w:val="single" w:sz="8" w:space="0" w:color="BFBFBF"/>
              <w:right w:val="single" w:sz="8" w:space="0" w:color="BFBFBF"/>
            </w:tcBorders>
            <w:shd w:val="clear" w:color="000000" w:fill="E6E6E6"/>
            <w:vAlign w:val="bottom"/>
            <w:hideMark/>
          </w:tcPr>
          <w:p w:rsidR="00195BE7" w:rsidRPr="001E2F6E" w:rsidRDefault="00195BE7" w:rsidP="00195BE7">
            <w:pPr>
              <w:spacing w:line="220" w:lineRule="exact"/>
              <w:jc w:val="right"/>
              <w:rPr>
                <w:b/>
                <w:bCs/>
                <w:color w:val="000000"/>
                <w:sz w:val="16"/>
                <w:szCs w:val="16"/>
              </w:rPr>
            </w:pPr>
            <w:r w:rsidRPr="001E2F6E">
              <w:rPr>
                <w:b/>
                <w:bCs/>
                <w:color w:val="000000"/>
                <w:sz w:val="16"/>
                <w:szCs w:val="16"/>
              </w:rPr>
              <w:t>25.108.646</w:t>
            </w:r>
          </w:p>
        </w:tc>
        <w:tc>
          <w:tcPr>
            <w:tcW w:w="672" w:type="pct"/>
            <w:tcBorders>
              <w:top w:val="nil"/>
              <w:left w:val="nil"/>
              <w:bottom w:val="single" w:sz="8" w:space="0" w:color="BFBFBF"/>
              <w:right w:val="single" w:sz="8" w:space="0" w:color="BFBFBF"/>
            </w:tcBorders>
            <w:shd w:val="clear" w:color="000000" w:fill="E6E6E6"/>
            <w:vAlign w:val="bottom"/>
            <w:hideMark/>
          </w:tcPr>
          <w:p w:rsidR="00195BE7" w:rsidRPr="001E2F6E" w:rsidRDefault="00195BE7" w:rsidP="00195BE7">
            <w:pPr>
              <w:spacing w:line="220" w:lineRule="exact"/>
              <w:jc w:val="right"/>
              <w:rPr>
                <w:b/>
                <w:bCs/>
                <w:color w:val="000000"/>
                <w:sz w:val="16"/>
                <w:szCs w:val="16"/>
              </w:rPr>
            </w:pPr>
            <w:r w:rsidRPr="001E2F6E">
              <w:rPr>
                <w:b/>
                <w:bCs/>
                <w:color w:val="000000"/>
                <w:sz w:val="16"/>
                <w:szCs w:val="16"/>
              </w:rPr>
              <w:t>66.518.704</w:t>
            </w:r>
          </w:p>
        </w:tc>
      </w:tr>
      <w:tr w:rsidR="00195BE7" w:rsidRPr="001E2F6E" w:rsidTr="00195BE7">
        <w:trPr>
          <w:jc w:val="center"/>
        </w:trPr>
        <w:tc>
          <w:tcPr>
            <w:tcW w:w="1985" w:type="pct"/>
            <w:tcBorders>
              <w:top w:val="nil"/>
              <w:left w:val="nil"/>
              <w:bottom w:val="nil"/>
              <w:right w:val="single" w:sz="8" w:space="0" w:color="BFBFBF"/>
            </w:tcBorders>
            <w:shd w:val="clear" w:color="auto" w:fill="auto"/>
            <w:vAlign w:val="bottom"/>
            <w:hideMark/>
          </w:tcPr>
          <w:p w:rsidR="00195BE7" w:rsidRPr="001E2F6E" w:rsidRDefault="00195BE7" w:rsidP="00195BE7">
            <w:pPr>
              <w:spacing w:line="220" w:lineRule="exact"/>
              <w:rPr>
                <w:b/>
                <w:bCs/>
                <w:sz w:val="16"/>
                <w:szCs w:val="16"/>
                <w:lang w:val="eu-ES"/>
              </w:rPr>
            </w:pPr>
            <w:r w:rsidRPr="001E2F6E">
              <w:rPr>
                <w:b/>
                <w:bCs/>
                <w:sz w:val="16"/>
                <w:szCs w:val="16"/>
                <w:lang w:val="eu-ES"/>
              </w:rPr>
              <w:t>GASTUAK</w:t>
            </w:r>
          </w:p>
        </w:tc>
        <w:tc>
          <w:tcPr>
            <w:tcW w:w="600" w:type="pct"/>
            <w:tcBorders>
              <w:top w:val="nil"/>
              <w:left w:val="nil"/>
              <w:bottom w:val="nil"/>
              <w:right w:val="single" w:sz="8" w:space="0" w:color="BFBFBF"/>
            </w:tcBorders>
            <w:shd w:val="clear" w:color="auto" w:fill="auto"/>
            <w:noWrap/>
            <w:vAlign w:val="bottom"/>
            <w:hideMark/>
          </w:tcPr>
          <w:p w:rsidR="00195BE7" w:rsidRPr="001E2F6E" w:rsidRDefault="00195BE7" w:rsidP="00195BE7">
            <w:pPr>
              <w:spacing w:line="220" w:lineRule="exact"/>
              <w:jc w:val="right"/>
              <w:rPr>
                <w:color w:val="000000"/>
                <w:sz w:val="16"/>
                <w:szCs w:val="16"/>
              </w:rPr>
            </w:pPr>
            <w:r w:rsidRPr="001E2F6E">
              <w:rPr>
                <w:color w:val="000000"/>
                <w:sz w:val="16"/>
                <w:szCs w:val="16"/>
              </w:rPr>
              <w:t> </w:t>
            </w:r>
          </w:p>
        </w:tc>
        <w:tc>
          <w:tcPr>
            <w:tcW w:w="460" w:type="pct"/>
            <w:tcBorders>
              <w:top w:val="nil"/>
              <w:left w:val="nil"/>
              <w:bottom w:val="nil"/>
              <w:right w:val="single" w:sz="8" w:space="0" w:color="BFBFBF"/>
            </w:tcBorders>
            <w:shd w:val="clear" w:color="auto" w:fill="auto"/>
            <w:vAlign w:val="bottom"/>
            <w:hideMark/>
          </w:tcPr>
          <w:p w:rsidR="00195BE7" w:rsidRPr="001E2F6E" w:rsidRDefault="00195BE7" w:rsidP="00195BE7">
            <w:pPr>
              <w:spacing w:line="220" w:lineRule="exact"/>
              <w:jc w:val="right"/>
              <w:rPr>
                <w:b/>
                <w:bCs/>
                <w:color w:val="000000"/>
                <w:sz w:val="16"/>
                <w:szCs w:val="16"/>
              </w:rPr>
            </w:pPr>
            <w:r w:rsidRPr="001E2F6E">
              <w:rPr>
                <w:b/>
                <w:bCs/>
                <w:color w:val="000000"/>
                <w:sz w:val="16"/>
                <w:szCs w:val="16"/>
              </w:rPr>
              <w:t> </w:t>
            </w:r>
          </w:p>
        </w:tc>
        <w:tc>
          <w:tcPr>
            <w:tcW w:w="600" w:type="pct"/>
            <w:tcBorders>
              <w:top w:val="nil"/>
              <w:left w:val="nil"/>
              <w:bottom w:val="nil"/>
              <w:right w:val="single" w:sz="8" w:space="0" w:color="BFBFBF"/>
            </w:tcBorders>
            <w:shd w:val="clear" w:color="auto" w:fill="auto"/>
            <w:vAlign w:val="bottom"/>
            <w:hideMark/>
          </w:tcPr>
          <w:p w:rsidR="00195BE7" w:rsidRPr="001E2F6E" w:rsidRDefault="00195BE7" w:rsidP="00195BE7">
            <w:pPr>
              <w:spacing w:line="220" w:lineRule="exact"/>
              <w:jc w:val="right"/>
              <w:rPr>
                <w:b/>
                <w:bCs/>
                <w:color w:val="000000"/>
                <w:sz w:val="16"/>
                <w:szCs w:val="16"/>
              </w:rPr>
            </w:pPr>
            <w:r w:rsidRPr="001E2F6E">
              <w:rPr>
                <w:b/>
                <w:bCs/>
                <w:color w:val="000000"/>
                <w:sz w:val="16"/>
                <w:szCs w:val="16"/>
              </w:rPr>
              <w:t> </w:t>
            </w:r>
          </w:p>
        </w:tc>
        <w:tc>
          <w:tcPr>
            <w:tcW w:w="683" w:type="pct"/>
            <w:tcBorders>
              <w:top w:val="nil"/>
              <w:left w:val="nil"/>
              <w:bottom w:val="nil"/>
              <w:right w:val="single" w:sz="8" w:space="0" w:color="BFBFBF"/>
            </w:tcBorders>
            <w:shd w:val="clear" w:color="auto" w:fill="auto"/>
            <w:vAlign w:val="bottom"/>
            <w:hideMark/>
          </w:tcPr>
          <w:p w:rsidR="00195BE7" w:rsidRPr="001E2F6E" w:rsidRDefault="00195BE7" w:rsidP="00195BE7">
            <w:pPr>
              <w:spacing w:line="220" w:lineRule="exact"/>
              <w:jc w:val="right"/>
              <w:rPr>
                <w:b/>
                <w:bCs/>
                <w:color w:val="000000"/>
                <w:sz w:val="16"/>
                <w:szCs w:val="16"/>
              </w:rPr>
            </w:pPr>
            <w:r w:rsidRPr="001E2F6E">
              <w:rPr>
                <w:b/>
                <w:bCs/>
                <w:color w:val="000000"/>
                <w:sz w:val="16"/>
                <w:szCs w:val="16"/>
              </w:rPr>
              <w:t> </w:t>
            </w:r>
          </w:p>
        </w:tc>
        <w:tc>
          <w:tcPr>
            <w:tcW w:w="672" w:type="pct"/>
            <w:tcBorders>
              <w:top w:val="nil"/>
              <w:left w:val="nil"/>
              <w:bottom w:val="nil"/>
              <w:right w:val="single" w:sz="8" w:space="0" w:color="BFBFBF"/>
            </w:tcBorders>
            <w:shd w:val="clear" w:color="auto" w:fill="auto"/>
            <w:noWrap/>
            <w:vAlign w:val="bottom"/>
            <w:hideMark/>
          </w:tcPr>
          <w:p w:rsidR="00195BE7" w:rsidRPr="001E2F6E" w:rsidRDefault="00195BE7" w:rsidP="00195BE7">
            <w:pPr>
              <w:spacing w:line="220" w:lineRule="exact"/>
              <w:jc w:val="right"/>
              <w:rPr>
                <w:color w:val="000000"/>
                <w:sz w:val="16"/>
                <w:szCs w:val="16"/>
              </w:rPr>
            </w:pPr>
            <w:r w:rsidRPr="001E2F6E">
              <w:rPr>
                <w:color w:val="000000"/>
                <w:sz w:val="16"/>
                <w:szCs w:val="16"/>
              </w:rPr>
              <w:t> </w:t>
            </w:r>
          </w:p>
        </w:tc>
      </w:tr>
      <w:tr w:rsidR="00195BE7" w:rsidRPr="001E2F6E" w:rsidTr="00195BE7">
        <w:trPr>
          <w:jc w:val="center"/>
        </w:trPr>
        <w:tc>
          <w:tcPr>
            <w:tcW w:w="1985" w:type="pct"/>
            <w:tcBorders>
              <w:top w:val="nil"/>
              <w:left w:val="nil"/>
              <w:bottom w:val="nil"/>
              <w:right w:val="single" w:sz="8" w:space="0" w:color="BFBFBF"/>
            </w:tcBorders>
            <w:shd w:val="clear" w:color="auto" w:fill="auto"/>
            <w:vAlign w:val="bottom"/>
            <w:hideMark/>
          </w:tcPr>
          <w:p w:rsidR="00195BE7" w:rsidRPr="001E2F6E" w:rsidRDefault="00195BE7" w:rsidP="00195BE7">
            <w:pPr>
              <w:spacing w:line="220" w:lineRule="exact"/>
              <w:rPr>
                <w:sz w:val="16"/>
                <w:szCs w:val="16"/>
                <w:lang w:val="eu-ES"/>
              </w:rPr>
            </w:pPr>
            <w:r w:rsidRPr="001E2F6E">
              <w:rPr>
                <w:sz w:val="16"/>
                <w:szCs w:val="16"/>
                <w:lang w:val="eu-ES"/>
              </w:rPr>
              <w:t>60 Erosketa garbiak</w:t>
            </w:r>
          </w:p>
        </w:tc>
        <w:tc>
          <w:tcPr>
            <w:tcW w:w="600" w:type="pct"/>
            <w:tcBorders>
              <w:top w:val="nil"/>
              <w:left w:val="nil"/>
              <w:bottom w:val="nil"/>
              <w:right w:val="single" w:sz="8" w:space="0" w:color="BFBFBF"/>
            </w:tcBorders>
            <w:shd w:val="clear" w:color="auto" w:fill="auto"/>
            <w:noWrap/>
            <w:vAlign w:val="bottom"/>
            <w:hideMark/>
          </w:tcPr>
          <w:p w:rsidR="00195BE7" w:rsidRPr="001E2F6E" w:rsidRDefault="00195BE7" w:rsidP="00195BE7">
            <w:pPr>
              <w:spacing w:line="220" w:lineRule="exact"/>
              <w:jc w:val="right"/>
              <w:rPr>
                <w:color w:val="000000"/>
                <w:sz w:val="16"/>
                <w:szCs w:val="16"/>
              </w:rPr>
            </w:pPr>
            <w:r w:rsidRPr="001E2F6E">
              <w:rPr>
                <w:color w:val="000000"/>
                <w:sz w:val="16"/>
                <w:szCs w:val="16"/>
              </w:rPr>
              <w:t>187.860.802</w:t>
            </w:r>
          </w:p>
        </w:tc>
        <w:tc>
          <w:tcPr>
            <w:tcW w:w="460" w:type="pct"/>
            <w:tcBorders>
              <w:top w:val="nil"/>
              <w:left w:val="nil"/>
              <w:bottom w:val="nil"/>
              <w:right w:val="single" w:sz="8" w:space="0" w:color="BFBFBF"/>
            </w:tcBorders>
            <w:shd w:val="clear" w:color="auto" w:fill="auto"/>
            <w:noWrap/>
            <w:vAlign w:val="bottom"/>
            <w:hideMark/>
          </w:tcPr>
          <w:p w:rsidR="00195BE7" w:rsidRPr="001E2F6E" w:rsidRDefault="00195BE7" w:rsidP="00195BE7">
            <w:pPr>
              <w:spacing w:line="220" w:lineRule="exact"/>
              <w:jc w:val="right"/>
              <w:rPr>
                <w:color w:val="000000"/>
                <w:sz w:val="16"/>
                <w:szCs w:val="16"/>
              </w:rPr>
            </w:pPr>
            <w:r w:rsidRPr="001E2F6E">
              <w:rPr>
                <w:color w:val="000000"/>
                <w:sz w:val="16"/>
                <w:szCs w:val="16"/>
              </w:rPr>
              <w:t> </w:t>
            </w:r>
          </w:p>
        </w:tc>
        <w:tc>
          <w:tcPr>
            <w:tcW w:w="600" w:type="pct"/>
            <w:tcBorders>
              <w:top w:val="nil"/>
              <w:left w:val="nil"/>
              <w:bottom w:val="nil"/>
              <w:right w:val="single" w:sz="8" w:space="0" w:color="BFBFBF"/>
            </w:tcBorders>
            <w:shd w:val="clear" w:color="auto" w:fill="auto"/>
            <w:noWrap/>
            <w:vAlign w:val="bottom"/>
            <w:hideMark/>
          </w:tcPr>
          <w:p w:rsidR="00195BE7" w:rsidRPr="001E2F6E" w:rsidRDefault="00195BE7" w:rsidP="00195BE7">
            <w:pPr>
              <w:spacing w:line="220" w:lineRule="exact"/>
              <w:jc w:val="right"/>
              <w:rPr>
                <w:color w:val="000000"/>
                <w:sz w:val="16"/>
                <w:szCs w:val="16"/>
              </w:rPr>
            </w:pPr>
            <w:r w:rsidRPr="001E2F6E">
              <w:rPr>
                <w:color w:val="000000"/>
                <w:sz w:val="16"/>
                <w:szCs w:val="16"/>
              </w:rPr>
              <w:t>148.794.191</w:t>
            </w:r>
          </w:p>
        </w:tc>
        <w:tc>
          <w:tcPr>
            <w:tcW w:w="683" w:type="pct"/>
            <w:tcBorders>
              <w:top w:val="nil"/>
              <w:left w:val="nil"/>
              <w:bottom w:val="nil"/>
              <w:right w:val="single" w:sz="8" w:space="0" w:color="BFBFBF"/>
            </w:tcBorders>
            <w:shd w:val="clear" w:color="auto" w:fill="auto"/>
            <w:noWrap/>
            <w:vAlign w:val="bottom"/>
            <w:hideMark/>
          </w:tcPr>
          <w:p w:rsidR="00195BE7" w:rsidRPr="001E2F6E" w:rsidRDefault="00195BE7" w:rsidP="00195BE7">
            <w:pPr>
              <w:spacing w:line="220" w:lineRule="exact"/>
              <w:jc w:val="right"/>
              <w:rPr>
                <w:color w:val="000000"/>
                <w:sz w:val="16"/>
                <w:szCs w:val="16"/>
              </w:rPr>
            </w:pPr>
            <w:r w:rsidRPr="001E2F6E">
              <w:rPr>
                <w:color w:val="000000"/>
                <w:sz w:val="16"/>
                <w:szCs w:val="16"/>
              </w:rPr>
              <w:t>15.565.919</w:t>
            </w:r>
          </w:p>
        </w:tc>
        <w:tc>
          <w:tcPr>
            <w:tcW w:w="672" w:type="pct"/>
            <w:tcBorders>
              <w:top w:val="nil"/>
              <w:left w:val="nil"/>
              <w:bottom w:val="nil"/>
              <w:right w:val="single" w:sz="8" w:space="0" w:color="BFBFBF"/>
            </w:tcBorders>
            <w:shd w:val="clear" w:color="auto" w:fill="auto"/>
            <w:noWrap/>
            <w:vAlign w:val="bottom"/>
            <w:hideMark/>
          </w:tcPr>
          <w:p w:rsidR="00195BE7" w:rsidRPr="001E2F6E" w:rsidRDefault="00195BE7" w:rsidP="00195BE7">
            <w:pPr>
              <w:spacing w:line="220" w:lineRule="exact"/>
              <w:jc w:val="right"/>
              <w:rPr>
                <w:color w:val="000000"/>
                <w:sz w:val="16"/>
                <w:szCs w:val="16"/>
              </w:rPr>
            </w:pPr>
            <w:r w:rsidRPr="001E2F6E">
              <w:rPr>
                <w:color w:val="000000"/>
                <w:sz w:val="16"/>
                <w:szCs w:val="16"/>
              </w:rPr>
              <w:t>23.500.692</w:t>
            </w:r>
          </w:p>
        </w:tc>
      </w:tr>
      <w:tr w:rsidR="00195BE7" w:rsidRPr="001E2F6E" w:rsidTr="00195BE7">
        <w:trPr>
          <w:jc w:val="center"/>
        </w:trPr>
        <w:tc>
          <w:tcPr>
            <w:tcW w:w="1985" w:type="pct"/>
            <w:tcBorders>
              <w:top w:val="nil"/>
              <w:left w:val="nil"/>
              <w:bottom w:val="nil"/>
              <w:right w:val="single" w:sz="8" w:space="0" w:color="BFBFBF"/>
            </w:tcBorders>
            <w:shd w:val="clear" w:color="auto" w:fill="auto"/>
            <w:vAlign w:val="bottom"/>
            <w:hideMark/>
          </w:tcPr>
          <w:p w:rsidR="00195BE7" w:rsidRPr="001E2F6E" w:rsidRDefault="00195BE7" w:rsidP="00195BE7">
            <w:pPr>
              <w:spacing w:line="220" w:lineRule="exact"/>
              <w:rPr>
                <w:sz w:val="16"/>
                <w:szCs w:val="16"/>
                <w:lang w:val="eu-ES"/>
              </w:rPr>
            </w:pPr>
            <w:r w:rsidRPr="001E2F6E">
              <w:rPr>
                <w:sz w:val="16"/>
                <w:szCs w:val="16"/>
                <w:lang w:val="eu-ES"/>
              </w:rPr>
              <w:t>61 Izakinen aldaketa</w:t>
            </w:r>
          </w:p>
        </w:tc>
        <w:tc>
          <w:tcPr>
            <w:tcW w:w="600" w:type="pct"/>
            <w:tcBorders>
              <w:top w:val="nil"/>
              <w:left w:val="nil"/>
              <w:bottom w:val="nil"/>
              <w:right w:val="single" w:sz="8" w:space="0" w:color="BFBFBF"/>
            </w:tcBorders>
            <w:shd w:val="clear" w:color="auto" w:fill="auto"/>
            <w:noWrap/>
            <w:vAlign w:val="bottom"/>
            <w:hideMark/>
          </w:tcPr>
          <w:p w:rsidR="00195BE7" w:rsidRPr="001E2F6E" w:rsidRDefault="00195BE7" w:rsidP="00195BE7">
            <w:pPr>
              <w:spacing w:line="220" w:lineRule="exact"/>
              <w:jc w:val="right"/>
              <w:rPr>
                <w:color w:val="000000"/>
                <w:sz w:val="16"/>
                <w:szCs w:val="16"/>
              </w:rPr>
            </w:pPr>
            <w:r w:rsidRPr="001E2F6E">
              <w:rPr>
                <w:color w:val="000000"/>
                <w:sz w:val="16"/>
                <w:szCs w:val="16"/>
              </w:rPr>
              <w:t>-83.806</w:t>
            </w:r>
          </w:p>
        </w:tc>
        <w:tc>
          <w:tcPr>
            <w:tcW w:w="460" w:type="pct"/>
            <w:tcBorders>
              <w:top w:val="nil"/>
              <w:left w:val="nil"/>
              <w:bottom w:val="nil"/>
              <w:right w:val="single" w:sz="8" w:space="0" w:color="BFBFBF"/>
            </w:tcBorders>
            <w:shd w:val="clear" w:color="auto" w:fill="auto"/>
            <w:noWrap/>
            <w:vAlign w:val="bottom"/>
            <w:hideMark/>
          </w:tcPr>
          <w:p w:rsidR="00195BE7" w:rsidRPr="001E2F6E" w:rsidRDefault="00195BE7" w:rsidP="00195BE7">
            <w:pPr>
              <w:spacing w:line="220" w:lineRule="exact"/>
              <w:jc w:val="right"/>
              <w:rPr>
                <w:color w:val="000000"/>
                <w:sz w:val="16"/>
                <w:szCs w:val="16"/>
              </w:rPr>
            </w:pPr>
            <w:r w:rsidRPr="001E2F6E">
              <w:rPr>
                <w:color w:val="000000"/>
                <w:sz w:val="16"/>
                <w:szCs w:val="16"/>
              </w:rPr>
              <w:t> </w:t>
            </w:r>
          </w:p>
        </w:tc>
        <w:tc>
          <w:tcPr>
            <w:tcW w:w="600" w:type="pct"/>
            <w:tcBorders>
              <w:top w:val="nil"/>
              <w:left w:val="nil"/>
              <w:bottom w:val="nil"/>
              <w:right w:val="single" w:sz="8" w:space="0" w:color="BFBFBF"/>
            </w:tcBorders>
            <w:shd w:val="clear" w:color="auto" w:fill="auto"/>
            <w:noWrap/>
            <w:vAlign w:val="bottom"/>
            <w:hideMark/>
          </w:tcPr>
          <w:p w:rsidR="00195BE7" w:rsidRPr="001E2F6E" w:rsidRDefault="00195BE7" w:rsidP="00195BE7">
            <w:pPr>
              <w:spacing w:line="220" w:lineRule="exact"/>
              <w:jc w:val="right"/>
              <w:rPr>
                <w:color w:val="000000"/>
                <w:sz w:val="16"/>
                <w:szCs w:val="16"/>
              </w:rPr>
            </w:pPr>
            <w:r w:rsidRPr="001E2F6E">
              <w:rPr>
                <w:color w:val="000000"/>
                <w:sz w:val="16"/>
                <w:szCs w:val="16"/>
              </w:rPr>
              <w:t>303.433</w:t>
            </w:r>
          </w:p>
        </w:tc>
        <w:tc>
          <w:tcPr>
            <w:tcW w:w="683" w:type="pct"/>
            <w:tcBorders>
              <w:top w:val="nil"/>
              <w:left w:val="nil"/>
              <w:bottom w:val="nil"/>
              <w:right w:val="single" w:sz="8" w:space="0" w:color="BFBFBF"/>
            </w:tcBorders>
            <w:shd w:val="clear" w:color="auto" w:fill="auto"/>
            <w:noWrap/>
            <w:vAlign w:val="bottom"/>
            <w:hideMark/>
          </w:tcPr>
          <w:p w:rsidR="00195BE7" w:rsidRPr="001E2F6E" w:rsidRDefault="00195BE7" w:rsidP="00195BE7">
            <w:pPr>
              <w:spacing w:line="220" w:lineRule="exact"/>
              <w:jc w:val="right"/>
              <w:rPr>
                <w:color w:val="000000"/>
                <w:sz w:val="16"/>
                <w:szCs w:val="16"/>
              </w:rPr>
            </w:pPr>
            <w:r w:rsidRPr="001E2F6E">
              <w:rPr>
                <w:color w:val="000000"/>
                <w:sz w:val="16"/>
                <w:szCs w:val="16"/>
              </w:rPr>
              <w:t>-462.810</w:t>
            </w:r>
          </w:p>
        </w:tc>
        <w:tc>
          <w:tcPr>
            <w:tcW w:w="672" w:type="pct"/>
            <w:tcBorders>
              <w:top w:val="nil"/>
              <w:left w:val="nil"/>
              <w:bottom w:val="nil"/>
              <w:right w:val="single" w:sz="8" w:space="0" w:color="BFBFBF"/>
            </w:tcBorders>
            <w:shd w:val="clear" w:color="auto" w:fill="auto"/>
            <w:noWrap/>
            <w:vAlign w:val="bottom"/>
            <w:hideMark/>
          </w:tcPr>
          <w:p w:rsidR="00195BE7" w:rsidRPr="001E2F6E" w:rsidRDefault="00195BE7" w:rsidP="00195BE7">
            <w:pPr>
              <w:spacing w:line="220" w:lineRule="exact"/>
              <w:jc w:val="right"/>
              <w:rPr>
                <w:color w:val="000000"/>
                <w:sz w:val="16"/>
                <w:szCs w:val="16"/>
              </w:rPr>
            </w:pPr>
            <w:r w:rsidRPr="001E2F6E">
              <w:rPr>
                <w:color w:val="000000"/>
                <w:sz w:val="16"/>
                <w:szCs w:val="16"/>
              </w:rPr>
              <w:t>75.572</w:t>
            </w:r>
          </w:p>
        </w:tc>
      </w:tr>
      <w:tr w:rsidR="00195BE7" w:rsidRPr="001E2F6E" w:rsidTr="00195BE7">
        <w:trPr>
          <w:jc w:val="center"/>
        </w:trPr>
        <w:tc>
          <w:tcPr>
            <w:tcW w:w="1985" w:type="pct"/>
            <w:tcBorders>
              <w:top w:val="nil"/>
              <w:left w:val="nil"/>
              <w:bottom w:val="nil"/>
              <w:right w:val="single" w:sz="8" w:space="0" w:color="BFBFBF"/>
            </w:tcBorders>
            <w:shd w:val="clear" w:color="auto" w:fill="auto"/>
            <w:vAlign w:val="bottom"/>
            <w:hideMark/>
          </w:tcPr>
          <w:p w:rsidR="00195BE7" w:rsidRPr="001E2F6E" w:rsidRDefault="00195BE7" w:rsidP="00195BE7">
            <w:pPr>
              <w:spacing w:line="220" w:lineRule="exact"/>
              <w:rPr>
                <w:sz w:val="16"/>
                <w:szCs w:val="16"/>
                <w:lang w:val="eu-ES"/>
              </w:rPr>
            </w:pPr>
            <w:r w:rsidRPr="001E2F6E">
              <w:rPr>
                <w:sz w:val="16"/>
                <w:szCs w:val="16"/>
                <w:lang w:val="eu-ES"/>
              </w:rPr>
              <w:t>62 Kanpoko zerbitzuak</w:t>
            </w:r>
          </w:p>
        </w:tc>
        <w:tc>
          <w:tcPr>
            <w:tcW w:w="600" w:type="pct"/>
            <w:tcBorders>
              <w:top w:val="nil"/>
              <w:left w:val="nil"/>
              <w:bottom w:val="nil"/>
              <w:right w:val="single" w:sz="8" w:space="0" w:color="BFBFBF"/>
            </w:tcBorders>
            <w:shd w:val="clear" w:color="auto" w:fill="auto"/>
            <w:noWrap/>
            <w:vAlign w:val="bottom"/>
            <w:hideMark/>
          </w:tcPr>
          <w:p w:rsidR="00195BE7" w:rsidRPr="001E2F6E" w:rsidRDefault="00195BE7" w:rsidP="00195BE7">
            <w:pPr>
              <w:spacing w:line="220" w:lineRule="exact"/>
              <w:jc w:val="right"/>
              <w:rPr>
                <w:color w:val="000000"/>
                <w:sz w:val="16"/>
                <w:szCs w:val="16"/>
              </w:rPr>
            </w:pPr>
            <w:r w:rsidRPr="001E2F6E">
              <w:rPr>
                <w:color w:val="000000"/>
                <w:sz w:val="16"/>
                <w:szCs w:val="16"/>
              </w:rPr>
              <w:t>60.177.705</w:t>
            </w:r>
          </w:p>
        </w:tc>
        <w:tc>
          <w:tcPr>
            <w:tcW w:w="460" w:type="pct"/>
            <w:tcBorders>
              <w:top w:val="nil"/>
              <w:left w:val="nil"/>
              <w:bottom w:val="nil"/>
              <w:right w:val="single" w:sz="8" w:space="0" w:color="BFBFBF"/>
            </w:tcBorders>
            <w:shd w:val="clear" w:color="auto" w:fill="auto"/>
            <w:noWrap/>
            <w:vAlign w:val="bottom"/>
            <w:hideMark/>
          </w:tcPr>
          <w:p w:rsidR="00195BE7" w:rsidRPr="001E2F6E" w:rsidRDefault="00195BE7" w:rsidP="00195BE7">
            <w:pPr>
              <w:spacing w:line="220" w:lineRule="exact"/>
              <w:jc w:val="right"/>
              <w:rPr>
                <w:color w:val="000000"/>
                <w:sz w:val="16"/>
                <w:szCs w:val="16"/>
              </w:rPr>
            </w:pPr>
            <w:r w:rsidRPr="001E2F6E">
              <w:rPr>
                <w:color w:val="000000"/>
                <w:sz w:val="16"/>
                <w:szCs w:val="16"/>
              </w:rPr>
              <w:t> </w:t>
            </w:r>
          </w:p>
        </w:tc>
        <w:tc>
          <w:tcPr>
            <w:tcW w:w="600" w:type="pct"/>
            <w:tcBorders>
              <w:top w:val="nil"/>
              <w:left w:val="nil"/>
              <w:bottom w:val="nil"/>
              <w:right w:val="single" w:sz="8" w:space="0" w:color="BFBFBF"/>
            </w:tcBorders>
            <w:shd w:val="clear" w:color="auto" w:fill="auto"/>
            <w:noWrap/>
            <w:vAlign w:val="bottom"/>
            <w:hideMark/>
          </w:tcPr>
          <w:p w:rsidR="00195BE7" w:rsidRPr="001E2F6E" w:rsidRDefault="00195BE7" w:rsidP="00195BE7">
            <w:pPr>
              <w:spacing w:line="220" w:lineRule="exact"/>
              <w:jc w:val="right"/>
              <w:rPr>
                <w:color w:val="000000"/>
                <w:sz w:val="16"/>
                <w:szCs w:val="16"/>
              </w:rPr>
            </w:pPr>
            <w:r w:rsidRPr="001E2F6E">
              <w:rPr>
                <w:color w:val="000000"/>
                <w:sz w:val="16"/>
                <w:szCs w:val="16"/>
              </w:rPr>
              <w:t>45.879.880</w:t>
            </w:r>
          </w:p>
        </w:tc>
        <w:tc>
          <w:tcPr>
            <w:tcW w:w="683" w:type="pct"/>
            <w:tcBorders>
              <w:top w:val="nil"/>
              <w:left w:val="nil"/>
              <w:bottom w:val="nil"/>
              <w:right w:val="single" w:sz="8" w:space="0" w:color="BFBFBF"/>
            </w:tcBorders>
            <w:shd w:val="clear" w:color="auto" w:fill="auto"/>
            <w:noWrap/>
            <w:vAlign w:val="bottom"/>
            <w:hideMark/>
          </w:tcPr>
          <w:p w:rsidR="00195BE7" w:rsidRPr="001E2F6E" w:rsidRDefault="00195BE7" w:rsidP="00195BE7">
            <w:pPr>
              <w:spacing w:line="220" w:lineRule="exact"/>
              <w:jc w:val="right"/>
              <w:rPr>
                <w:color w:val="000000"/>
                <w:sz w:val="16"/>
                <w:szCs w:val="16"/>
              </w:rPr>
            </w:pPr>
            <w:r w:rsidRPr="001E2F6E">
              <w:rPr>
                <w:color w:val="000000"/>
                <w:sz w:val="16"/>
                <w:szCs w:val="16"/>
              </w:rPr>
              <w:t>3.151.705</w:t>
            </w:r>
          </w:p>
        </w:tc>
        <w:tc>
          <w:tcPr>
            <w:tcW w:w="672" w:type="pct"/>
            <w:tcBorders>
              <w:top w:val="nil"/>
              <w:left w:val="nil"/>
              <w:bottom w:val="nil"/>
              <w:right w:val="single" w:sz="8" w:space="0" w:color="BFBFBF"/>
            </w:tcBorders>
            <w:shd w:val="clear" w:color="auto" w:fill="auto"/>
            <w:noWrap/>
            <w:vAlign w:val="bottom"/>
            <w:hideMark/>
          </w:tcPr>
          <w:p w:rsidR="00195BE7" w:rsidRPr="001E2F6E" w:rsidRDefault="00195BE7" w:rsidP="00195BE7">
            <w:pPr>
              <w:spacing w:line="220" w:lineRule="exact"/>
              <w:jc w:val="right"/>
              <w:rPr>
                <w:color w:val="000000"/>
                <w:sz w:val="16"/>
                <w:szCs w:val="16"/>
              </w:rPr>
            </w:pPr>
            <w:r w:rsidRPr="001E2F6E">
              <w:rPr>
                <w:color w:val="000000"/>
                <w:sz w:val="16"/>
                <w:szCs w:val="16"/>
              </w:rPr>
              <w:t>11.146.120</w:t>
            </w:r>
          </w:p>
        </w:tc>
      </w:tr>
      <w:tr w:rsidR="00195BE7" w:rsidRPr="001E2F6E" w:rsidTr="00195BE7">
        <w:trPr>
          <w:jc w:val="center"/>
        </w:trPr>
        <w:tc>
          <w:tcPr>
            <w:tcW w:w="1985" w:type="pct"/>
            <w:tcBorders>
              <w:top w:val="nil"/>
              <w:left w:val="nil"/>
              <w:bottom w:val="nil"/>
              <w:right w:val="single" w:sz="8" w:space="0" w:color="BFBFBF"/>
            </w:tcBorders>
            <w:shd w:val="clear" w:color="auto" w:fill="auto"/>
            <w:vAlign w:val="bottom"/>
            <w:hideMark/>
          </w:tcPr>
          <w:p w:rsidR="00195BE7" w:rsidRPr="001E2F6E" w:rsidRDefault="00195BE7" w:rsidP="00195BE7">
            <w:pPr>
              <w:spacing w:line="220" w:lineRule="exact"/>
              <w:rPr>
                <w:sz w:val="16"/>
                <w:szCs w:val="16"/>
                <w:lang w:val="eu-ES"/>
              </w:rPr>
            </w:pPr>
            <w:r w:rsidRPr="001E2F6E">
              <w:rPr>
                <w:sz w:val="16"/>
                <w:szCs w:val="16"/>
                <w:lang w:val="eu-ES"/>
              </w:rPr>
              <w:t>63 Jarduerari lotutako zergak</w:t>
            </w:r>
          </w:p>
        </w:tc>
        <w:tc>
          <w:tcPr>
            <w:tcW w:w="600" w:type="pct"/>
            <w:tcBorders>
              <w:top w:val="nil"/>
              <w:left w:val="nil"/>
              <w:bottom w:val="nil"/>
              <w:right w:val="single" w:sz="8" w:space="0" w:color="BFBFBF"/>
            </w:tcBorders>
            <w:shd w:val="clear" w:color="auto" w:fill="auto"/>
            <w:noWrap/>
            <w:vAlign w:val="bottom"/>
            <w:hideMark/>
          </w:tcPr>
          <w:p w:rsidR="00195BE7" w:rsidRPr="001E2F6E" w:rsidRDefault="00195BE7" w:rsidP="00195BE7">
            <w:pPr>
              <w:spacing w:line="220" w:lineRule="exact"/>
              <w:jc w:val="right"/>
              <w:rPr>
                <w:color w:val="000000"/>
                <w:sz w:val="16"/>
                <w:szCs w:val="16"/>
              </w:rPr>
            </w:pPr>
            <w:r w:rsidRPr="001E2F6E">
              <w:rPr>
                <w:color w:val="000000"/>
                <w:sz w:val="16"/>
                <w:szCs w:val="16"/>
              </w:rPr>
              <w:t>1.125.818</w:t>
            </w:r>
          </w:p>
        </w:tc>
        <w:tc>
          <w:tcPr>
            <w:tcW w:w="460" w:type="pct"/>
            <w:tcBorders>
              <w:top w:val="nil"/>
              <w:left w:val="nil"/>
              <w:bottom w:val="nil"/>
              <w:right w:val="single" w:sz="8" w:space="0" w:color="BFBFBF"/>
            </w:tcBorders>
            <w:shd w:val="clear" w:color="auto" w:fill="auto"/>
            <w:noWrap/>
            <w:vAlign w:val="bottom"/>
            <w:hideMark/>
          </w:tcPr>
          <w:p w:rsidR="00195BE7" w:rsidRPr="001E2F6E" w:rsidRDefault="00195BE7" w:rsidP="00195BE7">
            <w:pPr>
              <w:spacing w:line="220" w:lineRule="exact"/>
              <w:jc w:val="right"/>
              <w:rPr>
                <w:color w:val="000000"/>
                <w:sz w:val="16"/>
                <w:szCs w:val="16"/>
              </w:rPr>
            </w:pPr>
            <w:r w:rsidRPr="001E2F6E">
              <w:rPr>
                <w:color w:val="000000"/>
                <w:sz w:val="16"/>
                <w:szCs w:val="16"/>
              </w:rPr>
              <w:t> </w:t>
            </w:r>
          </w:p>
        </w:tc>
        <w:tc>
          <w:tcPr>
            <w:tcW w:w="600" w:type="pct"/>
            <w:tcBorders>
              <w:top w:val="nil"/>
              <w:left w:val="nil"/>
              <w:bottom w:val="nil"/>
              <w:right w:val="single" w:sz="8" w:space="0" w:color="BFBFBF"/>
            </w:tcBorders>
            <w:shd w:val="clear" w:color="auto" w:fill="auto"/>
            <w:noWrap/>
            <w:vAlign w:val="bottom"/>
            <w:hideMark/>
          </w:tcPr>
          <w:p w:rsidR="00195BE7" w:rsidRPr="001E2F6E" w:rsidRDefault="00195BE7" w:rsidP="00195BE7">
            <w:pPr>
              <w:spacing w:line="220" w:lineRule="exact"/>
              <w:jc w:val="right"/>
              <w:rPr>
                <w:color w:val="000000"/>
                <w:sz w:val="16"/>
                <w:szCs w:val="16"/>
              </w:rPr>
            </w:pPr>
            <w:r w:rsidRPr="001E2F6E">
              <w:rPr>
                <w:color w:val="000000"/>
                <w:sz w:val="16"/>
                <w:szCs w:val="16"/>
              </w:rPr>
              <w:t>492.133</w:t>
            </w:r>
          </w:p>
        </w:tc>
        <w:tc>
          <w:tcPr>
            <w:tcW w:w="683" w:type="pct"/>
            <w:tcBorders>
              <w:top w:val="nil"/>
              <w:left w:val="nil"/>
              <w:bottom w:val="nil"/>
              <w:right w:val="single" w:sz="8" w:space="0" w:color="BFBFBF"/>
            </w:tcBorders>
            <w:shd w:val="clear" w:color="auto" w:fill="auto"/>
            <w:noWrap/>
            <w:vAlign w:val="bottom"/>
            <w:hideMark/>
          </w:tcPr>
          <w:p w:rsidR="00195BE7" w:rsidRPr="001E2F6E" w:rsidRDefault="00195BE7" w:rsidP="00195BE7">
            <w:pPr>
              <w:spacing w:line="220" w:lineRule="exact"/>
              <w:jc w:val="right"/>
              <w:rPr>
                <w:color w:val="000000"/>
                <w:sz w:val="16"/>
                <w:szCs w:val="16"/>
              </w:rPr>
            </w:pPr>
            <w:r w:rsidRPr="001E2F6E">
              <w:rPr>
                <w:color w:val="000000"/>
                <w:sz w:val="16"/>
                <w:szCs w:val="16"/>
              </w:rPr>
              <w:t>36.174</w:t>
            </w:r>
          </w:p>
        </w:tc>
        <w:tc>
          <w:tcPr>
            <w:tcW w:w="672" w:type="pct"/>
            <w:tcBorders>
              <w:top w:val="nil"/>
              <w:left w:val="nil"/>
              <w:bottom w:val="nil"/>
              <w:right w:val="single" w:sz="8" w:space="0" w:color="BFBFBF"/>
            </w:tcBorders>
            <w:shd w:val="clear" w:color="auto" w:fill="auto"/>
            <w:noWrap/>
            <w:vAlign w:val="bottom"/>
            <w:hideMark/>
          </w:tcPr>
          <w:p w:rsidR="00195BE7" w:rsidRPr="001E2F6E" w:rsidRDefault="00195BE7" w:rsidP="00195BE7">
            <w:pPr>
              <w:spacing w:line="220" w:lineRule="exact"/>
              <w:jc w:val="right"/>
              <w:rPr>
                <w:color w:val="000000"/>
                <w:sz w:val="16"/>
                <w:szCs w:val="16"/>
              </w:rPr>
            </w:pPr>
            <w:r w:rsidRPr="001E2F6E">
              <w:rPr>
                <w:color w:val="000000"/>
                <w:sz w:val="16"/>
                <w:szCs w:val="16"/>
              </w:rPr>
              <w:t>597.511</w:t>
            </w:r>
          </w:p>
        </w:tc>
      </w:tr>
      <w:tr w:rsidR="00195BE7" w:rsidRPr="001E2F6E" w:rsidTr="00195BE7">
        <w:trPr>
          <w:jc w:val="center"/>
        </w:trPr>
        <w:tc>
          <w:tcPr>
            <w:tcW w:w="1985" w:type="pct"/>
            <w:tcBorders>
              <w:top w:val="nil"/>
              <w:left w:val="nil"/>
              <w:bottom w:val="nil"/>
              <w:right w:val="single" w:sz="8" w:space="0" w:color="BFBFBF"/>
            </w:tcBorders>
            <w:shd w:val="clear" w:color="auto" w:fill="auto"/>
            <w:vAlign w:val="bottom"/>
            <w:hideMark/>
          </w:tcPr>
          <w:p w:rsidR="00195BE7" w:rsidRPr="001E2F6E" w:rsidRDefault="00195BE7" w:rsidP="00195BE7">
            <w:pPr>
              <w:spacing w:line="220" w:lineRule="exact"/>
              <w:rPr>
                <w:sz w:val="16"/>
                <w:szCs w:val="16"/>
                <w:lang w:val="eu-ES"/>
              </w:rPr>
            </w:pPr>
            <w:r w:rsidRPr="001E2F6E">
              <w:rPr>
                <w:sz w:val="16"/>
                <w:szCs w:val="16"/>
                <w:lang w:val="eu-ES"/>
              </w:rPr>
              <w:t>64 Pertsonal-gastuak</w:t>
            </w:r>
          </w:p>
        </w:tc>
        <w:tc>
          <w:tcPr>
            <w:tcW w:w="600" w:type="pct"/>
            <w:tcBorders>
              <w:top w:val="nil"/>
              <w:left w:val="nil"/>
              <w:bottom w:val="nil"/>
              <w:right w:val="single" w:sz="8" w:space="0" w:color="BFBFBF"/>
            </w:tcBorders>
            <w:shd w:val="clear" w:color="auto" w:fill="auto"/>
            <w:noWrap/>
            <w:vAlign w:val="bottom"/>
            <w:hideMark/>
          </w:tcPr>
          <w:p w:rsidR="00195BE7" w:rsidRPr="001E2F6E" w:rsidRDefault="00195BE7" w:rsidP="00195BE7">
            <w:pPr>
              <w:spacing w:line="220" w:lineRule="exact"/>
              <w:jc w:val="right"/>
              <w:rPr>
                <w:color w:val="000000"/>
                <w:sz w:val="16"/>
                <w:szCs w:val="16"/>
              </w:rPr>
            </w:pPr>
            <w:r w:rsidRPr="001E2F6E">
              <w:rPr>
                <w:color w:val="000000"/>
                <w:sz w:val="16"/>
                <w:szCs w:val="16"/>
              </w:rPr>
              <w:t>140.547.809</w:t>
            </w:r>
          </w:p>
        </w:tc>
        <w:tc>
          <w:tcPr>
            <w:tcW w:w="460" w:type="pct"/>
            <w:tcBorders>
              <w:top w:val="nil"/>
              <w:left w:val="nil"/>
              <w:bottom w:val="nil"/>
              <w:right w:val="single" w:sz="8" w:space="0" w:color="BFBFBF"/>
            </w:tcBorders>
            <w:shd w:val="clear" w:color="auto" w:fill="auto"/>
            <w:noWrap/>
            <w:vAlign w:val="bottom"/>
            <w:hideMark/>
          </w:tcPr>
          <w:p w:rsidR="00195BE7" w:rsidRPr="001E2F6E" w:rsidRDefault="00195BE7" w:rsidP="00195BE7">
            <w:pPr>
              <w:spacing w:line="220" w:lineRule="exact"/>
              <w:jc w:val="right"/>
              <w:rPr>
                <w:color w:val="000000"/>
                <w:sz w:val="16"/>
                <w:szCs w:val="16"/>
              </w:rPr>
            </w:pPr>
            <w:r w:rsidRPr="001E2F6E">
              <w:rPr>
                <w:color w:val="000000"/>
                <w:sz w:val="16"/>
                <w:szCs w:val="16"/>
              </w:rPr>
              <w:t> </w:t>
            </w:r>
          </w:p>
        </w:tc>
        <w:tc>
          <w:tcPr>
            <w:tcW w:w="600" w:type="pct"/>
            <w:tcBorders>
              <w:top w:val="nil"/>
              <w:left w:val="nil"/>
              <w:bottom w:val="nil"/>
              <w:right w:val="single" w:sz="8" w:space="0" w:color="BFBFBF"/>
            </w:tcBorders>
            <w:shd w:val="clear" w:color="auto" w:fill="auto"/>
            <w:noWrap/>
            <w:vAlign w:val="bottom"/>
            <w:hideMark/>
          </w:tcPr>
          <w:p w:rsidR="00195BE7" w:rsidRPr="001E2F6E" w:rsidRDefault="00195BE7" w:rsidP="00195BE7">
            <w:pPr>
              <w:spacing w:line="220" w:lineRule="exact"/>
              <w:jc w:val="right"/>
              <w:rPr>
                <w:color w:val="000000"/>
                <w:sz w:val="16"/>
                <w:szCs w:val="16"/>
              </w:rPr>
            </w:pPr>
            <w:r w:rsidRPr="001E2F6E">
              <w:rPr>
                <w:color w:val="000000"/>
                <w:sz w:val="16"/>
                <w:szCs w:val="16"/>
              </w:rPr>
              <w:t>105.954.917</w:t>
            </w:r>
          </w:p>
        </w:tc>
        <w:tc>
          <w:tcPr>
            <w:tcW w:w="683" w:type="pct"/>
            <w:tcBorders>
              <w:top w:val="nil"/>
              <w:left w:val="nil"/>
              <w:bottom w:val="nil"/>
              <w:right w:val="single" w:sz="8" w:space="0" w:color="BFBFBF"/>
            </w:tcBorders>
            <w:shd w:val="clear" w:color="auto" w:fill="auto"/>
            <w:noWrap/>
            <w:vAlign w:val="bottom"/>
            <w:hideMark/>
          </w:tcPr>
          <w:p w:rsidR="00195BE7" w:rsidRPr="001E2F6E" w:rsidRDefault="00195BE7" w:rsidP="00195BE7">
            <w:pPr>
              <w:spacing w:line="220" w:lineRule="exact"/>
              <w:jc w:val="right"/>
              <w:rPr>
                <w:color w:val="000000"/>
                <w:sz w:val="16"/>
                <w:szCs w:val="16"/>
              </w:rPr>
            </w:pPr>
            <w:r w:rsidRPr="001E2F6E">
              <w:rPr>
                <w:color w:val="000000"/>
                <w:sz w:val="16"/>
                <w:szCs w:val="16"/>
              </w:rPr>
              <w:t>6.690.179</w:t>
            </w:r>
          </w:p>
        </w:tc>
        <w:tc>
          <w:tcPr>
            <w:tcW w:w="672" w:type="pct"/>
            <w:tcBorders>
              <w:top w:val="nil"/>
              <w:left w:val="nil"/>
              <w:bottom w:val="nil"/>
              <w:right w:val="single" w:sz="8" w:space="0" w:color="BFBFBF"/>
            </w:tcBorders>
            <w:shd w:val="clear" w:color="auto" w:fill="auto"/>
            <w:noWrap/>
            <w:vAlign w:val="bottom"/>
            <w:hideMark/>
          </w:tcPr>
          <w:p w:rsidR="00195BE7" w:rsidRPr="001E2F6E" w:rsidRDefault="00195BE7" w:rsidP="00195BE7">
            <w:pPr>
              <w:spacing w:line="220" w:lineRule="exact"/>
              <w:jc w:val="right"/>
              <w:rPr>
                <w:color w:val="000000"/>
                <w:sz w:val="16"/>
                <w:szCs w:val="16"/>
              </w:rPr>
            </w:pPr>
            <w:r w:rsidRPr="001E2F6E">
              <w:rPr>
                <w:color w:val="000000"/>
                <w:sz w:val="16"/>
                <w:szCs w:val="16"/>
              </w:rPr>
              <w:t>27.902.713</w:t>
            </w:r>
          </w:p>
        </w:tc>
      </w:tr>
      <w:tr w:rsidR="00195BE7" w:rsidRPr="001E2F6E" w:rsidTr="00195BE7">
        <w:trPr>
          <w:jc w:val="center"/>
        </w:trPr>
        <w:tc>
          <w:tcPr>
            <w:tcW w:w="1985" w:type="pct"/>
            <w:tcBorders>
              <w:top w:val="nil"/>
              <w:left w:val="nil"/>
              <w:bottom w:val="nil"/>
              <w:right w:val="single" w:sz="8" w:space="0" w:color="BFBFBF"/>
            </w:tcBorders>
            <w:shd w:val="clear" w:color="auto" w:fill="auto"/>
            <w:vAlign w:val="bottom"/>
            <w:hideMark/>
          </w:tcPr>
          <w:p w:rsidR="00195BE7" w:rsidRPr="001E2F6E" w:rsidRDefault="00195BE7" w:rsidP="00195BE7">
            <w:pPr>
              <w:spacing w:line="220" w:lineRule="exact"/>
              <w:rPr>
                <w:sz w:val="16"/>
                <w:szCs w:val="16"/>
                <w:lang w:val="eu-ES"/>
              </w:rPr>
            </w:pPr>
            <w:r w:rsidRPr="001E2F6E">
              <w:rPr>
                <w:sz w:val="16"/>
                <w:szCs w:val="16"/>
                <w:lang w:val="eu-ES"/>
              </w:rPr>
              <w:t>65 Kudeaketa-gastuak</w:t>
            </w:r>
          </w:p>
        </w:tc>
        <w:tc>
          <w:tcPr>
            <w:tcW w:w="600" w:type="pct"/>
            <w:tcBorders>
              <w:top w:val="nil"/>
              <w:left w:val="nil"/>
              <w:bottom w:val="nil"/>
              <w:right w:val="single" w:sz="8" w:space="0" w:color="BFBFBF"/>
            </w:tcBorders>
            <w:shd w:val="clear" w:color="auto" w:fill="auto"/>
            <w:noWrap/>
            <w:vAlign w:val="bottom"/>
            <w:hideMark/>
          </w:tcPr>
          <w:p w:rsidR="00195BE7" w:rsidRPr="001E2F6E" w:rsidRDefault="00195BE7" w:rsidP="00195BE7">
            <w:pPr>
              <w:spacing w:line="220" w:lineRule="exact"/>
              <w:jc w:val="right"/>
              <w:rPr>
                <w:color w:val="000000"/>
                <w:sz w:val="16"/>
                <w:szCs w:val="16"/>
              </w:rPr>
            </w:pPr>
            <w:r w:rsidRPr="001E2F6E">
              <w:rPr>
                <w:color w:val="000000"/>
                <w:sz w:val="16"/>
                <w:szCs w:val="16"/>
              </w:rPr>
              <w:t>944.561</w:t>
            </w:r>
          </w:p>
        </w:tc>
        <w:tc>
          <w:tcPr>
            <w:tcW w:w="460" w:type="pct"/>
            <w:tcBorders>
              <w:top w:val="nil"/>
              <w:left w:val="nil"/>
              <w:bottom w:val="nil"/>
              <w:right w:val="single" w:sz="8" w:space="0" w:color="BFBFBF"/>
            </w:tcBorders>
            <w:shd w:val="clear" w:color="auto" w:fill="auto"/>
            <w:noWrap/>
            <w:vAlign w:val="bottom"/>
            <w:hideMark/>
          </w:tcPr>
          <w:p w:rsidR="00195BE7" w:rsidRPr="001E2F6E" w:rsidRDefault="00195BE7" w:rsidP="00195BE7">
            <w:pPr>
              <w:spacing w:line="220" w:lineRule="exact"/>
              <w:jc w:val="right"/>
              <w:rPr>
                <w:color w:val="000000"/>
                <w:sz w:val="16"/>
                <w:szCs w:val="16"/>
              </w:rPr>
            </w:pPr>
            <w:r w:rsidRPr="001E2F6E">
              <w:rPr>
                <w:color w:val="000000"/>
                <w:sz w:val="16"/>
                <w:szCs w:val="16"/>
              </w:rPr>
              <w:t> </w:t>
            </w:r>
          </w:p>
        </w:tc>
        <w:tc>
          <w:tcPr>
            <w:tcW w:w="600" w:type="pct"/>
            <w:tcBorders>
              <w:top w:val="nil"/>
              <w:left w:val="nil"/>
              <w:bottom w:val="nil"/>
              <w:right w:val="single" w:sz="8" w:space="0" w:color="BFBFBF"/>
            </w:tcBorders>
            <w:shd w:val="clear" w:color="auto" w:fill="auto"/>
            <w:noWrap/>
            <w:vAlign w:val="bottom"/>
            <w:hideMark/>
          </w:tcPr>
          <w:p w:rsidR="00195BE7" w:rsidRPr="001E2F6E" w:rsidRDefault="00195BE7" w:rsidP="00195BE7">
            <w:pPr>
              <w:spacing w:line="220" w:lineRule="exact"/>
              <w:jc w:val="right"/>
              <w:rPr>
                <w:color w:val="000000"/>
                <w:sz w:val="16"/>
                <w:szCs w:val="16"/>
              </w:rPr>
            </w:pPr>
            <w:r w:rsidRPr="001E2F6E">
              <w:rPr>
                <w:color w:val="000000"/>
                <w:sz w:val="16"/>
                <w:szCs w:val="16"/>
              </w:rPr>
              <w:t>540.194</w:t>
            </w:r>
          </w:p>
        </w:tc>
        <w:tc>
          <w:tcPr>
            <w:tcW w:w="683" w:type="pct"/>
            <w:tcBorders>
              <w:top w:val="nil"/>
              <w:left w:val="nil"/>
              <w:bottom w:val="nil"/>
              <w:right w:val="single" w:sz="8" w:space="0" w:color="BFBFBF"/>
            </w:tcBorders>
            <w:shd w:val="clear" w:color="auto" w:fill="auto"/>
            <w:noWrap/>
            <w:vAlign w:val="bottom"/>
            <w:hideMark/>
          </w:tcPr>
          <w:p w:rsidR="00195BE7" w:rsidRPr="001E2F6E" w:rsidRDefault="00195BE7" w:rsidP="00195BE7">
            <w:pPr>
              <w:spacing w:line="220" w:lineRule="exact"/>
              <w:jc w:val="right"/>
              <w:rPr>
                <w:color w:val="000000"/>
                <w:sz w:val="16"/>
                <w:szCs w:val="16"/>
              </w:rPr>
            </w:pPr>
            <w:r w:rsidRPr="001E2F6E">
              <w:rPr>
                <w:color w:val="000000"/>
                <w:sz w:val="16"/>
                <w:szCs w:val="16"/>
              </w:rPr>
              <w:t>126.921</w:t>
            </w:r>
          </w:p>
        </w:tc>
        <w:tc>
          <w:tcPr>
            <w:tcW w:w="672" w:type="pct"/>
            <w:tcBorders>
              <w:top w:val="nil"/>
              <w:left w:val="nil"/>
              <w:bottom w:val="nil"/>
              <w:right w:val="single" w:sz="8" w:space="0" w:color="BFBFBF"/>
            </w:tcBorders>
            <w:shd w:val="clear" w:color="auto" w:fill="auto"/>
            <w:noWrap/>
            <w:vAlign w:val="bottom"/>
            <w:hideMark/>
          </w:tcPr>
          <w:p w:rsidR="00195BE7" w:rsidRPr="001E2F6E" w:rsidRDefault="00195BE7" w:rsidP="00195BE7">
            <w:pPr>
              <w:spacing w:line="220" w:lineRule="exact"/>
              <w:jc w:val="right"/>
              <w:rPr>
                <w:color w:val="000000"/>
                <w:sz w:val="16"/>
                <w:szCs w:val="16"/>
              </w:rPr>
            </w:pPr>
            <w:r w:rsidRPr="001E2F6E">
              <w:rPr>
                <w:color w:val="000000"/>
                <w:sz w:val="16"/>
                <w:szCs w:val="16"/>
              </w:rPr>
              <w:t>277.446</w:t>
            </w:r>
          </w:p>
        </w:tc>
      </w:tr>
      <w:tr w:rsidR="00195BE7" w:rsidRPr="001E2F6E" w:rsidTr="00195BE7">
        <w:trPr>
          <w:jc w:val="center"/>
        </w:trPr>
        <w:tc>
          <w:tcPr>
            <w:tcW w:w="1985" w:type="pct"/>
            <w:tcBorders>
              <w:top w:val="nil"/>
              <w:left w:val="nil"/>
              <w:bottom w:val="nil"/>
              <w:right w:val="single" w:sz="8" w:space="0" w:color="BFBFBF"/>
            </w:tcBorders>
            <w:shd w:val="clear" w:color="auto" w:fill="auto"/>
            <w:vAlign w:val="bottom"/>
            <w:hideMark/>
          </w:tcPr>
          <w:p w:rsidR="00195BE7" w:rsidRPr="001E2F6E" w:rsidRDefault="00195BE7" w:rsidP="00195BE7">
            <w:pPr>
              <w:spacing w:line="220" w:lineRule="exact"/>
              <w:rPr>
                <w:sz w:val="16"/>
                <w:szCs w:val="16"/>
                <w:lang w:val="eu-ES"/>
              </w:rPr>
            </w:pPr>
            <w:r w:rsidRPr="001E2F6E">
              <w:rPr>
                <w:sz w:val="16"/>
                <w:szCs w:val="16"/>
                <w:lang w:val="eu-ES"/>
              </w:rPr>
              <w:t>66 Finantza-gastuak</w:t>
            </w:r>
          </w:p>
        </w:tc>
        <w:tc>
          <w:tcPr>
            <w:tcW w:w="600" w:type="pct"/>
            <w:tcBorders>
              <w:top w:val="nil"/>
              <w:left w:val="nil"/>
              <w:bottom w:val="nil"/>
              <w:right w:val="single" w:sz="8" w:space="0" w:color="BFBFBF"/>
            </w:tcBorders>
            <w:shd w:val="clear" w:color="auto" w:fill="auto"/>
            <w:noWrap/>
            <w:vAlign w:val="bottom"/>
            <w:hideMark/>
          </w:tcPr>
          <w:p w:rsidR="00195BE7" w:rsidRPr="001E2F6E" w:rsidRDefault="00195BE7" w:rsidP="00195BE7">
            <w:pPr>
              <w:spacing w:line="220" w:lineRule="exact"/>
              <w:jc w:val="right"/>
              <w:rPr>
                <w:color w:val="000000"/>
                <w:sz w:val="16"/>
                <w:szCs w:val="16"/>
              </w:rPr>
            </w:pPr>
            <w:r w:rsidRPr="001E2F6E">
              <w:rPr>
                <w:color w:val="000000"/>
                <w:sz w:val="16"/>
                <w:szCs w:val="16"/>
              </w:rPr>
              <w:t>3.467.257</w:t>
            </w:r>
          </w:p>
        </w:tc>
        <w:tc>
          <w:tcPr>
            <w:tcW w:w="460" w:type="pct"/>
            <w:tcBorders>
              <w:top w:val="nil"/>
              <w:left w:val="nil"/>
              <w:bottom w:val="nil"/>
              <w:right w:val="single" w:sz="8" w:space="0" w:color="BFBFBF"/>
            </w:tcBorders>
            <w:shd w:val="clear" w:color="auto" w:fill="auto"/>
            <w:noWrap/>
            <w:vAlign w:val="bottom"/>
            <w:hideMark/>
          </w:tcPr>
          <w:p w:rsidR="00195BE7" w:rsidRPr="001E2F6E" w:rsidRDefault="00195BE7" w:rsidP="00195BE7">
            <w:pPr>
              <w:spacing w:line="220" w:lineRule="exact"/>
              <w:jc w:val="right"/>
              <w:rPr>
                <w:color w:val="000000"/>
                <w:sz w:val="16"/>
                <w:szCs w:val="16"/>
              </w:rPr>
            </w:pPr>
            <w:r w:rsidRPr="001E2F6E">
              <w:rPr>
                <w:color w:val="000000"/>
                <w:sz w:val="16"/>
                <w:szCs w:val="16"/>
              </w:rPr>
              <w:t> </w:t>
            </w:r>
          </w:p>
        </w:tc>
        <w:tc>
          <w:tcPr>
            <w:tcW w:w="600" w:type="pct"/>
            <w:tcBorders>
              <w:top w:val="nil"/>
              <w:left w:val="nil"/>
              <w:bottom w:val="nil"/>
              <w:right w:val="single" w:sz="8" w:space="0" w:color="BFBFBF"/>
            </w:tcBorders>
            <w:shd w:val="clear" w:color="auto" w:fill="auto"/>
            <w:noWrap/>
            <w:vAlign w:val="bottom"/>
            <w:hideMark/>
          </w:tcPr>
          <w:p w:rsidR="00195BE7" w:rsidRPr="001E2F6E" w:rsidRDefault="00195BE7" w:rsidP="00195BE7">
            <w:pPr>
              <w:spacing w:line="220" w:lineRule="exact"/>
              <w:jc w:val="right"/>
              <w:rPr>
                <w:color w:val="000000"/>
                <w:sz w:val="16"/>
                <w:szCs w:val="16"/>
              </w:rPr>
            </w:pPr>
            <w:r w:rsidRPr="001E2F6E">
              <w:rPr>
                <w:color w:val="000000"/>
                <w:sz w:val="16"/>
                <w:szCs w:val="16"/>
              </w:rPr>
              <w:t>3.158.951</w:t>
            </w:r>
          </w:p>
        </w:tc>
        <w:tc>
          <w:tcPr>
            <w:tcW w:w="683" w:type="pct"/>
            <w:tcBorders>
              <w:top w:val="nil"/>
              <w:left w:val="nil"/>
              <w:bottom w:val="nil"/>
              <w:right w:val="single" w:sz="8" w:space="0" w:color="BFBFBF"/>
            </w:tcBorders>
            <w:shd w:val="clear" w:color="auto" w:fill="auto"/>
            <w:noWrap/>
            <w:vAlign w:val="bottom"/>
            <w:hideMark/>
          </w:tcPr>
          <w:p w:rsidR="00195BE7" w:rsidRPr="001E2F6E" w:rsidRDefault="00195BE7" w:rsidP="00195BE7">
            <w:pPr>
              <w:spacing w:line="220" w:lineRule="exact"/>
              <w:jc w:val="right"/>
              <w:rPr>
                <w:color w:val="000000"/>
                <w:sz w:val="16"/>
                <w:szCs w:val="16"/>
              </w:rPr>
            </w:pPr>
            <w:r w:rsidRPr="001E2F6E">
              <w:rPr>
                <w:color w:val="000000"/>
                <w:sz w:val="16"/>
                <w:szCs w:val="16"/>
              </w:rPr>
              <w:t>63.532</w:t>
            </w:r>
          </w:p>
        </w:tc>
        <w:tc>
          <w:tcPr>
            <w:tcW w:w="672" w:type="pct"/>
            <w:tcBorders>
              <w:top w:val="nil"/>
              <w:left w:val="nil"/>
              <w:bottom w:val="nil"/>
              <w:right w:val="single" w:sz="8" w:space="0" w:color="BFBFBF"/>
            </w:tcBorders>
            <w:shd w:val="clear" w:color="auto" w:fill="auto"/>
            <w:noWrap/>
            <w:vAlign w:val="bottom"/>
            <w:hideMark/>
          </w:tcPr>
          <w:p w:rsidR="00195BE7" w:rsidRPr="001E2F6E" w:rsidRDefault="00195BE7" w:rsidP="00195BE7">
            <w:pPr>
              <w:spacing w:line="220" w:lineRule="exact"/>
              <w:jc w:val="right"/>
              <w:rPr>
                <w:color w:val="000000"/>
                <w:sz w:val="16"/>
                <w:szCs w:val="16"/>
              </w:rPr>
            </w:pPr>
            <w:r w:rsidRPr="001E2F6E">
              <w:rPr>
                <w:color w:val="000000"/>
                <w:sz w:val="16"/>
                <w:szCs w:val="16"/>
              </w:rPr>
              <w:t>244.774</w:t>
            </w:r>
          </w:p>
        </w:tc>
      </w:tr>
      <w:tr w:rsidR="00195BE7" w:rsidRPr="001E2F6E" w:rsidTr="00195BE7">
        <w:trPr>
          <w:jc w:val="center"/>
        </w:trPr>
        <w:tc>
          <w:tcPr>
            <w:tcW w:w="1985" w:type="pct"/>
            <w:tcBorders>
              <w:top w:val="nil"/>
              <w:left w:val="nil"/>
              <w:bottom w:val="nil"/>
              <w:right w:val="single" w:sz="8" w:space="0" w:color="BFBFBF"/>
            </w:tcBorders>
            <w:shd w:val="clear" w:color="auto" w:fill="auto"/>
            <w:vAlign w:val="bottom"/>
            <w:hideMark/>
          </w:tcPr>
          <w:p w:rsidR="00195BE7" w:rsidRPr="001E2F6E" w:rsidRDefault="00195BE7" w:rsidP="00195BE7">
            <w:pPr>
              <w:spacing w:line="220" w:lineRule="exact"/>
              <w:rPr>
                <w:sz w:val="16"/>
                <w:szCs w:val="16"/>
                <w:lang w:val="eu-ES"/>
              </w:rPr>
            </w:pPr>
            <w:r w:rsidRPr="001E2F6E">
              <w:rPr>
                <w:sz w:val="16"/>
                <w:szCs w:val="16"/>
                <w:lang w:val="eu-ES"/>
              </w:rPr>
              <w:t>67 Ezohiko gastuak</w:t>
            </w:r>
          </w:p>
        </w:tc>
        <w:tc>
          <w:tcPr>
            <w:tcW w:w="600" w:type="pct"/>
            <w:tcBorders>
              <w:top w:val="nil"/>
              <w:left w:val="nil"/>
              <w:bottom w:val="nil"/>
              <w:right w:val="single" w:sz="8" w:space="0" w:color="BFBFBF"/>
            </w:tcBorders>
            <w:shd w:val="clear" w:color="auto" w:fill="auto"/>
            <w:noWrap/>
            <w:vAlign w:val="bottom"/>
            <w:hideMark/>
          </w:tcPr>
          <w:p w:rsidR="00195BE7" w:rsidRPr="001E2F6E" w:rsidRDefault="00195BE7" w:rsidP="00195BE7">
            <w:pPr>
              <w:spacing w:line="220" w:lineRule="exact"/>
              <w:jc w:val="right"/>
              <w:rPr>
                <w:color w:val="000000"/>
                <w:sz w:val="16"/>
                <w:szCs w:val="16"/>
              </w:rPr>
            </w:pPr>
            <w:r w:rsidRPr="001E2F6E">
              <w:rPr>
                <w:color w:val="000000"/>
                <w:sz w:val="16"/>
                <w:szCs w:val="16"/>
              </w:rPr>
              <w:t>358.022</w:t>
            </w:r>
          </w:p>
        </w:tc>
        <w:tc>
          <w:tcPr>
            <w:tcW w:w="460" w:type="pct"/>
            <w:tcBorders>
              <w:top w:val="nil"/>
              <w:left w:val="nil"/>
              <w:bottom w:val="nil"/>
              <w:right w:val="single" w:sz="8" w:space="0" w:color="BFBFBF"/>
            </w:tcBorders>
            <w:shd w:val="clear" w:color="auto" w:fill="auto"/>
            <w:noWrap/>
            <w:vAlign w:val="bottom"/>
            <w:hideMark/>
          </w:tcPr>
          <w:p w:rsidR="00195BE7" w:rsidRPr="001E2F6E" w:rsidRDefault="00195BE7" w:rsidP="00195BE7">
            <w:pPr>
              <w:spacing w:line="220" w:lineRule="exact"/>
              <w:jc w:val="right"/>
              <w:rPr>
                <w:color w:val="000000"/>
                <w:sz w:val="16"/>
                <w:szCs w:val="16"/>
              </w:rPr>
            </w:pPr>
            <w:r w:rsidRPr="001E2F6E">
              <w:rPr>
                <w:color w:val="000000"/>
                <w:sz w:val="16"/>
                <w:szCs w:val="16"/>
              </w:rPr>
              <w:t> </w:t>
            </w:r>
          </w:p>
        </w:tc>
        <w:tc>
          <w:tcPr>
            <w:tcW w:w="600" w:type="pct"/>
            <w:tcBorders>
              <w:top w:val="nil"/>
              <w:left w:val="nil"/>
              <w:bottom w:val="nil"/>
              <w:right w:val="single" w:sz="8" w:space="0" w:color="BFBFBF"/>
            </w:tcBorders>
            <w:shd w:val="clear" w:color="auto" w:fill="auto"/>
            <w:noWrap/>
            <w:vAlign w:val="bottom"/>
            <w:hideMark/>
          </w:tcPr>
          <w:p w:rsidR="00195BE7" w:rsidRPr="001E2F6E" w:rsidRDefault="00195BE7" w:rsidP="00195BE7">
            <w:pPr>
              <w:spacing w:line="220" w:lineRule="exact"/>
              <w:jc w:val="right"/>
              <w:rPr>
                <w:color w:val="000000"/>
                <w:sz w:val="16"/>
                <w:szCs w:val="16"/>
              </w:rPr>
            </w:pPr>
            <w:r w:rsidRPr="001E2F6E">
              <w:rPr>
                <w:color w:val="000000"/>
                <w:sz w:val="16"/>
                <w:szCs w:val="16"/>
              </w:rPr>
              <w:t>275.702</w:t>
            </w:r>
          </w:p>
        </w:tc>
        <w:tc>
          <w:tcPr>
            <w:tcW w:w="683" w:type="pct"/>
            <w:tcBorders>
              <w:top w:val="nil"/>
              <w:left w:val="nil"/>
              <w:bottom w:val="nil"/>
              <w:right w:val="single" w:sz="8" w:space="0" w:color="BFBFBF"/>
            </w:tcBorders>
            <w:shd w:val="clear" w:color="auto" w:fill="auto"/>
            <w:noWrap/>
            <w:vAlign w:val="bottom"/>
            <w:hideMark/>
          </w:tcPr>
          <w:p w:rsidR="00195BE7" w:rsidRPr="001E2F6E" w:rsidRDefault="00195BE7" w:rsidP="00195BE7">
            <w:pPr>
              <w:spacing w:line="220" w:lineRule="exact"/>
              <w:jc w:val="right"/>
              <w:rPr>
                <w:color w:val="000000"/>
                <w:sz w:val="16"/>
                <w:szCs w:val="16"/>
              </w:rPr>
            </w:pPr>
            <w:r w:rsidRPr="001E2F6E">
              <w:rPr>
                <w:color w:val="000000"/>
                <w:sz w:val="16"/>
                <w:szCs w:val="16"/>
              </w:rPr>
              <w:t>37.697</w:t>
            </w:r>
          </w:p>
        </w:tc>
        <w:tc>
          <w:tcPr>
            <w:tcW w:w="672" w:type="pct"/>
            <w:tcBorders>
              <w:top w:val="nil"/>
              <w:left w:val="nil"/>
              <w:bottom w:val="nil"/>
              <w:right w:val="single" w:sz="8" w:space="0" w:color="BFBFBF"/>
            </w:tcBorders>
            <w:shd w:val="clear" w:color="auto" w:fill="auto"/>
            <w:noWrap/>
            <w:vAlign w:val="bottom"/>
            <w:hideMark/>
          </w:tcPr>
          <w:p w:rsidR="00195BE7" w:rsidRPr="001E2F6E" w:rsidRDefault="00195BE7" w:rsidP="00195BE7">
            <w:pPr>
              <w:spacing w:line="220" w:lineRule="exact"/>
              <w:jc w:val="right"/>
              <w:rPr>
                <w:color w:val="000000"/>
                <w:sz w:val="16"/>
                <w:szCs w:val="16"/>
              </w:rPr>
            </w:pPr>
            <w:r w:rsidRPr="001E2F6E">
              <w:rPr>
                <w:color w:val="000000"/>
                <w:sz w:val="16"/>
                <w:szCs w:val="16"/>
              </w:rPr>
              <w:t>44.623</w:t>
            </w:r>
          </w:p>
        </w:tc>
      </w:tr>
      <w:tr w:rsidR="00195BE7" w:rsidRPr="001E2F6E" w:rsidTr="00195BE7">
        <w:trPr>
          <w:jc w:val="center"/>
        </w:trPr>
        <w:tc>
          <w:tcPr>
            <w:tcW w:w="1985" w:type="pct"/>
            <w:tcBorders>
              <w:top w:val="nil"/>
              <w:left w:val="nil"/>
              <w:bottom w:val="nil"/>
              <w:right w:val="single" w:sz="8" w:space="0" w:color="BFBFBF"/>
            </w:tcBorders>
            <w:shd w:val="clear" w:color="auto" w:fill="auto"/>
            <w:vAlign w:val="bottom"/>
            <w:hideMark/>
          </w:tcPr>
          <w:p w:rsidR="00195BE7" w:rsidRPr="001E2F6E" w:rsidRDefault="00195BE7" w:rsidP="00195BE7">
            <w:pPr>
              <w:spacing w:line="220" w:lineRule="exact"/>
              <w:rPr>
                <w:sz w:val="16"/>
                <w:szCs w:val="16"/>
                <w:lang w:val="eu-ES"/>
              </w:rPr>
            </w:pPr>
            <w:r w:rsidRPr="001E2F6E">
              <w:rPr>
                <w:sz w:val="16"/>
                <w:szCs w:val="16"/>
                <w:lang w:val="eu-ES"/>
              </w:rPr>
              <w:t>68 Ekitaldiaren amortizaziorako hornidura</w:t>
            </w:r>
          </w:p>
        </w:tc>
        <w:tc>
          <w:tcPr>
            <w:tcW w:w="600" w:type="pct"/>
            <w:tcBorders>
              <w:top w:val="nil"/>
              <w:left w:val="nil"/>
              <w:bottom w:val="nil"/>
              <w:right w:val="single" w:sz="8" w:space="0" w:color="BFBFBF"/>
            </w:tcBorders>
            <w:shd w:val="clear" w:color="auto" w:fill="auto"/>
            <w:noWrap/>
            <w:vAlign w:val="bottom"/>
            <w:hideMark/>
          </w:tcPr>
          <w:p w:rsidR="00195BE7" w:rsidRPr="001E2F6E" w:rsidRDefault="00195BE7" w:rsidP="00195BE7">
            <w:pPr>
              <w:spacing w:line="220" w:lineRule="exact"/>
              <w:jc w:val="right"/>
              <w:rPr>
                <w:color w:val="000000"/>
                <w:sz w:val="16"/>
                <w:szCs w:val="16"/>
              </w:rPr>
            </w:pPr>
            <w:r w:rsidRPr="001E2F6E">
              <w:rPr>
                <w:color w:val="000000"/>
                <w:sz w:val="16"/>
                <w:szCs w:val="16"/>
              </w:rPr>
              <w:t>15.007.072</w:t>
            </w:r>
          </w:p>
        </w:tc>
        <w:tc>
          <w:tcPr>
            <w:tcW w:w="460" w:type="pct"/>
            <w:tcBorders>
              <w:top w:val="nil"/>
              <w:left w:val="nil"/>
              <w:bottom w:val="nil"/>
              <w:right w:val="single" w:sz="8" w:space="0" w:color="BFBFBF"/>
            </w:tcBorders>
            <w:shd w:val="clear" w:color="auto" w:fill="auto"/>
            <w:noWrap/>
            <w:vAlign w:val="bottom"/>
            <w:hideMark/>
          </w:tcPr>
          <w:p w:rsidR="00195BE7" w:rsidRPr="001E2F6E" w:rsidRDefault="00195BE7" w:rsidP="00195BE7">
            <w:pPr>
              <w:spacing w:line="220" w:lineRule="exact"/>
              <w:jc w:val="right"/>
              <w:rPr>
                <w:color w:val="000000"/>
                <w:sz w:val="16"/>
                <w:szCs w:val="16"/>
              </w:rPr>
            </w:pPr>
            <w:r w:rsidRPr="001E2F6E">
              <w:rPr>
                <w:color w:val="000000"/>
                <w:sz w:val="16"/>
                <w:szCs w:val="16"/>
              </w:rPr>
              <w:t> </w:t>
            </w:r>
          </w:p>
        </w:tc>
        <w:tc>
          <w:tcPr>
            <w:tcW w:w="600" w:type="pct"/>
            <w:tcBorders>
              <w:top w:val="nil"/>
              <w:left w:val="nil"/>
              <w:bottom w:val="nil"/>
              <w:right w:val="single" w:sz="8" w:space="0" w:color="BFBFBF"/>
            </w:tcBorders>
            <w:shd w:val="clear" w:color="auto" w:fill="auto"/>
            <w:noWrap/>
            <w:vAlign w:val="bottom"/>
            <w:hideMark/>
          </w:tcPr>
          <w:p w:rsidR="00195BE7" w:rsidRPr="001E2F6E" w:rsidRDefault="00195BE7" w:rsidP="00195BE7">
            <w:pPr>
              <w:spacing w:line="220" w:lineRule="exact"/>
              <w:jc w:val="right"/>
              <w:rPr>
                <w:color w:val="000000"/>
                <w:sz w:val="16"/>
                <w:szCs w:val="16"/>
              </w:rPr>
            </w:pPr>
            <w:r w:rsidRPr="001E2F6E">
              <w:rPr>
                <w:color w:val="000000"/>
                <w:sz w:val="16"/>
                <w:szCs w:val="16"/>
              </w:rPr>
              <w:t>13.208.346</w:t>
            </w:r>
          </w:p>
        </w:tc>
        <w:tc>
          <w:tcPr>
            <w:tcW w:w="683" w:type="pct"/>
            <w:tcBorders>
              <w:top w:val="nil"/>
              <w:left w:val="nil"/>
              <w:bottom w:val="nil"/>
              <w:right w:val="single" w:sz="8" w:space="0" w:color="BFBFBF"/>
            </w:tcBorders>
            <w:shd w:val="clear" w:color="auto" w:fill="auto"/>
            <w:noWrap/>
            <w:vAlign w:val="bottom"/>
            <w:hideMark/>
          </w:tcPr>
          <w:p w:rsidR="00195BE7" w:rsidRPr="001E2F6E" w:rsidRDefault="00195BE7" w:rsidP="00195BE7">
            <w:pPr>
              <w:spacing w:line="220" w:lineRule="exact"/>
              <w:jc w:val="right"/>
              <w:rPr>
                <w:color w:val="000000"/>
                <w:sz w:val="16"/>
                <w:szCs w:val="16"/>
              </w:rPr>
            </w:pPr>
            <w:r w:rsidRPr="001E2F6E">
              <w:rPr>
                <w:color w:val="000000"/>
                <w:sz w:val="16"/>
                <w:szCs w:val="16"/>
              </w:rPr>
              <w:t>224.650</w:t>
            </w:r>
          </w:p>
        </w:tc>
        <w:tc>
          <w:tcPr>
            <w:tcW w:w="672" w:type="pct"/>
            <w:tcBorders>
              <w:top w:val="nil"/>
              <w:left w:val="nil"/>
              <w:bottom w:val="nil"/>
              <w:right w:val="single" w:sz="8" w:space="0" w:color="BFBFBF"/>
            </w:tcBorders>
            <w:shd w:val="clear" w:color="auto" w:fill="auto"/>
            <w:noWrap/>
            <w:vAlign w:val="bottom"/>
            <w:hideMark/>
          </w:tcPr>
          <w:p w:rsidR="00195BE7" w:rsidRPr="001E2F6E" w:rsidRDefault="00195BE7" w:rsidP="00195BE7">
            <w:pPr>
              <w:spacing w:line="220" w:lineRule="exact"/>
              <w:jc w:val="right"/>
              <w:rPr>
                <w:color w:val="000000"/>
                <w:sz w:val="16"/>
                <w:szCs w:val="16"/>
              </w:rPr>
            </w:pPr>
            <w:r w:rsidRPr="001E2F6E">
              <w:rPr>
                <w:color w:val="000000"/>
                <w:sz w:val="16"/>
                <w:szCs w:val="16"/>
              </w:rPr>
              <w:t>1.574.077</w:t>
            </w:r>
          </w:p>
        </w:tc>
      </w:tr>
      <w:tr w:rsidR="00195BE7" w:rsidRPr="001E2F6E" w:rsidTr="00195BE7">
        <w:trPr>
          <w:jc w:val="center"/>
        </w:trPr>
        <w:tc>
          <w:tcPr>
            <w:tcW w:w="1985" w:type="pct"/>
            <w:tcBorders>
              <w:top w:val="nil"/>
              <w:left w:val="nil"/>
              <w:bottom w:val="single" w:sz="8" w:space="0" w:color="BFBFBF"/>
              <w:right w:val="single" w:sz="8" w:space="0" w:color="BFBFBF"/>
            </w:tcBorders>
            <w:shd w:val="clear" w:color="auto" w:fill="auto"/>
            <w:vAlign w:val="bottom"/>
            <w:hideMark/>
          </w:tcPr>
          <w:p w:rsidR="00195BE7" w:rsidRPr="001E2F6E" w:rsidRDefault="00195BE7" w:rsidP="00195BE7">
            <w:pPr>
              <w:spacing w:line="220" w:lineRule="exact"/>
              <w:rPr>
                <w:sz w:val="16"/>
                <w:szCs w:val="16"/>
                <w:lang w:val="eu-ES"/>
              </w:rPr>
            </w:pPr>
            <w:r w:rsidRPr="001E2F6E">
              <w:rPr>
                <w:sz w:val="16"/>
                <w:szCs w:val="16"/>
                <w:lang w:val="eu-ES"/>
              </w:rPr>
              <w:t>69 Hornidura-zuzkidurak</w:t>
            </w:r>
          </w:p>
        </w:tc>
        <w:tc>
          <w:tcPr>
            <w:tcW w:w="600" w:type="pct"/>
            <w:tcBorders>
              <w:top w:val="nil"/>
              <w:left w:val="nil"/>
              <w:bottom w:val="nil"/>
              <w:right w:val="single" w:sz="8" w:space="0" w:color="BFBFBF"/>
            </w:tcBorders>
            <w:shd w:val="clear" w:color="auto" w:fill="auto"/>
            <w:noWrap/>
            <w:vAlign w:val="bottom"/>
            <w:hideMark/>
          </w:tcPr>
          <w:p w:rsidR="00195BE7" w:rsidRPr="001E2F6E" w:rsidRDefault="00195BE7" w:rsidP="00195BE7">
            <w:pPr>
              <w:spacing w:line="220" w:lineRule="exact"/>
              <w:jc w:val="right"/>
              <w:rPr>
                <w:color w:val="000000"/>
                <w:sz w:val="16"/>
                <w:szCs w:val="16"/>
              </w:rPr>
            </w:pPr>
            <w:r w:rsidRPr="001E2F6E">
              <w:rPr>
                <w:color w:val="000000"/>
                <w:sz w:val="16"/>
                <w:szCs w:val="16"/>
              </w:rPr>
              <w:t>1.110.676</w:t>
            </w:r>
          </w:p>
        </w:tc>
        <w:tc>
          <w:tcPr>
            <w:tcW w:w="460" w:type="pct"/>
            <w:tcBorders>
              <w:top w:val="nil"/>
              <w:left w:val="nil"/>
              <w:bottom w:val="single" w:sz="8" w:space="0" w:color="BFBFBF"/>
              <w:right w:val="single" w:sz="8" w:space="0" w:color="BFBFBF"/>
            </w:tcBorders>
            <w:shd w:val="clear" w:color="auto" w:fill="auto"/>
            <w:noWrap/>
            <w:vAlign w:val="bottom"/>
            <w:hideMark/>
          </w:tcPr>
          <w:p w:rsidR="00195BE7" w:rsidRPr="001E2F6E" w:rsidRDefault="00195BE7" w:rsidP="00195BE7">
            <w:pPr>
              <w:spacing w:line="220" w:lineRule="exact"/>
              <w:jc w:val="right"/>
              <w:rPr>
                <w:color w:val="000000"/>
                <w:sz w:val="16"/>
                <w:szCs w:val="16"/>
              </w:rPr>
            </w:pPr>
            <w:r w:rsidRPr="001E2F6E">
              <w:rPr>
                <w:color w:val="000000"/>
                <w:sz w:val="16"/>
                <w:szCs w:val="16"/>
              </w:rPr>
              <w:t> </w:t>
            </w:r>
          </w:p>
        </w:tc>
        <w:tc>
          <w:tcPr>
            <w:tcW w:w="600" w:type="pct"/>
            <w:tcBorders>
              <w:top w:val="nil"/>
              <w:left w:val="nil"/>
              <w:bottom w:val="single" w:sz="8" w:space="0" w:color="BFBFBF"/>
              <w:right w:val="single" w:sz="8" w:space="0" w:color="BFBFBF"/>
            </w:tcBorders>
            <w:shd w:val="clear" w:color="auto" w:fill="auto"/>
            <w:noWrap/>
            <w:vAlign w:val="bottom"/>
            <w:hideMark/>
          </w:tcPr>
          <w:p w:rsidR="00195BE7" w:rsidRPr="001E2F6E" w:rsidRDefault="00195BE7" w:rsidP="00195BE7">
            <w:pPr>
              <w:spacing w:line="220" w:lineRule="exact"/>
              <w:jc w:val="right"/>
              <w:rPr>
                <w:color w:val="000000"/>
                <w:sz w:val="16"/>
                <w:szCs w:val="16"/>
              </w:rPr>
            </w:pPr>
            <w:r w:rsidRPr="001E2F6E">
              <w:rPr>
                <w:color w:val="000000"/>
                <w:sz w:val="16"/>
                <w:szCs w:val="16"/>
              </w:rPr>
              <w:t>1.027.707</w:t>
            </w:r>
          </w:p>
        </w:tc>
        <w:tc>
          <w:tcPr>
            <w:tcW w:w="683" w:type="pct"/>
            <w:tcBorders>
              <w:top w:val="nil"/>
              <w:left w:val="nil"/>
              <w:bottom w:val="single" w:sz="8" w:space="0" w:color="BFBFBF"/>
              <w:right w:val="single" w:sz="8" w:space="0" w:color="BFBFBF"/>
            </w:tcBorders>
            <w:shd w:val="clear" w:color="auto" w:fill="auto"/>
            <w:noWrap/>
            <w:vAlign w:val="bottom"/>
            <w:hideMark/>
          </w:tcPr>
          <w:p w:rsidR="00195BE7" w:rsidRPr="001E2F6E" w:rsidRDefault="00195BE7" w:rsidP="00195BE7">
            <w:pPr>
              <w:spacing w:line="220" w:lineRule="exact"/>
              <w:jc w:val="right"/>
              <w:rPr>
                <w:color w:val="000000"/>
                <w:sz w:val="16"/>
                <w:szCs w:val="16"/>
              </w:rPr>
            </w:pPr>
            <w:r w:rsidRPr="001E2F6E">
              <w:rPr>
                <w:color w:val="000000"/>
                <w:sz w:val="16"/>
                <w:szCs w:val="16"/>
              </w:rPr>
              <w:t>1.016</w:t>
            </w:r>
          </w:p>
        </w:tc>
        <w:tc>
          <w:tcPr>
            <w:tcW w:w="672" w:type="pct"/>
            <w:tcBorders>
              <w:top w:val="nil"/>
              <w:left w:val="nil"/>
              <w:bottom w:val="single" w:sz="8" w:space="0" w:color="BFBFBF"/>
              <w:right w:val="single" w:sz="8" w:space="0" w:color="BFBFBF"/>
            </w:tcBorders>
            <w:shd w:val="clear" w:color="auto" w:fill="auto"/>
            <w:noWrap/>
            <w:vAlign w:val="bottom"/>
            <w:hideMark/>
          </w:tcPr>
          <w:p w:rsidR="00195BE7" w:rsidRPr="001E2F6E" w:rsidRDefault="00195BE7" w:rsidP="00195BE7">
            <w:pPr>
              <w:spacing w:line="220" w:lineRule="exact"/>
              <w:jc w:val="right"/>
              <w:rPr>
                <w:color w:val="000000"/>
                <w:sz w:val="16"/>
                <w:szCs w:val="16"/>
              </w:rPr>
            </w:pPr>
            <w:r w:rsidRPr="001E2F6E">
              <w:rPr>
                <w:color w:val="000000"/>
                <w:sz w:val="16"/>
                <w:szCs w:val="16"/>
              </w:rPr>
              <w:t>81.953</w:t>
            </w:r>
          </w:p>
        </w:tc>
      </w:tr>
      <w:tr w:rsidR="00195BE7" w:rsidRPr="001E2F6E" w:rsidTr="00195BE7">
        <w:trPr>
          <w:jc w:val="center"/>
        </w:trPr>
        <w:tc>
          <w:tcPr>
            <w:tcW w:w="1985" w:type="pct"/>
            <w:tcBorders>
              <w:top w:val="nil"/>
              <w:left w:val="nil"/>
              <w:bottom w:val="single" w:sz="8" w:space="0" w:color="BFBFBF"/>
              <w:right w:val="single" w:sz="8" w:space="0" w:color="BFBFBF"/>
            </w:tcBorders>
            <w:shd w:val="clear" w:color="000000" w:fill="E6E6E6"/>
            <w:vAlign w:val="bottom"/>
            <w:hideMark/>
          </w:tcPr>
          <w:p w:rsidR="00195BE7" w:rsidRPr="001E2F6E" w:rsidRDefault="00195BE7" w:rsidP="00195BE7">
            <w:pPr>
              <w:spacing w:line="220" w:lineRule="exact"/>
              <w:rPr>
                <w:rFonts w:eastAsia="Times New Roman"/>
                <w:color w:val="000000"/>
                <w:sz w:val="16"/>
                <w:szCs w:val="16"/>
                <w:lang w:eastAsia="es-ES"/>
              </w:rPr>
            </w:pPr>
            <w:r w:rsidRPr="001E2F6E">
              <w:rPr>
                <w:rFonts w:eastAsia="Times New Roman"/>
                <w:color w:val="000000"/>
                <w:sz w:val="16"/>
                <w:szCs w:val="16"/>
                <w:lang w:eastAsia="es-ES"/>
              </w:rPr>
              <w:t> </w:t>
            </w:r>
          </w:p>
        </w:tc>
        <w:tc>
          <w:tcPr>
            <w:tcW w:w="600" w:type="pct"/>
            <w:tcBorders>
              <w:top w:val="nil"/>
              <w:left w:val="nil"/>
              <w:bottom w:val="single" w:sz="8" w:space="0" w:color="BFBFBF"/>
              <w:right w:val="nil"/>
            </w:tcBorders>
            <w:shd w:val="clear" w:color="000000" w:fill="E6E6E6"/>
            <w:vAlign w:val="bottom"/>
            <w:hideMark/>
          </w:tcPr>
          <w:p w:rsidR="00195BE7" w:rsidRPr="001E2F6E" w:rsidRDefault="00195BE7" w:rsidP="00195BE7">
            <w:pPr>
              <w:spacing w:line="220" w:lineRule="exact"/>
              <w:jc w:val="right"/>
              <w:rPr>
                <w:b/>
                <w:bCs/>
                <w:color w:val="000000"/>
                <w:sz w:val="16"/>
                <w:szCs w:val="16"/>
              </w:rPr>
            </w:pPr>
            <w:r w:rsidRPr="001E2F6E">
              <w:rPr>
                <w:b/>
                <w:bCs/>
                <w:color w:val="000000"/>
                <w:sz w:val="16"/>
                <w:szCs w:val="16"/>
              </w:rPr>
              <w:t>410.515.918</w:t>
            </w:r>
          </w:p>
        </w:tc>
        <w:tc>
          <w:tcPr>
            <w:tcW w:w="460" w:type="pct"/>
            <w:tcBorders>
              <w:top w:val="nil"/>
              <w:left w:val="nil"/>
              <w:bottom w:val="single" w:sz="8" w:space="0" w:color="BFBFBF"/>
              <w:right w:val="nil"/>
            </w:tcBorders>
            <w:shd w:val="clear" w:color="000000" w:fill="E6E6E6"/>
            <w:vAlign w:val="bottom"/>
            <w:hideMark/>
          </w:tcPr>
          <w:p w:rsidR="00195BE7" w:rsidRPr="001E2F6E" w:rsidRDefault="00195BE7" w:rsidP="00195BE7">
            <w:pPr>
              <w:spacing w:line="220" w:lineRule="exact"/>
              <w:jc w:val="right"/>
              <w:rPr>
                <w:b/>
                <w:bCs/>
                <w:color w:val="000000"/>
                <w:sz w:val="16"/>
                <w:szCs w:val="16"/>
              </w:rPr>
            </w:pPr>
            <w:r w:rsidRPr="001E2F6E">
              <w:rPr>
                <w:b/>
                <w:bCs/>
                <w:color w:val="000000"/>
                <w:sz w:val="16"/>
                <w:szCs w:val="16"/>
              </w:rPr>
              <w:t>0</w:t>
            </w:r>
          </w:p>
        </w:tc>
        <w:tc>
          <w:tcPr>
            <w:tcW w:w="600" w:type="pct"/>
            <w:tcBorders>
              <w:top w:val="nil"/>
              <w:left w:val="nil"/>
              <w:bottom w:val="single" w:sz="8" w:space="0" w:color="BFBFBF"/>
              <w:right w:val="nil"/>
            </w:tcBorders>
            <w:shd w:val="clear" w:color="000000" w:fill="E6E6E6"/>
            <w:vAlign w:val="bottom"/>
            <w:hideMark/>
          </w:tcPr>
          <w:p w:rsidR="00195BE7" w:rsidRPr="001E2F6E" w:rsidRDefault="00195BE7" w:rsidP="00195BE7">
            <w:pPr>
              <w:spacing w:line="220" w:lineRule="exact"/>
              <w:jc w:val="right"/>
              <w:rPr>
                <w:b/>
                <w:bCs/>
                <w:color w:val="000000"/>
                <w:sz w:val="16"/>
                <w:szCs w:val="16"/>
              </w:rPr>
            </w:pPr>
            <w:r w:rsidRPr="001E2F6E">
              <w:rPr>
                <w:b/>
                <w:bCs/>
                <w:color w:val="000000"/>
                <w:sz w:val="16"/>
                <w:szCs w:val="16"/>
              </w:rPr>
              <w:t>319.635.454</w:t>
            </w:r>
          </w:p>
        </w:tc>
        <w:tc>
          <w:tcPr>
            <w:tcW w:w="683" w:type="pct"/>
            <w:tcBorders>
              <w:top w:val="nil"/>
              <w:left w:val="nil"/>
              <w:bottom w:val="single" w:sz="8" w:space="0" w:color="BFBFBF"/>
              <w:right w:val="nil"/>
            </w:tcBorders>
            <w:shd w:val="clear" w:color="000000" w:fill="E6E6E6"/>
            <w:vAlign w:val="bottom"/>
            <w:hideMark/>
          </w:tcPr>
          <w:p w:rsidR="00195BE7" w:rsidRPr="001E2F6E" w:rsidRDefault="00195BE7" w:rsidP="00195BE7">
            <w:pPr>
              <w:spacing w:line="220" w:lineRule="exact"/>
              <w:jc w:val="right"/>
              <w:rPr>
                <w:b/>
                <w:bCs/>
                <w:color w:val="000000"/>
                <w:sz w:val="16"/>
                <w:szCs w:val="16"/>
              </w:rPr>
            </w:pPr>
            <w:r w:rsidRPr="001E2F6E">
              <w:rPr>
                <w:b/>
                <w:bCs/>
                <w:color w:val="000000"/>
                <w:sz w:val="16"/>
                <w:szCs w:val="16"/>
              </w:rPr>
              <w:t>25.434.983</w:t>
            </w:r>
          </w:p>
        </w:tc>
        <w:tc>
          <w:tcPr>
            <w:tcW w:w="672" w:type="pct"/>
            <w:tcBorders>
              <w:top w:val="nil"/>
              <w:left w:val="nil"/>
              <w:bottom w:val="single" w:sz="8" w:space="0" w:color="BFBFBF"/>
              <w:right w:val="nil"/>
            </w:tcBorders>
            <w:shd w:val="clear" w:color="000000" w:fill="E6E6E6"/>
            <w:vAlign w:val="bottom"/>
            <w:hideMark/>
          </w:tcPr>
          <w:p w:rsidR="00195BE7" w:rsidRPr="001E2F6E" w:rsidRDefault="00195BE7" w:rsidP="00195BE7">
            <w:pPr>
              <w:spacing w:line="220" w:lineRule="exact"/>
              <w:jc w:val="right"/>
              <w:rPr>
                <w:b/>
                <w:bCs/>
                <w:color w:val="000000"/>
                <w:sz w:val="16"/>
                <w:szCs w:val="16"/>
              </w:rPr>
            </w:pPr>
            <w:r w:rsidRPr="001E2F6E">
              <w:rPr>
                <w:b/>
                <w:bCs/>
                <w:color w:val="000000"/>
                <w:sz w:val="16"/>
                <w:szCs w:val="16"/>
              </w:rPr>
              <w:t>65.445.482</w:t>
            </w:r>
          </w:p>
        </w:tc>
      </w:tr>
      <w:tr w:rsidR="00195BE7" w:rsidRPr="001E2F6E" w:rsidTr="00195BE7">
        <w:trPr>
          <w:jc w:val="center"/>
        </w:trPr>
        <w:tc>
          <w:tcPr>
            <w:tcW w:w="1985" w:type="pct"/>
            <w:tcBorders>
              <w:top w:val="nil"/>
              <w:left w:val="nil"/>
              <w:bottom w:val="single" w:sz="8" w:space="0" w:color="BFBFBF"/>
              <w:right w:val="single" w:sz="8" w:space="0" w:color="BFBFBF"/>
            </w:tcBorders>
            <w:shd w:val="clear" w:color="000000" w:fill="DDEEFF"/>
            <w:vAlign w:val="bottom"/>
            <w:hideMark/>
          </w:tcPr>
          <w:p w:rsidR="00195BE7" w:rsidRPr="001E2F6E" w:rsidRDefault="00195BE7" w:rsidP="00195BE7">
            <w:pPr>
              <w:spacing w:line="220" w:lineRule="exact"/>
              <w:rPr>
                <w:b/>
                <w:bCs/>
                <w:sz w:val="16"/>
                <w:szCs w:val="16"/>
                <w:lang w:val="eu-ES"/>
              </w:rPr>
            </w:pPr>
            <w:r w:rsidRPr="001E2F6E">
              <w:rPr>
                <w:b/>
                <w:bCs/>
                <w:sz w:val="16"/>
                <w:szCs w:val="16"/>
                <w:lang w:val="eu-ES"/>
              </w:rPr>
              <w:t>MOZKINAK (+) edo GALERAK (-)</w:t>
            </w:r>
          </w:p>
        </w:tc>
        <w:tc>
          <w:tcPr>
            <w:tcW w:w="600" w:type="pct"/>
            <w:tcBorders>
              <w:top w:val="nil"/>
              <w:left w:val="nil"/>
              <w:bottom w:val="single" w:sz="8" w:space="0" w:color="BFBFBF"/>
              <w:right w:val="single" w:sz="8" w:space="0" w:color="BFBFBF"/>
            </w:tcBorders>
            <w:shd w:val="clear" w:color="000000" w:fill="DDEEFF"/>
            <w:vAlign w:val="bottom"/>
            <w:hideMark/>
          </w:tcPr>
          <w:p w:rsidR="00195BE7" w:rsidRPr="001E2F6E" w:rsidRDefault="00195BE7" w:rsidP="00195BE7">
            <w:pPr>
              <w:spacing w:line="220" w:lineRule="exact"/>
              <w:jc w:val="right"/>
              <w:rPr>
                <w:b/>
                <w:bCs/>
                <w:color w:val="000000"/>
                <w:sz w:val="16"/>
                <w:szCs w:val="16"/>
              </w:rPr>
            </w:pPr>
            <w:r w:rsidRPr="001E2F6E">
              <w:rPr>
                <w:b/>
                <w:bCs/>
                <w:color w:val="000000"/>
                <w:sz w:val="16"/>
                <w:szCs w:val="16"/>
              </w:rPr>
              <w:t>-1.323.667</w:t>
            </w:r>
          </w:p>
        </w:tc>
        <w:tc>
          <w:tcPr>
            <w:tcW w:w="460" w:type="pct"/>
            <w:tcBorders>
              <w:top w:val="nil"/>
              <w:left w:val="nil"/>
              <w:bottom w:val="single" w:sz="8" w:space="0" w:color="BFBFBF"/>
              <w:right w:val="single" w:sz="8" w:space="0" w:color="BFBFBF"/>
            </w:tcBorders>
            <w:shd w:val="clear" w:color="000000" w:fill="DDEEFF"/>
            <w:vAlign w:val="bottom"/>
            <w:hideMark/>
          </w:tcPr>
          <w:p w:rsidR="00195BE7" w:rsidRPr="001E2F6E" w:rsidRDefault="00195BE7" w:rsidP="00195BE7">
            <w:pPr>
              <w:spacing w:line="220" w:lineRule="exact"/>
              <w:jc w:val="right"/>
              <w:rPr>
                <w:b/>
                <w:bCs/>
                <w:color w:val="000000"/>
                <w:sz w:val="16"/>
                <w:szCs w:val="16"/>
              </w:rPr>
            </w:pPr>
            <w:r w:rsidRPr="001E2F6E">
              <w:rPr>
                <w:b/>
                <w:bCs/>
                <w:color w:val="000000"/>
                <w:sz w:val="16"/>
                <w:szCs w:val="16"/>
              </w:rPr>
              <w:t>0</w:t>
            </w:r>
          </w:p>
        </w:tc>
        <w:tc>
          <w:tcPr>
            <w:tcW w:w="600" w:type="pct"/>
            <w:tcBorders>
              <w:top w:val="nil"/>
              <w:left w:val="nil"/>
              <w:bottom w:val="single" w:sz="8" w:space="0" w:color="BFBFBF"/>
              <w:right w:val="single" w:sz="8" w:space="0" w:color="BFBFBF"/>
            </w:tcBorders>
            <w:shd w:val="clear" w:color="000000" w:fill="DDEEFF"/>
            <w:vAlign w:val="bottom"/>
            <w:hideMark/>
          </w:tcPr>
          <w:p w:rsidR="00195BE7" w:rsidRPr="001E2F6E" w:rsidRDefault="00195BE7" w:rsidP="00195BE7">
            <w:pPr>
              <w:spacing w:line="220" w:lineRule="exact"/>
              <w:jc w:val="right"/>
              <w:rPr>
                <w:b/>
                <w:bCs/>
                <w:color w:val="000000"/>
                <w:sz w:val="16"/>
                <w:szCs w:val="16"/>
              </w:rPr>
            </w:pPr>
            <w:r w:rsidRPr="001E2F6E">
              <w:rPr>
                <w:b/>
                <w:bCs/>
                <w:color w:val="000000"/>
                <w:sz w:val="16"/>
                <w:szCs w:val="16"/>
              </w:rPr>
              <w:t>-2.070.553</w:t>
            </w:r>
          </w:p>
        </w:tc>
        <w:tc>
          <w:tcPr>
            <w:tcW w:w="683" w:type="pct"/>
            <w:tcBorders>
              <w:top w:val="nil"/>
              <w:left w:val="nil"/>
              <w:bottom w:val="single" w:sz="8" w:space="0" w:color="BFBFBF"/>
              <w:right w:val="single" w:sz="8" w:space="0" w:color="BFBFBF"/>
            </w:tcBorders>
            <w:shd w:val="clear" w:color="000000" w:fill="DDEEFF"/>
            <w:vAlign w:val="bottom"/>
            <w:hideMark/>
          </w:tcPr>
          <w:p w:rsidR="00195BE7" w:rsidRPr="001E2F6E" w:rsidRDefault="00195BE7" w:rsidP="00195BE7">
            <w:pPr>
              <w:spacing w:line="220" w:lineRule="exact"/>
              <w:jc w:val="right"/>
              <w:rPr>
                <w:b/>
                <w:bCs/>
                <w:color w:val="000000"/>
                <w:sz w:val="16"/>
                <w:szCs w:val="16"/>
              </w:rPr>
            </w:pPr>
            <w:r w:rsidRPr="001E2F6E">
              <w:rPr>
                <w:b/>
                <w:bCs/>
                <w:color w:val="000000"/>
                <w:sz w:val="16"/>
                <w:szCs w:val="16"/>
              </w:rPr>
              <w:t>-326.336</w:t>
            </w:r>
          </w:p>
        </w:tc>
        <w:tc>
          <w:tcPr>
            <w:tcW w:w="672" w:type="pct"/>
            <w:tcBorders>
              <w:top w:val="nil"/>
              <w:left w:val="nil"/>
              <w:bottom w:val="single" w:sz="8" w:space="0" w:color="BFBFBF"/>
              <w:right w:val="nil"/>
            </w:tcBorders>
            <w:shd w:val="clear" w:color="000000" w:fill="DDEEFF"/>
            <w:vAlign w:val="bottom"/>
            <w:hideMark/>
          </w:tcPr>
          <w:p w:rsidR="00195BE7" w:rsidRPr="001E2F6E" w:rsidRDefault="00195BE7" w:rsidP="00195BE7">
            <w:pPr>
              <w:spacing w:line="220" w:lineRule="exact"/>
              <w:jc w:val="right"/>
              <w:rPr>
                <w:b/>
                <w:bCs/>
                <w:color w:val="000000"/>
                <w:sz w:val="16"/>
                <w:szCs w:val="16"/>
              </w:rPr>
            </w:pPr>
            <w:r w:rsidRPr="001E2F6E">
              <w:rPr>
                <w:b/>
                <w:bCs/>
                <w:color w:val="000000"/>
                <w:sz w:val="16"/>
                <w:szCs w:val="16"/>
              </w:rPr>
              <w:t>1.073.223</w:t>
            </w:r>
          </w:p>
        </w:tc>
      </w:tr>
      <w:tr w:rsidR="00195BE7" w:rsidRPr="001E2F6E" w:rsidTr="00195BE7">
        <w:trPr>
          <w:jc w:val="center"/>
        </w:trPr>
        <w:tc>
          <w:tcPr>
            <w:tcW w:w="1985" w:type="pct"/>
            <w:tcBorders>
              <w:top w:val="nil"/>
              <w:left w:val="nil"/>
              <w:bottom w:val="single" w:sz="8" w:space="0" w:color="BFBFBF"/>
              <w:right w:val="single" w:sz="8" w:space="0" w:color="BFBFBF"/>
            </w:tcBorders>
            <w:shd w:val="clear" w:color="auto" w:fill="auto"/>
            <w:vAlign w:val="bottom"/>
            <w:hideMark/>
          </w:tcPr>
          <w:p w:rsidR="00195BE7" w:rsidRPr="001E2F6E" w:rsidRDefault="00195BE7" w:rsidP="00195BE7">
            <w:pPr>
              <w:spacing w:line="240" w:lineRule="auto"/>
              <w:rPr>
                <w:b/>
                <w:sz w:val="10"/>
                <w:szCs w:val="10"/>
                <w:lang w:val="eu-ES"/>
              </w:rPr>
            </w:pPr>
            <w:r w:rsidRPr="001E2F6E">
              <w:rPr>
                <w:b/>
                <w:sz w:val="10"/>
                <w:szCs w:val="10"/>
                <w:lang w:val="eu-ES"/>
              </w:rPr>
              <w:t> </w:t>
            </w:r>
          </w:p>
        </w:tc>
        <w:tc>
          <w:tcPr>
            <w:tcW w:w="600" w:type="pct"/>
            <w:tcBorders>
              <w:top w:val="nil"/>
              <w:left w:val="nil"/>
              <w:bottom w:val="single" w:sz="8" w:space="0" w:color="BFBFBF"/>
              <w:right w:val="single" w:sz="8" w:space="0" w:color="BFBFBF"/>
            </w:tcBorders>
            <w:shd w:val="clear" w:color="auto" w:fill="auto"/>
            <w:vAlign w:val="bottom"/>
            <w:hideMark/>
          </w:tcPr>
          <w:p w:rsidR="00195BE7" w:rsidRPr="001E2F6E" w:rsidRDefault="00195BE7" w:rsidP="00195BE7">
            <w:pPr>
              <w:spacing w:line="240" w:lineRule="auto"/>
              <w:jc w:val="right"/>
              <w:rPr>
                <w:b/>
                <w:bCs/>
                <w:color w:val="000000"/>
                <w:sz w:val="10"/>
                <w:szCs w:val="10"/>
              </w:rPr>
            </w:pPr>
            <w:r w:rsidRPr="001E2F6E">
              <w:rPr>
                <w:b/>
                <w:bCs/>
                <w:color w:val="000000"/>
                <w:sz w:val="10"/>
                <w:szCs w:val="10"/>
              </w:rPr>
              <w:t> </w:t>
            </w:r>
          </w:p>
        </w:tc>
        <w:tc>
          <w:tcPr>
            <w:tcW w:w="460" w:type="pct"/>
            <w:tcBorders>
              <w:top w:val="nil"/>
              <w:left w:val="nil"/>
              <w:bottom w:val="single" w:sz="8" w:space="0" w:color="BFBFBF"/>
              <w:right w:val="single" w:sz="8" w:space="0" w:color="BFBFBF"/>
            </w:tcBorders>
            <w:shd w:val="clear" w:color="auto" w:fill="auto"/>
            <w:vAlign w:val="bottom"/>
            <w:hideMark/>
          </w:tcPr>
          <w:p w:rsidR="00195BE7" w:rsidRPr="001E2F6E" w:rsidRDefault="00195BE7" w:rsidP="00195BE7">
            <w:pPr>
              <w:spacing w:line="240" w:lineRule="auto"/>
              <w:jc w:val="right"/>
              <w:rPr>
                <w:b/>
                <w:bCs/>
                <w:color w:val="000000"/>
                <w:sz w:val="10"/>
                <w:szCs w:val="10"/>
              </w:rPr>
            </w:pPr>
            <w:r w:rsidRPr="001E2F6E">
              <w:rPr>
                <w:b/>
                <w:bCs/>
                <w:color w:val="000000"/>
                <w:sz w:val="10"/>
                <w:szCs w:val="10"/>
              </w:rPr>
              <w:t> </w:t>
            </w:r>
          </w:p>
        </w:tc>
        <w:tc>
          <w:tcPr>
            <w:tcW w:w="600" w:type="pct"/>
            <w:tcBorders>
              <w:top w:val="nil"/>
              <w:left w:val="nil"/>
              <w:bottom w:val="single" w:sz="8" w:space="0" w:color="BFBFBF"/>
              <w:right w:val="single" w:sz="8" w:space="0" w:color="BFBFBF"/>
            </w:tcBorders>
            <w:shd w:val="clear" w:color="auto" w:fill="auto"/>
            <w:vAlign w:val="bottom"/>
            <w:hideMark/>
          </w:tcPr>
          <w:p w:rsidR="00195BE7" w:rsidRPr="001E2F6E" w:rsidRDefault="00195BE7" w:rsidP="00195BE7">
            <w:pPr>
              <w:spacing w:line="240" w:lineRule="auto"/>
              <w:jc w:val="right"/>
              <w:rPr>
                <w:b/>
                <w:bCs/>
                <w:color w:val="000000"/>
                <w:sz w:val="10"/>
                <w:szCs w:val="10"/>
              </w:rPr>
            </w:pPr>
            <w:r w:rsidRPr="001E2F6E">
              <w:rPr>
                <w:b/>
                <w:bCs/>
                <w:color w:val="000000"/>
                <w:sz w:val="10"/>
                <w:szCs w:val="10"/>
              </w:rPr>
              <w:t> </w:t>
            </w:r>
          </w:p>
        </w:tc>
        <w:tc>
          <w:tcPr>
            <w:tcW w:w="683" w:type="pct"/>
            <w:tcBorders>
              <w:top w:val="nil"/>
              <w:left w:val="nil"/>
              <w:bottom w:val="single" w:sz="8" w:space="0" w:color="BFBFBF"/>
              <w:right w:val="single" w:sz="8" w:space="0" w:color="BFBFBF"/>
            </w:tcBorders>
            <w:shd w:val="clear" w:color="auto" w:fill="auto"/>
            <w:vAlign w:val="bottom"/>
            <w:hideMark/>
          </w:tcPr>
          <w:p w:rsidR="00195BE7" w:rsidRPr="001E2F6E" w:rsidRDefault="00195BE7" w:rsidP="00195BE7">
            <w:pPr>
              <w:spacing w:line="240" w:lineRule="auto"/>
              <w:jc w:val="right"/>
              <w:rPr>
                <w:b/>
                <w:bCs/>
                <w:color w:val="000000"/>
                <w:sz w:val="10"/>
                <w:szCs w:val="10"/>
              </w:rPr>
            </w:pPr>
            <w:r w:rsidRPr="001E2F6E">
              <w:rPr>
                <w:b/>
                <w:bCs/>
                <w:color w:val="000000"/>
                <w:sz w:val="10"/>
                <w:szCs w:val="10"/>
              </w:rPr>
              <w:t> </w:t>
            </w:r>
          </w:p>
        </w:tc>
        <w:tc>
          <w:tcPr>
            <w:tcW w:w="672" w:type="pct"/>
            <w:tcBorders>
              <w:top w:val="nil"/>
              <w:left w:val="nil"/>
              <w:bottom w:val="single" w:sz="8" w:space="0" w:color="BFBFBF"/>
              <w:right w:val="nil"/>
            </w:tcBorders>
            <w:shd w:val="clear" w:color="auto" w:fill="auto"/>
            <w:vAlign w:val="bottom"/>
            <w:hideMark/>
          </w:tcPr>
          <w:p w:rsidR="00195BE7" w:rsidRPr="001E2F6E" w:rsidRDefault="00195BE7" w:rsidP="00195BE7">
            <w:pPr>
              <w:spacing w:line="240" w:lineRule="auto"/>
              <w:jc w:val="right"/>
              <w:rPr>
                <w:b/>
                <w:bCs/>
                <w:color w:val="000000"/>
                <w:sz w:val="10"/>
                <w:szCs w:val="10"/>
              </w:rPr>
            </w:pPr>
            <w:r w:rsidRPr="001E2F6E">
              <w:rPr>
                <w:b/>
                <w:bCs/>
                <w:color w:val="000000"/>
                <w:sz w:val="10"/>
                <w:szCs w:val="10"/>
              </w:rPr>
              <w:t> </w:t>
            </w:r>
          </w:p>
        </w:tc>
      </w:tr>
      <w:tr w:rsidR="00195BE7" w:rsidRPr="001E2F6E" w:rsidTr="00195BE7">
        <w:trPr>
          <w:jc w:val="center"/>
        </w:trPr>
        <w:tc>
          <w:tcPr>
            <w:tcW w:w="1985" w:type="pct"/>
            <w:tcBorders>
              <w:top w:val="nil"/>
              <w:left w:val="nil"/>
              <w:bottom w:val="single" w:sz="8" w:space="0" w:color="BFBFBF"/>
              <w:right w:val="single" w:sz="8" w:space="0" w:color="BFBFBF"/>
            </w:tcBorders>
            <w:shd w:val="clear" w:color="000000" w:fill="DDEEFF"/>
            <w:vAlign w:val="bottom"/>
            <w:hideMark/>
          </w:tcPr>
          <w:p w:rsidR="00195BE7" w:rsidRPr="001E2F6E" w:rsidRDefault="00195BE7" w:rsidP="00195BE7">
            <w:pPr>
              <w:spacing w:line="220" w:lineRule="exact"/>
              <w:rPr>
                <w:b/>
                <w:bCs/>
                <w:sz w:val="16"/>
                <w:szCs w:val="16"/>
                <w:lang w:val="eu-ES"/>
              </w:rPr>
            </w:pPr>
            <w:r w:rsidRPr="001E2F6E">
              <w:rPr>
                <w:b/>
                <w:bCs/>
                <w:sz w:val="16"/>
                <w:szCs w:val="16"/>
                <w:lang w:val="eu-ES"/>
              </w:rPr>
              <w:t>CASH FLOW</w:t>
            </w:r>
          </w:p>
        </w:tc>
        <w:tc>
          <w:tcPr>
            <w:tcW w:w="600" w:type="pct"/>
            <w:tcBorders>
              <w:top w:val="nil"/>
              <w:left w:val="nil"/>
              <w:bottom w:val="single" w:sz="8" w:space="0" w:color="BFBFBF"/>
              <w:right w:val="single" w:sz="8" w:space="0" w:color="BFBFBF"/>
            </w:tcBorders>
            <w:shd w:val="clear" w:color="000000" w:fill="DDEEFF"/>
            <w:vAlign w:val="bottom"/>
            <w:hideMark/>
          </w:tcPr>
          <w:p w:rsidR="00195BE7" w:rsidRPr="001E2F6E" w:rsidRDefault="00195BE7" w:rsidP="00195BE7">
            <w:pPr>
              <w:spacing w:line="220" w:lineRule="exact"/>
              <w:jc w:val="right"/>
              <w:rPr>
                <w:b/>
                <w:bCs/>
                <w:color w:val="000000"/>
                <w:sz w:val="16"/>
                <w:szCs w:val="16"/>
              </w:rPr>
            </w:pPr>
            <w:r w:rsidRPr="001E2F6E">
              <w:rPr>
                <w:b/>
                <w:bCs/>
                <w:color w:val="000000"/>
                <w:sz w:val="16"/>
                <w:szCs w:val="16"/>
              </w:rPr>
              <w:t>14.794.081</w:t>
            </w:r>
          </w:p>
        </w:tc>
        <w:tc>
          <w:tcPr>
            <w:tcW w:w="460" w:type="pct"/>
            <w:tcBorders>
              <w:top w:val="nil"/>
              <w:left w:val="nil"/>
              <w:bottom w:val="single" w:sz="8" w:space="0" w:color="BFBFBF"/>
              <w:right w:val="single" w:sz="8" w:space="0" w:color="BFBFBF"/>
            </w:tcBorders>
            <w:shd w:val="clear" w:color="000000" w:fill="DDEEFF"/>
            <w:vAlign w:val="bottom"/>
            <w:hideMark/>
          </w:tcPr>
          <w:p w:rsidR="00195BE7" w:rsidRPr="001E2F6E" w:rsidRDefault="00195BE7" w:rsidP="00195BE7">
            <w:pPr>
              <w:spacing w:line="220" w:lineRule="exact"/>
              <w:jc w:val="right"/>
              <w:rPr>
                <w:b/>
                <w:bCs/>
                <w:color w:val="000000"/>
                <w:sz w:val="16"/>
                <w:szCs w:val="16"/>
              </w:rPr>
            </w:pPr>
            <w:r w:rsidRPr="001E2F6E">
              <w:rPr>
                <w:b/>
                <w:bCs/>
                <w:color w:val="000000"/>
                <w:sz w:val="16"/>
                <w:szCs w:val="16"/>
              </w:rPr>
              <w:t>0</w:t>
            </w:r>
          </w:p>
        </w:tc>
        <w:tc>
          <w:tcPr>
            <w:tcW w:w="600" w:type="pct"/>
            <w:tcBorders>
              <w:top w:val="nil"/>
              <w:left w:val="nil"/>
              <w:bottom w:val="single" w:sz="8" w:space="0" w:color="BFBFBF"/>
              <w:right w:val="single" w:sz="8" w:space="0" w:color="BFBFBF"/>
            </w:tcBorders>
            <w:shd w:val="clear" w:color="000000" w:fill="DDEEFF"/>
            <w:vAlign w:val="bottom"/>
            <w:hideMark/>
          </w:tcPr>
          <w:p w:rsidR="00195BE7" w:rsidRPr="001E2F6E" w:rsidRDefault="00195BE7" w:rsidP="00195BE7">
            <w:pPr>
              <w:spacing w:line="220" w:lineRule="exact"/>
              <w:jc w:val="right"/>
              <w:rPr>
                <w:b/>
                <w:bCs/>
                <w:color w:val="000000"/>
                <w:sz w:val="16"/>
                <w:szCs w:val="16"/>
              </w:rPr>
            </w:pPr>
            <w:r w:rsidRPr="001E2F6E">
              <w:rPr>
                <w:b/>
                <w:bCs/>
                <w:color w:val="000000"/>
                <w:sz w:val="16"/>
                <w:szCs w:val="16"/>
              </w:rPr>
              <w:t>12.165.499</w:t>
            </w:r>
          </w:p>
        </w:tc>
        <w:tc>
          <w:tcPr>
            <w:tcW w:w="683" w:type="pct"/>
            <w:tcBorders>
              <w:top w:val="nil"/>
              <w:left w:val="nil"/>
              <w:bottom w:val="single" w:sz="8" w:space="0" w:color="BFBFBF"/>
              <w:right w:val="single" w:sz="8" w:space="0" w:color="BFBFBF"/>
            </w:tcBorders>
            <w:shd w:val="clear" w:color="000000" w:fill="DDEEFF"/>
            <w:vAlign w:val="bottom"/>
            <w:hideMark/>
          </w:tcPr>
          <w:p w:rsidR="00195BE7" w:rsidRPr="001E2F6E" w:rsidRDefault="00195BE7" w:rsidP="00195BE7">
            <w:pPr>
              <w:spacing w:line="220" w:lineRule="exact"/>
              <w:jc w:val="right"/>
              <w:rPr>
                <w:b/>
                <w:bCs/>
                <w:color w:val="000000"/>
                <w:sz w:val="16"/>
                <w:szCs w:val="16"/>
              </w:rPr>
            </w:pPr>
            <w:r w:rsidRPr="001E2F6E">
              <w:rPr>
                <w:b/>
                <w:bCs/>
                <w:color w:val="000000"/>
                <w:sz w:val="16"/>
                <w:szCs w:val="16"/>
              </w:rPr>
              <w:t>-100.670</w:t>
            </w:r>
          </w:p>
        </w:tc>
        <w:tc>
          <w:tcPr>
            <w:tcW w:w="672" w:type="pct"/>
            <w:tcBorders>
              <w:top w:val="nil"/>
              <w:left w:val="nil"/>
              <w:bottom w:val="single" w:sz="8" w:space="0" w:color="BFBFBF"/>
              <w:right w:val="single" w:sz="8" w:space="0" w:color="BFBFBF"/>
            </w:tcBorders>
            <w:shd w:val="clear" w:color="000000" w:fill="DDEEFF"/>
            <w:vAlign w:val="bottom"/>
            <w:hideMark/>
          </w:tcPr>
          <w:p w:rsidR="00195BE7" w:rsidRPr="001E2F6E" w:rsidRDefault="00195BE7" w:rsidP="00195BE7">
            <w:pPr>
              <w:spacing w:line="220" w:lineRule="exact"/>
              <w:jc w:val="right"/>
              <w:rPr>
                <w:b/>
                <w:bCs/>
                <w:color w:val="000000"/>
                <w:sz w:val="16"/>
                <w:szCs w:val="16"/>
              </w:rPr>
            </w:pPr>
            <w:r w:rsidRPr="001E2F6E">
              <w:rPr>
                <w:b/>
                <w:bCs/>
                <w:color w:val="000000"/>
                <w:sz w:val="16"/>
                <w:szCs w:val="16"/>
              </w:rPr>
              <w:t>2.729.253</w:t>
            </w:r>
          </w:p>
        </w:tc>
      </w:tr>
    </w:tbl>
    <w:p w:rsidR="00195BE7" w:rsidRPr="001E2F6E" w:rsidRDefault="00195BE7" w:rsidP="00195BE7">
      <w:pPr>
        <w:spacing w:line="240" w:lineRule="auto"/>
        <w:jc w:val="center"/>
        <w:rPr>
          <w:b/>
          <w:color w:val="1F497D" w:themeColor="text2"/>
          <w:sz w:val="18"/>
          <w:szCs w:val="18"/>
        </w:rPr>
      </w:pPr>
      <w:bookmarkStart w:id="252" w:name="_Toc391989142"/>
      <w:bookmarkStart w:id="253" w:name="_Toc392585807"/>
      <w:r w:rsidRPr="00F203B2">
        <w:rPr>
          <w:b/>
          <w:color w:val="1F497D" w:themeColor="text2"/>
          <w:sz w:val="18"/>
          <w:szCs w:val="18"/>
          <w:lang w:val="de-DE"/>
        </w:rPr>
        <w:lastRenderedPageBreak/>
        <w:t>1.</w:t>
      </w:r>
      <w:r w:rsidR="00EB6BA6" w:rsidRPr="001E2F6E">
        <w:rPr>
          <w:b/>
          <w:color w:val="1F497D" w:themeColor="text2"/>
          <w:sz w:val="18"/>
          <w:szCs w:val="18"/>
        </w:rPr>
        <w:fldChar w:fldCharType="begin"/>
      </w:r>
      <w:r w:rsidRPr="00F203B2">
        <w:rPr>
          <w:b/>
          <w:color w:val="1F497D" w:themeColor="text2"/>
          <w:sz w:val="18"/>
          <w:szCs w:val="18"/>
          <w:lang w:val="de-DE"/>
        </w:rPr>
        <w:instrText xml:space="preserve"> SEQ Cuadro_1. \* ARABIC </w:instrText>
      </w:r>
      <w:r w:rsidR="00EB6BA6" w:rsidRPr="001E2F6E">
        <w:rPr>
          <w:b/>
          <w:color w:val="1F497D" w:themeColor="text2"/>
          <w:sz w:val="18"/>
          <w:szCs w:val="18"/>
        </w:rPr>
        <w:fldChar w:fldCharType="separate"/>
      </w:r>
      <w:r w:rsidR="00A327D4">
        <w:rPr>
          <w:b/>
          <w:noProof/>
          <w:color w:val="1F497D" w:themeColor="text2"/>
          <w:sz w:val="18"/>
          <w:szCs w:val="18"/>
          <w:lang w:val="de-DE"/>
        </w:rPr>
        <w:t>72</w:t>
      </w:r>
      <w:r w:rsidR="00EB6BA6" w:rsidRPr="001E2F6E">
        <w:rPr>
          <w:b/>
          <w:color w:val="1F497D" w:themeColor="text2"/>
          <w:sz w:val="18"/>
          <w:szCs w:val="18"/>
        </w:rPr>
        <w:fldChar w:fldCharType="end"/>
      </w:r>
      <w:r w:rsidRPr="00F203B2">
        <w:rPr>
          <w:b/>
          <w:color w:val="1F497D" w:themeColor="text2"/>
          <w:sz w:val="18"/>
          <w:szCs w:val="18"/>
          <w:lang w:val="de-DE"/>
        </w:rPr>
        <w:t xml:space="preserve"> Taula LSM SOZIETATEEN EMAITZEN KONTUAK, JARDUERA-SEKTOREAREN ARABERA. </w:t>
      </w:r>
      <w:r w:rsidRPr="001E2F6E">
        <w:rPr>
          <w:b/>
          <w:color w:val="1F497D" w:themeColor="text2"/>
          <w:sz w:val="18"/>
          <w:szCs w:val="18"/>
        </w:rPr>
        <w:t>2012</w:t>
      </w:r>
      <w:bookmarkEnd w:id="252"/>
      <w:r w:rsidR="00462130" w:rsidRPr="001E2F6E">
        <w:rPr>
          <w:b/>
          <w:color w:val="1F497D" w:themeColor="text2"/>
          <w:sz w:val="18"/>
          <w:szCs w:val="18"/>
        </w:rPr>
        <w:t xml:space="preserve"> </w:t>
      </w:r>
      <w:r w:rsidRPr="001E2F6E">
        <w:rPr>
          <w:b/>
          <w:color w:val="1F497D" w:themeColor="text2"/>
          <w:sz w:val="18"/>
          <w:szCs w:val="18"/>
        </w:rPr>
        <w:t xml:space="preserve"> (</w:t>
      </w:r>
      <w:r w:rsidR="00462130" w:rsidRPr="001E2F6E">
        <w:rPr>
          <w:b/>
          <w:color w:val="1F497D" w:themeColor="text2"/>
          <w:sz w:val="18"/>
          <w:szCs w:val="18"/>
        </w:rPr>
        <w:t>zifra absolutuak</w:t>
      </w:r>
      <w:r w:rsidRPr="001E2F6E">
        <w:rPr>
          <w:b/>
          <w:color w:val="1F497D" w:themeColor="text2"/>
          <w:sz w:val="18"/>
          <w:szCs w:val="18"/>
        </w:rPr>
        <w:t>. Euroan) (Ohiko prezioak)</w:t>
      </w:r>
      <w:bookmarkEnd w:id="253"/>
    </w:p>
    <w:tbl>
      <w:tblPr>
        <w:tblW w:w="5000" w:type="pct"/>
        <w:tblCellMar>
          <w:left w:w="70" w:type="dxa"/>
          <w:right w:w="70" w:type="dxa"/>
        </w:tblCellMar>
        <w:tblLook w:val="04A0" w:firstRow="1" w:lastRow="0" w:firstColumn="1" w:lastColumn="0" w:noHBand="0" w:noVBand="1"/>
      </w:tblPr>
      <w:tblGrid>
        <w:gridCol w:w="3485"/>
        <w:gridCol w:w="1111"/>
        <w:gridCol w:w="852"/>
        <w:gridCol w:w="1109"/>
        <w:gridCol w:w="1262"/>
        <w:gridCol w:w="1109"/>
      </w:tblGrid>
      <w:tr w:rsidR="00195BE7" w:rsidRPr="001E2F6E" w:rsidTr="00195BE7">
        <w:tc>
          <w:tcPr>
            <w:tcW w:w="1952" w:type="pct"/>
            <w:tcBorders>
              <w:top w:val="single" w:sz="8" w:space="0" w:color="BFBFBF"/>
              <w:left w:val="nil"/>
              <w:bottom w:val="single" w:sz="8" w:space="0" w:color="BFBFBF"/>
              <w:right w:val="single" w:sz="8" w:space="0" w:color="BFBFBF"/>
            </w:tcBorders>
            <w:shd w:val="clear" w:color="000000" w:fill="DBE5F1"/>
            <w:vAlign w:val="bottom"/>
            <w:hideMark/>
          </w:tcPr>
          <w:p w:rsidR="00195BE7" w:rsidRPr="001E2F6E" w:rsidRDefault="00195BE7" w:rsidP="00195BE7">
            <w:pPr>
              <w:spacing w:line="220" w:lineRule="exact"/>
              <w:rPr>
                <w:color w:val="000000"/>
                <w:sz w:val="16"/>
                <w:szCs w:val="16"/>
              </w:rPr>
            </w:pPr>
            <w:r w:rsidRPr="001E2F6E">
              <w:rPr>
                <w:color w:val="000000"/>
                <w:sz w:val="16"/>
                <w:szCs w:val="16"/>
              </w:rPr>
              <w:t> </w:t>
            </w:r>
          </w:p>
        </w:tc>
        <w:tc>
          <w:tcPr>
            <w:tcW w:w="622" w:type="pct"/>
            <w:tcBorders>
              <w:top w:val="single" w:sz="8" w:space="0" w:color="BFBFBF"/>
              <w:left w:val="nil"/>
              <w:bottom w:val="single" w:sz="8" w:space="0" w:color="BFBFBF"/>
              <w:right w:val="single" w:sz="8" w:space="0" w:color="BFBFBF"/>
            </w:tcBorders>
            <w:shd w:val="clear" w:color="000000" w:fill="DBE5F1"/>
            <w:vAlign w:val="center"/>
            <w:hideMark/>
          </w:tcPr>
          <w:p w:rsidR="00195BE7" w:rsidRPr="001E2F6E" w:rsidRDefault="00195BE7" w:rsidP="00195BE7">
            <w:pPr>
              <w:spacing w:line="220" w:lineRule="exact"/>
              <w:jc w:val="center"/>
              <w:rPr>
                <w:rFonts w:eastAsia="Times New Roman"/>
                <w:b/>
                <w:bCs/>
                <w:color w:val="000000"/>
                <w:sz w:val="16"/>
                <w:szCs w:val="16"/>
                <w:lang w:eastAsia="es-ES"/>
              </w:rPr>
            </w:pPr>
            <w:r w:rsidRPr="001E2F6E">
              <w:rPr>
                <w:rFonts w:eastAsia="Times New Roman"/>
                <w:b/>
                <w:bCs/>
                <w:color w:val="000000"/>
                <w:sz w:val="16"/>
                <w:szCs w:val="16"/>
                <w:lang w:eastAsia="es-ES"/>
              </w:rPr>
              <w:t>GUZTIRA</w:t>
            </w:r>
          </w:p>
        </w:tc>
        <w:tc>
          <w:tcPr>
            <w:tcW w:w="477" w:type="pct"/>
            <w:tcBorders>
              <w:top w:val="single" w:sz="8" w:space="0" w:color="BFBFBF"/>
              <w:left w:val="nil"/>
              <w:bottom w:val="single" w:sz="8" w:space="0" w:color="BFBFBF"/>
              <w:right w:val="single" w:sz="8" w:space="0" w:color="BFBFBF"/>
            </w:tcBorders>
            <w:shd w:val="clear" w:color="000000" w:fill="DBE5F1"/>
            <w:vAlign w:val="center"/>
            <w:hideMark/>
          </w:tcPr>
          <w:p w:rsidR="00195BE7" w:rsidRPr="001E2F6E" w:rsidRDefault="00195BE7" w:rsidP="00195BE7">
            <w:pPr>
              <w:spacing w:line="220" w:lineRule="exact"/>
              <w:jc w:val="center"/>
              <w:rPr>
                <w:b/>
                <w:bCs/>
                <w:sz w:val="16"/>
                <w:szCs w:val="16"/>
                <w:lang w:val="eu-ES"/>
              </w:rPr>
            </w:pPr>
            <w:r w:rsidRPr="001E2F6E">
              <w:rPr>
                <w:b/>
                <w:bCs/>
                <w:sz w:val="16"/>
                <w:szCs w:val="16"/>
                <w:lang w:val="eu-ES"/>
              </w:rPr>
              <w:t>Lehen sektorea</w:t>
            </w:r>
          </w:p>
        </w:tc>
        <w:tc>
          <w:tcPr>
            <w:tcW w:w="621" w:type="pct"/>
            <w:tcBorders>
              <w:top w:val="single" w:sz="8" w:space="0" w:color="BFBFBF"/>
              <w:left w:val="nil"/>
              <w:bottom w:val="single" w:sz="8" w:space="0" w:color="BFBFBF"/>
              <w:right w:val="single" w:sz="8" w:space="0" w:color="BFBFBF"/>
            </w:tcBorders>
            <w:shd w:val="clear" w:color="000000" w:fill="DBE5F1"/>
            <w:vAlign w:val="center"/>
            <w:hideMark/>
          </w:tcPr>
          <w:p w:rsidR="00195BE7" w:rsidRPr="001E2F6E" w:rsidRDefault="00195BE7" w:rsidP="00195BE7">
            <w:pPr>
              <w:spacing w:line="220" w:lineRule="exact"/>
              <w:jc w:val="center"/>
              <w:rPr>
                <w:b/>
                <w:bCs/>
                <w:sz w:val="16"/>
                <w:szCs w:val="16"/>
                <w:lang w:val="eu-ES"/>
              </w:rPr>
            </w:pPr>
            <w:r w:rsidRPr="001E2F6E">
              <w:rPr>
                <w:b/>
                <w:bCs/>
                <w:sz w:val="16"/>
                <w:szCs w:val="16"/>
                <w:lang w:val="eu-ES"/>
              </w:rPr>
              <w:t>Industria</w:t>
            </w:r>
          </w:p>
        </w:tc>
        <w:tc>
          <w:tcPr>
            <w:tcW w:w="707" w:type="pct"/>
            <w:tcBorders>
              <w:top w:val="single" w:sz="8" w:space="0" w:color="BFBFBF"/>
              <w:left w:val="nil"/>
              <w:bottom w:val="single" w:sz="8" w:space="0" w:color="BFBFBF"/>
              <w:right w:val="single" w:sz="8" w:space="0" w:color="BFBFBF"/>
            </w:tcBorders>
            <w:shd w:val="clear" w:color="000000" w:fill="DBE5F1"/>
            <w:vAlign w:val="center"/>
            <w:hideMark/>
          </w:tcPr>
          <w:p w:rsidR="00195BE7" w:rsidRPr="001E2F6E" w:rsidRDefault="00195BE7" w:rsidP="00195BE7">
            <w:pPr>
              <w:spacing w:line="220" w:lineRule="exact"/>
              <w:jc w:val="center"/>
              <w:rPr>
                <w:b/>
                <w:bCs/>
                <w:sz w:val="16"/>
                <w:szCs w:val="16"/>
                <w:lang w:val="eu-ES"/>
              </w:rPr>
            </w:pPr>
            <w:r w:rsidRPr="001E2F6E">
              <w:rPr>
                <w:b/>
                <w:bCs/>
                <w:sz w:val="16"/>
                <w:szCs w:val="16"/>
                <w:lang w:val="eu-ES"/>
              </w:rPr>
              <w:t>Eraikuntza</w:t>
            </w:r>
          </w:p>
        </w:tc>
        <w:tc>
          <w:tcPr>
            <w:tcW w:w="621" w:type="pct"/>
            <w:tcBorders>
              <w:top w:val="single" w:sz="8" w:space="0" w:color="BFBFBF"/>
              <w:left w:val="nil"/>
              <w:bottom w:val="single" w:sz="8" w:space="0" w:color="BFBFBF"/>
              <w:right w:val="nil"/>
            </w:tcBorders>
            <w:shd w:val="clear" w:color="000000" w:fill="DBE5F1"/>
            <w:vAlign w:val="center"/>
            <w:hideMark/>
          </w:tcPr>
          <w:p w:rsidR="00195BE7" w:rsidRPr="001E2F6E" w:rsidRDefault="00195BE7" w:rsidP="00195BE7">
            <w:pPr>
              <w:spacing w:line="220" w:lineRule="exact"/>
              <w:jc w:val="center"/>
              <w:rPr>
                <w:b/>
                <w:bCs/>
                <w:sz w:val="16"/>
                <w:szCs w:val="16"/>
                <w:lang w:val="eu-ES"/>
              </w:rPr>
            </w:pPr>
            <w:r w:rsidRPr="001E2F6E">
              <w:rPr>
                <w:b/>
                <w:bCs/>
                <w:sz w:val="16"/>
                <w:szCs w:val="16"/>
                <w:lang w:val="eu-ES"/>
              </w:rPr>
              <w:t>Zerbitzuak</w:t>
            </w:r>
          </w:p>
        </w:tc>
      </w:tr>
      <w:tr w:rsidR="00195BE7" w:rsidRPr="001E2F6E" w:rsidTr="00195BE7">
        <w:tc>
          <w:tcPr>
            <w:tcW w:w="1952" w:type="pct"/>
            <w:tcBorders>
              <w:top w:val="nil"/>
              <w:left w:val="nil"/>
              <w:bottom w:val="nil"/>
              <w:right w:val="single" w:sz="8" w:space="0" w:color="BFBFBF"/>
            </w:tcBorders>
            <w:shd w:val="clear" w:color="auto" w:fill="auto"/>
            <w:vAlign w:val="bottom"/>
            <w:hideMark/>
          </w:tcPr>
          <w:p w:rsidR="00195BE7" w:rsidRPr="001E2F6E" w:rsidRDefault="00195BE7" w:rsidP="00195BE7">
            <w:pPr>
              <w:spacing w:line="220" w:lineRule="exact"/>
              <w:rPr>
                <w:b/>
                <w:bCs/>
                <w:sz w:val="16"/>
                <w:szCs w:val="16"/>
                <w:lang w:val="eu-ES"/>
              </w:rPr>
            </w:pPr>
            <w:r w:rsidRPr="001E2F6E">
              <w:rPr>
                <w:b/>
                <w:bCs/>
                <w:sz w:val="16"/>
                <w:szCs w:val="16"/>
                <w:lang w:val="eu-ES"/>
              </w:rPr>
              <w:t>DIRU-SARRERAK</w:t>
            </w:r>
          </w:p>
        </w:tc>
        <w:tc>
          <w:tcPr>
            <w:tcW w:w="622" w:type="pct"/>
            <w:tcBorders>
              <w:top w:val="nil"/>
              <w:left w:val="nil"/>
              <w:bottom w:val="nil"/>
              <w:right w:val="single" w:sz="8" w:space="0" w:color="BFBFBF"/>
            </w:tcBorders>
            <w:shd w:val="clear" w:color="auto" w:fill="auto"/>
            <w:vAlign w:val="bottom"/>
            <w:hideMark/>
          </w:tcPr>
          <w:p w:rsidR="00195BE7" w:rsidRPr="001E2F6E" w:rsidRDefault="00195BE7" w:rsidP="00195BE7">
            <w:pPr>
              <w:spacing w:line="220" w:lineRule="exact"/>
              <w:jc w:val="center"/>
              <w:rPr>
                <w:color w:val="000000"/>
                <w:sz w:val="16"/>
                <w:szCs w:val="16"/>
              </w:rPr>
            </w:pPr>
            <w:r w:rsidRPr="001E2F6E">
              <w:rPr>
                <w:color w:val="000000"/>
                <w:sz w:val="16"/>
                <w:szCs w:val="16"/>
              </w:rPr>
              <w:t> </w:t>
            </w:r>
          </w:p>
        </w:tc>
        <w:tc>
          <w:tcPr>
            <w:tcW w:w="477" w:type="pct"/>
            <w:tcBorders>
              <w:top w:val="nil"/>
              <w:left w:val="nil"/>
              <w:bottom w:val="nil"/>
              <w:right w:val="single" w:sz="8" w:space="0" w:color="BFBFBF"/>
            </w:tcBorders>
            <w:shd w:val="clear" w:color="auto" w:fill="auto"/>
            <w:vAlign w:val="bottom"/>
            <w:hideMark/>
          </w:tcPr>
          <w:p w:rsidR="00195BE7" w:rsidRPr="001E2F6E" w:rsidRDefault="00195BE7" w:rsidP="00195BE7">
            <w:pPr>
              <w:spacing w:line="220" w:lineRule="exact"/>
              <w:jc w:val="center"/>
              <w:rPr>
                <w:color w:val="000000"/>
                <w:sz w:val="16"/>
                <w:szCs w:val="16"/>
              </w:rPr>
            </w:pPr>
            <w:r w:rsidRPr="001E2F6E">
              <w:rPr>
                <w:color w:val="000000"/>
                <w:sz w:val="16"/>
                <w:szCs w:val="16"/>
              </w:rPr>
              <w:t> </w:t>
            </w:r>
          </w:p>
        </w:tc>
        <w:tc>
          <w:tcPr>
            <w:tcW w:w="621" w:type="pct"/>
            <w:tcBorders>
              <w:top w:val="nil"/>
              <w:left w:val="nil"/>
              <w:bottom w:val="nil"/>
              <w:right w:val="single" w:sz="8" w:space="0" w:color="BFBFBF"/>
            </w:tcBorders>
            <w:shd w:val="clear" w:color="auto" w:fill="auto"/>
            <w:vAlign w:val="bottom"/>
            <w:hideMark/>
          </w:tcPr>
          <w:p w:rsidR="00195BE7" w:rsidRPr="001E2F6E" w:rsidRDefault="00195BE7" w:rsidP="00195BE7">
            <w:pPr>
              <w:spacing w:line="220" w:lineRule="exact"/>
              <w:jc w:val="center"/>
              <w:rPr>
                <w:color w:val="000000"/>
                <w:sz w:val="16"/>
                <w:szCs w:val="16"/>
              </w:rPr>
            </w:pPr>
            <w:r w:rsidRPr="001E2F6E">
              <w:rPr>
                <w:color w:val="000000"/>
                <w:sz w:val="16"/>
                <w:szCs w:val="16"/>
              </w:rPr>
              <w:t> </w:t>
            </w:r>
          </w:p>
        </w:tc>
        <w:tc>
          <w:tcPr>
            <w:tcW w:w="707" w:type="pct"/>
            <w:tcBorders>
              <w:top w:val="nil"/>
              <w:left w:val="nil"/>
              <w:bottom w:val="nil"/>
              <w:right w:val="single" w:sz="8" w:space="0" w:color="BFBFBF"/>
            </w:tcBorders>
            <w:shd w:val="clear" w:color="auto" w:fill="auto"/>
            <w:vAlign w:val="bottom"/>
            <w:hideMark/>
          </w:tcPr>
          <w:p w:rsidR="00195BE7" w:rsidRPr="001E2F6E" w:rsidRDefault="00195BE7" w:rsidP="00195BE7">
            <w:pPr>
              <w:spacing w:line="220" w:lineRule="exact"/>
              <w:jc w:val="center"/>
              <w:rPr>
                <w:color w:val="000000"/>
                <w:sz w:val="16"/>
                <w:szCs w:val="16"/>
              </w:rPr>
            </w:pPr>
            <w:r w:rsidRPr="001E2F6E">
              <w:rPr>
                <w:color w:val="000000"/>
                <w:sz w:val="16"/>
                <w:szCs w:val="16"/>
              </w:rPr>
              <w:t> </w:t>
            </w:r>
          </w:p>
        </w:tc>
        <w:tc>
          <w:tcPr>
            <w:tcW w:w="621" w:type="pct"/>
            <w:tcBorders>
              <w:top w:val="nil"/>
              <w:left w:val="nil"/>
              <w:bottom w:val="nil"/>
              <w:right w:val="single" w:sz="8" w:space="0" w:color="BFBFBF"/>
            </w:tcBorders>
            <w:shd w:val="clear" w:color="auto" w:fill="auto"/>
            <w:noWrap/>
            <w:vAlign w:val="bottom"/>
            <w:hideMark/>
          </w:tcPr>
          <w:p w:rsidR="00195BE7" w:rsidRPr="001E2F6E" w:rsidRDefault="00195BE7" w:rsidP="00195BE7">
            <w:pPr>
              <w:spacing w:line="220" w:lineRule="exact"/>
              <w:jc w:val="right"/>
              <w:rPr>
                <w:color w:val="000000"/>
                <w:sz w:val="16"/>
                <w:szCs w:val="16"/>
              </w:rPr>
            </w:pPr>
            <w:r w:rsidRPr="001E2F6E">
              <w:rPr>
                <w:color w:val="000000"/>
                <w:sz w:val="16"/>
                <w:szCs w:val="16"/>
              </w:rPr>
              <w:t> </w:t>
            </w:r>
          </w:p>
        </w:tc>
      </w:tr>
      <w:tr w:rsidR="00195BE7" w:rsidRPr="001E2F6E" w:rsidTr="00195BE7">
        <w:tc>
          <w:tcPr>
            <w:tcW w:w="1952" w:type="pct"/>
            <w:tcBorders>
              <w:top w:val="nil"/>
              <w:left w:val="nil"/>
              <w:bottom w:val="nil"/>
              <w:right w:val="single" w:sz="8" w:space="0" w:color="BFBFBF"/>
            </w:tcBorders>
            <w:shd w:val="clear" w:color="auto" w:fill="auto"/>
            <w:vAlign w:val="bottom"/>
            <w:hideMark/>
          </w:tcPr>
          <w:p w:rsidR="00195BE7" w:rsidRPr="001E2F6E" w:rsidRDefault="00195BE7" w:rsidP="00195BE7">
            <w:pPr>
              <w:spacing w:line="220" w:lineRule="exact"/>
              <w:rPr>
                <w:sz w:val="16"/>
                <w:szCs w:val="16"/>
                <w:lang w:val="eu-ES"/>
              </w:rPr>
            </w:pPr>
            <w:r w:rsidRPr="001E2F6E">
              <w:rPr>
                <w:sz w:val="16"/>
                <w:szCs w:val="16"/>
                <w:lang w:val="eu-ES"/>
              </w:rPr>
              <w:t>70 Salmenta garbiak</w:t>
            </w:r>
          </w:p>
        </w:tc>
        <w:tc>
          <w:tcPr>
            <w:tcW w:w="622" w:type="pct"/>
            <w:tcBorders>
              <w:top w:val="nil"/>
              <w:left w:val="nil"/>
              <w:bottom w:val="nil"/>
              <w:right w:val="single" w:sz="8" w:space="0" w:color="BFBFBF"/>
            </w:tcBorders>
            <w:shd w:val="clear" w:color="auto" w:fill="auto"/>
            <w:noWrap/>
            <w:vAlign w:val="bottom"/>
            <w:hideMark/>
          </w:tcPr>
          <w:p w:rsidR="00195BE7" w:rsidRPr="001E2F6E" w:rsidRDefault="00195BE7" w:rsidP="00195BE7">
            <w:pPr>
              <w:spacing w:line="220" w:lineRule="exact"/>
              <w:jc w:val="right"/>
              <w:rPr>
                <w:color w:val="000000"/>
                <w:sz w:val="16"/>
                <w:szCs w:val="16"/>
              </w:rPr>
            </w:pPr>
            <w:r w:rsidRPr="001E2F6E">
              <w:rPr>
                <w:color w:val="000000"/>
                <w:sz w:val="16"/>
                <w:szCs w:val="16"/>
              </w:rPr>
              <w:t>262.370.098</w:t>
            </w:r>
          </w:p>
        </w:tc>
        <w:tc>
          <w:tcPr>
            <w:tcW w:w="477" w:type="pct"/>
            <w:tcBorders>
              <w:top w:val="nil"/>
              <w:left w:val="nil"/>
              <w:bottom w:val="nil"/>
              <w:right w:val="single" w:sz="8" w:space="0" w:color="BFBFBF"/>
            </w:tcBorders>
            <w:shd w:val="clear" w:color="auto" w:fill="auto"/>
            <w:noWrap/>
            <w:vAlign w:val="bottom"/>
            <w:hideMark/>
          </w:tcPr>
          <w:p w:rsidR="00195BE7" w:rsidRPr="001E2F6E" w:rsidRDefault="00195BE7" w:rsidP="00195BE7">
            <w:pPr>
              <w:spacing w:line="220" w:lineRule="exact"/>
              <w:jc w:val="right"/>
              <w:rPr>
                <w:color w:val="000000"/>
                <w:sz w:val="16"/>
                <w:szCs w:val="16"/>
              </w:rPr>
            </w:pPr>
            <w:r w:rsidRPr="001E2F6E">
              <w:rPr>
                <w:color w:val="000000"/>
                <w:sz w:val="16"/>
                <w:szCs w:val="16"/>
              </w:rPr>
              <w:t>630.336</w:t>
            </w:r>
          </w:p>
        </w:tc>
        <w:tc>
          <w:tcPr>
            <w:tcW w:w="621" w:type="pct"/>
            <w:tcBorders>
              <w:top w:val="nil"/>
              <w:left w:val="nil"/>
              <w:bottom w:val="nil"/>
              <w:right w:val="single" w:sz="8" w:space="0" w:color="BFBFBF"/>
            </w:tcBorders>
            <w:shd w:val="clear" w:color="auto" w:fill="auto"/>
            <w:noWrap/>
            <w:vAlign w:val="bottom"/>
            <w:hideMark/>
          </w:tcPr>
          <w:p w:rsidR="00195BE7" w:rsidRPr="001E2F6E" w:rsidRDefault="00195BE7" w:rsidP="00195BE7">
            <w:pPr>
              <w:spacing w:line="220" w:lineRule="exact"/>
              <w:jc w:val="right"/>
              <w:rPr>
                <w:color w:val="000000"/>
                <w:sz w:val="16"/>
                <w:szCs w:val="16"/>
              </w:rPr>
            </w:pPr>
            <w:r w:rsidRPr="001E2F6E">
              <w:rPr>
                <w:color w:val="000000"/>
                <w:sz w:val="16"/>
                <w:szCs w:val="16"/>
              </w:rPr>
              <w:t>111.101.683</w:t>
            </w:r>
          </w:p>
        </w:tc>
        <w:tc>
          <w:tcPr>
            <w:tcW w:w="707" w:type="pct"/>
            <w:tcBorders>
              <w:top w:val="nil"/>
              <w:left w:val="nil"/>
              <w:bottom w:val="nil"/>
              <w:right w:val="single" w:sz="8" w:space="0" w:color="BFBFBF"/>
            </w:tcBorders>
            <w:shd w:val="clear" w:color="auto" w:fill="auto"/>
            <w:noWrap/>
            <w:vAlign w:val="bottom"/>
            <w:hideMark/>
          </w:tcPr>
          <w:p w:rsidR="00195BE7" w:rsidRPr="001E2F6E" w:rsidRDefault="00195BE7" w:rsidP="00195BE7">
            <w:pPr>
              <w:spacing w:line="220" w:lineRule="exact"/>
              <w:jc w:val="right"/>
              <w:rPr>
                <w:color w:val="000000"/>
                <w:sz w:val="16"/>
                <w:szCs w:val="16"/>
              </w:rPr>
            </w:pPr>
            <w:r w:rsidRPr="001E2F6E">
              <w:rPr>
                <w:color w:val="000000"/>
                <w:sz w:val="16"/>
                <w:szCs w:val="16"/>
              </w:rPr>
              <w:t>33.192.000</w:t>
            </w:r>
          </w:p>
        </w:tc>
        <w:tc>
          <w:tcPr>
            <w:tcW w:w="621" w:type="pct"/>
            <w:tcBorders>
              <w:top w:val="nil"/>
              <w:left w:val="nil"/>
              <w:bottom w:val="nil"/>
              <w:right w:val="single" w:sz="8" w:space="0" w:color="BFBFBF"/>
            </w:tcBorders>
            <w:shd w:val="clear" w:color="auto" w:fill="auto"/>
            <w:noWrap/>
            <w:vAlign w:val="bottom"/>
            <w:hideMark/>
          </w:tcPr>
          <w:p w:rsidR="00195BE7" w:rsidRPr="001E2F6E" w:rsidRDefault="00195BE7" w:rsidP="00195BE7">
            <w:pPr>
              <w:spacing w:line="220" w:lineRule="exact"/>
              <w:jc w:val="right"/>
              <w:rPr>
                <w:color w:val="000000"/>
                <w:sz w:val="16"/>
                <w:szCs w:val="16"/>
              </w:rPr>
            </w:pPr>
            <w:r w:rsidRPr="001E2F6E">
              <w:rPr>
                <w:color w:val="000000"/>
                <w:sz w:val="16"/>
                <w:szCs w:val="16"/>
              </w:rPr>
              <w:t>117.446.079</w:t>
            </w:r>
          </w:p>
        </w:tc>
      </w:tr>
      <w:tr w:rsidR="00195BE7" w:rsidRPr="001E2F6E" w:rsidTr="00195BE7">
        <w:tc>
          <w:tcPr>
            <w:tcW w:w="1952" w:type="pct"/>
            <w:tcBorders>
              <w:top w:val="nil"/>
              <w:left w:val="nil"/>
              <w:bottom w:val="nil"/>
              <w:right w:val="single" w:sz="8" w:space="0" w:color="BFBFBF"/>
            </w:tcBorders>
            <w:shd w:val="clear" w:color="auto" w:fill="auto"/>
            <w:vAlign w:val="bottom"/>
            <w:hideMark/>
          </w:tcPr>
          <w:p w:rsidR="00195BE7" w:rsidRPr="001E2F6E" w:rsidRDefault="00195BE7" w:rsidP="00195BE7">
            <w:pPr>
              <w:spacing w:line="220" w:lineRule="exact"/>
              <w:rPr>
                <w:sz w:val="16"/>
                <w:szCs w:val="16"/>
                <w:lang w:val="eu-ES"/>
              </w:rPr>
            </w:pPr>
            <w:r w:rsidRPr="001E2F6E">
              <w:rPr>
                <w:sz w:val="16"/>
                <w:szCs w:val="16"/>
                <w:lang w:val="eu-ES"/>
              </w:rPr>
              <w:t>71 Izakinen aldaketa</w:t>
            </w:r>
          </w:p>
        </w:tc>
        <w:tc>
          <w:tcPr>
            <w:tcW w:w="622" w:type="pct"/>
            <w:tcBorders>
              <w:top w:val="nil"/>
              <w:left w:val="nil"/>
              <w:bottom w:val="nil"/>
              <w:right w:val="single" w:sz="8" w:space="0" w:color="BFBFBF"/>
            </w:tcBorders>
            <w:shd w:val="clear" w:color="auto" w:fill="auto"/>
            <w:noWrap/>
            <w:vAlign w:val="bottom"/>
            <w:hideMark/>
          </w:tcPr>
          <w:p w:rsidR="00195BE7" w:rsidRPr="001E2F6E" w:rsidRDefault="00195BE7" w:rsidP="00195BE7">
            <w:pPr>
              <w:spacing w:line="220" w:lineRule="exact"/>
              <w:jc w:val="right"/>
              <w:rPr>
                <w:color w:val="000000"/>
                <w:sz w:val="16"/>
                <w:szCs w:val="16"/>
              </w:rPr>
            </w:pPr>
            <w:r w:rsidRPr="001E2F6E">
              <w:rPr>
                <w:color w:val="000000"/>
                <w:sz w:val="16"/>
                <w:szCs w:val="16"/>
              </w:rPr>
              <w:t>232.374</w:t>
            </w:r>
          </w:p>
        </w:tc>
        <w:tc>
          <w:tcPr>
            <w:tcW w:w="477" w:type="pct"/>
            <w:tcBorders>
              <w:top w:val="nil"/>
              <w:left w:val="nil"/>
              <w:bottom w:val="nil"/>
              <w:right w:val="single" w:sz="8" w:space="0" w:color="BFBFBF"/>
            </w:tcBorders>
            <w:shd w:val="clear" w:color="auto" w:fill="auto"/>
            <w:noWrap/>
            <w:vAlign w:val="bottom"/>
            <w:hideMark/>
          </w:tcPr>
          <w:p w:rsidR="00195BE7" w:rsidRPr="001E2F6E" w:rsidRDefault="00195BE7" w:rsidP="00195BE7">
            <w:pPr>
              <w:spacing w:line="220" w:lineRule="exact"/>
              <w:jc w:val="right"/>
              <w:rPr>
                <w:color w:val="000000"/>
                <w:sz w:val="16"/>
                <w:szCs w:val="16"/>
              </w:rPr>
            </w:pPr>
            <w:r w:rsidRPr="001E2F6E">
              <w:rPr>
                <w:color w:val="000000"/>
                <w:sz w:val="16"/>
                <w:szCs w:val="16"/>
              </w:rPr>
              <w:t> </w:t>
            </w:r>
          </w:p>
        </w:tc>
        <w:tc>
          <w:tcPr>
            <w:tcW w:w="621" w:type="pct"/>
            <w:tcBorders>
              <w:top w:val="nil"/>
              <w:left w:val="nil"/>
              <w:bottom w:val="nil"/>
              <w:right w:val="single" w:sz="8" w:space="0" w:color="BFBFBF"/>
            </w:tcBorders>
            <w:shd w:val="clear" w:color="auto" w:fill="auto"/>
            <w:noWrap/>
            <w:vAlign w:val="bottom"/>
            <w:hideMark/>
          </w:tcPr>
          <w:p w:rsidR="00195BE7" w:rsidRPr="001E2F6E" w:rsidRDefault="00195BE7" w:rsidP="00195BE7">
            <w:pPr>
              <w:spacing w:line="220" w:lineRule="exact"/>
              <w:jc w:val="right"/>
              <w:rPr>
                <w:color w:val="000000"/>
                <w:sz w:val="16"/>
                <w:szCs w:val="16"/>
              </w:rPr>
            </w:pPr>
            <w:r w:rsidRPr="001E2F6E">
              <w:rPr>
                <w:color w:val="000000"/>
                <w:sz w:val="16"/>
                <w:szCs w:val="16"/>
              </w:rPr>
              <w:t>-358.213</w:t>
            </w:r>
          </w:p>
        </w:tc>
        <w:tc>
          <w:tcPr>
            <w:tcW w:w="707" w:type="pct"/>
            <w:tcBorders>
              <w:top w:val="nil"/>
              <w:left w:val="nil"/>
              <w:bottom w:val="nil"/>
              <w:right w:val="single" w:sz="8" w:space="0" w:color="BFBFBF"/>
            </w:tcBorders>
            <w:shd w:val="clear" w:color="auto" w:fill="auto"/>
            <w:noWrap/>
            <w:vAlign w:val="bottom"/>
            <w:hideMark/>
          </w:tcPr>
          <w:p w:rsidR="00195BE7" w:rsidRPr="001E2F6E" w:rsidRDefault="00195BE7" w:rsidP="00195BE7">
            <w:pPr>
              <w:spacing w:line="220" w:lineRule="exact"/>
              <w:jc w:val="right"/>
              <w:rPr>
                <w:color w:val="000000"/>
                <w:sz w:val="16"/>
                <w:szCs w:val="16"/>
              </w:rPr>
            </w:pPr>
            <w:r w:rsidRPr="001E2F6E">
              <w:rPr>
                <w:color w:val="000000"/>
                <w:sz w:val="16"/>
                <w:szCs w:val="16"/>
              </w:rPr>
              <w:t>-247.534</w:t>
            </w:r>
          </w:p>
        </w:tc>
        <w:tc>
          <w:tcPr>
            <w:tcW w:w="621" w:type="pct"/>
            <w:tcBorders>
              <w:top w:val="nil"/>
              <w:left w:val="nil"/>
              <w:bottom w:val="nil"/>
              <w:right w:val="single" w:sz="8" w:space="0" w:color="BFBFBF"/>
            </w:tcBorders>
            <w:shd w:val="clear" w:color="auto" w:fill="auto"/>
            <w:noWrap/>
            <w:vAlign w:val="bottom"/>
            <w:hideMark/>
          </w:tcPr>
          <w:p w:rsidR="00195BE7" w:rsidRPr="001E2F6E" w:rsidRDefault="00195BE7" w:rsidP="00195BE7">
            <w:pPr>
              <w:spacing w:line="220" w:lineRule="exact"/>
              <w:jc w:val="right"/>
              <w:rPr>
                <w:color w:val="000000"/>
                <w:sz w:val="16"/>
                <w:szCs w:val="16"/>
              </w:rPr>
            </w:pPr>
            <w:r w:rsidRPr="001E2F6E">
              <w:rPr>
                <w:color w:val="000000"/>
                <w:sz w:val="16"/>
                <w:szCs w:val="16"/>
              </w:rPr>
              <w:t>838.121</w:t>
            </w:r>
          </w:p>
        </w:tc>
      </w:tr>
      <w:tr w:rsidR="00195BE7" w:rsidRPr="001E2F6E" w:rsidTr="00195BE7">
        <w:tc>
          <w:tcPr>
            <w:tcW w:w="1952" w:type="pct"/>
            <w:tcBorders>
              <w:top w:val="nil"/>
              <w:left w:val="nil"/>
              <w:bottom w:val="nil"/>
              <w:right w:val="single" w:sz="8" w:space="0" w:color="BFBFBF"/>
            </w:tcBorders>
            <w:shd w:val="clear" w:color="auto" w:fill="auto"/>
            <w:vAlign w:val="bottom"/>
            <w:hideMark/>
          </w:tcPr>
          <w:p w:rsidR="00195BE7" w:rsidRPr="001E2F6E" w:rsidRDefault="00195BE7" w:rsidP="00195BE7">
            <w:pPr>
              <w:spacing w:line="220" w:lineRule="exact"/>
              <w:rPr>
                <w:sz w:val="16"/>
                <w:szCs w:val="16"/>
                <w:lang w:val="eu-ES"/>
              </w:rPr>
            </w:pPr>
            <w:r w:rsidRPr="001E2F6E">
              <w:rPr>
                <w:sz w:val="16"/>
                <w:szCs w:val="16"/>
                <w:lang w:val="eu-ES"/>
              </w:rPr>
              <w:t>73 Ibilgeturako egindako lanak</w:t>
            </w:r>
          </w:p>
        </w:tc>
        <w:tc>
          <w:tcPr>
            <w:tcW w:w="622" w:type="pct"/>
            <w:tcBorders>
              <w:top w:val="nil"/>
              <w:left w:val="nil"/>
              <w:bottom w:val="nil"/>
              <w:right w:val="single" w:sz="8" w:space="0" w:color="BFBFBF"/>
            </w:tcBorders>
            <w:shd w:val="clear" w:color="auto" w:fill="auto"/>
            <w:noWrap/>
            <w:vAlign w:val="bottom"/>
            <w:hideMark/>
          </w:tcPr>
          <w:p w:rsidR="00195BE7" w:rsidRPr="001E2F6E" w:rsidRDefault="00195BE7" w:rsidP="00195BE7">
            <w:pPr>
              <w:spacing w:line="220" w:lineRule="exact"/>
              <w:jc w:val="right"/>
              <w:rPr>
                <w:color w:val="000000"/>
                <w:sz w:val="16"/>
                <w:szCs w:val="16"/>
              </w:rPr>
            </w:pPr>
            <w:r w:rsidRPr="001E2F6E">
              <w:rPr>
                <w:color w:val="000000"/>
                <w:sz w:val="16"/>
                <w:szCs w:val="16"/>
              </w:rPr>
              <w:t>1.030.816</w:t>
            </w:r>
          </w:p>
        </w:tc>
        <w:tc>
          <w:tcPr>
            <w:tcW w:w="477" w:type="pct"/>
            <w:tcBorders>
              <w:top w:val="nil"/>
              <w:left w:val="nil"/>
              <w:bottom w:val="nil"/>
              <w:right w:val="single" w:sz="8" w:space="0" w:color="BFBFBF"/>
            </w:tcBorders>
            <w:shd w:val="clear" w:color="auto" w:fill="auto"/>
            <w:noWrap/>
            <w:vAlign w:val="bottom"/>
            <w:hideMark/>
          </w:tcPr>
          <w:p w:rsidR="00195BE7" w:rsidRPr="001E2F6E" w:rsidRDefault="00195BE7" w:rsidP="00195BE7">
            <w:pPr>
              <w:spacing w:line="220" w:lineRule="exact"/>
              <w:jc w:val="right"/>
              <w:rPr>
                <w:color w:val="000000"/>
                <w:sz w:val="16"/>
                <w:szCs w:val="16"/>
              </w:rPr>
            </w:pPr>
            <w:r w:rsidRPr="001E2F6E">
              <w:rPr>
                <w:color w:val="000000"/>
                <w:sz w:val="16"/>
                <w:szCs w:val="16"/>
              </w:rPr>
              <w:t> </w:t>
            </w:r>
          </w:p>
        </w:tc>
        <w:tc>
          <w:tcPr>
            <w:tcW w:w="621" w:type="pct"/>
            <w:tcBorders>
              <w:top w:val="nil"/>
              <w:left w:val="nil"/>
              <w:bottom w:val="nil"/>
              <w:right w:val="single" w:sz="8" w:space="0" w:color="BFBFBF"/>
            </w:tcBorders>
            <w:shd w:val="clear" w:color="auto" w:fill="auto"/>
            <w:noWrap/>
            <w:vAlign w:val="bottom"/>
            <w:hideMark/>
          </w:tcPr>
          <w:p w:rsidR="00195BE7" w:rsidRPr="001E2F6E" w:rsidRDefault="00195BE7" w:rsidP="00195BE7">
            <w:pPr>
              <w:spacing w:line="220" w:lineRule="exact"/>
              <w:jc w:val="right"/>
              <w:rPr>
                <w:color w:val="000000"/>
                <w:sz w:val="16"/>
                <w:szCs w:val="16"/>
              </w:rPr>
            </w:pPr>
            <w:r w:rsidRPr="001E2F6E">
              <w:rPr>
                <w:color w:val="000000"/>
                <w:sz w:val="16"/>
                <w:szCs w:val="16"/>
              </w:rPr>
              <w:t>460</w:t>
            </w:r>
          </w:p>
        </w:tc>
        <w:tc>
          <w:tcPr>
            <w:tcW w:w="707" w:type="pct"/>
            <w:tcBorders>
              <w:top w:val="nil"/>
              <w:left w:val="nil"/>
              <w:bottom w:val="nil"/>
              <w:right w:val="single" w:sz="8" w:space="0" w:color="BFBFBF"/>
            </w:tcBorders>
            <w:shd w:val="clear" w:color="auto" w:fill="auto"/>
            <w:noWrap/>
            <w:vAlign w:val="bottom"/>
            <w:hideMark/>
          </w:tcPr>
          <w:p w:rsidR="00195BE7" w:rsidRPr="001E2F6E" w:rsidRDefault="00195BE7" w:rsidP="00195BE7">
            <w:pPr>
              <w:spacing w:line="220" w:lineRule="exact"/>
              <w:jc w:val="right"/>
              <w:rPr>
                <w:color w:val="000000"/>
                <w:sz w:val="16"/>
                <w:szCs w:val="16"/>
              </w:rPr>
            </w:pPr>
            <w:r w:rsidRPr="001E2F6E">
              <w:rPr>
                <w:color w:val="000000"/>
                <w:sz w:val="16"/>
                <w:szCs w:val="16"/>
              </w:rPr>
              <w:t>180.232</w:t>
            </w:r>
          </w:p>
        </w:tc>
        <w:tc>
          <w:tcPr>
            <w:tcW w:w="621" w:type="pct"/>
            <w:tcBorders>
              <w:top w:val="nil"/>
              <w:left w:val="nil"/>
              <w:bottom w:val="nil"/>
              <w:right w:val="single" w:sz="8" w:space="0" w:color="BFBFBF"/>
            </w:tcBorders>
            <w:shd w:val="clear" w:color="auto" w:fill="auto"/>
            <w:noWrap/>
            <w:vAlign w:val="bottom"/>
            <w:hideMark/>
          </w:tcPr>
          <w:p w:rsidR="00195BE7" w:rsidRPr="001E2F6E" w:rsidRDefault="00195BE7" w:rsidP="00195BE7">
            <w:pPr>
              <w:spacing w:line="220" w:lineRule="exact"/>
              <w:jc w:val="right"/>
              <w:rPr>
                <w:color w:val="000000"/>
                <w:sz w:val="16"/>
                <w:szCs w:val="16"/>
              </w:rPr>
            </w:pPr>
            <w:r w:rsidRPr="001E2F6E">
              <w:rPr>
                <w:color w:val="000000"/>
                <w:sz w:val="16"/>
                <w:szCs w:val="16"/>
              </w:rPr>
              <w:t>850.124</w:t>
            </w:r>
          </w:p>
        </w:tc>
      </w:tr>
      <w:tr w:rsidR="00195BE7" w:rsidRPr="001E2F6E" w:rsidTr="00195BE7">
        <w:tc>
          <w:tcPr>
            <w:tcW w:w="1952" w:type="pct"/>
            <w:tcBorders>
              <w:top w:val="nil"/>
              <w:left w:val="nil"/>
              <w:bottom w:val="nil"/>
              <w:right w:val="single" w:sz="8" w:space="0" w:color="BFBFBF"/>
            </w:tcBorders>
            <w:shd w:val="clear" w:color="auto" w:fill="auto"/>
            <w:vAlign w:val="bottom"/>
            <w:hideMark/>
          </w:tcPr>
          <w:p w:rsidR="00195BE7" w:rsidRPr="001E2F6E" w:rsidRDefault="00195BE7" w:rsidP="00195BE7">
            <w:pPr>
              <w:spacing w:line="220" w:lineRule="exact"/>
              <w:rPr>
                <w:sz w:val="16"/>
                <w:szCs w:val="16"/>
                <w:lang w:val="eu-ES"/>
              </w:rPr>
            </w:pPr>
            <w:r w:rsidRPr="001E2F6E">
              <w:rPr>
                <w:sz w:val="16"/>
                <w:szCs w:val="16"/>
                <w:lang w:val="eu-ES"/>
              </w:rPr>
              <w:t>74 Ustiapeneko dirulaguntzak</w:t>
            </w:r>
          </w:p>
        </w:tc>
        <w:tc>
          <w:tcPr>
            <w:tcW w:w="622" w:type="pct"/>
            <w:tcBorders>
              <w:top w:val="nil"/>
              <w:left w:val="nil"/>
              <w:bottom w:val="nil"/>
              <w:right w:val="single" w:sz="8" w:space="0" w:color="BFBFBF"/>
            </w:tcBorders>
            <w:shd w:val="clear" w:color="auto" w:fill="auto"/>
            <w:noWrap/>
            <w:vAlign w:val="bottom"/>
            <w:hideMark/>
          </w:tcPr>
          <w:p w:rsidR="00195BE7" w:rsidRPr="001E2F6E" w:rsidRDefault="00195BE7" w:rsidP="00195BE7">
            <w:pPr>
              <w:spacing w:line="220" w:lineRule="exact"/>
              <w:jc w:val="right"/>
              <w:rPr>
                <w:color w:val="000000"/>
                <w:sz w:val="16"/>
                <w:szCs w:val="16"/>
              </w:rPr>
            </w:pPr>
            <w:r w:rsidRPr="001E2F6E">
              <w:rPr>
                <w:color w:val="000000"/>
                <w:sz w:val="16"/>
                <w:szCs w:val="16"/>
              </w:rPr>
              <w:t>10.016.239</w:t>
            </w:r>
          </w:p>
        </w:tc>
        <w:tc>
          <w:tcPr>
            <w:tcW w:w="477" w:type="pct"/>
            <w:tcBorders>
              <w:top w:val="nil"/>
              <w:left w:val="nil"/>
              <w:bottom w:val="nil"/>
              <w:right w:val="single" w:sz="8" w:space="0" w:color="BFBFBF"/>
            </w:tcBorders>
            <w:shd w:val="clear" w:color="auto" w:fill="auto"/>
            <w:noWrap/>
            <w:vAlign w:val="bottom"/>
            <w:hideMark/>
          </w:tcPr>
          <w:p w:rsidR="00195BE7" w:rsidRPr="001E2F6E" w:rsidRDefault="00195BE7" w:rsidP="00195BE7">
            <w:pPr>
              <w:spacing w:line="220" w:lineRule="exact"/>
              <w:jc w:val="right"/>
              <w:rPr>
                <w:color w:val="000000"/>
                <w:sz w:val="16"/>
                <w:szCs w:val="16"/>
              </w:rPr>
            </w:pPr>
            <w:r w:rsidRPr="001E2F6E">
              <w:rPr>
                <w:color w:val="000000"/>
                <w:sz w:val="16"/>
                <w:szCs w:val="16"/>
              </w:rPr>
              <w:t>88.524</w:t>
            </w:r>
          </w:p>
        </w:tc>
        <w:tc>
          <w:tcPr>
            <w:tcW w:w="621" w:type="pct"/>
            <w:tcBorders>
              <w:top w:val="nil"/>
              <w:left w:val="nil"/>
              <w:bottom w:val="nil"/>
              <w:right w:val="single" w:sz="8" w:space="0" w:color="BFBFBF"/>
            </w:tcBorders>
            <w:shd w:val="clear" w:color="auto" w:fill="auto"/>
            <w:noWrap/>
            <w:vAlign w:val="bottom"/>
            <w:hideMark/>
          </w:tcPr>
          <w:p w:rsidR="00195BE7" w:rsidRPr="001E2F6E" w:rsidRDefault="00195BE7" w:rsidP="00195BE7">
            <w:pPr>
              <w:spacing w:line="220" w:lineRule="exact"/>
              <w:jc w:val="right"/>
              <w:rPr>
                <w:color w:val="000000"/>
                <w:sz w:val="16"/>
                <w:szCs w:val="16"/>
              </w:rPr>
            </w:pPr>
            <w:r w:rsidRPr="001E2F6E">
              <w:rPr>
                <w:color w:val="000000"/>
                <w:sz w:val="16"/>
                <w:szCs w:val="16"/>
              </w:rPr>
              <w:t>7.039.958</w:t>
            </w:r>
          </w:p>
        </w:tc>
        <w:tc>
          <w:tcPr>
            <w:tcW w:w="707" w:type="pct"/>
            <w:tcBorders>
              <w:top w:val="nil"/>
              <w:left w:val="nil"/>
              <w:bottom w:val="nil"/>
              <w:right w:val="single" w:sz="8" w:space="0" w:color="BFBFBF"/>
            </w:tcBorders>
            <w:shd w:val="clear" w:color="auto" w:fill="auto"/>
            <w:noWrap/>
            <w:vAlign w:val="bottom"/>
            <w:hideMark/>
          </w:tcPr>
          <w:p w:rsidR="00195BE7" w:rsidRPr="001E2F6E" w:rsidRDefault="00195BE7" w:rsidP="00195BE7">
            <w:pPr>
              <w:spacing w:line="220" w:lineRule="exact"/>
              <w:jc w:val="right"/>
              <w:rPr>
                <w:color w:val="000000"/>
                <w:sz w:val="16"/>
                <w:szCs w:val="16"/>
              </w:rPr>
            </w:pPr>
            <w:r w:rsidRPr="001E2F6E">
              <w:rPr>
                <w:color w:val="000000"/>
                <w:sz w:val="16"/>
                <w:szCs w:val="16"/>
              </w:rPr>
              <w:t>96.544</w:t>
            </w:r>
          </w:p>
        </w:tc>
        <w:tc>
          <w:tcPr>
            <w:tcW w:w="621" w:type="pct"/>
            <w:tcBorders>
              <w:top w:val="nil"/>
              <w:left w:val="nil"/>
              <w:bottom w:val="nil"/>
              <w:right w:val="single" w:sz="8" w:space="0" w:color="BFBFBF"/>
            </w:tcBorders>
            <w:shd w:val="clear" w:color="auto" w:fill="auto"/>
            <w:noWrap/>
            <w:vAlign w:val="bottom"/>
            <w:hideMark/>
          </w:tcPr>
          <w:p w:rsidR="00195BE7" w:rsidRPr="001E2F6E" w:rsidRDefault="00195BE7" w:rsidP="00195BE7">
            <w:pPr>
              <w:spacing w:line="220" w:lineRule="exact"/>
              <w:jc w:val="right"/>
              <w:rPr>
                <w:color w:val="000000"/>
                <w:sz w:val="16"/>
                <w:szCs w:val="16"/>
              </w:rPr>
            </w:pPr>
            <w:r w:rsidRPr="001E2F6E">
              <w:rPr>
                <w:color w:val="000000"/>
                <w:sz w:val="16"/>
                <w:szCs w:val="16"/>
              </w:rPr>
              <w:t>2.791.212</w:t>
            </w:r>
          </w:p>
        </w:tc>
      </w:tr>
      <w:tr w:rsidR="00195BE7" w:rsidRPr="001E2F6E" w:rsidTr="00195BE7">
        <w:tc>
          <w:tcPr>
            <w:tcW w:w="1952" w:type="pct"/>
            <w:tcBorders>
              <w:top w:val="nil"/>
              <w:left w:val="nil"/>
              <w:bottom w:val="nil"/>
              <w:right w:val="single" w:sz="8" w:space="0" w:color="BFBFBF"/>
            </w:tcBorders>
            <w:shd w:val="clear" w:color="auto" w:fill="auto"/>
            <w:vAlign w:val="bottom"/>
            <w:hideMark/>
          </w:tcPr>
          <w:p w:rsidR="00195BE7" w:rsidRPr="001E2F6E" w:rsidRDefault="00195BE7" w:rsidP="00195BE7">
            <w:pPr>
              <w:spacing w:line="220" w:lineRule="exact"/>
              <w:rPr>
                <w:sz w:val="16"/>
                <w:szCs w:val="16"/>
                <w:lang w:val="eu-ES"/>
              </w:rPr>
            </w:pPr>
            <w:r w:rsidRPr="001E2F6E">
              <w:rPr>
                <w:sz w:val="16"/>
                <w:szCs w:val="16"/>
                <w:lang w:val="eu-ES"/>
              </w:rPr>
              <w:t>75 Diru-sarrera osagarriak</w:t>
            </w:r>
          </w:p>
        </w:tc>
        <w:tc>
          <w:tcPr>
            <w:tcW w:w="622" w:type="pct"/>
            <w:tcBorders>
              <w:top w:val="nil"/>
              <w:left w:val="nil"/>
              <w:bottom w:val="nil"/>
              <w:right w:val="single" w:sz="8" w:space="0" w:color="BFBFBF"/>
            </w:tcBorders>
            <w:shd w:val="clear" w:color="auto" w:fill="auto"/>
            <w:noWrap/>
            <w:vAlign w:val="bottom"/>
            <w:hideMark/>
          </w:tcPr>
          <w:p w:rsidR="00195BE7" w:rsidRPr="001E2F6E" w:rsidRDefault="00195BE7" w:rsidP="00195BE7">
            <w:pPr>
              <w:spacing w:line="220" w:lineRule="exact"/>
              <w:jc w:val="right"/>
              <w:rPr>
                <w:color w:val="000000"/>
                <w:sz w:val="16"/>
                <w:szCs w:val="16"/>
              </w:rPr>
            </w:pPr>
            <w:r w:rsidRPr="001E2F6E">
              <w:rPr>
                <w:color w:val="000000"/>
                <w:sz w:val="16"/>
                <w:szCs w:val="16"/>
              </w:rPr>
              <w:t>990.980</w:t>
            </w:r>
          </w:p>
        </w:tc>
        <w:tc>
          <w:tcPr>
            <w:tcW w:w="477" w:type="pct"/>
            <w:tcBorders>
              <w:top w:val="nil"/>
              <w:left w:val="nil"/>
              <w:bottom w:val="nil"/>
              <w:right w:val="single" w:sz="8" w:space="0" w:color="BFBFBF"/>
            </w:tcBorders>
            <w:shd w:val="clear" w:color="auto" w:fill="auto"/>
            <w:noWrap/>
            <w:vAlign w:val="bottom"/>
            <w:hideMark/>
          </w:tcPr>
          <w:p w:rsidR="00195BE7" w:rsidRPr="001E2F6E" w:rsidRDefault="00195BE7" w:rsidP="00195BE7">
            <w:pPr>
              <w:spacing w:line="220" w:lineRule="exact"/>
              <w:jc w:val="right"/>
              <w:rPr>
                <w:color w:val="000000"/>
                <w:sz w:val="16"/>
                <w:szCs w:val="16"/>
              </w:rPr>
            </w:pPr>
            <w:r w:rsidRPr="001E2F6E">
              <w:rPr>
                <w:color w:val="000000"/>
                <w:sz w:val="16"/>
                <w:szCs w:val="16"/>
              </w:rPr>
              <w:t> </w:t>
            </w:r>
          </w:p>
        </w:tc>
        <w:tc>
          <w:tcPr>
            <w:tcW w:w="621" w:type="pct"/>
            <w:tcBorders>
              <w:top w:val="nil"/>
              <w:left w:val="nil"/>
              <w:bottom w:val="nil"/>
              <w:right w:val="single" w:sz="8" w:space="0" w:color="BFBFBF"/>
            </w:tcBorders>
            <w:shd w:val="clear" w:color="auto" w:fill="auto"/>
            <w:noWrap/>
            <w:vAlign w:val="bottom"/>
            <w:hideMark/>
          </w:tcPr>
          <w:p w:rsidR="00195BE7" w:rsidRPr="001E2F6E" w:rsidRDefault="00195BE7" w:rsidP="00195BE7">
            <w:pPr>
              <w:spacing w:line="220" w:lineRule="exact"/>
              <w:jc w:val="right"/>
              <w:rPr>
                <w:color w:val="000000"/>
                <w:sz w:val="16"/>
                <w:szCs w:val="16"/>
              </w:rPr>
            </w:pPr>
            <w:r w:rsidRPr="001E2F6E">
              <w:rPr>
                <w:color w:val="000000"/>
                <w:sz w:val="16"/>
                <w:szCs w:val="16"/>
              </w:rPr>
              <w:t>348.938</w:t>
            </w:r>
          </w:p>
        </w:tc>
        <w:tc>
          <w:tcPr>
            <w:tcW w:w="707" w:type="pct"/>
            <w:tcBorders>
              <w:top w:val="nil"/>
              <w:left w:val="nil"/>
              <w:bottom w:val="nil"/>
              <w:right w:val="single" w:sz="8" w:space="0" w:color="BFBFBF"/>
            </w:tcBorders>
            <w:shd w:val="clear" w:color="auto" w:fill="auto"/>
            <w:noWrap/>
            <w:vAlign w:val="bottom"/>
            <w:hideMark/>
          </w:tcPr>
          <w:p w:rsidR="00195BE7" w:rsidRPr="001E2F6E" w:rsidRDefault="00195BE7" w:rsidP="00195BE7">
            <w:pPr>
              <w:spacing w:line="220" w:lineRule="exact"/>
              <w:jc w:val="right"/>
              <w:rPr>
                <w:color w:val="000000"/>
                <w:sz w:val="16"/>
                <w:szCs w:val="16"/>
              </w:rPr>
            </w:pPr>
            <w:r w:rsidRPr="001E2F6E">
              <w:rPr>
                <w:color w:val="000000"/>
                <w:sz w:val="16"/>
                <w:szCs w:val="16"/>
              </w:rPr>
              <w:t>150.482</w:t>
            </w:r>
          </w:p>
        </w:tc>
        <w:tc>
          <w:tcPr>
            <w:tcW w:w="621" w:type="pct"/>
            <w:tcBorders>
              <w:top w:val="nil"/>
              <w:left w:val="nil"/>
              <w:bottom w:val="nil"/>
              <w:right w:val="single" w:sz="8" w:space="0" w:color="BFBFBF"/>
            </w:tcBorders>
            <w:shd w:val="clear" w:color="auto" w:fill="auto"/>
            <w:noWrap/>
            <w:vAlign w:val="bottom"/>
            <w:hideMark/>
          </w:tcPr>
          <w:p w:rsidR="00195BE7" w:rsidRPr="001E2F6E" w:rsidRDefault="00195BE7" w:rsidP="00195BE7">
            <w:pPr>
              <w:spacing w:line="220" w:lineRule="exact"/>
              <w:jc w:val="right"/>
              <w:rPr>
                <w:color w:val="000000"/>
                <w:sz w:val="16"/>
                <w:szCs w:val="16"/>
              </w:rPr>
            </w:pPr>
            <w:r w:rsidRPr="001E2F6E">
              <w:rPr>
                <w:color w:val="000000"/>
                <w:sz w:val="16"/>
                <w:szCs w:val="16"/>
              </w:rPr>
              <w:t>491.559</w:t>
            </w:r>
          </w:p>
        </w:tc>
      </w:tr>
      <w:tr w:rsidR="00195BE7" w:rsidRPr="001E2F6E" w:rsidTr="00195BE7">
        <w:tc>
          <w:tcPr>
            <w:tcW w:w="1952" w:type="pct"/>
            <w:tcBorders>
              <w:top w:val="nil"/>
              <w:left w:val="nil"/>
              <w:bottom w:val="nil"/>
              <w:right w:val="single" w:sz="8" w:space="0" w:color="BFBFBF"/>
            </w:tcBorders>
            <w:shd w:val="clear" w:color="auto" w:fill="auto"/>
            <w:vAlign w:val="bottom"/>
            <w:hideMark/>
          </w:tcPr>
          <w:p w:rsidR="00195BE7" w:rsidRPr="001E2F6E" w:rsidRDefault="00195BE7" w:rsidP="00195BE7">
            <w:pPr>
              <w:spacing w:line="220" w:lineRule="exact"/>
              <w:rPr>
                <w:sz w:val="16"/>
                <w:szCs w:val="16"/>
                <w:lang w:val="eu-ES"/>
              </w:rPr>
            </w:pPr>
            <w:r w:rsidRPr="001E2F6E">
              <w:rPr>
                <w:sz w:val="16"/>
                <w:szCs w:val="16"/>
                <w:lang w:val="eu-ES"/>
              </w:rPr>
              <w:t>76 Finantza-sarrerak</w:t>
            </w:r>
          </w:p>
        </w:tc>
        <w:tc>
          <w:tcPr>
            <w:tcW w:w="622" w:type="pct"/>
            <w:tcBorders>
              <w:top w:val="nil"/>
              <w:left w:val="nil"/>
              <w:bottom w:val="nil"/>
              <w:right w:val="single" w:sz="8" w:space="0" w:color="BFBFBF"/>
            </w:tcBorders>
            <w:shd w:val="clear" w:color="auto" w:fill="auto"/>
            <w:noWrap/>
            <w:vAlign w:val="bottom"/>
            <w:hideMark/>
          </w:tcPr>
          <w:p w:rsidR="00195BE7" w:rsidRPr="001E2F6E" w:rsidRDefault="00195BE7" w:rsidP="00195BE7">
            <w:pPr>
              <w:spacing w:line="220" w:lineRule="exact"/>
              <w:jc w:val="right"/>
              <w:rPr>
                <w:color w:val="000000"/>
                <w:sz w:val="16"/>
                <w:szCs w:val="16"/>
              </w:rPr>
            </w:pPr>
            <w:r w:rsidRPr="001E2F6E">
              <w:rPr>
                <w:color w:val="000000"/>
                <w:sz w:val="16"/>
                <w:szCs w:val="16"/>
              </w:rPr>
              <w:t>365.566</w:t>
            </w:r>
          </w:p>
        </w:tc>
        <w:tc>
          <w:tcPr>
            <w:tcW w:w="477" w:type="pct"/>
            <w:tcBorders>
              <w:top w:val="nil"/>
              <w:left w:val="nil"/>
              <w:bottom w:val="nil"/>
              <w:right w:val="single" w:sz="8" w:space="0" w:color="BFBFBF"/>
            </w:tcBorders>
            <w:shd w:val="clear" w:color="auto" w:fill="auto"/>
            <w:noWrap/>
            <w:vAlign w:val="bottom"/>
            <w:hideMark/>
          </w:tcPr>
          <w:p w:rsidR="00195BE7" w:rsidRPr="001E2F6E" w:rsidRDefault="00195BE7" w:rsidP="00195BE7">
            <w:pPr>
              <w:spacing w:line="220" w:lineRule="exact"/>
              <w:jc w:val="right"/>
              <w:rPr>
                <w:color w:val="000000"/>
                <w:sz w:val="16"/>
                <w:szCs w:val="16"/>
              </w:rPr>
            </w:pPr>
            <w:r w:rsidRPr="001E2F6E">
              <w:rPr>
                <w:color w:val="000000"/>
                <w:sz w:val="16"/>
                <w:szCs w:val="16"/>
              </w:rPr>
              <w:t>292</w:t>
            </w:r>
          </w:p>
        </w:tc>
        <w:tc>
          <w:tcPr>
            <w:tcW w:w="621" w:type="pct"/>
            <w:tcBorders>
              <w:top w:val="nil"/>
              <w:left w:val="nil"/>
              <w:bottom w:val="nil"/>
              <w:right w:val="single" w:sz="8" w:space="0" w:color="BFBFBF"/>
            </w:tcBorders>
            <w:shd w:val="clear" w:color="auto" w:fill="auto"/>
            <w:noWrap/>
            <w:vAlign w:val="bottom"/>
            <w:hideMark/>
          </w:tcPr>
          <w:p w:rsidR="00195BE7" w:rsidRPr="001E2F6E" w:rsidRDefault="00195BE7" w:rsidP="00195BE7">
            <w:pPr>
              <w:spacing w:line="220" w:lineRule="exact"/>
              <w:jc w:val="right"/>
              <w:rPr>
                <w:color w:val="000000"/>
                <w:sz w:val="16"/>
                <w:szCs w:val="16"/>
              </w:rPr>
            </w:pPr>
            <w:r w:rsidRPr="001E2F6E">
              <w:rPr>
                <w:color w:val="000000"/>
                <w:sz w:val="16"/>
                <w:szCs w:val="16"/>
              </w:rPr>
              <w:t>231.271</w:t>
            </w:r>
          </w:p>
        </w:tc>
        <w:tc>
          <w:tcPr>
            <w:tcW w:w="707" w:type="pct"/>
            <w:tcBorders>
              <w:top w:val="nil"/>
              <w:left w:val="nil"/>
              <w:bottom w:val="nil"/>
              <w:right w:val="single" w:sz="8" w:space="0" w:color="BFBFBF"/>
            </w:tcBorders>
            <w:shd w:val="clear" w:color="auto" w:fill="auto"/>
            <w:noWrap/>
            <w:vAlign w:val="bottom"/>
            <w:hideMark/>
          </w:tcPr>
          <w:p w:rsidR="00195BE7" w:rsidRPr="001E2F6E" w:rsidRDefault="00195BE7" w:rsidP="00195BE7">
            <w:pPr>
              <w:spacing w:line="220" w:lineRule="exact"/>
              <w:jc w:val="right"/>
              <w:rPr>
                <w:color w:val="000000"/>
                <w:sz w:val="16"/>
                <w:szCs w:val="16"/>
              </w:rPr>
            </w:pPr>
            <w:r w:rsidRPr="001E2F6E">
              <w:rPr>
                <w:color w:val="000000"/>
                <w:sz w:val="16"/>
                <w:szCs w:val="16"/>
              </w:rPr>
              <w:t>18.416</w:t>
            </w:r>
          </w:p>
        </w:tc>
        <w:tc>
          <w:tcPr>
            <w:tcW w:w="621" w:type="pct"/>
            <w:tcBorders>
              <w:top w:val="nil"/>
              <w:left w:val="nil"/>
              <w:bottom w:val="nil"/>
              <w:right w:val="single" w:sz="8" w:space="0" w:color="BFBFBF"/>
            </w:tcBorders>
            <w:shd w:val="clear" w:color="auto" w:fill="auto"/>
            <w:noWrap/>
            <w:vAlign w:val="bottom"/>
            <w:hideMark/>
          </w:tcPr>
          <w:p w:rsidR="00195BE7" w:rsidRPr="001E2F6E" w:rsidRDefault="00195BE7" w:rsidP="00195BE7">
            <w:pPr>
              <w:spacing w:line="220" w:lineRule="exact"/>
              <w:jc w:val="right"/>
              <w:rPr>
                <w:color w:val="000000"/>
                <w:sz w:val="16"/>
                <w:szCs w:val="16"/>
              </w:rPr>
            </w:pPr>
            <w:r w:rsidRPr="001E2F6E">
              <w:rPr>
                <w:color w:val="000000"/>
                <w:sz w:val="16"/>
                <w:szCs w:val="16"/>
              </w:rPr>
              <w:t>115.587</w:t>
            </w:r>
          </w:p>
        </w:tc>
      </w:tr>
      <w:tr w:rsidR="00195BE7" w:rsidRPr="001E2F6E" w:rsidTr="00195BE7">
        <w:tc>
          <w:tcPr>
            <w:tcW w:w="1952" w:type="pct"/>
            <w:tcBorders>
              <w:top w:val="nil"/>
              <w:left w:val="nil"/>
              <w:bottom w:val="nil"/>
              <w:right w:val="single" w:sz="8" w:space="0" w:color="BFBFBF"/>
            </w:tcBorders>
            <w:shd w:val="clear" w:color="auto" w:fill="auto"/>
            <w:vAlign w:val="bottom"/>
            <w:hideMark/>
          </w:tcPr>
          <w:p w:rsidR="00195BE7" w:rsidRPr="001E2F6E" w:rsidRDefault="00195BE7" w:rsidP="00195BE7">
            <w:pPr>
              <w:spacing w:line="220" w:lineRule="exact"/>
              <w:rPr>
                <w:sz w:val="16"/>
                <w:szCs w:val="16"/>
                <w:lang w:val="eu-ES"/>
              </w:rPr>
            </w:pPr>
            <w:r w:rsidRPr="001E2F6E">
              <w:rPr>
                <w:sz w:val="16"/>
                <w:szCs w:val="16"/>
                <w:lang w:val="eu-ES"/>
              </w:rPr>
              <w:t>77 Ezohiko diru-sarrerak</w:t>
            </w:r>
          </w:p>
        </w:tc>
        <w:tc>
          <w:tcPr>
            <w:tcW w:w="622" w:type="pct"/>
            <w:tcBorders>
              <w:top w:val="nil"/>
              <w:left w:val="nil"/>
              <w:bottom w:val="nil"/>
              <w:right w:val="single" w:sz="8" w:space="0" w:color="BFBFBF"/>
            </w:tcBorders>
            <w:shd w:val="clear" w:color="auto" w:fill="auto"/>
            <w:noWrap/>
            <w:vAlign w:val="bottom"/>
            <w:hideMark/>
          </w:tcPr>
          <w:p w:rsidR="00195BE7" w:rsidRPr="001E2F6E" w:rsidRDefault="00195BE7" w:rsidP="00195BE7">
            <w:pPr>
              <w:spacing w:line="220" w:lineRule="exact"/>
              <w:jc w:val="right"/>
              <w:rPr>
                <w:color w:val="000000"/>
                <w:sz w:val="16"/>
                <w:szCs w:val="16"/>
              </w:rPr>
            </w:pPr>
            <w:r w:rsidRPr="001E2F6E">
              <w:rPr>
                <w:color w:val="000000"/>
                <w:sz w:val="16"/>
                <w:szCs w:val="16"/>
              </w:rPr>
              <w:t>2.060.836</w:t>
            </w:r>
          </w:p>
        </w:tc>
        <w:tc>
          <w:tcPr>
            <w:tcW w:w="477" w:type="pct"/>
            <w:tcBorders>
              <w:top w:val="nil"/>
              <w:left w:val="nil"/>
              <w:bottom w:val="nil"/>
              <w:right w:val="single" w:sz="8" w:space="0" w:color="BFBFBF"/>
            </w:tcBorders>
            <w:shd w:val="clear" w:color="auto" w:fill="auto"/>
            <w:noWrap/>
            <w:vAlign w:val="bottom"/>
            <w:hideMark/>
          </w:tcPr>
          <w:p w:rsidR="00195BE7" w:rsidRPr="001E2F6E" w:rsidRDefault="00195BE7" w:rsidP="00195BE7">
            <w:pPr>
              <w:spacing w:line="220" w:lineRule="exact"/>
              <w:jc w:val="right"/>
              <w:rPr>
                <w:color w:val="000000"/>
                <w:sz w:val="16"/>
                <w:szCs w:val="16"/>
              </w:rPr>
            </w:pPr>
            <w:r w:rsidRPr="001E2F6E">
              <w:rPr>
                <w:color w:val="000000"/>
                <w:sz w:val="16"/>
                <w:szCs w:val="16"/>
              </w:rPr>
              <w:t> </w:t>
            </w:r>
          </w:p>
        </w:tc>
        <w:tc>
          <w:tcPr>
            <w:tcW w:w="621" w:type="pct"/>
            <w:tcBorders>
              <w:top w:val="nil"/>
              <w:left w:val="nil"/>
              <w:bottom w:val="nil"/>
              <w:right w:val="single" w:sz="8" w:space="0" w:color="BFBFBF"/>
            </w:tcBorders>
            <w:shd w:val="clear" w:color="auto" w:fill="auto"/>
            <w:noWrap/>
            <w:vAlign w:val="bottom"/>
            <w:hideMark/>
          </w:tcPr>
          <w:p w:rsidR="00195BE7" w:rsidRPr="001E2F6E" w:rsidRDefault="00195BE7" w:rsidP="00195BE7">
            <w:pPr>
              <w:spacing w:line="220" w:lineRule="exact"/>
              <w:jc w:val="right"/>
              <w:rPr>
                <w:color w:val="000000"/>
                <w:sz w:val="16"/>
                <w:szCs w:val="16"/>
              </w:rPr>
            </w:pPr>
            <w:r w:rsidRPr="001E2F6E">
              <w:rPr>
                <w:color w:val="000000"/>
                <w:sz w:val="16"/>
                <w:szCs w:val="16"/>
              </w:rPr>
              <w:t>1.421.654</w:t>
            </w:r>
          </w:p>
        </w:tc>
        <w:tc>
          <w:tcPr>
            <w:tcW w:w="707" w:type="pct"/>
            <w:tcBorders>
              <w:top w:val="nil"/>
              <w:left w:val="nil"/>
              <w:bottom w:val="nil"/>
              <w:right w:val="single" w:sz="8" w:space="0" w:color="BFBFBF"/>
            </w:tcBorders>
            <w:shd w:val="clear" w:color="auto" w:fill="auto"/>
            <w:noWrap/>
            <w:vAlign w:val="bottom"/>
            <w:hideMark/>
          </w:tcPr>
          <w:p w:rsidR="00195BE7" w:rsidRPr="001E2F6E" w:rsidRDefault="00195BE7" w:rsidP="00195BE7">
            <w:pPr>
              <w:spacing w:line="220" w:lineRule="exact"/>
              <w:jc w:val="right"/>
              <w:rPr>
                <w:color w:val="000000"/>
                <w:sz w:val="16"/>
                <w:szCs w:val="16"/>
              </w:rPr>
            </w:pPr>
            <w:r w:rsidRPr="001E2F6E">
              <w:rPr>
                <w:color w:val="000000"/>
                <w:sz w:val="16"/>
                <w:szCs w:val="16"/>
              </w:rPr>
              <w:t>37.398</w:t>
            </w:r>
          </w:p>
        </w:tc>
        <w:tc>
          <w:tcPr>
            <w:tcW w:w="621" w:type="pct"/>
            <w:tcBorders>
              <w:top w:val="nil"/>
              <w:left w:val="nil"/>
              <w:bottom w:val="nil"/>
              <w:right w:val="single" w:sz="8" w:space="0" w:color="BFBFBF"/>
            </w:tcBorders>
            <w:shd w:val="clear" w:color="auto" w:fill="auto"/>
            <w:noWrap/>
            <w:vAlign w:val="bottom"/>
            <w:hideMark/>
          </w:tcPr>
          <w:p w:rsidR="00195BE7" w:rsidRPr="001E2F6E" w:rsidRDefault="00195BE7" w:rsidP="00195BE7">
            <w:pPr>
              <w:spacing w:line="220" w:lineRule="exact"/>
              <w:jc w:val="right"/>
              <w:rPr>
                <w:color w:val="000000"/>
                <w:sz w:val="16"/>
                <w:szCs w:val="16"/>
              </w:rPr>
            </w:pPr>
            <w:r w:rsidRPr="001E2F6E">
              <w:rPr>
                <w:color w:val="000000"/>
                <w:sz w:val="16"/>
                <w:szCs w:val="16"/>
              </w:rPr>
              <w:t>601.785</w:t>
            </w:r>
          </w:p>
        </w:tc>
      </w:tr>
      <w:tr w:rsidR="00195BE7" w:rsidRPr="001E2F6E" w:rsidTr="00195BE7">
        <w:tc>
          <w:tcPr>
            <w:tcW w:w="1952" w:type="pct"/>
            <w:tcBorders>
              <w:top w:val="nil"/>
              <w:left w:val="nil"/>
              <w:bottom w:val="single" w:sz="8" w:space="0" w:color="BFBFBF"/>
              <w:right w:val="single" w:sz="8" w:space="0" w:color="BFBFBF"/>
            </w:tcBorders>
            <w:shd w:val="clear" w:color="auto" w:fill="auto"/>
            <w:vAlign w:val="bottom"/>
            <w:hideMark/>
          </w:tcPr>
          <w:p w:rsidR="00195BE7" w:rsidRPr="001E2F6E" w:rsidRDefault="00195BE7" w:rsidP="00195BE7">
            <w:pPr>
              <w:spacing w:line="220" w:lineRule="exact"/>
              <w:rPr>
                <w:sz w:val="16"/>
                <w:szCs w:val="16"/>
                <w:lang w:val="eu-ES"/>
              </w:rPr>
            </w:pPr>
            <w:r w:rsidRPr="001E2F6E">
              <w:rPr>
                <w:sz w:val="16"/>
                <w:szCs w:val="16"/>
                <w:lang w:val="eu-ES"/>
              </w:rPr>
              <w:t>79 Gehiegizko hornidura</w:t>
            </w:r>
          </w:p>
        </w:tc>
        <w:tc>
          <w:tcPr>
            <w:tcW w:w="622" w:type="pct"/>
            <w:tcBorders>
              <w:top w:val="nil"/>
              <w:left w:val="nil"/>
              <w:bottom w:val="single" w:sz="8" w:space="0" w:color="BFBFBF"/>
              <w:right w:val="single" w:sz="8" w:space="0" w:color="BFBFBF"/>
            </w:tcBorders>
            <w:shd w:val="clear" w:color="auto" w:fill="auto"/>
            <w:noWrap/>
            <w:vAlign w:val="bottom"/>
            <w:hideMark/>
          </w:tcPr>
          <w:p w:rsidR="00195BE7" w:rsidRPr="001E2F6E" w:rsidRDefault="00195BE7" w:rsidP="00195BE7">
            <w:pPr>
              <w:spacing w:line="220" w:lineRule="exact"/>
              <w:jc w:val="right"/>
              <w:rPr>
                <w:color w:val="000000"/>
                <w:sz w:val="16"/>
                <w:szCs w:val="16"/>
              </w:rPr>
            </w:pPr>
            <w:r w:rsidRPr="001E2F6E">
              <w:rPr>
                <w:color w:val="000000"/>
                <w:sz w:val="16"/>
                <w:szCs w:val="16"/>
              </w:rPr>
              <w:t>549.731</w:t>
            </w:r>
          </w:p>
        </w:tc>
        <w:tc>
          <w:tcPr>
            <w:tcW w:w="477" w:type="pct"/>
            <w:tcBorders>
              <w:top w:val="nil"/>
              <w:left w:val="nil"/>
              <w:bottom w:val="single" w:sz="8" w:space="0" w:color="BFBFBF"/>
              <w:right w:val="single" w:sz="8" w:space="0" w:color="BFBFBF"/>
            </w:tcBorders>
            <w:shd w:val="clear" w:color="auto" w:fill="auto"/>
            <w:noWrap/>
            <w:vAlign w:val="bottom"/>
            <w:hideMark/>
          </w:tcPr>
          <w:p w:rsidR="00195BE7" w:rsidRPr="001E2F6E" w:rsidRDefault="00195BE7" w:rsidP="00195BE7">
            <w:pPr>
              <w:spacing w:line="220" w:lineRule="exact"/>
              <w:jc w:val="right"/>
              <w:rPr>
                <w:color w:val="000000"/>
                <w:sz w:val="16"/>
                <w:szCs w:val="16"/>
              </w:rPr>
            </w:pPr>
            <w:r w:rsidRPr="001E2F6E">
              <w:rPr>
                <w:color w:val="000000"/>
                <w:sz w:val="16"/>
                <w:szCs w:val="16"/>
              </w:rPr>
              <w:t> </w:t>
            </w:r>
          </w:p>
        </w:tc>
        <w:tc>
          <w:tcPr>
            <w:tcW w:w="621" w:type="pct"/>
            <w:tcBorders>
              <w:top w:val="nil"/>
              <w:left w:val="nil"/>
              <w:bottom w:val="single" w:sz="8" w:space="0" w:color="BFBFBF"/>
              <w:right w:val="single" w:sz="8" w:space="0" w:color="BFBFBF"/>
            </w:tcBorders>
            <w:shd w:val="clear" w:color="auto" w:fill="auto"/>
            <w:noWrap/>
            <w:vAlign w:val="bottom"/>
            <w:hideMark/>
          </w:tcPr>
          <w:p w:rsidR="00195BE7" w:rsidRPr="001E2F6E" w:rsidRDefault="00195BE7" w:rsidP="00195BE7">
            <w:pPr>
              <w:spacing w:line="220" w:lineRule="exact"/>
              <w:jc w:val="right"/>
              <w:rPr>
                <w:color w:val="000000"/>
                <w:sz w:val="16"/>
                <w:szCs w:val="16"/>
              </w:rPr>
            </w:pPr>
            <w:r w:rsidRPr="001E2F6E">
              <w:rPr>
                <w:color w:val="000000"/>
                <w:sz w:val="16"/>
                <w:szCs w:val="16"/>
              </w:rPr>
              <w:t>410.440</w:t>
            </w:r>
          </w:p>
        </w:tc>
        <w:tc>
          <w:tcPr>
            <w:tcW w:w="707" w:type="pct"/>
            <w:tcBorders>
              <w:top w:val="nil"/>
              <w:left w:val="nil"/>
              <w:bottom w:val="single" w:sz="8" w:space="0" w:color="BFBFBF"/>
              <w:right w:val="single" w:sz="8" w:space="0" w:color="BFBFBF"/>
            </w:tcBorders>
            <w:shd w:val="clear" w:color="auto" w:fill="auto"/>
            <w:noWrap/>
            <w:vAlign w:val="bottom"/>
            <w:hideMark/>
          </w:tcPr>
          <w:p w:rsidR="00195BE7" w:rsidRPr="001E2F6E" w:rsidRDefault="00195BE7" w:rsidP="00195BE7">
            <w:pPr>
              <w:spacing w:line="220" w:lineRule="exact"/>
              <w:jc w:val="right"/>
              <w:rPr>
                <w:color w:val="000000"/>
                <w:sz w:val="16"/>
                <w:szCs w:val="16"/>
              </w:rPr>
            </w:pPr>
            <w:r w:rsidRPr="001E2F6E">
              <w:rPr>
                <w:color w:val="000000"/>
                <w:sz w:val="16"/>
                <w:szCs w:val="16"/>
              </w:rPr>
              <w:t>72.361</w:t>
            </w:r>
          </w:p>
        </w:tc>
        <w:tc>
          <w:tcPr>
            <w:tcW w:w="621" w:type="pct"/>
            <w:tcBorders>
              <w:top w:val="nil"/>
              <w:left w:val="nil"/>
              <w:bottom w:val="single" w:sz="8" w:space="0" w:color="BFBFBF"/>
              <w:right w:val="single" w:sz="8" w:space="0" w:color="BFBFBF"/>
            </w:tcBorders>
            <w:shd w:val="clear" w:color="auto" w:fill="auto"/>
            <w:noWrap/>
            <w:vAlign w:val="bottom"/>
            <w:hideMark/>
          </w:tcPr>
          <w:p w:rsidR="00195BE7" w:rsidRPr="001E2F6E" w:rsidRDefault="00195BE7" w:rsidP="00195BE7">
            <w:pPr>
              <w:spacing w:line="220" w:lineRule="exact"/>
              <w:jc w:val="right"/>
              <w:rPr>
                <w:color w:val="000000"/>
                <w:sz w:val="16"/>
                <w:szCs w:val="16"/>
              </w:rPr>
            </w:pPr>
            <w:r w:rsidRPr="001E2F6E">
              <w:rPr>
                <w:color w:val="000000"/>
                <w:sz w:val="16"/>
                <w:szCs w:val="16"/>
              </w:rPr>
              <w:t>66.930</w:t>
            </w:r>
          </w:p>
        </w:tc>
      </w:tr>
      <w:tr w:rsidR="00195BE7" w:rsidRPr="001E2F6E" w:rsidTr="00195BE7">
        <w:tc>
          <w:tcPr>
            <w:tcW w:w="1952" w:type="pct"/>
            <w:tcBorders>
              <w:top w:val="nil"/>
              <w:left w:val="nil"/>
              <w:bottom w:val="single" w:sz="8" w:space="0" w:color="BFBFBF"/>
              <w:right w:val="single" w:sz="8" w:space="0" w:color="BFBFBF"/>
            </w:tcBorders>
            <w:shd w:val="clear" w:color="000000" w:fill="E6E6E6"/>
            <w:vAlign w:val="bottom"/>
            <w:hideMark/>
          </w:tcPr>
          <w:p w:rsidR="00195BE7" w:rsidRPr="001E2F6E" w:rsidRDefault="00195BE7" w:rsidP="00195BE7">
            <w:pPr>
              <w:spacing w:line="220" w:lineRule="exact"/>
              <w:rPr>
                <w:rFonts w:eastAsia="Times New Roman"/>
                <w:b/>
                <w:bCs/>
                <w:color w:val="000000"/>
                <w:sz w:val="16"/>
                <w:szCs w:val="16"/>
                <w:lang w:eastAsia="es-ES"/>
              </w:rPr>
            </w:pPr>
            <w:r w:rsidRPr="001E2F6E">
              <w:rPr>
                <w:rFonts w:eastAsia="Times New Roman"/>
                <w:b/>
                <w:bCs/>
                <w:color w:val="000000"/>
                <w:sz w:val="16"/>
                <w:szCs w:val="16"/>
                <w:lang w:eastAsia="es-ES"/>
              </w:rPr>
              <w:t> </w:t>
            </w:r>
          </w:p>
        </w:tc>
        <w:tc>
          <w:tcPr>
            <w:tcW w:w="622" w:type="pct"/>
            <w:tcBorders>
              <w:top w:val="nil"/>
              <w:left w:val="nil"/>
              <w:bottom w:val="single" w:sz="8" w:space="0" w:color="BFBFBF"/>
              <w:right w:val="single" w:sz="8" w:space="0" w:color="BFBFBF"/>
            </w:tcBorders>
            <w:shd w:val="clear" w:color="000000" w:fill="E6E6E6"/>
            <w:vAlign w:val="bottom"/>
            <w:hideMark/>
          </w:tcPr>
          <w:p w:rsidR="00195BE7" w:rsidRPr="001E2F6E" w:rsidRDefault="00195BE7" w:rsidP="00195BE7">
            <w:pPr>
              <w:spacing w:line="220" w:lineRule="exact"/>
              <w:jc w:val="right"/>
              <w:rPr>
                <w:b/>
                <w:bCs/>
                <w:color w:val="000000"/>
                <w:sz w:val="16"/>
                <w:szCs w:val="16"/>
              </w:rPr>
            </w:pPr>
            <w:r w:rsidRPr="001E2F6E">
              <w:rPr>
                <w:b/>
                <w:bCs/>
                <w:color w:val="000000"/>
                <w:sz w:val="16"/>
                <w:szCs w:val="16"/>
              </w:rPr>
              <w:t>277.616.638</w:t>
            </w:r>
          </w:p>
        </w:tc>
        <w:tc>
          <w:tcPr>
            <w:tcW w:w="477" w:type="pct"/>
            <w:tcBorders>
              <w:top w:val="nil"/>
              <w:left w:val="nil"/>
              <w:bottom w:val="single" w:sz="8" w:space="0" w:color="BFBFBF"/>
              <w:right w:val="single" w:sz="8" w:space="0" w:color="BFBFBF"/>
            </w:tcBorders>
            <w:shd w:val="clear" w:color="000000" w:fill="E6E6E6"/>
            <w:vAlign w:val="bottom"/>
            <w:hideMark/>
          </w:tcPr>
          <w:p w:rsidR="00195BE7" w:rsidRPr="001E2F6E" w:rsidRDefault="00195BE7" w:rsidP="00195BE7">
            <w:pPr>
              <w:spacing w:line="220" w:lineRule="exact"/>
              <w:jc w:val="right"/>
              <w:rPr>
                <w:b/>
                <w:bCs/>
                <w:color w:val="000000"/>
                <w:sz w:val="16"/>
                <w:szCs w:val="16"/>
              </w:rPr>
            </w:pPr>
            <w:r w:rsidRPr="001E2F6E">
              <w:rPr>
                <w:b/>
                <w:bCs/>
                <w:color w:val="000000"/>
                <w:sz w:val="16"/>
                <w:szCs w:val="16"/>
              </w:rPr>
              <w:t>719.152</w:t>
            </w:r>
          </w:p>
        </w:tc>
        <w:tc>
          <w:tcPr>
            <w:tcW w:w="621" w:type="pct"/>
            <w:tcBorders>
              <w:top w:val="nil"/>
              <w:left w:val="nil"/>
              <w:bottom w:val="single" w:sz="8" w:space="0" w:color="BFBFBF"/>
              <w:right w:val="single" w:sz="8" w:space="0" w:color="BFBFBF"/>
            </w:tcBorders>
            <w:shd w:val="clear" w:color="000000" w:fill="E6E6E6"/>
            <w:vAlign w:val="bottom"/>
            <w:hideMark/>
          </w:tcPr>
          <w:p w:rsidR="00195BE7" w:rsidRPr="001E2F6E" w:rsidRDefault="00195BE7" w:rsidP="00195BE7">
            <w:pPr>
              <w:spacing w:line="220" w:lineRule="exact"/>
              <w:jc w:val="right"/>
              <w:rPr>
                <w:b/>
                <w:bCs/>
                <w:color w:val="000000"/>
                <w:sz w:val="16"/>
                <w:szCs w:val="16"/>
              </w:rPr>
            </w:pPr>
            <w:r w:rsidRPr="001E2F6E">
              <w:rPr>
                <w:b/>
                <w:bCs/>
                <w:color w:val="000000"/>
                <w:sz w:val="16"/>
                <w:szCs w:val="16"/>
              </w:rPr>
              <w:t>120.196.191</w:t>
            </w:r>
          </w:p>
        </w:tc>
        <w:tc>
          <w:tcPr>
            <w:tcW w:w="707" w:type="pct"/>
            <w:tcBorders>
              <w:top w:val="nil"/>
              <w:left w:val="nil"/>
              <w:bottom w:val="single" w:sz="8" w:space="0" w:color="BFBFBF"/>
              <w:right w:val="single" w:sz="8" w:space="0" w:color="BFBFBF"/>
            </w:tcBorders>
            <w:shd w:val="clear" w:color="000000" w:fill="E6E6E6"/>
            <w:vAlign w:val="bottom"/>
            <w:hideMark/>
          </w:tcPr>
          <w:p w:rsidR="00195BE7" w:rsidRPr="001E2F6E" w:rsidRDefault="00195BE7" w:rsidP="00195BE7">
            <w:pPr>
              <w:spacing w:line="220" w:lineRule="exact"/>
              <w:jc w:val="right"/>
              <w:rPr>
                <w:b/>
                <w:bCs/>
                <w:color w:val="000000"/>
                <w:sz w:val="16"/>
                <w:szCs w:val="16"/>
              </w:rPr>
            </w:pPr>
            <w:r w:rsidRPr="001E2F6E">
              <w:rPr>
                <w:b/>
                <w:bCs/>
                <w:color w:val="000000"/>
                <w:sz w:val="16"/>
                <w:szCs w:val="16"/>
              </w:rPr>
              <w:t>33.499.898</w:t>
            </w:r>
          </w:p>
        </w:tc>
        <w:tc>
          <w:tcPr>
            <w:tcW w:w="621" w:type="pct"/>
            <w:tcBorders>
              <w:top w:val="nil"/>
              <w:left w:val="nil"/>
              <w:bottom w:val="single" w:sz="8" w:space="0" w:color="BFBFBF"/>
              <w:right w:val="single" w:sz="8" w:space="0" w:color="BFBFBF"/>
            </w:tcBorders>
            <w:shd w:val="clear" w:color="000000" w:fill="E6E6E6"/>
            <w:vAlign w:val="bottom"/>
            <w:hideMark/>
          </w:tcPr>
          <w:p w:rsidR="00195BE7" w:rsidRPr="001E2F6E" w:rsidRDefault="00195BE7" w:rsidP="00195BE7">
            <w:pPr>
              <w:spacing w:line="220" w:lineRule="exact"/>
              <w:jc w:val="right"/>
              <w:rPr>
                <w:b/>
                <w:bCs/>
                <w:color w:val="000000"/>
                <w:sz w:val="16"/>
                <w:szCs w:val="16"/>
              </w:rPr>
            </w:pPr>
            <w:r w:rsidRPr="001E2F6E">
              <w:rPr>
                <w:b/>
                <w:bCs/>
                <w:color w:val="000000"/>
                <w:sz w:val="16"/>
                <w:szCs w:val="16"/>
              </w:rPr>
              <w:t>123.201.397</w:t>
            </w:r>
          </w:p>
        </w:tc>
      </w:tr>
      <w:tr w:rsidR="00195BE7" w:rsidRPr="001E2F6E" w:rsidTr="00195BE7">
        <w:tc>
          <w:tcPr>
            <w:tcW w:w="1952" w:type="pct"/>
            <w:tcBorders>
              <w:top w:val="nil"/>
              <w:left w:val="nil"/>
              <w:bottom w:val="nil"/>
              <w:right w:val="single" w:sz="8" w:space="0" w:color="BFBFBF"/>
            </w:tcBorders>
            <w:shd w:val="clear" w:color="auto" w:fill="auto"/>
            <w:vAlign w:val="bottom"/>
            <w:hideMark/>
          </w:tcPr>
          <w:p w:rsidR="00195BE7" w:rsidRPr="001E2F6E" w:rsidRDefault="00195BE7" w:rsidP="00195BE7">
            <w:pPr>
              <w:spacing w:line="220" w:lineRule="exact"/>
              <w:rPr>
                <w:b/>
                <w:bCs/>
                <w:sz w:val="16"/>
                <w:szCs w:val="16"/>
                <w:lang w:val="eu-ES"/>
              </w:rPr>
            </w:pPr>
            <w:r w:rsidRPr="001E2F6E">
              <w:rPr>
                <w:b/>
                <w:bCs/>
                <w:sz w:val="16"/>
                <w:szCs w:val="16"/>
                <w:lang w:val="eu-ES"/>
              </w:rPr>
              <w:t>GASTUAK</w:t>
            </w:r>
          </w:p>
        </w:tc>
        <w:tc>
          <w:tcPr>
            <w:tcW w:w="622" w:type="pct"/>
            <w:tcBorders>
              <w:top w:val="nil"/>
              <w:left w:val="nil"/>
              <w:bottom w:val="nil"/>
              <w:right w:val="single" w:sz="8" w:space="0" w:color="BFBFBF"/>
            </w:tcBorders>
            <w:shd w:val="clear" w:color="auto" w:fill="auto"/>
            <w:vAlign w:val="bottom"/>
            <w:hideMark/>
          </w:tcPr>
          <w:p w:rsidR="00195BE7" w:rsidRPr="001E2F6E" w:rsidRDefault="00195BE7" w:rsidP="00195BE7">
            <w:pPr>
              <w:spacing w:line="220" w:lineRule="exact"/>
              <w:jc w:val="right"/>
              <w:rPr>
                <w:color w:val="000000"/>
                <w:sz w:val="16"/>
                <w:szCs w:val="16"/>
              </w:rPr>
            </w:pPr>
            <w:r w:rsidRPr="001E2F6E">
              <w:rPr>
                <w:color w:val="000000"/>
                <w:sz w:val="16"/>
                <w:szCs w:val="16"/>
              </w:rPr>
              <w:t> </w:t>
            </w:r>
          </w:p>
        </w:tc>
        <w:tc>
          <w:tcPr>
            <w:tcW w:w="477" w:type="pct"/>
            <w:tcBorders>
              <w:top w:val="nil"/>
              <w:left w:val="nil"/>
              <w:bottom w:val="nil"/>
              <w:right w:val="single" w:sz="8" w:space="0" w:color="BFBFBF"/>
            </w:tcBorders>
            <w:shd w:val="clear" w:color="auto" w:fill="auto"/>
            <w:vAlign w:val="bottom"/>
            <w:hideMark/>
          </w:tcPr>
          <w:p w:rsidR="00195BE7" w:rsidRPr="001E2F6E" w:rsidRDefault="00195BE7" w:rsidP="00195BE7">
            <w:pPr>
              <w:spacing w:line="220" w:lineRule="exact"/>
              <w:jc w:val="right"/>
              <w:rPr>
                <w:color w:val="000000"/>
                <w:sz w:val="16"/>
                <w:szCs w:val="16"/>
              </w:rPr>
            </w:pPr>
            <w:r w:rsidRPr="001E2F6E">
              <w:rPr>
                <w:color w:val="000000"/>
                <w:sz w:val="16"/>
                <w:szCs w:val="16"/>
              </w:rPr>
              <w:t> </w:t>
            </w:r>
          </w:p>
        </w:tc>
        <w:tc>
          <w:tcPr>
            <w:tcW w:w="621" w:type="pct"/>
            <w:tcBorders>
              <w:top w:val="nil"/>
              <w:left w:val="nil"/>
              <w:bottom w:val="nil"/>
              <w:right w:val="single" w:sz="8" w:space="0" w:color="BFBFBF"/>
            </w:tcBorders>
            <w:shd w:val="clear" w:color="auto" w:fill="auto"/>
            <w:vAlign w:val="bottom"/>
            <w:hideMark/>
          </w:tcPr>
          <w:p w:rsidR="00195BE7" w:rsidRPr="001E2F6E" w:rsidRDefault="00195BE7" w:rsidP="00195BE7">
            <w:pPr>
              <w:spacing w:line="220" w:lineRule="exact"/>
              <w:jc w:val="right"/>
              <w:rPr>
                <w:color w:val="000000"/>
                <w:sz w:val="16"/>
                <w:szCs w:val="16"/>
              </w:rPr>
            </w:pPr>
            <w:r w:rsidRPr="001E2F6E">
              <w:rPr>
                <w:color w:val="000000"/>
                <w:sz w:val="16"/>
                <w:szCs w:val="16"/>
              </w:rPr>
              <w:t> </w:t>
            </w:r>
          </w:p>
        </w:tc>
        <w:tc>
          <w:tcPr>
            <w:tcW w:w="707" w:type="pct"/>
            <w:tcBorders>
              <w:top w:val="nil"/>
              <w:left w:val="nil"/>
              <w:bottom w:val="nil"/>
              <w:right w:val="single" w:sz="8" w:space="0" w:color="BFBFBF"/>
            </w:tcBorders>
            <w:shd w:val="clear" w:color="auto" w:fill="auto"/>
            <w:vAlign w:val="bottom"/>
            <w:hideMark/>
          </w:tcPr>
          <w:p w:rsidR="00195BE7" w:rsidRPr="001E2F6E" w:rsidRDefault="00195BE7" w:rsidP="00195BE7">
            <w:pPr>
              <w:spacing w:line="220" w:lineRule="exact"/>
              <w:jc w:val="right"/>
              <w:rPr>
                <w:color w:val="000000"/>
                <w:sz w:val="16"/>
                <w:szCs w:val="16"/>
              </w:rPr>
            </w:pPr>
            <w:r w:rsidRPr="001E2F6E">
              <w:rPr>
                <w:color w:val="000000"/>
                <w:sz w:val="16"/>
                <w:szCs w:val="16"/>
              </w:rPr>
              <w:t> </w:t>
            </w:r>
          </w:p>
        </w:tc>
        <w:tc>
          <w:tcPr>
            <w:tcW w:w="621" w:type="pct"/>
            <w:tcBorders>
              <w:top w:val="nil"/>
              <w:left w:val="nil"/>
              <w:bottom w:val="nil"/>
              <w:right w:val="single" w:sz="8" w:space="0" w:color="BFBFBF"/>
            </w:tcBorders>
            <w:shd w:val="clear" w:color="auto" w:fill="auto"/>
            <w:noWrap/>
            <w:vAlign w:val="bottom"/>
            <w:hideMark/>
          </w:tcPr>
          <w:p w:rsidR="00195BE7" w:rsidRPr="001E2F6E" w:rsidRDefault="00195BE7" w:rsidP="00195BE7">
            <w:pPr>
              <w:spacing w:line="220" w:lineRule="exact"/>
              <w:jc w:val="right"/>
              <w:rPr>
                <w:color w:val="000000"/>
                <w:sz w:val="16"/>
                <w:szCs w:val="16"/>
              </w:rPr>
            </w:pPr>
            <w:r w:rsidRPr="001E2F6E">
              <w:rPr>
                <w:color w:val="000000"/>
                <w:sz w:val="16"/>
                <w:szCs w:val="16"/>
              </w:rPr>
              <w:t> </w:t>
            </w:r>
          </w:p>
        </w:tc>
      </w:tr>
      <w:tr w:rsidR="00195BE7" w:rsidRPr="001E2F6E" w:rsidTr="00195BE7">
        <w:tc>
          <w:tcPr>
            <w:tcW w:w="1952" w:type="pct"/>
            <w:tcBorders>
              <w:top w:val="nil"/>
              <w:left w:val="nil"/>
              <w:bottom w:val="nil"/>
              <w:right w:val="single" w:sz="8" w:space="0" w:color="BFBFBF"/>
            </w:tcBorders>
            <w:shd w:val="clear" w:color="auto" w:fill="auto"/>
            <w:vAlign w:val="bottom"/>
            <w:hideMark/>
          </w:tcPr>
          <w:p w:rsidR="00195BE7" w:rsidRPr="001E2F6E" w:rsidRDefault="00195BE7" w:rsidP="00195BE7">
            <w:pPr>
              <w:spacing w:line="220" w:lineRule="exact"/>
              <w:rPr>
                <w:sz w:val="16"/>
                <w:szCs w:val="16"/>
                <w:lang w:val="eu-ES"/>
              </w:rPr>
            </w:pPr>
            <w:r w:rsidRPr="001E2F6E">
              <w:rPr>
                <w:sz w:val="16"/>
                <w:szCs w:val="16"/>
                <w:lang w:val="eu-ES"/>
              </w:rPr>
              <w:t>60 Erosketa garbiak</w:t>
            </w:r>
          </w:p>
        </w:tc>
        <w:tc>
          <w:tcPr>
            <w:tcW w:w="622" w:type="pct"/>
            <w:tcBorders>
              <w:top w:val="nil"/>
              <w:left w:val="nil"/>
              <w:bottom w:val="nil"/>
              <w:right w:val="single" w:sz="8" w:space="0" w:color="BFBFBF"/>
            </w:tcBorders>
            <w:shd w:val="clear" w:color="auto" w:fill="auto"/>
            <w:noWrap/>
            <w:vAlign w:val="bottom"/>
            <w:hideMark/>
          </w:tcPr>
          <w:p w:rsidR="00195BE7" w:rsidRPr="001E2F6E" w:rsidRDefault="00195BE7" w:rsidP="00195BE7">
            <w:pPr>
              <w:spacing w:line="220" w:lineRule="exact"/>
              <w:jc w:val="right"/>
              <w:rPr>
                <w:color w:val="000000"/>
                <w:sz w:val="16"/>
                <w:szCs w:val="16"/>
              </w:rPr>
            </w:pPr>
            <w:r w:rsidRPr="001E2F6E">
              <w:rPr>
                <w:color w:val="000000"/>
                <w:sz w:val="16"/>
                <w:szCs w:val="16"/>
              </w:rPr>
              <w:t>122.249.476</w:t>
            </w:r>
          </w:p>
        </w:tc>
        <w:tc>
          <w:tcPr>
            <w:tcW w:w="477" w:type="pct"/>
            <w:tcBorders>
              <w:top w:val="nil"/>
              <w:left w:val="nil"/>
              <w:bottom w:val="nil"/>
              <w:right w:val="single" w:sz="8" w:space="0" w:color="BFBFBF"/>
            </w:tcBorders>
            <w:shd w:val="clear" w:color="auto" w:fill="auto"/>
            <w:noWrap/>
            <w:vAlign w:val="bottom"/>
            <w:hideMark/>
          </w:tcPr>
          <w:p w:rsidR="00195BE7" w:rsidRPr="001E2F6E" w:rsidRDefault="00195BE7" w:rsidP="00195BE7">
            <w:pPr>
              <w:spacing w:line="220" w:lineRule="exact"/>
              <w:jc w:val="right"/>
              <w:rPr>
                <w:color w:val="000000"/>
                <w:sz w:val="16"/>
                <w:szCs w:val="16"/>
              </w:rPr>
            </w:pPr>
            <w:r w:rsidRPr="001E2F6E">
              <w:rPr>
                <w:color w:val="000000"/>
                <w:sz w:val="16"/>
                <w:szCs w:val="16"/>
              </w:rPr>
              <w:t>486.796</w:t>
            </w:r>
          </w:p>
        </w:tc>
        <w:tc>
          <w:tcPr>
            <w:tcW w:w="621" w:type="pct"/>
            <w:tcBorders>
              <w:top w:val="nil"/>
              <w:left w:val="nil"/>
              <w:bottom w:val="nil"/>
              <w:right w:val="single" w:sz="8" w:space="0" w:color="BFBFBF"/>
            </w:tcBorders>
            <w:shd w:val="clear" w:color="auto" w:fill="auto"/>
            <w:noWrap/>
            <w:vAlign w:val="bottom"/>
            <w:hideMark/>
          </w:tcPr>
          <w:p w:rsidR="00195BE7" w:rsidRPr="001E2F6E" w:rsidRDefault="00195BE7" w:rsidP="00195BE7">
            <w:pPr>
              <w:spacing w:line="220" w:lineRule="exact"/>
              <w:jc w:val="right"/>
              <w:rPr>
                <w:color w:val="000000"/>
                <w:sz w:val="16"/>
                <w:szCs w:val="16"/>
              </w:rPr>
            </w:pPr>
            <w:r w:rsidRPr="001E2F6E">
              <w:rPr>
                <w:color w:val="000000"/>
                <w:sz w:val="16"/>
                <w:szCs w:val="16"/>
              </w:rPr>
              <w:t>44.892.120</w:t>
            </w:r>
          </w:p>
        </w:tc>
        <w:tc>
          <w:tcPr>
            <w:tcW w:w="707" w:type="pct"/>
            <w:tcBorders>
              <w:top w:val="nil"/>
              <w:left w:val="nil"/>
              <w:bottom w:val="nil"/>
              <w:right w:val="single" w:sz="8" w:space="0" w:color="BFBFBF"/>
            </w:tcBorders>
            <w:shd w:val="clear" w:color="auto" w:fill="auto"/>
            <w:noWrap/>
            <w:vAlign w:val="bottom"/>
            <w:hideMark/>
          </w:tcPr>
          <w:p w:rsidR="00195BE7" w:rsidRPr="001E2F6E" w:rsidRDefault="00195BE7" w:rsidP="00195BE7">
            <w:pPr>
              <w:spacing w:line="220" w:lineRule="exact"/>
              <w:jc w:val="right"/>
              <w:rPr>
                <w:color w:val="000000"/>
                <w:sz w:val="16"/>
                <w:szCs w:val="16"/>
              </w:rPr>
            </w:pPr>
            <w:r w:rsidRPr="001E2F6E">
              <w:rPr>
                <w:color w:val="000000"/>
                <w:sz w:val="16"/>
                <w:szCs w:val="16"/>
              </w:rPr>
              <w:t>16.087.702</w:t>
            </w:r>
          </w:p>
        </w:tc>
        <w:tc>
          <w:tcPr>
            <w:tcW w:w="621" w:type="pct"/>
            <w:tcBorders>
              <w:top w:val="nil"/>
              <w:left w:val="nil"/>
              <w:bottom w:val="nil"/>
              <w:right w:val="single" w:sz="8" w:space="0" w:color="BFBFBF"/>
            </w:tcBorders>
            <w:shd w:val="clear" w:color="auto" w:fill="auto"/>
            <w:noWrap/>
            <w:vAlign w:val="bottom"/>
            <w:hideMark/>
          </w:tcPr>
          <w:p w:rsidR="00195BE7" w:rsidRPr="001E2F6E" w:rsidRDefault="00195BE7" w:rsidP="00195BE7">
            <w:pPr>
              <w:spacing w:line="220" w:lineRule="exact"/>
              <w:jc w:val="right"/>
              <w:rPr>
                <w:color w:val="000000"/>
                <w:sz w:val="16"/>
                <w:szCs w:val="16"/>
              </w:rPr>
            </w:pPr>
            <w:r w:rsidRPr="001E2F6E">
              <w:rPr>
                <w:color w:val="000000"/>
                <w:sz w:val="16"/>
                <w:szCs w:val="16"/>
              </w:rPr>
              <w:t>60.782.859</w:t>
            </w:r>
          </w:p>
        </w:tc>
      </w:tr>
      <w:tr w:rsidR="00195BE7" w:rsidRPr="001E2F6E" w:rsidTr="00195BE7">
        <w:tc>
          <w:tcPr>
            <w:tcW w:w="1952" w:type="pct"/>
            <w:tcBorders>
              <w:top w:val="nil"/>
              <w:left w:val="nil"/>
              <w:bottom w:val="nil"/>
              <w:right w:val="single" w:sz="8" w:space="0" w:color="BFBFBF"/>
            </w:tcBorders>
            <w:shd w:val="clear" w:color="auto" w:fill="auto"/>
            <w:vAlign w:val="bottom"/>
            <w:hideMark/>
          </w:tcPr>
          <w:p w:rsidR="00195BE7" w:rsidRPr="001E2F6E" w:rsidRDefault="00195BE7" w:rsidP="00195BE7">
            <w:pPr>
              <w:spacing w:line="220" w:lineRule="exact"/>
              <w:rPr>
                <w:sz w:val="16"/>
                <w:szCs w:val="16"/>
                <w:lang w:val="eu-ES"/>
              </w:rPr>
            </w:pPr>
            <w:r w:rsidRPr="001E2F6E">
              <w:rPr>
                <w:sz w:val="16"/>
                <w:szCs w:val="16"/>
                <w:lang w:val="eu-ES"/>
              </w:rPr>
              <w:t>61 Izakinen aldaketa</w:t>
            </w:r>
          </w:p>
        </w:tc>
        <w:tc>
          <w:tcPr>
            <w:tcW w:w="622" w:type="pct"/>
            <w:tcBorders>
              <w:top w:val="nil"/>
              <w:left w:val="nil"/>
              <w:bottom w:val="nil"/>
              <w:right w:val="single" w:sz="8" w:space="0" w:color="BFBFBF"/>
            </w:tcBorders>
            <w:shd w:val="clear" w:color="auto" w:fill="auto"/>
            <w:noWrap/>
            <w:vAlign w:val="bottom"/>
            <w:hideMark/>
          </w:tcPr>
          <w:p w:rsidR="00195BE7" w:rsidRPr="001E2F6E" w:rsidRDefault="00195BE7" w:rsidP="00195BE7">
            <w:pPr>
              <w:spacing w:line="220" w:lineRule="exact"/>
              <w:jc w:val="right"/>
              <w:rPr>
                <w:color w:val="000000"/>
                <w:sz w:val="16"/>
                <w:szCs w:val="16"/>
              </w:rPr>
            </w:pPr>
            <w:r w:rsidRPr="001E2F6E">
              <w:rPr>
                <w:color w:val="000000"/>
                <w:sz w:val="16"/>
                <w:szCs w:val="16"/>
              </w:rPr>
              <w:t>-942.971</w:t>
            </w:r>
          </w:p>
        </w:tc>
        <w:tc>
          <w:tcPr>
            <w:tcW w:w="477" w:type="pct"/>
            <w:tcBorders>
              <w:top w:val="nil"/>
              <w:left w:val="nil"/>
              <w:bottom w:val="nil"/>
              <w:right w:val="single" w:sz="8" w:space="0" w:color="BFBFBF"/>
            </w:tcBorders>
            <w:shd w:val="clear" w:color="auto" w:fill="auto"/>
            <w:noWrap/>
            <w:vAlign w:val="bottom"/>
            <w:hideMark/>
          </w:tcPr>
          <w:p w:rsidR="00195BE7" w:rsidRPr="001E2F6E" w:rsidRDefault="00195BE7" w:rsidP="00195BE7">
            <w:pPr>
              <w:spacing w:line="220" w:lineRule="exact"/>
              <w:jc w:val="right"/>
              <w:rPr>
                <w:color w:val="000000"/>
                <w:sz w:val="16"/>
                <w:szCs w:val="16"/>
              </w:rPr>
            </w:pPr>
            <w:r w:rsidRPr="001E2F6E">
              <w:rPr>
                <w:color w:val="000000"/>
                <w:sz w:val="16"/>
                <w:szCs w:val="16"/>
              </w:rPr>
              <w:t>-26.080</w:t>
            </w:r>
          </w:p>
        </w:tc>
        <w:tc>
          <w:tcPr>
            <w:tcW w:w="621" w:type="pct"/>
            <w:tcBorders>
              <w:top w:val="nil"/>
              <w:left w:val="nil"/>
              <w:bottom w:val="nil"/>
              <w:right w:val="single" w:sz="8" w:space="0" w:color="BFBFBF"/>
            </w:tcBorders>
            <w:shd w:val="clear" w:color="auto" w:fill="auto"/>
            <w:noWrap/>
            <w:vAlign w:val="bottom"/>
            <w:hideMark/>
          </w:tcPr>
          <w:p w:rsidR="00195BE7" w:rsidRPr="001E2F6E" w:rsidRDefault="00195BE7" w:rsidP="00195BE7">
            <w:pPr>
              <w:spacing w:line="220" w:lineRule="exact"/>
              <w:jc w:val="right"/>
              <w:rPr>
                <w:color w:val="000000"/>
                <w:sz w:val="16"/>
                <w:szCs w:val="16"/>
              </w:rPr>
            </w:pPr>
            <w:r w:rsidRPr="001E2F6E">
              <w:rPr>
                <w:color w:val="000000"/>
                <w:sz w:val="16"/>
                <w:szCs w:val="16"/>
              </w:rPr>
              <w:t>-140.443</w:t>
            </w:r>
          </w:p>
        </w:tc>
        <w:tc>
          <w:tcPr>
            <w:tcW w:w="707" w:type="pct"/>
            <w:tcBorders>
              <w:top w:val="nil"/>
              <w:left w:val="nil"/>
              <w:bottom w:val="nil"/>
              <w:right w:val="single" w:sz="8" w:space="0" w:color="BFBFBF"/>
            </w:tcBorders>
            <w:shd w:val="clear" w:color="auto" w:fill="auto"/>
            <w:noWrap/>
            <w:vAlign w:val="bottom"/>
            <w:hideMark/>
          </w:tcPr>
          <w:p w:rsidR="00195BE7" w:rsidRPr="001E2F6E" w:rsidRDefault="00195BE7" w:rsidP="00195BE7">
            <w:pPr>
              <w:spacing w:line="220" w:lineRule="exact"/>
              <w:jc w:val="right"/>
              <w:rPr>
                <w:color w:val="000000"/>
                <w:sz w:val="16"/>
                <w:szCs w:val="16"/>
              </w:rPr>
            </w:pPr>
            <w:r w:rsidRPr="001E2F6E">
              <w:rPr>
                <w:color w:val="000000"/>
                <w:sz w:val="16"/>
                <w:szCs w:val="16"/>
              </w:rPr>
              <w:t>-19.248</w:t>
            </w:r>
          </w:p>
        </w:tc>
        <w:tc>
          <w:tcPr>
            <w:tcW w:w="621" w:type="pct"/>
            <w:tcBorders>
              <w:top w:val="nil"/>
              <w:left w:val="nil"/>
              <w:bottom w:val="nil"/>
              <w:right w:val="single" w:sz="8" w:space="0" w:color="BFBFBF"/>
            </w:tcBorders>
            <w:shd w:val="clear" w:color="auto" w:fill="auto"/>
            <w:noWrap/>
            <w:vAlign w:val="bottom"/>
            <w:hideMark/>
          </w:tcPr>
          <w:p w:rsidR="00195BE7" w:rsidRPr="001E2F6E" w:rsidRDefault="00195BE7" w:rsidP="00195BE7">
            <w:pPr>
              <w:spacing w:line="220" w:lineRule="exact"/>
              <w:jc w:val="right"/>
              <w:rPr>
                <w:color w:val="000000"/>
                <w:sz w:val="16"/>
                <w:szCs w:val="16"/>
              </w:rPr>
            </w:pPr>
            <w:r w:rsidRPr="001E2F6E">
              <w:rPr>
                <w:color w:val="000000"/>
                <w:sz w:val="16"/>
                <w:szCs w:val="16"/>
              </w:rPr>
              <w:t>-757.201</w:t>
            </w:r>
          </w:p>
        </w:tc>
      </w:tr>
      <w:tr w:rsidR="00195BE7" w:rsidRPr="001E2F6E" w:rsidTr="00195BE7">
        <w:tc>
          <w:tcPr>
            <w:tcW w:w="1952" w:type="pct"/>
            <w:tcBorders>
              <w:top w:val="nil"/>
              <w:left w:val="nil"/>
              <w:bottom w:val="nil"/>
              <w:right w:val="single" w:sz="8" w:space="0" w:color="BFBFBF"/>
            </w:tcBorders>
            <w:shd w:val="clear" w:color="auto" w:fill="auto"/>
            <w:vAlign w:val="bottom"/>
            <w:hideMark/>
          </w:tcPr>
          <w:p w:rsidR="00195BE7" w:rsidRPr="001E2F6E" w:rsidRDefault="00195BE7" w:rsidP="00195BE7">
            <w:pPr>
              <w:spacing w:line="220" w:lineRule="exact"/>
              <w:rPr>
                <w:sz w:val="16"/>
                <w:szCs w:val="16"/>
                <w:lang w:val="eu-ES"/>
              </w:rPr>
            </w:pPr>
            <w:r w:rsidRPr="001E2F6E">
              <w:rPr>
                <w:sz w:val="16"/>
                <w:szCs w:val="16"/>
                <w:lang w:val="eu-ES"/>
              </w:rPr>
              <w:t>62 Kanpoko zerbitzuak</w:t>
            </w:r>
          </w:p>
        </w:tc>
        <w:tc>
          <w:tcPr>
            <w:tcW w:w="622" w:type="pct"/>
            <w:tcBorders>
              <w:top w:val="nil"/>
              <w:left w:val="nil"/>
              <w:bottom w:val="nil"/>
              <w:right w:val="single" w:sz="8" w:space="0" w:color="BFBFBF"/>
            </w:tcBorders>
            <w:shd w:val="clear" w:color="auto" w:fill="auto"/>
            <w:noWrap/>
            <w:vAlign w:val="bottom"/>
            <w:hideMark/>
          </w:tcPr>
          <w:p w:rsidR="00195BE7" w:rsidRPr="001E2F6E" w:rsidRDefault="00195BE7" w:rsidP="00195BE7">
            <w:pPr>
              <w:spacing w:line="220" w:lineRule="exact"/>
              <w:jc w:val="right"/>
              <w:rPr>
                <w:color w:val="000000"/>
                <w:sz w:val="16"/>
                <w:szCs w:val="16"/>
              </w:rPr>
            </w:pPr>
            <w:r w:rsidRPr="001E2F6E">
              <w:rPr>
                <w:color w:val="000000"/>
                <w:sz w:val="16"/>
                <w:szCs w:val="16"/>
              </w:rPr>
              <w:t>40.971.668</w:t>
            </w:r>
          </w:p>
        </w:tc>
        <w:tc>
          <w:tcPr>
            <w:tcW w:w="477" w:type="pct"/>
            <w:tcBorders>
              <w:top w:val="nil"/>
              <w:left w:val="nil"/>
              <w:bottom w:val="nil"/>
              <w:right w:val="single" w:sz="8" w:space="0" w:color="BFBFBF"/>
            </w:tcBorders>
            <w:shd w:val="clear" w:color="auto" w:fill="auto"/>
            <w:noWrap/>
            <w:vAlign w:val="bottom"/>
            <w:hideMark/>
          </w:tcPr>
          <w:p w:rsidR="00195BE7" w:rsidRPr="001E2F6E" w:rsidRDefault="00195BE7" w:rsidP="00195BE7">
            <w:pPr>
              <w:spacing w:line="220" w:lineRule="exact"/>
              <w:jc w:val="right"/>
              <w:rPr>
                <w:color w:val="000000"/>
                <w:sz w:val="16"/>
                <w:szCs w:val="16"/>
              </w:rPr>
            </w:pPr>
            <w:r w:rsidRPr="001E2F6E">
              <w:rPr>
                <w:color w:val="000000"/>
                <w:sz w:val="16"/>
                <w:szCs w:val="16"/>
              </w:rPr>
              <w:t>55.164</w:t>
            </w:r>
          </w:p>
        </w:tc>
        <w:tc>
          <w:tcPr>
            <w:tcW w:w="621" w:type="pct"/>
            <w:tcBorders>
              <w:top w:val="nil"/>
              <w:left w:val="nil"/>
              <w:bottom w:val="nil"/>
              <w:right w:val="single" w:sz="8" w:space="0" w:color="BFBFBF"/>
            </w:tcBorders>
            <w:shd w:val="clear" w:color="auto" w:fill="auto"/>
            <w:noWrap/>
            <w:vAlign w:val="bottom"/>
            <w:hideMark/>
          </w:tcPr>
          <w:p w:rsidR="00195BE7" w:rsidRPr="001E2F6E" w:rsidRDefault="00195BE7" w:rsidP="00195BE7">
            <w:pPr>
              <w:spacing w:line="220" w:lineRule="exact"/>
              <w:jc w:val="right"/>
              <w:rPr>
                <w:color w:val="000000"/>
                <w:sz w:val="16"/>
                <w:szCs w:val="16"/>
              </w:rPr>
            </w:pPr>
            <w:r w:rsidRPr="001E2F6E">
              <w:rPr>
                <w:color w:val="000000"/>
                <w:sz w:val="16"/>
                <w:szCs w:val="16"/>
              </w:rPr>
              <w:t>16.834.336</w:t>
            </w:r>
          </w:p>
        </w:tc>
        <w:tc>
          <w:tcPr>
            <w:tcW w:w="707" w:type="pct"/>
            <w:tcBorders>
              <w:top w:val="nil"/>
              <w:left w:val="nil"/>
              <w:bottom w:val="nil"/>
              <w:right w:val="single" w:sz="8" w:space="0" w:color="BFBFBF"/>
            </w:tcBorders>
            <w:shd w:val="clear" w:color="auto" w:fill="auto"/>
            <w:noWrap/>
            <w:vAlign w:val="bottom"/>
            <w:hideMark/>
          </w:tcPr>
          <w:p w:rsidR="00195BE7" w:rsidRPr="001E2F6E" w:rsidRDefault="00195BE7" w:rsidP="00195BE7">
            <w:pPr>
              <w:spacing w:line="220" w:lineRule="exact"/>
              <w:jc w:val="right"/>
              <w:rPr>
                <w:color w:val="000000"/>
                <w:sz w:val="16"/>
                <w:szCs w:val="16"/>
              </w:rPr>
            </w:pPr>
            <w:r w:rsidRPr="001E2F6E">
              <w:rPr>
                <w:color w:val="000000"/>
                <w:sz w:val="16"/>
                <w:szCs w:val="16"/>
              </w:rPr>
              <w:t>4.627.364</w:t>
            </w:r>
          </w:p>
        </w:tc>
        <w:tc>
          <w:tcPr>
            <w:tcW w:w="621" w:type="pct"/>
            <w:tcBorders>
              <w:top w:val="nil"/>
              <w:left w:val="nil"/>
              <w:bottom w:val="nil"/>
              <w:right w:val="single" w:sz="8" w:space="0" w:color="BFBFBF"/>
            </w:tcBorders>
            <w:shd w:val="clear" w:color="auto" w:fill="auto"/>
            <w:noWrap/>
            <w:vAlign w:val="bottom"/>
            <w:hideMark/>
          </w:tcPr>
          <w:p w:rsidR="00195BE7" w:rsidRPr="001E2F6E" w:rsidRDefault="00195BE7" w:rsidP="00195BE7">
            <w:pPr>
              <w:spacing w:line="220" w:lineRule="exact"/>
              <w:jc w:val="right"/>
              <w:rPr>
                <w:color w:val="000000"/>
                <w:sz w:val="16"/>
                <w:szCs w:val="16"/>
              </w:rPr>
            </w:pPr>
            <w:r w:rsidRPr="001E2F6E">
              <w:rPr>
                <w:color w:val="000000"/>
                <w:sz w:val="16"/>
                <w:szCs w:val="16"/>
              </w:rPr>
              <w:t>19.454.804</w:t>
            </w:r>
          </w:p>
        </w:tc>
      </w:tr>
      <w:tr w:rsidR="00195BE7" w:rsidRPr="001E2F6E" w:rsidTr="00195BE7">
        <w:tc>
          <w:tcPr>
            <w:tcW w:w="1952" w:type="pct"/>
            <w:tcBorders>
              <w:top w:val="nil"/>
              <w:left w:val="nil"/>
              <w:bottom w:val="nil"/>
              <w:right w:val="single" w:sz="8" w:space="0" w:color="BFBFBF"/>
            </w:tcBorders>
            <w:shd w:val="clear" w:color="auto" w:fill="auto"/>
            <w:vAlign w:val="bottom"/>
            <w:hideMark/>
          </w:tcPr>
          <w:p w:rsidR="00195BE7" w:rsidRPr="001E2F6E" w:rsidRDefault="00195BE7" w:rsidP="00195BE7">
            <w:pPr>
              <w:spacing w:line="220" w:lineRule="exact"/>
              <w:rPr>
                <w:sz w:val="16"/>
                <w:szCs w:val="16"/>
                <w:lang w:val="eu-ES"/>
              </w:rPr>
            </w:pPr>
            <w:r w:rsidRPr="001E2F6E">
              <w:rPr>
                <w:sz w:val="16"/>
                <w:szCs w:val="16"/>
                <w:lang w:val="eu-ES"/>
              </w:rPr>
              <w:t>63 Jarduerari lotutako zergak</w:t>
            </w:r>
          </w:p>
        </w:tc>
        <w:tc>
          <w:tcPr>
            <w:tcW w:w="622" w:type="pct"/>
            <w:tcBorders>
              <w:top w:val="nil"/>
              <w:left w:val="nil"/>
              <w:bottom w:val="nil"/>
              <w:right w:val="single" w:sz="8" w:space="0" w:color="BFBFBF"/>
            </w:tcBorders>
            <w:shd w:val="clear" w:color="auto" w:fill="auto"/>
            <w:noWrap/>
            <w:vAlign w:val="bottom"/>
            <w:hideMark/>
          </w:tcPr>
          <w:p w:rsidR="00195BE7" w:rsidRPr="001E2F6E" w:rsidRDefault="00195BE7" w:rsidP="00195BE7">
            <w:pPr>
              <w:spacing w:line="220" w:lineRule="exact"/>
              <w:jc w:val="right"/>
              <w:rPr>
                <w:color w:val="000000"/>
                <w:sz w:val="16"/>
                <w:szCs w:val="16"/>
              </w:rPr>
            </w:pPr>
            <w:r w:rsidRPr="001E2F6E">
              <w:rPr>
                <w:color w:val="000000"/>
                <w:sz w:val="16"/>
                <w:szCs w:val="16"/>
              </w:rPr>
              <w:t>440.422</w:t>
            </w:r>
          </w:p>
        </w:tc>
        <w:tc>
          <w:tcPr>
            <w:tcW w:w="477" w:type="pct"/>
            <w:tcBorders>
              <w:top w:val="nil"/>
              <w:left w:val="nil"/>
              <w:bottom w:val="nil"/>
              <w:right w:val="single" w:sz="8" w:space="0" w:color="BFBFBF"/>
            </w:tcBorders>
            <w:shd w:val="clear" w:color="auto" w:fill="auto"/>
            <w:noWrap/>
            <w:vAlign w:val="bottom"/>
            <w:hideMark/>
          </w:tcPr>
          <w:p w:rsidR="00195BE7" w:rsidRPr="001E2F6E" w:rsidRDefault="00195BE7" w:rsidP="00195BE7">
            <w:pPr>
              <w:spacing w:line="220" w:lineRule="exact"/>
              <w:jc w:val="right"/>
              <w:rPr>
                <w:color w:val="000000"/>
                <w:sz w:val="16"/>
                <w:szCs w:val="16"/>
              </w:rPr>
            </w:pPr>
            <w:r w:rsidRPr="001E2F6E">
              <w:rPr>
                <w:color w:val="000000"/>
                <w:sz w:val="16"/>
                <w:szCs w:val="16"/>
              </w:rPr>
              <w:t>1.108</w:t>
            </w:r>
          </w:p>
        </w:tc>
        <w:tc>
          <w:tcPr>
            <w:tcW w:w="621" w:type="pct"/>
            <w:tcBorders>
              <w:top w:val="nil"/>
              <w:left w:val="nil"/>
              <w:bottom w:val="nil"/>
              <w:right w:val="single" w:sz="8" w:space="0" w:color="BFBFBF"/>
            </w:tcBorders>
            <w:shd w:val="clear" w:color="auto" w:fill="auto"/>
            <w:noWrap/>
            <w:vAlign w:val="bottom"/>
            <w:hideMark/>
          </w:tcPr>
          <w:p w:rsidR="00195BE7" w:rsidRPr="001E2F6E" w:rsidRDefault="00195BE7" w:rsidP="00195BE7">
            <w:pPr>
              <w:spacing w:line="220" w:lineRule="exact"/>
              <w:jc w:val="right"/>
              <w:rPr>
                <w:color w:val="000000"/>
                <w:sz w:val="16"/>
                <w:szCs w:val="16"/>
              </w:rPr>
            </w:pPr>
            <w:r w:rsidRPr="001E2F6E">
              <w:rPr>
                <w:color w:val="000000"/>
                <w:sz w:val="16"/>
                <w:szCs w:val="16"/>
              </w:rPr>
              <w:t>374.354</w:t>
            </w:r>
          </w:p>
        </w:tc>
        <w:tc>
          <w:tcPr>
            <w:tcW w:w="707" w:type="pct"/>
            <w:tcBorders>
              <w:top w:val="nil"/>
              <w:left w:val="nil"/>
              <w:bottom w:val="nil"/>
              <w:right w:val="single" w:sz="8" w:space="0" w:color="BFBFBF"/>
            </w:tcBorders>
            <w:shd w:val="clear" w:color="auto" w:fill="auto"/>
            <w:noWrap/>
            <w:vAlign w:val="bottom"/>
            <w:hideMark/>
          </w:tcPr>
          <w:p w:rsidR="00195BE7" w:rsidRPr="001E2F6E" w:rsidRDefault="00195BE7" w:rsidP="00195BE7">
            <w:pPr>
              <w:spacing w:line="220" w:lineRule="exact"/>
              <w:jc w:val="right"/>
              <w:rPr>
                <w:color w:val="000000"/>
                <w:sz w:val="16"/>
                <w:szCs w:val="16"/>
              </w:rPr>
            </w:pPr>
            <w:r w:rsidRPr="001E2F6E">
              <w:rPr>
                <w:color w:val="000000"/>
                <w:sz w:val="16"/>
                <w:szCs w:val="16"/>
              </w:rPr>
              <w:t>-40.894</w:t>
            </w:r>
          </w:p>
        </w:tc>
        <w:tc>
          <w:tcPr>
            <w:tcW w:w="621" w:type="pct"/>
            <w:tcBorders>
              <w:top w:val="nil"/>
              <w:left w:val="nil"/>
              <w:bottom w:val="nil"/>
              <w:right w:val="single" w:sz="8" w:space="0" w:color="BFBFBF"/>
            </w:tcBorders>
            <w:shd w:val="clear" w:color="auto" w:fill="auto"/>
            <w:noWrap/>
            <w:vAlign w:val="bottom"/>
            <w:hideMark/>
          </w:tcPr>
          <w:p w:rsidR="00195BE7" w:rsidRPr="001E2F6E" w:rsidRDefault="00195BE7" w:rsidP="00195BE7">
            <w:pPr>
              <w:spacing w:line="220" w:lineRule="exact"/>
              <w:jc w:val="right"/>
              <w:rPr>
                <w:color w:val="000000"/>
                <w:sz w:val="16"/>
                <w:szCs w:val="16"/>
              </w:rPr>
            </w:pPr>
            <w:r w:rsidRPr="001E2F6E">
              <w:rPr>
                <w:color w:val="000000"/>
                <w:sz w:val="16"/>
                <w:szCs w:val="16"/>
              </w:rPr>
              <w:t>105.854</w:t>
            </w:r>
          </w:p>
        </w:tc>
      </w:tr>
      <w:tr w:rsidR="00195BE7" w:rsidRPr="001E2F6E" w:rsidTr="00195BE7">
        <w:tc>
          <w:tcPr>
            <w:tcW w:w="1952" w:type="pct"/>
            <w:tcBorders>
              <w:top w:val="nil"/>
              <w:left w:val="nil"/>
              <w:bottom w:val="nil"/>
              <w:right w:val="single" w:sz="8" w:space="0" w:color="BFBFBF"/>
            </w:tcBorders>
            <w:shd w:val="clear" w:color="auto" w:fill="auto"/>
            <w:vAlign w:val="bottom"/>
            <w:hideMark/>
          </w:tcPr>
          <w:p w:rsidR="00195BE7" w:rsidRPr="001E2F6E" w:rsidRDefault="00195BE7" w:rsidP="00195BE7">
            <w:pPr>
              <w:spacing w:line="220" w:lineRule="exact"/>
              <w:rPr>
                <w:sz w:val="16"/>
                <w:szCs w:val="16"/>
                <w:lang w:val="eu-ES"/>
              </w:rPr>
            </w:pPr>
            <w:r w:rsidRPr="001E2F6E">
              <w:rPr>
                <w:sz w:val="16"/>
                <w:szCs w:val="16"/>
                <w:lang w:val="eu-ES"/>
              </w:rPr>
              <w:t>64 Pertsonal-gastuak</w:t>
            </w:r>
          </w:p>
        </w:tc>
        <w:tc>
          <w:tcPr>
            <w:tcW w:w="622" w:type="pct"/>
            <w:tcBorders>
              <w:top w:val="nil"/>
              <w:left w:val="nil"/>
              <w:bottom w:val="nil"/>
              <w:right w:val="single" w:sz="8" w:space="0" w:color="BFBFBF"/>
            </w:tcBorders>
            <w:shd w:val="clear" w:color="auto" w:fill="auto"/>
            <w:noWrap/>
            <w:vAlign w:val="bottom"/>
            <w:hideMark/>
          </w:tcPr>
          <w:p w:rsidR="00195BE7" w:rsidRPr="001E2F6E" w:rsidRDefault="00195BE7" w:rsidP="00195BE7">
            <w:pPr>
              <w:spacing w:line="220" w:lineRule="exact"/>
              <w:jc w:val="right"/>
              <w:rPr>
                <w:color w:val="000000"/>
                <w:sz w:val="16"/>
                <w:szCs w:val="16"/>
              </w:rPr>
            </w:pPr>
            <w:r w:rsidRPr="001E2F6E">
              <w:rPr>
                <w:color w:val="000000"/>
                <w:sz w:val="16"/>
                <w:szCs w:val="16"/>
              </w:rPr>
              <w:t>106.244.786</w:t>
            </w:r>
          </w:p>
        </w:tc>
        <w:tc>
          <w:tcPr>
            <w:tcW w:w="477" w:type="pct"/>
            <w:tcBorders>
              <w:top w:val="nil"/>
              <w:left w:val="nil"/>
              <w:bottom w:val="nil"/>
              <w:right w:val="single" w:sz="8" w:space="0" w:color="BFBFBF"/>
            </w:tcBorders>
            <w:shd w:val="clear" w:color="auto" w:fill="auto"/>
            <w:noWrap/>
            <w:vAlign w:val="bottom"/>
            <w:hideMark/>
          </w:tcPr>
          <w:p w:rsidR="00195BE7" w:rsidRPr="001E2F6E" w:rsidRDefault="00195BE7" w:rsidP="00195BE7">
            <w:pPr>
              <w:spacing w:line="220" w:lineRule="exact"/>
              <w:jc w:val="right"/>
              <w:rPr>
                <w:color w:val="000000"/>
                <w:sz w:val="16"/>
                <w:szCs w:val="16"/>
              </w:rPr>
            </w:pPr>
            <w:r w:rsidRPr="001E2F6E">
              <w:rPr>
                <w:color w:val="000000"/>
                <w:sz w:val="16"/>
                <w:szCs w:val="16"/>
              </w:rPr>
              <w:t>183.728</w:t>
            </w:r>
          </w:p>
        </w:tc>
        <w:tc>
          <w:tcPr>
            <w:tcW w:w="621" w:type="pct"/>
            <w:tcBorders>
              <w:top w:val="nil"/>
              <w:left w:val="nil"/>
              <w:bottom w:val="nil"/>
              <w:right w:val="single" w:sz="8" w:space="0" w:color="BFBFBF"/>
            </w:tcBorders>
            <w:shd w:val="clear" w:color="auto" w:fill="auto"/>
            <w:noWrap/>
            <w:vAlign w:val="bottom"/>
            <w:hideMark/>
          </w:tcPr>
          <w:p w:rsidR="00195BE7" w:rsidRPr="001E2F6E" w:rsidRDefault="00195BE7" w:rsidP="00195BE7">
            <w:pPr>
              <w:spacing w:line="220" w:lineRule="exact"/>
              <w:jc w:val="right"/>
              <w:rPr>
                <w:color w:val="000000"/>
                <w:sz w:val="16"/>
                <w:szCs w:val="16"/>
              </w:rPr>
            </w:pPr>
            <w:r w:rsidRPr="001E2F6E">
              <w:rPr>
                <w:color w:val="000000"/>
                <w:sz w:val="16"/>
                <w:szCs w:val="16"/>
              </w:rPr>
              <w:t>50.370.674</w:t>
            </w:r>
          </w:p>
        </w:tc>
        <w:tc>
          <w:tcPr>
            <w:tcW w:w="707" w:type="pct"/>
            <w:tcBorders>
              <w:top w:val="nil"/>
              <w:left w:val="nil"/>
              <w:bottom w:val="nil"/>
              <w:right w:val="single" w:sz="8" w:space="0" w:color="BFBFBF"/>
            </w:tcBorders>
            <w:shd w:val="clear" w:color="auto" w:fill="auto"/>
            <w:noWrap/>
            <w:vAlign w:val="bottom"/>
            <w:hideMark/>
          </w:tcPr>
          <w:p w:rsidR="00195BE7" w:rsidRPr="001E2F6E" w:rsidRDefault="00195BE7" w:rsidP="00195BE7">
            <w:pPr>
              <w:spacing w:line="220" w:lineRule="exact"/>
              <w:jc w:val="right"/>
              <w:rPr>
                <w:color w:val="000000"/>
                <w:sz w:val="16"/>
                <w:szCs w:val="16"/>
              </w:rPr>
            </w:pPr>
            <w:r w:rsidRPr="001E2F6E">
              <w:rPr>
                <w:color w:val="000000"/>
                <w:sz w:val="16"/>
                <w:szCs w:val="16"/>
              </w:rPr>
              <w:t>14.622.899</w:t>
            </w:r>
          </w:p>
        </w:tc>
        <w:tc>
          <w:tcPr>
            <w:tcW w:w="621" w:type="pct"/>
            <w:tcBorders>
              <w:top w:val="nil"/>
              <w:left w:val="nil"/>
              <w:bottom w:val="nil"/>
              <w:right w:val="single" w:sz="8" w:space="0" w:color="BFBFBF"/>
            </w:tcBorders>
            <w:shd w:val="clear" w:color="auto" w:fill="auto"/>
            <w:noWrap/>
            <w:vAlign w:val="bottom"/>
            <w:hideMark/>
          </w:tcPr>
          <w:p w:rsidR="00195BE7" w:rsidRPr="001E2F6E" w:rsidRDefault="00195BE7" w:rsidP="00195BE7">
            <w:pPr>
              <w:spacing w:line="220" w:lineRule="exact"/>
              <w:jc w:val="right"/>
              <w:rPr>
                <w:color w:val="000000"/>
                <w:sz w:val="16"/>
                <w:szCs w:val="16"/>
              </w:rPr>
            </w:pPr>
            <w:r w:rsidRPr="001E2F6E">
              <w:rPr>
                <w:color w:val="000000"/>
                <w:sz w:val="16"/>
                <w:szCs w:val="16"/>
              </w:rPr>
              <w:t>41.067.484</w:t>
            </w:r>
          </w:p>
        </w:tc>
      </w:tr>
      <w:tr w:rsidR="00195BE7" w:rsidRPr="001E2F6E" w:rsidTr="00195BE7">
        <w:tc>
          <w:tcPr>
            <w:tcW w:w="1952" w:type="pct"/>
            <w:tcBorders>
              <w:top w:val="nil"/>
              <w:left w:val="nil"/>
              <w:bottom w:val="nil"/>
              <w:right w:val="single" w:sz="8" w:space="0" w:color="BFBFBF"/>
            </w:tcBorders>
            <w:shd w:val="clear" w:color="auto" w:fill="auto"/>
            <w:vAlign w:val="bottom"/>
            <w:hideMark/>
          </w:tcPr>
          <w:p w:rsidR="00195BE7" w:rsidRPr="001E2F6E" w:rsidRDefault="00195BE7" w:rsidP="00195BE7">
            <w:pPr>
              <w:spacing w:line="220" w:lineRule="exact"/>
              <w:rPr>
                <w:sz w:val="16"/>
                <w:szCs w:val="16"/>
                <w:lang w:val="eu-ES"/>
              </w:rPr>
            </w:pPr>
            <w:r w:rsidRPr="001E2F6E">
              <w:rPr>
                <w:sz w:val="16"/>
                <w:szCs w:val="16"/>
                <w:lang w:val="eu-ES"/>
              </w:rPr>
              <w:t>65 Kudeaketa-gastuak</w:t>
            </w:r>
          </w:p>
        </w:tc>
        <w:tc>
          <w:tcPr>
            <w:tcW w:w="622" w:type="pct"/>
            <w:tcBorders>
              <w:top w:val="nil"/>
              <w:left w:val="nil"/>
              <w:bottom w:val="nil"/>
              <w:right w:val="single" w:sz="8" w:space="0" w:color="BFBFBF"/>
            </w:tcBorders>
            <w:shd w:val="clear" w:color="auto" w:fill="auto"/>
            <w:noWrap/>
            <w:vAlign w:val="bottom"/>
            <w:hideMark/>
          </w:tcPr>
          <w:p w:rsidR="00195BE7" w:rsidRPr="001E2F6E" w:rsidRDefault="00195BE7" w:rsidP="00195BE7">
            <w:pPr>
              <w:spacing w:line="220" w:lineRule="exact"/>
              <w:jc w:val="right"/>
              <w:rPr>
                <w:color w:val="000000"/>
                <w:sz w:val="16"/>
                <w:szCs w:val="16"/>
              </w:rPr>
            </w:pPr>
            <w:r w:rsidRPr="001E2F6E">
              <w:rPr>
                <w:color w:val="000000"/>
                <w:sz w:val="16"/>
                <w:szCs w:val="16"/>
              </w:rPr>
              <w:t>710.302</w:t>
            </w:r>
          </w:p>
        </w:tc>
        <w:tc>
          <w:tcPr>
            <w:tcW w:w="477" w:type="pct"/>
            <w:tcBorders>
              <w:top w:val="nil"/>
              <w:left w:val="nil"/>
              <w:bottom w:val="nil"/>
              <w:right w:val="single" w:sz="8" w:space="0" w:color="BFBFBF"/>
            </w:tcBorders>
            <w:shd w:val="clear" w:color="auto" w:fill="auto"/>
            <w:noWrap/>
            <w:vAlign w:val="bottom"/>
            <w:hideMark/>
          </w:tcPr>
          <w:p w:rsidR="00195BE7" w:rsidRPr="001E2F6E" w:rsidRDefault="00195BE7" w:rsidP="00195BE7">
            <w:pPr>
              <w:spacing w:line="220" w:lineRule="exact"/>
              <w:jc w:val="right"/>
              <w:rPr>
                <w:color w:val="000000"/>
                <w:sz w:val="16"/>
                <w:szCs w:val="16"/>
              </w:rPr>
            </w:pPr>
            <w:r w:rsidRPr="001E2F6E">
              <w:rPr>
                <w:color w:val="000000"/>
                <w:sz w:val="16"/>
                <w:szCs w:val="16"/>
              </w:rPr>
              <w:t> </w:t>
            </w:r>
          </w:p>
        </w:tc>
        <w:tc>
          <w:tcPr>
            <w:tcW w:w="621" w:type="pct"/>
            <w:tcBorders>
              <w:top w:val="nil"/>
              <w:left w:val="nil"/>
              <w:bottom w:val="nil"/>
              <w:right w:val="single" w:sz="8" w:space="0" w:color="BFBFBF"/>
            </w:tcBorders>
            <w:shd w:val="clear" w:color="auto" w:fill="auto"/>
            <w:noWrap/>
            <w:vAlign w:val="bottom"/>
            <w:hideMark/>
          </w:tcPr>
          <w:p w:rsidR="00195BE7" w:rsidRPr="001E2F6E" w:rsidRDefault="00195BE7" w:rsidP="00195BE7">
            <w:pPr>
              <w:spacing w:line="220" w:lineRule="exact"/>
              <w:jc w:val="right"/>
              <w:rPr>
                <w:color w:val="000000"/>
                <w:sz w:val="16"/>
                <w:szCs w:val="16"/>
              </w:rPr>
            </w:pPr>
            <w:r w:rsidRPr="001E2F6E">
              <w:rPr>
                <w:color w:val="000000"/>
                <w:sz w:val="16"/>
                <w:szCs w:val="16"/>
              </w:rPr>
              <w:t>198.871</w:t>
            </w:r>
          </w:p>
        </w:tc>
        <w:tc>
          <w:tcPr>
            <w:tcW w:w="707" w:type="pct"/>
            <w:tcBorders>
              <w:top w:val="nil"/>
              <w:left w:val="nil"/>
              <w:bottom w:val="nil"/>
              <w:right w:val="single" w:sz="8" w:space="0" w:color="BFBFBF"/>
            </w:tcBorders>
            <w:shd w:val="clear" w:color="auto" w:fill="auto"/>
            <w:noWrap/>
            <w:vAlign w:val="bottom"/>
            <w:hideMark/>
          </w:tcPr>
          <w:p w:rsidR="00195BE7" w:rsidRPr="001E2F6E" w:rsidRDefault="00195BE7" w:rsidP="00195BE7">
            <w:pPr>
              <w:spacing w:line="220" w:lineRule="exact"/>
              <w:jc w:val="right"/>
              <w:rPr>
                <w:color w:val="000000"/>
                <w:sz w:val="16"/>
                <w:szCs w:val="16"/>
              </w:rPr>
            </w:pPr>
            <w:r w:rsidRPr="001E2F6E">
              <w:rPr>
                <w:color w:val="000000"/>
                <w:sz w:val="16"/>
                <w:szCs w:val="16"/>
              </w:rPr>
              <w:t>109.605</w:t>
            </w:r>
          </w:p>
        </w:tc>
        <w:tc>
          <w:tcPr>
            <w:tcW w:w="621" w:type="pct"/>
            <w:tcBorders>
              <w:top w:val="nil"/>
              <w:left w:val="nil"/>
              <w:bottom w:val="nil"/>
              <w:right w:val="single" w:sz="8" w:space="0" w:color="BFBFBF"/>
            </w:tcBorders>
            <w:shd w:val="clear" w:color="auto" w:fill="auto"/>
            <w:noWrap/>
            <w:vAlign w:val="bottom"/>
            <w:hideMark/>
          </w:tcPr>
          <w:p w:rsidR="00195BE7" w:rsidRPr="001E2F6E" w:rsidRDefault="00195BE7" w:rsidP="00195BE7">
            <w:pPr>
              <w:spacing w:line="220" w:lineRule="exact"/>
              <w:jc w:val="right"/>
              <w:rPr>
                <w:color w:val="000000"/>
                <w:sz w:val="16"/>
                <w:szCs w:val="16"/>
              </w:rPr>
            </w:pPr>
            <w:r w:rsidRPr="001E2F6E">
              <w:rPr>
                <w:color w:val="000000"/>
                <w:sz w:val="16"/>
                <w:szCs w:val="16"/>
              </w:rPr>
              <w:t>401.827</w:t>
            </w:r>
          </w:p>
        </w:tc>
      </w:tr>
      <w:tr w:rsidR="00195BE7" w:rsidRPr="001E2F6E" w:rsidTr="00195BE7">
        <w:tc>
          <w:tcPr>
            <w:tcW w:w="1952" w:type="pct"/>
            <w:tcBorders>
              <w:top w:val="nil"/>
              <w:left w:val="nil"/>
              <w:bottom w:val="nil"/>
              <w:right w:val="single" w:sz="8" w:space="0" w:color="BFBFBF"/>
            </w:tcBorders>
            <w:shd w:val="clear" w:color="auto" w:fill="auto"/>
            <w:vAlign w:val="bottom"/>
            <w:hideMark/>
          </w:tcPr>
          <w:p w:rsidR="00195BE7" w:rsidRPr="001E2F6E" w:rsidRDefault="00195BE7" w:rsidP="00195BE7">
            <w:pPr>
              <w:spacing w:line="220" w:lineRule="exact"/>
              <w:rPr>
                <w:sz w:val="16"/>
                <w:szCs w:val="16"/>
                <w:lang w:val="eu-ES"/>
              </w:rPr>
            </w:pPr>
            <w:r w:rsidRPr="001E2F6E">
              <w:rPr>
                <w:sz w:val="16"/>
                <w:szCs w:val="16"/>
                <w:lang w:val="eu-ES"/>
              </w:rPr>
              <w:t>66 Finantza-gastuak</w:t>
            </w:r>
          </w:p>
        </w:tc>
        <w:tc>
          <w:tcPr>
            <w:tcW w:w="622" w:type="pct"/>
            <w:tcBorders>
              <w:top w:val="nil"/>
              <w:left w:val="nil"/>
              <w:bottom w:val="nil"/>
              <w:right w:val="single" w:sz="8" w:space="0" w:color="BFBFBF"/>
            </w:tcBorders>
            <w:shd w:val="clear" w:color="auto" w:fill="auto"/>
            <w:noWrap/>
            <w:vAlign w:val="bottom"/>
            <w:hideMark/>
          </w:tcPr>
          <w:p w:rsidR="00195BE7" w:rsidRPr="001E2F6E" w:rsidRDefault="00195BE7" w:rsidP="00195BE7">
            <w:pPr>
              <w:spacing w:line="220" w:lineRule="exact"/>
              <w:jc w:val="right"/>
              <w:rPr>
                <w:color w:val="000000"/>
                <w:sz w:val="16"/>
                <w:szCs w:val="16"/>
              </w:rPr>
            </w:pPr>
            <w:r w:rsidRPr="001E2F6E">
              <w:rPr>
                <w:color w:val="000000"/>
                <w:sz w:val="16"/>
                <w:szCs w:val="16"/>
              </w:rPr>
              <w:t>2.506.939</w:t>
            </w:r>
          </w:p>
        </w:tc>
        <w:tc>
          <w:tcPr>
            <w:tcW w:w="477" w:type="pct"/>
            <w:tcBorders>
              <w:top w:val="nil"/>
              <w:left w:val="nil"/>
              <w:bottom w:val="nil"/>
              <w:right w:val="single" w:sz="8" w:space="0" w:color="BFBFBF"/>
            </w:tcBorders>
            <w:shd w:val="clear" w:color="auto" w:fill="auto"/>
            <w:noWrap/>
            <w:vAlign w:val="bottom"/>
            <w:hideMark/>
          </w:tcPr>
          <w:p w:rsidR="00195BE7" w:rsidRPr="001E2F6E" w:rsidRDefault="00195BE7" w:rsidP="00195BE7">
            <w:pPr>
              <w:spacing w:line="220" w:lineRule="exact"/>
              <w:jc w:val="right"/>
              <w:rPr>
                <w:color w:val="000000"/>
                <w:sz w:val="16"/>
                <w:szCs w:val="16"/>
              </w:rPr>
            </w:pPr>
            <w:r w:rsidRPr="001E2F6E">
              <w:rPr>
                <w:color w:val="000000"/>
                <w:sz w:val="16"/>
                <w:szCs w:val="16"/>
              </w:rPr>
              <w:t>11.388</w:t>
            </w:r>
          </w:p>
        </w:tc>
        <w:tc>
          <w:tcPr>
            <w:tcW w:w="621" w:type="pct"/>
            <w:tcBorders>
              <w:top w:val="nil"/>
              <w:left w:val="nil"/>
              <w:bottom w:val="nil"/>
              <w:right w:val="single" w:sz="8" w:space="0" w:color="BFBFBF"/>
            </w:tcBorders>
            <w:shd w:val="clear" w:color="auto" w:fill="auto"/>
            <w:noWrap/>
            <w:vAlign w:val="bottom"/>
            <w:hideMark/>
          </w:tcPr>
          <w:p w:rsidR="00195BE7" w:rsidRPr="001E2F6E" w:rsidRDefault="00195BE7" w:rsidP="00195BE7">
            <w:pPr>
              <w:spacing w:line="220" w:lineRule="exact"/>
              <w:jc w:val="right"/>
              <w:rPr>
                <w:color w:val="000000"/>
                <w:sz w:val="16"/>
                <w:szCs w:val="16"/>
              </w:rPr>
            </w:pPr>
            <w:r w:rsidRPr="001E2F6E">
              <w:rPr>
                <w:color w:val="000000"/>
                <w:sz w:val="16"/>
                <w:szCs w:val="16"/>
              </w:rPr>
              <w:t>1.321.093</w:t>
            </w:r>
          </w:p>
        </w:tc>
        <w:tc>
          <w:tcPr>
            <w:tcW w:w="707" w:type="pct"/>
            <w:tcBorders>
              <w:top w:val="nil"/>
              <w:left w:val="nil"/>
              <w:bottom w:val="nil"/>
              <w:right w:val="single" w:sz="8" w:space="0" w:color="BFBFBF"/>
            </w:tcBorders>
            <w:shd w:val="clear" w:color="auto" w:fill="auto"/>
            <w:noWrap/>
            <w:vAlign w:val="bottom"/>
            <w:hideMark/>
          </w:tcPr>
          <w:p w:rsidR="00195BE7" w:rsidRPr="001E2F6E" w:rsidRDefault="00195BE7" w:rsidP="00195BE7">
            <w:pPr>
              <w:spacing w:line="220" w:lineRule="exact"/>
              <w:jc w:val="right"/>
              <w:rPr>
                <w:color w:val="000000"/>
                <w:sz w:val="16"/>
                <w:szCs w:val="16"/>
              </w:rPr>
            </w:pPr>
            <w:r w:rsidRPr="001E2F6E">
              <w:rPr>
                <w:color w:val="000000"/>
                <w:sz w:val="16"/>
                <w:szCs w:val="16"/>
              </w:rPr>
              <w:t>294.921</w:t>
            </w:r>
          </w:p>
        </w:tc>
        <w:tc>
          <w:tcPr>
            <w:tcW w:w="621" w:type="pct"/>
            <w:tcBorders>
              <w:top w:val="nil"/>
              <w:left w:val="nil"/>
              <w:bottom w:val="nil"/>
              <w:right w:val="single" w:sz="8" w:space="0" w:color="BFBFBF"/>
            </w:tcBorders>
            <w:shd w:val="clear" w:color="auto" w:fill="auto"/>
            <w:noWrap/>
            <w:vAlign w:val="bottom"/>
            <w:hideMark/>
          </w:tcPr>
          <w:p w:rsidR="00195BE7" w:rsidRPr="001E2F6E" w:rsidRDefault="00195BE7" w:rsidP="00195BE7">
            <w:pPr>
              <w:spacing w:line="220" w:lineRule="exact"/>
              <w:jc w:val="right"/>
              <w:rPr>
                <w:color w:val="000000"/>
                <w:sz w:val="16"/>
                <w:szCs w:val="16"/>
              </w:rPr>
            </w:pPr>
            <w:r w:rsidRPr="001E2F6E">
              <w:rPr>
                <w:color w:val="000000"/>
                <w:sz w:val="16"/>
                <w:szCs w:val="16"/>
              </w:rPr>
              <w:t>879.538</w:t>
            </w:r>
          </w:p>
        </w:tc>
      </w:tr>
      <w:tr w:rsidR="00195BE7" w:rsidRPr="001E2F6E" w:rsidTr="00195BE7">
        <w:tc>
          <w:tcPr>
            <w:tcW w:w="1952" w:type="pct"/>
            <w:tcBorders>
              <w:top w:val="nil"/>
              <w:left w:val="nil"/>
              <w:bottom w:val="nil"/>
              <w:right w:val="single" w:sz="8" w:space="0" w:color="BFBFBF"/>
            </w:tcBorders>
            <w:shd w:val="clear" w:color="auto" w:fill="auto"/>
            <w:vAlign w:val="bottom"/>
            <w:hideMark/>
          </w:tcPr>
          <w:p w:rsidR="00195BE7" w:rsidRPr="001E2F6E" w:rsidRDefault="00195BE7" w:rsidP="00195BE7">
            <w:pPr>
              <w:spacing w:line="220" w:lineRule="exact"/>
              <w:rPr>
                <w:sz w:val="16"/>
                <w:szCs w:val="16"/>
                <w:lang w:val="eu-ES"/>
              </w:rPr>
            </w:pPr>
            <w:r w:rsidRPr="001E2F6E">
              <w:rPr>
                <w:sz w:val="16"/>
                <w:szCs w:val="16"/>
                <w:lang w:val="eu-ES"/>
              </w:rPr>
              <w:t>67 Ezohiko gastuak</w:t>
            </w:r>
          </w:p>
        </w:tc>
        <w:tc>
          <w:tcPr>
            <w:tcW w:w="622" w:type="pct"/>
            <w:tcBorders>
              <w:top w:val="nil"/>
              <w:left w:val="nil"/>
              <w:bottom w:val="nil"/>
              <w:right w:val="single" w:sz="8" w:space="0" w:color="BFBFBF"/>
            </w:tcBorders>
            <w:shd w:val="clear" w:color="auto" w:fill="auto"/>
            <w:noWrap/>
            <w:vAlign w:val="bottom"/>
            <w:hideMark/>
          </w:tcPr>
          <w:p w:rsidR="00195BE7" w:rsidRPr="001E2F6E" w:rsidRDefault="00195BE7" w:rsidP="00195BE7">
            <w:pPr>
              <w:spacing w:line="220" w:lineRule="exact"/>
              <w:jc w:val="right"/>
              <w:rPr>
                <w:color w:val="000000"/>
                <w:sz w:val="16"/>
                <w:szCs w:val="16"/>
              </w:rPr>
            </w:pPr>
            <w:r w:rsidRPr="001E2F6E">
              <w:rPr>
                <w:color w:val="000000"/>
                <w:sz w:val="16"/>
                <w:szCs w:val="16"/>
              </w:rPr>
              <w:t>622.516</w:t>
            </w:r>
          </w:p>
        </w:tc>
        <w:tc>
          <w:tcPr>
            <w:tcW w:w="477" w:type="pct"/>
            <w:tcBorders>
              <w:top w:val="nil"/>
              <w:left w:val="nil"/>
              <w:bottom w:val="nil"/>
              <w:right w:val="single" w:sz="8" w:space="0" w:color="BFBFBF"/>
            </w:tcBorders>
            <w:shd w:val="clear" w:color="auto" w:fill="auto"/>
            <w:noWrap/>
            <w:vAlign w:val="bottom"/>
            <w:hideMark/>
          </w:tcPr>
          <w:p w:rsidR="00195BE7" w:rsidRPr="001E2F6E" w:rsidRDefault="00195BE7" w:rsidP="00195BE7">
            <w:pPr>
              <w:spacing w:line="220" w:lineRule="exact"/>
              <w:jc w:val="right"/>
              <w:rPr>
                <w:color w:val="000000"/>
                <w:sz w:val="16"/>
                <w:szCs w:val="16"/>
              </w:rPr>
            </w:pPr>
            <w:r w:rsidRPr="001E2F6E">
              <w:rPr>
                <w:color w:val="000000"/>
                <w:sz w:val="16"/>
                <w:szCs w:val="16"/>
              </w:rPr>
              <w:t> </w:t>
            </w:r>
          </w:p>
        </w:tc>
        <w:tc>
          <w:tcPr>
            <w:tcW w:w="621" w:type="pct"/>
            <w:tcBorders>
              <w:top w:val="nil"/>
              <w:left w:val="nil"/>
              <w:bottom w:val="nil"/>
              <w:right w:val="single" w:sz="8" w:space="0" w:color="BFBFBF"/>
            </w:tcBorders>
            <w:shd w:val="clear" w:color="auto" w:fill="auto"/>
            <w:noWrap/>
            <w:vAlign w:val="bottom"/>
            <w:hideMark/>
          </w:tcPr>
          <w:p w:rsidR="00195BE7" w:rsidRPr="001E2F6E" w:rsidRDefault="00195BE7" w:rsidP="00195BE7">
            <w:pPr>
              <w:spacing w:line="220" w:lineRule="exact"/>
              <w:jc w:val="right"/>
              <w:rPr>
                <w:color w:val="000000"/>
                <w:sz w:val="16"/>
                <w:szCs w:val="16"/>
              </w:rPr>
            </w:pPr>
            <w:r w:rsidRPr="001E2F6E">
              <w:rPr>
                <w:color w:val="000000"/>
                <w:sz w:val="16"/>
                <w:szCs w:val="16"/>
              </w:rPr>
              <w:t>460.908</w:t>
            </w:r>
          </w:p>
        </w:tc>
        <w:tc>
          <w:tcPr>
            <w:tcW w:w="707" w:type="pct"/>
            <w:tcBorders>
              <w:top w:val="nil"/>
              <w:left w:val="nil"/>
              <w:bottom w:val="nil"/>
              <w:right w:val="single" w:sz="8" w:space="0" w:color="BFBFBF"/>
            </w:tcBorders>
            <w:shd w:val="clear" w:color="auto" w:fill="auto"/>
            <w:noWrap/>
            <w:vAlign w:val="bottom"/>
            <w:hideMark/>
          </w:tcPr>
          <w:p w:rsidR="00195BE7" w:rsidRPr="001E2F6E" w:rsidRDefault="00195BE7" w:rsidP="00195BE7">
            <w:pPr>
              <w:spacing w:line="220" w:lineRule="exact"/>
              <w:jc w:val="right"/>
              <w:rPr>
                <w:color w:val="000000"/>
                <w:sz w:val="16"/>
                <w:szCs w:val="16"/>
              </w:rPr>
            </w:pPr>
            <w:r w:rsidRPr="001E2F6E">
              <w:rPr>
                <w:color w:val="000000"/>
                <w:sz w:val="16"/>
                <w:szCs w:val="16"/>
              </w:rPr>
              <w:t>12.728</w:t>
            </w:r>
          </w:p>
        </w:tc>
        <w:tc>
          <w:tcPr>
            <w:tcW w:w="621" w:type="pct"/>
            <w:tcBorders>
              <w:top w:val="nil"/>
              <w:left w:val="nil"/>
              <w:bottom w:val="nil"/>
              <w:right w:val="single" w:sz="8" w:space="0" w:color="BFBFBF"/>
            </w:tcBorders>
            <w:shd w:val="clear" w:color="auto" w:fill="auto"/>
            <w:noWrap/>
            <w:vAlign w:val="bottom"/>
            <w:hideMark/>
          </w:tcPr>
          <w:p w:rsidR="00195BE7" w:rsidRPr="001E2F6E" w:rsidRDefault="00195BE7" w:rsidP="00195BE7">
            <w:pPr>
              <w:spacing w:line="220" w:lineRule="exact"/>
              <w:jc w:val="right"/>
              <w:rPr>
                <w:color w:val="000000"/>
                <w:sz w:val="16"/>
                <w:szCs w:val="16"/>
              </w:rPr>
            </w:pPr>
            <w:r w:rsidRPr="001E2F6E">
              <w:rPr>
                <w:color w:val="000000"/>
                <w:sz w:val="16"/>
                <w:szCs w:val="16"/>
              </w:rPr>
              <w:t>148.881</w:t>
            </w:r>
          </w:p>
        </w:tc>
      </w:tr>
      <w:tr w:rsidR="00195BE7" w:rsidRPr="001E2F6E" w:rsidTr="00195BE7">
        <w:tc>
          <w:tcPr>
            <w:tcW w:w="1952" w:type="pct"/>
            <w:tcBorders>
              <w:top w:val="nil"/>
              <w:left w:val="nil"/>
              <w:bottom w:val="nil"/>
              <w:right w:val="single" w:sz="8" w:space="0" w:color="BFBFBF"/>
            </w:tcBorders>
            <w:shd w:val="clear" w:color="auto" w:fill="auto"/>
            <w:vAlign w:val="bottom"/>
            <w:hideMark/>
          </w:tcPr>
          <w:p w:rsidR="00195BE7" w:rsidRPr="001E2F6E" w:rsidRDefault="00195BE7" w:rsidP="00195BE7">
            <w:pPr>
              <w:spacing w:line="220" w:lineRule="exact"/>
              <w:rPr>
                <w:sz w:val="16"/>
                <w:szCs w:val="16"/>
                <w:lang w:val="eu-ES"/>
              </w:rPr>
            </w:pPr>
            <w:r w:rsidRPr="001E2F6E">
              <w:rPr>
                <w:sz w:val="16"/>
                <w:szCs w:val="16"/>
                <w:lang w:val="eu-ES"/>
              </w:rPr>
              <w:t>68 Ekitaldiaren amortizaziorako hornidura</w:t>
            </w:r>
          </w:p>
        </w:tc>
        <w:tc>
          <w:tcPr>
            <w:tcW w:w="622" w:type="pct"/>
            <w:tcBorders>
              <w:top w:val="nil"/>
              <w:left w:val="nil"/>
              <w:bottom w:val="nil"/>
              <w:right w:val="single" w:sz="8" w:space="0" w:color="BFBFBF"/>
            </w:tcBorders>
            <w:shd w:val="clear" w:color="auto" w:fill="auto"/>
            <w:noWrap/>
            <w:vAlign w:val="bottom"/>
            <w:hideMark/>
          </w:tcPr>
          <w:p w:rsidR="00195BE7" w:rsidRPr="001E2F6E" w:rsidRDefault="00195BE7" w:rsidP="00195BE7">
            <w:pPr>
              <w:spacing w:line="220" w:lineRule="exact"/>
              <w:jc w:val="right"/>
              <w:rPr>
                <w:color w:val="000000"/>
                <w:sz w:val="16"/>
                <w:szCs w:val="16"/>
              </w:rPr>
            </w:pPr>
            <w:r w:rsidRPr="001E2F6E">
              <w:rPr>
                <w:color w:val="000000"/>
                <w:sz w:val="16"/>
                <w:szCs w:val="16"/>
              </w:rPr>
              <w:t>8.171.064</w:t>
            </w:r>
          </w:p>
        </w:tc>
        <w:tc>
          <w:tcPr>
            <w:tcW w:w="477" w:type="pct"/>
            <w:tcBorders>
              <w:top w:val="nil"/>
              <w:left w:val="nil"/>
              <w:bottom w:val="nil"/>
              <w:right w:val="single" w:sz="8" w:space="0" w:color="BFBFBF"/>
            </w:tcBorders>
            <w:shd w:val="clear" w:color="auto" w:fill="auto"/>
            <w:noWrap/>
            <w:vAlign w:val="bottom"/>
            <w:hideMark/>
          </w:tcPr>
          <w:p w:rsidR="00195BE7" w:rsidRPr="001E2F6E" w:rsidRDefault="00195BE7" w:rsidP="00195BE7">
            <w:pPr>
              <w:spacing w:line="220" w:lineRule="exact"/>
              <w:jc w:val="right"/>
              <w:rPr>
                <w:color w:val="000000"/>
                <w:sz w:val="16"/>
                <w:szCs w:val="16"/>
              </w:rPr>
            </w:pPr>
            <w:r w:rsidRPr="001E2F6E">
              <w:rPr>
                <w:color w:val="000000"/>
                <w:sz w:val="16"/>
                <w:szCs w:val="16"/>
              </w:rPr>
              <w:t> </w:t>
            </w:r>
          </w:p>
        </w:tc>
        <w:tc>
          <w:tcPr>
            <w:tcW w:w="621" w:type="pct"/>
            <w:tcBorders>
              <w:top w:val="nil"/>
              <w:left w:val="nil"/>
              <w:bottom w:val="nil"/>
              <w:right w:val="single" w:sz="8" w:space="0" w:color="BFBFBF"/>
            </w:tcBorders>
            <w:shd w:val="clear" w:color="auto" w:fill="auto"/>
            <w:noWrap/>
            <w:vAlign w:val="bottom"/>
            <w:hideMark/>
          </w:tcPr>
          <w:p w:rsidR="00195BE7" w:rsidRPr="001E2F6E" w:rsidRDefault="00195BE7" w:rsidP="00195BE7">
            <w:pPr>
              <w:spacing w:line="220" w:lineRule="exact"/>
              <w:jc w:val="right"/>
              <w:rPr>
                <w:color w:val="000000"/>
                <w:sz w:val="16"/>
                <w:szCs w:val="16"/>
              </w:rPr>
            </w:pPr>
            <w:r w:rsidRPr="001E2F6E">
              <w:rPr>
                <w:color w:val="000000"/>
                <w:sz w:val="16"/>
                <w:szCs w:val="16"/>
              </w:rPr>
              <w:t>4.720.664</w:t>
            </w:r>
          </w:p>
        </w:tc>
        <w:tc>
          <w:tcPr>
            <w:tcW w:w="707" w:type="pct"/>
            <w:tcBorders>
              <w:top w:val="nil"/>
              <w:left w:val="nil"/>
              <w:bottom w:val="nil"/>
              <w:right w:val="single" w:sz="8" w:space="0" w:color="BFBFBF"/>
            </w:tcBorders>
            <w:shd w:val="clear" w:color="auto" w:fill="auto"/>
            <w:noWrap/>
            <w:vAlign w:val="bottom"/>
            <w:hideMark/>
          </w:tcPr>
          <w:p w:rsidR="00195BE7" w:rsidRPr="001E2F6E" w:rsidRDefault="00195BE7" w:rsidP="00195BE7">
            <w:pPr>
              <w:spacing w:line="220" w:lineRule="exact"/>
              <w:jc w:val="right"/>
              <w:rPr>
                <w:color w:val="000000"/>
                <w:sz w:val="16"/>
                <w:szCs w:val="16"/>
              </w:rPr>
            </w:pPr>
            <w:r w:rsidRPr="001E2F6E">
              <w:rPr>
                <w:color w:val="000000"/>
                <w:sz w:val="16"/>
                <w:szCs w:val="16"/>
              </w:rPr>
              <w:t>487.012</w:t>
            </w:r>
          </w:p>
        </w:tc>
        <w:tc>
          <w:tcPr>
            <w:tcW w:w="621" w:type="pct"/>
            <w:tcBorders>
              <w:top w:val="nil"/>
              <w:left w:val="nil"/>
              <w:bottom w:val="nil"/>
              <w:right w:val="single" w:sz="8" w:space="0" w:color="BFBFBF"/>
            </w:tcBorders>
            <w:shd w:val="clear" w:color="auto" w:fill="auto"/>
            <w:noWrap/>
            <w:vAlign w:val="bottom"/>
            <w:hideMark/>
          </w:tcPr>
          <w:p w:rsidR="00195BE7" w:rsidRPr="001E2F6E" w:rsidRDefault="00195BE7" w:rsidP="00195BE7">
            <w:pPr>
              <w:spacing w:line="220" w:lineRule="exact"/>
              <w:jc w:val="right"/>
              <w:rPr>
                <w:color w:val="000000"/>
                <w:sz w:val="16"/>
                <w:szCs w:val="16"/>
              </w:rPr>
            </w:pPr>
            <w:r w:rsidRPr="001E2F6E">
              <w:rPr>
                <w:color w:val="000000"/>
                <w:sz w:val="16"/>
                <w:szCs w:val="16"/>
              </w:rPr>
              <w:t>2.963.388</w:t>
            </w:r>
          </w:p>
        </w:tc>
      </w:tr>
      <w:tr w:rsidR="00195BE7" w:rsidRPr="001E2F6E" w:rsidTr="00195BE7">
        <w:tc>
          <w:tcPr>
            <w:tcW w:w="1952" w:type="pct"/>
            <w:tcBorders>
              <w:top w:val="nil"/>
              <w:left w:val="nil"/>
              <w:bottom w:val="single" w:sz="8" w:space="0" w:color="BFBFBF"/>
              <w:right w:val="single" w:sz="8" w:space="0" w:color="BFBFBF"/>
            </w:tcBorders>
            <w:shd w:val="clear" w:color="auto" w:fill="auto"/>
            <w:vAlign w:val="bottom"/>
            <w:hideMark/>
          </w:tcPr>
          <w:p w:rsidR="00195BE7" w:rsidRPr="001E2F6E" w:rsidRDefault="00195BE7" w:rsidP="00195BE7">
            <w:pPr>
              <w:spacing w:line="220" w:lineRule="exact"/>
              <w:rPr>
                <w:sz w:val="16"/>
                <w:szCs w:val="16"/>
                <w:lang w:val="eu-ES"/>
              </w:rPr>
            </w:pPr>
            <w:r w:rsidRPr="001E2F6E">
              <w:rPr>
                <w:sz w:val="16"/>
                <w:szCs w:val="16"/>
                <w:lang w:val="eu-ES"/>
              </w:rPr>
              <w:t>69 Hornidura-zuzkidurak</w:t>
            </w:r>
          </w:p>
        </w:tc>
        <w:tc>
          <w:tcPr>
            <w:tcW w:w="622" w:type="pct"/>
            <w:tcBorders>
              <w:top w:val="nil"/>
              <w:left w:val="nil"/>
              <w:bottom w:val="single" w:sz="8" w:space="0" w:color="BFBFBF"/>
              <w:right w:val="single" w:sz="8" w:space="0" w:color="BFBFBF"/>
            </w:tcBorders>
            <w:shd w:val="clear" w:color="auto" w:fill="auto"/>
            <w:noWrap/>
            <w:vAlign w:val="bottom"/>
            <w:hideMark/>
          </w:tcPr>
          <w:p w:rsidR="00195BE7" w:rsidRPr="001E2F6E" w:rsidRDefault="00195BE7" w:rsidP="00195BE7">
            <w:pPr>
              <w:spacing w:line="220" w:lineRule="exact"/>
              <w:jc w:val="right"/>
              <w:rPr>
                <w:color w:val="000000"/>
                <w:sz w:val="16"/>
                <w:szCs w:val="16"/>
              </w:rPr>
            </w:pPr>
            <w:r w:rsidRPr="001E2F6E">
              <w:rPr>
                <w:color w:val="000000"/>
                <w:sz w:val="16"/>
                <w:szCs w:val="16"/>
              </w:rPr>
              <w:t>1.047.429</w:t>
            </w:r>
          </w:p>
        </w:tc>
        <w:tc>
          <w:tcPr>
            <w:tcW w:w="477" w:type="pct"/>
            <w:tcBorders>
              <w:top w:val="nil"/>
              <w:left w:val="nil"/>
              <w:bottom w:val="single" w:sz="8" w:space="0" w:color="BFBFBF"/>
              <w:right w:val="single" w:sz="8" w:space="0" w:color="BFBFBF"/>
            </w:tcBorders>
            <w:shd w:val="clear" w:color="auto" w:fill="auto"/>
            <w:noWrap/>
            <w:vAlign w:val="bottom"/>
            <w:hideMark/>
          </w:tcPr>
          <w:p w:rsidR="00195BE7" w:rsidRPr="001E2F6E" w:rsidRDefault="00195BE7" w:rsidP="00195BE7">
            <w:pPr>
              <w:spacing w:line="220" w:lineRule="exact"/>
              <w:jc w:val="right"/>
              <w:rPr>
                <w:color w:val="000000"/>
                <w:sz w:val="16"/>
                <w:szCs w:val="16"/>
              </w:rPr>
            </w:pPr>
            <w:r w:rsidRPr="001E2F6E">
              <w:rPr>
                <w:color w:val="000000"/>
                <w:sz w:val="16"/>
                <w:szCs w:val="16"/>
              </w:rPr>
              <w:t> </w:t>
            </w:r>
          </w:p>
        </w:tc>
        <w:tc>
          <w:tcPr>
            <w:tcW w:w="621" w:type="pct"/>
            <w:tcBorders>
              <w:top w:val="nil"/>
              <w:left w:val="nil"/>
              <w:bottom w:val="single" w:sz="8" w:space="0" w:color="BFBFBF"/>
              <w:right w:val="single" w:sz="8" w:space="0" w:color="BFBFBF"/>
            </w:tcBorders>
            <w:shd w:val="clear" w:color="auto" w:fill="auto"/>
            <w:noWrap/>
            <w:vAlign w:val="bottom"/>
            <w:hideMark/>
          </w:tcPr>
          <w:p w:rsidR="00195BE7" w:rsidRPr="001E2F6E" w:rsidRDefault="00195BE7" w:rsidP="00195BE7">
            <w:pPr>
              <w:spacing w:line="220" w:lineRule="exact"/>
              <w:jc w:val="right"/>
              <w:rPr>
                <w:color w:val="000000"/>
                <w:sz w:val="16"/>
                <w:szCs w:val="16"/>
              </w:rPr>
            </w:pPr>
            <w:r w:rsidRPr="001E2F6E">
              <w:rPr>
                <w:color w:val="000000"/>
                <w:sz w:val="16"/>
                <w:szCs w:val="16"/>
              </w:rPr>
              <w:t>826.089</w:t>
            </w:r>
          </w:p>
        </w:tc>
        <w:tc>
          <w:tcPr>
            <w:tcW w:w="707" w:type="pct"/>
            <w:tcBorders>
              <w:top w:val="nil"/>
              <w:left w:val="nil"/>
              <w:bottom w:val="single" w:sz="8" w:space="0" w:color="BFBFBF"/>
              <w:right w:val="single" w:sz="8" w:space="0" w:color="BFBFBF"/>
            </w:tcBorders>
            <w:shd w:val="clear" w:color="auto" w:fill="auto"/>
            <w:noWrap/>
            <w:vAlign w:val="bottom"/>
            <w:hideMark/>
          </w:tcPr>
          <w:p w:rsidR="00195BE7" w:rsidRPr="001E2F6E" w:rsidRDefault="00195BE7" w:rsidP="00195BE7">
            <w:pPr>
              <w:spacing w:line="220" w:lineRule="exact"/>
              <w:jc w:val="right"/>
              <w:rPr>
                <w:color w:val="000000"/>
                <w:sz w:val="16"/>
                <w:szCs w:val="16"/>
              </w:rPr>
            </w:pPr>
            <w:r w:rsidRPr="001E2F6E">
              <w:rPr>
                <w:color w:val="000000"/>
                <w:sz w:val="16"/>
                <w:szCs w:val="16"/>
              </w:rPr>
              <w:t>3.122</w:t>
            </w:r>
          </w:p>
        </w:tc>
        <w:tc>
          <w:tcPr>
            <w:tcW w:w="621" w:type="pct"/>
            <w:tcBorders>
              <w:top w:val="nil"/>
              <w:left w:val="nil"/>
              <w:bottom w:val="single" w:sz="8" w:space="0" w:color="BFBFBF"/>
              <w:right w:val="single" w:sz="8" w:space="0" w:color="BFBFBF"/>
            </w:tcBorders>
            <w:shd w:val="clear" w:color="auto" w:fill="auto"/>
            <w:noWrap/>
            <w:vAlign w:val="bottom"/>
            <w:hideMark/>
          </w:tcPr>
          <w:p w:rsidR="00195BE7" w:rsidRPr="001E2F6E" w:rsidRDefault="00195BE7" w:rsidP="00195BE7">
            <w:pPr>
              <w:spacing w:line="220" w:lineRule="exact"/>
              <w:jc w:val="right"/>
              <w:rPr>
                <w:color w:val="000000"/>
                <w:sz w:val="16"/>
                <w:szCs w:val="16"/>
              </w:rPr>
            </w:pPr>
            <w:r w:rsidRPr="001E2F6E">
              <w:rPr>
                <w:color w:val="000000"/>
                <w:sz w:val="16"/>
                <w:szCs w:val="16"/>
              </w:rPr>
              <w:t>218.218</w:t>
            </w:r>
          </w:p>
        </w:tc>
      </w:tr>
      <w:tr w:rsidR="00195BE7" w:rsidRPr="001E2F6E" w:rsidTr="00195BE7">
        <w:tc>
          <w:tcPr>
            <w:tcW w:w="1952" w:type="pct"/>
            <w:tcBorders>
              <w:top w:val="nil"/>
              <w:left w:val="nil"/>
              <w:bottom w:val="single" w:sz="8" w:space="0" w:color="BFBFBF"/>
              <w:right w:val="single" w:sz="8" w:space="0" w:color="BFBFBF"/>
            </w:tcBorders>
            <w:shd w:val="clear" w:color="000000" w:fill="E6E6E6"/>
            <w:vAlign w:val="bottom"/>
            <w:hideMark/>
          </w:tcPr>
          <w:p w:rsidR="00195BE7" w:rsidRPr="001E2F6E" w:rsidRDefault="00195BE7" w:rsidP="00195BE7">
            <w:pPr>
              <w:spacing w:line="220" w:lineRule="exact"/>
              <w:rPr>
                <w:rFonts w:eastAsia="Times New Roman"/>
                <w:color w:val="000000"/>
                <w:sz w:val="16"/>
                <w:szCs w:val="16"/>
                <w:lang w:eastAsia="es-ES"/>
              </w:rPr>
            </w:pPr>
            <w:r w:rsidRPr="001E2F6E">
              <w:rPr>
                <w:rFonts w:eastAsia="Times New Roman"/>
                <w:color w:val="000000"/>
                <w:sz w:val="16"/>
                <w:szCs w:val="16"/>
                <w:lang w:eastAsia="es-ES"/>
              </w:rPr>
              <w:t> </w:t>
            </w:r>
          </w:p>
        </w:tc>
        <w:tc>
          <w:tcPr>
            <w:tcW w:w="622" w:type="pct"/>
            <w:tcBorders>
              <w:top w:val="nil"/>
              <w:left w:val="nil"/>
              <w:bottom w:val="single" w:sz="8" w:space="0" w:color="BFBFBF"/>
              <w:right w:val="single" w:sz="8" w:space="0" w:color="BFBFBF"/>
            </w:tcBorders>
            <w:shd w:val="clear" w:color="000000" w:fill="E6E6E6"/>
            <w:vAlign w:val="bottom"/>
            <w:hideMark/>
          </w:tcPr>
          <w:p w:rsidR="00195BE7" w:rsidRPr="001E2F6E" w:rsidRDefault="00195BE7" w:rsidP="00195BE7">
            <w:pPr>
              <w:spacing w:line="220" w:lineRule="exact"/>
              <w:jc w:val="right"/>
              <w:rPr>
                <w:b/>
                <w:bCs/>
                <w:color w:val="000000"/>
                <w:sz w:val="16"/>
                <w:szCs w:val="16"/>
              </w:rPr>
            </w:pPr>
            <w:r w:rsidRPr="001E2F6E">
              <w:rPr>
                <w:b/>
                <w:bCs/>
                <w:color w:val="000000"/>
                <w:sz w:val="16"/>
                <w:szCs w:val="16"/>
              </w:rPr>
              <w:t>282.021.632</w:t>
            </w:r>
          </w:p>
        </w:tc>
        <w:tc>
          <w:tcPr>
            <w:tcW w:w="477" w:type="pct"/>
            <w:tcBorders>
              <w:top w:val="nil"/>
              <w:left w:val="nil"/>
              <w:bottom w:val="single" w:sz="8" w:space="0" w:color="BFBFBF"/>
              <w:right w:val="single" w:sz="8" w:space="0" w:color="BFBFBF"/>
            </w:tcBorders>
            <w:shd w:val="clear" w:color="000000" w:fill="E6E6E6"/>
            <w:vAlign w:val="bottom"/>
            <w:hideMark/>
          </w:tcPr>
          <w:p w:rsidR="00195BE7" w:rsidRPr="001E2F6E" w:rsidRDefault="00195BE7" w:rsidP="00195BE7">
            <w:pPr>
              <w:spacing w:line="220" w:lineRule="exact"/>
              <w:jc w:val="right"/>
              <w:rPr>
                <w:b/>
                <w:bCs/>
                <w:color w:val="000000"/>
                <w:sz w:val="16"/>
                <w:szCs w:val="16"/>
              </w:rPr>
            </w:pPr>
            <w:r w:rsidRPr="001E2F6E">
              <w:rPr>
                <w:b/>
                <w:bCs/>
                <w:color w:val="000000"/>
                <w:sz w:val="16"/>
                <w:szCs w:val="16"/>
              </w:rPr>
              <w:t>712.104</w:t>
            </w:r>
          </w:p>
        </w:tc>
        <w:tc>
          <w:tcPr>
            <w:tcW w:w="621" w:type="pct"/>
            <w:tcBorders>
              <w:top w:val="nil"/>
              <w:left w:val="nil"/>
              <w:bottom w:val="single" w:sz="8" w:space="0" w:color="BFBFBF"/>
              <w:right w:val="single" w:sz="8" w:space="0" w:color="BFBFBF"/>
            </w:tcBorders>
            <w:shd w:val="clear" w:color="000000" w:fill="E6E6E6"/>
            <w:vAlign w:val="bottom"/>
            <w:hideMark/>
          </w:tcPr>
          <w:p w:rsidR="00195BE7" w:rsidRPr="001E2F6E" w:rsidRDefault="00195BE7" w:rsidP="00195BE7">
            <w:pPr>
              <w:spacing w:line="220" w:lineRule="exact"/>
              <w:jc w:val="right"/>
              <w:rPr>
                <w:b/>
                <w:bCs/>
                <w:color w:val="000000"/>
                <w:sz w:val="16"/>
                <w:szCs w:val="16"/>
              </w:rPr>
            </w:pPr>
            <w:r w:rsidRPr="001E2F6E">
              <w:rPr>
                <w:b/>
                <w:bCs/>
                <w:color w:val="000000"/>
                <w:sz w:val="16"/>
                <w:szCs w:val="16"/>
              </w:rPr>
              <w:t>119.858.666</w:t>
            </w:r>
          </w:p>
        </w:tc>
        <w:tc>
          <w:tcPr>
            <w:tcW w:w="707" w:type="pct"/>
            <w:tcBorders>
              <w:top w:val="nil"/>
              <w:left w:val="nil"/>
              <w:bottom w:val="single" w:sz="8" w:space="0" w:color="BFBFBF"/>
              <w:right w:val="single" w:sz="8" w:space="0" w:color="BFBFBF"/>
            </w:tcBorders>
            <w:shd w:val="clear" w:color="000000" w:fill="E6E6E6"/>
            <w:vAlign w:val="bottom"/>
            <w:hideMark/>
          </w:tcPr>
          <w:p w:rsidR="00195BE7" w:rsidRPr="001E2F6E" w:rsidRDefault="00195BE7" w:rsidP="00195BE7">
            <w:pPr>
              <w:spacing w:line="220" w:lineRule="exact"/>
              <w:jc w:val="right"/>
              <w:rPr>
                <w:b/>
                <w:bCs/>
                <w:color w:val="000000"/>
                <w:sz w:val="16"/>
                <w:szCs w:val="16"/>
              </w:rPr>
            </w:pPr>
            <w:r w:rsidRPr="001E2F6E">
              <w:rPr>
                <w:b/>
                <w:bCs/>
                <w:color w:val="000000"/>
                <w:sz w:val="16"/>
                <w:szCs w:val="16"/>
              </w:rPr>
              <w:t>36.185.210</w:t>
            </w:r>
          </w:p>
        </w:tc>
        <w:tc>
          <w:tcPr>
            <w:tcW w:w="621" w:type="pct"/>
            <w:tcBorders>
              <w:top w:val="nil"/>
              <w:left w:val="nil"/>
              <w:bottom w:val="single" w:sz="8" w:space="0" w:color="BFBFBF"/>
              <w:right w:val="single" w:sz="8" w:space="0" w:color="BFBFBF"/>
            </w:tcBorders>
            <w:shd w:val="clear" w:color="000000" w:fill="E6E6E6"/>
            <w:vAlign w:val="bottom"/>
            <w:hideMark/>
          </w:tcPr>
          <w:p w:rsidR="00195BE7" w:rsidRPr="001E2F6E" w:rsidRDefault="00195BE7" w:rsidP="00195BE7">
            <w:pPr>
              <w:spacing w:line="220" w:lineRule="exact"/>
              <w:jc w:val="right"/>
              <w:rPr>
                <w:b/>
                <w:bCs/>
                <w:color w:val="000000"/>
                <w:sz w:val="16"/>
                <w:szCs w:val="16"/>
              </w:rPr>
            </w:pPr>
            <w:r w:rsidRPr="001E2F6E">
              <w:rPr>
                <w:b/>
                <w:bCs/>
                <w:color w:val="000000"/>
                <w:sz w:val="16"/>
                <w:szCs w:val="16"/>
              </w:rPr>
              <w:t>125.265.652</w:t>
            </w:r>
          </w:p>
        </w:tc>
      </w:tr>
      <w:tr w:rsidR="00195BE7" w:rsidRPr="001E2F6E" w:rsidTr="00195BE7">
        <w:tc>
          <w:tcPr>
            <w:tcW w:w="1952" w:type="pct"/>
            <w:tcBorders>
              <w:top w:val="nil"/>
              <w:left w:val="nil"/>
              <w:bottom w:val="single" w:sz="8" w:space="0" w:color="BFBFBF"/>
              <w:right w:val="single" w:sz="8" w:space="0" w:color="BFBFBF"/>
            </w:tcBorders>
            <w:shd w:val="clear" w:color="000000" w:fill="DDEEFF"/>
            <w:vAlign w:val="bottom"/>
            <w:hideMark/>
          </w:tcPr>
          <w:p w:rsidR="00195BE7" w:rsidRPr="001E2F6E" w:rsidRDefault="00195BE7" w:rsidP="00195BE7">
            <w:pPr>
              <w:spacing w:line="220" w:lineRule="exact"/>
              <w:rPr>
                <w:b/>
                <w:bCs/>
                <w:sz w:val="16"/>
                <w:szCs w:val="16"/>
                <w:lang w:val="eu-ES"/>
              </w:rPr>
            </w:pPr>
            <w:r w:rsidRPr="001E2F6E">
              <w:rPr>
                <w:b/>
                <w:bCs/>
                <w:sz w:val="16"/>
                <w:szCs w:val="16"/>
                <w:lang w:val="eu-ES"/>
              </w:rPr>
              <w:t>MOZKINAK (+) edo GALERAK (-)</w:t>
            </w:r>
          </w:p>
        </w:tc>
        <w:tc>
          <w:tcPr>
            <w:tcW w:w="622" w:type="pct"/>
            <w:tcBorders>
              <w:top w:val="nil"/>
              <w:left w:val="nil"/>
              <w:bottom w:val="single" w:sz="8" w:space="0" w:color="BFBFBF"/>
              <w:right w:val="single" w:sz="8" w:space="0" w:color="BFBFBF"/>
            </w:tcBorders>
            <w:shd w:val="clear" w:color="000000" w:fill="DDEEFF"/>
            <w:vAlign w:val="bottom"/>
            <w:hideMark/>
          </w:tcPr>
          <w:p w:rsidR="00195BE7" w:rsidRPr="001E2F6E" w:rsidRDefault="00195BE7" w:rsidP="00195BE7">
            <w:pPr>
              <w:spacing w:line="220" w:lineRule="exact"/>
              <w:jc w:val="right"/>
              <w:rPr>
                <w:b/>
                <w:bCs/>
                <w:color w:val="000000"/>
                <w:sz w:val="16"/>
                <w:szCs w:val="16"/>
              </w:rPr>
            </w:pPr>
            <w:r w:rsidRPr="001E2F6E">
              <w:rPr>
                <w:b/>
                <w:bCs/>
                <w:color w:val="000000"/>
                <w:sz w:val="16"/>
                <w:szCs w:val="16"/>
              </w:rPr>
              <w:t>-4.404.994</w:t>
            </w:r>
          </w:p>
        </w:tc>
        <w:tc>
          <w:tcPr>
            <w:tcW w:w="477" w:type="pct"/>
            <w:tcBorders>
              <w:top w:val="nil"/>
              <w:left w:val="nil"/>
              <w:bottom w:val="single" w:sz="8" w:space="0" w:color="BFBFBF"/>
              <w:right w:val="single" w:sz="8" w:space="0" w:color="BFBFBF"/>
            </w:tcBorders>
            <w:shd w:val="clear" w:color="000000" w:fill="DDEEFF"/>
            <w:vAlign w:val="bottom"/>
            <w:hideMark/>
          </w:tcPr>
          <w:p w:rsidR="00195BE7" w:rsidRPr="001E2F6E" w:rsidRDefault="00195BE7" w:rsidP="00195BE7">
            <w:pPr>
              <w:spacing w:line="220" w:lineRule="exact"/>
              <w:jc w:val="right"/>
              <w:rPr>
                <w:b/>
                <w:bCs/>
                <w:color w:val="000000"/>
                <w:sz w:val="16"/>
                <w:szCs w:val="16"/>
              </w:rPr>
            </w:pPr>
            <w:r w:rsidRPr="001E2F6E">
              <w:rPr>
                <w:b/>
                <w:bCs/>
                <w:color w:val="000000"/>
                <w:sz w:val="16"/>
                <w:szCs w:val="16"/>
              </w:rPr>
              <w:t>7.048</w:t>
            </w:r>
          </w:p>
        </w:tc>
        <w:tc>
          <w:tcPr>
            <w:tcW w:w="621" w:type="pct"/>
            <w:tcBorders>
              <w:top w:val="nil"/>
              <w:left w:val="nil"/>
              <w:bottom w:val="single" w:sz="8" w:space="0" w:color="BFBFBF"/>
              <w:right w:val="single" w:sz="8" w:space="0" w:color="BFBFBF"/>
            </w:tcBorders>
            <w:shd w:val="clear" w:color="000000" w:fill="DDEEFF"/>
            <w:vAlign w:val="bottom"/>
            <w:hideMark/>
          </w:tcPr>
          <w:p w:rsidR="00195BE7" w:rsidRPr="001E2F6E" w:rsidRDefault="00195BE7" w:rsidP="00195BE7">
            <w:pPr>
              <w:spacing w:line="220" w:lineRule="exact"/>
              <w:jc w:val="right"/>
              <w:rPr>
                <w:b/>
                <w:bCs/>
                <w:color w:val="000000"/>
                <w:sz w:val="16"/>
                <w:szCs w:val="16"/>
              </w:rPr>
            </w:pPr>
            <w:r w:rsidRPr="001E2F6E">
              <w:rPr>
                <w:b/>
                <w:bCs/>
                <w:color w:val="000000"/>
                <w:sz w:val="16"/>
                <w:szCs w:val="16"/>
              </w:rPr>
              <w:t>337.525</w:t>
            </w:r>
          </w:p>
        </w:tc>
        <w:tc>
          <w:tcPr>
            <w:tcW w:w="707" w:type="pct"/>
            <w:tcBorders>
              <w:top w:val="nil"/>
              <w:left w:val="nil"/>
              <w:bottom w:val="single" w:sz="8" w:space="0" w:color="BFBFBF"/>
              <w:right w:val="single" w:sz="8" w:space="0" w:color="BFBFBF"/>
            </w:tcBorders>
            <w:shd w:val="clear" w:color="000000" w:fill="DDEEFF"/>
            <w:vAlign w:val="bottom"/>
            <w:hideMark/>
          </w:tcPr>
          <w:p w:rsidR="00195BE7" w:rsidRPr="001E2F6E" w:rsidRDefault="00195BE7" w:rsidP="00195BE7">
            <w:pPr>
              <w:spacing w:line="220" w:lineRule="exact"/>
              <w:jc w:val="right"/>
              <w:rPr>
                <w:b/>
                <w:bCs/>
                <w:color w:val="000000"/>
                <w:sz w:val="16"/>
                <w:szCs w:val="16"/>
              </w:rPr>
            </w:pPr>
            <w:r w:rsidRPr="001E2F6E">
              <w:rPr>
                <w:b/>
                <w:bCs/>
                <w:color w:val="000000"/>
                <w:sz w:val="16"/>
                <w:szCs w:val="16"/>
              </w:rPr>
              <w:t>-2.685.312</w:t>
            </w:r>
          </w:p>
        </w:tc>
        <w:tc>
          <w:tcPr>
            <w:tcW w:w="621" w:type="pct"/>
            <w:tcBorders>
              <w:top w:val="nil"/>
              <w:left w:val="nil"/>
              <w:bottom w:val="single" w:sz="8" w:space="0" w:color="BFBFBF"/>
              <w:right w:val="single" w:sz="8" w:space="0" w:color="BFBFBF"/>
            </w:tcBorders>
            <w:shd w:val="clear" w:color="000000" w:fill="DDEEFF"/>
            <w:vAlign w:val="bottom"/>
            <w:hideMark/>
          </w:tcPr>
          <w:p w:rsidR="00195BE7" w:rsidRPr="001E2F6E" w:rsidRDefault="00195BE7" w:rsidP="00195BE7">
            <w:pPr>
              <w:spacing w:line="220" w:lineRule="exact"/>
              <w:jc w:val="right"/>
              <w:rPr>
                <w:b/>
                <w:bCs/>
                <w:color w:val="000000"/>
                <w:sz w:val="16"/>
                <w:szCs w:val="16"/>
              </w:rPr>
            </w:pPr>
            <w:r w:rsidRPr="001E2F6E">
              <w:rPr>
                <w:b/>
                <w:bCs/>
                <w:color w:val="000000"/>
                <w:sz w:val="16"/>
                <w:szCs w:val="16"/>
              </w:rPr>
              <w:t>-2.064.255</w:t>
            </w:r>
          </w:p>
        </w:tc>
      </w:tr>
      <w:tr w:rsidR="00195BE7" w:rsidRPr="001E2F6E" w:rsidTr="00195BE7">
        <w:tc>
          <w:tcPr>
            <w:tcW w:w="1952" w:type="pct"/>
            <w:tcBorders>
              <w:top w:val="nil"/>
              <w:left w:val="nil"/>
              <w:bottom w:val="single" w:sz="8" w:space="0" w:color="BFBFBF"/>
              <w:right w:val="single" w:sz="8" w:space="0" w:color="BFBFBF"/>
            </w:tcBorders>
            <w:shd w:val="clear" w:color="auto" w:fill="auto"/>
            <w:vAlign w:val="bottom"/>
            <w:hideMark/>
          </w:tcPr>
          <w:p w:rsidR="00195BE7" w:rsidRPr="001E2F6E" w:rsidRDefault="00195BE7" w:rsidP="00195BE7">
            <w:pPr>
              <w:spacing w:line="220" w:lineRule="exact"/>
              <w:rPr>
                <w:b/>
                <w:sz w:val="16"/>
                <w:szCs w:val="16"/>
                <w:lang w:val="eu-ES"/>
              </w:rPr>
            </w:pPr>
            <w:r w:rsidRPr="001E2F6E">
              <w:rPr>
                <w:b/>
                <w:sz w:val="16"/>
                <w:szCs w:val="16"/>
                <w:lang w:val="eu-ES"/>
              </w:rPr>
              <w:t> </w:t>
            </w:r>
          </w:p>
        </w:tc>
        <w:tc>
          <w:tcPr>
            <w:tcW w:w="622" w:type="pct"/>
            <w:tcBorders>
              <w:top w:val="nil"/>
              <w:left w:val="nil"/>
              <w:bottom w:val="single" w:sz="8" w:space="0" w:color="BFBFBF"/>
              <w:right w:val="single" w:sz="8" w:space="0" w:color="BFBFBF"/>
            </w:tcBorders>
            <w:shd w:val="clear" w:color="auto" w:fill="auto"/>
            <w:vAlign w:val="bottom"/>
            <w:hideMark/>
          </w:tcPr>
          <w:p w:rsidR="00195BE7" w:rsidRPr="001E2F6E" w:rsidRDefault="00195BE7" w:rsidP="00195BE7">
            <w:pPr>
              <w:spacing w:line="220" w:lineRule="exact"/>
              <w:jc w:val="right"/>
              <w:rPr>
                <w:b/>
                <w:bCs/>
                <w:color w:val="000000"/>
                <w:sz w:val="16"/>
                <w:szCs w:val="16"/>
              </w:rPr>
            </w:pPr>
            <w:r w:rsidRPr="001E2F6E">
              <w:rPr>
                <w:b/>
                <w:bCs/>
                <w:color w:val="000000"/>
                <w:sz w:val="16"/>
                <w:szCs w:val="16"/>
              </w:rPr>
              <w:t> </w:t>
            </w:r>
          </w:p>
        </w:tc>
        <w:tc>
          <w:tcPr>
            <w:tcW w:w="477" w:type="pct"/>
            <w:tcBorders>
              <w:top w:val="nil"/>
              <w:left w:val="nil"/>
              <w:bottom w:val="single" w:sz="8" w:space="0" w:color="BFBFBF"/>
              <w:right w:val="single" w:sz="8" w:space="0" w:color="BFBFBF"/>
            </w:tcBorders>
            <w:shd w:val="clear" w:color="auto" w:fill="auto"/>
            <w:vAlign w:val="bottom"/>
            <w:hideMark/>
          </w:tcPr>
          <w:p w:rsidR="00195BE7" w:rsidRPr="001E2F6E" w:rsidRDefault="00195BE7" w:rsidP="00195BE7">
            <w:pPr>
              <w:spacing w:line="220" w:lineRule="exact"/>
              <w:jc w:val="right"/>
              <w:rPr>
                <w:b/>
                <w:bCs/>
                <w:color w:val="000000"/>
                <w:sz w:val="16"/>
                <w:szCs w:val="16"/>
              </w:rPr>
            </w:pPr>
            <w:r w:rsidRPr="001E2F6E">
              <w:rPr>
                <w:b/>
                <w:bCs/>
                <w:color w:val="000000"/>
                <w:sz w:val="16"/>
                <w:szCs w:val="16"/>
              </w:rPr>
              <w:t> </w:t>
            </w:r>
          </w:p>
        </w:tc>
        <w:tc>
          <w:tcPr>
            <w:tcW w:w="621" w:type="pct"/>
            <w:tcBorders>
              <w:top w:val="nil"/>
              <w:left w:val="nil"/>
              <w:bottom w:val="single" w:sz="8" w:space="0" w:color="BFBFBF"/>
              <w:right w:val="single" w:sz="8" w:space="0" w:color="BFBFBF"/>
            </w:tcBorders>
            <w:shd w:val="clear" w:color="auto" w:fill="auto"/>
            <w:vAlign w:val="bottom"/>
            <w:hideMark/>
          </w:tcPr>
          <w:p w:rsidR="00195BE7" w:rsidRPr="001E2F6E" w:rsidRDefault="00195BE7" w:rsidP="00195BE7">
            <w:pPr>
              <w:spacing w:line="220" w:lineRule="exact"/>
              <w:jc w:val="right"/>
              <w:rPr>
                <w:b/>
                <w:bCs/>
                <w:color w:val="000000"/>
                <w:sz w:val="16"/>
                <w:szCs w:val="16"/>
              </w:rPr>
            </w:pPr>
            <w:r w:rsidRPr="001E2F6E">
              <w:rPr>
                <w:b/>
                <w:bCs/>
                <w:color w:val="000000"/>
                <w:sz w:val="16"/>
                <w:szCs w:val="16"/>
              </w:rPr>
              <w:t> </w:t>
            </w:r>
          </w:p>
        </w:tc>
        <w:tc>
          <w:tcPr>
            <w:tcW w:w="707" w:type="pct"/>
            <w:tcBorders>
              <w:top w:val="nil"/>
              <w:left w:val="nil"/>
              <w:bottom w:val="single" w:sz="8" w:space="0" w:color="BFBFBF"/>
              <w:right w:val="single" w:sz="8" w:space="0" w:color="BFBFBF"/>
            </w:tcBorders>
            <w:shd w:val="clear" w:color="auto" w:fill="auto"/>
            <w:vAlign w:val="bottom"/>
            <w:hideMark/>
          </w:tcPr>
          <w:p w:rsidR="00195BE7" w:rsidRPr="001E2F6E" w:rsidRDefault="00195BE7" w:rsidP="00195BE7">
            <w:pPr>
              <w:spacing w:line="220" w:lineRule="exact"/>
              <w:jc w:val="right"/>
              <w:rPr>
                <w:b/>
                <w:bCs/>
                <w:color w:val="000000"/>
                <w:sz w:val="16"/>
                <w:szCs w:val="16"/>
              </w:rPr>
            </w:pPr>
            <w:r w:rsidRPr="001E2F6E">
              <w:rPr>
                <w:b/>
                <w:bCs/>
                <w:color w:val="000000"/>
                <w:sz w:val="16"/>
                <w:szCs w:val="16"/>
              </w:rPr>
              <w:t> </w:t>
            </w:r>
          </w:p>
        </w:tc>
        <w:tc>
          <w:tcPr>
            <w:tcW w:w="621" w:type="pct"/>
            <w:tcBorders>
              <w:top w:val="nil"/>
              <w:left w:val="nil"/>
              <w:bottom w:val="single" w:sz="8" w:space="0" w:color="BFBFBF"/>
              <w:right w:val="nil"/>
            </w:tcBorders>
            <w:shd w:val="clear" w:color="auto" w:fill="auto"/>
            <w:vAlign w:val="bottom"/>
            <w:hideMark/>
          </w:tcPr>
          <w:p w:rsidR="00195BE7" w:rsidRPr="001E2F6E" w:rsidRDefault="00195BE7" w:rsidP="00195BE7">
            <w:pPr>
              <w:spacing w:line="220" w:lineRule="exact"/>
              <w:jc w:val="right"/>
              <w:rPr>
                <w:b/>
                <w:bCs/>
                <w:color w:val="000000"/>
                <w:sz w:val="16"/>
                <w:szCs w:val="16"/>
              </w:rPr>
            </w:pPr>
            <w:r w:rsidRPr="001E2F6E">
              <w:rPr>
                <w:b/>
                <w:bCs/>
                <w:color w:val="000000"/>
                <w:sz w:val="16"/>
                <w:szCs w:val="16"/>
              </w:rPr>
              <w:t> </w:t>
            </w:r>
          </w:p>
        </w:tc>
      </w:tr>
      <w:tr w:rsidR="00195BE7" w:rsidRPr="001E2F6E" w:rsidTr="00195BE7">
        <w:tc>
          <w:tcPr>
            <w:tcW w:w="1952" w:type="pct"/>
            <w:tcBorders>
              <w:top w:val="nil"/>
              <w:left w:val="nil"/>
              <w:bottom w:val="single" w:sz="8" w:space="0" w:color="BFBFBF"/>
              <w:right w:val="single" w:sz="8" w:space="0" w:color="BFBFBF"/>
            </w:tcBorders>
            <w:shd w:val="clear" w:color="000000" w:fill="DDEEFF"/>
            <w:vAlign w:val="bottom"/>
            <w:hideMark/>
          </w:tcPr>
          <w:p w:rsidR="00195BE7" w:rsidRPr="001E2F6E" w:rsidRDefault="00195BE7" w:rsidP="00195BE7">
            <w:pPr>
              <w:spacing w:line="220" w:lineRule="exact"/>
              <w:rPr>
                <w:b/>
                <w:bCs/>
                <w:sz w:val="16"/>
                <w:szCs w:val="16"/>
                <w:lang w:val="eu-ES"/>
              </w:rPr>
            </w:pPr>
            <w:r w:rsidRPr="001E2F6E">
              <w:rPr>
                <w:b/>
                <w:bCs/>
                <w:sz w:val="16"/>
                <w:szCs w:val="16"/>
                <w:lang w:val="eu-ES"/>
              </w:rPr>
              <w:t>CASH FLOW</w:t>
            </w:r>
          </w:p>
        </w:tc>
        <w:tc>
          <w:tcPr>
            <w:tcW w:w="622" w:type="pct"/>
            <w:tcBorders>
              <w:top w:val="nil"/>
              <w:left w:val="nil"/>
              <w:bottom w:val="single" w:sz="8" w:space="0" w:color="BFBFBF"/>
              <w:right w:val="single" w:sz="8" w:space="0" w:color="BFBFBF"/>
            </w:tcBorders>
            <w:shd w:val="clear" w:color="000000" w:fill="DDEEFF"/>
            <w:vAlign w:val="bottom"/>
            <w:hideMark/>
          </w:tcPr>
          <w:p w:rsidR="00195BE7" w:rsidRPr="001E2F6E" w:rsidRDefault="00195BE7" w:rsidP="00195BE7">
            <w:pPr>
              <w:spacing w:line="220" w:lineRule="exact"/>
              <w:jc w:val="right"/>
              <w:rPr>
                <w:b/>
                <w:bCs/>
                <w:color w:val="000000"/>
                <w:sz w:val="16"/>
                <w:szCs w:val="16"/>
              </w:rPr>
            </w:pPr>
            <w:r w:rsidRPr="001E2F6E">
              <w:rPr>
                <w:b/>
                <w:bCs/>
                <w:color w:val="000000"/>
                <w:sz w:val="16"/>
                <w:szCs w:val="16"/>
              </w:rPr>
              <w:t>4.813.500</w:t>
            </w:r>
          </w:p>
        </w:tc>
        <w:tc>
          <w:tcPr>
            <w:tcW w:w="477" w:type="pct"/>
            <w:tcBorders>
              <w:top w:val="nil"/>
              <w:left w:val="nil"/>
              <w:bottom w:val="single" w:sz="8" w:space="0" w:color="BFBFBF"/>
              <w:right w:val="single" w:sz="8" w:space="0" w:color="BFBFBF"/>
            </w:tcBorders>
            <w:shd w:val="clear" w:color="000000" w:fill="DDEEFF"/>
            <w:vAlign w:val="bottom"/>
            <w:hideMark/>
          </w:tcPr>
          <w:p w:rsidR="00195BE7" w:rsidRPr="001E2F6E" w:rsidRDefault="00195BE7" w:rsidP="00195BE7">
            <w:pPr>
              <w:spacing w:line="220" w:lineRule="exact"/>
              <w:jc w:val="right"/>
              <w:rPr>
                <w:b/>
                <w:bCs/>
                <w:color w:val="000000"/>
                <w:sz w:val="16"/>
                <w:szCs w:val="16"/>
              </w:rPr>
            </w:pPr>
            <w:r w:rsidRPr="001E2F6E">
              <w:rPr>
                <w:b/>
                <w:bCs/>
                <w:color w:val="000000"/>
                <w:sz w:val="16"/>
                <w:szCs w:val="16"/>
              </w:rPr>
              <w:t>7.048</w:t>
            </w:r>
          </w:p>
        </w:tc>
        <w:tc>
          <w:tcPr>
            <w:tcW w:w="621" w:type="pct"/>
            <w:tcBorders>
              <w:top w:val="nil"/>
              <w:left w:val="nil"/>
              <w:bottom w:val="single" w:sz="8" w:space="0" w:color="BFBFBF"/>
              <w:right w:val="single" w:sz="8" w:space="0" w:color="BFBFBF"/>
            </w:tcBorders>
            <w:shd w:val="clear" w:color="000000" w:fill="DDEEFF"/>
            <w:vAlign w:val="bottom"/>
            <w:hideMark/>
          </w:tcPr>
          <w:p w:rsidR="00195BE7" w:rsidRPr="001E2F6E" w:rsidRDefault="00195BE7" w:rsidP="00195BE7">
            <w:pPr>
              <w:spacing w:line="220" w:lineRule="exact"/>
              <w:jc w:val="right"/>
              <w:rPr>
                <w:b/>
                <w:bCs/>
                <w:color w:val="000000"/>
                <w:sz w:val="16"/>
                <w:szCs w:val="16"/>
              </w:rPr>
            </w:pPr>
            <w:r w:rsidRPr="001E2F6E">
              <w:rPr>
                <w:b/>
                <w:bCs/>
                <w:color w:val="000000"/>
                <w:sz w:val="16"/>
                <w:szCs w:val="16"/>
              </w:rPr>
              <w:t>5.884.278</w:t>
            </w:r>
          </w:p>
        </w:tc>
        <w:tc>
          <w:tcPr>
            <w:tcW w:w="707" w:type="pct"/>
            <w:tcBorders>
              <w:top w:val="nil"/>
              <w:left w:val="nil"/>
              <w:bottom w:val="single" w:sz="8" w:space="0" w:color="BFBFBF"/>
              <w:right w:val="single" w:sz="8" w:space="0" w:color="BFBFBF"/>
            </w:tcBorders>
            <w:shd w:val="clear" w:color="000000" w:fill="DDEEFF"/>
            <w:vAlign w:val="bottom"/>
            <w:hideMark/>
          </w:tcPr>
          <w:p w:rsidR="00195BE7" w:rsidRPr="001E2F6E" w:rsidRDefault="00195BE7" w:rsidP="00195BE7">
            <w:pPr>
              <w:spacing w:line="220" w:lineRule="exact"/>
              <w:jc w:val="right"/>
              <w:rPr>
                <w:b/>
                <w:bCs/>
                <w:color w:val="000000"/>
                <w:sz w:val="16"/>
                <w:szCs w:val="16"/>
              </w:rPr>
            </w:pPr>
            <w:r w:rsidRPr="001E2F6E">
              <w:rPr>
                <w:b/>
                <w:bCs/>
                <w:color w:val="000000"/>
                <w:sz w:val="16"/>
                <w:szCs w:val="16"/>
              </w:rPr>
              <w:t>-2.195.178</w:t>
            </w:r>
          </w:p>
        </w:tc>
        <w:tc>
          <w:tcPr>
            <w:tcW w:w="621" w:type="pct"/>
            <w:tcBorders>
              <w:top w:val="nil"/>
              <w:left w:val="nil"/>
              <w:bottom w:val="single" w:sz="8" w:space="0" w:color="BFBFBF"/>
              <w:right w:val="single" w:sz="8" w:space="0" w:color="BFBFBF"/>
            </w:tcBorders>
            <w:shd w:val="clear" w:color="000000" w:fill="DDEEFF"/>
            <w:vAlign w:val="bottom"/>
            <w:hideMark/>
          </w:tcPr>
          <w:p w:rsidR="00195BE7" w:rsidRPr="001E2F6E" w:rsidRDefault="00195BE7" w:rsidP="00195BE7">
            <w:pPr>
              <w:spacing w:line="220" w:lineRule="exact"/>
              <w:jc w:val="right"/>
              <w:rPr>
                <w:b/>
                <w:bCs/>
                <w:color w:val="000000"/>
                <w:sz w:val="16"/>
                <w:szCs w:val="16"/>
              </w:rPr>
            </w:pPr>
            <w:r w:rsidRPr="001E2F6E">
              <w:rPr>
                <w:b/>
                <w:bCs/>
                <w:color w:val="000000"/>
                <w:sz w:val="16"/>
                <w:szCs w:val="16"/>
              </w:rPr>
              <w:t>1.117.351</w:t>
            </w:r>
          </w:p>
        </w:tc>
      </w:tr>
    </w:tbl>
    <w:p w:rsidR="00195BE7" w:rsidRPr="001E2F6E" w:rsidRDefault="00195BE7" w:rsidP="00195BE7"/>
    <w:p w:rsidR="00195BE7" w:rsidRPr="001E2F6E" w:rsidRDefault="00195BE7" w:rsidP="00195BE7">
      <w:pPr>
        <w:spacing w:line="240" w:lineRule="auto"/>
        <w:jc w:val="center"/>
        <w:rPr>
          <w:b/>
          <w:color w:val="1F497D" w:themeColor="text2"/>
          <w:sz w:val="18"/>
          <w:szCs w:val="18"/>
        </w:rPr>
      </w:pPr>
      <w:bookmarkStart w:id="254" w:name="_Toc391989143"/>
      <w:bookmarkStart w:id="255" w:name="_Toc392585808"/>
      <w:r w:rsidRPr="001E2F6E">
        <w:rPr>
          <w:b/>
          <w:color w:val="1F497D" w:themeColor="text2"/>
          <w:sz w:val="18"/>
          <w:szCs w:val="18"/>
        </w:rPr>
        <w:t>1.</w:t>
      </w:r>
      <w:r w:rsidR="00EB6BA6" w:rsidRPr="001E2F6E">
        <w:rPr>
          <w:b/>
          <w:color w:val="1F497D" w:themeColor="text2"/>
          <w:sz w:val="18"/>
          <w:szCs w:val="18"/>
        </w:rPr>
        <w:fldChar w:fldCharType="begin"/>
      </w:r>
      <w:r w:rsidRPr="001E2F6E">
        <w:rPr>
          <w:b/>
          <w:color w:val="1F497D" w:themeColor="text2"/>
          <w:sz w:val="18"/>
          <w:szCs w:val="18"/>
        </w:rPr>
        <w:instrText xml:space="preserve"> SEQ Cuadro_1. \* ARABIC </w:instrText>
      </w:r>
      <w:r w:rsidR="00EB6BA6" w:rsidRPr="001E2F6E">
        <w:rPr>
          <w:b/>
          <w:color w:val="1F497D" w:themeColor="text2"/>
          <w:sz w:val="18"/>
          <w:szCs w:val="18"/>
        </w:rPr>
        <w:fldChar w:fldCharType="separate"/>
      </w:r>
      <w:r w:rsidR="00A327D4">
        <w:rPr>
          <w:b/>
          <w:noProof/>
          <w:color w:val="1F497D" w:themeColor="text2"/>
          <w:sz w:val="18"/>
          <w:szCs w:val="18"/>
        </w:rPr>
        <w:t>73</w:t>
      </w:r>
      <w:r w:rsidR="00EB6BA6" w:rsidRPr="001E2F6E">
        <w:rPr>
          <w:b/>
          <w:color w:val="1F497D" w:themeColor="text2"/>
          <w:sz w:val="18"/>
          <w:szCs w:val="18"/>
        </w:rPr>
        <w:fldChar w:fldCharType="end"/>
      </w:r>
      <w:r w:rsidRPr="001E2F6E">
        <w:rPr>
          <w:b/>
          <w:color w:val="1F497D" w:themeColor="text2"/>
          <w:sz w:val="18"/>
          <w:szCs w:val="18"/>
        </w:rPr>
        <w:t xml:space="preserve"> Taula GIZARTE-EKONOMIAREN EMAITZEN KONTUA, JARDUERA-SEKTOREAREN ARABERA.</w:t>
      </w:r>
      <w:bookmarkEnd w:id="254"/>
      <w:r w:rsidR="00462130" w:rsidRPr="001E2F6E">
        <w:rPr>
          <w:b/>
          <w:color w:val="1F497D" w:themeColor="text2"/>
          <w:sz w:val="18"/>
          <w:szCs w:val="18"/>
        </w:rPr>
        <w:t xml:space="preserve"> </w:t>
      </w:r>
      <w:r w:rsidRPr="001E2F6E">
        <w:rPr>
          <w:b/>
          <w:color w:val="1F497D" w:themeColor="text2"/>
          <w:sz w:val="18"/>
          <w:szCs w:val="18"/>
        </w:rPr>
        <w:t>2012. ARABA (</w:t>
      </w:r>
      <w:r w:rsidR="00462130" w:rsidRPr="001E2F6E">
        <w:rPr>
          <w:b/>
          <w:color w:val="1F497D" w:themeColor="text2"/>
          <w:sz w:val="18"/>
          <w:szCs w:val="18"/>
        </w:rPr>
        <w:t xml:space="preserve">zifra absolutuak </w:t>
      </w:r>
      <w:r w:rsidRPr="001E2F6E">
        <w:rPr>
          <w:b/>
          <w:color w:val="1F497D" w:themeColor="text2"/>
          <w:sz w:val="18"/>
          <w:szCs w:val="18"/>
        </w:rPr>
        <w:t>Euroan) (Ohiko prezioak)</w:t>
      </w:r>
      <w:bookmarkEnd w:id="255"/>
    </w:p>
    <w:tbl>
      <w:tblPr>
        <w:tblW w:w="5000" w:type="pct"/>
        <w:tblCellMar>
          <w:left w:w="70" w:type="dxa"/>
          <w:right w:w="70" w:type="dxa"/>
        </w:tblCellMar>
        <w:tblLook w:val="04A0" w:firstRow="1" w:lastRow="0" w:firstColumn="1" w:lastColumn="0" w:noHBand="0" w:noVBand="1"/>
      </w:tblPr>
      <w:tblGrid>
        <w:gridCol w:w="3405"/>
        <w:gridCol w:w="1225"/>
        <w:gridCol w:w="896"/>
        <w:gridCol w:w="1084"/>
        <w:gridCol w:w="1234"/>
        <w:gridCol w:w="1084"/>
      </w:tblGrid>
      <w:tr w:rsidR="00195BE7" w:rsidRPr="001E2F6E" w:rsidTr="00195BE7">
        <w:tc>
          <w:tcPr>
            <w:tcW w:w="1907" w:type="pct"/>
            <w:tcBorders>
              <w:top w:val="single" w:sz="8" w:space="0" w:color="BFBFBF"/>
              <w:left w:val="nil"/>
              <w:bottom w:val="single" w:sz="8" w:space="0" w:color="BFBFBF"/>
              <w:right w:val="single" w:sz="8" w:space="0" w:color="BFBFBF"/>
            </w:tcBorders>
            <w:shd w:val="clear" w:color="000000" w:fill="DBE5F1"/>
            <w:vAlign w:val="bottom"/>
            <w:hideMark/>
          </w:tcPr>
          <w:p w:rsidR="00195BE7" w:rsidRPr="001E2F6E" w:rsidRDefault="00195BE7" w:rsidP="00195BE7">
            <w:pPr>
              <w:spacing w:line="220" w:lineRule="atLeast"/>
              <w:rPr>
                <w:color w:val="000000"/>
                <w:sz w:val="16"/>
                <w:szCs w:val="16"/>
              </w:rPr>
            </w:pPr>
            <w:r w:rsidRPr="001E2F6E">
              <w:rPr>
                <w:color w:val="000000"/>
                <w:sz w:val="16"/>
                <w:szCs w:val="16"/>
              </w:rPr>
              <w:t> </w:t>
            </w:r>
          </w:p>
        </w:tc>
        <w:tc>
          <w:tcPr>
            <w:tcW w:w="686" w:type="pct"/>
            <w:tcBorders>
              <w:top w:val="single" w:sz="8" w:space="0" w:color="BFBFBF"/>
              <w:left w:val="nil"/>
              <w:bottom w:val="single" w:sz="8" w:space="0" w:color="BFBFBF"/>
              <w:right w:val="single" w:sz="8" w:space="0" w:color="BFBFBF"/>
            </w:tcBorders>
            <w:shd w:val="clear" w:color="000000" w:fill="DBE5F1"/>
            <w:vAlign w:val="center"/>
            <w:hideMark/>
          </w:tcPr>
          <w:p w:rsidR="00195BE7" w:rsidRPr="001E2F6E" w:rsidRDefault="00195BE7" w:rsidP="00195BE7">
            <w:pPr>
              <w:spacing w:line="220" w:lineRule="exact"/>
              <w:jc w:val="center"/>
              <w:rPr>
                <w:rFonts w:eastAsia="Times New Roman"/>
                <w:b/>
                <w:bCs/>
                <w:color w:val="000000"/>
                <w:sz w:val="16"/>
                <w:szCs w:val="16"/>
                <w:lang w:eastAsia="es-ES"/>
              </w:rPr>
            </w:pPr>
            <w:r w:rsidRPr="001E2F6E">
              <w:rPr>
                <w:rFonts w:eastAsia="Times New Roman"/>
                <w:b/>
                <w:bCs/>
                <w:color w:val="000000"/>
                <w:sz w:val="16"/>
                <w:szCs w:val="16"/>
                <w:lang w:eastAsia="es-ES"/>
              </w:rPr>
              <w:t>GUZTIRA</w:t>
            </w:r>
          </w:p>
        </w:tc>
        <w:tc>
          <w:tcPr>
            <w:tcW w:w="502" w:type="pct"/>
            <w:tcBorders>
              <w:top w:val="single" w:sz="8" w:space="0" w:color="BFBFBF"/>
              <w:left w:val="nil"/>
              <w:bottom w:val="single" w:sz="8" w:space="0" w:color="BFBFBF"/>
              <w:right w:val="single" w:sz="8" w:space="0" w:color="BFBFBF"/>
            </w:tcBorders>
            <w:shd w:val="clear" w:color="000000" w:fill="DBE5F1"/>
            <w:vAlign w:val="center"/>
            <w:hideMark/>
          </w:tcPr>
          <w:p w:rsidR="00195BE7" w:rsidRPr="001E2F6E" w:rsidRDefault="00195BE7" w:rsidP="00195BE7">
            <w:pPr>
              <w:spacing w:line="220" w:lineRule="exact"/>
              <w:jc w:val="center"/>
              <w:rPr>
                <w:b/>
                <w:bCs/>
                <w:sz w:val="16"/>
                <w:szCs w:val="16"/>
                <w:lang w:val="eu-ES"/>
              </w:rPr>
            </w:pPr>
            <w:r w:rsidRPr="001E2F6E">
              <w:rPr>
                <w:b/>
                <w:bCs/>
                <w:sz w:val="16"/>
                <w:szCs w:val="16"/>
                <w:lang w:val="eu-ES"/>
              </w:rPr>
              <w:t>Lehen sektorea</w:t>
            </w:r>
          </w:p>
        </w:tc>
        <w:tc>
          <w:tcPr>
            <w:tcW w:w="607" w:type="pct"/>
            <w:tcBorders>
              <w:top w:val="single" w:sz="8" w:space="0" w:color="BFBFBF"/>
              <w:left w:val="nil"/>
              <w:bottom w:val="single" w:sz="8" w:space="0" w:color="BFBFBF"/>
              <w:right w:val="single" w:sz="8" w:space="0" w:color="BFBFBF"/>
            </w:tcBorders>
            <w:shd w:val="clear" w:color="000000" w:fill="DBE5F1"/>
            <w:vAlign w:val="center"/>
            <w:hideMark/>
          </w:tcPr>
          <w:p w:rsidR="00195BE7" w:rsidRPr="001E2F6E" w:rsidRDefault="00195BE7" w:rsidP="00195BE7">
            <w:pPr>
              <w:spacing w:line="220" w:lineRule="exact"/>
              <w:jc w:val="center"/>
              <w:rPr>
                <w:b/>
                <w:bCs/>
                <w:sz w:val="16"/>
                <w:szCs w:val="16"/>
                <w:lang w:val="eu-ES"/>
              </w:rPr>
            </w:pPr>
            <w:r w:rsidRPr="001E2F6E">
              <w:rPr>
                <w:b/>
                <w:bCs/>
                <w:sz w:val="16"/>
                <w:szCs w:val="16"/>
                <w:lang w:val="eu-ES"/>
              </w:rPr>
              <w:t>Industria</w:t>
            </w:r>
          </w:p>
        </w:tc>
        <w:tc>
          <w:tcPr>
            <w:tcW w:w="691" w:type="pct"/>
            <w:tcBorders>
              <w:top w:val="single" w:sz="8" w:space="0" w:color="BFBFBF"/>
              <w:left w:val="nil"/>
              <w:bottom w:val="single" w:sz="8" w:space="0" w:color="BFBFBF"/>
              <w:right w:val="single" w:sz="8" w:space="0" w:color="BFBFBF"/>
            </w:tcBorders>
            <w:shd w:val="clear" w:color="000000" w:fill="DBE5F1"/>
            <w:vAlign w:val="center"/>
            <w:hideMark/>
          </w:tcPr>
          <w:p w:rsidR="00195BE7" w:rsidRPr="001E2F6E" w:rsidRDefault="00195BE7" w:rsidP="00195BE7">
            <w:pPr>
              <w:spacing w:line="220" w:lineRule="exact"/>
              <w:jc w:val="center"/>
              <w:rPr>
                <w:b/>
                <w:bCs/>
                <w:sz w:val="16"/>
                <w:szCs w:val="16"/>
                <w:lang w:val="eu-ES"/>
              </w:rPr>
            </w:pPr>
            <w:r w:rsidRPr="001E2F6E">
              <w:rPr>
                <w:b/>
                <w:bCs/>
                <w:sz w:val="16"/>
                <w:szCs w:val="16"/>
                <w:lang w:val="eu-ES"/>
              </w:rPr>
              <w:t>Eraikuntza</w:t>
            </w:r>
          </w:p>
        </w:tc>
        <w:tc>
          <w:tcPr>
            <w:tcW w:w="607" w:type="pct"/>
            <w:tcBorders>
              <w:top w:val="single" w:sz="8" w:space="0" w:color="BFBFBF"/>
              <w:left w:val="nil"/>
              <w:bottom w:val="single" w:sz="8" w:space="0" w:color="BFBFBF"/>
              <w:right w:val="nil"/>
            </w:tcBorders>
            <w:shd w:val="clear" w:color="000000" w:fill="DBE5F1"/>
            <w:vAlign w:val="center"/>
            <w:hideMark/>
          </w:tcPr>
          <w:p w:rsidR="00195BE7" w:rsidRPr="001E2F6E" w:rsidRDefault="00195BE7" w:rsidP="00195BE7">
            <w:pPr>
              <w:spacing w:line="220" w:lineRule="exact"/>
              <w:jc w:val="center"/>
              <w:rPr>
                <w:b/>
                <w:bCs/>
                <w:sz w:val="16"/>
                <w:szCs w:val="16"/>
                <w:lang w:val="eu-ES"/>
              </w:rPr>
            </w:pPr>
            <w:r w:rsidRPr="001E2F6E">
              <w:rPr>
                <w:b/>
                <w:bCs/>
                <w:sz w:val="16"/>
                <w:szCs w:val="16"/>
                <w:lang w:val="eu-ES"/>
              </w:rPr>
              <w:t>Zerbitzuak</w:t>
            </w:r>
          </w:p>
        </w:tc>
      </w:tr>
      <w:tr w:rsidR="00195BE7" w:rsidRPr="001E2F6E" w:rsidTr="00195BE7">
        <w:trPr>
          <w:trHeight w:val="294"/>
        </w:trPr>
        <w:tc>
          <w:tcPr>
            <w:tcW w:w="1907" w:type="pct"/>
            <w:tcBorders>
              <w:top w:val="nil"/>
              <w:left w:val="nil"/>
              <w:bottom w:val="nil"/>
              <w:right w:val="single" w:sz="8" w:space="0" w:color="BFBFBF"/>
            </w:tcBorders>
            <w:shd w:val="clear" w:color="auto" w:fill="auto"/>
            <w:vAlign w:val="bottom"/>
            <w:hideMark/>
          </w:tcPr>
          <w:p w:rsidR="00195BE7" w:rsidRPr="001E2F6E" w:rsidRDefault="00195BE7" w:rsidP="00195BE7">
            <w:pPr>
              <w:spacing w:line="220" w:lineRule="exact"/>
              <w:rPr>
                <w:b/>
                <w:bCs/>
                <w:sz w:val="16"/>
                <w:szCs w:val="16"/>
                <w:lang w:val="eu-ES"/>
              </w:rPr>
            </w:pPr>
            <w:r w:rsidRPr="001E2F6E">
              <w:rPr>
                <w:b/>
                <w:bCs/>
                <w:sz w:val="16"/>
                <w:szCs w:val="16"/>
                <w:lang w:val="eu-ES"/>
              </w:rPr>
              <w:t>DIRU-SARRERAK</w:t>
            </w:r>
          </w:p>
        </w:tc>
        <w:tc>
          <w:tcPr>
            <w:tcW w:w="686" w:type="pct"/>
            <w:tcBorders>
              <w:top w:val="nil"/>
              <w:left w:val="nil"/>
              <w:bottom w:val="nil"/>
              <w:right w:val="single" w:sz="8" w:space="0" w:color="BFBFBF"/>
            </w:tcBorders>
            <w:shd w:val="clear" w:color="auto" w:fill="auto"/>
            <w:vAlign w:val="bottom"/>
            <w:hideMark/>
          </w:tcPr>
          <w:p w:rsidR="00195BE7" w:rsidRPr="001E2F6E" w:rsidRDefault="00195BE7" w:rsidP="00195BE7">
            <w:pPr>
              <w:spacing w:line="220" w:lineRule="atLeast"/>
              <w:jc w:val="center"/>
              <w:rPr>
                <w:color w:val="000000"/>
                <w:sz w:val="16"/>
                <w:szCs w:val="16"/>
              </w:rPr>
            </w:pPr>
            <w:r w:rsidRPr="001E2F6E">
              <w:rPr>
                <w:color w:val="000000"/>
                <w:sz w:val="16"/>
                <w:szCs w:val="16"/>
              </w:rPr>
              <w:t> </w:t>
            </w:r>
          </w:p>
        </w:tc>
        <w:tc>
          <w:tcPr>
            <w:tcW w:w="502" w:type="pct"/>
            <w:tcBorders>
              <w:top w:val="nil"/>
              <w:left w:val="nil"/>
              <w:bottom w:val="nil"/>
              <w:right w:val="single" w:sz="8" w:space="0" w:color="BFBFBF"/>
            </w:tcBorders>
            <w:shd w:val="clear" w:color="auto" w:fill="auto"/>
            <w:vAlign w:val="bottom"/>
            <w:hideMark/>
          </w:tcPr>
          <w:p w:rsidR="00195BE7" w:rsidRPr="001E2F6E" w:rsidRDefault="00195BE7" w:rsidP="00195BE7">
            <w:pPr>
              <w:spacing w:line="220" w:lineRule="atLeast"/>
              <w:jc w:val="center"/>
              <w:rPr>
                <w:color w:val="000000"/>
                <w:sz w:val="16"/>
                <w:szCs w:val="16"/>
              </w:rPr>
            </w:pPr>
            <w:r w:rsidRPr="001E2F6E">
              <w:rPr>
                <w:color w:val="000000"/>
                <w:sz w:val="16"/>
                <w:szCs w:val="16"/>
              </w:rPr>
              <w:t> </w:t>
            </w:r>
          </w:p>
        </w:tc>
        <w:tc>
          <w:tcPr>
            <w:tcW w:w="607" w:type="pct"/>
            <w:tcBorders>
              <w:top w:val="nil"/>
              <w:left w:val="nil"/>
              <w:bottom w:val="nil"/>
              <w:right w:val="single" w:sz="8" w:space="0" w:color="BFBFBF"/>
            </w:tcBorders>
            <w:shd w:val="clear" w:color="auto" w:fill="auto"/>
            <w:vAlign w:val="bottom"/>
            <w:hideMark/>
          </w:tcPr>
          <w:p w:rsidR="00195BE7" w:rsidRPr="001E2F6E" w:rsidRDefault="00195BE7" w:rsidP="00195BE7">
            <w:pPr>
              <w:spacing w:line="220" w:lineRule="atLeast"/>
              <w:jc w:val="center"/>
              <w:rPr>
                <w:color w:val="000000"/>
                <w:sz w:val="16"/>
                <w:szCs w:val="16"/>
              </w:rPr>
            </w:pPr>
            <w:r w:rsidRPr="001E2F6E">
              <w:rPr>
                <w:color w:val="000000"/>
                <w:sz w:val="16"/>
                <w:szCs w:val="16"/>
              </w:rPr>
              <w:t> </w:t>
            </w:r>
          </w:p>
        </w:tc>
        <w:tc>
          <w:tcPr>
            <w:tcW w:w="691" w:type="pct"/>
            <w:tcBorders>
              <w:top w:val="nil"/>
              <w:left w:val="nil"/>
              <w:bottom w:val="nil"/>
              <w:right w:val="single" w:sz="8" w:space="0" w:color="BFBFBF"/>
            </w:tcBorders>
            <w:shd w:val="clear" w:color="auto" w:fill="auto"/>
            <w:noWrap/>
            <w:vAlign w:val="bottom"/>
            <w:hideMark/>
          </w:tcPr>
          <w:p w:rsidR="00195BE7" w:rsidRPr="001E2F6E" w:rsidRDefault="00195BE7" w:rsidP="00195BE7">
            <w:pPr>
              <w:spacing w:line="220" w:lineRule="atLeast"/>
              <w:jc w:val="right"/>
              <w:rPr>
                <w:color w:val="000000"/>
                <w:sz w:val="16"/>
                <w:szCs w:val="16"/>
              </w:rPr>
            </w:pPr>
            <w:r w:rsidRPr="001E2F6E">
              <w:rPr>
                <w:color w:val="000000"/>
                <w:sz w:val="16"/>
                <w:szCs w:val="16"/>
              </w:rPr>
              <w:t> </w:t>
            </w:r>
          </w:p>
        </w:tc>
        <w:tc>
          <w:tcPr>
            <w:tcW w:w="607" w:type="pct"/>
            <w:tcBorders>
              <w:top w:val="nil"/>
              <w:left w:val="nil"/>
              <w:bottom w:val="nil"/>
              <w:right w:val="single" w:sz="8" w:space="0" w:color="BFBFBF"/>
            </w:tcBorders>
            <w:shd w:val="clear" w:color="auto" w:fill="auto"/>
            <w:noWrap/>
            <w:vAlign w:val="bottom"/>
            <w:hideMark/>
          </w:tcPr>
          <w:p w:rsidR="00195BE7" w:rsidRPr="001E2F6E" w:rsidRDefault="00195BE7" w:rsidP="00195BE7">
            <w:pPr>
              <w:spacing w:line="220" w:lineRule="atLeast"/>
              <w:jc w:val="right"/>
              <w:rPr>
                <w:color w:val="000000"/>
                <w:sz w:val="16"/>
                <w:szCs w:val="16"/>
              </w:rPr>
            </w:pPr>
            <w:r w:rsidRPr="001E2F6E">
              <w:rPr>
                <w:color w:val="000000"/>
                <w:sz w:val="16"/>
                <w:szCs w:val="16"/>
              </w:rPr>
              <w:t> </w:t>
            </w:r>
          </w:p>
        </w:tc>
      </w:tr>
      <w:tr w:rsidR="00195BE7" w:rsidRPr="001E2F6E" w:rsidTr="00195BE7">
        <w:tc>
          <w:tcPr>
            <w:tcW w:w="1907" w:type="pct"/>
            <w:tcBorders>
              <w:top w:val="nil"/>
              <w:left w:val="nil"/>
              <w:bottom w:val="nil"/>
              <w:right w:val="single" w:sz="8" w:space="0" w:color="BFBFBF"/>
            </w:tcBorders>
            <w:shd w:val="clear" w:color="auto" w:fill="auto"/>
            <w:vAlign w:val="bottom"/>
            <w:hideMark/>
          </w:tcPr>
          <w:p w:rsidR="00195BE7" w:rsidRPr="001E2F6E" w:rsidRDefault="00195BE7" w:rsidP="00195BE7">
            <w:pPr>
              <w:spacing w:line="220" w:lineRule="exact"/>
              <w:rPr>
                <w:sz w:val="16"/>
                <w:szCs w:val="16"/>
                <w:lang w:val="eu-ES"/>
              </w:rPr>
            </w:pPr>
            <w:r w:rsidRPr="001E2F6E">
              <w:rPr>
                <w:sz w:val="16"/>
                <w:szCs w:val="16"/>
                <w:lang w:val="eu-ES"/>
              </w:rPr>
              <w:t>70 Salmenta garbiak</w:t>
            </w:r>
          </w:p>
        </w:tc>
        <w:tc>
          <w:tcPr>
            <w:tcW w:w="686" w:type="pct"/>
            <w:tcBorders>
              <w:top w:val="nil"/>
              <w:left w:val="nil"/>
              <w:bottom w:val="nil"/>
              <w:right w:val="single" w:sz="8" w:space="0" w:color="BFBFBF"/>
            </w:tcBorders>
            <w:shd w:val="clear" w:color="auto" w:fill="auto"/>
            <w:noWrap/>
            <w:vAlign w:val="bottom"/>
            <w:hideMark/>
          </w:tcPr>
          <w:p w:rsidR="00195BE7" w:rsidRPr="001E2F6E" w:rsidRDefault="00195BE7" w:rsidP="00195BE7">
            <w:pPr>
              <w:spacing w:line="220" w:lineRule="atLeast"/>
              <w:jc w:val="right"/>
              <w:rPr>
                <w:color w:val="000000"/>
                <w:sz w:val="16"/>
                <w:szCs w:val="16"/>
              </w:rPr>
            </w:pPr>
            <w:r w:rsidRPr="001E2F6E">
              <w:rPr>
                <w:color w:val="000000"/>
                <w:sz w:val="16"/>
                <w:szCs w:val="16"/>
              </w:rPr>
              <w:t>987.557.034</w:t>
            </w:r>
          </w:p>
        </w:tc>
        <w:tc>
          <w:tcPr>
            <w:tcW w:w="502" w:type="pct"/>
            <w:tcBorders>
              <w:top w:val="nil"/>
              <w:left w:val="nil"/>
              <w:bottom w:val="nil"/>
              <w:right w:val="single" w:sz="8" w:space="0" w:color="BFBFBF"/>
            </w:tcBorders>
            <w:shd w:val="clear" w:color="auto" w:fill="auto"/>
            <w:noWrap/>
            <w:vAlign w:val="bottom"/>
            <w:hideMark/>
          </w:tcPr>
          <w:p w:rsidR="00195BE7" w:rsidRPr="001E2F6E" w:rsidRDefault="00195BE7" w:rsidP="00195BE7">
            <w:pPr>
              <w:spacing w:line="220" w:lineRule="atLeast"/>
              <w:jc w:val="right"/>
              <w:rPr>
                <w:color w:val="000000"/>
                <w:sz w:val="16"/>
                <w:szCs w:val="16"/>
              </w:rPr>
            </w:pPr>
            <w:r w:rsidRPr="001E2F6E">
              <w:rPr>
                <w:color w:val="000000"/>
                <w:sz w:val="16"/>
                <w:szCs w:val="16"/>
              </w:rPr>
              <w:t>7.928.677</w:t>
            </w:r>
          </w:p>
        </w:tc>
        <w:tc>
          <w:tcPr>
            <w:tcW w:w="607" w:type="pct"/>
            <w:tcBorders>
              <w:top w:val="nil"/>
              <w:left w:val="nil"/>
              <w:bottom w:val="nil"/>
              <w:right w:val="single" w:sz="8" w:space="0" w:color="BFBFBF"/>
            </w:tcBorders>
            <w:shd w:val="clear" w:color="auto" w:fill="auto"/>
            <w:noWrap/>
            <w:vAlign w:val="bottom"/>
            <w:hideMark/>
          </w:tcPr>
          <w:p w:rsidR="00195BE7" w:rsidRPr="001E2F6E" w:rsidRDefault="00195BE7" w:rsidP="00195BE7">
            <w:pPr>
              <w:spacing w:line="220" w:lineRule="atLeast"/>
              <w:jc w:val="right"/>
              <w:rPr>
                <w:color w:val="000000"/>
                <w:sz w:val="16"/>
                <w:szCs w:val="16"/>
              </w:rPr>
            </w:pPr>
            <w:r w:rsidRPr="001E2F6E">
              <w:rPr>
                <w:color w:val="000000"/>
                <w:sz w:val="16"/>
                <w:szCs w:val="16"/>
              </w:rPr>
              <w:t>354.476.930</w:t>
            </w:r>
          </w:p>
        </w:tc>
        <w:tc>
          <w:tcPr>
            <w:tcW w:w="691" w:type="pct"/>
            <w:tcBorders>
              <w:top w:val="nil"/>
              <w:left w:val="nil"/>
              <w:bottom w:val="nil"/>
              <w:right w:val="single" w:sz="8" w:space="0" w:color="BFBFBF"/>
            </w:tcBorders>
            <w:shd w:val="clear" w:color="auto" w:fill="auto"/>
            <w:noWrap/>
            <w:vAlign w:val="bottom"/>
            <w:hideMark/>
          </w:tcPr>
          <w:p w:rsidR="00195BE7" w:rsidRPr="001E2F6E" w:rsidRDefault="00195BE7" w:rsidP="00195BE7">
            <w:pPr>
              <w:spacing w:line="220" w:lineRule="atLeast"/>
              <w:jc w:val="right"/>
              <w:rPr>
                <w:color w:val="000000"/>
                <w:sz w:val="16"/>
                <w:szCs w:val="16"/>
              </w:rPr>
            </w:pPr>
            <w:r w:rsidRPr="001E2F6E">
              <w:rPr>
                <w:color w:val="000000"/>
                <w:sz w:val="16"/>
                <w:szCs w:val="16"/>
              </w:rPr>
              <w:t>29.696.579</w:t>
            </w:r>
          </w:p>
        </w:tc>
        <w:tc>
          <w:tcPr>
            <w:tcW w:w="607" w:type="pct"/>
            <w:tcBorders>
              <w:top w:val="nil"/>
              <w:left w:val="nil"/>
              <w:bottom w:val="nil"/>
              <w:right w:val="single" w:sz="8" w:space="0" w:color="BFBFBF"/>
            </w:tcBorders>
            <w:shd w:val="clear" w:color="auto" w:fill="auto"/>
            <w:noWrap/>
            <w:vAlign w:val="bottom"/>
            <w:hideMark/>
          </w:tcPr>
          <w:p w:rsidR="00195BE7" w:rsidRPr="001E2F6E" w:rsidRDefault="00195BE7" w:rsidP="00195BE7">
            <w:pPr>
              <w:spacing w:line="220" w:lineRule="atLeast"/>
              <w:jc w:val="right"/>
              <w:rPr>
                <w:color w:val="000000"/>
                <w:sz w:val="16"/>
                <w:szCs w:val="16"/>
              </w:rPr>
            </w:pPr>
            <w:r w:rsidRPr="001E2F6E">
              <w:rPr>
                <w:color w:val="000000"/>
                <w:sz w:val="16"/>
                <w:szCs w:val="16"/>
              </w:rPr>
              <w:t>595.454.848</w:t>
            </w:r>
          </w:p>
        </w:tc>
      </w:tr>
      <w:tr w:rsidR="00195BE7" w:rsidRPr="001E2F6E" w:rsidTr="00195BE7">
        <w:tc>
          <w:tcPr>
            <w:tcW w:w="1907" w:type="pct"/>
            <w:tcBorders>
              <w:top w:val="nil"/>
              <w:left w:val="nil"/>
              <w:bottom w:val="nil"/>
              <w:right w:val="single" w:sz="8" w:space="0" w:color="BFBFBF"/>
            </w:tcBorders>
            <w:shd w:val="clear" w:color="auto" w:fill="auto"/>
            <w:vAlign w:val="bottom"/>
            <w:hideMark/>
          </w:tcPr>
          <w:p w:rsidR="00195BE7" w:rsidRPr="001E2F6E" w:rsidRDefault="00195BE7" w:rsidP="00195BE7">
            <w:pPr>
              <w:spacing w:line="220" w:lineRule="exact"/>
              <w:rPr>
                <w:sz w:val="16"/>
                <w:szCs w:val="16"/>
                <w:lang w:val="eu-ES"/>
              </w:rPr>
            </w:pPr>
            <w:r w:rsidRPr="001E2F6E">
              <w:rPr>
                <w:sz w:val="16"/>
                <w:szCs w:val="16"/>
                <w:lang w:val="eu-ES"/>
              </w:rPr>
              <w:t>71 Izakinen aldaketa</w:t>
            </w:r>
          </w:p>
        </w:tc>
        <w:tc>
          <w:tcPr>
            <w:tcW w:w="686" w:type="pct"/>
            <w:tcBorders>
              <w:top w:val="nil"/>
              <w:left w:val="nil"/>
              <w:bottom w:val="nil"/>
              <w:right w:val="single" w:sz="8" w:space="0" w:color="BFBFBF"/>
            </w:tcBorders>
            <w:shd w:val="clear" w:color="auto" w:fill="auto"/>
            <w:noWrap/>
            <w:vAlign w:val="bottom"/>
            <w:hideMark/>
          </w:tcPr>
          <w:p w:rsidR="00195BE7" w:rsidRPr="001E2F6E" w:rsidRDefault="00195BE7" w:rsidP="00195BE7">
            <w:pPr>
              <w:spacing w:line="220" w:lineRule="atLeast"/>
              <w:jc w:val="right"/>
              <w:rPr>
                <w:color w:val="000000"/>
                <w:sz w:val="16"/>
                <w:szCs w:val="16"/>
              </w:rPr>
            </w:pPr>
            <w:r w:rsidRPr="001E2F6E">
              <w:rPr>
                <w:color w:val="000000"/>
                <w:sz w:val="16"/>
                <w:szCs w:val="16"/>
              </w:rPr>
              <w:t>3.940.891</w:t>
            </w:r>
          </w:p>
        </w:tc>
        <w:tc>
          <w:tcPr>
            <w:tcW w:w="502" w:type="pct"/>
            <w:tcBorders>
              <w:top w:val="nil"/>
              <w:left w:val="nil"/>
              <w:bottom w:val="nil"/>
              <w:right w:val="single" w:sz="8" w:space="0" w:color="BFBFBF"/>
            </w:tcBorders>
            <w:shd w:val="clear" w:color="auto" w:fill="auto"/>
            <w:noWrap/>
            <w:vAlign w:val="bottom"/>
            <w:hideMark/>
          </w:tcPr>
          <w:p w:rsidR="00195BE7" w:rsidRPr="001E2F6E" w:rsidRDefault="00195BE7" w:rsidP="00195BE7">
            <w:pPr>
              <w:spacing w:line="220" w:lineRule="atLeast"/>
              <w:jc w:val="right"/>
              <w:rPr>
                <w:color w:val="000000"/>
                <w:sz w:val="16"/>
                <w:szCs w:val="16"/>
              </w:rPr>
            </w:pPr>
            <w:r w:rsidRPr="001E2F6E">
              <w:rPr>
                <w:color w:val="000000"/>
                <w:sz w:val="16"/>
                <w:szCs w:val="16"/>
              </w:rPr>
              <w:t>12.631</w:t>
            </w:r>
          </w:p>
        </w:tc>
        <w:tc>
          <w:tcPr>
            <w:tcW w:w="607" w:type="pct"/>
            <w:tcBorders>
              <w:top w:val="nil"/>
              <w:left w:val="nil"/>
              <w:bottom w:val="nil"/>
              <w:right w:val="single" w:sz="8" w:space="0" w:color="BFBFBF"/>
            </w:tcBorders>
            <w:shd w:val="clear" w:color="auto" w:fill="auto"/>
            <w:noWrap/>
            <w:vAlign w:val="bottom"/>
            <w:hideMark/>
          </w:tcPr>
          <w:p w:rsidR="00195BE7" w:rsidRPr="001E2F6E" w:rsidRDefault="00195BE7" w:rsidP="00195BE7">
            <w:pPr>
              <w:spacing w:line="220" w:lineRule="atLeast"/>
              <w:jc w:val="right"/>
              <w:rPr>
                <w:color w:val="000000"/>
                <w:sz w:val="16"/>
                <w:szCs w:val="16"/>
              </w:rPr>
            </w:pPr>
            <w:r w:rsidRPr="001E2F6E">
              <w:rPr>
                <w:color w:val="000000"/>
                <w:sz w:val="16"/>
                <w:szCs w:val="16"/>
              </w:rPr>
              <w:t>3.073.014</w:t>
            </w:r>
          </w:p>
        </w:tc>
        <w:tc>
          <w:tcPr>
            <w:tcW w:w="691" w:type="pct"/>
            <w:tcBorders>
              <w:top w:val="nil"/>
              <w:left w:val="nil"/>
              <w:bottom w:val="nil"/>
              <w:right w:val="single" w:sz="8" w:space="0" w:color="BFBFBF"/>
            </w:tcBorders>
            <w:shd w:val="clear" w:color="auto" w:fill="auto"/>
            <w:noWrap/>
            <w:vAlign w:val="bottom"/>
            <w:hideMark/>
          </w:tcPr>
          <w:p w:rsidR="00195BE7" w:rsidRPr="001E2F6E" w:rsidRDefault="00195BE7" w:rsidP="00195BE7">
            <w:pPr>
              <w:spacing w:line="220" w:lineRule="atLeast"/>
              <w:jc w:val="right"/>
              <w:rPr>
                <w:color w:val="000000"/>
                <w:sz w:val="16"/>
                <w:szCs w:val="16"/>
              </w:rPr>
            </w:pPr>
            <w:r w:rsidRPr="001E2F6E">
              <w:rPr>
                <w:color w:val="000000"/>
                <w:sz w:val="16"/>
                <w:szCs w:val="16"/>
              </w:rPr>
              <w:t>85.042</w:t>
            </w:r>
          </w:p>
        </w:tc>
        <w:tc>
          <w:tcPr>
            <w:tcW w:w="607" w:type="pct"/>
            <w:tcBorders>
              <w:top w:val="nil"/>
              <w:left w:val="nil"/>
              <w:bottom w:val="nil"/>
              <w:right w:val="single" w:sz="8" w:space="0" w:color="BFBFBF"/>
            </w:tcBorders>
            <w:shd w:val="clear" w:color="auto" w:fill="auto"/>
            <w:noWrap/>
            <w:vAlign w:val="bottom"/>
            <w:hideMark/>
          </w:tcPr>
          <w:p w:rsidR="00195BE7" w:rsidRPr="001E2F6E" w:rsidRDefault="00195BE7" w:rsidP="00195BE7">
            <w:pPr>
              <w:spacing w:line="220" w:lineRule="atLeast"/>
              <w:jc w:val="right"/>
              <w:rPr>
                <w:color w:val="000000"/>
                <w:sz w:val="16"/>
                <w:szCs w:val="16"/>
              </w:rPr>
            </w:pPr>
            <w:r w:rsidRPr="001E2F6E">
              <w:rPr>
                <w:color w:val="000000"/>
                <w:sz w:val="16"/>
                <w:szCs w:val="16"/>
              </w:rPr>
              <w:t>770.204</w:t>
            </w:r>
          </w:p>
        </w:tc>
      </w:tr>
      <w:tr w:rsidR="00195BE7" w:rsidRPr="001E2F6E" w:rsidTr="00195BE7">
        <w:tc>
          <w:tcPr>
            <w:tcW w:w="1907" w:type="pct"/>
            <w:tcBorders>
              <w:top w:val="nil"/>
              <w:left w:val="nil"/>
              <w:bottom w:val="nil"/>
              <w:right w:val="single" w:sz="8" w:space="0" w:color="BFBFBF"/>
            </w:tcBorders>
            <w:shd w:val="clear" w:color="auto" w:fill="auto"/>
            <w:vAlign w:val="bottom"/>
            <w:hideMark/>
          </w:tcPr>
          <w:p w:rsidR="00195BE7" w:rsidRPr="001E2F6E" w:rsidRDefault="00195BE7" w:rsidP="00195BE7">
            <w:pPr>
              <w:spacing w:line="220" w:lineRule="exact"/>
              <w:rPr>
                <w:sz w:val="16"/>
                <w:szCs w:val="16"/>
                <w:lang w:val="eu-ES"/>
              </w:rPr>
            </w:pPr>
            <w:r w:rsidRPr="001E2F6E">
              <w:rPr>
                <w:sz w:val="16"/>
                <w:szCs w:val="16"/>
                <w:lang w:val="eu-ES"/>
              </w:rPr>
              <w:t>73 Ibilgeturako egindako lanak</w:t>
            </w:r>
          </w:p>
        </w:tc>
        <w:tc>
          <w:tcPr>
            <w:tcW w:w="686" w:type="pct"/>
            <w:tcBorders>
              <w:top w:val="nil"/>
              <w:left w:val="nil"/>
              <w:bottom w:val="nil"/>
              <w:right w:val="single" w:sz="8" w:space="0" w:color="BFBFBF"/>
            </w:tcBorders>
            <w:shd w:val="clear" w:color="auto" w:fill="auto"/>
            <w:noWrap/>
            <w:vAlign w:val="bottom"/>
            <w:hideMark/>
          </w:tcPr>
          <w:p w:rsidR="00195BE7" w:rsidRPr="001E2F6E" w:rsidRDefault="00195BE7" w:rsidP="00195BE7">
            <w:pPr>
              <w:spacing w:line="220" w:lineRule="atLeast"/>
              <w:jc w:val="right"/>
              <w:rPr>
                <w:color w:val="000000"/>
                <w:sz w:val="16"/>
                <w:szCs w:val="16"/>
              </w:rPr>
            </w:pPr>
            <w:r w:rsidRPr="001E2F6E">
              <w:rPr>
                <w:color w:val="000000"/>
                <w:sz w:val="16"/>
                <w:szCs w:val="16"/>
              </w:rPr>
              <w:t>1.891.957</w:t>
            </w:r>
          </w:p>
        </w:tc>
        <w:tc>
          <w:tcPr>
            <w:tcW w:w="502" w:type="pct"/>
            <w:tcBorders>
              <w:top w:val="nil"/>
              <w:left w:val="nil"/>
              <w:bottom w:val="nil"/>
              <w:right w:val="single" w:sz="8" w:space="0" w:color="BFBFBF"/>
            </w:tcBorders>
            <w:shd w:val="clear" w:color="auto" w:fill="auto"/>
            <w:noWrap/>
            <w:vAlign w:val="bottom"/>
            <w:hideMark/>
          </w:tcPr>
          <w:p w:rsidR="00195BE7" w:rsidRPr="001E2F6E" w:rsidRDefault="00195BE7" w:rsidP="00195BE7">
            <w:pPr>
              <w:spacing w:line="220" w:lineRule="atLeast"/>
              <w:jc w:val="right"/>
              <w:rPr>
                <w:color w:val="000000"/>
                <w:sz w:val="16"/>
                <w:szCs w:val="16"/>
              </w:rPr>
            </w:pPr>
            <w:r w:rsidRPr="001E2F6E">
              <w:rPr>
                <w:color w:val="000000"/>
                <w:sz w:val="16"/>
                <w:szCs w:val="16"/>
              </w:rPr>
              <w:t> </w:t>
            </w:r>
          </w:p>
        </w:tc>
        <w:tc>
          <w:tcPr>
            <w:tcW w:w="607" w:type="pct"/>
            <w:tcBorders>
              <w:top w:val="nil"/>
              <w:left w:val="nil"/>
              <w:bottom w:val="nil"/>
              <w:right w:val="single" w:sz="8" w:space="0" w:color="BFBFBF"/>
            </w:tcBorders>
            <w:shd w:val="clear" w:color="auto" w:fill="auto"/>
            <w:noWrap/>
            <w:vAlign w:val="bottom"/>
            <w:hideMark/>
          </w:tcPr>
          <w:p w:rsidR="00195BE7" w:rsidRPr="001E2F6E" w:rsidRDefault="00195BE7" w:rsidP="00195BE7">
            <w:pPr>
              <w:spacing w:line="220" w:lineRule="atLeast"/>
              <w:jc w:val="right"/>
              <w:rPr>
                <w:color w:val="000000"/>
                <w:sz w:val="16"/>
                <w:szCs w:val="16"/>
              </w:rPr>
            </w:pPr>
            <w:r w:rsidRPr="001E2F6E">
              <w:rPr>
                <w:color w:val="000000"/>
                <w:sz w:val="16"/>
                <w:szCs w:val="16"/>
              </w:rPr>
              <w:t>1.820.959</w:t>
            </w:r>
          </w:p>
        </w:tc>
        <w:tc>
          <w:tcPr>
            <w:tcW w:w="691" w:type="pct"/>
            <w:tcBorders>
              <w:top w:val="nil"/>
              <w:left w:val="nil"/>
              <w:bottom w:val="nil"/>
              <w:right w:val="single" w:sz="8" w:space="0" w:color="BFBFBF"/>
            </w:tcBorders>
            <w:shd w:val="clear" w:color="auto" w:fill="auto"/>
            <w:noWrap/>
            <w:vAlign w:val="bottom"/>
            <w:hideMark/>
          </w:tcPr>
          <w:p w:rsidR="00195BE7" w:rsidRPr="001E2F6E" w:rsidRDefault="00195BE7" w:rsidP="00195BE7">
            <w:pPr>
              <w:spacing w:line="220" w:lineRule="atLeast"/>
              <w:jc w:val="right"/>
              <w:rPr>
                <w:color w:val="000000"/>
                <w:sz w:val="16"/>
                <w:szCs w:val="16"/>
              </w:rPr>
            </w:pPr>
            <w:r w:rsidRPr="001E2F6E">
              <w:rPr>
                <w:color w:val="000000"/>
                <w:sz w:val="16"/>
                <w:szCs w:val="16"/>
              </w:rPr>
              <w:t>41.000</w:t>
            </w:r>
          </w:p>
        </w:tc>
        <w:tc>
          <w:tcPr>
            <w:tcW w:w="607" w:type="pct"/>
            <w:tcBorders>
              <w:top w:val="nil"/>
              <w:left w:val="nil"/>
              <w:bottom w:val="nil"/>
              <w:right w:val="single" w:sz="8" w:space="0" w:color="BFBFBF"/>
            </w:tcBorders>
            <w:shd w:val="clear" w:color="auto" w:fill="auto"/>
            <w:noWrap/>
            <w:vAlign w:val="bottom"/>
            <w:hideMark/>
          </w:tcPr>
          <w:p w:rsidR="00195BE7" w:rsidRPr="001E2F6E" w:rsidRDefault="00195BE7" w:rsidP="00195BE7">
            <w:pPr>
              <w:spacing w:line="220" w:lineRule="atLeast"/>
              <w:jc w:val="right"/>
              <w:rPr>
                <w:color w:val="000000"/>
                <w:sz w:val="16"/>
                <w:szCs w:val="16"/>
              </w:rPr>
            </w:pPr>
            <w:r w:rsidRPr="001E2F6E">
              <w:rPr>
                <w:color w:val="000000"/>
                <w:sz w:val="16"/>
                <w:szCs w:val="16"/>
              </w:rPr>
              <w:t>29.998</w:t>
            </w:r>
          </w:p>
        </w:tc>
      </w:tr>
      <w:tr w:rsidR="00195BE7" w:rsidRPr="001E2F6E" w:rsidTr="00195BE7">
        <w:tc>
          <w:tcPr>
            <w:tcW w:w="1907" w:type="pct"/>
            <w:tcBorders>
              <w:top w:val="nil"/>
              <w:left w:val="nil"/>
              <w:bottom w:val="nil"/>
              <w:right w:val="single" w:sz="8" w:space="0" w:color="BFBFBF"/>
            </w:tcBorders>
            <w:shd w:val="clear" w:color="auto" w:fill="auto"/>
            <w:vAlign w:val="bottom"/>
            <w:hideMark/>
          </w:tcPr>
          <w:p w:rsidR="00195BE7" w:rsidRPr="001E2F6E" w:rsidRDefault="00195BE7" w:rsidP="00195BE7">
            <w:pPr>
              <w:spacing w:line="220" w:lineRule="exact"/>
              <w:rPr>
                <w:sz w:val="16"/>
                <w:szCs w:val="16"/>
                <w:lang w:val="eu-ES"/>
              </w:rPr>
            </w:pPr>
            <w:r w:rsidRPr="001E2F6E">
              <w:rPr>
                <w:sz w:val="16"/>
                <w:szCs w:val="16"/>
                <w:lang w:val="eu-ES"/>
              </w:rPr>
              <w:t>74 Ustiapeneko dirulaguntzak</w:t>
            </w:r>
          </w:p>
        </w:tc>
        <w:tc>
          <w:tcPr>
            <w:tcW w:w="686" w:type="pct"/>
            <w:tcBorders>
              <w:top w:val="nil"/>
              <w:left w:val="nil"/>
              <w:bottom w:val="nil"/>
              <w:right w:val="single" w:sz="8" w:space="0" w:color="BFBFBF"/>
            </w:tcBorders>
            <w:shd w:val="clear" w:color="auto" w:fill="auto"/>
            <w:noWrap/>
            <w:vAlign w:val="bottom"/>
            <w:hideMark/>
          </w:tcPr>
          <w:p w:rsidR="00195BE7" w:rsidRPr="001E2F6E" w:rsidRDefault="00195BE7" w:rsidP="00195BE7">
            <w:pPr>
              <w:spacing w:line="220" w:lineRule="atLeast"/>
              <w:jc w:val="right"/>
              <w:rPr>
                <w:color w:val="000000"/>
                <w:sz w:val="16"/>
                <w:szCs w:val="16"/>
              </w:rPr>
            </w:pPr>
            <w:r w:rsidRPr="001E2F6E">
              <w:rPr>
                <w:color w:val="000000"/>
                <w:sz w:val="16"/>
                <w:szCs w:val="16"/>
              </w:rPr>
              <w:t>32.694.629</w:t>
            </w:r>
          </w:p>
        </w:tc>
        <w:tc>
          <w:tcPr>
            <w:tcW w:w="502" w:type="pct"/>
            <w:tcBorders>
              <w:top w:val="nil"/>
              <w:left w:val="nil"/>
              <w:bottom w:val="nil"/>
              <w:right w:val="single" w:sz="8" w:space="0" w:color="BFBFBF"/>
            </w:tcBorders>
            <w:shd w:val="clear" w:color="auto" w:fill="auto"/>
            <w:noWrap/>
            <w:vAlign w:val="bottom"/>
            <w:hideMark/>
          </w:tcPr>
          <w:p w:rsidR="00195BE7" w:rsidRPr="001E2F6E" w:rsidRDefault="00195BE7" w:rsidP="00195BE7">
            <w:pPr>
              <w:spacing w:line="220" w:lineRule="atLeast"/>
              <w:jc w:val="right"/>
              <w:rPr>
                <w:color w:val="000000"/>
                <w:sz w:val="16"/>
                <w:szCs w:val="16"/>
              </w:rPr>
            </w:pPr>
            <w:r w:rsidRPr="001E2F6E">
              <w:rPr>
                <w:color w:val="000000"/>
                <w:sz w:val="16"/>
                <w:szCs w:val="16"/>
              </w:rPr>
              <w:t>1.220.776</w:t>
            </w:r>
          </w:p>
        </w:tc>
        <w:tc>
          <w:tcPr>
            <w:tcW w:w="607" w:type="pct"/>
            <w:tcBorders>
              <w:top w:val="nil"/>
              <w:left w:val="nil"/>
              <w:bottom w:val="nil"/>
              <w:right w:val="single" w:sz="8" w:space="0" w:color="BFBFBF"/>
            </w:tcBorders>
            <w:shd w:val="clear" w:color="auto" w:fill="auto"/>
            <w:noWrap/>
            <w:vAlign w:val="bottom"/>
            <w:hideMark/>
          </w:tcPr>
          <w:p w:rsidR="00195BE7" w:rsidRPr="001E2F6E" w:rsidRDefault="00195BE7" w:rsidP="00195BE7">
            <w:pPr>
              <w:spacing w:line="220" w:lineRule="atLeast"/>
              <w:jc w:val="right"/>
              <w:rPr>
                <w:color w:val="000000"/>
                <w:sz w:val="16"/>
                <w:szCs w:val="16"/>
              </w:rPr>
            </w:pPr>
            <w:r w:rsidRPr="001E2F6E">
              <w:rPr>
                <w:color w:val="000000"/>
                <w:sz w:val="16"/>
                <w:szCs w:val="16"/>
              </w:rPr>
              <w:t>1.724.791</w:t>
            </w:r>
          </w:p>
        </w:tc>
        <w:tc>
          <w:tcPr>
            <w:tcW w:w="691" w:type="pct"/>
            <w:tcBorders>
              <w:top w:val="nil"/>
              <w:left w:val="nil"/>
              <w:bottom w:val="nil"/>
              <w:right w:val="single" w:sz="8" w:space="0" w:color="BFBFBF"/>
            </w:tcBorders>
            <w:shd w:val="clear" w:color="auto" w:fill="auto"/>
            <w:noWrap/>
            <w:vAlign w:val="bottom"/>
            <w:hideMark/>
          </w:tcPr>
          <w:p w:rsidR="00195BE7" w:rsidRPr="001E2F6E" w:rsidRDefault="00195BE7" w:rsidP="00195BE7">
            <w:pPr>
              <w:spacing w:line="220" w:lineRule="atLeast"/>
              <w:jc w:val="right"/>
              <w:rPr>
                <w:color w:val="000000"/>
                <w:sz w:val="16"/>
                <w:szCs w:val="16"/>
              </w:rPr>
            </w:pPr>
            <w:r w:rsidRPr="001E2F6E">
              <w:rPr>
                <w:color w:val="000000"/>
                <w:sz w:val="16"/>
                <w:szCs w:val="16"/>
              </w:rPr>
              <w:t>37.353</w:t>
            </w:r>
          </w:p>
        </w:tc>
        <w:tc>
          <w:tcPr>
            <w:tcW w:w="607" w:type="pct"/>
            <w:tcBorders>
              <w:top w:val="nil"/>
              <w:left w:val="nil"/>
              <w:bottom w:val="nil"/>
              <w:right w:val="single" w:sz="8" w:space="0" w:color="BFBFBF"/>
            </w:tcBorders>
            <w:shd w:val="clear" w:color="auto" w:fill="auto"/>
            <w:noWrap/>
            <w:vAlign w:val="bottom"/>
            <w:hideMark/>
          </w:tcPr>
          <w:p w:rsidR="00195BE7" w:rsidRPr="001E2F6E" w:rsidRDefault="00195BE7" w:rsidP="00195BE7">
            <w:pPr>
              <w:spacing w:line="220" w:lineRule="atLeast"/>
              <w:jc w:val="right"/>
              <w:rPr>
                <w:color w:val="000000"/>
                <w:sz w:val="16"/>
                <w:szCs w:val="16"/>
              </w:rPr>
            </w:pPr>
            <w:r w:rsidRPr="001E2F6E">
              <w:rPr>
                <w:color w:val="000000"/>
                <w:sz w:val="16"/>
                <w:szCs w:val="16"/>
              </w:rPr>
              <w:t>29.711.708</w:t>
            </w:r>
          </w:p>
        </w:tc>
      </w:tr>
      <w:tr w:rsidR="00195BE7" w:rsidRPr="001E2F6E" w:rsidTr="00195BE7">
        <w:tc>
          <w:tcPr>
            <w:tcW w:w="1907" w:type="pct"/>
            <w:tcBorders>
              <w:top w:val="nil"/>
              <w:left w:val="nil"/>
              <w:bottom w:val="nil"/>
              <w:right w:val="single" w:sz="8" w:space="0" w:color="BFBFBF"/>
            </w:tcBorders>
            <w:shd w:val="clear" w:color="auto" w:fill="auto"/>
            <w:vAlign w:val="bottom"/>
            <w:hideMark/>
          </w:tcPr>
          <w:p w:rsidR="00195BE7" w:rsidRPr="001E2F6E" w:rsidRDefault="00195BE7" w:rsidP="00195BE7">
            <w:pPr>
              <w:spacing w:line="220" w:lineRule="exact"/>
              <w:rPr>
                <w:sz w:val="16"/>
                <w:szCs w:val="16"/>
                <w:lang w:val="eu-ES"/>
              </w:rPr>
            </w:pPr>
            <w:r w:rsidRPr="001E2F6E">
              <w:rPr>
                <w:sz w:val="16"/>
                <w:szCs w:val="16"/>
                <w:lang w:val="eu-ES"/>
              </w:rPr>
              <w:t>75 Diru-sarrera osagarriak</w:t>
            </w:r>
          </w:p>
        </w:tc>
        <w:tc>
          <w:tcPr>
            <w:tcW w:w="686" w:type="pct"/>
            <w:tcBorders>
              <w:top w:val="nil"/>
              <w:left w:val="nil"/>
              <w:bottom w:val="nil"/>
              <w:right w:val="single" w:sz="8" w:space="0" w:color="BFBFBF"/>
            </w:tcBorders>
            <w:shd w:val="clear" w:color="auto" w:fill="auto"/>
            <w:noWrap/>
            <w:vAlign w:val="bottom"/>
            <w:hideMark/>
          </w:tcPr>
          <w:p w:rsidR="00195BE7" w:rsidRPr="001E2F6E" w:rsidRDefault="00195BE7" w:rsidP="00195BE7">
            <w:pPr>
              <w:spacing w:line="220" w:lineRule="atLeast"/>
              <w:jc w:val="right"/>
              <w:rPr>
                <w:color w:val="000000"/>
                <w:sz w:val="16"/>
                <w:szCs w:val="16"/>
              </w:rPr>
            </w:pPr>
            <w:r w:rsidRPr="001E2F6E">
              <w:rPr>
                <w:color w:val="000000"/>
                <w:sz w:val="16"/>
                <w:szCs w:val="16"/>
              </w:rPr>
              <w:t>106.676.552</w:t>
            </w:r>
          </w:p>
        </w:tc>
        <w:tc>
          <w:tcPr>
            <w:tcW w:w="502" w:type="pct"/>
            <w:tcBorders>
              <w:top w:val="nil"/>
              <w:left w:val="nil"/>
              <w:bottom w:val="nil"/>
              <w:right w:val="single" w:sz="8" w:space="0" w:color="BFBFBF"/>
            </w:tcBorders>
            <w:shd w:val="clear" w:color="auto" w:fill="auto"/>
            <w:noWrap/>
            <w:vAlign w:val="bottom"/>
            <w:hideMark/>
          </w:tcPr>
          <w:p w:rsidR="00195BE7" w:rsidRPr="001E2F6E" w:rsidRDefault="00195BE7" w:rsidP="00195BE7">
            <w:pPr>
              <w:spacing w:line="220" w:lineRule="atLeast"/>
              <w:jc w:val="right"/>
              <w:rPr>
                <w:color w:val="000000"/>
                <w:sz w:val="16"/>
                <w:szCs w:val="16"/>
              </w:rPr>
            </w:pPr>
            <w:r w:rsidRPr="001E2F6E">
              <w:rPr>
                <w:color w:val="000000"/>
                <w:sz w:val="16"/>
                <w:szCs w:val="16"/>
              </w:rPr>
              <w:t>6.247</w:t>
            </w:r>
          </w:p>
        </w:tc>
        <w:tc>
          <w:tcPr>
            <w:tcW w:w="607" w:type="pct"/>
            <w:tcBorders>
              <w:top w:val="nil"/>
              <w:left w:val="nil"/>
              <w:bottom w:val="nil"/>
              <w:right w:val="single" w:sz="8" w:space="0" w:color="BFBFBF"/>
            </w:tcBorders>
            <w:shd w:val="clear" w:color="auto" w:fill="auto"/>
            <w:noWrap/>
            <w:vAlign w:val="bottom"/>
            <w:hideMark/>
          </w:tcPr>
          <w:p w:rsidR="00195BE7" w:rsidRPr="001E2F6E" w:rsidRDefault="00195BE7" w:rsidP="00195BE7">
            <w:pPr>
              <w:spacing w:line="220" w:lineRule="atLeast"/>
              <w:jc w:val="right"/>
              <w:rPr>
                <w:color w:val="000000"/>
                <w:sz w:val="16"/>
                <w:szCs w:val="16"/>
              </w:rPr>
            </w:pPr>
            <w:r w:rsidRPr="001E2F6E">
              <w:rPr>
                <w:color w:val="000000"/>
                <w:sz w:val="16"/>
                <w:szCs w:val="16"/>
              </w:rPr>
              <w:t>5.954.971</w:t>
            </w:r>
          </w:p>
        </w:tc>
        <w:tc>
          <w:tcPr>
            <w:tcW w:w="691" w:type="pct"/>
            <w:tcBorders>
              <w:top w:val="nil"/>
              <w:left w:val="nil"/>
              <w:bottom w:val="nil"/>
              <w:right w:val="single" w:sz="8" w:space="0" w:color="BFBFBF"/>
            </w:tcBorders>
            <w:shd w:val="clear" w:color="auto" w:fill="auto"/>
            <w:noWrap/>
            <w:vAlign w:val="bottom"/>
            <w:hideMark/>
          </w:tcPr>
          <w:p w:rsidR="00195BE7" w:rsidRPr="001E2F6E" w:rsidRDefault="00195BE7" w:rsidP="00195BE7">
            <w:pPr>
              <w:spacing w:line="220" w:lineRule="atLeast"/>
              <w:jc w:val="right"/>
              <w:rPr>
                <w:color w:val="000000"/>
                <w:sz w:val="16"/>
                <w:szCs w:val="16"/>
              </w:rPr>
            </w:pPr>
            <w:r w:rsidRPr="001E2F6E">
              <w:rPr>
                <w:color w:val="000000"/>
                <w:sz w:val="16"/>
                <w:szCs w:val="16"/>
              </w:rPr>
              <w:t>193.830</w:t>
            </w:r>
          </w:p>
        </w:tc>
        <w:tc>
          <w:tcPr>
            <w:tcW w:w="607" w:type="pct"/>
            <w:tcBorders>
              <w:top w:val="nil"/>
              <w:left w:val="nil"/>
              <w:bottom w:val="nil"/>
              <w:right w:val="single" w:sz="8" w:space="0" w:color="BFBFBF"/>
            </w:tcBorders>
            <w:shd w:val="clear" w:color="auto" w:fill="auto"/>
            <w:noWrap/>
            <w:vAlign w:val="bottom"/>
            <w:hideMark/>
          </w:tcPr>
          <w:p w:rsidR="00195BE7" w:rsidRPr="001E2F6E" w:rsidRDefault="00195BE7" w:rsidP="00195BE7">
            <w:pPr>
              <w:spacing w:line="220" w:lineRule="atLeast"/>
              <w:jc w:val="right"/>
              <w:rPr>
                <w:color w:val="000000"/>
                <w:sz w:val="16"/>
                <w:szCs w:val="16"/>
              </w:rPr>
            </w:pPr>
            <w:r w:rsidRPr="001E2F6E">
              <w:rPr>
                <w:color w:val="000000"/>
                <w:sz w:val="16"/>
                <w:szCs w:val="16"/>
              </w:rPr>
              <w:t>100.521.504</w:t>
            </w:r>
          </w:p>
        </w:tc>
      </w:tr>
      <w:tr w:rsidR="00195BE7" w:rsidRPr="001E2F6E" w:rsidTr="00195BE7">
        <w:tc>
          <w:tcPr>
            <w:tcW w:w="1907" w:type="pct"/>
            <w:tcBorders>
              <w:top w:val="nil"/>
              <w:left w:val="nil"/>
              <w:bottom w:val="nil"/>
              <w:right w:val="single" w:sz="8" w:space="0" w:color="BFBFBF"/>
            </w:tcBorders>
            <w:shd w:val="clear" w:color="auto" w:fill="auto"/>
            <w:vAlign w:val="bottom"/>
            <w:hideMark/>
          </w:tcPr>
          <w:p w:rsidR="00195BE7" w:rsidRPr="001E2F6E" w:rsidRDefault="00195BE7" w:rsidP="00195BE7">
            <w:pPr>
              <w:spacing w:line="220" w:lineRule="exact"/>
              <w:rPr>
                <w:sz w:val="16"/>
                <w:szCs w:val="16"/>
                <w:lang w:val="eu-ES"/>
              </w:rPr>
            </w:pPr>
            <w:r w:rsidRPr="001E2F6E">
              <w:rPr>
                <w:sz w:val="16"/>
                <w:szCs w:val="16"/>
                <w:lang w:val="eu-ES"/>
              </w:rPr>
              <w:t>76 Finantza-sarrerak</w:t>
            </w:r>
          </w:p>
        </w:tc>
        <w:tc>
          <w:tcPr>
            <w:tcW w:w="686" w:type="pct"/>
            <w:tcBorders>
              <w:top w:val="nil"/>
              <w:left w:val="nil"/>
              <w:bottom w:val="nil"/>
              <w:right w:val="single" w:sz="8" w:space="0" w:color="BFBFBF"/>
            </w:tcBorders>
            <w:shd w:val="clear" w:color="auto" w:fill="auto"/>
            <w:noWrap/>
            <w:vAlign w:val="bottom"/>
            <w:hideMark/>
          </w:tcPr>
          <w:p w:rsidR="00195BE7" w:rsidRPr="001E2F6E" w:rsidRDefault="00195BE7" w:rsidP="00195BE7">
            <w:pPr>
              <w:spacing w:line="220" w:lineRule="atLeast"/>
              <w:jc w:val="right"/>
              <w:rPr>
                <w:color w:val="000000"/>
                <w:sz w:val="16"/>
                <w:szCs w:val="16"/>
              </w:rPr>
            </w:pPr>
            <w:r w:rsidRPr="001E2F6E">
              <w:rPr>
                <w:color w:val="000000"/>
                <w:sz w:val="16"/>
                <w:szCs w:val="16"/>
              </w:rPr>
              <w:t>16.646.269</w:t>
            </w:r>
          </w:p>
        </w:tc>
        <w:tc>
          <w:tcPr>
            <w:tcW w:w="502" w:type="pct"/>
            <w:tcBorders>
              <w:top w:val="nil"/>
              <w:left w:val="nil"/>
              <w:bottom w:val="nil"/>
              <w:right w:val="single" w:sz="8" w:space="0" w:color="BFBFBF"/>
            </w:tcBorders>
            <w:shd w:val="clear" w:color="auto" w:fill="auto"/>
            <w:noWrap/>
            <w:vAlign w:val="bottom"/>
            <w:hideMark/>
          </w:tcPr>
          <w:p w:rsidR="00195BE7" w:rsidRPr="001E2F6E" w:rsidRDefault="00195BE7" w:rsidP="00195BE7">
            <w:pPr>
              <w:spacing w:line="220" w:lineRule="atLeast"/>
              <w:jc w:val="right"/>
              <w:rPr>
                <w:color w:val="000000"/>
                <w:sz w:val="16"/>
                <w:szCs w:val="16"/>
              </w:rPr>
            </w:pPr>
            <w:r w:rsidRPr="001E2F6E">
              <w:rPr>
                <w:color w:val="000000"/>
                <w:sz w:val="16"/>
                <w:szCs w:val="16"/>
              </w:rPr>
              <w:t>9.076</w:t>
            </w:r>
          </w:p>
        </w:tc>
        <w:tc>
          <w:tcPr>
            <w:tcW w:w="607" w:type="pct"/>
            <w:tcBorders>
              <w:top w:val="nil"/>
              <w:left w:val="nil"/>
              <w:bottom w:val="nil"/>
              <w:right w:val="single" w:sz="8" w:space="0" w:color="BFBFBF"/>
            </w:tcBorders>
            <w:shd w:val="clear" w:color="auto" w:fill="auto"/>
            <w:noWrap/>
            <w:vAlign w:val="bottom"/>
            <w:hideMark/>
          </w:tcPr>
          <w:p w:rsidR="00195BE7" w:rsidRPr="001E2F6E" w:rsidRDefault="00195BE7" w:rsidP="00195BE7">
            <w:pPr>
              <w:spacing w:line="220" w:lineRule="atLeast"/>
              <w:jc w:val="right"/>
              <w:rPr>
                <w:color w:val="000000"/>
                <w:sz w:val="16"/>
                <w:szCs w:val="16"/>
              </w:rPr>
            </w:pPr>
            <w:r w:rsidRPr="001E2F6E">
              <w:rPr>
                <w:color w:val="000000"/>
                <w:sz w:val="16"/>
                <w:szCs w:val="16"/>
              </w:rPr>
              <w:t>4.365.627</w:t>
            </w:r>
          </w:p>
        </w:tc>
        <w:tc>
          <w:tcPr>
            <w:tcW w:w="691" w:type="pct"/>
            <w:tcBorders>
              <w:top w:val="nil"/>
              <w:left w:val="nil"/>
              <w:bottom w:val="nil"/>
              <w:right w:val="single" w:sz="8" w:space="0" w:color="BFBFBF"/>
            </w:tcBorders>
            <w:shd w:val="clear" w:color="auto" w:fill="auto"/>
            <w:noWrap/>
            <w:vAlign w:val="bottom"/>
            <w:hideMark/>
          </w:tcPr>
          <w:p w:rsidR="00195BE7" w:rsidRPr="001E2F6E" w:rsidRDefault="00195BE7" w:rsidP="00195BE7">
            <w:pPr>
              <w:spacing w:line="220" w:lineRule="atLeast"/>
              <w:jc w:val="right"/>
              <w:rPr>
                <w:color w:val="000000"/>
                <w:sz w:val="16"/>
                <w:szCs w:val="16"/>
              </w:rPr>
            </w:pPr>
            <w:r w:rsidRPr="001E2F6E">
              <w:rPr>
                <w:color w:val="000000"/>
                <w:sz w:val="16"/>
                <w:szCs w:val="16"/>
              </w:rPr>
              <w:t>8.184</w:t>
            </w:r>
          </w:p>
        </w:tc>
        <w:tc>
          <w:tcPr>
            <w:tcW w:w="607" w:type="pct"/>
            <w:tcBorders>
              <w:top w:val="nil"/>
              <w:left w:val="nil"/>
              <w:bottom w:val="nil"/>
              <w:right w:val="single" w:sz="8" w:space="0" w:color="BFBFBF"/>
            </w:tcBorders>
            <w:shd w:val="clear" w:color="auto" w:fill="auto"/>
            <w:noWrap/>
            <w:vAlign w:val="bottom"/>
            <w:hideMark/>
          </w:tcPr>
          <w:p w:rsidR="00195BE7" w:rsidRPr="001E2F6E" w:rsidRDefault="00195BE7" w:rsidP="00195BE7">
            <w:pPr>
              <w:spacing w:line="220" w:lineRule="atLeast"/>
              <w:jc w:val="right"/>
              <w:rPr>
                <w:color w:val="000000"/>
                <w:sz w:val="16"/>
                <w:szCs w:val="16"/>
              </w:rPr>
            </w:pPr>
            <w:r w:rsidRPr="001E2F6E">
              <w:rPr>
                <w:color w:val="000000"/>
                <w:sz w:val="16"/>
                <w:szCs w:val="16"/>
              </w:rPr>
              <w:t>12.263.382</w:t>
            </w:r>
          </w:p>
        </w:tc>
      </w:tr>
      <w:tr w:rsidR="00195BE7" w:rsidRPr="001E2F6E" w:rsidTr="00195BE7">
        <w:tc>
          <w:tcPr>
            <w:tcW w:w="1907" w:type="pct"/>
            <w:tcBorders>
              <w:top w:val="nil"/>
              <w:left w:val="nil"/>
              <w:bottom w:val="nil"/>
              <w:right w:val="single" w:sz="8" w:space="0" w:color="BFBFBF"/>
            </w:tcBorders>
            <w:shd w:val="clear" w:color="auto" w:fill="auto"/>
            <w:vAlign w:val="bottom"/>
            <w:hideMark/>
          </w:tcPr>
          <w:p w:rsidR="00195BE7" w:rsidRPr="001E2F6E" w:rsidRDefault="00195BE7" w:rsidP="00195BE7">
            <w:pPr>
              <w:spacing w:line="220" w:lineRule="exact"/>
              <w:rPr>
                <w:sz w:val="16"/>
                <w:szCs w:val="16"/>
                <w:lang w:val="eu-ES"/>
              </w:rPr>
            </w:pPr>
            <w:r w:rsidRPr="001E2F6E">
              <w:rPr>
                <w:sz w:val="16"/>
                <w:szCs w:val="16"/>
                <w:lang w:val="eu-ES"/>
              </w:rPr>
              <w:t>77 Ezohiko diru-sarrerak</w:t>
            </w:r>
          </w:p>
        </w:tc>
        <w:tc>
          <w:tcPr>
            <w:tcW w:w="686" w:type="pct"/>
            <w:tcBorders>
              <w:top w:val="nil"/>
              <w:left w:val="nil"/>
              <w:bottom w:val="nil"/>
              <w:right w:val="single" w:sz="8" w:space="0" w:color="BFBFBF"/>
            </w:tcBorders>
            <w:shd w:val="clear" w:color="auto" w:fill="auto"/>
            <w:noWrap/>
            <w:vAlign w:val="bottom"/>
            <w:hideMark/>
          </w:tcPr>
          <w:p w:rsidR="00195BE7" w:rsidRPr="001E2F6E" w:rsidRDefault="00195BE7" w:rsidP="00195BE7">
            <w:pPr>
              <w:spacing w:line="220" w:lineRule="atLeast"/>
              <w:jc w:val="right"/>
              <w:rPr>
                <w:color w:val="000000"/>
                <w:sz w:val="16"/>
                <w:szCs w:val="16"/>
              </w:rPr>
            </w:pPr>
            <w:r w:rsidRPr="001E2F6E">
              <w:rPr>
                <w:color w:val="000000"/>
                <w:sz w:val="16"/>
                <w:szCs w:val="16"/>
              </w:rPr>
              <w:t>7.662.176</w:t>
            </w:r>
          </w:p>
        </w:tc>
        <w:tc>
          <w:tcPr>
            <w:tcW w:w="502" w:type="pct"/>
            <w:tcBorders>
              <w:top w:val="nil"/>
              <w:left w:val="nil"/>
              <w:bottom w:val="nil"/>
              <w:right w:val="single" w:sz="8" w:space="0" w:color="BFBFBF"/>
            </w:tcBorders>
            <w:shd w:val="clear" w:color="auto" w:fill="auto"/>
            <w:noWrap/>
            <w:vAlign w:val="bottom"/>
            <w:hideMark/>
          </w:tcPr>
          <w:p w:rsidR="00195BE7" w:rsidRPr="001E2F6E" w:rsidRDefault="00195BE7" w:rsidP="00195BE7">
            <w:pPr>
              <w:spacing w:line="220" w:lineRule="atLeast"/>
              <w:jc w:val="right"/>
              <w:rPr>
                <w:color w:val="000000"/>
                <w:sz w:val="16"/>
                <w:szCs w:val="16"/>
              </w:rPr>
            </w:pPr>
            <w:r w:rsidRPr="001E2F6E">
              <w:rPr>
                <w:color w:val="000000"/>
                <w:sz w:val="16"/>
                <w:szCs w:val="16"/>
              </w:rPr>
              <w:t>248.228</w:t>
            </w:r>
          </w:p>
        </w:tc>
        <w:tc>
          <w:tcPr>
            <w:tcW w:w="607" w:type="pct"/>
            <w:tcBorders>
              <w:top w:val="nil"/>
              <w:left w:val="nil"/>
              <w:bottom w:val="nil"/>
              <w:right w:val="single" w:sz="8" w:space="0" w:color="BFBFBF"/>
            </w:tcBorders>
            <w:shd w:val="clear" w:color="auto" w:fill="auto"/>
            <w:noWrap/>
            <w:vAlign w:val="bottom"/>
            <w:hideMark/>
          </w:tcPr>
          <w:p w:rsidR="00195BE7" w:rsidRPr="001E2F6E" w:rsidRDefault="00195BE7" w:rsidP="00195BE7">
            <w:pPr>
              <w:spacing w:line="220" w:lineRule="atLeast"/>
              <w:jc w:val="right"/>
              <w:rPr>
                <w:color w:val="000000"/>
                <w:sz w:val="16"/>
                <w:szCs w:val="16"/>
              </w:rPr>
            </w:pPr>
            <w:r w:rsidRPr="001E2F6E">
              <w:rPr>
                <w:color w:val="000000"/>
                <w:sz w:val="16"/>
                <w:szCs w:val="16"/>
              </w:rPr>
              <w:t>6.005.461</w:t>
            </w:r>
          </w:p>
        </w:tc>
        <w:tc>
          <w:tcPr>
            <w:tcW w:w="691" w:type="pct"/>
            <w:tcBorders>
              <w:top w:val="nil"/>
              <w:left w:val="nil"/>
              <w:bottom w:val="nil"/>
              <w:right w:val="single" w:sz="8" w:space="0" w:color="BFBFBF"/>
            </w:tcBorders>
            <w:shd w:val="clear" w:color="auto" w:fill="auto"/>
            <w:noWrap/>
            <w:vAlign w:val="bottom"/>
            <w:hideMark/>
          </w:tcPr>
          <w:p w:rsidR="00195BE7" w:rsidRPr="001E2F6E" w:rsidRDefault="00195BE7" w:rsidP="00195BE7">
            <w:pPr>
              <w:spacing w:line="220" w:lineRule="atLeast"/>
              <w:jc w:val="right"/>
              <w:rPr>
                <w:color w:val="000000"/>
                <w:sz w:val="16"/>
                <w:szCs w:val="16"/>
              </w:rPr>
            </w:pPr>
            <w:r w:rsidRPr="001E2F6E">
              <w:rPr>
                <w:color w:val="000000"/>
                <w:sz w:val="16"/>
                <w:szCs w:val="16"/>
              </w:rPr>
              <w:t>87.905</w:t>
            </w:r>
          </w:p>
        </w:tc>
        <w:tc>
          <w:tcPr>
            <w:tcW w:w="607" w:type="pct"/>
            <w:tcBorders>
              <w:top w:val="nil"/>
              <w:left w:val="nil"/>
              <w:bottom w:val="nil"/>
              <w:right w:val="single" w:sz="8" w:space="0" w:color="BFBFBF"/>
            </w:tcBorders>
            <w:shd w:val="clear" w:color="auto" w:fill="auto"/>
            <w:noWrap/>
            <w:vAlign w:val="bottom"/>
            <w:hideMark/>
          </w:tcPr>
          <w:p w:rsidR="00195BE7" w:rsidRPr="001E2F6E" w:rsidRDefault="00195BE7" w:rsidP="00195BE7">
            <w:pPr>
              <w:spacing w:line="220" w:lineRule="atLeast"/>
              <w:jc w:val="right"/>
              <w:rPr>
                <w:color w:val="000000"/>
                <w:sz w:val="16"/>
                <w:szCs w:val="16"/>
              </w:rPr>
            </w:pPr>
            <w:r w:rsidRPr="001E2F6E">
              <w:rPr>
                <w:color w:val="000000"/>
                <w:sz w:val="16"/>
                <w:szCs w:val="16"/>
              </w:rPr>
              <w:t>1.320.582</w:t>
            </w:r>
          </w:p>
        </w:tc>
      </w:tr>
      <w:tr w:rsidR="00195BE7" w:rsidRPr="001E2F6E" w:rsidTr="00195BE7">
        <w:tc>
          <w:tcPr>
            <w:tcW w:w="1907" w:type="pct"/>
            <w:tcBorders>
              <w:top w:val="nil"/>
              <w:left w:val="nil"/>
              <w:bottom w:val="single" w:sz="8" w:space="0" w:color="BFBFBF"/>
              <w:right w:val="single" w:sz="8" w:space="0" w:color="BFBFBF"/>
            </w:tcBorders>
            <w:shd w:val="clear" w:color="auto" w:fill="auto"/>
            <w:vAlign w:val="bottom"/>
            <w:hideMark/>
          </w:tcPr>
          <w:p w:rsidR="00195BE7" w:rsidRPr="001E2F6E" w:rsidRDefault="00195BE7" w:rsidP="00195BE7">
            <w:pPr>
              <w:spacing w:line="220" w:lineRule="exact"/>
              <w:rPr>
                <w:sz w:val="16"/>
                <w:szCs w:val="16"/>
                <w:lang w:val="eu-ES"/>
              </w:rPr>
            </w:pPr>
            <w:r w:rsidRPr="001E2F6E">
              <w:rPr>
                <w:sz w:val="16"/>
                <w:szCs w:val="16"/>
                <w:lang w:val="eu-ES"/>
              </w:rPr>
              <w:t>79 Gehiegizko hornidura</w:t>
            </w:r>
          </w:p>
        </w:tc>
        <w:tc>
          <w:tcPr>
            <w:tcW w:w="686" w:type="pct"/>
            <w:tcBorders>
              <w:top w:val="nil"/>
              <w:left w:val="nil"/>
              <w:bottom w:val="single" w:sz="8" w:space="0" w:color="BFBFBF"/>
              <w:right w:val="single" w:sz="8" w:space="0" w:color="BFBFBF"/>
            </w:tcBorders>
            <w:shd w:val="clear" w:color="auto" w:fill="auto"/>
            <w:noWrap/>
            <w:vAlign w:val="bottom"/>
            <w:hideMark/>
          </w:tcPr>
          <w:p w:rsidR="00195BE7" w:rsidRPr="001E2F6E" w:rsidRDefault="00195BE7" w:rsidP="00195BE7">
            <w:pPr>
              <w:spacing w:line="220" w:lineRule="atLeast"/>
              <w:jc w:val="right"/>
              <w:rPr>
                <w:color w:val="000000"/>
                <w:sz w:val="16"/>
                <w:szCs w:val="16"/>
              </w:rPr>
            </w:pPr>
            <w:r w:rsidRPr="001E2F6E">
              <w:rPr>
                <w:color w:val="000000"/>
                <w:sz w:val="16"/>
                <w:szCs w:val="16"/>
              </w:rPr>
              <w:t>12.013.429</w:t>
            </w:r>
          </w:p>
        </w:tc>
        <w:tc>
          <w:tcPr>
            <w:tcW w:w="502" w:type="pct"/>
            <w:tcBorders>
              <w:top w:val="nil"/>
              <w:left w:val="nil"/>
              <w:bottom w:val="single" w:sz="8" w:space="0" w:color="BFBFBF"/>
              <w:right w:val="single" w:sz="8" w:space="0" w:color="BFBFBF"/>
            </w:tcBorders>
            <w:shd w:val="clear" w:color="auto" w:fill="auto"/>
            <w:noWrap/>
            <w:vAlign w:val="bottom"/>
            <w:hideMark/>
          </w:tcPr>
          <w:p w:rsidR="00195BE7" w:rsidRPr="001E2F6E" w:rsidRDefault="00195BE7" w:rsidP="00195BE7">
            <w:pPr>
              <w:spacing w:line="220" w:lineRule="atLeast"/>
              <w:jc w:val="right"/>
              <w:rPr>
                <w:color w:val="000000"/>
                <w:sz w:val="16"/>
                <w:szCs w:val="16"/>
              </w:rPr>
            </w:pPr>
            <w:r w:rsidRPr="001E2F6E">
              <w:rPr>
                <w:color w:val="000000"/>
                <w:sz w:val="16"/>
                <w:szCs w:val="16"/>
              </w:rPr>
              <w:t> </w:t>
            </w:r>
          </w:p>
        </w:tc>
        <w:tc>
          <w:tcPr>
            <w:tcW w:w="607" w:type="pct"/>
            <w:tcBorders>
              <w:top w:val="nil"/>
              <w:left w:val="nil"/>
              <w:bottom w:val="single" w:sz="8" w:space="0" w:color="BFBFBF"/>
              <w:right w:val="single" w:sz="8" w:space="0" w:color="BFBFBF"/>
            </w:tcBorders>
            <w:shd w:val="clear" w:color="auto" w:fill="auto"/>
            <w:noWrap/>
            <w:vAlign w:val="bottom"/>
            <w:hideMark/>
          </w:tcPr>
          <w:p w:rsidR="00195BE7" w:rsidRPr="001E2F6E" w:rsidRDefault="00195BE7" w:rsidP="00195BE7">
            <w:pPr>
              <w:spacing w:line="220" w:lineRule="atLeast"/>
              <w:jc w:val="right"/>
              <w:rPr>
                <w:color w:val="000000"/>
                <w:sz w:val="16"/>
                <w:szCs w:val="16"/>
              </w:rPr>
            </w:pPr>
            <w:r w:rsidRPr="001E2F6E">
              <w:rPr>
                <w:color w:val="000000"/>
                <w:sz w:val="16"/>
                <w:szCs w:val="16"/>
              </w:rPr>
              <w:t>4.730.487</w:t>
            </w:r>
          </w:p>
        </w:tc>
        <w:tc>
          <w:tcPr>
            <w:tcW w:w="691" w:type="pct"/>
            <w:tcBorders>
              <w:top w:val="nil"/>
              <w:left w:val="nil"/>
              <w:bottom w:val="single" w:sz="8" w:space="0" w:color="BFBFBF"/>
              <w:right w:val="single" w:sz="8" w:space="0" w:color="BFBFBF"/>
            </w:tcBorders>
            <w:shd w:val="clear" w:color="auto" w:fill="auto"/>
            <w:noWrap/>
            <w:vAlign w:val="bottom"/>
            <w:hideMark/>
          </w:tcPr>
          <w:p w:rsidR="00195BE7" w:rsidRPr="001E2F6E" w:rsidRDefault="00195BE7" w:rsidP="00195BE7">
            <w:pPr>
              <w:spacing w:line="220" w:lineRule="atLeast"/>
              <w:jc w:val="right"/>
              <w:rPr>
                <w:color w:val="000000"/>
                <w:sz w:val="16"/>
                <w:szCs w:val="16"/>
              </w:rPr>
            </w:pPr>
            <w:r w:rsidRPr="001E2F6E">
              <w:rPr>
                <w:color w:val="000000"/>
                <w:sz w:val="16"/>
                <w:szCs w:val="16"/>
              </w:rPr>
              <w:t>46.902</w:t>
            </w:r>
          </w:p>
        </w:tc>
        <w:tc>
          <w:tcPr>
            <w:tcW w:w="607" w:type="pct"/>
            <w:tcBorders>
              <w:top w:val="nil"/>
              <w:left w:val="nil"/>
              <w:bottom w:val="single" w:sz="8" w:space="0" w:color="BFBFBF"/>
              <w:right w:val="single" w:sz="8" w:space="0" w:color="BFBFBF"/>
            </w:tcBorders>
            <w:shd w:val="clear" w:color="auto" w:fill="auto"/>
            <w:noWrap/>
            <w:vAlign w:val="bottom"/>
            <w:hideMark/>
          </w:tcPr>
          <w:p w:rsidR="00195BE7" w:rsidRPr="001E2F6E" w:rsidRDefault="00195BE7" w:rsidP="00195BE7">
            <w:pPr>
              <w:spacing w:line="220" w:lineRule="atLeast"/>
              <w:jc w:val="right"/>
              <w:rPr>
                <w:color w:val="000000"/>
                <w:sz w:val="16"/>
                <w:szCs w:val="16"/>
              </w:rPr>
            </w:pPr>
            <w:r w:rsidRPr="001E2F6E">
              <w:rPr>
                <w:color w:val="000000"/>
                <w:sz w:val="16"/>
                <w:szCs w:val="16"/>
              </w:rPr>
              <w:t>7.236.040</w:t>
            </w:r>
          </w:p>
        </w:tc>
      </w:tr>
      <w:tr w:rsidR="00195BE7" w:rsidRPr="001E2F6E" w:rsidTr="00195BE7">
        <w:tc>
          <w:tcPr>
            <w:tcW w:w="1907" w:type="pct"/>
            <w:tcBorders>
              <w:top w:val="nil"/>
              <w:left w:val="nil"/>
              <w:bottom w:val="single" w:sz="8" w:space="0" w:color="BFBFBF"/>
              <w:right w:val="single" w:sz="8" w:space="0" w:color="BFBFBF"/>
            </w:tcBorders>
            <w:shd w:val="clear" w:color="000000" w:fill="E6E6E6"/>
            <w:vAlign w:val="bottom"/>
            <w:hideMark/>
          </w:tcPr>
          <w:p w:rsidR="00195BE7" w:rsidRPr="001E2F6E" w:rsidRDefault="00195BE7" w:rsidP="00195BE7">
            <w:pPr>
              <w:spacing w:line="220" w:lineRule="exact"/>
              <w:rPr>
                <w:rFonts w:eastAsia="Times New Roman"/>
                <w:b/>
                <w:bCs/>
                <w:color w:val="000000"/>
                <w:sz w:val="16"/>
                <w:szCs w:val="16"/>
                <w:lang w:eastAsia="es-ES"/>
              </w:rPr>
            </w:pPr>
            <w:r w:rsidRPr="001E2F6E">
              <w:rPr>
                <w:rFonts w:eastAsia="Times New Roman"/>
                <w:b/>
                <w:bCs/>
                <w:color w:val="000000"/>
                <w:sz w:val="16"/>
                <w:szCs w:val="16"/>
                <w:lang w:eastAsia="es-ES"/>
              </w:rPr>
              <w:t> </w:t>
            </w:r>
          </w:p>
        </w:tc>
        <w:tc>
          <w:tcPr>
            <w:tcW w:w="686" w:type="pct"/>
            <w:tcBorders>
              <w:top w:val="nil"/>
              <w:left w:val="nil"/>
              <w:bottom w:val="single" w:sz="8" w:space="0" w:color="BFBFBF"/>
              <w:right w:val="single" w:sz="8" w:space="0" w:color="BFBFBF"/>
            </w:tcBorders>
            <w:shd w:val="clear" w:color="000000" w:fill="E6E6E6"/>
            <w:vAlign w:val="bottom"/>
            <w:hideMark/>
          </w:tcPr>
          <w:p w:rsidR="00195BE7" w:rsidRPr="001E2F6E" w:rsidRDefault="00195BE7" w:rsidP="00195BE7">
            <w:pPr>
              <w:spacing w:line="220" w:lineRule="atLeast"/>
              <w:jc w:val="right"/>
              <w:rPr>
                <w:b/>
                <w:bCs/>
                <w:color w:val="000000"/>
                <w:sz w:val="16"/>
                <w:szCs w:val="16"/>
              </w:rPr>
            </w:pPr>
            <w:r w:rsidRPr="001E2F6E">
              <w:rPr>
                <w:b/>
                <w:bCs/>
                <w:color w:val="000000"/>
                <w:sz w:val="16"/>
                <w:szCs w:val="16"/>
              </w:rPr>
              <w:t>1.169.082.937</w:t>
            </w:r>
          </w:p>
        </w:tc>
        <w:tc>
          <w:tcPr>
            <w:tcW w:w="502" w:type="pct"/>
            <w:tcBorders>
              <w:top w:val="nil"/>
              <w:left w:val="nil"/>
              <w:bottom w:val="single" w:sz="8" w:space="0" w:color="BFBFBF"/>
              <w:right w:val="single" w:sz="8" w:space="0" w:color="BFBFBF"/>
            </w:tcBorders>
            <w:shd w:val="clear" w:color="000000" w:fill="E6E6E6"/>
            <w:vAlign w:val="bottom"/>
            <w:hideMark/>
          </w:tcPr>
          <w:p w:rsidR="00195BE7" w:rsidRPr="001E2F6E" w:rsidRDefault="00195BE7" w:rsidP="00195BE7">
            <w:pPr>
              <w:spacing w:line="220" w:lineRule="atLeast"/>
              <w:jc w:val="right"/>
              <w:rPr>
                <w:b/>
                <w:bCs/>
                <w:color w:val="000000"/>
                <w:sz w:val="16"/>
                <w:szCs w:val="16"/>
              </w:rPr>
            </w:pPr>
            <w:r w:rsidRPr="001E2F6E">
              <w:rPr>
                <w:b/>
                <w:bCs/>
                <w:color w:val="000000"/>
                <w:sz w:val="16"/>
                <w:szCs w:val="16"/>
              </w:rPr>
              <w:t>9.425.635</w:t>
            </w:r>
          </w:p>
        </w:tc>
        <w:tc>
          <w:tcPr>
            <w:tcW w:w="607" w:type="pct"/>
            <w:tcBorders>
              <w:top w:val="nil"/>
              <w:left w:val="nil"/>
              <w:bottom w:val="single" w:sz="8" w:space="0" w:color="BFBFBF"/>
              <w:right w:val="single" w:sz="8" w:space="0" w:color="BFBFBF"/>
            </w:tcBorders>
            <w:shd w:val="clear" w:color="000000" w:fill="E6E6E6"/>
            <w:vAlign w:val="bottom"/>
            <w:hideMark/>
          </w:tcPr>
          <w:p w:rsidR="00195BE7" w:rsidRPr="001E2F6E" w:rsidRDefault="00195BE7" w:rsidP="00195BE7">
            <w:pPr>
              <w:spacing w:line="220" w:lineRule="atLeast"/>
              <w:jc w:val="right"/>
              <w:rPr>
                <w:b/>
                <w:bCs/>
                <w:color w:val="000000"/>
                <w:sz w:val="16"/>
                <w:szCs w:val="16"/>
              </w:rPr>
            </w:pPr>
            <w:r w:rsidRPr="001E2F6E">
              <w:rPr>
                <w:b/>
                <w:bCs/>
                <w:color w:val="000000"/>
                <w:sz w:val="16"/>
                <w:szCs w:val="16"/>
              </w:rPr>
              <w:t>382.152.240</w:t>
            </w:r>
          </w:p>
        </w:tc>
        <w:tc>
          <w:tcPr>
            <w:tcW w:w="691" w:type="pct"/>
            <w:tcBorders>
              <w:top w:val="nil"/>
              <w:left w:val="nil"/>
              <w:bottom w:val="single" w:sz="8" w:space="0" w:color="BFBFBF"/>
              <w:right w:val="single" w:sz="8" w:space="0" w:color="BFBFBF"/>
            </w:tcBorders>
            <w:shd w:val="clear" w:color="000000" w:fill="E6E6E6"/>
            <w:vAlign w:val="bottom"/>
            <w:hideMark/>
          </w:tcPr>
          <w:p w:rsidR="00195BE7" w:rsidRPr="001E2F6E" w:rsidRDefault="00195BE7" w:rsidP="00195BE7">
            <w:pPr>
              <w:spacing w:line="220" w:lineRule="atLeast"/>
              <w:jc w:val="right"/>
              <w:rPr>
                <w:b/>
                <w:bCs/>
                <w:color w:val="000000"/>
                <w:sz w:val="16"/>
                <w:szCs w:val="16"/>
              </w:rPr>
            </w:pPr>
            <w:r w:rsidRPr="001E2F6E">
              <w:rPr>
                <w:b/>
                <w:bCs/>
                <w:color w:val="000000"/>
                <w:sz w:val="16"/>
                <w:szCs w:val="16"/>
              </w:rPr>
              <w:t>30.196.796</w:t>
            </w:r>
          </w:p>
        </w:tc>
        <w:tc>
          <w:tcPr>
            <w:tcW w:w="607" w:type="pct"/>
            <w:tcBorders>
              <w:top w:val="nil"/>
              <w:left w:val="nil"/>
              <w:bottom w:val="single" w:sz="8" w:space="0" w:color="BFBFBF"/>
              <w:right w:val="nil"/>
            </w:tcBorders>
            <w:shd w:val="clear" w:color="000000" w:fill="E6E6E6"/>
            <w:vAlign w:val="bottom"/>
            <w:hideMark/>
          </w:tcPr>
          <w:p w:rsidR="00195BE7" w:rsidRPr="001E2F6E" w:rsidRDefault="00195BE7" w:rsidP="00195BE7">
            <w:pPr>
              <w:spacing w:line="220" w:lineRule="atLeast"/>
              <w:jc w:val="right"/>
              <w:rPr>
                <w:b/>
                <w:bCs/>
                <w:color w:val="000000"/>
                <w:sz w:val="16"/>
                <w:szCs w:val="16"/>
              </w:rPr>
            </w:pPr>
            <w:r w:rsidRPr="001E2F6E">
              <w:rPr>
                <w:b/>
                <w:bCs/>
                <w:color w:val="000000"/>
                <w:sz w:val="16"/>
                <w:szCs w:val="16"/>
              </w:rPr>
              <w:t>747.308.266</w:t>
            </w:r>
          </w:p>
        </w:tc>
      </w:tr>
      <w:tr w:rsidR="00195BE7" w:rsidRPr="001E2F6E" w:rsidTr="00195BE7">
        <w:tc>
          <w:tcPr>
            <w:tcW w:w="1907" w:type="pct"/>
            <w:tcBorders>
              <w:top w:val="nil"/>
              <w:left w:val="nil"/>
              <w:bottom w:val="nil"/>
              <w:right w:val="single" w:sz="8" w:space="0" w:color="BFBFBF"/>
            </w:tcBorders>
            <w:shd w:val="clear" w:color="auto" w:fill="auto"/>
            <w:vAlign w:val="bottom"/>
            <w:hideMark/>
          </w:tcPr>
          <w:p w:rsidR="00195BE7" w:rsidRPr="001E2F6E" w:rsidRDefault="00195BE7" w:rsidP="00195BE7">
            <w:pPr>
              <w:spacing w:line="220" w:lineRule="exact"/>
              <w:rPr>
                <w:b/>
                <w:bCs/>
                <w:sz w:val="16"/>
                <w:szCs w:val="16"/>
                <w:lang w:val="eu-ES"/>
              </w:rPr>
            </w:pPr>
            <w:r w:rsidRPr="001E2F6E">
              <w:rPr>
                <w:b/>
                <w:bCs/>
                <w:sz w:val="16"/>
                <w:szCs w:val="16"/>
                <w:lang w:val="eu-ES"/>
              </w:rPr>
              <w:t>GASTUAK</w:t>
            </w:r>
          </w:p>
        </w:tc>
        <w:tc>
          <w:tcPr>
            <w:tcW w:w="686" w:type="pct"/>
            <w:tcBorders>
              <w:top w:val="nil"/>
              <w:left w:val="nil"/>
              <w:bottom w:val="nil"/>
              <w:right w:val="single" w:sz="8" w:space="0" w:color="BFBFBF"/>
            </w:tcBorders>
            <w:shd w:val="clear" w:color="auto" w:fill="auto"/>
            <w:vAlign w:val="bottom"/>
            <w:hideMark/>
          </w:tcPr>
          <w:p w:rsidR="00195BE7" w:rsidRPr="001E2F6E" w:rsidRDefault="00195BE7" w:rsidP="00195BE7">
            <w:pPr>
              <w:spacing w:line="220" w:lineRule="atLeast"/>
              <w:jc w:val="right"/>
              <w:rPr>
                <w:color w:val="000000"/>
                <w:sz w:val="16"/>
                <w:szCs w:val="16"/>
              </w:rPr>
            </w:pPr>
            <w:r w:rsidRPr="001E2F6E">
              <w:rPr>
                <w:color w:val="000000"/>
                <w:sz w:val="16"/>
                <w:szCs w:val="16"/>
              </w:rPr>
              <w:t> </w:t>
            </w:r>
          </w:p>
        </w:tc>
        <w:tc>
          <w:tcPr>
            <w:tcW w:w="502" w:type="pct"/>
            <w:tcBorders>
              <w:top w:val="nil"/>
              <w:left w:val="nil"/>
              <w:bottom w:val="nil"/>
              <w:right w:val="single" w:sz="8" w:space="0" w:color="BFBFBF"/>
            </w:tcBorders>
            <w:shd w:val="clear" w:color="auto" w:fill="auto"/>
            <w:vAlign w:val="bottom"/>
            <w:hideMark/>
          </w:tcPr>
          <w:p w:rsidR="00195BE7" w:rsidRPr="001E2F6E" w:rsidRDefault="00195BE7" w:rsidP="00195BE7">
            <w:pPr>
              <w:spacing w:line="220" w:lineRule="atLeast"/>
              <w:jc w:val="right"/>
              <w:rPr>
                <w:color w:val="000000"/>
                <w:sz w:val="16"/>
                <w:szCs w:val="16"/>
              </w:rPr>
            </w:pPr>
            <w:r w:rsidRPr="001E2F6E">
              <w:rPr>
                <w:color w:val="000000"/>
                <w:sz w:val="16"/>
                <w:szCs w:val="16"/>
              </w:rPr>
              <w:t> </w:t>
            </w:r>
          </w:p>
        </w:tc>
        <w:tc>
          <w:tcPr>
            <w:tcW w:w="607" w:type="pct"/>
            <w:tcBorders>
              <w:top w:val="nil"/>
              <w:left w:val="nil"/>
              <w:bottom w:val="nil"/>
              <w:right w:val="single" w:sz="8" w:space="0" w:color="BFBFBF"/>
            </w:tcBorders>
            <w:shd w:val="clear" w:color="auto" w:fill="auto"/>
            <w:vAlign w:val="bottom"/>
            <w:hideMark/>
          </w:tcPr>
          <w:p w:rsidR="00195BE7" w:rsidRPr="001E2F6E" w:rsidRDefault="00195BE7" w:rsidP="00195BE7">
            <w:pPr>
              <w:spacing w:line="220" w:lineRule="atLeast"/>
              <w:jc w:val="right"/>
              <w:rPr>
                <w:color w:val="000000"/>
                <w:sz w:val="16"/>
                <w:szCs w:val="16"/>
              </w:rPr>
            </w:pPr>
            <w:r w:rsidRPr="001E2F6E">
              <w:rPr>
                <w:color w:val="000000"/>
                <w:sz w:val="16"/>
                <w:szCs w:val="16"/>
              </w:rPr>
              <w:t> </w:t>
            </w:r>
          </w:p>
        </w:tc>
        <w:tc>
          <w:tcPr>
            <w:tcW w:w="691" w:type="pct"/>
            <w:tcBorders>
              <w:top w:val="nil"/>
              <w:left w:val="nil"/>
              <w:bottom w:val="nil"/>
              <w:right w:val="single" w:sz="8" w:space="0" w:color="BFBFBF"/>
            </w:tcBorders>
            <w:shd w:val="clear" w:color="auto" w:fill="auto"/>
            <w:vAlign w:val="bottom"/>
            <w:hideMark/>
          </w:tcPr>
          <w:p w:rsidR="00195BE7" w:rsidRPr="001E2F6E" w:rsidRDefault="00195BE7" w:rsidP="00195BE7">
            <w:pPr>
              <w:spacing w:line="220" w:lineRule="atLeast"/>
              <w:jc w:val="right"/>
              <w:rPr>
                <w:color w:val="000000"/>
                <w:sz w:val="16"/>
                <w:szCs w:val="16"/>
              </w:rPr>
            </w:pPr>
            <w:r w:rsidRPr="001E2F6E">
              <w:rPr>
                <w:color w:val="000000"/>
                <w:sz w:val="16"/>
                <w:szCs w:val="16"/>
              </w:rPr>
              <w:t> </w:t>
            </w:r>
          </w:p>
        </w:tc>
        <w:tc>
          <w:tcPr>
            <w:tcW w:w="607" w:type="pct"/>
            <w:tcBorders>
              <w:top w:val="nil"/>
              <w:left w:val="nil"/>
              <w:bottom w:val="nil"/>
              <w:right w:val="single" w:sz="8" w:space="0" w:color="BFBFBF"/>
            </w:tcBorders>
            <w:shd w:val="clear" w:color="auto" w:fill="auto"/>
            <w:vAlign w:val="bottom"/>
            <w:hideMark/>
          </w:tcPr>
          <w:p w:rsidR="00195BE7" w:rsidRPr="001E2F6E" w:rsidRDefault="00195BE7" w:rsidP="00195BE7">
            <w:pPr>
              <w:spacing w:line="220" w:lineRule="atLeast"/>
              <w:jc w:val="right"/>
              <w:rPr>
                <w:color w:val="000000"/>
                <w:sz w:val="16"/>
                <w:szCs w:val="16"/>
              </w:rPr>
            </w:pPr>
            <w:r w:rsidRPr="001E2F6E">
              <w:rPr>
                <w:color w:val="000000"/>
                <w:sz w:val="16"/>
                <w:szCs w:val="16"/>
              </w:rPr>
              <w:t> </w:t>
            </w:r>
          </w:p>
        </w:tc>
      </w:tr>
      <w:tr w:rsidR="00195BE7" w:rsidRPr="001E2F6E" w:rsidTr="00195BE7">
        <w:tc>
          <w:tcPr>
            <w:tcW w:w="1907" w:type="pct"/>
            <w:tcBorders>
              <w:top w:val="nil"/>
              <w:left w:val="nil"/>
              <w:bottom w:val="nil"/>
              <w:right w:val="single" w:sz="8" w:space="0" w:color="BFBFBF"/>
            </w:tcBorders>
            <w:shd w:val="clear" w:color="auto" w:fill="auto"/>
            <w:vAlign w:val="bottom"/>
            <w:hideMark/>
          </w:tcPr>
          <w:p w:rsidR="00195BE7" w:rsidRPr="001E2F6E" w:rsidRDefault="00195BE7" w:rsidP="00195BE7">
            <w:pPr>
              <w:spacing w:line="220" w:lineRule="exact"/>
              <w:rPr>
                <w:sz w:val="16"/>
                <w:szCs w:val="16"/>
                <w:lang w:val="eu-ES"/>
              </w:rPr>
            </w:pPr>
            <w:r w:rsidRPr="001E2F6E">
              <w:rPr>
                <w:sz w:val="16"/>
                <w:szCs w:val="16"/>
                <w:lang w:val="eu-ES"/>
              </w:rPr>
              <w:t>60 Erosketa garbiak</w:t>
            </w:r>
          </w:p>
        </w:tc>
        <w:tc>
          <w:tcPr>
            <w:tcW w:w="686" w:type="pct"/>
            <w:tcBorders>
              <w:top w:val="nil"/>
              <w:left w:val="nil"/>
              <w:bottom w:val="nil"/>
              <w:right w:val="single" w:sz="8" w:space="0" w:color="BFBFBF"/>
            </w:tcBorders>
            <w:shd w:val="clear" w:color="auto" w:fill="auto"/>
            <w:noWrap/>
            <w:vAlign w:val="bottom"/>
            <w:hideMark/>
          </w:tcPr>
          <w:p w:rsidR="00195BE7" w:rsidRPr="001E2F6E" w:rsidRDefault="00195BE7" w:rsidP="00195BE7">
            <w:pPr>
              <w:spacing w:line="220" w:lineRule="atLeast"/>
              <w:jc w:val="right"/>
              <w:rPr>
                <w:color w:val="000000"/>
                <w:sz w:val="16"/>
                <w:szCs w:val="16"/>
              </w:rPr>
            </w:pPr>
            <w:r w:rsidRPr="001E2F6E">
              <w:rPr>
                <w:color w:val="000000"/>
                <w:sz w:val="16"/>
                <w:szCs w:val="16"/>
              </w:rPr>
              <w:t>606.968.044</w:t>
            </w:r>
          </w:p>
        </w:tc>
        <w:tc>
          <w:tcPr>
            <w:tcW w:w="502" w:type="pct"/>
            <w:tcBorders>
              <w:top w:val="nil"/>
              <w:left w:val="nil"/>
              <w:bottom w:val="nil"/>
              <w:right w:val="single" w:sz="8" w:space="0" w:color="BFBFBF"/>
            </w:tcBorders>
            <w:shd w:val="clear" w:color="auto" w:fill="auto"/>
            <w:noWrap/>
            <w:vAlign w:val="bottom"/>
            <w:hideMark/>
          </w:tcPr>
          <w:p w:rsidR="00195BE7" w:rsidRPr="001E2F6E" w:rsidRDefault="00195BE7" w:rsidP="00195BE7">
            <w:pPr>
              <w:spacing w:line="220" w:lineRule="atLeast"/>
              <w:jc w:val="right"/>
              <w:rPr>
                <w:color w:val="000000"/>
                <w:sz w:val="16"/>
                <w:szCs w:val="16"/>
              </w:rPr>
            </w:pPr>
            <w:r w:rsidRPr="001E2F6E">
              <w:rPr>
                <w:color w:val="000000"/>
                <w:sz w:val="16"/>
                <w:szCs w:val="16"/>
              </w:rPr>
              <w:t>5.170.267</w:t>
            </w:r>
          </w:p>
        </w:tc>
        <w:tc>
          <w:tcPr>
            <w:tcW w:w="607" w:type="pct"/>
            <w:tcBorders>
              <w:top w:val="nil"/>
              <w:left w:val="nil"/>
              <w:bottom w:val="nil"/>
              <w:right w:val="single" w:sz="8" w:space="0" w:color="BFBFBF"/>
            </w:tcBorders>
            <w:shd w:val="clear" w:color="auto" w:fill="auto"/>
            <w:noWrap/>
            <w:vAlign w:val="bottom"/>
            <w:hideMark/>
          </w:tcPr>
          <w:p w:rsidR="00195BE7" w:rsidRPr="001E2F6E" w:rsidRDefault="00195BE7" w:rsidP="00195BE7">
            <w:pPr>
              <w:spacing w:line="220" w:lineRule="atLeast"/>
              <w:jc w:val="right"/>
              <w:rPr>
                <w:color w:val="000000"/>
                <w:sz w:val="16"/>
                <w:szCs w:val="16"/>
              </w:rPr>
            </w:pPr>
            <w:r w:rsidRPr="001E2F6E">
              <w:rPr>
                <w:color w:val="000000"/>
                <w:sz w:val="16"/>
                <w:szCs w:val="16"/>
              </w:rPr>
              <w:t>191.732.882</w:t>
            </w:r>
          </w:p>
        </w:tc>
        <w:tc>
          <w:tcPr>
            <w:tcW w:w="691" w:type="pct"/>
            <w:tcBorders>
              <w:top w:val="nil"/>
              <w:left w:val="nil"/>
              <w:bottom w:val="nil"/>
              <w:right w:val="single" w:sz="8" w:space="0" w:color="BFBFBF"/>
            </w:tcBorders>
            <w:shd w:val="clear" w:color="auto" w:fill="auto"/>
            <w:noWrap/>
            <w:vAlign w:val="bottom"/>
            <w:hideMark/>
          </w:tcPr>
          <w:p w:rsidR="00195BE7" w:rsidRPr="001E2F6E" w:rsidRDefault="00195BE7" w:rsidP="00195BE7">
            <w:pPr>
              <w:spacing w:line="220" w:lineRule="atLeast"/>
              <w:jc w:val="right"/>
              <w:rPr>
                <w:color w:val="000000"/>
                <w:sz w:val="16"/>
                <w:szCs w:val="16"/>
              </w:rPr>
            </w:pPr>
            <w:r w:rsidRPr="001E2F6E">
              <w:rPr>
                <w:color w:val="000000"/>
                <w:sz w:val="16"/>
                <w:szCs w:val="16"/>
              </w:rPr>
              <w:t>15.716.443</w:t>
            </w:r>
          </w:p>
        </w:tc>
        <w:tc>
          <w:tcPr>
            <w:tcW w:w="607" w:type="pct"/>
            <w:tcBorders>
              <w:top w:val="nil"/>
              <w:left w:val="nil"/>
              <w:bottom w:val="nil"/>
              <w:right w:val="single" w:sz="8" w:space="0" w:color="BFBFBF"/>
            </w:tcBorders>
            <w:shd w:val="clear" w:color="auto" w:fill="auto"/>
            <w:noWrap/>
            <w:vAlign w:val="bottom"/>
            <w:hideMark/>
          </w:tcPr>
          <w:p w:rsidR="00195BE7" w:rsidRPr="001E2F6E" w:rsidRDefault="00195BE7" w:rsidP="00195BE7">
            <w:pPr>
              <w:spacing w:line="220" w:lineRule="atLeast"/>
              <w:jc w:val="right"/>
              <w:rPr>
                <w:color w:val="000000"/>
                <w:sz w:val="16"/>
                <w:szCs w:val="16"/>
              </w:rPr>
            </w:pPr>
            <w:r w:rsidRPr="001E2F6E">
              <w:rPr>
                <w:color w:val="000000"/>
                <w:sz w:val="16"/>
                <w:szCs w:val="16"/>
              </w:rPr>
              <w:t>394.348.452</w:t>
            </w:r>
          </w:p>
        </w:tc>
      </w:tr>
      <w:tr w:rsidR="00195BE7" w:rsidRPr="001E2F6E" w:rsidTr="00195BE7">
        <w:tc>
          <w:tcPr>
            <w:tcW w:w="1907" w:type="pct"/>
            <w:tcBorders>
              <w:top w:val="nil"/>
              <w:left w:val="nil"/>
              <w:bottom w:val="nil"/>
              <w:right w:val="single" w:sz="8" w:space="0" w:color="BFBFBF"/>
            </w:tcBorders>
            <w:shd w:val="clear" w:color="auto" w:fill="auto"/>
            <w:vAlign w:val="bottom"/>
            <w:hideMark/>
          </w:tcPr>
          <w:p w:rsidR="00195BE7" w:rsidRPr="001E2F6E" w:rsidRDefault="00195BE7" w:rsidP="00195BE7">
            <w:pPr>
              <w:spacing w:line="220" w:lineRule="exact"/>
              <w:rPr>
                <w:sz w:val="16"/>
                <w:szCs w:val="16"/>
                <w:lang w:val="eu-ES"/>
              </w:rPr>
            </w:pPr>
            <w:r w:rsidRPr="001E2F6E">
              <w:rPr>
                <w:sz w:val="16"/>
                <w:szCs w:val="16"/>
                <w:lang w:val="eu-ES"/>
              </w:rPr>
              <w:t>61 Izakinen aldaketa</w:t>
            </w:r>
          </w:p>
        </w:tc>
        <w:tc>
          <w:tcPr>
            <w:tcW w:w="686" w:type="pct"/>
            <w:tcBorders>
              <w:top w:val="nil"/>
              <w:left w:val="nil"/>
              <w:bottom w:val="nil"/>
              <w:right w:val="single" w:sz="8" w:space="0" w:color="BFBFBF"/>
            </w:tcBorders>
            <w:shd w:val="clear" w:color="auto" w:fill="auto"/>
            <w:noWrap/>
            <w:vAlign w:val="bottom"/>
            <w:hideMark/>
          </w:tcPr>
          <w:p w:rsidR="00195BE7" w:rsidRPr="001E2F6E" w:rsidRDefault="00195BE7" w:rsidP="00195BE7">
            <w:pPr>
              <w:spacing w:line="220" w:lineRule="atLeast"/>
              <w:jc w:val="right"/>
              <w:rPr>
                <w:color w:val="000000"/>
                <w:sz w:val="16"/>
                <w:szCs w:val="16"/>
              </w:rPr>
            </w:pPr>
            <w:r w:rsidRPr="001E2F6E">
              <w:rPr>
                <w:color w:val="000000"/>
                <w:sz w:val="16"/>
                <w:szCs w:val="16"/>
              </w:rPr>
              <w:t>2.579.592</w:t>
            </w:r>
          </w:p>
        </w:tc>
        <w:tc>
          <w:tcPr>
            <w:tcW w:w="502" w:type="pct"/>
            <w:tcBorders>
              <w:top w:val="nil"/>
              <w:left w:val="nil"/>
              <w:bottom w:val="nil"/>
              <w:right w:val="single" w:sz="8" w:space="0" w:color="BFBFBF"/>
            </w:tcBorders>
            <w:shd w:val="clear" w:color="auto" w:fill="auto"/>
            <w:noWrap/>
            <w:vAlign w:val="bottom"/>
            <w:hideMark/>
          </w:tcPr>
          <w:p w:rsidR="00195BE7" w:rsidRPr="001E2F6E" w:rsidRDefault="00195BE7" w:rsidP="00195BE7">
            <w:pPr>
              <w:spacing w:line="220" w:lineRule="atLeast"/>
              <w:jc w:val="right"/>
              <w:rPr>
                <w:color w:val="000000"/>
                <w:sz w:val="16"/>
                <w:szCs w:val="16"/>
              </w:rPr>
            </w:pPr>
            <w:r w:rsidRPr="001E2F6E">
              <w:rPr>
                <w:color w:val="000000"/>
                <w:sz w:val="16"/>
                <w:szCs w:val="16"/>
              </w:rPr>
              <w:t>61.761</w:t>
            </w:r>
          </w:p>
        </w:tc>
        <w:tc>
          <w:tcPr>
            <w:tcW w:w="607" w:type="pct"/>
            <w:tcBorders>
              <w:top w:val="nil"/>
              <w:left w:val="nil"/>
              <w:bottom w:val="nil"/>
              <w:right w:val="single" w:sz="8" w:space="0" w:color="BFBFBF"/>
            </w:tcBorders>
            <w:shd w:val="clear" w:color="auto" w:fill="auto"/>
            <w:noWrap/>
            <w:vAlign w:val="bottom"/>
            <w:hideMark/>
          </w:tcPr>
          <w:p w:rsidR="00195BE7" w:rsidRPr="001E2F6E" w:rsidRDefault="00195BE7" w:rsidP="00195BE7">
            <w:pPr>
              <w:spacing w:line="220" w:lineRule="atLeast"/>
              <w:jc w:val="right"/>
              <w:rPr>
                <w:color w:val="000000"/>
                <w:sz w:val="16"/>
                <w:szCs w:val="16"/>
              </w:rPr>
            </w:pPr>
            <w:r w:rsidRPr="001E2F6E">
              <w:rPr>
                <w:color w:val="000000"/>
                <w:sz w:val="16"/>
                <w:szCs w:val="16"/>
              </w:rPr>
              <w:t>4.067.689</w:t>
            </w:r>
          </w:p>
        </w:tc>
        <w:tc>
          <w:tcPr>
            <w:tcW w:w="691" w:type="pct"/>
            <w:tcBorders>
              <w:top w:val="nil"/>
              <w:left w:val="nil"/>
              <w:bottom w:val="nil"/>
              <w:right w:val="single" w:sz="8" w:space="0" w:color="BFBFBF"/>
            </w:tcBorders>
            <w:shd w:val="clear" w:color="auto" w:fill="auto"/>
            <w:noWrap/>
            <w:vAlign w:val="bottom"/>
            <w:hideMark/>
          </w:tcPr>
          <w:p w:rsidR="00195BE7" w:rsidRPr="001E2F6E" w:rsidRDefault="00195BE7" w:rsidP="00195BE7">
            <w:pPr>
              <w:spacing w:line="220" w:lineRule="atLeast"/>
              <w:jc w:val="right"/>
              <w:rPr>
                <w:color w:val="000000"/>
                <w:sz w:val="16"/>
                <w:szCs w:val="16"/>
              </w:rPr>
            </w:pPr>
            <w:r w:rsidRPr="001E2F6E">
              <w:rPr>
                <w:color w:val="000000"/>
                <w:sz w:val="16"/>
                <w:szCs w:val="16"/>
              </w:rPr>
              <w:t>-172.120</w:t>
            </w:r>
          </w:p>
        </w:tc>
        <w:tc>
          <w:tcPr>
            <w:tcW w:w="607" w:type="pct"/>
            <w:tcBorders>
              <w:top w:val="nil"/>
              <w:left w:val="nil"/>
              <w:bottom w:val="nil"/>
              <w:right w:val="single" w:sz="8" w:space="0" w:color="BFBFBF"/>
            </w:tcBorders>
            <w:shd w:val="clear" w:color="auto" w:fill="auto"/>
            <w:noWrap/>
            <w:vAlign w:val="bottom"/>
            <w:hideMark/>
          </w:tcPr>
          <w:p w:rsidR="00195BE7" w:rsidRPr="001E2F6E" w:rsidRDefault="00195BE7" w:rsidP="00195BE7">
            <w:pPr>
              <w:spacing w:line="220" w:lineRule="atLeast"/>
              <w:jc w:val="right"/>
              <w:rPr>
                <w:color w:val="000000"/>
                <w:sz w:val="16"/>
                <w:szCs w:val="16"/>
              </w:rPr>
            </w:pPr>
            <w:r w:rsidRPr="001E2F6E">
              <w:rPr>
                <w:color w:val="000000"/>
                <w:sz w:val="16"/>
                <w:szCs w:val="16"/>
              </w:rPr>
              <w:t>-1.377.737</w:t>
            </w:r>
          </w:p>
        </w:tc>
      </w:tr>
      <w:tr w:rsidR="00195BE7" w:rsidRPr="001E2F6E" w:rsidTr="00195BE7">
        <w:tc>
          <w:tcPr>
            <w:tcW w:w="1907" w:type="pct"/>
            <w:tcBorders>
              <w:top w:val="nil"/>
              <w:left w:val="nil"/>
              <w:bottom w:val="nil"/>
              <w:right w:val="single" w:sz="8" w:space="0" w:color="BFBFBF"/>
            </w:tcBorders>
            <w:shd w:val="clear" w:color="auto" w:fill="auto"/>
            <w:vAlign w:val="bottom"/>
            <w:hideMark/>
          </w:tcPr>
          <w:p w:rsidR="00195BE7" w:rsidRPr="001E2F6E" w:rsidRDefault="00195BE7" w:rsidP="00195BE7">
            <w:pPr>
              <w:spacing w:line="220" w:lineRule="exact"/>
              <w:rPr>
                <w:sz w:val="16"/>
                <w:szCs w:val="16"/>
                <w:lang w:val="eu-ES"/>
              </w:rPr>
            </w:pPr>
            <w:r w:rsidRPr="001E2F6E">
              <w:rPr>
                <w:sz w:val="16"/>
                <w:szCs w:val="16"/>
                <w:lang w:val="eu-ES"/>
              </w:rPr>
              <w:t>62 Kanpoko zerbitzuak</w:t>
            </w:r>
          </w:p>
        </w:tc>
        <w:tc>
          <w:tcPr>
            <w:tcW w:w="686" w:type="pct"/>
            <w:tcBorders>
              <w:top w:val="nil"/>
              <w:left w:val="nil"/>
              <w:bottom w:val="nil"/>
              <w:right w:val="single" w:sz="8" w:space="0" w:color="BFBFBF"/>
            </w:tcBorders>
            <w:shd w:val="clear" w:color="auto" w:fill="auto"/>
            <w:noWrap/>
            <w:vAlign w:val="bottom"/>
            <w:hideMark/>
          </w:tcPr>
          <w:p w:rsidR="00195BE7" w:rsidRPr="001E2F6E" w:rsidRDefault="00195BE7" w:rsidP="00195BE7">
            <w:pPr>
              <w:spacing w:line="220" w:lineRule="atLeast"/>
              <w:jc w:val="right"/>
              <w:rPr>
                <w:color w:val="000000"/>
                <w:sz w:val="16"/>
                <w:szCs w:val="16"/>
              </w:rPr>
            </w:pPr>
            <w:r w:rsidRPr="001E2F6E">
              <w:rPr>
                <w:color w:val="000000"/>
                <w:sz w:val="16"/>
                <w:szCs w:val="16"/>
              </w:rPr>
              <w:t>119.201.817</w:t>
            </w:r>
          </w:p>
        </w:tc>
        <w:tc>
          <w:tcPr>
            <w:tcW w:w="502" w:type="pct"/>
            <w:tcBorders>
              <w:top w:val="nil"/>
              <w:left w:val="nil"/>
              <w:bottom w:val="nil"/>
              <w:right w:val="single" w:sz="8" w:space="0" w:color="BFBFBF"/>
            </w:tcBorders>
            <w:shd w:val="clear" w:color="auto" w:fill="auto"/>
            <w:noWrap/>
            <w:vAlign w:val="bottom"/>
            <w:hideMark/>
          </w:tcPr>
          <w:p w:rsidR="00195BE7" w:rsidRPr="001E2F6E" w:rsidRDefault="00195BE7" w:rsidP="00195BE7">
            <w:pPr>
              <w:spacing w:line="220" w:lineRule="atLeast"/>
              <w:jc w:val="right"/>
              <w:rPr>
                <w:color w:val="000000"/>
                <w:sz w:val="16"/>
                <w:szCs w:val="16"/>
              </w:rPr>
            </w:pPr>
            <w:r w:rsidRPr="001E2F6E">
              <w:rPr>
                <w:color w:val="000000"/>
                <w:sz w:val="16"/>
                <w:szCs w:val="16"/>
              </w:rPr>
              <w:t>1.525.752</w:t>
            </w:r>
          </w:p>
        </w:tc>
        <w:tc>
          <w:tcPr>
            <w:tcW w:w="607" w:type="pct"/>
            <w:tcBorders>
              <w:top w:val="nil"/>
              <w:left w:val="nil"/>
              <w:bottom w:val="nil"/>
              <w:right w:val="single" w:sz="8" w:space="0" w:color="BFBFBF"/>
            </w:tcBorders>
            <w:shd w:val="clear" w:color="auto" w:fill="auto"/>
            <w:noWrap/>
            <w:vAlign w:val="bottom"/>
            <w:hideMark/>
          </w:tcPr>
          <w:p w:rsidR="00195BE7" w:rsidRPr="001E2F6E" w:rsidRDefault="00195BE7" w:rsidP="00195BE7">
            <w:pPr>
              <w:spacing w:line="220" w:lineRule="atLeast"/>
              <w:jc w:val="right"/>
              <w:rPr>
                <w:color w:val="000000"/>
                <w:sz w:val="16"/>
                <w:szCs w:val="16"/>
              </w:rPr>
            </w:pPr>
            <w:r w:rsidRPr="001E2F6E">
              <w:rPr>
                <w:color w:val="000000"/>
                <w:sz w:val="16"/>
                <w:szCs w:val="16"/>
              </w:rPr>
              <w:t>54.987.866</w:t>
            </w:r>
          </w:p>
        </w:tc>
        <w:tc>
          <w:tcPr>
            <w:tcW w:w="691" w:type="pct"/>
            <w:tcBorders>
              <w:top w:val="nil"/>
              <w:left w:val="nil"/>
              <w:bottom w:val="nil"/>
              <w:right w:val="single" w:sz="8" w:space="0" w:color="BFBFBF"/>
            </w:tcBorders>
            <w:shd w:val="clear" w:color="auto" w:fill="auto"/>
            <w:noWrap/>
            <w:vAlign w:val="bottom"/>
            <w:hideMark/>
          </w:tcPr>
          <w:p w:rsidR="00195BE7" w:rsidRPr="001E2F6E" w:rsidRDefault="00195BE7" w:rsidP="00195BE7">
            <w:pPr>
              <w:spacing w:line="220" w:lineRule="atLeast"/>
              <w:jc w:val="right"/>
              <w:rPr>
                <w:color w:val="000000"/>
                <w:sz w:val="16"/>
                <w:szCs w:val="16"/>
              </w:rPr>
            </w:pPr>
            <w:r w:rsidRPr="001E2F6E">
              <w:rPr>
                <w:color w:val="000000"/>
                <w:sz w:val="16"/>
                <w:szCs w:val="16"/>
              </w:rPr>
              <w:t>3.107.751</w:t>
            </w:r>
          </w:p>
        </w:tc>
        <w:tc>
          <w:tcPr>
            <w:tcW w:w="607" w:type="pct"/>
            <w:tcBorders>
              <w:top w:val="nil"/>
              <w:left w:val="nil"/>
              <w:bottom w:val="nil"/>
              <w:right w:val="single" w:sz="8" w:space="0" w:color="BFBFBF"/>
            </w:tcBorders>
            <w:shd w:val="clear" w:color="auto" w:fill="auto"/>
            <w:noWrap/>
            <w:vAlign w:val="bottom"/>
            <w:hideMark/>
          </w:tcPr>
          <w:p w:rsidR="00195BE7" w:rsidRPr="001E2F6E" w:rsidRDefault="00195BE7" w:rsidP="00195BE7">
            <w:pPr>
              <w:spacing w:line="220" w:lineRule="atLeast"/>
              <w:jc w:val="right"/>
              <w:rPr>
                <w:color w:val="000000"/>
                <w:sz w:val="16"/>
                <w:szCs w:val="16"/>
              </w:rPr>
            </w:pPr>
            <w:r w:rsidRPr="001E2F6E">
              <w:rPr>
                <w:color w:val="000000"/>
                <w:sz w:val="16"/>
                <w:szCs w:val="16"/>
              </w:rPr>
              <w:t>59.580.448</w:t>
            </w:r>
          </w:p>
        </w:tc>
      </w:tr>
      <w:tr w:rsidR="00195BE7" w:rsidRPr="001E2F6E" w:rsidTr="00195BE7">
        <w:tc>
          <w:tcPr>
            <w:tcW w:w="1907" w:type="pct"/>
            <w:tcBorders>
              <w:top w:val="nil"/>
              <w:left w:val="nil"/>
              <w:bottom w:val="nil"/>
              <w:right w:val="single" w:sz="8" w:space="0" w:color="BFBFBF"/>
            </w:tcBorders>
            <w:shd w:val="clear" w:color="auto" w:fill="auto"/>
            <w:vAlign w:val="bottom"/>
            <w:hideMark/>
          </w:tcPr>
          <w:p w:rsidR="00195BE7" w:rsidRPr="001E2F6E" w:rsidRDefault="00195BE7" w:rsidP="00195BE7">
            <w:pPr>
              <w:spacing w:line="220" w:lineRule="exact"/>
              <w:rPr>
                <w:sz w:val="16"/>
                <w:szCs w:val="16"/>
                <w:lang w:val="eu-ES"/>
              </w:rPr>
            </w:pPr>
            <w:r w:rsidRPr="001E2F6E">
              <w:rPr>
                <w:sz w:val="16"/>
                <w:szCs w:val="16"/>
                <w:lang w:val="eu-ES"/>
              </w:rPr>
              <w:t>63 Jarduerari lotutako zergak</w:t>
            </w:r>
          </w:p>
        </w:tc>
        <w:tc>
          <w:tcPr>
            <w:tcW w:w="686" w:type="pct"/>
            <w:tcBorders>
              <w:top w:val="nil"/>
              <w:left w:val="nil"/>
              <w:bottom w:val="nil"/>
              <w:right w:val="single" w:sz="8" w:space="0" w:color="BFBFBF"/>
            </w:tcBorders>
            <w:shd w:val="clear" w:color="auto" w:fill="auto"/>
            <w:noWrap/>
            <w:vAlign w:val="bottom"/>
            <w:hideMark/>
          </w:tcPr>
          <w:p w:rsidR="00195BE7" w:rsidRPr="001E2F6E" w:rsidRDefault="00195BE7" w:rsidP="00195BE7">
            <w:pPr>
              <w:spacing w:line="220" w:lineRule="atLeast"/>
              <w:jc w:val="right"/>
              <w:rPr>
                <w:color w:val="000000"/>
                <w:sz w:val="16"/>
                <w:szCs w:val="16"/>
              </w:rPr>
            </w:pPr>
            <w:r w:rsidRPr="001E2F6E">
              <w:rPr>
                <w:color w:val="000000"/>
                <w:sz w:val="16"/>
                <w:szCs w:val="16"/>
              </w:rPr>
              <w:t>-12.323.658</w:t>
            </w:r>
          </w:p>
        </w:tc>
        <w:tc>
          <w:tcPr>
            <w:tcW w:w="502" w:type="pct"/>
            <w:tcBorders>
              <w:top w:val="nil"/>
              <w:left w:val="nil"/>
              <w:bottom w:val="nil"/>
              <w:right w:val="single" w:sz="8" w:space="0" w:color="BFBFBF"/>
            </w:tcBorders>
            <w:shd w:val="clear" w:color="auto" w:fill="auto"/>
            <w:noWrap/>
            <w:vAlign w:val="bottom"/>
            <w:hideMark/>
          </w:tcPr>
          <w:p w:rsidR="00195BE7" w:rsidRPr="001E2F6E" w:rsidRDefault="00195BE7" w:rsidP="00195BE7">
            <w:pPr>
              <w:spacing w:line="220" w:lineRule="atLeast"/>
              <w:jc w:val="right"/>
              <w:rPr>
                <w:color w:val="000000"/>
                <w:sz w:val="16"/>
                <w:szCs w:val="16"/>
              </w:rPr>
            </w:pPr>
            <w:r w:rsidRPr="001E2F6E">
              <w:rPr>
                <w:color w:val="000000"/>
                <w:sz w:val="16"/>
                <w:szCs w:val="16"/>
              </w:rPr>
              <w:t>14.373</w:t>
            </w:r>
          </w:p>
        </w:tc>
        <w:tc>
          <w:tcPr>
            <w:tcW w:w="607" w:type="pct"/>
            <w:tcBorders>
              <w:top w:val="nil"/>
              <w:left w:val="nil"/>
              <w:bottom w:val="nil"/>
              <w:right w:val="single" w:sz="8" w:space="0" w:color="BFBFBF"/>
            </w:tcBorders>
            <w:shd w:val="clear" w:color="auto" w:fill="auto"/>
            <w:noWrap/>
            <w:vAlign w:val="bottom"/>
            <w:hideMark/>
          </w:tcPr>
          <w:p w:rsidR="00195BE7" w:rsidRPr="001E2F6E" w:rsidRDefault="00195BE7" w:rsidP="00195BE7">
            <w:pPr>
              <w:spacing w:line="220" w:lineRule="atLeast"/>
              <w:jc w:val="right"/>
              <w:rPr>
                <w:color w:val="000000"/>
                <w:sz w:val="16"/>
                <w:szCs w:val="16"/>
              </w:rPr>
            </w:pPr>
            <w:r w:rsidRPr="001E2F6E">
              <w:rPr>
                <w:color w:val="000000"/>
                <w:sz w:val="16"/>
                <w:szCs w:val="16"/>
              </w:rPr>
              <w:t>-1.290.940</w:t>
            </w:r>
          </w:p>
        </w:tc>
        <w:tc>
          <w:tcPr>
            <w:tcW w:w="691" w:type="pct"/>
            <w:tcBorders>
              <w:top w:val="nil"/>
              <w:left w:val="nil"/>
              <w:bottom w:val="nil"/>
              <w:right w:val="single" w:sz="8" w:space="0" w:color="BFBFBF"/>
            </w:tcBorders>
            <w:shd w:val="clear" w:color="auto" w:fill="auto"/>
            <w:noWrap/>
            <w:vAlign w:val="bottom"/>
            <w:hideMark/>
          </w:tcPr>
          <w:p w:rsidR="00195BE7" w:rsidRPr="001E2F6E" w:rsidRDefault="00195BE7" w:rsidP="00195BE7">
            <w:pPr>
              <w:spacing w:line="220" w:lineRule="atLeast"/>
              <w:jc w:val="right"/>
              <w:rPr>
                <w:color w:val="000000"/>
                <w:sz w:val="16"/>
                <w:szCs w:val="16"/>
              </w:rPr>
            </w:pPr>
            <w:r w:rsidRPr="001E2F6E">
              <w:rPr>
                <w:color w:val="000000"/>
                <w:sz w:val="16"/>
                <w:szCs w:val="16"/>
              </w:rPr>
              <w:t>607.987</w:t>
            </w:r>
          </w:p>
        </w:tc>
        <w:tc>
          <w:tcPr>
            <w:tcW w:w="607" w:type="pct"/>
            <w:tcBorders>
              <w:top w:val="nil"/>
              <w:left w:val="nil"/>
              <w:bottom w:val="nil"/>
              <w:right w:val="single" w:sz="8" w:space="0" w:color="BFBFBF"/>
            </w:tcBorders>
            <w:shd w:val="clear" w:color="auto" w:fill="auto"/>
            <w:noWrap/>
            <w:vAlign w:val="bottom"/>
            <w:hideMark/>
          </w:tcPr>
          <w:p w:rsidR="00195BE7" w:rsidRPr="001E2F6E" w:rsidRDefault="00195BE7" w:rsidP="00195BE7">
            <w:pPr>
              <w:spacing w:line="220" w:lineRule="atLeast"/>
              <w:jc w:val="right"/>
              <w:rPr>
                <w:color w:val="000000"/>
                <w:sz w:val="16"/>
                <w:szCs w:val="16"/>
              </w:rPr>
            </w:pPr>
            <w:r w:rsidRPr="001E2F6E">
              <w:rPr>
                <w:color w:val="000000"/>
                <w:sz w:val="16"/>
                <w:szCs w:val="16"/>
              </w:rPr>
              <w:t>-11.655.078</w:t>
            </w:r>
          </w:p>
        </w:tc>
      </w:tr>
      <w:tr w:rsidR="00195BE7" w:rsidRPr="001E2F6E" w:rsidTr="00195BE7">
        <w:tc>
          <w:tcPr>
            <w:tcW w:w="1907" w:type="pct"/>
            <w:tcBorders>
              <w:top w:val="nil"/>
              <w:left w:val="nil"/>
              <w:bottom w:val="nil"/>
              <w:right w:val="single" w:sz="8" w:space="0" w:color="BFBFBF"/>
            </w:tcBorders>
            <w:shd w:val="clear" w:color="auto" w:fill="auto"/>
            <w:vAlign w:val="bottom"/>
            <w:hideMark/>
          </w:tcPr>
          <w:p w:rsidR="00195BE7" w:rsidRPr="001E2F6E" w:rsidRDefault="00195BE7" w:rsidP="00195BE7">
            <w:pPr>
              <w:spacing w:line="220" w:lineRule="exact"/>
              <w:rPr>
                <w:sz w:val="16"/>
                <w:szCs w:val="16"/>
                <w:lang w:val="eu-ES"/>
              </w:rPr>
            </w:pPr>
            <w:r w:rsidRPr="001E2F6E">
              <w:rPr>
                <w:sz w:val="16"/>
                <w:szCs w:val="16"/>
                <w:lang w:val="eu-ES"/>
              </w:rPr>
              <w:t>64 Pertsonal-gastuak</w:t>
            </w:r>
          </w:p>
        </w:tc>
        <w:tc>
          <w:tcPr>
            <w:tcW w:w="686" w:type="pct"/>
            <w:tcBorders>
              <w:top w:val="nil"/>
              <w:left w:val="nil"/>
              <w:bottom w:val="nil"/>
              <w:right w:val="single" w:sz="8" w:space="0" w:color="BFBFBF"/>
            </w:tcBorders>
            <w:shd w:val="clear" w:color="auto" w:fill="auto"/>
            <w:noWrap/>
            <w:vAlign w:val="bottom"/>
            <w:hideMark/>
          </w:tcPr>
          <w:p w:rsidR="00195BE7" w:rsidRPr="001E2F6E" w:rsidRDefault="00195BE7" w:rsidP="00195BE7">
            <w:pPr>
              <w:spacing w:line="220" w:lineRule="atLeast"/>
              <w:jc w:val="right"/>
              <w:rPr>
                <w:color w:val="000000"/>
                <w:sz w:val="16"/>
                <w:szCs w:val="16"/>
              </w:rPr>
            </w:pPr>
            <w:r w:rsidRPr="001E2F6E">
              <w:rPr>
                <w:color w:val="000000"/>
                <w:sz w:val="16"/>
                <w:szCs w:val="16"/>
              </w:rPr>
              <w:t>200.273.250</w:t>
            </w:r>
          </w:p>
        </w:tc>
        <w:tc>
          <w:tcPr>
            <w:tcW w:w="502" w:type="pct"/>
            <w:tcBorders>
              <w:top w:val="nil"/>
              <w:left w:val="nil"/>
              <w:bottom w:val="nil"/>
              <w:right w:val="single" w:sz="8" w:space="0" w:color="BFBFBF"/>
            </w:tcBorders>
            <w:shd w:val="clear" w:color="auto" w:fill="auto"/>
            <w:noWrap/>
            <w:vAlign w:val="bottom"/>
            <w:hideMark/>
          </w:tcPr>
          <w:p w:rsidR="00195BE7" w:rsidRPr="001E2F6E" w:rsidRDefault="00195BE7" w:rsidP="00195BE7">
            <w:pPr>
              <w:spacing w:line="220" w:lineRule="atLeast"/>
              <w:jc w:val="right"/>
              <w:rPr>
                <w:color w:val="000000"/>
                <w:sz w:val="16"/>
                <w:szCs w:val="16"/>
              </w:rPr>
            </w:pPr>
            <w:r w:rsidRPr="001E2F6E">
              <w:rPr>
                <w:color w:val="000000"/>
                <w:sz w:val="16"/>
                <w:szCs w:val="16"/>
              </w:rPr>
              <w:t>1.627.553</w:t>
            </w:r>
          </w:p>
        </w:tc>
        <w:tc>
          <w:tcPr>
            <w:tcW w:w="607" w:type="pct"/>
            <w:tcBorders>
              <w:top w:val="nil"/>
              <w:left w:val="nil"/>
              <w:bottom w:val="nil"/>
              <w:right w:val="single" w:sz="8" w:space="0" w:color="BFBFBF"/>
            </w:tcBorders>
            <w:shd w:val="clear" w:color="auto" w:fill="auto"/>
            <w:noWrap/>
            <w:vAlign w:val="bottom"/>
            <w:hideMark/>
          </w:tcPr>
          <w:p w:rsidR="00195BE7" w:rsidRPr="001E2F6E" w:rsidRDefault="00195BE7" w:rsidP="00195BE7">
            <w:pPr>
              <w:spacing w:line="220" w:lineRule="atLeast"/>
              <w:jc w:val="right"/>
              <w:rPr>
                <w:color w:val="000000"/>
                <w:sz w:val="16"/>
                <w:szCs w:val="16"/>
              </w:rPr>
            </w:pPr>
            <w:r w:rsidRPr="001E2F6E">
              <w:rPr>
                <w:color w:val="000000"/>
                <w:sz w:val="16"/>
                <w:szCs w:val="16"/>
              </w:rPr>
              <w:t>84.516.573</w:t>
            </w:r>
          </w:p>
        </w:tc>
        <w:tc>
          <w:tcPr>
            <w:tcW w:w="691" w:type="pct"/>
            <w:tcBorders>
              <w:top w:val="nil"/>
              <w:left w:val="nil"/>
              <w:bottom w:val="nil"/>
              <w:right w:val="single" w:sz="8" w:space="0" w:color="BFBFBF"/>
            </w:tcBorders>
            <w:shd w:val="clear" w:color="auto" w:fill="auto"/>
            <w:noWrap/>
            <w:vAlign w:val="bottom"/>
            <w:hideMark/>
          </w:tcPr>
          <w:p w:rsidR="00195BE7" w:rsidRPr="001E2F6E" w:rsidRDefault="00195BE7" w:rsidP="00195BE7">
            <w:pPr>
              <w:spacing w:line="220" w:lineRule="atLeast"/>
              <w:jc w:val="right"/>
              <w:rPr>
                <w:color w:val="000000"/>
                <w:sz w:val="16"/>
                <w:szCs w:val="16"/>
              </w:rPr>
            </w:pPr>
            <w:r w:rsidRPr="001E2F6E">
              <w:rPr>
                <w:color w:val="000000"/>
                <w:sz w:val="16"/>
                <w:szCs w:val="16"/>
              </w:rPr>
              <w:t>9.219.170</w:t>
            </w:r>
          </w:p>
        </w:tc>
        <w:tc>
          <w:tcPr>
            <w:tcW w:w="607" w:type="pct"/>
            <w:tcBorders>
              <w:top w:val="nil"/>
              <w:left w:val="nil"/>
              <w:bottom w:val="nil"/>
              <w:right w:val="single" w:sz="8" w:space="0" w:color="BFBFBF"/>
            </w:tcBorders>
            <w:shd w:val="clear" w:color="auto" w:fill="auto"/>
            <w:noWrap/>
            <w:vAlign w:val="bottom"/>
            <w:hideMark/>
          </w:tcPr>
          <w:p w:rsidR="00195BE7" w:rsidRPr="001E2F6E" w:rsidRDefault="00195BE7" w:rsidP="00195BE7">
            <w:pPr>
              <w:spacing w:line="220" w:lineRule="atLeast"/>
              <w:jc w:val="right"/>
              <w:rPr>
                <w:color w:val="000000"/>
                <w:sz w:val="16"/>
                <w:szCs w:val="16"/>
              </w:rPr>
            </w:pPr>
            <w:r w:rsidRPr="001E2F6E">
              <w:rPr>
                <w:color w:val="000000"/>
                <w:sz w:val="16"/>
                <w:szCs w:val="16"/>
              </w:rPr>
              <w:t>104.909.954</w:t>
            </w:r>
          </w:p>
        </w:tc>
      </w:tr>
      <w:tr w:rsidR="00195BE7" w:rsidRPr="001E2F6E" w:rsidTr="00195BE7">
        <w:tc>
          <w:tcPr>
            <w:tcW w:w="1907" w:type="pct"/>
            <w:tcBorders>
              <w:top w:val="nil"/>
              <w:left w:val="nil"/>
              <w:bottom w:val="nil"/>
              <w:right w:val="single" w:sz="8" w:space="0" w:color="BFBFBF"/>
            </w:tcBorders>
            <w:shd w:val="clear" w:color="auto" w:fill="auto"/>
            <w:vAlign w:val="bottom"/>
            <w:hideMark/>
          </w:tcPr>
          <w:p w:rsidR="00195BE7" w:rsidRPr="001E2F6E" w:rsidRDefault="00195BE7" w:rsidP="00195BE7">
            <w:pPr>
              <w:spacing w:line="220" w:lineRule="exact"/>
              <w:rPr>
                <w:sz w:val="16"/>
                <w:szCs w:val="16"/>
                <w:lang w:val="eu-ES"/>
              </w:rPr>
            </w:pPr>
            <w:r w:rsidRPr="001E2F6E">
              <w:rPr>
                <w:sz w:val="16"/>
                <w:szCs w:val="16"/>
                <w:lang w:val="eu-ES"/>
              </w:rPr>
              <w:t>65 Kudeaketa-gastuak</w:t>
            </w:r>
          </w:p>
        </w:tc>
        <w:tc>
          <w:tcPr>
            <w:tcW w:w="686" w:type="pct"/>
            <w:tcBorders>
              <w:top w:val="nil"/>
              <w:left w:val="nil"/>
              <w:bottom w:val="nil"/>
              <w:right w:val="single" w:sz="8" w:space="0" w:color="BFBFBF"/>
            </w:tcBorders>
            <w:shd w:val="clear" w:color="auto" w:fill="auto"/>
            <w:noWrap/>
            <w:vAlign w:val="bottom"/>
            <w:hideMark/>
          </w:tcPr>
          <w:p w:rsidR="00195BE7" w:rsidRPr="001E2F6E" w:rsidRDefault="00195BE7" w:rsidP="00195BE7">
            <w:pPr>
              <w:spacing w:line="220" w:lineRule="atLeast"/>
              <w:jc w:val="right"/>
              <w:rPr>
                <w:color w:val="000000"/>
                <w:sz w:val="16"/>
                <w:szCs w:val="16"/>
              </w:rPr>
            </w:pPr>
            <w:r w:rsidRPr="001E2F6E">
              <w:rPr>
                <w:color w:val="000000"/>
                <w:sz w:val="16"/>
                <w:szCs w:val="16"/>
              </w:rPr>
              <w:t>79.946.685</w:t>
            </w:r>
          </w:p>
        </w:tc>
        <w:tc>
          <w:tcPr>
            <w:tcW w:w="502" w:type="pct"/>
            <w:tcBorders>
              <w:top w:val="nil"/>
              <w:left w:val="nil"/>
              <w:bottom w:val="nil"/>
              <w:right w:val="single" w:sz="8" w:space="0" w:color="BFBFBF"/>
            </w:tcBorders>
            <w:shd w:val="clear" w:color="auto" w:fill="auto"/>
            <w:noWrap/>
            <w:vAlign w:val="bottom"/>
            <w:hideMark/>
          </w:tcPr>
          <w:p w:rsidR="00195BE7" w:rsidRPr="001E2F6E" w:rsidRDefault="00195BE7" w:rsidP="00195BE7">
            <w:pPr>
              <w:spacing w:line="220" w:lineRule="atLeast"/>
              <w:jc w:val="right"/>
              <w:rPr>
                <w:color w:val="000000"/>
                <w:sz w:val="16"/>
                <w:szCs w:val="16"/>
              </w:rPr>
            </w:pPr>
            <w:r w:rsidRPr="001E2F6E">
              <w:rPr>
                <w:color w:val="000000"/>
                <w:sz w:val="16"/>
                <w:szCs w:val="16"/>
              </w:rPr>
              <w:t>86.707</w:t>
            </w:r>
          </w:p>
        </w:tc>
        <w:tc>
          <w:tcPr>
            <w:tcW w:w="607" w:type="pct"/>
            <w:tcBorders>
              <w:top w:val="nil"/>
              <w:left w:val="nil"/>
              <w:bottom w:val="nil"/>
              <w:right w:val="single" w:sz="8" w:space="0" w:color="BFBFBF"/>
            </w:tcBorders>
            <w:shd w:val="clear" w:color="auto" w:fill="auto"/>
            <w:noWrap/>
            <w:vAlign w:val="bottom"/>
            <w:hideMark/>
          </w:tcPr>
          <w:p w:rsidR="00195BE7" w:rsidRPr="001E2F6E" w:rsidRDefault="00195BE7" w:rsidP="00195BE7">
            <w:pPr>
              <w:spacing w:line="220" w:lineRule="atLeast"/>
              <w:jc w:val="right"/>
              <w:rPr>
                <w:color w:val="000000"/>
                <w:sz w:val="16"/>
                <w:szCs w:val="16"/>
              </w:rPr>
            </w:pPr>
            <w:r w:rsidRPr="001E2F6E">
              <w:rPr>
                <w:color w:val="000000"/>
                <w:sz w:val="16"/>
                <w:szCs w:val="16"/>
              </w:rPr>
              <w:t>3.029.712</w:t>
            </w:r>
          </w:p>
        </w:tc>
        <w:tc>
          <w:tcPr>
            <w:tcW w:w="691" w:type="pct"/>
            <w:tcBorders>
              <w:top w:val="nil"/>
              <w:left w:val="nil"/>
              <w:bottom w:val="nil"/>
              <w:right w:val="single" w:sz="8" w:space="0" w:color="BFBFBF"/>
            </w:tcBorders>
            <w:shd w:val="clear" w:color="auto" w:fill="auto"/>
            <w:noWrap/>
            <w:vAlign w:val="bottom"/>
            <w:hideMark/>
          </w:tcPr>
          <w:p w:rsidR="00195BE7" w:rsidRPr="001E2F6E" w:rsidRDefault="00195BE7" w:rsidP="00195BE7">
            <w:pPr>
              <w:spacing w:line="220" w:lineRule="atLeast"/>
              <w:jc w:val="right"/>
              <w:rPr>
                <w:color w:val="000000"/>
                <w:sz w:val="16"/>
                <w:szCs w:val="16"/>
              </w:rPr>
            </w:pPr>
            <w:r w:rsidRPr="001E2F6E">
              <w:rPr>
                <w:color w:val="000000"/>
                <w:sz w:val="16"/>
                <w:szCs w:val="16"/>
              </w:rPr>
              <w:t>167.618</w:t>
            </w:r>
          </w:p>
        </w:tc>
        <w:tc>
          <w:tcPr>
            <w:tcW w:w="607" w:type="pct"/>
            <w:tcBorders>
              <w:top w:val="nil"/>
              <w:left w:val="nil"/>
              <w:bottom w:val="nil"/>
              <w:right w:val="single" w:sz="8" w:space="0" w:color="BFBFBF"/>
            </w:tcBorders>
            <w:shd w:val="clear" w:color="auto" w:fill="auto"/>
            <w:noWrap/>
            <w:vAlign w:val="bottom"/>
            <w:hideMark/>
          </w:tcPr>
          <w:p w:rsidR="00195BE7" w:rsidRPr="001E2F6E" w:rsidRDefault="00195BE7" w:rsidP="00195BE7">
            <w:pPr>
              <w:spacing w:line="220" w:lineRule="atLeast"/>
              <w:jc w:val="right"/>
              <w:rPr>
                <w:color w:val="000000"/>
                <w:sz w:val="16"/>
                <w:szCs w:val="16"/>
              </w:rPr>
            </w:pPr>
            <w:r w:rsidRPr="001E2F6E">
              <w:rPr>
                <w:color w:val="000000"/>
                <w:sz w:val="16"/>
                <w:szCs w:val="16"/>
              </w:rPr>
              <w:t>76.662.648</w:t>
            </w:r>
          </w:p>
        </w:tc>
      </w:tr>
      <w:tr w:rsidR="00195BE7" w:rsidRPr="001E2F6E" w:rsidTr="00195BE7">
        <w:tc>
          <w:tcPr>
            <w:tcW w:w="1907" w:type="pct"/>
            <w:tcBorders>
              <w:top w:val="nil"/>
              <w:left w:val="nil"/>
              <w:bottom w:val="nil"/>
              <w:right w:val="single" w:sz="8" w:space="0" w:color="BFBFBF"/>
            </w:tcBorders>
            <w:shd w:val="clear" w:color="auto" w:fill="auto"/>
            <w:vAlign w:val="bottom"/>
            <w:hideMark/>
          </w:tcPr>
          <w:p w:rsidR="00195BE7" w:rsidRPr="001E2F6E" w:rsidRDefault="00195BE7" w:rsidP="00195BE7">
            <w:pPr>
              <w:spacing w:line="220" w:lineRule="exact"/>
              <w:rPr>
                <w:sz w:val="16"/>
                <w:szCs w:val="16"/>
                <w:lang w:val="eu-ES"/>
              </w:rPr>
            </w:pPr>
            <w:r w:rsidRPr="001E2F6E">
              <w:rPr>
                <w:sz w:val="16"/>
                <w:szCs w:val="16"/>
                <w:lang w:val="eu-ES"/>
              </w:rPr>
              <w:t>66 Finantza-gastuak</w:t>
            </w:r>
          </w:p>
        </w:tc>
        <w:tc>
          <w:tcPr>
            <w:tcW w:w="686" w:type="pct"/>
            <w:tcBorders>
              <w:top w:val="nil"/>
              <w:left w:val="nil"/>
              <w:bottom w:val="nil"/>
              <w:right w:val="single" w:sz="8" w:space="0" w:color="BFBFBF"/>
            </w:tcBorders>
            <w:shd w:val="clear" w:color="auto" w:fill="auto"/>
            <w:noWrap/>
            <w:vAlign w:val="bottom"/>
            <w:hideMark/>
          </w:tcPr>
          <w:p w:rsidR="00195BE7" w:rsidRPr="001E2F6E" w:rsidRDefault="00195BE7" w:rsidP="00195BE7">
            <w:pPr>
              <w:spacing w:line="220" w:lineRule="atLeast"/>
              <w:jc w:val="right"/>
              <w:rPr>
                <w:color w:val="000000"/>
                <w:sz w:val="16"/>
                <w:szCs w:val="16"/>
              </w:rPr>
            </w:pPr>
            <w:r w:rsidRPr="001E2F6E">
              <w:rPr>
                <w:color w:val="000000"/>
                <w:sz w:val="16"/>
                <w:szCs w:val="16"/>
              </w:rPr>
              <w:t>23.582.485</w:t>
            </w:r>
          </w:p>
        </w:tc>
        <w:tc>
          <w:tcPr>
            <w:tcW w:w="502" w:type="pct"/>
            <w:tcBorders>
              <w:top w:val="nil"/>
              <w:left w:val="nil"/>
              <w:bottom w:val="nil"/>
              <w:right w:val="single" w:sz="8" w:space="0" w:color="BFBFBF"/>
            </w:tcBorders>
            <w:shd w:val="clear" w:color="auto" w:fill="auto"/>
            <w:noWrap/>
            <w:vAlign w:val="bottom"/>
            <w:hideMark/>
          </w:tcPr>
          <w:p w:rsidR="00195BE7" w:rsidRPr="001E2F6E" w:rsidRDefault="00195BE7" w:rsidP="00195BE7">
            <w:pPr>
              <w:spacing w:line="220" w:lineRule="atLeast"/>
              <w:jc w:val="right"/>
              <w:rPr>
                <w:color w:val="000000"/>
                <w:sz w:val="16"/>
                <w:szCs w:val="16"/>
              </w:rPr>
            </w:pPr>
            <w:r w:rsidRPr="001E2F6E">
              <w:rPr>
                <w:color w:val="000000"/>
                <w:sz w:val="16"/>
                <w:szCs w:val="16"/>
              </w:rPr>
              <w:t>96.629</w:t>
            </w:r>
          </w:p>
        </w:tc>
        <w:tc>
          <w:tcPr>
            <w:tcW w:w="607" w:type="pct"/>
            <w:tcBorders>
              <w:top w:val="nil"/>
              <w:left w:val="nil"/>
              <w:bottom w:val="nil"/>
              <w:right w:val="single" w:sz="8" w:space="0" w:color="BFBFBF"/>
            </w:tcBorders>
            <w:shd w:val="clear" w:color="auto" w:fill="auto"/>
            <w:noWrap/>
            <w:vAlign w:val="bottom"/>
            <w:hideMark/>
          </w:tcPr>
          <w:p w:rsidR="00195BE7" w:rsidRPr="001E2F6E" w:rsidRDefault="00195BE7" w:rsidP="00195BE7">
            <w:pPr>
              <w:spacing w:line="220" w:lineRule="atLeast"/>
              <w:jc w:val="right"/>
              <w:rPr>
                <w:color w:val="000000"/>
                <w:sz w:val="16"/>
                <w:szCs w:val="16"/>
              </w:rPr>
            </w:pPr>
            <w:r w:rsidRPr="001E2F6E">
              <w:rPr>
                <w:color w:val="000000"/>
                <w:sz w:val="16"/>
                <w:szCs w:val="16"/>
              </w:rPr>
              <w:t>8.348.799</w:t>
            </w:r>
          </w:p>
        </w:tc>
        <w:tc>
          <w:tcPr>
            <w:tcW w:w="691" w:type="pct"/>
            <w:tcBorders>
              <w:top w:val="nil"/>
              <w:left w:val="nil"/>
              <w:bottom w:val="nil"/>
              <w:right w:val="single" w:sz="8" w:space="0" w:color="BFBFBF"/>
            </w:tcBorders>
            <w:shd w:val="clear" w:color="auto" w:fill="auto"/>
            <w:noWrap/>
            <w:vAlign w:val="bottom"/>
            <w:hideMark/>
          </w:tcPr>
          <w:p w:rsidR="00195BE7" w:rsidRPr="001E2F6E" w:rsidRDefault="00195BE7" w:rsidP="00195BE7">
            <w:pPr>
              <w:spacing w:line="220" w:lineRule="atLeast"/>
              <w:jc w:val="right"/>
              <w:rPr>
                <w:color w:val="000000"/>
                <w:sz w:val="16"/>
                <w:szCs w:val="16"/>
              </w:rPr>
            </w:pPr>
            <w:r w:rsidRPr="001E2F6E">
              <w:rPr>
                <w:color w:val="000000"/>
                <w:sz w:val="16"/>
                <w:szCs w:val="16"/>
              </w:rPr>
              <w:t>601.464</w:t>
            </w:r>
          </w:p>
        </w:tc>
        <w:tc>
          <w:tcPr>
            <w:tcW w:w="607" w:type="pct"/>
            <w:tcBorders>
              <w:top w:val="nil"/>
              <w:left w:val="nil"/>
              <w:bottom w:val="nil"/>
              <w:right w:val="single" w:sz="8" w:space="0" w:color="BFBFBF"/>
            </w:tcBorders>
            <w:shd w:val="clear" w:color="auto" w:fill="auto"/>
            <w:noWrap/>
            <w:vAlign w:val="bottom"/>
            <w:hideMark/>
          </w:tcPr>
          <w:p w:rsidR="00195BE7" w:rsidRPr="001E2F6E" w:rsidRDefault="00195BE7" w:rsidP="00195BE7">
            <w:pPr>
              <w:spacing w:line="220" w:lineRule="atLeast"/>
              <w:jc w:val="right"/>
              <w:rPr>
                <w:color w:val="000000"/>
                <w:sz w:val="16"/>
                <w:szCs w:val="16"/>
              </w:rPr>
            </w:pPr>
            <w:r w:rsidRPr="001E2F6E">
              <w:rPr>
                <w:color w:val="000000"/>
                <w:sz w:val="16"/>
                <w:szCs w:val="16"/>
              </w:rPr>
              <w:t>14.535.593</w:t>
            </w:r>
          </w:p>
        </w:tc>
      </w:tr>
      <w:tr w:rsidR="00195BE7" w:rsidRPr="001E2F6E" w:rsidTr="00195BE7">
        <w:tc>
          <w:tcPr>
            <w:tcW w:w="1907" w:type="pct"/>
            <w:tcBorders>
              <w:top w:val="nil"/>
              <w:left w:val="nil"/>
              <w:bottom w:val="nil"/>
              <w:right w:val="single" w:sz="8" w:space="0" w:color="BFBFBF"/>
            </w:tcBorders>
            <w:shd w:val="clear" w:color="auto" w:fill="auto"/>
            <w:vAlign w:val="bottom"/>
            <w:hideMark/>
          </w:tcPr>
          <w:p w:rsidR="00195BE7" w:rsidRPr="001E2F6E" w:rsidRDefault="00195BE7" w:rsidP="00195BE7">
            <w:pPr>
              <w:spacing w:line="220" w:lineRule="exact"/>
              <w:rPr>
                <w:sz w:val="16"/>
                <w:szCs w:val="16"/>
                <w:lang w:val="eu-ES"/>
              </w:rPr>
            </w:pPr>
            <w:r w:rsidRPr="001E2F6E">
              <w:rPr>
                <w:sz w:val="16"/>
                <w:szCs w:val="16"/>
                <w:lang w:val="eu-ES"/>
              </w:rPr>
              <w:t>67 Ezohiko gastuak</w:t>
            </w:r>
          </w:p>
        </w:tc>
        <w:tc>
          <w:tcPr>
            <w:tcW w:w="686" w:type="pct"/>
            <w:tcBorders>
              <w:top w:val="nil"/>
              <w:left w:val="nil"/>
              <w:bottom w:val="nil"/>
              <w:right w:val="single" w:sz="8" w:space="0" w:color="BFBFBF"/>
            </w:tcBorders>
            <w:shd w:val="clear" w:color="auto" w:fill="auto"/>
            <w:noWrap/>
            <w:vAlign w:val="bottom"/>
            <w:hideMark/>
          </w:tcPr>
          <w:p w:rsidR="00195BE7" w:rsidRPr="001E2F6E" w:rsidRDefault="00195BE7" w:rsidP="00195BE7">
            <w:pPr>
              <w:spacing w:line="220" w:lineRule="atLeast"/>
              <w:jc w:val="right"/>
              <w:rPr>
                <w:color w:val="000000"/>
                <w:sz w:val="16"/>
                <w:szCs w:val="16"/>
              </w:rPr>
            </w:pPr>
            <w:r w:rsidRPr="001E2F6E">
              <w:rPr>
                <w:color w:val="000000"/>
                <w:sz w:val="16"/>
                <w:szCs w:val="16"/>
              </w:rPr>
              <w:t>14.109.884</w:t>
            </w:r>
          </w:p>
        </w:tc>
        <w:tc>
          <w:tcPr>
            <w:tcW w:w="502" w:type="pct"/>
            <w:tcBorders>
              <w:top w:val="nil"/>
              <w:left w:val="nil"/>
              <w:bottom w:val="nil"/>
              <w:right w:val="single" w:sz="8" w:space="0" w:color="BFBFBF"/>
            </w:tcBorders>
            <w:shd w:val="clear" w:color="auto" w:fill="auto"/>
            <w:noWrap/>
            <w:vAlign w:val="bottom"/>
            <w:hideMark/>
          </w:tcPr>
          <w:p w:rsidR="00195BE7" w:rsidRPr="001E2F6E" w:rsidRDefault="00195BE7" w:rsidP="00195BE7">
            <w:pPr>
              <w:spacing w:line="220" w:lineRule="atLeast"/>
              <w:jc w:val="right"/>
              <w:rPr>
                <w:color w:val="000000"/>
                <w:sz w:val="16"/>
                <w:szCs w:val="16"/>
              </w:rPr>
            </w:pPr>
            <w:r w:rsidRPr="001E2F6E">
              <w:rPr>
                <w:color w:val="000000"/>
                <w:sz w:val="16"/>
                <w:szCs w:val="16"/>
              </w:rPr>
              <w:t>15.055</w:t>
            </w:r>
          </w:p>
        </w:tc>
        <w:tc>
          <w:tcPr>
            <w:tcW w:w="607" w:type="pct"/>
            <w:tcBorders>
              <w:top w:val="nil"/>
              <w:left w:val="nil"/>
              <w:bottom w:val="nil"/>
              <w:right w:val="single" w:sz="8" w:space="0" w:color="BFBFBF"/>
            </w:tcBorders>
            <w:shd w:val="clear" w:color="auto" w:fill="auto"/>
            <w:noWrap/>
            <w:vAlign w:val="bottom"/>
            <w:hideMark/>
          </w:tcPr>
          <w:p w:rsidR="00195BE7" w:rsidRPr="001E2F6E" w:rsidRDefault="00195BE7" w:rsidP="00195BE7">
            <w:pPr>
              <w:spacing w:line="220" w:lineRule="atLeast"/>
              <w:jc w:val="right"/>
              <w:rPr>
                <w:color w:val="000000"/>
                <w:sz w:val="16"/>
                <w:szCs w:val="16"/>
              </w:rPr>
            </w:pPr>
            <w:r w:rsidRPr="001E2F6E">
              <w:rPr>
                <w:color w:val="000000"/>
                <w:sz w:val="16"/>
                <w:szCs w:val="16"/>
              </w:rPr>
              <w:t>1.227.645</w:t>
            </w:r>
          </w:p>
        </w:tc>
        <w:tc>
          <w:tcPr>
            <w:tcW w:w="691" w:type="pct"/>
            <w:tcBorders>
              <w:top w:val="nil"/>
              <w:left w:val="nil"/>
              <w:bottom w:val="nil"/>
              <w:right w:val="single" w:sz="8" w:space="0" w:color="BFBFBF"/>
            </w:tcBorders>
            <w:shd w:val="clear" w:color="auto" w:fill="auto"/>
            <w:noWrap/>
            <w:vAlign w:val="bottom"/>
            <w:hideMark/>
          </w:tcPr>
          <w:p w:rsidR="00195BE7" w:rsidRPr="001E2F6E" w:rsidRDefault="00195BE7" w:rsidP="00195BE7">
            <w:pPr>
              <w:spacing w:line="220" w:lineRule="atLeast"/>
              <w:jc w:val="right"/>
              <w:rPr>
                <w:color w:val="000000"/>
                <w:sz w:val="16"/>
                <w:szCs w:val="16"/>
              </w:rPr>
            </w:pPr>
            <w:r w:rsidRPr="001E2F6E">
              <w:rPr>
                <w:color w:val="000000"/>
                <w:sz w:val="16"/>
                <w:szCs w:val="16"/>
              </w:rPr>
              <w:t>199.522</w:t>
            </w:r>
          </w:p>
        </w:tc>
        <w:tc>
          <w:tcPr>
            <w:tcW w:w="607" w:type="pct"/>
            <w:tcBorders>
              <w:top w:val="nil"/>
              <w:left w:val="nil"/>
              <w:bottom w:val="nil"/>
              <w:right w:val="single" w:sz="8" w:space="0" w:color="BFBFBF"/>
            </w:tcBorders>
            <w:shd w:val="clear" w:color="auto" w:fill="auto"/>
            <w:noWrap/>
            <w:vAlign w:val="bottom"/>
            <w:hideMark/>
          </w:tcPr>
          <w:p w:rsidR="00195BE7" w:rsidRPr="001E2F6E" w:rsidRDefault="00195BE7" w:rsidP="00195BE7">
            <w:pPr>
              <w:spacing w:line="220" w:lineRule="atLeast"/>
              <w:jc w:val="right"/>
              <w:rPr>
                <w:color w:val="000000"/>
                <w:sz w:val="16"/>
                <w:szCs w:val="16"/>
              </w:rPr>
            </w:pPr>
            <w:r w:rsidRPr="001E2F6E">
              <w:rPr>
                <w:color w:val="000000"/>
                <w:sz w:val="16"/>
                <w:szCs w:val="16"/>
              </w:rPr>
              <w:t>12.667.662</w:t>
            </w:r>
          </w:p>
        </w:tc>
      </w:tr>
      <w:tr w:rsidR="00195BE7" w:rsidRPr="001E2F6E" w:rsidTr="00195BE7">
        <w:tc>
          <w:tcPr>
            <w:tcW w:w="1907" w:type="pct"/>
            <w:tcBorders>
              <w:top w:val="nil"/>
              <w:left w:val="nil"/>
              <w:bottom w:val="nil"/>
              <w:right w:val="single" w:sz="8" w:space="0" w:color="BFBFBF"/>
            </w:tcBorders>
            <w:shd w:val="clear" w:color="auto" w:fill="auto"/>
            <w:vAlign w:val="bottom"/>
            <w:hideMark/>
          </w:tcPr>
          <w:p w:rsidR="00195BE7" w:rsidRPr="001E2F6E" w:rsidRDefault="00195BE7" w:rsidP="00195BE7">
            <w:pPr>
              <w:spacing w:line="220" w:lineRule="exact"/>
              <w:rPr>
                <w:sz w:val="16"/>
                <w:szCs w:val="16"/>
                <w:lang w:val="eu-ES"/>
              </w:rPr>
            </w:pPr>
            <w:r w:rsidRPr="001E2F6E">
              <w:rPr>
                <w:sz w:val="16"/>
                <w:szCs w:val="16"/>
                <w:lang w:val="eu-ES"/>
              </w:rPr>
              <w:t>68 Ekitaldiaren amortizaziorako hornidura</w:t>
            </w:r>
          </w:p>
        </w:tc>
        <w:tc>
          <w:tcPr>
            <w:tcW w:w="686" w:type="pct"/>
            <w:tcBorders>
              <w:top w:val="nil"/>
              <w:left w:val="nil"/>
              <w:bottom w:val="nil"/>
              <w:right w:val="single" w:sz="8" w:space="0" w:color="BFBFBF"/>
            </w:tcBorders>
            <w:shd w:val="clear" w:color="auto" w:fill="auto"/>
            <w:noWrap/>
            <w:vAlign w:val="bottom"/>
            <w:hideMark/>
          </w:tcPr>
          <w:p w:rsidR="00195BE7" w:rsidRPr="001E2F6E" w:rsidRDefault="00195BE7" w:rsidP="00195BE7">
            <w:pPr>
              <w:spacing w:line="220" w:lineRule="atLeast"/>
              <w:jc w:val="right"/>
              <w:rPr>
                <w:color w:val="000000"/>
                <w:sz w:val="16"/>
                <w:szCs w:val="16"/>
              </w:rPr>
            </w:pPr>
            <w:r w:rsidRPr="001E2F6E">
              <w:rPr>
                <w:color w:val="000000"/>
                <w:sz w:val="16"/>
                <w:szCs w:val="16"/>
              </w:rPr>
              <w:t>29.600.809</w:t>
            </w:r>
          </w:p>
        </w:tc>
        <w:tc>
          <w:tcPr>
            <w:tcW w:w="502" w:type="pct"/>
            <w:tcBorders>
              <w:top w:val="nil"/>
              <w:left w:val="nil"/>
              <w:bottom w:val="nil"/>
              <w:right w:val="single" w:sz="8" w:space="0" w:color="BFBFBF"/>
            </w:tcBorders>
            <w:shd w:val="clear" w:color="auto" w:fill="auto"/>
            <w:noWrap/>
            <w:vAlign w:val="bottom"/>
            <w:hideMark/>
          </w:tcPr>
          <w:p w:rsidR="00195BE7" w:rsidRPr="001E2F6E" w:rsidRDefault="00195BE7" w:rsidP="00195BE7">
            <w:pPr>
              <w:spacing w:line="220" w:lineRule="atLeast"/>
              <w:jc w:val="right"/>
              <w:rPr>
                <w:color w:val="000000"/>
                <w:sz w:val="16"/>
                <w:szCs w:val="16"/>
              </w:rPr>
            </w:pPr>
            <w:r w:rsidRPr="001E2F6E">
              <w:rPr>
                <w:color w:val="000000"/>
                <w:sz w:val="16"/>
                <w:szCs w:val="16"/>
              </w:rPr>
              <w:t>651.201</w:t>
            </w:r>
          </w:p>
        </w:tc>
        <w:tc>
          <w:tcPr>
            <w:tcW w:w="607" w:type="pct"/>
            <w:tcBorders>
              <w:top w:val="nil"/>
              <w:left w:val="nil"/>
              <w:bottom w:val="nil"/>
              <w:right w:val="single" w:sz="8" w:space="0" w:color="BFBFBF"/>
            </w:tcBorders>
            <w:shd w:val="clear" w:color="auto" w:fill="auto"/>
            <w:noWrap/>
            <w:vAlign w:val="bottom"/>
            <w:hideMark/>
          </w:tcPr>
          <w:p w:rsidR="00195BE7" w:rsidRPr="001E2F6E" w:rsidRDefault="00195BE7" w:rsidP="00195BE7">
            <w:pPr>
              <w:spacing w:line="220" w:lineRule="atLeast"/>
              <w:jc w:val="right"/>
              <w:rPr>
                <w:color w:val="000000"/>
                <w:sz w:val="16"/>
                <w:szCs w:val="16"/>
              </w:rPr>
            </w:pPr>
            <w:r w:rsidRPr="001E2F6E">
              <w:rPr>
                <w:color w:val="000000"/>
                <w:sz w:val="16"/>
                <w:szCs w:val="16"/>
              </w:rPr>
              <w:t>14.190.731</w:t>
            </w:r>
          </w:p>
        </w:tc>
        <w:tc>
          <w:tcPr>
            <w:tcW w:w="691" w:type="pct"/>
            <w:tcBorders>
              <w:top w:val="nil"/>
              <w:left w:val="nil"/>
              <w:bottom w:val="nil"/>
              <w:right w:val="single" w:sz="8" w:space="0" w:color="BFBFBF"/>
            </w:tcBorders>
            <w:shd w:val="clear" w:color="auto" w:fill="auto"/>
            <w:noWrap/>
            <w:vAlign w:val="bottom"/>
            <w:hideMark/>
          </w:tcPr>
          <w:p w:rsidR="00195BE7" w:rsidRPr="001E2F6E" w:rsidRDefault="00195BE7" w:rsidP="00195BE7">
            <w:pPr>
              <w:spacing w:line="220" w:lineRule="atLeast"/>
              <w:jc w:val="right"/>
              <w:rPr>
                <w:color w:val="000000"/>
                <w:sz w:val="16"/>
                <w:szCs w:val="16"/>
              </w:rPr>
            </w:pPr>
            <w:r w:rsidRPr="001E2F6E">
              <w:rPr>
                <w:color w:val="000000"/>
                <w:sz w:val="16"/>
                <w:szCs w:val="16"/>
              </w:rPr>
              <w:t>456.160</w:t>
            </w:r>
          </w:p>
        </w:tc>
        <w:tc>
          <w:tcPr>
            <w:tcW w:w="607" w:type="pct"/>
            <w:tcBorders>
              <w:top w:val="nil"/>
              <w:left w:val="nil"/>
              <w:bottom w:val="nil"/>
              <w:right w:val="single" w:sz="8" w:space="0" w:color="BFBFBF"/>
            </w:tcBorders>
            <w:shd w:val="clear" w:color="auto" w:fill="auto"/>
            <w:noWrap/>
            <w:vAlign w:val="bottom"/>
            <w:hideMark/>
          </w:tcPr>
          <w:p w:rsidR="00195BE7" w:rsidRPr="001E2F6E" w:rsidRDefault="00195BE7" w:rsidP="00195BE7">
            <w:pPr>
              <w:spacing w:line="220" w:lineRule="atLeast"/>
              <w:jc w:val="right"/>
              <w:rPr>
                <w:color w:val="000000"/>
                <w:sz w:val="16"/>
                <w:szCs w:val="16"/>
              </w:rPr>
            </w:pPr>
            <w:r w:rsidRPr="001E2F6E">
              <w:rPr>
                <w:color w:val="000000"/>
                <w:sz w:val="16"/>
                <w:szCs w:val="16"/>
              </w:rPr>
              <w:t>14.302.717</w:t>
            </w:r>
          </w:p>
        </w:tc>
      </w:tr>
      <w:tr w:rsidR="00195BE7" w:rsidRPr="001E2F6E" w:rsidTr="00195BE7">
        <w:tc>
          <w:tcPr>
            <w:tcW w:w="1907" w:type="pct"/>
            <w:tcBorders>
              <w:top w:val="nil"/>
              <w:left w:val="nil"/>
              <w:bottom w:val="single" w:sz="8" w:space="0" w:color="BFBFBF"/>
              <w:right w:val="single" w:sz="8" w:space="0" w:color="BFBFBF"/>
            </w:tcBorders>
            <w:shd w:val="clear" w:color="auto" w:fill="auto"/>
            <w:vAlign w:val="bottom"/>
            <w:hideMark/>
          </w:tcPr>
          <w:p w:rsidR="00195BE7" w:rsidRPr="001E2F6E" w:rsidRDefault="00195BE7" w:rsidP="00195BE7">
            <w:pPr>
              <w:spacing w:line="220" w:lineRule="exact"/>
              <w:rPr>
                <w:sz w:val="16"/>
                <w:szCs w:val="16"/>
                <w:lang w:val="eu-ES"/>
              </w:rPr>
            </w:pPr>
            <w:r w:rsidRPr="001E2F6E">
              <w:rPr>
                <w:sz w:val="16"/>
                <w:szCs w:val="16"/>
                <w:lang w:val="eu-ES"/>
              </w:rPr>
              <w:t>69 Hornidura-zuzkidurak</w:t>
            </w:r>
          </w:p>
        </w:tc>
        <w:tc>
          <w:tcPr>
            <w:tcW w:w="686" w:type="pct"/>
            <w:tcBorders>
              <w:top w:val="nil"/>
              <w:left w:val="nil"/>
              <w:bottom w:val="single" w:sz="8" w:space="0" w:color="BFBFBF"/>
              <w:right w:val="single" w:sz="8" w:space="0" w:color="BFBFBF"/>
            </w:tcBorders>
            <w:shd w:val="clear" w:color="auto" w:fill="auto"/>
            <w:noWrap/>
            <w:vAlign w:val="bottom"/>
            <w:hideMark/>
          </w:tcPr>
          <w:p w:rsidR="00195BE7" w:rsidRPr="001E2F6E" w:rsidRDefault="00195BE7" w:rsidP="00195BE7">
            <w:pPr>
              <w:spacing w:line="220" w:lineRule="atLeast"/>
              <w:jc w:val="right"/>
              <w:rPr>
                <w:color w:val="000000"/>
                <w:sz w:val="16"/>
                <w:szCs w:val="16"/>
              </w:rPr>
            </w:pPr>
            <w:r w:rsidRPr="001E2F6E">
              <w:rPr>
                <w:color w:val="000000"/>
                <w:sz w:val="16"/>
                <w:szCs w:val="16"/>
              </w:rPr>
              <w:t>82.527.164</w:t>
            </w:r>
          </w:p>
        </w:tc>
        <w:tc>
          <w:tcPr>
            <w:tcW w:w="502" w:type="pct"/>
            <w:tcBorders>
              <w:top w:val="nil"/>
              <w:left w:val="nil"/>
              <w:bottom w:val="single" w:sz="8" w:space="0" w:color="BFBFBF"/>
              <w:right w:val="single" w:sz="8" w:space="0" w:color="BFBFBF"/>
            </w:tcBorders>
            <w:shd w:val="clear" w:color="auto" w:fill="auto"/>
            <w:noWrap/>
            <w:vAlign w:val="bottom"/>
            <w:hideMark/>
          </w:tcPr>
          <w:p w:rsidR="00195BE7" w:rsidRPr="001E2F6E" w:rsidRDefault="00195BE7" w:rsidP="00195BE7">
            <w:pPr>
              <w:spacing w:line="220" w:lineRule="atLeast"/>
              <w:jc w:val="right"/>
              <w:rPr>
                <w:color w:val="000000"/>
                <w:sz w:val="16"/>
                <w:szCs w:val="16"/>
              </w:rPr>
            </w:pPr>
            <w:r w:rsidRPr="001E2F6E">
              <w:rPr>
                <w:color w:val="000000"/>
                <w:sz w:val="16"/>
                <w:szCs w:val="16"/>
              </w:rPr>
              <w:t> </w:t>
            </w:r>
          </w:p>
        </w:tc>
        <w:tc>
          <w:tcPr>
            <w:tcW w:w="607" w:type="pct"/>
            <w:tcBorders>
              <w:top w:val="nil"/>
              <w:left w:val="nil"/>
              <w:bottom w:val="single" w:sz="8" w:space="0" w:color="BFBFBF"/>
              <w:right w:val="single" w:sz="8" w:space="0" w:color="BFBFBF"/>
            </w:tcBorders>
            <w:shd w:val="clear" w:color="auto" w:fill="auto"/>
            <w:noWrap/>
            <w:vAlign w:val="bottom"/>
            <w:hideMark/>
          </w:tcPr>
          <w:p w:rsidR="00195BE7" w:rsidRPr="001E2F6E" w:rsidRDefault="00195BE7" w:rsidP="00195BE7">
            <w:pPr>
              <w:spacing w:line="220" w:lineRule="atLeast"/>
              <w:jc w:val="right"/>
              <w:rPr>
                <w:color w:val="000000"/>
                <w:sz w:val="16"/>
                <w:szCs w:val="16"/>
              </w:rPr>
            </w:pPr>
            <w:r w:rsidRPr="001E2F6E">
              <w:rPr>
                <w:color w:val="000000"/>
                <w:sz w:val="16"/>
                <w:szCs w:val="16"/>
              </w:rPr>
              <w:t>9.728.782</w:t>
            </w:r>
          </w:p>
        </w:tc>
        <w:tc>
          <w:tcPr>
            <w:tcW w:w="691" w:type="pct"/>
            <w:tcBorders>
              <w:top w:val="nil"/>
              <w:left w:val="nil"/>
              <w:bottom w:val="single" w:sz="8" w:space="0" w:color="BFBFBF"/>
              <w:right w:val="single" w:sz="8" w:space="0" w:color="BFBFBF"/>
            </w:tcBorders>
            <w:shd w:val="clear" w:color="auto" w:fill="auto"/>
            <w:noWrap/>
            <w:vAlign w:val="bottom"/>
            <w:hideMark/>
          </w:tcPr>
          <w:p w:rsidR="00195BE7" w:rsidRPr="001E2F6E" w:rsidRDefault="00195BE7" w:rsidP="00195BE7">
            <w:pPr>
              <w:spacing w:line="220" w:lineRule="atLeast"/>
              <w:jc w:val="right"/>
              <w:rPr>
                <w:color w:val="000000"/>
                <w:sz w:val="16"/>
                <w:szCs w:val="16"/>
              </w:rPr>
            </w:pPr>
            <w:r w:rsidRPr="001E2F6E">
              <w:rPr>
                <w:color w:val="000000"/>
                <w:sz w:val="16"/>
                <w:szCs w:val="16"/>
              </w:rPr>
              <w:t>1.168.288</w:t>
            </w:r>
          </w:p>
        </w:tc>
        <w:tc>
          <w:tcPr>
            <w:tcW w:w="607" w:type="pct"/>
            <w:tcBorders>
              <w:top w:val="nil"/>
              <w:left w:val="nil"/>
              <w:bottom w:val="nil"/>
              <w:right w:val="single" w:sz="8" w:space="0" w:color="BFBFBF"/>
            </w:tcBorders>
            <w:shd w:val="clear" w:color="auto" w:fill="auto"/>
            <w:noWrap/>
            <w:vAlign w:val="bottom"/>
            <w:hideMark/>
          </w:tcPr>
          <w:p w:rsidR="00195BE7" w:rsidRPr="001E2F6E" w:rsidRDefault="00195BE7" w:rsidP="00195BE7">
            <w:pPr>
              <w:spacing w:line="220" w:lineRule="atLeast"/>
              <w:jc w:val="right"/>
              <w:rPr>
                <w:color w:val="000000"/>
                <w:sz w:val="16"/>
                <w:szCs w:val="16"/>
              </w:rPr>
            </w:pPr>
            <w:r w:rsidRPr="001E2F6E">
              <w:rPr>
                <w:color w:val="000000"/>
                <w:sz w:val="16"/>
                <w:szCs w:val="16"/>
              </w:rPr>
              <w:t>71.630.094</w:t>
            </w:r>
          </w:p>
        </w:tc>
      </w:tr>
      <w:tr w:rsidR="00195BE7" w:rsidRPr="001E2F6E" w:rsidTr="00195BE7">
        <w:tc>
          <w:tcPr>
            <w:tcW w:w="1907" w:type="pct"/>
            <w:tcBorders>
              <w:top w:val="nil"/>
              <w:left w:val="nil"/>
              <w:bottom w:val="single" w:sz="8" w:space="0" w:color="BFBFBF"/>
              <w:right w:val="single" w:sz="8" w:space="0" w:color="BFBFBF"/>
            </w:tcBorders>
            <w:shd w:val="clear" w:color="000000" w:fill="E6E6E6"/>
            <w:vAlign w:val="bottom"/>
            <w:hideMark/>
          </w:tcPr>
          <w:p w:rsidR="00195BE7" w:rsidRPr="001E2F6E" w:rsidRDefault="00195BE7" w:rsidP="00195BE7">
            <w:pPr>
              <w:spacing w:line="220" w:lineRule="exact"/>
              <w:rPr>
                <w:rFonts w:eastAsia="Times New Roman"/>
                <w:color w:val="000000"/>
                <w:sz w:val="16"/>
                <w:szCs w:val="16"/>
                <w:lang w:eastAsia="es-ES"/>
              </w:rPr>
            </w:pPr>
            <w:r w:rsidRPr="001E2F6E">
              <w:rPr>
                <w:rFonts w:eastAsia="Times New Roman"/>
                <w:color w:val="000000"/>
                <w:sz w:val="16"/>
                <w:szCs w:val="16"/>
                <w:lang w:eastAsia="es-ES"/>
              </w:rPr>
              <w:t> </w:t>
            </w:r>
          </w:p>
        </w:tc>
        <w:tc>
          <w:tcPr>
            <w:tcW w:w="686" w:type="pct"/>
            <w:tcBorders>
              <w:top w:val="nil"/>
              <w:left w:val="nil"/>
              <w:bottom w:val="single" w:sz="8" w:space="0" w:color="BFBFBF"/>
              <w:right w:val="single" w:sz="8" w:space="0" w:color="BFBFBF"/>
            </w:tcBorders>
            <w:shd w:val="clear" w:color="000000" w:fill="E6E6E6"/>
            <w:vAlign w:val="bottom"/>
            <w:hideMark/>
          </w:tcPr>
          <w:p w:rsidR="00195BE7" w:rsidRPr="001E2F6E" w:rsidRDefault="00195BE7" w:rsidP="00195BE7">
            <w:pPr>
              <w:spacing w:line="220" w:lineRule="atLeast"/>
              <w:jc w:val="right"/>
              <w:rPr>
                <w:b/>
                <w:bCs/>
                <w:color w:val="000000"/>
                <w:sz w:val="16"/>
                <w:szCs w:val="16"/>
              </w:rPr>
            </w:pPr>
            <w:r w:rsidRPr="001E2F6E">
              <w:rPr>
                <w:b/>
                <w:bCs/>
                <w:color w:val="000000"/>
                <w:sz w:val="16"/>
                <w:szCs w:val="16"/>
              </w:rPr>
              <w:t>1.146.466.072</w:t>
            </w:r>
          </w:p>
        </w:tc>
        <w:tc>
          <w:tcPr>
            <w:tcW w:w="502" w:type="pct"/>
            <w:tcBorders>
              <w:top w:val="nil"/>
              <w:left w:val="nil"/>
              <w:bottom w:val="single" w:sz="8" w:space="0" w:color="BFBFBF"/>
              <w:right w:val="single" w:sz="8" w:space="0" w:color="BFBFBF"/>
            </w:tcBorders>
            <w:shd w:val="clear" w:color="000000" w:fill="E6E6E6"/>
            <w:vAlign w:val="bottom"/>
            <w:hideMark/>
          </w:tcPr>
          <w:p w:rsidR="00195BE7" w:rsidRPr="001E2F6E" w:rsidRDefault="00195BE7" w:rsidP="00195BE7">
            <w:pPr>
              <w:spacing w:line="220" w:lineRule="atLeast"/>
              <w:jc w:val="right"/>
              <w:rPr>
                <w:b/>
                <w:bCs/>
                <w:color w:val="000000"/>
                <w:sz w:val="16"/>
                <w:szCs w:val="16"/>
              </w:rPr>
            </w:pPr>
            <w:r w:rsidRPr="001E2F6E">
              <w:rPr>
                <w:b/>
                <w:bCs/>
                <w:color w:val="000000"/>
                <w:sz w:val="16"/>
                <w:szCs w:val="16"/>
              </w:rPr>
              <w:t>9.249.297</w:t>
            </w:r>
          </w:p>
        </w:tc>
        <w:tc>
          <w:tcPr>
            <w:tcW w:w="607" w:type="pct"/>
            <w:tcBorders>
              <w:top w:val="nil"/>
              <w:left w:val="nil"/>
              <w:bottom w:val="single" w:sz="8" w:space="0" w:color="BFBFBF"/>
              <w:right w:val="single" w:sz="8" w:space="0" w:color="BFBFBF"/>
            </w:tcBorders>
            <w:shd w:val="clear" w:color="000000" w:fill="E6E6E6"/>
            <w:vAlign w:val="bottom"/>
            <w:hideMark/>
          </w:tcPr>
          <w:p w:rsidR="00195BE7" w:rsidRPr="001E2F6E" w:rsidRDefault="00195BE7" w:rsidP="00195BE7">
            <w:pPr>
              <w:spacing w:line="220" w:lineRule="atLeast"/>
              <w:jc w:val="right"/>
              <w:rPr>
                <w:b/>
                <w:bCs/>
                <w:color w:val="000000"/>
                <w:sz w:val="16"/>
                <w:szCs w:val="16"/>
              </w:rPr>
            </w:pPr>
            <w:r w:rsidRPr="001E2F6E">
              <w:rPr>
                <w:b/>
                <w:bCs/>
                <w:color w:val="000000"/>
                <w:sz w:val="16"/>
                <w:szCs w:val="16"/>
              </w:rPr>
              <w:t>370.539.739</w:t>
            </w:r>
          </w:p>
        </w:tc>
        <w:tc>
          <w:tcPr>
            <w:tcW w:w="691" w:type="pct"/>
            <w:tcBorders>
              <w:top w:val="nil"/>
              <w:left w:val="nil"/>
              <w:bottom w:val="single" w:sz="8" w:space="0" w:color="BFBFBF"/>
              <w:right w:val="single" w:sz="8" w:space="0" w:color="BFBFBF"/>
            </w:tcBorders>
            <w:shd w:val="clear" w:color="000000" w:fill="E6E6E6"/>
            <w:vAlign w:val="bottom"/>
            <w:hideMark/>
          </w:tcPr>
          <w:p w:rsidR="00195BE7" w:rsidRPr="001E2F6E" w:rsidRDefault="00195BE7" w:rsidP="00195BE7">
            <w:pPr>
              <w:spacing w:line="220" w:lineRule="atLeast"/>
              <w:jc w:val="right"/>
              <w:rPr>
                <w:b/>
                <w:bCs/>
                <w:color w:val="000000"/>
                <w:sz w:val="16"/>
                <w:szCs w:val="16"/>
              </w:rPr>
            </w:pPr>
            <w:r w:rsidRPr="001E2F6E">
              <w:rPr>
                <w:b/>
                <w:bCs/>
                <w:color w:val="000000"/>
                <w:sz w:val="16"/>
                <w:szCs w:val="16"/>
              </w:rPr>
              <w:t>31.072.281</w:t>
            </w:r>
          </w:p>
        </w:tc>
        <w:tc>
          <w:tcPr>
            <w:tcW w:w="607" w:type="pct"/>
            <w:tcBorders>
              <w:top w:val="nil"/>
              <w:left w:val="nil"/>
              <w:bottom w:val="single" w:sz="8" w:space="0" w:color="BFBFBF"/>
              <w:right w:val="nil"/>
            </w:tcBorders>
            <w:shd w:val="clear" w:color="000000" w:fill="E6E6E6"/>
            <w:vAlign w:val="bottom"/>
            <w:hideMark/>
          </w:tcPr>
          <w:p w:rsidR="00195BE7" w:rsidRPr="001E2F6E" w:rsidRDefault="00195BE7" w:rsidP="00195BE7">
            <w:pPr>
              <w:spacing w:line="220" w:lineRule="atLeast"/>
              <w:jc w:val="right"/>
              <w:rPr>
                <w:b/>
                <w:bCs/>
                <w:color w:val="000000"/>
                <w:sz w:val="16"/>
                <w:szCs w:val="16"/>
              </w:rPr>
            </w:pPr>
            <w:r w:rsidRPr="001E2F6E">
              <w:rPr>
                <w:b/>
                <w:bCs/>
                <w:color w:val="000000"/>
                <w:sz w:val="16"/>
                <w:szCs w:val="16"/>
              </w:rPr>
              <w:t>735.604.753</w:t>
            </w:r>
          </w:p>
        </w:tc>
      </w:tr>
      <w:tr w:rsidR="00195BE7" w:rsidRPr="001E2F6E" w:rsidTr="00195BE7">
        <w:tc>
          <w:tcPr>
            <w:tcW w:w="1907" w:type="pct"/>
            <w:tcBorders>
              <w:top w:val="nil"/>
              <w:left w:val="nil"/>
              <w:bottom w:val="single" w:sz="8" w:space="0" w:color="BFBFBF"/>
              <w:right w:val="single" w:sz="8" w:space="0" w:color="BFBFBF"/>
            </w:tcBorders>
            <w:shd w:val="clear" w:color="000000" w:fill="DDEEFF"/>
            <w:vAlign w:val="bottom"/>
            <w:hideMark/>
          </w:tcPr>
          <w:p w:rsidR="00195BE7" w:rsidRPr="001E2F6E" w:rsidRDefault="00195BE7" w:rsidP="00195BE7">
            <w:pPr>
              <w:spacing w:line="220" w:lineRule="exact"/>
              <w:rPr>
                <w:b/>
                <w:bCs/>
                <w:sz w:val="16"/>
                <w:szCs w:val="16"/>
                <w:lang w:val="eu-ES"/>
              </w:rPr>
            </w:pPr>
            <w:r w:rsidRPr="001E2F6E">
              <w:rPr>
                <w:b/>
                <w:bCs/>
                <w:sz w:val="16"/>
                <w:szCs w:val="16"/>
                <w:lang w:val="eu-ES"/>
              </w:rPr>
              <w:t>MOZKINAK (+) edo GALERAK (-)</w:t>
            </w:r>
          </w:p>
        </w:tc>
        <w:tc>
          <w:tcPr>
            <w:tcW w:w="686" w:type="pct"/>
            <w:tcBorders>
              <w:top w:val="nil"/>
              <w:left w:val="nil"/>
              <w:bottom w:val="single" w:sz="8" w:space="0" w:color="BFBFBF"/>
              <w:right w:val="single" w:sz="8" w:space="0" w:color="BFBFBF"/>
            </w:tcBorders>
            <w:shd w:val="clear" w:color="000000" w:fill="DDEEFF"/>
            <w:vAlign w:val="bottom"/>
            <w:hideMark/>
          </w:tcPr>
          <w:p w:rsidR="00195BE7" w:rsidRPr="001E2F6E" w:rsidRDefault="00195BE7" w:rsidP="00195BE7">
            <w:pPr>
              <w:spacing w:line="220" w:lineRule="atLeast"/>
              <w:jc w:val="right"/>
              <w:rPr>
                <w:b/>
                <w:bCs/>
                <w:color w:val="000000"/>
                <w:sz w:val="16"/>
                <w:szCs w:val="16"/>
              </w:rPr>
            </w:pPr>
            <w:r w:rsidRPr="001E2F6E">
              <w:rPr>
                <w:b/>
                <w:bCs/>
                <w:color w:val="000000"/>
                <w:sz w:val="16"/>
                <w:szCs w:val="16"/>
              </w:rPr>
              <w:t>22.616.865</w:t>
            </w:r>
          </w:p>
        </w:tc>
        <w:tc>
          <w:tcPr>
            <w:tcW w:w="502" w:type="pct"/>
            <w:tcBorders>
              <w:top w:val="nil"/>
              <w:left w:val="nil"/>
              <w:bottom w:val="single" w:sz="8" w:space="0" w:color="BFBFBF"/>
              <w:right w:val="single" w:sz="8" w:space="0" w:color="BFBFBF"/>
            </w:tcBorders>
            <w:shd w:val="clear" w:color="000000" w:fill="DDEEFF"/>
            <w:vAlign w:val="bottom"/>
            <w:hideMark/>
          </w:tcPr>
          <w:p w:rsidR="00195BE7" w:rsidRPr="001E2F6E" w:rsidRDefault="00195BE7" w:rsidP="00195BE7">
            <w:pPr>
              <w:spacing w:line="220" w:lineRule="atLeast"/>
              <w:jc w:val="right"/>
              <w:rPr>
                <w:b/>
                <w:bCs/>
                <w:color w:val="000000"/>
                <w:sz w:val="16"/>
                <w:szCs w:val="16"/>
              </w:rPr>
            </w:pPr>
            <w:r w:rsidRPr="001E2F6E">
              <w:rPr>
                <w:b/>
                <w:bCs/>
                <w:color w:val="000000"/>
                <w:sz w:val="16"/>
                <w:szCs w:val="16"/>
              </w:rPr>
              <w:t>176.338</w:t>
            </w:r>
          </w:p>
        </w:tc>
        <w:tc>
          <w:tcPr>
            <w:tcW w:w="607" w:type="pct"/>
            <w:tcBorders>
              <w:top w:val="nil"/>
              <w:left w:val="nil"/>
              <w:bottom w:val="single" w:sz="8" w:space="0" w:color="BFBFBF"/>
              <w:right w:val="single" w:sz="8" w:space="0" w:color="BFBFBF"/>
            </w:tcBorders>
            <w:shd w:val="clear" w:color="000000" w:fill="DDEEFF"/>
            <w:vAlign w:val="bottom"/>
            <w:hideMark/>
          </w:tcPr>
          <w:p w:rsidR="00195BE7" w:rsidRPr="001E2F6E" w:rsidRDefault="00195BE7" w:rsidP="00195BE7">
            <w:pPr>
              <w:spacing w:line="220" w:lineRule="atLeast"/>
              <w:jc w:val="right"/>
              <w:rPr>
                <w:b/>
                <w:bCs/>
                <w:color w:val="000000"/>
                <w:sz w:val="16"/>
                <w:szCs w:val="16"/>
              </w:rPr>
            </w:pPr>
            <w:r w:rsidRPr="001E2F6E">
              <w:rPr>
                <w:b/>
                <w:bCs/>
                <w:color w:val="000000"/>
                <w:sz w:val="16"/>
                <w:szCs w:val="16"/>
              </w:rPr>
              <w:t>11.612.501</w:t>
            </w:r>
          </w:p>
        </w:tc>
        <w:tc>
          <w:tcPr>
            <w:tcW w:w="691" w:type="pct"/>
            <w:tcBorders>
              <w:top w:val="nil"/>
              <w:left w:val="nil"/>
              <w:bottom w:val="single" w:sz="8" w:space="0" w:color="BFBFBF"/>
              <w:right w:val="single" w:sz="8" w:space="0" w:color="BFBFBF"/>
            </w:tcBorders>
            <w:shd w:val="clear" w:color="000000" w:fill="DDEEFF"/>
            <w:vAlign w:val="bottom"/>
            <w:hideMark/>
          </w:tcPr>
          <w:p w:rsidR="00195BE7" w:rsidRPr="001E2F6E" w:rsidRDefault="00195BE7" w:rsidP="00195BE7">
            <w:pPr>
              <w:spacing w:line="220" w:lineRule="atLeast"/>
              <w:jc w:val="right"/>
              <w:rPr>
                <w:b/>
                <w:bCs/>
                <w:color w:val="000000"/>
                <w:sz w:val="16"/>
                <w:szCs w:val="16"/>
              </w:rPr>
            </w:pPr>
            <w:r w:rsidRPr="001E2F6E">
              <w:rPr>
                <w:b/>
                <w:bCs/>
                <w:color w:val="000000"/>
                <w:sz w:val="16"/>
                <w:szCs w:val="16"/>
              </w:rPr>
              <w:t>-875.486</w:t>
            </w:r>
          </w:p>
        </w:tc>
        <w:tc>
          <w:tcPr>
            <w:tcW w:w="607" w:type="pct"/>
            <w:tcBorders>
              <w:top w:val="nil"/>
              <w:left w:val="nil"/>
              <w:bottom w:val="single" w:sz="8" w:space="0" w:color="BFBFBF"/>
              <w:right w:val="nil"/>
            </w:tcBorders>
            <w:shd w:val="clear" w:color="000000" w:fill="DDEEFF"/>
            <w:vAlign w:val="bottom"/>
            <w:hideMark/>
          </w:tcPr>
          <w:p w:rsidR="00195BE7" w:rsidRPr="001E2F6E" w:rsidRDefault="00195BE7" w:rsidP="00195BE7">
            <w:pPr>
              <w:spacing w:line="220" w:lineRule="atLeast"/>
              <w:jc w:val="right"/>
              <w:rPr>
                <w:b/>
                <w:bCs/>
                <w:color w:val="000000"/>
                <w:sz w:val="16"/>
                <w:szCs w:val="16"/>
              </w:rPr>
            </w:pPr>
            <w:r w:rsidRPr="001E2F6E">
              <w:rPr>
                <w:b/>
                <w:bCs/>
                <w:color w:val="000000"/>
                <w:sz w:val="16"/>
                <w:szCs w:val="16"/>
              </w:rPr>
              <w:t>11.703.513</w:t>
            </w:r>
          </w:p>
        </w:tc>
      </w:tr>
      <w:tr w:rsidR="00195BE7" w:rsidRPr="001E2F6E" w:rsidTr="00195BE7">
        <w:tc>
          <w:tcPr>
            <w:tcW w:w="1907" w:type="pct"/>
            <w:tcBorders>
              <w:top w:val="nil"/>
              <w:left w:val="nil"/>
              <w:bottom w:val="single" w:sz="8" w:space="0" w:color="BFBFBF"/>
              <w:right w:val="single" w:sz="8" w:space="0" w:color="BFBFBF"/>
            </w:tcBorders>
            <w:shd w:val="clear" w:color="auto" w:fill="auto"/>
            <w:vAlign w:val="bottom"/>
            <w:hideMark/>
          </w:tcPr>
          <w:p w:rsidR="00195BE7" w:rsidRPr="001E2F6E" w:rsidRDefault="00195BE7" w:rsidP="00195BE7">
            <w:pPr>
              <w:spacing w:line="220" w:lineRule="exact"/>
              <w:rPr>
                <w:b/>
                <w:sz w:val="16"/>
                <w:szCs w:val="16"/>
                <w:lang w:val="eu-ES"/>
              </w:rPr>
            </w:pPr>
            <w:r w:rsidRPr="001E2F6E">
              <w:rPr>
                <w:b/>
                <w:sz w:val="16"/>
                <w:szCs w:val="16"/>
                <w:lang w:val="eu-ES"/>
              </w:rPr>
              <w:t> </w:t>
            </w:r>
          </w:p>
        </w:tc>
        <w:tc>
          <w:tcPr>
            <w:tcW w:w="686" w:type="pct"/>
            <w:tcBorders>
              <w:top w:val="nil"/>
              <w:left w:val="nil"/>
              <w:bottom w:val="single" w:sz="8" w:space="0" w:color="BFBFBF"/>
              <w:right w:val="single" w:sz="8" w:space="0" w:color="BFBFBF"/>
            </w:tcBorders>
            <w:shd w:val="clear" w:color="auto" w:fill="auto"/>
            <w:vAlign w:val="bottom"/>
            <w:hideMark/>
          </w:tcPr>
          <w:p w:rsidR="00195BE7" w:rsidRPr="001E2F6E" w:rsidRDefault="00195BE7" w:rsidP="00195BE7">
            <w:pPr>
              <w:spacing w:line="220" w:lineRule="atLeast"/>
              <w:jc w:val="right"/>
              <w:rPr>
                <w:b/>
                <w:bCs/>
                <w:color w:val="000000"/>
                <w:sz w:val="16"/>
                <w:szCs w:val="16"/>
              </w:rPr>
            </w:pPr>
            <w:r w:rsidRPr="001E2F6E">
              <w:rPr>
                <w:b/>
                <w:bCs/>
                <w:color w:val="000000"/>
                <w:sz w:val="16"/>
                <w:szCs w:val="16"/>
              </w:rPr>
              <w:t> </w:t>
            </w:r>
          </w:p>
        </w:tc>
        <w:tc>
          <w:tcPr>
            <w:tcW w:w="502" w:type="pct"/>
            <w:tcBorders>
              <w:top w:val="nil"/>
              <w:left w:val="nil"/>
              <w:bottom w:val="single" w:sz="8" w:space="0" w:color="BFBFBF"/>
              <w:right w:val="single" w:sz="8" w:space="0" w:color="BFBFBF"/>
            </w:tcBorders>
            <w:shd w:val="clear" w:color="auto" w:fill="auto"/>
            <w:vAlign w:val="bottom"/>
            <w:hideMark/>
          </w:tcPr>
          <w:p w:rsidR="00195BE7" w:rsidRPr="001E2F6E" w:rsidRDefault="00195BE7" w:rsidP="00195BE7">
            <w:pPr>
              <w:spacing w:line="220" w:lineRule="atLeast"/>
              <w:jc w:val="right"/>
              <w:rPr>
                <w:b/>
                <w:bCs/>
                <w:color w:val="000000"/>
                <w:sz w:val="16"/>
                <w:szCs w:val="16"/>
              </w:rPr>
            </w:pPr>
            <w:r w:rsidRPr="001E2F6E">
              <w:rPr>
                <w:b/>
                <w:bCs/>
                <w:color w:val="000000"/>
                <w:sz w:val="16"/>
                <w:szCs w:val="16"/>
              </w:rPr>
              <w:t> </w:t>
            </w:r>
          </w:p>
        </w:tc>
        <w:tc>
          <w:tcPr>
            <w:tcW w:w="607" w:type="pct"/>
            <w:tcBorders>
              <w:top w:val="nil"/>
              <w:left w:val="nil"/>
              <w:bottom w:val="single" w:sz="8" w:space="0" w:color="BFBFBF"/>
              <w:right w:val="single" w:sz="8" w:space="0" w:color="BFBFBF"/>
            </w:tcBorders>
            <w:shd w:val="clear" w:color="auto" w:fill="auto"/>
            <w:vAlign w:val="bottom"/>
            <w:hideMark/>
          </w:tcPr>
          <w:p w:rsidR="00195BE7" w:rsidRPr="001E2F6E" w:rsidRDefault="00195BE7" w:rsidP="00195BE7">
            <w:pPr>
              <w:spacing w:line="220" w:lineRule="atLeast"/>
              <w:jc w:val="right"/>
              <w:rPr>
                <w:b/>
                <w:bCs/>
                <w:color w:val="000000"/>
                <w:sz w:val="16"/>
                <w:szCs w:val="16"/>
              </w:rPr>
            </w:pPr>
            <w:r w:rsidRPr="001E2F6E">
              <w:rPr>
                <w:b/>
                <w:bCs/>
                <w:color w:val="000000"/>
                <w:sz w:val="16"/>
                <w:szCs w:val="16"/>
              </w:rPr>
              <w:t> </w:t>
            </w:r>
          </w:p>
        </w:tc>
        <w:tc>
          <w:tcPr>
            <w:tcW w:w="691" w:type="pct"/>
            <w:tcBorders>
              <w:top w:val="nil"/>
              <w:left w:val="nil"/>
              <w:bottom w:val="single" w:sz="8" w:space="0" w:color="BFBFBF"/>
              <w:right w:val="single" w:sz="8" w:space="0" w:color="BFBFBF"/>
            </w:tcBorders>
            <w:shd w:val="clear" w:color="auto" w:fill="auto"/>
            <w:vAlign w:val="bottom"/>
            <w:hideMark/>
          </w:tcPr>
          <w:p w:rsidR="00195BE7" w:rsidRPr="001E2F6E" w:rsidRDefault="00195BE7" w:rsidP="00195BE7">
            <w:pPr>
              <w:spacing w:line="220" w:lineRule="atLeast"/>
              <w:jc w:val="right"/>
              <w:rPr>
                <w:b/>
                <w:bCs/>
                <w:color w:val="000000"/>
                <w:sz w:val="16"/>
                <w:szCs w:val="16"/>
              </w:rPr>
            </w:pPr>
            <w:r w:rsidRPr="001E2F6E">
              <w:rPr>
                <w:b/>
                <w:bCs/>
                <w:color w:val="000000"/>
                <w:sz w:val="16"/>
                <w:szCs w:val="16"/>
              </w:rPr>
              <w:t> </w:t>
            </w:r>
          </w:p>
        </w:tc>
        <w:tc>
          <w:tcPr>
            <w:tcW w:w="607" w:type="pct"/>
            <w:tcBorders>
              <w:top w:val="nil"/>
              <w:left w:val="nil"/>
              <w:bottom w:val="single" w:sz="8" w:space="0" w:color="BFBFBF"/>
              <w:right w:val="nil"/>
            </w:tcBorders>
            <w:shd w:val="clear" w:color="auto" w:fill="auto"/>
            <w:vAlign w:val="bottom"/>
            <w:hideMark/>
          </w:tcPr>
          <w:p w:rsidR="00195BE7" w:rsidRPr="001E2F6E" w:rsidRDefault="00195BE7" w:rsidP="00195BE7">
            <w:pPr>
              <w:spacing w:line="220" w:lineRule="atLeast"/>
              <w:jc w:val="right"/>
              <w:rPr>
                <w:b/>
                <w:bCs/>
                <w:color w:val="000000"/>
                <w:sz w:val="16"/>
                <w:szCs w:val="16"/>
              </w:rPr>
            </w:pPr>
            <w:r w:rsidRPr="001E2F6E">
              <w:rPr>
                <w:b/>
                <w:bCs/>
                <w:color w:val="000000"/>
                <w:sz w:val="16"/>
                <w:szCs w:val="16"/>
              </w:rPr>
              <w:t> </w:t>
            </w:r>
          </w:p>
        </w:tc>
      </w:tr>
      <w:tr w:rsidR="00195BE7" w:rsidRPr="001E2F6E" w:rsidTr="00195BE7">
        <w:tc>
          <w:tcPr>
            <w:tcW w:w="1907" w:type="pct"/>
            <w:tcBorders>
              <w:top w:val="nil"/>
              <w:left w:val="nil"/>
              <w:bottom w:val="single" w:sz="8" w:space="0" w:color="BFBFBF"/>
              <w:right w:val="single" w:sz="8" w:space="0" w:color="BFBFBF"/>
            </w:tcBorders>
            <w:shd w:val="clear" w:color="000000" w:fill="DDEEFF"/>
            <w:vAlign w:val="bottom"/>
            <w:hideMark/>
          </w:tcPr>
          <w:p w:rsidR="00195BE7" w:rsidRPr="001E2F6E" w:rsidRDefault="00195BE7" w:rsidP="00195BE7">
            <w:pPr>
              <w:spacing w:line="220" w:lineRule="exact"/>
              <w:rPr>
                <w:b/>
                <w:bCs/>
                <w:sz w:val="16"/>
                <w:szCs w:val="16"/>
                <w:lang w:val="eu-ES"/>
              </w:rPr>
            </w:pPr>
            <w:r w:rsidRPr="001E2F6E">
              <w:rPr>
                <w:b/>
                <w:bCs/>
                <w:sz w:val="16"/>
                <w:szCs w:val="16"/>
                <w:lang w:val="eu-ES"/>
              </w:rPr>
              <w:t>CASH FLOW</w:t>
            </w:r>
          </w:p>
        </w:tc>
        <w:tc>
          <w:tcPr>
            <w:tcW w:w="686" w:type="pct"/>
            <w:tcBorders>
              <w:top w:val="nil"/>
              <w:left w:val="nil"/>
              <w:bottom w:val="single" w:sz="8" w:space="0" w:color="BFBFBF"/>
              <w:right w:val="single" w:sz="8" w:space="0" w:color="BFBFBF"/>
            </w:tcBorders>
            <w:shd w:val="clear" w:color="000000" w:fill="DDEEFF"/>
            <w:vAlign w:val="bottom"/>
            <w:hideMark/>
          </w:tcPr>
          <w:p w:rsidR="00195BE7" w:rsidRPr="001E2F6E" w:rsidRDefault="00195BE7" w:rsidP="00195BE7">
            <w:pPr>
              <w:spacing w:line="220" w:lineRule="atLeast"/>
              <w:jc w:val="right"/>
              <w:rPr>
                <w:b/>
                <w:bCs/>
                <w:color w:val="000000"/>
                <w:sz w:val="16"/>
                <w:szCs w:val="16"/>
              </w:rPr>
            </w:pPr>
            <w:r w:rsidRPr="001E2F6E">
              <w:rPr>
                <w:b/>
                <w:bCs/>
                <w:color w:val="000000"/>
                <w:sz w:val="16"/>
                <w:szCs w:val="16"/>
              </w:rPr>
              <w:t>134.744.838</w:t>
            </w:r>
          </w:p>
        </w:tc>
        <w:tc>
          <w:tcPr>
            <w:tcW w:w="502" w:type="pct"/>
            <w:tcBorders>
              <w:top w:val="nil"/>
              <w:left w:val="nil"/>
              <w:bottom w:val="single" w:sz="8" w:space="0" w:color="BFBFBF"/>
              <w:right w:val="single" w:sz="8" w:space="0" w:color="BFBFBF"/>
            </w:tcBorders>
            <w:shd w:val="clear" w:color="000000" w:fill="DDEEFF"/>
            <w:vAlign w:val="bottom"/>
            <w:hideMark/>
          </w:tcPr>
          <w:p w:rsidR="00195BE7" w:rsidRPr="001E2F6E" w:rsidRDefault="00195BE7" w:rsidP="00195BE7">
            <w:pPr>
              <w:spacing w:line="220" w:lineRule="atLeast"/>
              <w:jc w:val="right"/>
              <w:rPr>
                <w:b/>
                <w:bCs/>
                <w:color w:val="000000"/>
                <w:sz w:val="16"/>
                <w:szCs w:val="16"/>
              </w:rPr>
            </w:pPr>
            <w:r w:rsidRPr="001E2F6E">
              <w:rPr>
                <w:b/>
                <w:bCs/>
                <w:color w:val="000000"/>
                <w:sz w:val="16"/>
                <w:szCs w:val="16"/>
              </w:rPr>
              <w:t>827.540</w:t>
            </w:r>
          </w:p>
        </w:tc>
        <w:tc>
          <w:tcPr>
            <w:tcW w:w="607" w:type="pct"/>
            <w:tcBorders>
              <w:top w:val="nil"/>
              <w:left w:val="nil"/>
              <w:bottom w:val="single" w:sz="8" w:space="0" w:color="BFBFBF"/>
              <w:right w:val="single" w:sz="8" w:space="0" w:color="BFBFBF"/>
            </w:tcBorders>
            <w:shd w:val="clear" w:color="000000" w:fill="DDEEFF"/>
            <w:vAlign w:val="bottom"/>
            <w:hideMark/>
          </w:tcPr>
          <w:p w:rsidR="00195BE7" w:rsidRPr="001E2F6E" w:rsidRDefault="00195BE7" w:rsidP="00195BE7">
            <w:pPr>
              <w:spacing w:line="220" w:lineRule="atLeast"/>
              <w:jc w:val="right"/>
              <w:rPr>
                <w:b/>
                <w:bCs/>
                <w:color w:val="000000"/>
                <w:sz w:val="16"/>
                <w:szCs w:val="16"/>
              </w:rPr>
            </w:pPr>
            <w:r w:rsidRPr="001E2F6E">
              <w:rPr>
                <w:b/>
                <w:bCs/>
                <w:color w:val="000000"/>
                <w:sz w:val="16"/>
                <w:szCs w:val="16"/>
              </w:rPr>
              <w:t>35.532.014</w:t>
            </w:r>
          </w:p>
        </w:tc>
        <w:tc>
          <w:tcPr>
            <w:tcW w:w="691" w:type="pct"/>
            <w:tcBorders>
              <w:top w:val="nil"/>
              <w:left w:val="nil"/>
              <w:bottom w:val="single" w:sz="8" w:space="0" w:color="BFBFBF"/>
              <w:right w:val="single" w:sz="8" w:space="0" w:color="BFBFBF"/>
            </w:tcBorders>
            <w:shd w:val="clear" w:color="000000" w:fill="DDEEFF"/>
            <w:vAlign w:val="bottom"/>
            <w:hideMark/>
          </w:tcPr>
          <w:p w:rsidR="00195BE7" w:rsidRPr="001E2F6E" w:rsidRDefault="00195BE7" w:rsidP="00195BE7">
            <w:pPr>
              <w:spacing w:line="220" w:lineRule="atLeast"/>
              <w:jc w:val="right"/>
              <w:rPr>
                <w:b/>
                <w:bCs/>
                <w:color w:val="000000"/>
                <w:sz w:val="16"/>
                <w:szCs w:val="16"/>
              </w:rPr>
            </w:pPr>
            <w:r w:rsidRPr="001E2F6E">
              <w:rPr>
                <w:b/>
                <w:bCs/>
                <w:color w:val="000000"/>
                <w:sz w:val="16"/>
                <w:szCs w:val="16"/>
              </w:rPr>
              <w:t>748.962</w:t>
            </w:r>
          </w:p>
        </w:tc>
        <w:tc>
          <w:tcPr>
            <w:tcW w:w="607" w:type="pct"/>
            <w:tcBorders>
              <w:top w:val="nil"/>
              <w:left w:val="nil"/>
              <w:bottom w:val="single" w:sz="8" w:space="0" w:color="BFBFBF"/>
              <w:right w:val="single" w:sz="8" w:space="0" w:color="BFBFBF"/>
            </w:tcBorders>
            <w:shd w:val="clear" w:color="000000" w:fill="DDEEFF"/>
            <w:vAlign w:val="bottom"/>
            <w:hideMark/>
          </w:tcPr>
          <w:p w:rsidR="00195BE7" w:rsidRPr="001E2F6E" w:rsidRDefault="00195BE7" w:rsidP="00195BE7">
            <w:pPr>
              <w:spacing w:line="220" w:lineRule="atLeast"/>
              <w:jc w:val="right"/>
              <w:rPr>
                <w:b/>
                <w:bCs/>
                <w:color w:val="000000"/>
                <w:sz w:val="16"/>
                <w:szCs w:val="16"/>
              </w:rPr>
            </w:pPr>
            <w:r w:rsidRPr="001E2F6E">
              <w:rPr>
                <w:b/>
                <w:bCs/>
                <w:color w:val="000000"/>
                <w:sz w:val="16"/>
                <w:szCs w:val="16"/>
              </w:rPr>
              <w:t>97.636.324</w:t>
            </w:r>
          </w:p>
        </w:tc>
      </w:tr>
    </w:tbl>
    <w:p w:rsidR="00195BE7" w:rsidRPr="001E2F6E" w:rsidRDefault="00195BE7" w:rsidP="00195BE7">
      <w:pPr>
        <w:rPr>
          <w:lang w:val="en-GB"/>
        </w:rPr>
      </w:pPr>
    </w:p>
    <w:p w:rsidR="00195BE7" w:rsidRPr="00A105C6" w:rsidRDefault="00195BE7" w:rsidP="00195BE7">
      <w:pPr>
        <w:spacing w:line="240" w:lineRule="auto"/>
        <w:jc w:val="center"/>
        <w:rPr>
          <w:b/>
          <w:color w:val="1F497D" w:themeColor="text2"/>
          <w:sz w:val="18"/>
          <w:szCs w:val="18"/>
          <w:lang w:val="en-GB"/>
        </w:rPr>
      </w:pPr>
      <w:bookmarkStart w:id="256" w:name="_Toc391989144"/>
      <w:bookmarkStart w:id="257" w:name="_Toc392585809"/>
      <w:r w:rsidRPr="00067A2F">
        <w:rPr>
          <w:b/>
          <w:color w:val="1F497D" w:themeColor="text2"/>
          <w:sz w:val="18"/>
          <w:szCs w:val="18"/>
        </w:rPr>
        <w:lastRenderedPageBreak/>
        <w:t>1.</w:t>
      </w:r>
      <w:r w:rsidR="00EB6BA6" w:rsidRPr="001E2F6E">
        <w:rPr>
          <w:b/>
          <w:color w:val="1F497D" w:themeColor="text2"/>
          <w:sz w:val="18"/>
          <w:szCs w:val="18"/>
        </w:rPr>
        <w:fldChar w:fldCharType="begin"/>
      </w:r>
      <w:r w:rsidRPr="00067A2F">
        <w:rPr>
          <w:b/>
          <w:color w:val="1F497D" w:themeColor="text2"/>
          <w:sz w:val="18"/>
          <w:szCs w:val="18"/>
        </w:rPr>
        <w:instrText xml:space="preserve"> SEQ Cuadro_1. \* ARABIC </w:instrText>
      </w:r>
      <w:r w:rsidR="00EB6BA6" w:rsidRPr="001E2F6E">
        <w:rPr>
          <w:b/>
          <w:color w:val="1F497D" w:themeColor="text2"/>
          <w:sz w:val="18"/>
          <w:szCs w:val="18"/>
        </w:rPr>
        <w:fldChar w:fldCharType="separate"/>
      </w:r>
      <w:r w:rsidR="00A327D4">
        <w:rPr>
          <w:b/>
          <w:noProof/>
          <w:color w:val="1F497D" w:themeColor="text2"/>
          <w:sz w:val="18"/>
          <w:szCs w:val="18"/>
        </w:rPr>
        <w:t>74</w:t>
      </w:r>
      <w:r w:rsidR="00EB6BA6" w:rsidRPr="001E2F6E">
        <w:rPr>
          <w:b/>
          <w:color w:val="1F497D" w:themeColor="text2"/>
          <w:sz w:val="18"/>
          <w:szCs w:val="18"/>
        </w:rPr>
        <w:fldChar w:fldCharType="end"/>
      </w:r>
      <w:r w:rsidRPr="00067A2F">
        <w:rPr>
          <w:b/>
          <w:color w:val="1F497D" w:themeColor="text2"/>
          <w:sz w:val="18"/>
          <w:szCs w:val="18"/>
        </w:rPr>
        <w:t xml:space="preserve"> Taula GIZARTE-EKONOMIAREN EMAITZEN KONTUA, JARDUERA-SEKTOREAREN ARABERA.</w:t>
      </w:r>
      <w:bookmarkEnd w:id="256"/>
      <w:r w:rsidRPr="00067A2F">
        <w:rPr>
          <w:b/>
          <w:color w:val="1F497D" w:themeColor="text2"/>
          <w:sz w:val="18"/>
          <w:szCs w:val="18"/>
        </w:rPr>
        <w:t xml:space="preserve"> </w:t>
      </w:r>
      <w:r w:rsidRPr="00A105C6">
        <w:rPr>
          <w:b/>
          <w:color w:val="1F497D" w:themeColor="text2"/>
          <w:sz w:val="18"/>
          <w:szCs w:val="18"/>
          <w:lang w:val="en-GB"/>
        </w:rPr>
        <w:t>2012. BIZKAIA. (</w:t>
      </w:r>
      <w:r w:rsidR="00462130" w:rsidRPr="00A105C6">
        <w:rPr>
          <w:b/>
          <w:color w:val="1F497D" w:themeColor="text2"/>
          <w:sz w:val="18"/>
          <w:szCs w:val="18"/>
          <w:lang w:val="en-GB"/>
        </w:rPr>
        <w:t xml:space="preserve">zifra absolutuak </w:t>
      </w:r>
      <w:r w:rsidRPr="00A105C6">
        <w:rPr>
          <w:b/>
          <w:color w:val="1F497D" w:themeColor="text2"/>
          <w:sz w:val="18"/>
          <w:szCs w:val="18"/>
          <w:lang w:val="en-GB"/>
        </w:rPr>
        <w:t>Euroan) (Ohiko prezioak)</w:t>
      </w:r>
      <w:bookmarkEnd w:id="257"/>
    </w:p>
    <w:p w:rsidR="00195BE7" w:rsidRPr="00A105C6" w:rsidRDefault="00195BE7" w:rsidP="00195BE7">
      <w:pPr>
        <w:rPr>
          <w:sz w:val="2"/>
          <w:szCs w:val="2"/>
          <w:lang w:val="en-GB"/>
        </w:rPr>
      </w:pPr>
    </w:p>
    <w:tbl>
      <w:tblPr>
        <w:tblW w:w="5000" w:type="pct"/>
        <w:tblCellMar>
          <w:left w:w="70" w:type="dxa"/>
          <w:right w:w="70" w:type="dxa"/>
        </w:tblCellMar>
        <w:tblLook w:val="04A0" w:firstRow="1" w:lastRow="0" w:firstColumn="1" w:lastColumn="0" w:noHBand="0" w:noVBand="1"/>
      </w:tblPr>
      <w:tblGrid>
        <w:gridCol w:w="3368"/>
        <w:gridCol w:w="1173"/>
        <w:gridCol w:w="859"/>
        <w:gridCol w:w="1173"/>
        <w:gridCol w:w="1182"/>
        <w:gridCol w:w="1173"/>
      </w:tblGrid>
      <w:tr w:rsidR="00195BE7" w:rsidRPr="001E2F6E" w:rsidTr="00195BE7">
        <w:tc>
          <w:tcPr>
            <w:tcW w:w="1886" w:type="pct"/>
            <w:tcBorders>
              <w:top w:val="single" w:sz="8" w:space="0" w:color="BFBFBF"/>
              <w:left w:val="nil"/>
              <w:bottom w:val="single" w:sz="8" w:space="0" w:color="BFBFBF"/>
              <w:right w:val="single" w:sz="8" w:space="0" w:color="BFBFBF"/>
            </w:tcBorders>
            <w:shd w:val="clear" w:color="000000" w:fill="DBE5F1"/>
            <w:vAlign w:val="bottom"/>
            <w:hideMark/>
          </w:tcPr>
          <w:p w:rsidR="00195BE7" w:rsidRPr="00A105C6" w:rsidRDefault="00195BE7" w:rsidP="00195BE7">
            <w:pPr>
              <w:spacing w:line="220" w:lineRule="exact"/>
              <w:rPr>
                <w:color w:val="000000"/>
                <w:sz w:val="16"/>
                <w:szCs w:val="16"/>
                <w:lang w:val="en-GB"/>
              </w:rPr>
            </w:pPr>
            <w:r w:rsidRPr="00A105C6">
              <w:rPr>
                <w:color w:val="000000"/>
                <w:sz w:val="16"/>
                <w:szCs w:val="16"/>
                <w:lang w:val="en-GB"/>
              </w:rPr>
              <w:t> </w:t>
            </w:r>
          </w:p>
        </w:tc>
        <w:tc>
          <w:tcPr>
            <w:tcW w:w="657" w:type="pct"/>
            <w:tcBorders>
              <w:top w:val="single" w:sz="8" w:space="0" w:color="BFBFBF"/>
              <w:left w:val="nil"/>
              <w:bottom w:val="single" w:sz="8" w:space="0" w:color="BFBFBF"/>
              <w:right w:val="single" w:sz="8" w:space="0" w:color="BFBFBF"/>
            </w:tcBorders>
            <w:shd w:val="clear" w:color="000000" w:fill="DBE5F1"/>
            <w:vAlign w:val="center"/>
            <w:hideMark/>
          </w:tcPr>
          <w:p w:rsidR="00195BE7" w:rsidRPr="001E2F6E" w:rsidRDefault="00195BE7" w:rsidP="00195BE7">
            <w:pPr>
              <w:spacing w:line="220" w:lineRule="exact"/>
              <w:jc w:val="center"/>
              <w:rPr>
                <w:rFonts w:eastAsia="Times New Roman"/>
                <w:b/>
                <w:bCs/>
                <w:color w:val="000000"/>
                <w:sz w:val="16"/>
                <w:szCs w:val="16"/>
                <w:lang w:eastAsia="es-ES"/>
              </w:rPr>
            </w:pPr>
            <w:r w:rsidRPr="001E2F6E">
              <w:rPr>
                <w:rFonts w:eastAsia="Times New Roman"/>
                <w:b/>
                <w:bCs/>
                <w:color w:val="000000"/>
                <w:sz w:val="16"/>
                <w:szCs w:val="16"/>
                <w:lang w:eastAsia="es-ES"/>
              </w:rPr>
              <w:t>GUZTIRA</w:t>
            </w:r>
          </w:p>
        </w:tc>
        <w:tc>
          <w:tcPr>
            <w:tcW w:w="481" w:type="pct"/>
            <w:tcBorders>
              <w:top w:val="single" w:sz="8" w:space="0" w:color="BFBFBF"/>
              <w:left w:val="nil"/>
              <w:bottom w:val="single" w:sz="8" w:space="0" w:color="BFBFBF"/>
              <w:right w:val="single" w:sz="8" w:space="0" w:color="BFBFBF"/>
            </w:tcBorders>
            <w:shd w:val="clear" w:color="000000" w:fill="DBE5F1"/>
            <w:vAlign w:val="center"/>
            <w:hideMark/>
          </w:tcPr>
          <w:p w:rsidR="00195BE7" w:rsidRPr="001E2F6E" w:rsidRDefault="00195BE7" w:rsidP="00195BE7">
            <w:pPr>
              <w:spacing w:line="220" w:lineRule="exact"/>
              <w:jc w:val="center"/>
              <w:rPr>
                <w:b/>
                <w:bCs/>
                <w:sz w:val="16"/>
                <w:szCs w:val="16"/>
                <w:lang w:val="eu-ES"/>
              </w:rPr>
            </w:pPr>
            <w:r w:rsidRPr="001E2F6E">
              <w:rPr>
                <w:b/>
                <w:bCs/>
                <w:sz w:val="16"/>
                <w:szCs w:val="16"/>
                <w:lang w:val="eu-ES"/>
              </w:rPr>
              <w:t>Lehen sektorea</w:t>
            </w:r>
          </w:p>
        </w:tc>
        <w:tc>
          <w:tcPr>
            <w:tcW w:w="657" w:type="pct"/>
            <w:tcBorders>
              <w:top w:val="single" w:sz="8" w:space="0" w:color="BFBFBF"/>
              <w:left w:val="nil"/>
              <w:bottom w:val="single" w:sz="8" w:space="0" w:color="BFBFBF"/>
              <w:right w:val="single" w:sz="8" w:space="0" w:color="BFBFBF"/>
            </w:tcBorders>
            <w:shd w:val="clear" w:color="000000" w:fill="DBE5F1"/>
            <w:vAlign w:val="center"/>
            <w:hideMark/>
          </w:tcPr>
          <w:p w:rsidR="00195BE7" w:rsidRPr="001E2F6E" w:rsidRDefault="00195BE7" w:rsidP="00195BE7">
            <w:pPr>
              <w:spacing w:line="220" w:lineRule="exact"/>
              <w:jc w:val="center"/>
              <w:rPr>
                <w:b/>
                <w:bCs/>
                <w:sz w:val="16"/>
                <w:szCs w:val="16"/>
                <w:lang w:val="eu-ES"/>
              </w:rPr>
            </w:pPr>
            <w:r w:rsidRPr="001E2F6E">
              <w:rPr>
                <w:b/>
                <w:bCs/>
                <w:sz w:val="16"/>
                <w:szCs w:val="16"/>
                <w:lang w:val="eu-ES"/>
              </w:rPr>
              <w:t>Industria</w:t>
            </w:r>
          </w:p>
        </w:tc>
        <w:tc>
          <w:tcPr>
            <w:tcW w:w="662" w:type="pct"/>
            <w:tcBorders>
              <w:top w:val="single" w:sz="8" w:space="0" w:color="BFBFBF"/>
              <w:left w:val="nil"/>
              <w:bottom w:val="single" w:sz="8" w:space="0" w:color="BFBFBF"/>
              <w:right w:val="single" w:sz="8" w:space="0" w:color="BFBFBF"/>
            </w:tcBorders>
            <w:shd w:val="clear" w:color="000000" w:fill="DBE5F1"/>
            <w:vAlign w:val="center"/>
            <w:hideMark/>
          </w:tcPr>
          <w:p w:rsidR="00195BE7" w:rsidRPr="001E2F6E" w:rsidRDefault="00195BE7" w:rsidP="00195BE7">
            <w:pPr>
              <w:spacing w:line="220" w:lineRule="exact"/>
              <w:jc w:val="center"/>
              <w:rPr>
                <w:b/>
                <w:bCs/>
                <w:sz w:val="16"/>
                <w:szCs w:val="16"/>
                <w:lang w:val="eu-ES"/>
              </w:rPr>
            </w:pPr>
            <w:r w:rsidRPr="001E2F6E">
              <w:rPr>
                <w:b/>
                <w:bCs/>
                <w:sz w:val="16"/>
                <w:szCs w:val="16"/>
                <w:lang w:val="eu-ES"/>
              </w:rPr>
              <w:t>Eraikuntza</w:t>
            </w:r>
          </w:p>
        </w:tc>
        <w:tc>
          <w:tcPr>
            <w:tcW w:w="657" w:type="pct"/>
            <w:tcBorders>
              <w:top w:val="single" w:sz="8" w:space="0" w:color="BFBFBF"/>
              <w:left w:val="nil"/>
              <w:bottom w:val="single" w:sz="8" w:space="0" w:color="BFBFBF"/>
              <w:right w:val="nil"/>
            </w:tcBorders>
            <w:shd w:val="clear" w:color="000000" w:fill="DBE5F1"/>
            <w:vAlign w:val="center"/>
            <w:hideMark/>
          </w:tcPr>
          <w:p w:rsidR="00195BE7" w:rsidRPr="001E2F6E" w:rsidRDefault="00195BE7" w:rsidP="00195BE7">
            <w:pPr>
              <w:spacing w:line="220" w:lineRule="exact"/>
              <w:jc w:val="center"/>
              <w:rPr>
                <w:b/>
                <w:bCs/>
                <w:sz w:val="16"/>
                <w:szCs w:val="16"/>
                <w:lang w:val="eu-ES"/>
              </w:rPr>
            </w:pPr>
            <w:r w:rsidRPr="001E2F6E">
              <w:rPr>
                <w:b/>
                <w:bCs/>
                <w:sz w:val="16"/>
                <w:szCs w:val="16"/>
                <w:lang w:val="eu-ES"/>
              </w:rPr>
              <w:t>Zerbitzuak</w:t>
            </w:r>
          </w:p>
        </w:tc>
      </w:tr>
      <w:tr w:rsidR="00195BE7" w:rsidRPr="001E2F6E" w:rsidTr="00195BE7">
        <w:tc>
          <w:tcPr>
            <w:tcW w:w="1886" w:type="pct"/>
            <w:tcBorders>
              <w:top w:val="nil"/>
              <w:left w:val="nil"/>
              <w:bottom w:val="nil"/>
              <w:right w:val="single" w:sz="8" w:space="0" w:color="BFBFBF"/>
            </w:tcBorders>
            <w:shd w:val="clear" w:color="auto" w:fill="auto"/>
            <w:vAlign w:val="bottom"/>
            <w:hideMark/>
          </w:tcPr>
          <w:p w:rsidR="00195BE7" w:rsidRPr="001E2F6E" w:rsidRDefault="00195BE7" w:rsidP="00195BE7">
            <w:pPr>
              <w:spacing w:line="220" w:lineRule="exact"/>
              <w:rPr>
                <w:b/>
                <w:bCs/>
                <w:sz w:val="16"/>
                <w:szCs w:val="16"/>
                <w:lang w:val="eu-ES"/>
              </w:rPr>
            </w:pPr>
            <w:r w:rsidRPr="001E2F6E">
              <w:rPr>
                <w:b/>
                <w:bCs/>
                <w:sz w:val="16"/>
                <w:szCs w:val="16"/>
                <w:lang w:val="eu-ES"/>
              </w:rPr>
              <w:t>DIRU-SARRERAK</w:t>
            </w:r>
          </w:p>
        </w:tc>
        <w:tc>
          <w:tcPr>
            <w:tcW w:w="657" w:type="pct"/>
            <w:tcBorders>
              <w:top w:val="nil"/>
              <w:left w:val="nil"/>
              <w:bottom w:val="nil"/>
              <w:right w:val="single" w:sz="8" w:space="0" w:color="BFBFBF"/>
            </w:tcBorders>
            <w:shd w:val="clear" w:color="auto" w:fill="auto"/>
            <w:vAlign w:val="bottom"/>
            <w:hideMark/>
          </w:tcPr>
          <w:p w:rsidR="00195BE7" w:rsidRPr="001E2F6E" w:rsidRDefault="00195BE7" w:rsidP="00195BE7">
            <w:pPr>
              <w:spacing w:line="220" w:lineRule="exact"/>
              <w:jc w:val="center"/>
              <w:rPr>
                <w:color w:val="000000"/>
                <w:sz w:val="16"/>
                <w:szCs w:val="16"/>
              </w:rPr>
            </w:pPr>
            <w:r w:rsidRPr="001E2F6E">
              <w:rPr>
                <w:color w:val="000000"/>
                <w:sz w:val="16"/>
                <w:szCs w:val="16"/>
              </w:rPr>
              <w:t> </w:t>
            </w:r>
          </w:p>
        </w:tc>
        <w:tc>
          <w:tcPr>
            <w:tcW w:w="481" w:type="pct"/>
            <w:tcBorders>
              <w:top w:val="nil"/>
              <w:left w:val="nil"/>
              <w:bottom w:val="nil"/>
              <w:right w:val="single" w:sz="8" w:space="0" w:color="BFBFBF"/>
            </w:tcBorders>
            <w:shd w:val="clear" w:color="auto" w:fill="auto"/>
            <w:vAlign w:val="bottom"/>
            <w:hideMark/>
          </w:tcPr>
          <w:p w:rsidR="00195BE7" w:rsidRPr="001E2F6E" w:rsidRDefault="00195BE7" w:rsidP="00195BE7">
            <w:pPr>
              <w:spacing w:line="220" w:lineRule="exact"/>
              <w:jc w:val="center"/>
              <w:rPr>
                <w:color w:val="000000"/>
                <w:sz w:val="16"/>
                <w:szCs w:val="16"/>
              </w:rPr>
            </w:pPr>
            <w:r w:rsidRPr="001E2F6E">
              <w:rPr>
                <w:color w:val="000000"/>
                <w:sz w:val="16"/>
                <w:szCs w:val="16"/>
              </w:rPr>
              <w:t> </w:t>
            </w:r>
          </w:p>
        </w:tc>
        <w:tc>
          <w:tcPr>
            <w:tcW w:w="657" w:type="pct"/>
            <w:tcBorders>
              <w:top w:val="nil"/>
              <w:left w:val="nil"/>
              <w:bottom w:val="nil"/>
              <w:right w:val="single" w:sz="8" w:space="0" w:color="BFBFBF"/>
            </w:tcBorders>
            <w:shd w:val="clear" w:color="auto" w:fill="auto"/>
            <w:vAlign w:val="bottom"/>
            <w:hideMark/>
          </w:tcPr>
          <w:p w:rsidR="00195BE7" w:rsidRPr="001E2F6E" w:rsidRDefault="00195BE7" w:rsidP="00195BE7">
            <w:pPr>
              <w:spacing w:line="220" w:lineRule="exact"/>
              <w:jc w:val="center"/>
              <w:rPr>
                <w:color w:val="000000"/>
                <w:sz w:val="16"/>
                <w:szCs w:val="16"/>
              </w:rPr>
            </w:pPr>
            <w:r w:rsidRPr="001E2F6E">
              <w:rPr>
                <w:color w:val="000000"/>
                <w:sz w:val="16"/>
                <w:szCs w:val="16"/>
              </w:rPr>
              <w:t> </w:t>
            </w:r>
          </w:p>
        </w:tc>
        <w:tc>
          <w:tcPr>
            <w:tcW w:w="662" w:type="pct"/>
            <w:tcBorders>
              <w:top w:val="nil"/>
              <w:left w:val="nil"/>
              <w:bottom w:val="nil"/>
              <w:right w:val="single" w:sz="8" w:space="0" w:color="BFBFBF"/>
            </w:tcBorders>
            <w:shd w:val="clear" w:color="auto" w:fill="auto"/>
            <w:noWrap/>
            <w:vAlign w:val="bottom"/>
            <w:hideMark/>
          </w:tcPr>
          <w:p w:rsidR="00195BE7" w:rsidRPr="001E2F6E" w:rsidRDefault="00195BE7" w:rsidP="00195BE7">
            <w:pPr>
              <w:spacing w:line="220" w:lineRule="exact"/>
              <w:jc w:val="right"/>
              <w:rPr>
                <w:color w:val="000000"/>
                <w:sz w:val="16"/>
                <w:szCs w:val="16"/>
              </w:rPr>
            </w:pPr>
            <w:r w:rsidRPr="001E2F6E">
              <w:rPr>
                <w:color w:val="000000"/>
                <w:sz w:val="16"/>
                <w:szCs w:val="16"/>
              </w:rPr>
              <w:t> </w:t>
            </w:r>
          </w:p>
        </w:tc>
        <w:tc>
          <w:tcPr>
            <w:tcW w:w="657" w:type="pct"/>
            <w:tcBorders>
              <w:top w:val="nil"/>
              <w:left w:val="nil"/>
              <w:bottom w:val="nil"/>
              <w:right w:val="single" w:sz="8" w:space="0" w:color="BFBFBF"/>
            </w:tcBorders>
            <w:shd w:val="clear" w:color="auto" w:fill="auto"/>
            <w:noWrap/>
            <w:vAlign w:val="bottom"/>
            <w:hideMark/>
          </w:tcPr>
          <w:p w:rsidR="00195BE7" w:rsidRPr="001E2F6E" w:rsidRDefault="00195BE7" w:rsidP="00195BE7">
            <w:pPr>
              <w:spacing w:line="220" w:lineRule="exact"/>
              <w:jc w:val="right"/>
              <w:rPr>
                <w:color w:val="000000"/>
                <w:sz w:val="16"/>
                <w:szCs w:val="16"/>
              </w:rPr>
            </w:pPr>
            <w:r w:rsidRPr="001E2F6E">
              <w:rPr>
                <w:color w:val="000000"/>
                <w:sz w:val="16"/>
                <w:szCs w:val="16"/>
              </w:rPr>
              <w:t> </w:t>
            </w:r>
          </w:p>
        </w:tc>
      </w:tr>
      <w:tr w:rsidR="00195BE7" w:rsidRPr="001E2F6E" w:rsidTr="00195BE7">
        <w:tc>
          <w:tcPr>
            <w:tcW w:w="1886" w:type="pct"/>
            <w:tcBorders>
              <w:top w:val="nil"/>
              <w:left w:val="nil"/>
              <w:bottom w:val="nil"/>
              <w:right w:val="single" w:sz="8" w:space="0" w:color="BFBFBF"/>
            </w:tcBorders>
            <w:shd w:val="clear" w:color="auto" w:fill="auto"/>
            <w:vAlign w:val="bottom"/>
            <w:hideMark/>
          </w:tcPr>
          <w:p w:rsidR="00195BE7" w:rsidRPr="001E2F6E" w:rsidRDefault="00195BE7" w:rsidP="00195BE7">
            <w:pPr>
              <w:spacing w:line="220" w:lineRule="exact"/>
              <w:rPr>
                <w:sz w:val="16"/>
                <w:szCs w:val="16"/>
                <w:lang w:val="eu-ES"/>
              </w:rPr>
            </w:pPr>
            <w:r w:rsidRPr="001E2F6E">
              <w:rPr>
                <w:sz w:val="16"/>
                <w:szCs w:val="16"/>
                <w:lang w:val="eu-ES"/>
              </w:rPr>
              <w:t>70 Salmenta garbiak</w:t>
            </w:r>
          </w:p>
        </w:tc>
        <w:tc>
          <w:tcPr>
            <w:tcW w:w="657" w:type="pct"/>
            <w:tcBorders>
              <w:top w:val="nil"/>
              <w:left w:val="nil"/>
              <w:bottom w:val="nil"/>
              <w:right w:val="single" w:sz="8" w:space="0" w:color="BFBFBF"/>
            </w:tcBorders>
            <w:shd w:val="clear" w:color="auto" w:fill="auto"/>
            <w:noWrap/>
            <w:vAlign w:val="bottom"/>
            <w:hideMark/>
          </w:tcPr>
          <w:p w:rsidR="00195BE7" w:rsidRPr="001E2F6E" w:rsidRDefault="00195BE7" w:rsidP="00195BE7">
            <w:pPr>
              <w:spacing w:line="220" w:lineRule="exact"/>
              <w:jc w:val="right"/>
              <w:rPr>
                <w:color w:val="000000"/>
                <w:sz w:val="16"/>
                <w:szCs w:val="16"/>
              </w:rPr>
            </w:pPr>
            <w:r w:rsidRPr="001E2F6E">
              <w:rPr>
                <w:color w:val="000000"/>
                <w:sz w:val="16"/>
                <w:szCs w:val="16"/>
              </w:rPr>
              <w:t>2.820.198.746</w:t>
            </w:r>
          </w:p>
        </w:tc>
        <w:tc>
          <w:tcPr>
            <w:tcW w:w="481" w:type="pct"/>
            <w:tcBorders>
              <w:top w:val="nil"/>
              <w:left w:val="nil"/>
              <w:bottom w:val="nil"/>
              <w:right w:val="single" w:sz="8" w:space="0" w:color="BFBFBF"/>
            </w:tcBorders>
            <w:shd w:val="clear" w:color="auto" w:fill="auto"/>
            <w:noWrap/>
            <w:vAlign w:val="bottom"/>
            <w:hideMark/>
          </w:tcPr>
          <w:p w:rsidR="00195BE7" w:rsidRPr="001E2F6E" w:rsidRDefault="00195BE7" w:rsidP="00195BE7">
            <w:pPr>
              <w:spacing w:line="220" w:lineRule="exact"/>
              <w:jc w:val="right"/>
              <w:rPr>
                <w:color w:val="000000"/>
                <w:sz w:val="16"/>
                <w:szCs w:val="16"/>
              </w:rPr>
            </w:pPr>
            <w:r w:rsidRPr="001E2F6E">
              <w:rPr>
                <w:color w:val="000000"/>
                <w:sz w:val="16"/>
                <w:szCs w:val="16"/>
              </w:rPr>
              <w:t>1.427.399</w:t>
            </w:r>
          </w:p>
        </w:tc>
        <w:tc>
          <w:tcPr>
            <w:tcW w:w="657" w:type="pct"/>
            <w:tcBorders>
              <w:top w:val="nil"/>
              <w:left w:val="nil"/>
              <w:bottom w:val="nil"/>
              <w:right w:val="single" w:sz="8" w:space="0" w:color="BFBFBF"/>
            </w:tcBorders>
            <w:shd w:val="clear" w:color="auto" w:fill="auto"/>
            <w:noWrap/>
            <w:vAlign w:val="bottom"/>
            <w:hideMark/>
          </w:tcPr>
          <w:p w:rsidR="00195BE7" w:rsidRPr="001E2F6E" w:rsidRDefault="00195BE7" w:rsidP="00195BE7">
            <w:pPr>
              <w:spacing w:line="220" w:lineRule="exact"/>
              <w:jc w:val="right"/>
              <w:rPr>
                <w:color w:val="000000"/>
                <w:sz w:val="16"/>
                <w:szCs w:val="16"/>
              </w:rPr>
            </w:pPr>
            <w:r w:rsidRPr="001E2F6E">
              <w:rPr>
                <w:color w:val="000000"/>
                <w:sz w:val="16"/>
                <w:szCs w:val="16"/>
              </w:rPr>
              <w:t>1.132.325.925</w:t>
            </w:r>
          </w:p>
        </w:tc>
        <w:tc>
          <w:tcPr>
            <w:tcW w:w="662" w:type="pct"/>
            <w:tcBorders>
              <w:top w:val="nil"/>
              <w:left w:val="nil"/>
              <w:bottom w:val="nil"/>
              <w:right w:val="single" w:sz="8" w:space="0" w:color="BFBFBF"/>
            </w:tcBorders>
            <w:shd w:val="clear" w:color="auto" w:fill="auto"/>
            <w:noWrap/>
            <w:vAlign w:val="bottom"/>
            <w:hideMark/>
          </w:tcPr>
          <w:p w:rsidR="00195BE7" w:rsidRPr="001E2F6E" w:rsidRDefault="00195BE7" w:rsidP="00195BE7">
            <w:pPr>
              <w:spacing w:line="220" w:lineRule="exact"/>
              <w:jc w:val="right"/>
              <w:rPr>
                <w:color w:val="000000"/>
                <w:sz w:val="16"/>
                <w:szCs w:val="16"/>
              </w:rPr>
            </w:pPr>
            <w:r w:rsidRPr="001E2F6E">
              <w:rPr>
                <w:color w:val="000000"/>
                <w:sz w:val="16"/>
                <w:szCs w:val="16"/>
              </w:rPr>
              <w:t>117.539.224</w:t>
            </w:r>
          </w:p>
        </w:tc>
        <w:tc>
          <w:tcPr>
            <w:tcW w:w="657" w:type="pct"/>
            <w:tcBorders>
              <w:top w:val="nil"/>
              <w:left w:val="nil"/>
              <w:bottom w:val="nil"/>
              <w:right w:val="single" w:sz="8" w:space="0" w:color="BFBFBF"/>
            </w:tcBorders>
            <w:shd w:val="clear" w:color="auto" w:fill="auto"/>
            <w:noWrap/>
            <w:vAlign w:val="bottom"/>
            <w:hideMark/>
          </w:tcPr>
          <w:p w:rsidR="00195BE7" w:rsidRPr="001E2F6E" w:rsidRDefault="00195BE7" w:rsidP="00195BE7">
            <w:pPr>
              <w:spacing w:line="220" w:lineRule="exact"/>
              <w:jc w:val="right"/>
              <w:rPr>
                <w:color w:val="000000"/>
                <w:sz w:val="16"/>
                <w:szCs w:val="16"/>
              </w:rPr>
            </w:pPr>
            <w:r w:rsidRPr="001E2F6E">
              <w:rPr>
                <w:color w:val="000000"/>
                <w:sz w:val="16"/>
                <w:szCs w:val="16"/>
              </w:rPr>
              <w:t>1.568.906.198</w:t>
            </w:r>
          </w:p>
        </w:tc>
      </w:tr>
      <w:tr w:rsidR="00195BE7" w:rsidRPr="001E2F6E" w:rsidTr="00195BE7">
        <w:tc>
          <w:tcPr>
            <w:tcW w:w="1886" w:type="pct"/>
            <w:tcBorders>
              <w:top w:val="nil"/>
              <w:left w:val="nil"/>
              <w:bottom w:val="nil"/>
              <w:right w:val="single" w:sz="8" w:space="0" w:color="BFBFBF"/>
            </w:tcBorders>
            <w:shd w:val="clear" w:color="auto" w:fill="auto"/>
            <w:vAlign w:val="bottom"/>
            <w:hideMark/>
          </w:tcPr>
          <w:p w:rsidR="00195BE7" w:rsidRPr="001E2F6E" w:rsidRDefault="00195BE7" w:rsidP="00195BE7">
            <w:pPr>
              <w:spacing w:line="220" w:lineRule="exact"/>
              <w:rPr>
                <w:sz w:val="16"/>
                <w:szCs w:val="16"/>
                <w:lang w:val="eu-ES"/>
              </w:rPr>
            </w:pPr>
            <w:r w:rsidRPr="001E2F6E">
              <w:rPr>
                <w:sz w:val="16"/>
                <w:szCs w:val="16"/>
                <w:lang w:val="eu-ES"/>
              </w:rPr>
              <w:t>71 Izakinen aldaketa</w:t>
            </w:r>
          </w:p>
        </w:tc>
        <w:tc>
          <w:tcPr>
            <w:tcW w:w="657" w:type="pct"/>
            <w:tcBorders>
              <w:top w:val="nil"/>
              <w:left w:val="nil"/>
              <w:bottom w:val="nil"/>
              <w:right w:val="single" w:sz="8" w:space="0" w:color="BFBFBF"/>
            </w:tcBorders>
            <w:shd w:val="clear" w:color="auto" w:fill="auto"/>
            <w:noWrap/>
            <w:vAlign w:val="bottom"/>
            <w:hideMark/>
          </w:tcPr>
          <w:p w:rsidR="00195BE7" w:rsidRPr="001E2F6E" w:rsidRDefault="00195BE7" w:rsidP="00195BE7">
            <w:pPr>
              <w:spacing w:line="220" w:lineRule="exact"/>
              <w:jc w:val="right"/>
              <w:rPr>
                <w:color w:val="000000"/>
                <w:sz w:val="16"/>
                <w:szCs w:val="16"/>
              </w:rPr>
            </w:pPr>
            <w:r w:rsidRPr="001E2F6E">
              <w:rPr>
                <w:color w:val="000000"/>
                <w:sz w:val="16"/>
                <w:szCs w:val="16"/>
              </w:rPr>
              <w:t>-7.441.417</w:t>
            </w:r>
          </w:p>
        </w:tc>
        <w:tc>
          <w:tcPr>
            <w:tcW w:w="481" w:type="pct"/>
            <w:tcBorders>
              <w:top w:val="nil"/>
              <w:left w:val="nil"/>
              <w:bottom w:val="nil"/>
              <w:right w:val="single" w:sz="8" w:space="0" w:color="BFBFBF"/>
            </w:tcBorders>
            <w:shd w:val="clear" w:color="auto" w:fill="auto"/>
            <w:noWrap/>
            <w:vAlign w:val="bottom"/>
            <w:hideMark/>
          </w:tcPr>
          <w:p w:rsidR="00195BE7" w:rsidRPr="001E2F6E" w:rsidRDefault="00195BE7" w:rsidP="00195BE7">
            <w:pPr>
              <w:spacing w:line="220" w:lineRule="exact"/>
              <w:jc w:val="right"/>
              <w:rPr>
                <w:color w:val="000000"/>
                <w:sz w:val="16"/>
                <w:szCs w:val="16"/>
              </w:rPr>
            </w:pPr>
            <w:r w:rsidRPr="001E2F6E">
              <w:rPr>
                <w:color w:val="000000"/>
                <w:sz w:val="16"/>
                <w:szCs w:val="16"/>
              </w:rPr>
              <w:t> </w:t>
            </w:r>
          </w:p>
        </w:tc>
        <w:tc>
          <w:tcPr>
            <w:tcW w:w="657" w:type="pct"/>
            <w:tcBorders>
              <w:top w:val="nil"/>
              <w:left w:val="nil"/>
              <w:bottom w:val="nil"/>
              <w:right w:val="single" w:sz="8" w:space="0" w:color="BFBFBF"/>
            </w:tcBorders>
            <w:shd w:val="clear" w:color="auto" w:fill="auto"/>
            <w:noWrap/>
            <w:vAlign w:val="bottom"/>
            <w:hideMark/>
          </w:tcPr>
          <w:p w:rsidR="00195BE7" w:rsidRPr="001E2F6E" w:rsidRDefault="00195BE7" w:rsidP="00195BE7">
            <w:pPr>
              <w:spacing w:line="220" w:lineRule="exact"/>
              <w:jc w:val="right"/>
              <w:rPr>
                <w:color w:val="000000"/>
                <w:sz w:val="16"/>
                <w:szCs w:val="16"/>
              </w:rPr>
            </w:pPr>
            <w:r w:rsidRPr="001E2F6E">
              <w:rPr>
                <w:color w:val="000000"/>
                <w:sz w:val="16"/>
                <w:szCs w:val="16"/>
              </w:rPr>
              <w:t>-9.279.932</w:t>
            </w:r>
          </w:p>
        </w:tc>
        <w:tc>
          <w:tcPr>
            <w:tcW w:w="662" w:type="pct"/>
            <w:tcBorders>
              <w:top w:val="nil"/>
              <w:left w:val="nil"/>
              <w:bottom w:val="nil"/>
              <w:right w:val="single" w:sz="8" w:space="0" w:color="BFBFBF"/>
            </w:tcBorders>
            <w:shd w:val="clear" w:color="auto" w:fill="auto"/>
            <w:noWrap/>
            <w:vAlign w:val="bottom"/>
            <w:hideMark/>
          </w:tcPr>
          <w:p w:rsidR="00195BE7" w:rsidRPr="001E2F6E" w:rsidRDefault="00195BE7" w:rsidP="00195BE7">
            <w:pPr>
              <w:spacing w:line="220" w:lineRule="exact"/>
              <w:jc w:val="right"/>
              <w:rPr>
                <w:color w:val="000000"/>
                <w:sz w:val="16"/>
                <w:szCs w:val="16"/>
              </w:rPr>
            </w:pPr>
            <w:r w:rsidRPr="001E2F6E">
              <w:rPr>
                <w:color w:val="000000"/>
                <w:sz w:val="16"/>
                <w:szCs w:val="16"/>
              </w:rPr>
              <w:t>739.259</w:t>
            </w:r>
          </w:p>
        </w:tc>
        <w:tc>
          <w:tcPr>
            <w:tcW w:w="657" w:type="pct"/>
            <w:tcBorders>
              <w:top w:val="nil"/>
              <w:left w:val="nil"/>
              <w:bottom w:val="nil"/>
              <w:right w:val="single" w:sz="8" w:space="0" w:color="BFBFBF"/>
            </w:tcBorders>
            <w:shd w:val="clear" w:color="auto" w:fill="auto"/>
            <w:noWrap/>
            <w:vAlign w:val="bottom"/>
            <w:hideMark/>
          </w:tcPr>
          <w:p w:rsidR="00195BE7" w:rsidRPr="001E2F6E" w:rsidRDefault="00195BE7" w:rsidP="00195BE7">
            <w:pPr>
              <w:spacing w:line="220" w:lineRule="exact"/>
              <w:jc w:val="right"/>
              <w:rPr>
                <w:color w:val="000000"/>
                <w:sz w:val="16"/>
                <w:szCs w:val="16"/>
              </w:rPr>
            </w:pPr>
            <w:r w:rsidRPr="001E2F6E">
              <w:rPr>
                <w:color w:val="000000"/>
                <w:sz w:val="16"/>
                <w:szCs w:val="16"/>
              </w:rPr>
              <w:t>1.099.256</w:t>
            </w:r>
          </w:p>
        </w:tc>
      </w:tr>
      <w:tr w:rsidR="00195BE7" w:rsidRPr="001E2F6E" w:rsidTr="00195BE7">
        <w:tc>
          <w:tcPr>
            <w:tcW w:w="1886" w:type="pct"/>
            <w:tcBorders>
              <w:top w:val="nil"/>
              <w:left w:val="nil"/>
              <w:bottom w:val="nil"/>
              <w:right w:val="single" w:sz="8" w:space="0" w:color="BFBFBF"/>
            </w:tcBorders>
            <w:shd w:val="clear" w:color="auto" w:fill="auto"/>
            <w:vAlign w:val="bottom"/>
            <w:hideMark/>
          </w:tcPr>
          <w:p w:rsidR="00195BE7" w:rsidRPr="001E2F6E" w:rsidRDefault="00195BE7" w:rsidP="00195BE7">
            <w:pPr>
              <w:spacing w:line="220" w:lineRule="exact"/>
              <w:rPr>
                <w:sz w:val="16"/>
                <w:szCs w:val="16"/>
                <w:lang w:val="eu-ES"/>
              </w:rPr>
            </w:pPr>
            <w:r w:rsidRPr="001E2F6E">
              <w:rPr>
                <w:sz w:val="16"/>
                <w:szCs w:val="16"/>
                <w:lang w:val="eu-ES"/>
              </w:rPr>
              <w:t>73 Ibilgeturako egindako lanak</w:t>
            </w:r>
          </w:p>
        </w:tc>
        <w:tc>
          <w:tcPr>
            <w:tcW w:w="657" w:type="pct"/>
            <w:tcBorders>
              <w:top w:val="nil"/>
              <w:left w:val="nil"/>
              <w:bottom w:val="nil"/>
              <w:right w:val="single" w:sz="8" w:space="0" w:color="BFBFBF"/>
            </w:tcBorders>
            <w:shd w:val="clear" w:color="auto" w:fill="auto"/>
            <w:noWrap/>
            <w:vAlign w:val="bottom"/>
            <w:hideMark/>
          </w:tcPr>
          <w:p w:rsidR="00195BE7" w:rsidRPr="001E2F6E" w:rsidRDefault="00195BE7" w:rsidP="00195BE7">
            <w:pPr>
              <w:spacing w:line="220" w:lineRule="exact"/>
              <w:jc w:val="right"/>
              <w:rPr>
                <w:color w:val="000000"/>
                <w:sz w:val="16"/>
                <w:szCs w:val="16"/>
              </w:rPr>
            </w:pPr>
            <w:r w:rsidRPr="001E2F6E">
              <w:rPr>
                <w:color w:val="000000"/>
                <w:sz w:val="16"/>
                <w:szCs w:val="16"/>
              </w:rPr>
              <w:t>6.289.562</w:t>
            </w:r>
          </w:p>
        </w:tc>
        <w:tc>
          <w:tcPr>
            <w:tcW w:w="481" w:type="pct"/>
            <w:tcBorders>
              <w:top w:val="nil"/>
              <w:left w:val="nil"/>
              <w:bottom w:val="nil"/>
              <w:right w:val="single" w:sz="8" w:space="0" w:color="BFBFBF"/>
            </w:tcBorders>
            <w:shd w:val="clear" w:color="auto" w:fill="auto"/>
            <w:noWrap/>
            <w:vAlign w:val="bottom"/>
            <w:hideMark/>
          </w:tcPr>
          <w:p w:rsidR="00195BE7" w:rsidRPr="001E2F6E" w:rsidRDefault="00195BE7" w:rsidP="00195BE7">
            <w:pPr>
              <w:spacing w:line="220" w:lineRule="exact"/>
              <w:jc w:val="right"/>
              <w:rPr>
                <w:color w:val="000000"/>
                <w:sz w:val="16"/>
                <w:szCs w:val="16"/>
              </w:rPr>
            </w:pPr>
            <w:r w:rsidRPr="001E2F6E">
              <w:rPr>
                <w:color w:val="000000"/>
                <w:sz w:val="16"/>
                <w:szCs w:val="16"/>
              </w:rPr>
              <w:t> </w:t>
            </w:r>
          </w:p>
        </w:tc>
        <w:tc>
          <w:tcPr>
            <w:tcW w:w="657" w:type="pct"/>
            <w:tcBorders>
              <w:top w:val="nil"/>
              <w:left w:val="nil"/>
              <w:bottom w:val="nil"/>
              <w:right w:val="single" w:sz="8" w:space="0" w:color="BFBFBF"/>
            </w:tcBorders>
            <w:shd w:val="clear" w:color="auto" w:fill="auto"/>
            <w:noWrap/>
            <w:vAlign w:val="bottom"/>
            <w:hideMark/>
          </w:tcPr>
          <w:p w:rsidR="00195BE7" w:rsidRPr="001E2F6E" w:rsidRDefault="00195BE7" w:rsidP="00195BE7">
            <w:pPr>
              <w:spacing w:line="220" w:lineRule="exact"/>
              <w:jc w:val="right"/>
              <w:rPr>
                <w:color w:val="000000"/>
                <w:sz w:val="16"/>
                <w:szCs w:val="16"/>
              </w:rPr>
            </w:pPr>
            <w:r w:rsidRPr="001E2F6E">
              <w:rPr>
                <w:color w:val="000000"/>
                <w:sz w:val="16"/>
                <w:szCs w:val="16"/>
              </w:rPr>
              <w:t>5.200.765</w:t>
            </w:r>
          </w:p>
        </w:tc>
        <w:tc>
          <w:tcPr>
            <w:tcW w:w="662" w:type="pct"/>
            <w:tcBorders>
              <w:top w:val="nil"/>
              <w:left w:val="nil"/>
              <w:bottom w:val="nil"/>
              <w:right w:val="single" w:sz="8" w:space="0" w:color="BFBFBF"/>
            </w:tcBorders>
            <w:shd w:val="clear" w:color="auto" w:fill="auto"/>
            <w:noWrap/>
            <w:vAlign w:val="bottom"/>
            <w:hideMark/>
          </w:tcPr>
          <w:p w:rsidR="00195BE7" w:rsidRPr="001E2F6E" w:rsidRDefault="00195BE7" w:rsidP="00195BE7">
            <w:pPr>
              <w:spacing w:line="220" w:lineRule="exact"/>
              <w:jc w:val="right"/>
              <w:rPr>
                <w:color w:val="000000"/>
                <w:sz w:val="16"/>
                <w:szCs w:val="16"/>
              </w:rPr>
            </w:pPr>
            <w:r w:rsidRPr="001E2F6E">
              <w:rPr>
                <w:color w:val="000000"/>
                <w:sz w:val="16"/>
                <w:szCs w:val="16"/>
              </w:rPr>
              <w:t>180.232</w:t>
            </w:r>
          </w:p>
        </w:tc>
        <w:tc>
          <w:tcPr>
            <w:tcW w:w="657" w:type="pct"/>
            <w:tcBorders>
              <w:top w:val="nil"/>
              <w:left w:val="nil"/>
              <w:bottom w:val="nil"/>
              <w:right w:val="single" w:sz="8" w:space="0" w:color="BFBFBF"/>
            </w:tcBorders>
            <w:shd w:val="clear" w:color="auto" w:fill="auto"/>
            <w:noWrap/>
            <w:vAlign w:val="bottom"/>
            <w:hideMark/>
          </w:tcPr>
          <w:p w:rsidR="00195BE7" w:rsidRPr="001E2F6E" w:rsidRDefault="00195BE7" w:rsidP="00195BE7">
            <w:pPr>
              <w:spacing w:line="220" w:lineRule="exact"/>
              <w:jc w:val="right"/>
              <w:rPr>
                <w:color w:val="000000"/>
                <w:sz w:val="16"/>
                <w:szCs w:val="16"/>
              </w:rPr>
            </w:pPr>
            <w:r w:rsidRPr="001E2F6E">
              <w:rPr>
                <w:color w:val="000000"/>
                <w:sz w:val="16"/>
                <w:szCs w:val="16"/>
              </w:rPr>
              <w:t>908.565</w:t>
            </w:r>
          </w:p>
        </w:tc>
      </w:tr>
      <w:tr w:rsidR="00195BE7" w:rsidRPr="001E2F6E" w:rsidTr="00195BE7">
        <w:tc>
          <w:tcPr>
            <w:tcW w:w="1886" w:type="pct"/>
            <w:tcBorders>
              <w:top w:val="nil"/>
              <w:left w:val="nil"/>
              <w:bottom w:val="nil"/>
              <w:right w:val="single" w:sz="8" w:space="0" w:color="BFBFBF"/>
            </w:tcBorders>
            <w:shd w:val="clear" w:color="auto" w:fill="auto"/>
            <w:vAlign w:val="bottom"/>
            <w:hideMark/>
          </w:tcPr>
          <w:p w:rsidR="00195BE7" w:rsidRPr="001E2F6E" w:rsidRDefault="00195BE7" w:rsidP="00195BE7">
            <w:pPr>
              <w:spacing w:line="220" w:lineRule="exact"/>
              <w:rPr>
                <w:sz w:val="16"/>
                <w:szCs w:val="16"/>
                <w:lang w:val="eu-ES"/>
              </w:rPr>
            </w:pPr>
            <w:r w:rsidRPr="001E2F6E">
              <w:rPr>
                <w:sz w:val="16"/>
                <w:szCs w:val="16"/>
                <w:lang w:val="eu-ES"/>
              </w:rPr>
              <w:t>74 Ustiapeneko dirulaguntzak</w:t>
            </w:r>
          </w:p>
        </w:tc>
        <w:tc>
          <w:tcPr>
            <w:tcW w:w="657" w:type="pct"/>
            <w:tcBorders>
              <w:top w:val="nil"/>
              <w:left w:val="nil"/>
              <w:bottom w:val="nil"/>
              <w:right w:val="single" w:sz="8" w:space="0" w:color="BFBFBF"/>
            </w:tcBorders>
            <w:shd w:val="clear" w:color="auto" w:fill="auto"/>
            <w:noWrap/>
            <w:vAlign w:val="bottom"/>
            <w:hideMark/>
          </w:tcPr>
          <w:p w:rsidR="00195BE7" w:rsidRPr="001E2F6E" w:rsidRDefault="00195BE7" w:rsidP="00195BE7">
            <w:pPr>
              <w:spacing w:line="220" w:lineRule="exact"/>
              <w:jc w:val="right"/>
              <w:rPr>
                <w:color w:val="000000"/>
                <w:sz w:val="16"/>
                <w:szCs w:val="16"/>
              </w:rPr>
            </w:pPr>
            <w:r w:rsidRPr="001E2F6E">
              <w:rPr>
                <w:color w:val="000000"/>
                <w:sz w:val="16"/>
                <w:szCs w:val="16"/>
              </w:rPr>
              <w:t>131.343.847</w:t>
            </w:r>
          </w:p>
        </w:tc>
        <w:tc>
          <w:tcPr>
            <w:tcW w:w="481" w:type="pct"/>
            <w:tcBorders>
              <w:top w:val="nil"/>
              <w:left w:val="nil"/>
              <w:bottom w:val="nil"/>
              <w:right w:val="single" w:sz="8" w:space="0" w:color="BFBFBF"/>
            </w:tcBorders>
            <w:shd w:val="clear" w:color="auto" w:fill="auto"/>
            <w:noWrap/>
            <w:vAlign w:val="bottom"/>
            <w:hideMark/>
          </w:tcPr>
          <w:p w:rsidR="00195BE7" w:rsidRPr="001E2F6E" w:rsidRDefault="00195BE7" w:rsidP="00195BE7">
            <w:pPr>
              <w:spacing w:line="220" w:lineRule="exact"/>
              <w:jc w:val="right"/>
              <w:rPr>
                <w:color w:val="000000"/>
                <w:sz w:val="16"/>
                <w:szCs w:val="16"/>
              </w:rPr>
            </w:pPr>
            <w:r w:rsidRPr="001E2F6E">
              <w:rPr>
                <w:color w:val="000000"/>
                <w:sz w:val="16"/>
                <w:szCs w:val="16"/>
              </w:rPr>
              <w:t>225.869</w:t>
            </w:r>
          </w:p>
        </w:tc>
        <w:tc>
          <w:tcPr>
            <w:tcW w:w="657" w:type="pct"/>
            <w:tcBorders>
              <w:top w:val="nil"/>
              <w:left w:val="nil"/>
              <w:bottom w:val="nil"/>
              <w:right w:val="single" w:sz="8" w:space="0" w:color="BFBFBF"/>
            </w:tcBorders>
            <w:shd w:val="clear" w:color="auto" w:fill="auto"/>
            <w:noWrap/>
            <w:vAlign w:val="bottom"/>
            <w:hideMark/>
          </w:tcPr>
          <w:p w:rsidR="00195BE7" w:rsidRPr="001E2F6E" w:rsidRDefault="00195BE7" w:rsidP="00195BE7">
            <w:pPr>
              <w:spacing w:line="220" w:lineRule="exact"/>
              <w:jc w:val="right"/>
              <w:rPr>
                <w:color w:val="000000"/>
                <w:sz w:val="16"/>
                <w:szCs w:val="16"/>
              </w:rPr>
            </w:pPr>
            <w:r w:rsidRPr="001E2F6E">
              <w:rPr>
                <w:color w:val="000000"/>
                <w:sz w:val="16"/>
                <w:szCs w:val="16"/>
              </w:rPr>
              <w:t>8.805.578</w:t>
            </w:r>
          </w:p>
        </w:tc>
        <w:tc>
          <w:tcPr>
            <w:tcW w:w="662" w:type="pct"/>
            <w:tcBorders>
              <w:top w:val="nil"/>
              <w:left w:val="nil"/>
              <w:bottom w:val="nil"/>
              <w:right w:val="single" w:sz="8" w:space="0" w:color="BFBFBF"/>
            </w:tcBorders>
            <w:shd w:val="clear" w:color="auto" w:fill="auto"/>
            <w:noWrap/>
            <w:vAlign w:val="bottom"/>
            <w:hideMark/>
          </w:tcPr>
          <w:p w:rsidR="00195BE7" w:rsidRPr="001E2F6E" w:rsidRDefault="00195BE7" w:rsidP="00195BE7">
            <w:pPr>
              <w:spacing w:line="220" w:lineRule="exact"/>
              <w:jc w:val="right"/>
              <w:rPr>
                <w:color w:val="000000"/>
                <w:sz w:val="16"/>
                <w:szCs w:val="16"/>
              </w:rPr>
            </w:pPr>
            <w:r w:rsidRPr="001E2F6E">
              <w:rPr>
                <w:color w:val="000000"/>
                <w:sz w:val="16"/>
                <w:szCs w:val="16"/>
              </w:rPr>
              <w:t>554.848</w:t>
            </w:r>
          </w:p>
        </w:tc>
        <w:tc>
          <w:tcPr>
            <w:tcW w:w="657" w:type="pct"/>
            <w:tcBorders>
              <w:top w:val="nil"/>
              <w:left w:val="nil"/>
              <w:bottom w:val="nil"/>
              <w:right w:val="single" w:sz="8" w:space="0" w:color="BFBFBF"/>
            </w:tcBorders>
            <w:shd w:val="clear" w:color="auto" w:fill="auto"/>
            <w:noWrap/>
            <w:vAlign w:val="bottom"/>
            <w:hideMark/>
          </w:tcPr>
          <w:p w:rsidR="00195BE7" w:rsidRPr="001E2F6E" w:rsidRDefault="00195BE7" w:rsidP="00195BE7">
            <w:pPr>
              <w:spacing w:line="220" w:lineRule="exact"/>
              <w:jc w:val="right"/>
              <w:rPr>
                <w:color w:val="000000"/>
                <w:sz w:val="16"/>
                <w:szCs w:val="16"/>
              </w:rPr>
            </w:pPr>
            <w:r w:rsidRPr="001E2F6E">
              <w:rPr>
                <w:color w:val="000000"/>
                <w:sz w:val="16"/>
                <w:szCs w:val="16"/>
              </w:rPr>
              <w:t>121.757.552</w:t>
            </w:r>
          </w:p>
        </w:tc>
      </w:tr>
      <w:tr w:rsidR="00195BE7" w:rsidRPr="001E2F6E" w:rsidTr="00195BE7">
        <w:tc>
          <w:tcPr>
            <w:tcW w:w="1886" w:type="pct"/>
            <w:tcBorders>
              <w:top w:val="nil"/>
              <w:left w:val="nil"/>
              <w:bottom w:val="nil"/>
              <w:right w:val="single" w:sz="8" w:space="0" w:color="BFBFBF"/>
            </w:tcBorders>
            <w:shd w:val="clear" w:color="auto" w:fill="auto"/>
            <w:vAlign w:val="bottom"/>
            <w:hideMark/>
          </w:tcPr>
          <w:p w:rsidR="00195BE7" w:rsidRPr="001E2F6E" w:rsidRDefault="00195BE7" w:rsidP="00195BE7">
            <w:pPr>
              <w:spacing w:line="220" w:lineRule="exact"/>
              <w:rPr>
                <w:sz w:val="16"/>
                <w:szCs w:val="16"/>
                <w:lang w:val="eu-ES"/>
              </w:rPr>
            </w:pPr>
            <w:r w:rsidRPr="001E2F6E">
              <w:rPr>
                <w:sz w:val="16"/>
                <w:szCs w:val="16"/>
                <w:lang w:val="eu-ES"/>
              </w:rPr>
              <w:t>75 Diru-sarrera osagarriak</w:t>
            </w:r>
          </w:p>
        </w:tc>
        <w:tc>
          <w:tcPr>
            <w:tcW w:w="657" w:type="pct"/>
            <w:tcBorders>
              <w:top w:val="nil"/>
              <w:left w:val="nil"/>
              <w:bottom w:val="nil"/>
              <w:right w:val="single" w:sz="8" w:space="0" w:color="BFBFBF"/>
            </w:tcBorders>
            <w:shd w:val="clear" w:color="auto" w:fill="auto"/>
            <w:noWrap/>
            <w:vAlign w:val="bottom"/>
            <w:hideMark/>
          </w:tcPr>
          <w:p w:rsidR="00195BE7" w:rsidRPr="001E2F6E" w:rsidRDefault="00195BE7" w:rsidP="00195BE7">
            <w:pPr>
              <w:spacing w:line="220" w:lineRule="exact"/>
              <w:jc w:val="right"/>
              <w:rPr>
                <w:color w:val="000000"/>
                <w:sz w:val="16"/>
                <w:szCs w:val="16"/>
              </w:rPr>
            </w:pPr>
            <w:r w:rsidRPr="001E2F6E">
              <w:rPr>
                <w:color w:val="000000"/>
                <w:sz w:val="16"/>
                <w:szCs w:val="16"/>
              </w:rPr>
              <w:t>272.941.144</w:t>
            </w:r>
          </w:p>
        </w:tc>
        <w:tc>
          <w:tcPr>
            <w:tcW w:w="481" w:type="pct"/>
            <w:tcBorders>
              <w:top w:val="nil"/>
              <w:left w:val="nil"/>
              <w:bottom w:val="nil"/>
              <w:right w:val="single" w:sz="8" w:space="0" w:color="BFBFBF"/>
            </w:tcBorders>
            <w:shd w:val="clear" w:color="auto" w:fill="auto"/>
            <w:noWrap/>
            <w:vAlign w:val="bottom"/>
            <w:hideMark/>
          </w:tcPr>
          <w:p w:rsidR="00195BE7" w:rsidRPr="001E2F6E" w:rsidRDefault="00195BE7" w:rsidP="00195BE7">
            <w:pPr>
              <w:spacing w:line="220" w:lineRule="exact"/>
              <w:jc w:val="right"/>
              <w:rPr>
                <w:color w:val="000000"/>
                <w:sz w:val="16"/>
                <w:szCs w:val="16"/>
              </w:rPr>
            </w:pPr>
            <w:r w:rsidRPr="001E2F6E">
              <w:rPr>
                <w:color w:val="000000"/>
                <w:sz w:val="16"/>
                <w:szCs w:val="16"/>
              </w:rPr>
              <w:t>105</w:t>
            </w:r>
          </w:p>
        </w:tc>
        <w:tc>
          <w:tcPr>
            <w:tcW w:w="657" w:type="pct"/>
            <w:tcBorders>
              <w:top w:val="nil"/>
              <w:left w:val="nil"/>
              <w:bottom w:val="nil"/>
              <w:right w:val="single" w:sz="8" w:space="0" w:color="BFBFBF"/>
            </w:tcBorders>
            <w:shd w:val="clear" w:color="auto" w:fill="auto"/>
            <w:noWrap/>
            <w:vAlign w:val="bottom"/>
            <w:hideMark/>
          </w:tcPr>
          <w:p w:rsidR="00195BE7" w:rsidRPr="001E2F6E" w:rsidRDefault="00195BE7" w:rsidP="00195BE7">
            <w:pPr>
              <w:spacing w:line="220" w:lineRule="exact"/>
              <w:jc w:val="right"/>
              <w:rPr>
                <w:color w:val="000000"/>
                <w:sz w:val="16"/>
                <w:szCs w:val="16"/>
              </w:rPr>
            </w:pPr>
            <w:r w:rsidRPr="001E2F6E">
              <w:rPr>
                <w:color w:val="000000"/>
                <w:sz w:val="16"/>
                <w:szCs w:val="16"/>
              </w:rPr>
              <w:t>18.265.126</w:t>
            </w:r>
          </w:p>
        </w:tc>
        <w:tc>
          <w:tcPr>
            <w:tcW w:w="662" w:type="pct"/>
            <w:tcBorders>
              <w:top w:val="nil"/>
              <w:left w:val="nil"/>
              <w:bottom w:val="nil"/>
              <w:right w:val="single" w:sz="8" w:space="0" w:color="BFBFBF"/>
            </w:tcBorders>
            <w:shd w:val="clear" w:color="auto" w:fill="auto"/>
            <w:noWrap/>
            <w:vAlign w:val="bottom"/>
            <w:hideMark/>
          </w:tcPr>
          <w:p w:rsidR="00195BE7" w:rsidRPr="001E2F6E" w:rsidRDefault="00195BE7" w:rsidP="00195BE7">
            <w:pPr>
              <w:spacing w:line="220" w:lineRule="exact"/>
              <w:jc w:val="right"/>
              <w:rPr>
                <w:color w:val="000000"/>
                <w:sz w:val="16"/>
                <w:szCs w:val="16"/>
              </w:rPr>
            </w:pPr>
            <w:r w:rsidRPr="001E2F6E">
              <w:rPr>
                <w:color w:val="000000"/>
                <w:sz w:val="16"/>
                <w:szCs w:val="16"/>
              </w:rPr>
              <w:t>1.066.874</w:t>
            </w:r>
          </w:p>
        </w:tc>
        <w:tc>
          <w:tcPr>
            <w:tcW w:w="657" w:type="pct"/>
            <w:tcBorders>
              <w:top w:val="nil"/>
              <w:left w:val="nil"/>
              <w:bottom w:val="nil"/>
              <w:right w:val="single" w:sz="8" w:space="0" w:color="BFBFBF"/>
            </w:tcBorders>
            <w:shd w:val="clear" w:color="auto" w:fill="auto"/>
            <w:noWrap/>
            <w:vAlign w:val="bottom"/>
            <w:hideMark/>
          </w:tcPr>
          <w:p w:rsidR="00195BE7" w:rsidRPr="001E2F6E" w:rsidRDefault="00195BE7" w:rsidP="00195BE7">
            <w:pPr>
              <w:spacing w:line="220" w:lineRule="exact"/>
              <w:jc w:val="right"/>
              <w:rPr>
                <w:color w:val="000000"/>
                <w:sz w:val="16"/>
                <w:szCs w:val="16"/>
              </w:rPr>
            </w:pPr>
            <w:r w:rsidRPr="001E2F6E">
              <w:rPr>
                <w:color w:val="000000"/>
                <w:sz w:val="16"/>
                <w:szCs w:val="16"/>
              </w:rPr>
              <w:t>253.609.039</w:t>
            </w:r>
          </w:p>
        </w:tc>
      </w:tr>
      <w:tr w:rsidR="00195BE7" w:rsidRPr="001E2F6E" w:rsidTr="00195BE7">
        <w:tc>
          <w:tcPr>
            <w:tcW w:w="1886" w:type="pct"/>
            <w:tcBorders>
              <w:top w:val="nil"/>
              <w:left w:val="nil"/>
              <w:bottom w:val="nil"/>
              <w:right w:val="single" w:sz="8" w:space="0" w:color="BFBFBF"/>
            </w:tcBorders>
            <w:shd w:val="clear" w:color="auto" w:fill="auto"/>
            <w:vAlign w:val="bottom"/>
            <w:hideMark/>
          </w:tcPr>
          <w:p w:rsidR="00195BE7" w:rsidRPr="001E2F6E" w:rsidRDefault="00195BE7" w:rsidP="00195BE7">
            <w:pPr>
              <w:spacing w:line="220" w:lineRule="exact"/>
              <w:rPr>
                <w:sz w:val="16"/>
                <w:szCs w:val="16"/>
                <w:lang w:val="eu-ES"/>
              </w:rPr>
            </w:pPr>
            <w:r w:rsidRPr="001E2F6E">
              <w:rPr>
                <w:sz w:val="16"/>
                <w:szCs w:val="16"/>
                <w:lang w:val="eu-ES"/>
              </w:rPr>
              <w:t>76 Finantza-sarrerak</w:t>
            </w:r>
          </w:p>
        </w:tc>
        <w:tc>
          <w:tcPr>
            <w:tcW w:w="657" w:type="pct"/>
            <w:tcBorders>
              <w:top w:val="nil"/>
              <w:left w:val="nil"/>
              <w:bottom w:val="nil"/>
              <w:right w:val="single" w:sz="8" w:space="0" w:color="BFBFBF"/>
            </w:tcBorders>
            <w:shd w:val="clear" w:color="auto" w:fill="auto"/>
            <w:noWrap/>
            <w:vAlign w:val="bottom"/>
            <w:hideMark/>
          </w:tcPr>
          <w:p w:rsidR="00195BE7" w:rsidRPr="001E2F6E" w:rsidRDefault="00195BE7" w:rsidP="00195BE7">
            <w:pPr>
              <w:spacing w:line="220" w:lineRule="exact"/>
              <w:jc w:val="right"/>
              <w:rPr>
                <w:color w:val="000000"/>
                <w:sz w:val="16"/>
                <w:szCs w:val="16"/>
              </w:rPr>
            </w:pPr>
            <w:r w:rsidRPr="001E2F6E">
              <w:rPr>
                <w:color w:val="000000"/>
                <w:sz w:val="16"/>
                <w:szCs w:val="16"/>
              </w:rPr>
              <w:t>51.850.379</w:t>
            </w:r>
          </w:p>
        </w:tc>
        <w:tc>
          <w:tcPr>
            <w:tcW w:w="481" w:type="pct"/>
            <w:tcBorders>
              <w:top w:val="nil"/>
              <w:left w:val="nil"/>
              <w:bottom w:val="nil"/>
              <w:right w:val="single" w:sz="8" w:space="0" w:color="BFBFBF"/>
            </w:tcBorders>
            <w:shd w:val="clear" w:color="auto" w:fill="auto"/>
            <w:noWrap/>
            <w:vAlign w:val="bottom"/>
            <w:hideMark/>
          </w:tcPr>
          <w:p w:rsidR="00195BE7" w:rsidRPr="001E2F6E" w:rsidRDefault="00195BE7" w:rsidP="00195BE7">
            <w:pPr>
              <w:spacing w:line="220" w:lineRule="exact"/>
              <w:jc w:val="right"/>
              <w:rPr>
                <w:color w:val="000000"/>
                <w:sz w:val="16"/>
                <w:szCs w:val="16"/>
              </w:rPr>
            </w:pPr>
            <w:r w:rsidRPr="001E2F6E">
              <w:rPr>
                <w:color w:val="000000"/>
                <w:sz w:val="16"/>
                <w:szCs w:val="16"/>
              </w:rPr>
              <w:t>2.972</w:t>
            </w:r>
          </w:p>
        </w:tc>
        <w:tc>
          <w:tcPr>
            <w:tcW w:w="657" w:type="pct"/>
            <w:tcBorders>
              <w:top w:val="nil"/>
              <w:left w:val="nil"/>
              <w:bottom w:val="nil"/>
              <w:right w:val="single" w:sz="8" w:space="0" w:color="BFBFBF"/>
            </w:tcBorders>
            <w:shd w:val="clear" w:color="auto" w:fill="auto"/>
            <w:noWrap/>
            <w:vAlign w:val="bottom"/>
            <w:hideMark/>
          </w:tcPr>
          <w:p w:rsidR="00195BE7" w:rsidRPr="001E2F6E" w:rsidRDefault="00195BE7" w:rsidP="00195BE7">
            <w:pPr>
              <w:spacing w:line="220" w:lineRule="exact"/>
              <w:jc w:val="right"/>
              <w:rPr>
                <w:color w:val="000000"/>
                <w:sz w:val="16"/>
                <w:szCs w:val="16"/>
              </w:rPr>
            </w:pPr>
            <w:r w:rsidRPr="001E2F6E">
              <w:rPr>
                <w:color w:val="000000"/>
                <w:sz w:val="16"/>
                <w:szCs w:val="16"/>
              </w:rPr>
              <w:t>13.734.796</w:t>
            </w:r>
          </w:p>
        </w:tc>
        <w:tc>
          <w:tcPr>
            <w:tcW w:w="662" w:type="pct"/>
            <w:tcBorders>
              <w:top w:val="nil"/>
              <w:left w:val="nil"/>
              <w:bottom w:val="nil"/>
              <w:right w:val="single" w:sz="8" w:space="0" w:color="BFBFBF"/>
            </w:tcBorders>
            <w:shd w:val="clear" w:color="auto" w:fill="auto"/>
            <w:noWrap/>
            <w:vAlign w:val="bottom"/>
            <w:hideMark/>
          </w:tcPr>
          <w:p w:rsidR="00195BE7" w:rsidRPr="001E2F6E" w:rsidRDefault="00195BE7" w:rsidP="00195BE7">
            <w:pPr>
              <w:spacing w:line="220" w:lineRule="exact"/>
              <w:jc w:val="right"/>
              <w:rPr>
                <w:color w:val="000000"/>
                <w:sz w:val="16"/>
                <w:szCs w:val="16"/>
              </w:rPr>
            </w:pPr>
            <w:r w:rsidRPr="001E2F6E">
              <w:rPr>
                <w:color w:val="000000"/>
                <w:sz w:val="16"/>
                <w:szCs w:val="16"/>
              </w:rPr>
              <w:t>278.948</w:t>
            </w:r>
          </w:p>
        </w:tc>
        <w:tc>
          <w:tcPr>
            <w:tcW w:w="657" w:type="pct"/>
            <w:tcBorders>
              <w:top w:val="nil"/>
              <w:left w:val="nil"/>
              <w:bottom w:val="nil"/>
              <w:right w:val="single" w:sz="8" w:space="0" w:color="BFBFBF"/>
            </w:tcBorders>
            <w:shd w:val="clear" w:color="auto" w:fill="auto"/>
            <w:noWrap/>
            <w:vAlign w:val="bottom"/>
            <w:hideMark/>
          </w:tcPr>
          <w:p w:rsidR="00195BE7" w:rsidRPr="001E2F6E" w:rsidRDefault="00195BE7" w:rsidP="00195BE7">
            <w:pPr>
              <w:spacing w:line="220" w:lineRule="exact"/>
              <w:jc w:val="right"/>
              <w:rPr>
                <w:color w:val="000000"/>
                <w:sz w:val="16"/>
                <w:szCs w:val="16"/>
              </w:rPr>
            </w:pPr>
            <w:r w:rsidRPr="001E2F6E">
              <w:rPr>
                <w:color w:val="000000"/>
                <w:sz w:val="16"/>
                <w:szCs w:val="16"/>
              </w:rPr>
              <w:t>37.833.663</w:t>
            </w:r>
          </w:p>
        </w:tc>
      </w:tr>
      <w:tr w:rsidR="00195BE7" w:rsidRPr="001E2F6E" w:rsidTr="00195BE7">
        <w:tc>
          <w:tcPr>
            <w:tcW w:w="1886" w:type="pct"/>
            <w:tcBorders>
              <w:top w:val="nil"/>
              <w:left w:val="nil"/>
              <w:bottom w:val="nil"/>
              <w:right w:val="single" w:sz="8" w:space="0" w:color="BFBFBF"/>
            </w:tcBorders>
            <w:shd w:val="clear" w:color="auto" w:fill="auto"/>
            <w:vAlign w:val="bottom"/>
            <w:hideMark/>
          </w:tcPr>
          <w:p w:rsidR="00195BE7" w:rsidRPr="001E2F6E" w:rsidRDefault="00195BE7" w:rsidP="00195BE7">
            <w:pPr>
              <w:spacing w:line="220" w:lineRule="exact"/>
              <w:rPr>
                <w:sz w:val="16"/>
                <w:szCs w:val="16"/>
                <w:lang w:val="eu-ES"/>
              </w:rPr>
            </w:pPr>
            <w:r w:rsidRPr="001E2F6E">
              <w:rPr>
                <w:sz w:val="16"/>
                <w:szCs w:val="16"/>
                <w:lang w:val="eu-ES"/>
              </w:rPr>
              <w:t>77 Ezohiko diru-sarrerak</w:t>
            </w:r>
          </w:p>
        </w:tc>
        <w:tc>
          <w:tcPr>
            <w:tcW w:w="657" w:type="pct"/>
            <w:tcBorders>
              <w:top w:val="nil"/>
              <w:left w:val="nil"/>
              <w:bottom w:val="nil"/>
              <w:right w:val="single" w:sz="8" w:space="0" w:color="BFBFBF"/>
            </w:tcBorders>
            <w:shd w:val="clear" w:color="auto" w:fill="auto"/>
            <w:noWrap/>
            <w:vAlign w:val="bottom"/>
            <w:hideMark/>
          </w:tcPr>
          <w:p w:rsidR="00195BE7" w:rsidRPr="001E2F6E" w:rsidRDefault="00195BE7" w:rsidP="00195BE7">
            <w:pPr>
              <w:spacing w:line="220" w:lineRule="exact"/>
              <w:jc w:val="right"/>
              <w:rPr>
                <w:color w:val="000000"/>
                <w:sz w:val="16"/>
                <w:szCs w:val="16"/>
              </w:rPr>
            </w:pPr>
            <w:r w:rsidRPr="001E2F6E">
              <w:rPr>
                <w:color w:val="000000"/>
                <w:sz w:val="16"/>
                <w:szCs w:val="16"/>
              </w:rPr>
              <w:t>15.101.230</w:t>
            </w:r>
          </w:p>
        </w:tc>
        <w:tc>
          <w:tcPr>
            <w:tcW w:w="481" w:type="pct"/>
            <w:tcBorders>
              <w:top w:val="nil"/>
              <w:left w:val="nil"/>
              <w:bottom w:val="nil"/>
              <w:right w:val="single" w:sz="8" w:space="0" w:color="BFBFBF"/>
            </w:tcBorders>
            <w:shd w:val="clear" w:color="auto" w:fill="auto"/>
            <w:noWrap/>
            <w:vAlign w:val="bottom"/>
            <w:hideMark/>
          </w:tcPr>
          <w:p w:rsidR="00195BE7" w:rsidRPr="001E2F6E" w:rsidRDefault="00195BE7" w:rsidP="00195BE7">
            <w:pPr>
              <w:spacing w:line="220" w:lineRule="exact"/>
              <w:jc w:val="right"/>
              <w:rPr>
                <w:color w:val="000000"/>
                <w:sz w:val="16"/>
                <w:szCs w:val="16"/>
              </w:rPr>
            </w:pPr>
            <w:r w:rsidRPr="001E2F6E">
              <w:rPr>
                <w:color w:val="000000"/>
                <w:sz w:val="16"/>
                <w:szCs w:val="16"/>
              </w:rPr>
              <w:t> </w:t>
            </w:r>
          </w:p>
        </w:tc>
        <w:tc>
          <w:tcPr>
            <w:tcW w:w="657" w:type="pct"/>
            <w:tcBorders>
              <w:top w:val="nil"/>
              <w:left w:val="nil"/>
              <w:bottom w:val="nil"/>
              <w:right w:val="single" w:sz="8" w:space="0" w:color="BFBFBF"/>
            </w:tcBorders>
            <w:shd w:val="clear" w:color="auto" w:fill="auto"/>
            <w:noWrap/>
            <w:vAlign w:val="bottom"/>
            <w:hideMark/>
          </w:tcPr>
          <w:p w:rsidR="00195BE7" w:rsidRPr="001E2F6E" w:rsidRDefault="00195BE7" w:rsidP="00195BE7">
            <w:pPr>
              <w:spacing w:line="220" w:lineRule="exact"/>
              <w:jc w:val="right"/>
              <w:rPr>
                <w:color w:val="000000"/>
                <w:sz w:val="16"/>
                <w:szCs w:val="16"/>
              </w:rPr>
            </w:pPr>
            <w:r w:rsidRPr="001E2F6E">
              <w:rPr>
                <w:color w:val="000000"/>
                <w:sz w:val="16"/>
                <w:szCs w:val="16"/>
              </w:rPr>
              <w:t>10.355.791</w:t>
            </w:r>
          </w:p>
        </w:tc>
        <w:tc>
          <w:tcPr>
            <w:tcW w:w="662" w:type="pct"/>
            <w:tcBorders>
              <w:top w:val="nil"/>
              <w:left w:val="nil"/>
              <w:bottom w:val="nil"/>
              <w:right w:val="single" w:sz="8" w:space="0" w:color="BFBFBF"/>
            </w:tcBorders>
            <w:shd w:val="clear" w:color="auto" w:fill="auto"/>
            <w:noWrap/>
            <w:vAlign w:val="bottom"/>
            <w:hideMark/>
          </w:tcPr>
          <w:p w:rsidR="00195BE7" w:rsidRPr="001E2F6E" w:rsidRDefault="00195BE7" w:rsidP="00195BE7">
            <w:pPr>
              <w:spacing w:line="220" w:lineRule="exact"/>
              <w:jc w:val="right"/>
              <w:rPr>
                <w:color w:val="000000"/>
                <w:sz w:val="16"/>
                <w:szCs w:val="16"/>
              </w:rPr>
            </w:pPr>
            <w:r w:rsidRPr="001E2F6E">
              <w:rPr>
                <w:color w:val="000000"/>
                <w:sz w:val="16"/>
                <w:szCs w:val="16"/>
              </w:rPr>
              <w:t>464.280</w:t>
            </w:r>
          </w:p>
        </w:tc>
        <w:tc>
          <w:tcPr>
            <w:tcW w:w="657" w:type="pct"/>
            <w:tcBorders>
              <w:top w:val="nil"/>
              <w:left w:val="nil"/>
              <w:bottom w:val="nil"/>
              <w:right w:val="single" w:sz="8" w:space="0" w:color="BFBFBF"/>
            </w:tcBorders>
            <w:shd w:val="clear" w:color="auto" w:fill="auto"/>
            <w:noWrap/>
            <w:vAlign w:val="bottom"/>
            <w:hideMark/>
          </w:tcPr>
          <w:p w:rsidR="00195BE7" w:rsidRPr="001E2F6E" w:rsidRDefault="00195BE7" w:rsidP="00195BE7">
            <w:pPr>
              <w:spacing w:line="220" w:lineRule="exact"/>
              <w:jc w:val="right"/>
              <w:rPr>
                <w:color w:val="000000"/>
                <w:sz w:val="16"/>
                <w:szCs w:val="16"/>
              </w:rPr>
            </w:pPr>
            <w:r w:rsidRPr="001E2F6E">
              <w:rPr>
                <w:color w:val="000000"/>
                <w:sz w:val="16"/>
                <w:szCs w:val="16"/>
              </w:rPr>
              <w:t>4.281.160</w:t>
            </w:r>
          </w:p>
        </w:tc>
      </w:tr>
      <w:tr w:rsidR="00195BE7" w:rsidRPr="001E2F6E" w:rsidTr="00195BE7">
        <w:tc>
          <w:tcPr>
            <w:tcW w:w="1886" w:type="pct"/>
            <w:tcBorders>
              <w:top w:val="nil"/>
              <w:left w:val="nil"/>
              <w:bottom w:val="single" w:sz="8" w:space="0" w:color="BFBFBF"/>
              <w:right w:val="single" w:sz="8" w:space="0" w:color="BFBFBF"/>
            </w:tcBorders>
            <w:shd w:val="clear" w:color="auto" w:fill="auto"/>
            <w:vAlign w:val="bottom"/>
            <w:hideMark/>
          </w:tcPr>
          <w:p w:rsidR="00195BE7" w:rsidRPr="001E2F6E" w:rsidRDefault="00195BE7" w:rsidP="00195BE7">
            <w:pPr>
              <w:spacing w:line="220" w:lineRule="exact"/>
              <w:rPr>
                <w:sz w:val="16"/>
                <w:szCs w:val="16"/>
                <w:lang w:val="eu-ES"/>
              </w:rPr>
            </w:pPr>
            <w:r w:rsidRPr="001E2F6E">
              <w:rPr>
                <w:sz w:val="16"/>
                <w:szCs w:val="16"/>
                <w:lang w:val="eu-ES"/>
              </w:rPr>
              <w:t>79 Gehiegizko hornidura</w:t>
            </w:r>
          </w:p>
        </w:tc>
        <w:tc>
          <w:tcPr>
            <w:tcW w:w="657" w:type="pct"/>
            <w:tcBorders>
              <w:top w:val="nil"/>
              <w:left w:val="nil"/>
              <w:bottom w:val="single" w:sz="8" w:space="0" w:color="BFBFBF"/>
              <w:right w:val="single" w:sz="8" w:space="0" w:color="BFBFBF"/>
            </w:tcBorders>
            <w:shd w:val="clear" w:color="auto" w:fill="auto"/>
            <w:noWrap/>
            <w:vAlign w:val="bottom"/>
            <w:hideMark/>
          </w:tcPr>
          <w:p w:rsidR="00195BE7" w:rsidRPr="001E2F6E" w:rsidRDefault="00195BE7" w:rsidP="00195BE7">
            <w:pPr>
              <w:spacing w:line="220" w:lineRule="exact"/>
              <w:jc w:val="right"/>
              <w:rPr>
                <w:color w:val="000000"/>
                <w:sz w:val="16"/>
                <w:szCs w:val="16"/>
              </w:rPr>
            </w:pPr>
            <w:r w:rsidRPr="001E2F6E">
              <w:rPr>
                <w:color w:val="000000"/>
                <w:sz w:val="16"/>
                <w:szCs w:val="16"/>
              </w:rPr>
              <w:t>34.351.813</w:t>
            </w:r>
          </w:p>
        </w:tc>
        <w:tc>
          <w:tcPr>
            <w:tcW w:w="481" w:type="pct"/>
            <w:tcBorders>
              <w:top w:val="nil"/>
              <w:left w:val="nil"/>
              <w:bottom w:val="single" w:sz="8" w:space="0" w:color="BFBFBF"/>
              <w:right w:val="single" w:sz="8" w:space="0" w:color="BFBFBF"/>
            </w:tcBorders>
            <w:shd w:val="clear" w:color="auto" w:fill="auto"/>
            <w:noWrap/>
            <w:vAlign w:val="bottom"/>
            <w:hideMark/>
          </w:tcPr>
          <w:p w:rsidR="00195BE7" w:rsidRPr="001E2F6E" w:rsidRDefault="00195BE7" w:rsidP="00195BE7">
            <w:pPr>
              <w:spacing w:line="220" w:lineRule="exact"/>
              <w:jc w:val="right"/>
              <w:rPr>
                <w:color w:val="000000"/>
                <w:sz w:val="16"/>
                <w:szCs w:val="16"/>
              </w:rPr>
            </w:pPr>
            <w:r w:rsidRPr="001E2F6E">
              <w:rPr>
                <w:color w:val="000000"/>
                <w:sz w:val="16"/>
                <w:szCs w:val="16"/>
              </w:rPr>
              <w:t> </w:t>
            </w:r>
          </w:p>
        </w:tc>
        <w:tc>
          <w:tcPr>
            <w:tcW w:w="657" w:type="pct"/>
            <w:tcBorders>
              <w:top w:val="nil"/>
              <w:left w:val="nil"/>
              <w:bottom w:val="single" w:sz="8" w:space="0" w:color="BFBFBF"/>
              <w:right w:val="single" w:sz="8" w:space="0" w:color="BFBFBF"/>
            </w:tcBorders>
            <w:shd w:val="clear" w:color="auto" w:fill="auto"/>
            <w:noWrap/>
            <w:vAlign w:val="bottom"/>
            <w:hideMark/>
          </w:tcPr>
          <w:p w:rsidR="00195BE7" w:rsidRPr="001E2F6E" w:rsidRDefault="00195BE7" w:rsidP="00195BE7">
            <w:pPr>
              <w:spacing w:line="220" w:lineRule="exact"/>
              <w:jc w:val="right"/>
              <w:rPr>
                <w:color w:val="000000"/>
                <w:sz w:val="16"/>
                <w:szCs w:val="16"/>
              </w:rPr>
            </w:pPr>
            <w:r w:rsidRPr="001E2F6E">
              <w:rPr>
                <w:color w:val="000000"/>
                <w:sz w:val="16"/>
                <w:szCs w:val="16"/>
              </w:rPr>
              <w:t>11.271.763</w:t>
            </w:r>
          </w:p>
        </w:tc>
        <w:tc>
          <w:tcPr>
            <w:tcW w:w="662" w:type="pct"/>
            <w:tcBorders>
              <w:top w:val="nil"/>
              <w:left w:val="nil"/>
              <w:bottom w:val="single" w:sz="8" w:space="0" w:color="BFBFBF"/>
              <w:right w:val="single" w:sz="8" w:space="0" w:color="BFBFBF"/>
            </w:tcBorders>
            <w:shd w:val="clear" w:color="auto" w:fill="auto"/>
            <w:noWrap/>
            <w:vAlign w:val="bottom"/>
            <w:hideMark/>
          </w:tcPr>
          <w:p w:rsidR="00195BE7" w:rsidRPr="001E2F6E" w:rsidRDefault="00195BE7" w:rsidP="00195BE7">
            <w:pPr>
              <w:spacing w:line="220" w:lineRule="exact"/>
              <w:jc w:val="right"/>
              <w:rPr>
                <w:color w:val="000000"/>
                <w:sz w:val="16"/>
                <w:szCs w:val="16"/>
              </w:rPr>
            </w:pPr>
            <w:r w:rsidRPr="001E2F6E">
              <w:rPr>
                <w:color w:val="000000"/>
                <w:sz w:val="16"/>
                <w:szCs w:val="16"/>
              </w:rPr>
              <w:t>71.916</w:t>
            </w:r>
          </w:p>
        </w:tc>
        <w:tc>
          <w:tcPr>
            <w:tcW w:w="657" w:type="pct"/>
            <w:tcBorders>
              <w:top w:val="nil"/>
              <w:left w:val="nil"/>
              <w:bottom w:val="single" w:sz="8" w:space="0" w:color="BFBFBF"/>
              <w:right w:val="single" w:sz="8" w:space="0" w:color="BFBFBF"/>
            </w:tcBorders>
            <w:shd w:val="clear" w:color="auto" w:fill="auto"/>
            <w:noWrap/>
            <w:vAlign w:val="bottom"/>
            <w:hideMark/>
          </w:tcPr>
          <w:p w:rsidR="00195BE7" w:rsidRPr="001E2F6E" w:rsidRDefault="00195BE7" w:rsidP="00195BE7">
            <w:pPr>
              <w:spacing w:line="220" w:lineRule="exact"/>
              <w:jc w:val="right"/>
              <w:rPr>
                <w:color w:val="000000"/>
                <w:sz w:val="16"/>
                <w:szCs w:val="16"/>
              </w:rPr>
            </w:pPr>
            <w:r w:rsidRPr="001E2F6E">
              <w:rPr>
                <w:color w:val="000000"/>
                <w:sz w:val="16"/>
                <w:szCs w:val="16"/>
              </w:rPr>
              <w:t>23.008.134</w:t>
            </w:r>
          </w:p>
        </w:tc>
      </w:tr>
      <w:tr w:rsidR="00195BE7" w:rsidRPr="001E2F6E" w:rsidTr="00195BE7">
        <w:tc>
          <w:tcPr>
            <w:tcW w:w="1886" w:type="pct"/>
            <w:tcBorders>
              <w:top w:val="nil"/>
              <w:left w:val="nil"/>
              <w:bottom w:val="single" w:sz="8" w:space="0" w:color="BFBFBF"/>
              <w:right w:val="single" w:sz="8" w:space="0" w:color="BFBFBF"/>
            </w:tcBorders>
            <w:shd w:val="clear" w:color="000000" w:fill="E6E6E6"/>
            <w:vAlign w:val="bottom"/>
            <w:hideMark/>
          </w:tcPr>
          <w:p w:rsidR="00195BE7" w:rsidRPr="001E2F6E" w:rsidRDefault="00195BE7" w:rsidP="00195BE7">
            <w:pPr>
              <w:spacing w:line="220" w:lineRule="exact"/>
              <w:rPr>
                <w:rFonts w:eastAsia="Times New Roman"/>
                <w:b/>
                <w:bCs/>
                <w:color w:val="000000"/>
                <w:sz w:val="16"/>
                <w:szCs w:val="16"/>
                <w:lang w:eastAsia="es-ES"/>
              </w:rPr>
            </w:pPr>
            <w:r w:rsidRPr="001E2F6E">
              <w:rPr>
                <w:rFonts w:eastAsia="Times New Roman"/>
                <w:b/>
                <w:bCs/>
                <w:color w:val="000000"/>
                <w:sz w:val="16"/>
                <w:szCs w:val="16"/>
                <w:lang w:eastAsia="es-ES"/>
              </w:rPr>
              <w:t> </w:t>
            </w:r>
          </w:p>
        </w:tc>
        <w:tc>
          <w:tcPr>
            <w:tcW w:w="657" w:type="pct"/>
            <w:tcBorders>
              <w:top w:val="nil"/>
              <w:left w:val="nil"/>
              <w:bottom w:val="single" w:sz="8" w:space="0" w:color="BFBFBF"/>
              <w:right w:val="single" w:sz="8" w:space="0" w:color="BFBFBF"/>
            </w:tcBorders>
            <w:shd w:val="clear" w:color="000000" w:fill="E6E6E6"/>
            <w:vAlign w:val="bottom"/>
            <w:hideMark/>
          </w:tcPr>
          <w:p w:rsidR="00195BE7" w:rsidRPr="001E2F6E" w:rsidRDefault="00195BE7" w:rsidP="00195BE7">
            <w:pPr>
              <w:spacing w:line="220" w:lineRule="exact"/>
              <w:jc w:val="right"/>
              <w:rPr>
                <w:b/>
                <w:bCs/>
                <w:color w:val="000000"/>
                <w:sz w:val="16"/>
                <w:szCs w:val="16"/>
              </w:rPr>
            </w:pPr>
            <w:r w:rsidRPr="001E2F6E">
              <w:rPr>
                <w:b/>
                <w:bCs/>
                <w:color w:val="000000"/>
                <w:sz w:val="16"/>
                <w:szCs w:val="16"/>
              </w:rPr>
              <w:t>3.324.635.304</w:t>
            </w:r>
          </w:p>
        </w:tc>
        <w:tc>
          <w:tcPr>
            <w:tcW w:w="481" w:type="pct"/>
            <w:tcBorders>
              <w:top w:val="nil"/>
              <w:left w:val="nil"/>
              <w:bottom w:val="single" w:sz="8" w:space="0" w:color="BFBFBF"/>
              <w:right w:val="single" w:sz="8" w:space="0" w:color="BFBFBF"/>
            </w:tcBorders>
            <w:shd w:val="clear" w:color="000000" w:fill="E6E6E6"/>
            <w:vAlign w:val="bottom"/>
            <w:hideMark/>
          </w:tcPr>
          <w:p w:rsidR="00195BE7" w:rsidRPr="001E2F6E" w:rsidRDefault="00195BE7" w:rsidP="00195BE7">
            <w:pPr>
              <w:spacing w:line="220" w:lineRule="exact"/>
              <w:jc w:val="right"/>
              <w:rPr>
                <w:b/>
                <w:bCs/>
                <w:color w:val="000000"/>
                <w:sz w:val="16"/>
                <w:szCs w:val="16"/>
              </w:rPr>
            </w:pPr>
            <w:r w:rsidRPr="001E2F6E">
              <w:rPr>
                <w:b/>
                <w:bCs/>
                <w:color w:val="000000"/>
                <w:sz w:val="16"/>
                <w:szCs w:val="16"/>
              </w:rPr>
              <w:t>1.656.345</w:t>
            </w:r>
          </w:p>
        </w:tc>
        <w:tc>
          <w:tcPr>
            <w:tcW w:w="657" w:type="pct"/>
            <w:tcBorders>
              <w:top w:val="nil"/>
              <w:left w:val="nil"/>
              <w:bottom w:val="single" w:sz="8" w:space="0" w:color="BFBFBF"/>
              <w:right w:val="single" w:sz="8" w:space="0" w:color="BFBFBF"/>
            </w:tcBorders>
            <w:shd w:val="clear" w:color="000000" w:fill="E6E6E6"/>
            <w:vAlign w:val="bottom"/>
            <w:hideMark/>
          </w:tcPr>
          <w:p w:rsidR="00195BE7" w:rsidRPr="001E2F6E" w:rsidRDefault="00195BE7" w:rsidP="00195BE7">
            <w:pPr>
              <w:spacing w:line="220" w:lineRule="exact"/>
              <w:jc w:val="right"/>
              <w:rPr>
                <w:b/>
                <w:bCs/>
                <w:color w:val="000000"/>
                <w:sz w:val="16"/>
                <w:szCs w:val="16"/>
              </w:rPr>
            </w:pPr>
            <w:r w:rsidRPr="001E2F6E">
              <w:rPr>
                <w:b/>
                <w:bCs/>
                <w:color w:val="000000"/>
                <w:sz w:val="16"/>
                <w:szCs w:val="16"/>
              </w:rPr>
              <w:t>1.190.679.812</w:t>
            </w:r>
          </w:p>
        </w:tc>
        <w:tc>
          <w:tcPr>
            <w:tcW w:w="662" w:type="pct"/>
            <w:tcBorders>
              <w:top w:val="nil"/>
              <w:left w:val="nil"/>
              <w:bottom w:val="single" w:sz="8" w:space="0" w:color="BFBFBF"/>
              <w:right w:val="single" w:sz="8" w:space="0" w:color="BFBFBF"/>
            </w:tcBorders>
            <w:shd w:val="clear" w:color="000000" w:fill="E6E6E6"/>
            <w:vAlign w:val="bottom"/>
            <w:hideMark/>
          </w:tcPr>
          <w:p w:rsidR="00195BE7" w:rsidRPr="001E2F6E" w:rsidRDefault="00195BE7" w:rsidP="00195BE7">
            <w:pPr>
              <w:spacing w:line="220" w:lineRule="exact"/>
              <w:jc w:val="right"/>
              <w:rPr>
                <w:b/>
                <w:bCs/>
                <w:color w:val="000000"/>
                <w:sz w:val="16"/>
                <w:szCs w:val="16"/>
              </w:rPr>
            </w:pPr>
            <w:r w:rsidRPr="001E2F6E">
              <w:rPr>
                <w:b/>
                <w:bCs/>
                <w:color w:val="000000"/>
                <w:sz w:val="16"/>
                <w:szCs w:val="16"/>
              </w:rPr>
              <w:t>120.895.580</w:t>
            </w:r>
          </w:p>
        </w:tc>
        <w:tc>
          <w:tcPr>
            <w:tcW w:w="657" w:type="pct"/>
            <w:tcBorders>
              <w:top w:val="nil"/>
              <w:left w:val="nil"/>
              <w:bottom w:val="single" w:sz="8" w:space="0" w:color="BFBFBF"/>
              <w:right w:val="nil"/>
            </w:tcBorders>
            <w:shd w:val="clear" w:color="000000" w:fill="E6E6E6"/>
            <w:vAlign w:val="bottom"/>
            <w:hideMark/>
          </w:tcPr>
          <w:p w:rsidR="00195BE7" w:rsidRPr="001E2F6E" w:rsidRDefault="00195BE7" w:rsidP="00195BE7">
            <w:pPr>
              <w:spacing w:line="220" w:lineRule="exact"/>
              <w:jc w:val="right"/>
              <w:rPr>
                <w:b/>
                <w:bCs/>
                <w:color w:val="000000"/>
                <w:sz w:val="16"/>
                <w:szCs w:val="16"/>
              </w:rPr>
            </w:pPr>
            <w:r w:rsidRPr="001E2F6E">
              <w:rPr>
                <w:b/>
                <w:bCs/>
                <w:color w:val="000000"/>
                <w:sz w:val="16"/>
                <w:szCs w:val="16"/>
              </w:rPr>
              <w:t>2.011.403.567</w:t>
            </w:r>
          </w:p>
        </w:tc>
      </w:tr>
      <w:tr w:rsidR="00195BE7" w:rsidRPr="001E2F6E" w:rsidTr="00195BE7">
        <w:tc>
          <w:tcPr>
            <w:tcW w:w="1886" w:type="pct"/>
            <w:tcBorders>
              <w:top w:val="nil"/>
              <w:left w:val="nil"/>
              <w:bottom w:val="nil"/>
              <w:right w:val="single" w:sz="8" w:space="0" w:color="BFBFBF"/>
            </w:tcBorders>
            <w:shd w:val="clear" w:color="auto" w:fill="auto"/>
            <w:vAlign w:val="bottom"/>
            <w:hideMark/>
          </w:tcPr>
          <w:p w:rsidR="00195BE7" w:rsidRPr="001E2F6E" w:rsidRDefault="00195BE7" w:rsidP="00195BE7">
            <w:pPr>
              <w:spacing w:line="220" w:lineRule="exact"/>
              <w:rPr>
                <w:b/>
                <w:bCs/>
                <w:sz w:val="16"/>
                <w:szCs w:val="16"/>
                <w:lang w:val="eu-ES"/>
              </w:rPr>
            </w:pPr>
            <w:r w:rsidRPr="001E2F6E">
              <w:rPr>
                <w:b/>
                <w:bCs/>
                <w:sz w:val="16"/>
                <w:szCs w:val="16"/>
                <w:lang w:val="eu-ES"/>
              </w:rPr>
              <w:t>GASTUAK</w:t>
            </w:r>
          </w:p>
        </w:tc>
        <w:tc>
          <w:tcPr>
            <w:tcW w:w="657" w:type="pct"/>
            <w:tcBorders>
              <w:top w:val="nil"/>
              <w:left w:val="nil"/>
              <w:bottom w:val="nil"/>
              <w:right w:val="single" w:sz="8" w:space="0" w:color="BFBFBF"/>
            </w:tcBorders>
            <w:shd w:val="clear" w:color="auto" w:fill="auto"/>
            <w:vAlign w:val="bottom"/>
            <w:hideMark/>
          </w:tcPr>
          <w:p w:rsidR="00195BE7" w:rsidRPr="001E2F6E" w:rsidRDefault="00195BE7" w:rsidP="00195BE7">
            <w:pPr>
              <w:spacing w:line="220" w:lineRule="exact"/>
              <w:jc w:val="right"/>
              <w:rPr>
                <w:color w:val="000000"/>
                <w:sz w:val="16"/>
                <w:szCs w:val="16"/>
              </w:rPr>
            </w:pPr>
            <w:r w:rsidRPr="001E2F6E">
              <w:rPr>
                <w:color w:val="000000"/>
                <w:sz w:val="16"/>
                <w:szCs w:val="16"/>
              </w:rPr>
              <w:t> </w:t>
            </w:r>
          </w:p>
        </w:tc>
        <w:tc>
          <w:tcPr>
            <w:tcW w:w="481" w:type="pct"/>
            <w:tcBorders>
              <w:top w:val="nil"/>
              <w:left w:val="nil"/>
              <w:bottom w:val="nil"/>
              <w:right w:val="single" w:sz="8" w:space="0" w:color="BFBFBF"/>
            </w:tcBorders>
            <w:shd w:val="clear" w:color="auto" w:fill="auto"/>
            <w:vAlign w:val="bottom"/>
            <w:hideMark/>
          </w:tcPr>
          <w:p w:rsidR="00195BE7" w:rsidRPr="001E2F6E" w:rsidRDefault="00195BE7" w:rsidP="00195BE7">
            <w:pPr>
              <w:spacing w:line="220" w:lineRule="exact"/>
              <w:jc w:val="right"/>
              <w:rPr>
                <w:color w:val="000000"/>
                <w:sz w:val="16"/>
                <w:szCs w:val="16"/>
              </w:rPr>
            </w:pPr>
            <w:r w:rsidRPr="001E2F6E">
              <w:rPr>
                <w:color w:val="000000"/>
                <w:sz w:val="16"/>
                <w:szCs w:val="16"/>
              </w:rPr>
              <w:t> </w:t>
            </w:r>
          </w:p>
        </w:tc>
        <w:tc>
          <w:tcPr>
            <w:tcW w:w="657" w:type="pct"/>
            <w:tcBorders>
              <w:top w:val="nil"/>
              <w:left w:val="nil"/>
              <w:bottom w:val="nil"/>
              <w:right w:val="single" w:sz="8" w:space="0" w:color="BFBFBF"/>
            </w:tcBorders>
            <w:shd w:val="clear" w:color="auto" w:fill="auto"/>
            <w:vAlign w:val="bottom"/>
            <w:hideMark/>
          </w:tcPr>
          <w:p w:rsidR="00195BE7" w:rsidRPr="001E2F6E" w:rsidRDefault="00195BE7" w:rsidP="00195BE7">
            <w:pPr>
              <w:spacing w:line="220" w:lineRule="exact"/>
              <w:jc w:val="right"/>
              <w:rPr>
                <w:color w:val="000000"/>
                <w:sz w:val="16"/>
                <w:szCs w:val="16"/>
              </w:rPr>
            </w:pPr>
            <w:r w:rsidRPr="001E2F6E">
              <w:rPr>
                <w:color w:val="000000"/>
                <w:sz w:val="16"/>
                <w:szCs w:val="16"/>
              </w:rPr>
              <w:t> </w:t>
            </w:r>
          </w:p>
        </w:tc>
        <w:tc>
          <w:tcPr>
            <w:tcW w:w="662" w:type="pct"/>
            <w:tcBorders>
              <w:top w:val="nil"/>
              <w:left w:val="nil"/>
              <w:bottom w:val="nil"/>
              <w:right w:val="single" w:sz="8" w:space="0" w:color="BFBFBF"/>
            </w:tcBorders>
            <w:shd w:val="clear" w:color="auto" w:fill="auto"/>
            <w:vAlign w:val="bottom"/>
            <w:hideMark/>
          </w:tcPr>
          <w:p w:rsidR="00195BE7" w:rsidRPr="001E2F6E" w:rsidRDefault="00195BE7" w:rsidP="00195BE7">
            <w:pPr>
              <w:spacing w:line="220" w:lineRule="exact"/>
              <w:jc w:val="right"/>
              <w:rPr>
                <w:color w:val="000000"/>
                <w:sz w:val="16"/>
                <w:szCs w:val="16"/>
              </w:rPr>
            </w:pPr>
            <w:r w:rsidRPr="001E2F6E">
              <w:rPr>
                <w:color w:val="000000"/>
                <w:sz w:val="16"/>
                <w:szCs w:val="16"/>
              </w:rPr>
              <w:t> </w:t>
            </w:r>
          </w:p>
        </w:tc>
        <w:tc>
          <w:tcPr>
            <w:tcW w:w="657" w:type="pct"/>
            <w:tcBorders>
              <w:top w:val="nil"/>
              <w:left w:val="nil"/>
              <w:bottom w:val="nil"/>
              <w:right w:val="single" w:sz="8" w:space="0" w:color="BFBFBF"/>
            </w:tcBorders>
            <w:shd w:val="clear" w:color="auto" w:fill="auto"/>
            <w:vAlign w:val="bottom"/>
            <w:hideMark/>
          </w:tcPr>
          <w:p w:rsidR="00195BE7" w:rsidRPr="001E2F6E" w:rsidRDefault="00195BE7" w:rsidP="00195BE7">
            <w:pPr>
              <w:spacing w:line="220" w:lineRule="exact"/>
              <w:jc w:val="right"/>
              <w:rPr>
                <w:color w:val="000000"/>
                <w:sz w:val="16"/>
                <w:szCs w:val="16"/>
              </w:rPr>
            </w:pPr>
            <w:r w:rsidRPr="001E2F6E">
              <w:rPr>
                <w:color w:val="000000"/>
                <w:sz w:val="16"/>
                <w:szCs w:val="16"/>
              </w:rPr>
              <w:t> </w:t>
            </w:r>
          </w:p>
        </w:tc>
      </w:tr>
      <w:tr w:rsidR="00195BE7" w:rsidRPr="001E2F6E" w:rsidTr="00195BE7">
        <w:tc>
          <w:tcPr>
            <w:tcW w:w="1886" w:type="pct"/>
            <w:tcBorders>
              <w:top w:val="nil"/>
              <w:left w:val="nil"/>
              <w:bottom w:val="nil"/>
              <w:right w:val="single" w:sz="8" w:space="0" w:color="BFBFBF"/>
            </w:tcBorders>
            <w:shd w:val="clear" w:color="auto" w:fill="auto"/>
            <w:vAlign w:val="bottom"/>
            <w:hideMark/>
          </w:tcPr>
          <w:p w:rsidR="00195BE7" w:rsidRPr="001E2F6E" w:rsidRDefault="00195BE7" w:rsidP="00195BE7">
            <w:pPr>
              <w:spacing w:line="220" w:lineRule="exact"/>
              <w:rPr>
                <w:sz w:val="16"/>
                <w:szCs w:val="16"/>
                <w:lang w:val="eu-ES"/>
              </w:rPr>
            </w:pPr>
            <w:r w:rsidRPr="001E2F6E">
              <w:rPr>
                <w:sz w:val="16"/>
                <w:szCs w:val="16"/>
                <w:lang w:val="eu-ES"/>
              </w:rPr>
              <w:t>60 Erosketa garbiak</w:t>
            </w:r>
          </w:p>
        </w:tc>
        <w:tc>
          <w:tcPr>
            <w:tcW w:w="657" w:type="pct"/>
            <w:tcBorders>
              <w:top w:val="nil"/>
              <w:left w:val="nil"/>
              <w:bottom w:val="nil"/>
              <w:right w:val="single" w:sz="8" w:space="0" w:color="BFBFBF"/>
            </w:tcBorders>
            <w:shd w:val="clear" w:color="auto" w:fill="auto"/>
            <w:noWrap/>
            <w:vAlign w:val="bottom"/>
            <w:hideMark/>
          </w:tcPr>
          <w:p w:rsidR="00195BE7" w:rsidRPr="001E2F6E" w:rsidRDefault="00195BE7" w:rsidP="00195BE7">
            <w:pPr>
              <w:spacing w:line="220" w:lineRule="exact"/>
              <w:jc w:val="right"/>
              <w:rPr>
                <w:color w:val="000000"/>
                <w:sz w:val="16"/>
                <w:szCs w:val="16"/>
              </w:rPr>
            </w:pPr>
            <w:r w:rsidRPr="001E2F6E">
              <w:rPr>
                <w:color w:val="000000"/>
                <w:sz w:val="16"/>
                <w:szCs w:val="16"/>
              </w:rPr>
              <w:t>1.719.640.760</w:t>
            </w:r>
          </w:p>
        </w:tc>
        <w:tc>
          <w:tcPr>
            <w:tcW w:w="481" w:type="pct"/>
            <w:tcBorders>
              <w:top w:val="nil"/>
              <w:left w:val="nil"/>
              <w:bottom w:val="nil"/>
              <w:right w:val="single" w:sz="8" w:space="0" w:color="BFBFBF"/>
            </w:tcBorders>
            <w:shd w:val="clear" w:color="auto" w:fill="auto"/>
            <w:noWrap/>
            <w:vAlign w:val="bottom"/>
            <w:hideMark/>
          </w:tcPr>
          <w:p w:rsidR="00195BE7" w:rsidRPr="001E2F6E" w:rsidRDefault="00195BE7" w:rsidP="00195BE7">
            <w:pPr>
              <w:spacing w:line="220" w:lineRule="exact"/>
              <w:jc w:val="right"/>
              <w:rPr>
                <w:color w:val="000000"/>
                <w:sz w:val="16"/>
                <w:szCs w:val="16"/>
              </w:rPr>
            </w:pPr>
            <w:r w:rsidRPr="001E2F6E">
              <w:rPr>
                <w:color w:val="000000"/>
                <w:sz w:val="16"/>
                <w:szCs w:val="16"/>
              </w:rPr>
              <w:t>785.444</w:t>
            </w:r>
          </w:p>
        </w:tc>
        <w:tc>
          <w:tcPr>
            <w:tcW w:w="657" w:type="pct"/>
            <w:tcBorders>
              <w:top w:val="nil"/>
              <w:left w:val="nil"/>
              <w:bottom w:val="nil"/>
              <w:right w:val="single" w:sz="8" w:space="0" w:color="BFBFBF"/>
            </w:tcBorders>
            <w:shd w:val="clear" w:color="auto" w:fill="auto"/>
            <w:noWrap/>
            <w:vAlign w:val="bottom"/>
            <w:hideMark/>
          </w:tcPr>
          <w:p w:rsidR="00195BE7" w:rsidRPr="001E2F6E" w:rsidRDefault="00195BE7" w:rsidP="00195BE7">
            <w:pPr>
              <w:spacing w:line="220" w:lineRule="exact"/>
              <w:jc w:val="right"/>
              <w:rPr>
                <w:color w:val="000000"/>
                <w:sz w:val="16"/>
                <w:szCs w:val="16"/>
              </w:rPr>
            </w:pPr>
            <w:r w:rsidRPr="001E2F6E">
              <w:rPr>
                <w:color w:val="000000"/>
                <w:sz w:val="16"/>
                <w:szCs w:val="16"/>
              </w:rPr>
              <w:t>661.691.389</w:t>
            </w:r>
          </w:p>
        </w:tc>
        <w:tc>
          <w:tcPr>
            <w:tcW w:w="662" w:type="pct"/>
            <w:tcBorders>
              <w:top w:val="nil"/>
              <w:left w:val="nil"/>
              <w:bottom w:val="nil"/>
              <w:right w:val="single" w:sz="8" w:space="0" w:color="BFBFBF"/>
            </w:tcBorders>
            <w:shd w:val="clear" w:color="auto" w:fill="auto"/>
            <w:noWrap/>
            <w:vAlign w:val="bottom"/>
            <w:hideMark/>
          </w:tcPr>
          <w:p w:rsidR="00195BE7" w:rsidRPr="001E2F6E" w:rsidRDefault="00195BE7" w:rsidP="00195BE7">
            <w:pPr>
              <w:spacing w:line="220" w:lineRule="exact"/>
              <w:jc w:val="right"/>
              <w:rPr>
                <w:color w:val="000000"/>
                <w:sz w:val="16"/>
                <w:szCs w:val="16"/>
              </w:rPr>
            </w:pPr>
            <w:r w:rsidRPr="001E2F6E">
              <w:rPr>
                <w:color w:val="000000"/>
                <w:sz w:val="16"/>
                <w:szCs w:val="16"/>
              </w:rPr>
              <w:t>76.488.200</w:t>
            </w:r>
          </w:p>
        </w:tc>
        <w:tc>
          <w:tcPr>
            <w:tcW w:w="657" w:type="pct"/>
            <w:tcBorders>
              <w:top w:val="nil"/>
              <w:left w:val="nil"/>
              <w:bottom w:val="nil"/>
              <w:right w:val="single" w:sz="8" w:space="0" w:color="BFBFBF"/>
            </w:tcBorders>
            <w:shd w:val="clear" w:color="auto" w:fill="auto"/>
            <w:noWrap/>
            <w:vAlign w:val="bottom"/>
            <w:hideMark/>
          </w:tcPr>
          <w:p w:rsidR="00195BE7" w:rsidRPr="001E2F6E" w:rsidRDefault="00195BE7" w:rsidP="00195BE7">
            <w:pPr>
              <w:spacing w:line="220" w:lineRule="exact"/>
              <w:jc w:val="right"/>
              <w:rPr>
                <w:color w:val="000000"/>
                <w:sz w:val="16"/>
                <w:szCs w:val="16"/>
              </w:rPr>
            </w:pPr>
            <w:r w:rsidRPr="001E2F6E">
              <w:rPr>
                <w:color w:val="000000"/>
                <w:sz w:val="16"/>
                <w:szCs w:val="16"/>
              </w:rPr>
              <w:t>980.675.727</w:t>
            </w:r>
          </w:p>
        </w:tc>
      </w:tr>
      <w:tr w:rsidR="00195BE7" w:rsidRPr="001E2F6E" w:rsidTr="00195BE7">
        <w:tc>
          <w:tcPr>
            <w:tcW w:w="1886" w:type="pct"/>
            <w:tcBorders>
              <w:top w:val="nil"/>
              <w:left w:val="nil"/>
              <w:bottom w:val="nil"/>
              <w:right w:val="single" w:sz="8" w:space="0" w:color="BFBFBF"/>
            </w:tcBorders>
            <w:shd w:val="clear" w:color="auto" w:fill="auto"/>
            <w:vAlign w:val="bottom"/>
            <w:hideMark/>
          </w:tcPr>
          <w:p w:rsidR="00195BE7" w:rsidRPr="001E2F6E" w:rsidRDefault="00195BE7" w:rsidP="00195BE7">
            <w:pPr>
              <w:spacing w:line="220" w:lineRule="exact"/>
              <w:rPr>
                <w:sz w:val="16"/>
                <w:szCs w:val="16"/>
                <w:lang w:val="eu-ES"/>
              </w:rPr>
            </w:pPr>
            <w:r w:rsidRPr="001E2F6E">
              <w:rPr>
                <w:sz w:val="16"/>
                <w:szCs w:val="16"/>
                <w:lang w:val="eu-ES"/>
              </w:rPr>
              <w:t>61 Izakinen aldaketa</w:t>
            </w:r>
          </w:p>
        </w:tc>
        <w:tc>
          <w:tcPr>
            <w:tcW w:w="657" w:type="pct"/>
            <w:tcBorders>
              <w:top w:val="nil"/>
              <w:left w:val="nil"/>
              <w:bottom w:val="nil"/>
              <w:right w:val="single" w:sz="8" w:space="0" w:color="BFBFBF"/>
            </w:tcBorders>
            <w:shd w:val="clear" w:color="auto" w:fill="auto"/>
            <w:noWrap/>
            <w:vAlign w:val="bottom"/>
            <w:hideMark/>
          </w:tcPr>
          <w:p w:rsidR="00195BE7" w:rsidRPr="001E2F6E" w:rsidRDefault="00195BE7" w:rsidP="00195BE7">
            <w:pPr>
              <w:spacing w:line="220" w:lineRule="exact"/>
              <w:jc w:val="right"/>
              <w:rPr>
                <w:color w:val="000000"/>
                <w:sz w:val="16"/>
                <w:szCs w:val="16"/>
              </w:rPr>
            </w:pPr>
            <w:r w:rsidRPr="001E2F6E">
              <w:rPr>
                <w:color w:val="000000"/>
                <w:sz w:val="16"/>
                <w:szCs w:val="16"/>
              </w:rPr>
              <w:t>8.358.328</w:t>
            </w:r>
          </w:p>
        </w:tc>
        <w:tc>
          <w:tcPr>
            <w:tcW w:w="481" w:type="pct"/>
            <w:tcBorders>
              <w:top w:val="nil"/>
              <w:left w:val="nil"/>
              <w:bottom w:val="nil"/>
              <w:right w:val="single" w:sz="8" w:space="0" w:color="BFBFBF"/>
            </w:tcBorders>
            <w:shd w:val="clear" w:color="auto" w:fill="auto"/>
            <w:noWrap/>
            <w:vAlign w:val="bottom"/>
            <w:hideMark/>
          </w:tcPr>
          <w:p w:rsidR="00195BE7" w:rsidRPr="001E2F6E" w:rsidRDefault="00195BE7" w:rsidP="00195BE7">
            <w:pPr>
              <w:spacing w:line="220" w:lineRule="exact"/>
              <w:jc w:val="right"/>
              <w:rPr>
                <w:color w:val="000000"/>
                <w:sz w:val="16"/>
                <w:szCs w:val="16"/>
              </w:rPr>
            </w:pPr>
            <w:r w:rsidRPr="001E2F6E">
              <w:rPr>
                <w:color w:val="000000"/>
                <w:sz w:val="16"/>
                <w:szCs w:val="16"/>
              </w:rPr>
              <w:t>3.780</w:t>
            </w:r>
          </w:p>
        </w:tc>
        <w:tc>
          <w:tcPr>
            <w:tcW w:w="657" w:type="pct"/>
            <w:tcBorders>
              <w:top w:val="nil"/>
              <w:left w:val="nil"/>
              <w:bottom w:val="nil"/>
              <w:right w:val="single" w:sz="8" w:space="0" w:color="BFBFBF"/>
            </w:tcBorders>
            <w:shd w:val="clear" w:color="auto" w:fill="auto"/>
            <w:noWrap/>
            <w:vAlign w:val="bottom"/>
            <w:hideMark/>
          </w:tcPr>
          <w:p w:rsidR="00195BE7" w:rsidRPr="001E2F6E" w:rsidRDefault="00195BE7" w:rsidP="00195BE7">
            <w:pPr>
              <w:spacing w:line="220" w:lineRule="exact"/>
              <w:jc w:val="right"/>
              <w:rPr>
                <w:color w:val="000000"/>
                <w:sz w:val="16"/>
                <w:szCs w:val="16"/>
              </w:rPr>
            </w:pPr>
            <w:r w:rsidRPr="001E2F6E">
              <w:rPr>
                <w:color w:val="000000"/>
                <w:sz w:val="16"/>
                <w:szCs w:val="16"/>
              </w:rPr>
              <w:t>4.453.666</w:t>
            </w:r>
          </w:p>
        </w:tc>
        <w:tc>
          <w:tcPr>
            <w:tcW w:w="662" w:type="pct"/>
            <w:tcBorders>
              <w:top w:val="nil"/>
              <w:left w:val="nil"/>
              <w:bottom w:val="nil"/>
              <w:right w:val="single" w:sz="8" w:space="0" w:color="BFBFBF"/>
            </w:tcBorders>
            <w:shd w:val="clear" w:color="auto" w:fill="auto"/>
            <w:noWrap/>
            <w:vAlign w:val="bottom"/>
            <w:hideMark/>
          </w:tcPr>
          <w:p w:rsidR="00195BE7" w:rsidRPr="001E2F6E" w:rsidRDefault="00195BE7" w:rsidP="00195BE7">
            <w:pPr>
              <w:spacing w:line="220" w:lineRule="exact"/>
              <w:jc w:val="right"/>
              <w:rPr>
                <w:color w:val="000000"/>
                <w:sz w:val="16"/>
                <w:szCs w:val="16"/>
              </w:rPr>
            </w:pPr>
            <w:r w:rsidRPr="001E2F6E">
              <w:rPr>
                <w:color w:val="000000"/>
                <w:sz w:val="16"/>
                <w:szCs w:val="16"/>
              </w:rPr>
              <w:t>99.803</w:t>
            </w:r>
          </w:p>
        </w:tc>
        <w:tc>
          <w:tcPr>
            <w:tcW w:w="657" w:type="pct"/>
            <w:tcBorders>
              <w:top w:val="nil"/>
              <w:left w:val="nil"/>
              <w:bottom w:val="nil"/>
              <w:right w:val="single" w:sz="8" w:space="0" w:color="BFBFBF"/>
            </w:tcBorders>
            <w:shd w:val="clear" w:color="auto" w:fill="auto"/>
            <w:noWrap/>
            <w:vAlign w:val="bottom"/>
            <w:hideMark/>
          </w:tcPr>
          <w:p w:rsidR="00195BE7" w:rsidRPr="001E2F6E" w:rsidRDefault="00195BE7" w:rsidP="00195BE7">
            <w:pPr>
              <w:spacing w:line="220" w:lineRule="exact"/>
              <w:jc w:val="right"/>
              <w:rPr>
                <w:color w:val="000000"/>
                <w:sz w:val="16"/>
                <w:szCs w:val="16"/>
              </w:rPr>
            </w:pPr>
            <w:r w:rsidRPr="001E2F6E">
              <w:rPr>
                <w:color w:val="000000"/>
                <w:sz w:val="16"/>
                <w:szCs w:val="16"/>
              </w:rPr>
              <w:t>3.801.079</w:t>
            </w:r>
          </w:p>
        </w:tc>
      </w:tr>
      <w:tr w:rsidR="00195BE7" w:rsidRPr="001E2F6E" w:rsidTr="00195BE7">
        <w:tc>
          <w:tcPr>
            <w:tcW w:w="1886" w:type="pct"/>
            <w:tcBorders>
              <w:top w:val="nil"/>
              <w:left w:val="nil"/>
              <w:bottom w:val="nil"/>
              <w:right w:val="single" w:sz="8" w:space="0" w:color="BFBFBF"/>
            </w:tcBorders>
            <w:shd w:val="clear" w:color="auto" w:fill="auto"/>
            <w:vAlign w:val="bottom"/>
            <w:hideMark/>
          </w:tcPr>
          <w:p w:rsidR="00195BE7" w:rsidRPr="001E2F6E" w:rsidRDefault="00195BE7" w:rsidP="00195BE7">
            <w:pPr>
              <w:spacing w:line="220" w:lineRule="exact"/>
              <w:rPr>
                <w:sz w:val="16"/>
                <w:szCs w:val="16"/>
                <w:lang w:val="eu-ES"/>
              </w:rPr>
            </w:pPr>
            <w:r w:rsidRPr="001E2F6E">
              <w:rPr>
                <w:sz w:val="16"/>
                <w:szCs w:val="16"/>
                <w:lang w:val="eu-ES"/>
              </w:rPr>
              <w:t>62 Kanpoko zerbitzuak</w:t>
            </w:r>
          </w:p>
        </w:tc>
        <w:tc>
          <w:tcPr>
            <w:tcW w:w="657" w:type="pct"/>
            <w:tcBorders>
              <w:top w:val="nil"/>
              <w:left w:val="nil"/>
              <w:bottom w:val="nil"/>
              <w:right w:val="single" w:sz="8" w:space="0" w:color="BFBFBF"/>
            </w:tcBorders>
            <w:shd w:val="clear" w:color="auto" w:fill="auto"/>
            <w:noWrap/>
            <w:vAlign w:val="bottom"/>
            <w:hideMark/>
          </w:tcPr>
          <w:p w:rsidR="00195BE7" w:rsidRPr="001E2F6E" w:rsidRDefault="00195BE7" w:rsidP="00195BE7">
            <w:pPr>
              <w:spacing w:line="220" w:lineRule="exact"/>
              <w:jc w:val="right"/>
              <w:rPr>
                <w:color w:val="000000"/>
                <w:sz w:val="16"/>
                <w:szCs w:val="16"/>
              </w:rPr>
            </w:pPr>
            <w:r w:rsidRPr="001E2F6E">
              <w:rPr>
                <w:color w:val="000000"/>
                <w:sz w:val="16"/>
                <w:szCs w:val="16"/>
              </w:rPr>
              <w:t>374.993.392</w:t>
            </w:r>
          </w:p>
        </w:tc>
        <w:tc>
          <w:tcPr>
            <w:tcW w:w="481" w:type="pct"/>
            <w:tcBorders>
              <w:top w:val="nil"/>
              <w:left w:val="nil"/>
              <w:bottom w:val="nil"/>
              <w:right w:val="single" w:sz="8" w:space="0" w:color="BFBFBF"/>
            </w:tcBorders>
            <w:shd w:val="clear" w:color="auto" w:fill="auto"/>
            <w:noWrap/>
            <w:vAlign w:val="bottom"/>
            <w:hideMark/>
          </w:tcPr>
          <w:p w:rsidR="00195BE7" w:rsidRPr="001E2F6E" w:rsidRDefault="00195BE7" w:rsidP="00195BE7">
            <w:pPr>
              <w:spacing w:line="220" w:lineRule="exact"/>
              <w:jc w:val="right"/>
              <w:rPr>
                <w:color w:val="000000"/>
                <w:sz w:val="16"/>
                <w:szCs w:val="16"/>
              </w:rPr>
            </w:pPr>
            <w:r w:rsidRPr="001E2F6E">
              <w:rPr>
                <w:color w:val="000000"/>
                <w:sz w:val="16"/>
                <w:szCs w:val="16"/>
              </w:rPr>
              <w:t>286.087</w:t>
            </w:r>
          </w:p>
        </w:tc>
        <w:tc>
          <w:tcPr>
            <w:tcW w:w="657" w:type="pct"/>
            <w:tcBorders>
              <w:top w:val="nil"/>
              <w:left w:val="nil"/>
              <w:bottom w:val="nil"/>
              <w:right w:val="single" w:sz="8" w:space="0" w:color="BFBFBF"/>
            </w:tcBorders>
            <w:shd w:val="clear" w:color="auto" w:fill="auto"/>
            <w:noWrap/>
            <w:vAlign w:val="bottom"/>
            <w:hideMark/>
          </w:tcPr>
          <w:p w:rsidR="00195BE7" w:rsidRPr="001E2F6E" w:rsidRDefault="00195BE7" w:rsidP="00195BE7">
            <w:pPr>
              <w:spacing w:line="220" w:lineRule="exact"/>
              <w:jc w:val="right"/>
              <w:rPr>
                <w:color w:val="000000"/>
                <w:sz w:val="16"/>
                <w:szCs w:val="16"/>
              </w:rPr>
            </w:pPr>
            <w:r w:rsidRPr="001E2F6E">
              <w:rPr>
                <w:color w:val="000000"/>
                <w:sz w:val="16"/>
                <w:szCs w:val="16"/>
              </w:rPr>
              <w:t>162.697.530</w:t>
            </w:r>
          </w:p>
        </w:tc>
        <w:tc>
          <w:tcPr>
            <w:tcW w:w="662" w:type="pct"/>
            <w:tcBorders>
              <w:top w:val="nil"/>
              <w:left w:val="nil"/>
              <w:bottom w:val="nil"/>
              <w:right w:val="single" w:sz="8" w:space="0" w:color="BFBFBF"/>
            </w:tcBorders>
            <w:shd w:val="clear" w:color="auto" w:fill="auto"/>
            <w:noWrap/>
            <w:vAlign w:val="bottom"/>
            <w:hideMark/>
          </w:tcPr>
          <w:p w:rsidR="00195BE7" w:rsidRPr="001E2F6E" w:rsidRDefault="00195BE7" w:rsidP="00195BE7">
            <w:pPr>
              <w:spacing w:line="220" w:lineRule="exact"/>
              <w:jc w:val="right"/>
              <w:rPr>
                <w:color w:val="000000"/>
                <w:sz w:val="16"/>
                <w:szCs w:val="16"/>
              </w:rPr>
            </w:pPr>
            <w:r w:rsidRPr="001E2F6E">
              <w:rPr>
                <w:color w:val="000000"/>
                <w:sz w:val="16"/>
                <w:szCs w:val="16"/>
              </w:rPr>
              <w:t>13.656.194</w:t>
            </w:r>
          </w:p>
        </w:tc>
        <w:tc>
          <w:tcPr>
            <w:tcW w:w="657" w:type="pct"/>
            <w:tcBorders>
              <w:top w:val="nil"/>
              <w:left w:val="nil"/>
              <w:bottom w:val="nil"/>
              <w:right w:val="single" w:sz="8" w:space="0" w:color="BFBFBF"/>
            </w:tcBorders>
            <w:shd w:val="clear" w:color="auto" w:fill="auto"/>
            <w:noWrap/>
            <w:vAlign w:val="bottom"/>
            <w:hideMark/>
          </w:tcPr>
          <w:p w:rsidR="00195BE7" w:rsidRPr="001E2F6E" w:rsidRDefault="00195BE7" w:rsidP="00195BE7">
            <w:pPr>
              <w:spacing w:line="220" w:lineRule="exact"/>
              <w:jc w:val="right"/>
              <w:rPr>
                <w:color w:val="000000"/>
                <w:sz w:val="16"/>
                <w:szCs w:val="16"/>
              </w:rPr>
            </w:pPr>
            <w:r w:rsidRPr="001E2F6E">
              <w:rPr>
                <w:color w:val="000000"/>
                <w:sz w:val="16"/>
                <w:szCs w:val="16"/>
              </w:rPr>
              <w:t>198.353.580</w:t>
            </w:r>
          </w:p>
        </w:tc>
      </w:tr>
      <w:tr w:rsidR="00195BE7" w:rsidRPr="001E2F6E" w:rsidTr="00195BE7">
        <w:tc>
          <w:tcPr>
            <w:tcW w:w="1886" w:type="pct"/>
            <w:tcBorders>
              <w:top w:val="nil"/>
              <w:left w:val="nil"/>
              <w:bottom w:val="nil"/>
              <w:right w:val="single" w:sz="8" w:space="0" w:color="BFBFBF"/>
            </w:tcBorders>
            <w:shd w:val="clear" w:color="auto" w:fill="auto"/>
            <w:vAlign w:val="bottom"/>
            <w:hideMark/>
          </w:tcPr>
          <w:p w:rsidR="00195BE7" w:rsidRPr="001E2F6E" w:rsidRDefault="00195BE7" w:rsidP="00195BE7">
            <w:pPr>
              <w:spacing w:line="220" w:lineRule="exact"/>
              <w:rPr>
                <w:sz w:val="16"/>
                <w:szCs w:val="16"/>
                <w:lang w:val="eu-ES"/>
              </w:rPr>
            </w:pPr>
            <w:r w:rsidRPr="001E2F6E">
              <w:rPr>
                <w:sz w:val="16"/>
                <w:szCs w:val="16"/>
                <w:lang w:val="eu-ES"/>
              </w:rPr>
              <w:t>63 Jarduerari lotutako zergak</w:t>
            </w:r>
          </w:p>
        </w:tc>
        <w:tc>
          <w:tcPr>
            <w:tcW w:w="657" w:type="pct"/>
            <w:tcBorders>
              <w:top w:val="nil"/>
              <w:left w:val="nil"/>
              <w:bottom w:val="nil"/>
              <w:right w:val="single" w:sz="8" w:space="0" w:color="BFBFBF"/>
            </w:tcBorders>
            <w:shd w:val="clear" w:color="auto" w:fill="auto"/>
            <w:noWrap/>
            <w:vAlign w:val="bottom"/>
            <w:hideMark/>
          </w:tcPr>
          <w:p w:rsidR="00195BE7" w:rsidRPr="001E2F6E" w:rsidRDefault="00195BE7" w:rsidP="00195BE7">
            <w:pPr>
              <w:spacing w:line="220" w:lineRule="exact"/>
              <w:jc w:val="right"/>
              <w:rPr>
                <w:color w:val="000000"/>
                <w:sz w:val="16"/>
                <w:szCs w:val="16"/>
              </w:rPr>
            </w:pPr>
            <w:r w:rsidRPr="001E2F6E">
              <w:rPr>
                <w:color w:val="000000"/>
                <w:sz w:val="16"/>
                <w:szCs w:val="16"/>
              </w:rPr>
              <w:t>-23.878.678</w:t>
            </w:r>
          </w:p>
        </w:tc>
        <w:tc>
          <w:tcPr>
            <w:tcW w:w="481" w:type="pct"/>
            <w:tcBorders>
              <w:top w:val="nil"/>
              <w:left w:val="nil"/>
              <w:bottom w:val="nil"/>
              <w:right w:val="single" w:sz="8" w:space="0" w:color="BFBFBF"/>
            </w:tcBorders>
            <w:shd w:val="clear" w:color="auto" w:fill="auto"/>
            <w:noWrap/>
            <w:vAlign w:val="bottom"/>
            <w:hideMark/>
          </w:tcPr>
          <w:p w:rsidR="00195BE7" w:rsidRPr="001E2F6E" w:rsidRDefault="00195BE7" w:rsidP="00195BE7">
            <w:pPr>
              <w:spacing w:line="220" w:lineRule="exact"/>
              <w:jc w:val="right"/>
              <w:rPr>
                <w:color w:val="000000"/>
                <w:sz w:val="16"/>
                <w:szCs w:val="16"/>
              </w:rPr>
            </w:pPr>
            <w:r w:rsidRPr="001E2F6E">
              <w:rPr>
                <w:color w:val="000000"/>
                <w:sz w:val="16"/>
                <w:szCs w:val="16"/>
              </w:rPr>
              <w:t>2.196</w:t>
            </w:r>
          </w:p>
        </w:tc>
        <w:tc>
          <w:tcPr>
            <w:tcW w:w="657" w:type="pct"/>
            <w:tcBorders>
              <w:top w:val="nil"/>
              <w:left w:val="nil"/>
              <w:bottom w:val="nil"/>
              <w:right w:val="single" w:sz="8" w:space="0" w:color="BFBFBF"/>
            </w:tcBorders>
            <w:shd w:val="clear" w:color="auto" w:fill="auto"/>
            <w:noWrap/>
            <w:vAlign w:val="bottom"/>
            <w:hideMark/>
          </w:tcPr>
          <w:p w:rsidR="00195BE7" w:rsidRPr="001E2F6E" w:rsidRDefault="00195BE7" w:rsidP="00195BE7">
            <w:pPr>
              <w:spacing w:line="220" w:lineRule="exact"/>
              <w:jc w:val="right"/>
              <w:rPr>
                <w:color w:val="000000"/>
                <w:sz w:val="16"/>
                <w:szCs w:val="16"/>
              </w:rPr>
            </w:pPr>
            <w:r w:rsidRPr="001E2F6E">
              <w:rPr>
                <w:color w:val="000000"/>
                <w:sz w:val="16"/>
                <w:szCs w:val="16"/>
              </w:rPr>
              <w:t>1.482.679</w:t>
            </w:r>
          </w:p>
        </w:tc>
        <w:tc>
          <w:tcPr>
            <w:tcW w:w="662" w:type="pct"/>
            <w:tcBorders>
              <w:top w:val="nil"/>
              <w:left w:val="nil"/>
              <w:bottom w:val="nil"/>
              <w:right w:val="single" w:sz="8" w:space="0" w:color="BFBFBF"/>
            </w:tcBorders>
            <w:shd w:val="clear" w:color="auto" w:fill="auto"/>
            <w:noWrap/>
            <w:vAlign w:val="bottom"/>
            <w:hideMark/>
          </w:tcPr>
          <w:p w:rsidR="00195BE7" w:rsidRPr="001E2F6E" w:rsidRDefault="00195BE7" w:rsidP="00195BE7">
            <w:pPr>
              <w:spacing w:line="220" w:lineRule="exact"/>
              <w:jc w:val="right"/>
              <w:rPr>
                <w:color w:val="000000"/>
                <w:sz w:val="16"/>
                <w:szCs w:val="16"/>
              </w:rPr>
            </w:pPr>
            <w:r w:rsidRPr="001E2F6E">
              <w:rPr>
                <w:color w:val="000000"/>
                <w:sz w:val="16"/>
                <w:szCs w:val="16"/>
              </w:rPr>
              <w:t>111.095</w:t>
            </w:r>
          </w:p>
        </w:tc>
        <w:tc>
          <w:tcPr>
            <w:tcW w:w="657" w:type="pct"/>
            <w:tcBorders>
              <w:top w:val="nil"/>
              <w:left w:val="nil"/>
              <w:bottom w:val="nil"/>
              <w:right w:val="single" w:sz="8" w:space="0" w:color="BFBFBF"/>
            </w:tcBorders>
            <w:shd w:val="clear" w:color="auto" w:fill="auto"/>
            <w:noWrap/>
            <w:vAlign w:val="bottom"/>
            <w:hideMark/>
          </w:tcPr>
          <w:p w:rsidR="00195BE7" w:rsidRPr="001E2F6E" w:rsidRDefault="00195BE7" w:rsidP="00195BE7">
            <w:pPr>
              <w:spacing w:line="220" w:lineRule="exact"/>
              <w:jc w:val="right"/>
              <w:rPr>
                <w:color w:val="000000"/>
                <w:sz w:val="16"/>
                <w:szCs w:val="16"/>
              </w:rPr>
            </w:pPr>
            <w:r w:rsidRPr="001E2F6E">
              <w:rPr>
                <w:color w:val="000000"/>
                <w:sz w:val="16"/>
                <w:szCs w:val="16"/>
              </w:rPr>
              <w:t>-25.474.648</w:t>
            </w:r>
          </w:p>
        </w:tc>
      </w:tr>
      <w:tr w:rsidR="00195BE7" w:rsidRPr="001E2F6E" w:rsidTr="00195BE7">
        <w:tc>
          <w:tcPr>
            <w:tcW w:w="1886" w:type="pct"/>
            <w:tcBorders>
              <w:top w:val="nil"/>
              <w:left w:val="nil"/>
              <w:bottom w:val="nil"/>
              <w:right w:val="single" w:sz="8" w:space="0" w:color="BFBFBF"/>
            </w:tcBorders>
            <w:shd w:val="clear" w:color="auto" w:fill="auto"/>
            <w:vAlign w:val="bottom"/>
            <w:hideMark/>
          </w:tcPr>
          <w:p w:rsidR="00195BE7" w:rsidRPr="001E2F6E" w:rsidRDefault="00195BE7" w:rsidP="00195BE7">
            <w:pPr>
              <w:spacing w:line="220" w:lineRule="exact"/>
              <w:rPr>
                <w:sz w:val="16"/>
                <w:szCs w:val="16"/>
                <w:lang w:val="eu-ES"/>
              </w:rPr>
            </w:pPr>
            <w:r w:rsidRPr="001E2F6E">
              <w:rPr>
                <w:sz w:val="16"/>
                <w:szCs w:val="16"/>
                <w:lang w:val="eu-ES"/>
              </w:rPr>
              <w:t>64 Pertsonal-gastuak</w:t>
            </w:r>
          </w:p>
        </w:tc>
        <w:tc>
          <w:tcPr>
            <w:tcW w:w="657" w:type="pct"/>
            <w:tcBorders>
              <w:top w:val="nil"/>
              <w:left w:val="nil"/>
              <w:bottom w:val="nil"/>
              <w:right w:val="single" w:sz="8" w:space="0" w:color="BFBFBF"/>
            </w:tcBorders>
            <w:shd w:val="clear" w:color="auto" w:fill="auto"/>
            <w:noWrap/>
            <w:vAlign w:val="bottom"/>
            <w:hideMark/>
          </w:tcPr>
          <w:p w:rsidR="00195BE7" w:rsidRPr="001E2F6E" w:rsidRDefault="00195BE7" w:rsidP="00195BE7">
            <w:pPr>
              <w:spacing w:line="220" w:lineRule="exact"/>
              <w:jc w:val="right"/>
              <w:rPr>
                <w:color w:val="000000"/>
                <w:sz w:val="16"/>
                <w:szCs w:val="16"/>
              </w:rPr>
            </w:pPr>
            <w:r w:rsidRPr="001E2F6E">
              <w:rPr>
                <w:color w:val="000000"/>
                <w:sz w:val="16"/>
                <w:szCs w:val="16"/>
              </w:rPr>
              <w:t>716.164.556</w:t>
            </w:r>
          </w:p>
        </w:tc>
        <w:tc>
          <w:tcPr>
            <w:tcW w:w="481" w:type="pct"/>
            <w:tcBorders>
              <w:top w:val="nil"/>
              <w:left w:val="nil"/>
              <w:bottom w:val="nil"/>
              <w:right w:val="single" w:sz="8" w:space="0" w:color="BFBFBF"/>
            </w:tcBorders>
            <w:shd w:val="clear" w:color="auto" w:fill="auto"/>
            <w:noWrap/>
            <w:vAlign w:val="bottom"/>
            <w:hideMark/>
          </w:tcPr>
          <w:p w:rsidR="00195BE7" w:rsidRPr="001E2F6E" w:rsidRDefault="00195BE7" w:rsidP="00195BE7">
            <w:pPr>
              <w:spacing w:line="220" w:lineRule="exact"/>
              <w:jc w:val="right"/>
              <w:rPr>
                <w:color w:val="000000"/>
                <w:sz w:val="16"/>
                <w:szCs w:val="16"/>
              </w:rPr>
            </w:pPr>
            <w:r w:rsidRPr="001E2F6E">
              <w:rPr>
                <w:color w:val="000000"/>
                <w:sz w:val="16"/>
                <w:szCs w:val="16"/>
              </w:rPr>
              <w:t>749.759</w:t>
            </w:r>
          </w:p>
        </w:tc>
        <w:tc>
          <w:tcPr>
            <w:tcW w:w="657" w:type="pct"/>
            <w:tcBorders>
              <w:top w:val="nil"/>
              <w:left w:val="nil"/>
              <w:bottom w:val="nil"/>
              <w:right w:val="single" w:sz="8" w:space="0" w:color="BFBFBF"/>
            </w:tcBorders>
            <w:shd w:val="clear" w:color="auto" w:fill="auto"/>
            <w:noWrap/>
            <w:vAlign w:val="bottom"/>
            <w:hideMark/>
          </w:tcPr>
          <w:p w:rsidR="00195BE7" w:rsidRPr="001E2F6E" w:rsidRDefault="00195BE7" w:rsidP="00195BE7">
            <w:pPr>
              <w:spacing w:line="220" w:lineRule="exact"/>
              <w:jc w:val="right"/>
              <w:rPr>
                <w:color w:val="000000"/>
                <w:sz w:val="16"/>
                <w:szCs w:val="16"/>
              </w:rPr>
            </w:pPr>
            <w:r w:rsidRPr="001E2F6E">
              <w:rPr>
                <w:color w:val="000000"/>
                <w:sz w:val="16"/>
                <w:szCs w:val="16"/>
              </w:rPr>
              <w:t>266.537.753</w:t>
            </w:r>
          </w:p>
        </w:tc>
        <w:tc>
          <w:tcPr>
            <w:tcW w:w="662" w:type="pct"/>
            <w:tcBorders>
              <w:top w:val="nil"/>
              <w:left w:val="nil"/>
              <w:bottom w:val="nil"/>
              <w:right w:val="single" w:sz="8" w:space="0" w:color="BFBFBF"/>
            </w:tcBorders>
            <w:shd w:val="clear" w:color="auto" w:fill="auto"/>
            <w:noWrap/>
            <w:vAlign w:val="bottom"/>
            <w:hideMark/>
          </w:tcPr>
          <w:p w:rsidR="00195BE7" w:rsidRPr="001E2F6E" w:rsidRDefault="00195BE7" w:rsidP="00195BE7">
            <w:pPr>
              <w:spacing w:line="220" w:lineRule="exact"/>
              <w:jc w:val="right"/>
              <w:rPr>
                <w:color w:val="000000"/>
                <w:sz w:val="16"/>
                <w:szCs w:val="16"/>
              </w:rPr>
            </w:pPr>
            <w:r w:rsidRPr="001E2F6E">
              <w:rPr>
                <w:color w:val="000000"/>
                <w:sz w:val="16"/>
                <w:szCs w:val="16"/>
              </w:rPr>
              <w:t>30.765.257</w:t>
            </w:r>
          </w:p>
        </w:tc>
        <w:tc>
          <w:tcPr>
            <w:tcW w:w="657" w:type="pct"/>
            <w:tcBorders>
              <w:top w:val="nil"/>
              <w:left w:val="nil"/>
              <w:bottom w:val="nil"/>
              <w:right w:val="single" w:sz="8" w:space="0" w:color="BFBFBF"/>
            </w:tcBorders>
            <w:shd w:val="clear" w:color="auto" w:fill="auto"/>
            <w:noWrap/>
            <w:vAlign w:val="bottom"/>
            <w:hideMark/>
          </w:tcPr>
          <w:p w:rsidR="00195BE7" w:rsidRPr="001E2F6E" w:rsidRDefault="00195BE7" w:rsidP="00195BE7">
            <w:pPr>
              <w:spacing w:line="220" w:lineRule="exact"/>
              <w:jc w:val="right"/>
              <w:rPr>
                <w:color w:val="000000"/>
                <w:sz w:val="16"/>
                <w:szCs w:val="16"/>
              </w:rPr>
            </w:pPr>
            <w:r w:rsidRPr="001E2F6E">
              <w:rPr>
                <w:color w:val="000000"/>
                <w:sz w:val="16"/>
                <w:szCs w:val="16"/>
              </w:rPr>
              <w:t>418.111.787</w:t>
            </w:r>
          </w:p>
        </w:tc>
      </w:tr>
      <w:tr w:rsidR="00195BE7" w:rsidRPr="001E2F6E" w:rsidTr="00195BE7">
        <w:tc>
          <w:tcPr>
            <w:tcW w:w="1886" w:type="pct"/>
            <w:tcBorders>
              <w:top w:val="nil"/>
              <w:left w:val="nil"/>
              <w:bottom w:val="nil"/>
              <w:right w:val="single" w:sz="8" w:space="0" w:color="BFBFBF"/>
            </w:tcBorders>
            <w:shd w:val="clear" w:color="auto" w:fill="auto"/>
            <w:vAlign w:val="bottom"/>
            <w:hideMark/>
          </w:tcPr>
          <w:p w:rsidR="00195BE7" w:rsidRPr="001E2F6E" w:rsidRDefault="00195BE7" w:rsidP="00195BE7">
            <w:pPr>
              <w:spacing w:line="220" w:lineRule="exact"/>
              <w:rPr>
                <w:sz w:val="16"/>
                <w:szCs w:val="16"/>
                <w:lang w:val="eu-ES"/>
              </w:rPr>
            </w:pPr>
            <w:r w:rsidRPr="001E2F6E">
              <w:rPr>
                <w:sz w:val="16"/>
                <w:szCs w:val="16"/>
                <w:lang w:val="eu-ES"/>
              </w:rPr>
              <w:t>65 Kudeaketa-gastuak</w:t>
            </w:r>
          </w:p>
        </w:tc>
        <w:tc>
          <w:tcPr>
            <w:tcW w:w="657" w:type="pct"/>
            <w:tcBorders>
              <w:top w:val="nil"/>
              <w:left w:val="nil"/>
              <w:bottom w:val="nil"/>
              <w:right w:val="single" w:sz="8" w:space="0" w:color="BFBFBF"/>
            </w:tcBorders>
            <w:shd w:val="clear" w:color="auto" w:fill="auto"/>
            <w:noWrap/>
            <w:vAlign w:val="bottom"/>
            <w:hideMark/>
          </w:tcPr>
          <w:p w:rsidR="00195BE7" w:rsidRPr="001E2F6E" w:rsidRDefault="00195BE7" w:rsidP="00195BE7">
            <w:pPr>
              <w:spacing w:line="220" w:lineRule="exact"/>
              <w:jc w:val="right"/>
              <w:rPr>
                <w:color w:val="000000"/>
                <w:sz w:val="16"/>
                <w:szCs w:val="16"/>
              </w:rPr>
            </w:pPr>
            <w:r w:rsidRPr="001E2F6E">
              <w:rPr>
                <w:color w:val="000000"/>
                <w:sz w:val="16"/>
                <w:szCs w:val="16"/>
              </w:rPr>
              <w:t>177.995.385</w:t>
            </w:r>
          </w:p>
        </w:tc>
        <w:tc>
          <w:tcPr>
            <w:tcW w:w="481" w:type="pct"/>
            <w:tcBorders>
              <w:top w:val="nil"/>
              <w:left w:val="nil"/>
              <w:bottom w:val="nil"/>
              <w:right w:val="single" w:sz="8" w:space="0" w:color="BFBFBF"/>
            </w:tcBorders>
            <w:shd w:val="clear" w:color="auto" w:fill="auto"/>
            <w:noWrap/>
            <w:vAlign w:val="bottom"/>
            <w:hideMark/>
          </w:tcPr>
          <w:p w:rsidR="00195BE7" w:rsidRPr="001E2F6E" w:rsidRDefault="00195BE7" w:rsidP="00195BE7">
            <w:pPr>
              <w:spacing w:line="220" w:lineRule="exact"/>
              <w:jc w:val="right"/>
              <w:rPr>
                <w:color w:val="000000"/>
                <w:sz w:val="16"/>
                <w:szCs w:val="16"/>
              </w:rPr>
            </w:pPr>
            <w:r w:rsidRPr="001E2F6E">
              <w:rPr>
                <w:color w:val="000000"/>
                <w:sz w:val="16"/>
                <w:szCs w:val="16"/>
              </w:rPr>
              <w:t>27.288</w:t>
            </w:r>
          </w:p>
        </w:tc>
        <w:tc>
          <w:tcPr>
            <w:tcW w:w="657" w:type="pct"/>
            <w:tcBorders>
              <w:top w:val="nil"/>
              <w:left w:val="nil"/>
              <w:bottom w:val="nil"/>
              <w:right w:val="single" w:sz="8" w:space="0" w:color="BFBFBF"/>
            </w:tcBorders>
            <w:shd w:val="clear" w:color="auto" w:fill="auto"/>
            <w:noWrap/>
            <w:vAlign w:val="bottom"/>
            <w:hideMark/>
          </w:tcPr>
          <w:p w:rsidR="00195BE7" w:rsidRPr="001E2F6E" w:rsidRDefault="00195BE7" w:rsidP="00195BE7">
            <w:pPr>
              <w:spacing w:line="220" w:lineRule="exact"/>
              <w:jc w:val="right"/>
              <w:rPr>
                <w:color w:val="000000"/>
                <w:sz w:val="16"/>
                <w:szCs w:val="16"/>
              </w:rPr>
            </w:pPr>
            <w:r w:rsidRPr="001E2F6E">
              <w:rPr>
                <w:color w:val="000000"/>
                <w:sz w:val="16"/>
                <w:szCs w:val="16"/>
              </w:rPr>
              <w:t>3.795.090</w:t>
            </w:r>
          </w:p>
        </w:tc>
        <w:tc>
          <w:tcPr>
            <w:tcW w:w="662" w:type="pct"/>
            <w:tcBorders>
              <w:top w:val="nil"/>
              <w:left w:val="nil"/>
              <w:bottom w:val="nil"/>
              <w:right w:val="single" w:sz="8" w:space="0" w:color="BFBFBF"/>
            </w:tcBorders>
            <w:shd w:val="clear" w:color="auto" w:fill="auto"/>
            <w:noWrap/>
            <w:vAlign w:val="bottom"/>
            <w:hideMark/>
          </w:tcPr>
          <w:p w:rsidR="00195BE7" w:rsidRPr="001E2F6E" w:rsidRDefault="00195BE7" w:rsidP="00195BE7">
            <w:pPr>
              <w:spacing w:line="220" w:lineRule="exact"/>
              <w:jc w:val="right"/>
              <w:rPr>
                <w:color w:val="000000"/>
                <w:sz w:val="16"/>
                <w:szCs w:val="16"/>
              </w:rPr>
            </w:pPr>
            <w:r w:rsidRPr="001E2F6E">
              <w:rPr>
                <w:color w:val="000000"/>
                <w:sz w:val="16"/>
                <w:szCs w:val="16"/>
              </w:rPr>
              <w:t>132.998</w:t>
            </w:r>
          </w:p>
        </w:tc>
        <w:tc>
          <w:tcPr>
            <w:tcW w:w="657" w:type="pct"/>
            <w:tcBorders>
              <w:top w:val="nil"/>
              <w:left w:val="nil"/>
              <w:bottom w:val="nil"/>
              <w:right w:val="single" w:sz="8" w:space="0" w:color="BFBFBF"/>
            </w:tcBorders>
            <w:shd w:val="clear" w:color="auto" w:fill="auto"/>
            <w:noWrap/>
            <w:vAlign w:val="bottom"/>
            <w:hideMark/>
          </w:tcPr>
          <w:p w:rsidR="00195BE7" w:rsidRPr="001E2F6E" w:rsidRDefault="00195BE7" w:rsidP="00195BE7">
            <w:pPr>
              <w:spacing w:line="220" w:lineRule="exact"/>
              <w:jc w:val="right"/>
              <w:rPr>
                <w:color w:val="000000"/>
                <w:sz w:val="16"/>
                <w:szCs w:val="16"/>
              </w:rPr>
            </w:pPr>
            <w:r w:rsidRPr="001E2F6E">
              <w:rPr>
                <w:color w:val="000000"/>
                <w:sz w:val="16"/>
                <w:szCs w:val="16"/>
              </w:rPr>
              <w:t>174.040.009</w:t>
            </w:r>
          </w:p>
        </w:tc>
      </w:tr>
      <w:tr w:rsidR="00195BE7" w:rsidRPr="001E2F6E" w:rsidTr="00195BE7">
        <w:tc>
          <w:tcPr>
            <w:tcW w:w="1886" w:type="pct"/>
            <w:tcBorders>
              <w:top w:val="nil"/>
              <w:left w:val="nil"/>
              <w:bottom w:val="nil"/>
              <w:right w:val="single" w:sz="8" w:space="0" w:color="BFBFBF"/>
            </w:tcBorders>
            <w:shd w:val="clear" w:color="auto" w:fill="auto"/>
            <w:vAlign w:val="bottom"/>
            <w:hideMark/>
          </w:tcPr>
          <w:p w:rsidR="00195BE7" w:rsidRPr="001E2F6E" w:rsidRDefault="00195BE7" w:rsidP="00195BE7">
            <w:pPr>
              <w:spacing w:line="220" w:lineRule="exact"/>
              <w:rPr>
                <w:sz w:val="16"/>
                <w:szCs w:val="16"/>
                <w:lang w:val="eu-ES"/>
              </w:rPr>
            </w:pPr>
            <w:r w:rsidRPr="001E2F6E">
              <w:rPr>
                <w:sz w:val="16"/>
                <w:szCs w:val="16"/>
                <w:lang w:val="eu-ES"/>
              </w:rPr>
              <w:t>66 Finantza-gastuak</w:t>
            </w:r>
          </w:p>
        </w:tc>
        <w:tc>
          <w:tcPr>
            <w:tcW w:w="657" w:type="pct"/>
            <w:tcBorders>
              <w:top w:val="nil"/>
              <w:left w:val="nil"/>
              <w:bottom w:val="nil"/>
              <w:right w:val="single" w:sz="8" w:space="0" w:color="BFBFBF"/>
            </w:tcBorders>
            <w:shd w:val="clear" w:color="auto" w:fill="auto"/>
            <w:noWrap/>
            <w:vAlign w:val="bottom"/>
            <w:hideMark/>
          </w:tcPr>
          <w:p w:rsidR="00195BE7" w:rsidRPr="001E2F6E" w:rsidRDefault="00195BE7" w:rsidP="00195BE7">
            <w:pPr>
              <w:spacing w:line="220" w:lineRule="exact"/>
              <w:jc w:val="right"/>
              <w:rPr>
                <w:color w:val="000000"/>
                <w:sz w:val="16"/>
                <w:szCs w:val="16"/>
              </w:rPr>
            </w:pPr>
            <w:r w:rsidRPr="001E2F6E">
              <w:rPr>
                <w:color w:val="000000"/>
                <w:sz w:val="16"/>
                <w:szCs w:val="16"/>
              </w:rPr>
              <w:t>55.193.384</w:t>
            </w:r>
          </w:p>
        </w:tc>
        <w:tc>
          <w:tcPr>
            <w:tcW w:w="481" w:type="pct"/>
            <w:tcBorders>
              <w:top w:val="nil"/>
              <w:left w:val="nil"/>
              <w:bottom w:val="nil"/>
              <w:right w:val="single" w:sz="8" w:space="0" w:color="BFBFBF"/>
            </w:tcBorders>
            <w:shd w:val="clear" w:color="auto" w:fill="auto"/>
            <w:noWrap/>
            <w:vAlign w:val="bottom"/>
            <w:hideMark/>
          </w:tcPr>
          <w:p w:rsidR="00195BE7" w:rsidRPr="001E2F6E" w:rsidRDefault="00195BE7" w:rsidP="00195BE7">
            <w:pPr>
              <w:spacing w:line="220" w:lineRule="exact"/>
              <w:jc w:val="right"/>
              <w:rPr>
                <w:color w:val="000000"/>
                <w:sz w:val="16"/>
                <w:szCs w:val="16"/>
              </w:rPr>
            </w:pPr>
            <w:r w:rsidRPr="001E2F6E">
              <w:rPr>
                <w:color w:val="000000"/>
                <w:sz w:val="16"/>
                <w:szCs w:val="16"/>
              </w:rPr>
              <w:t>43.042</w:t>
            </w:r>
          </w:p>
        </w:tc>
        <w:tc>
          <w:tcPr>
            <w:tcW w:w="657" w:type="pct"/>
            <w:tcBorders>
              <w:top w:val="nil"/>
              <w:left w:val="nil"/>
              <w:bottom w:val="nil"/>
              <w:right w:val="single" w:sz="8" w:space="0" w:color="BFBFBF"/>
            </w:tcBorders>
            <w:shd w:val="clear" w:color="auto" w:fill="auto"/>
            <w:noWrap/>
            <w:vAlign w:val="bottom"/>
            <w:hideMark/>
          </w:tcPr>
          <w:p w:rsidR="00195BE7" w:rsidRPr="001E2F6E" w:rsidRDefault="00195BE7" w:rsidP="00195BE7">
            <w:pPr>
              <w:spacing w:line="220" w:lineRule="exact"/>
              <w:jc w:val="right"/>
              <w:rPr>
                <w:color w:val="000000"/>
                <w:sz w:val="16"/>
                <w:szCs w:val="16"/>
              </w:rPr>
            </w:pPr>
            <w:r w:rsidRPr="001E2F6E">
              <w:rPr>
                <w:color w:val="000000"/>
                <w:sz w:val="16"/>
                <w:szCs w:val="16"/>
              </w:rPr>
              <w:t>20.905.667</w:t>
            </w:r>
          </w:p>
        </w:tc>
        <w:tc>
          <w:tcPr>
            <w:tcW w:w="662" w:type="pct"/>
            <w:tcBorders>
              <w:top w:val="nil"/>
              <w:left w:val="nil"/>
              <w:bottom w:val="nil"/>
              <w:right w:val="single" w:sz="8" w:space="0" w:color="BFBFBF"/>
            </w:tcBorders>
            <w:shd w:val="clear" w:color="auto" w:fill="auto"/>
            <w:noWrap/>
            <w:vAlign w:val="bottom"/>
            <w:hideMark/>
          </w:tcPr>
          <w:p w:rsidR="00195BE7" w:rsidRPr="001E2F6E" w:rsidRDefault="00195BE7" w:rsidP="00195BE7">
            <w:pPr>
              <w:spacing w:line="220" w:lineRule="exact"/>
              <w:jc w:val="right"/>
              <w:rPr>
                <w:color w:val="000000"/>
                <w:sz w:val="16"/>
                <w:szCs w:val="16"/>
              </w:rPr>
            </w:pPr>
            <w:r w:rsidRPr="001E2F6E">
              <w:rPr>
                <w:color w:val="000000"/>
                <w:sz w:val="16"/>
                <w:szCs w:val="16"/>
              </w:rPr>
              <w:t>1.039.035</w:t>
            </w:r>
          </w:p>
        </w:tc>
        <w:tc>
          <w:tcPr>
            <w:tcW w:w="657" w:type="pct"/>
            <w:tcBorders>
              <w:top w:val="nil"/>
              <w:left w:val="nil"/>
              <w:bottom w:val="nil"/>
              <w:right w:val="single" w:sz="8" w:space="0" w:color="BFBFBF"/>
            </w:tcBorders>
            <w:shd w:val="clear" w:color="auto" w:fill="auto"/>
            <w:noWrap/>
            <w:vAlign w:val="bottom"/>
            <w:hideMark/>
          </w:tcPr>
          <w:p w:rsidR="00195BE7" w:rsidRPr="001E2F6E" w:rsidRDefault="00195BE7" w:rsidP="00195BE7">
            <w:pPr>
              <w:spacing w:line="220" w:lineRule="exact"/>
              <w:jc w:val="right"/>
              <w:rPr>
                <w:color w:val="000000"/>
                <w:sz w:val="16"/>
                <w:szCs w:val="16"/>
              </w:rPr>
            </w:pPr>
            <w:r w:rsidRPr="001E2F6E">
              <w:rPr>
                <w:color w:val="000000"/>
                <w:sz w:val="16"/>
                <w:szCs w:val="16"/>
              </w:rPr>
              <w:t>33.205.640</w:t>
            </w:r>
          </w:p>
        </w:tc>
      </w:tr>
      <w:tr w:rsidR="00195BE7" w:rsidRPr="001E2F6E" w:rsidTr="00195BE7">
        <w:tc>
          <w:tcPr>
            <w:tcW w:w="1886" w:type="pct"/>
            <w:tcBorders>
              <w:top w:val="nil"/>
              <w:left w:val="nil"/>
              <w:bottom w:val="nil"/>
              <w:right w:val="single" w:sz="8" w:space="0" w:color="BFBFBF"/>
            </w:tcBorders>
            <w:shd w:val="clear" w:color="auto" w:fill="auto"/>
            <w:vAlign w:val="bottom"/>
            <w:hideMark/>
          </w:tcPr>
          <w:p w:rsidR="00195BE7" w:rsidRPr="001E2F6E" w:rsidRDefault="00195BE7" w:rsidP="00195BE7">
            <w:pPr>
              <w:spacing w:line="220" w:lineRule="exact"/>
              <w:rPr>
                <w:sz w:val="16"/>
                <w:szCs w:val="16"/>
                <w:lang w:val="eu-ES"/>
              </w:rPr>
            </w:pPr>
            <w:r w:rsidRPr="001E2F6E">
              <w:rPr>
                <w:sz w:val="16"/>
                <w:szCs w:val="16"/>
                <w:lang w:val="eu-ES"/>
              </w:rPr>
              <w:t>67 Ezohiko gastuak</w:t>
            </w:r>
          </w:p>
        </w:tc>
        <w:tc>
          <w:tcPr>
            <w:tcW w:w="657" w:type="pct"/>
            <w:tcBorders>
              <w:top w:val="nil"/>
              <w:left w:val="nil"/>
              <w:bottom w:val="nil"/>
              <w:right w:val="single" w:sz="8" w:space="0" w:color="BFBFBF"/>
            </w:tcBorders>
            <w:shd w:val="clear" w:color="auto" w:fill="auto"/>
            <w:noWrap/>
            <w:vAlign w:val="bottom"/>
            <w:hideMark/>
          </w:tcPr>
          <w:p w:rsidR="00195BE7" w:rsidRPr="001E2F6E" w:rsidRDefault="00195BE7" w:rsidP="00195BE7">
            <w:pPr>
              <w:spacing w:line="220" w:lineRule="exact"/>
              <w:jc w:val="right"/>
              <w:rPr>
                <w:color w:val="000000"/>
                <w:sz w:val="16"/>
                <w:szCs w:val="16"/>
              </w:rPr>
            </w:pPr>
            <w:r w:rsidRPr="001E2F6E">
              <w:rPr>
                <w:color w:val="000000"/>
                <w:sz w:val="16"/>
                <w:szCs w:val="16"/>
              </w:rPr>
              <w:t>30.402.956</w:t>
            </w:r>
          </w:p>
        </w:tc>
        <w:tc>
          <w:tcPr>
            <w:tcW w:w="481" w:type="pct"/>
            <w:tcBorders>
              <w:top w:val="nil"/>
              <w:left w:val="nil"/>
              <w:bottom w:val="nil"/>
              <w:right w:val="single" w:sz="8" w:space="0" w:color="BFBFBF"/>
            </w:tcBorders>
            <w:shd w:val="clear" w:color="auto" w:fill="auto"/>
            <w:noWrap/>
            <w:vAlign w:val="bottom"/>
            <w:hideMark/>
          </w:tcPr>
          <w:p w:rsidR="00195BE7" w:rsidRPr="001E2F6E" w:rsidRDefault="00195BE7" w:rsidP="00195BE7">
            <w:pPr>
              <w:spacing w:line="220" w:lineRule="exact"/>
              <w:jc w:val="right"/>
              <w:rPr>
                <w:color w:val="000000"/>
                <w:sz w:val="16"/>
                <w:szCs w:val="16"/>
              </w:rPr>
            </w:pPr>
            <w:r w:rsidRPr="001E2F6E">
              <w:rPr>
                <w:color w:val="000000"/>
                <w:sz w:val="16"/>
                <w:szCs w:val="16"/>
              </w:rPr>
              <w:t> </w:t>
            </w:r>
          </w:p>
        </w:tc>
        <w:tc>
          <w:tcPr>
            <w:tcW w:w="657" w:type="pct"/>
            <w:tcBorders>
              <w:top w:val="nil"/>
              <w:left w:val="nil"/>
              <w:bottom w:val="nil"/>
              <w:right w:val="single" w:sz="8" w:space="0" w:color="BFBFBF"/>
            </w:tcBorders>
            <w:shd w:val="clear" w:color="auto" w:fill="auto"/>
            <w:noWrap/>
            <w:vAlign w:val="bottom"/>
            <w:hideMark/>
          </w:tcPr>
          <w:p w:rsidR="00195BE7" w:rsidRPr="001E2F6E" w:rsidRDefault="00195BE7" w:rsidP="00195BE7">
            <w:pPr>
              <w:spacing w:line="220" w:lineRule="exact"/>
              <w:jc w:val="right"/>
              <w:rPr>
                <w:color w:val="000000"/>
                <w:sz w:val="16"/>
                <w:szCs w:val="16"/>
              </w:rPr>
            </w:pPr>
            <w:r w:rsidRPr="001E2F6E">
              <w:rPr>
                <w:color w:val="000000"/>
                <w:sz w:val="16"/>
                <w:szCs w:val="16"/>
              </w:rPr>
              <w:t>1.244.107</w:t>
            </w:r>
          </w:p>
        </w:tc>
        <w:tc>
          <w:tcPr>
            <w:tcW w:w="662" w:type="pct"/>
            <w:tcBorders>
              <w:top w:val="nil"/>
              <w:left w:val="nil"/>
              <w:bottom w:val="nil"/>
              <w:right w:val="single" w:sz="8" w:space="0" w:color="BFBFBF"/>
            </w:tcBorders>
            <w:shd w:val="clear" w:color="auto" w:fill="auto"/>
            <w:noWrap/>
            <w:vAlign w:val="bottom"/>
            <w:hideMark/>
          </w:tcPr>
          <w:p w:rsidR="00195BE7" w:rsidRPr="001E2F6E" w:rsidRDefault="00195BE7" w:rsidP="00195BE7">
            <w:pPr>
              <w:spacing w:line="220" w:lineRule="exact"/>
              <w:jc w:val="right"/>
              <w:rPr>
                <w:color w:val="000000"/>
                <w:sz w:val="16"/>
                <w:szCs w:val="16"/>
              </w:rPr>
            </w:pPr>
            <w:r w:rsidRPr="001E2F6E">
              <w:rPr>
                <w:color w:val="000000"/>
                <w:sz w:val="16"/>
                <w:szCs w:val="16"/>
              </w:rPr>
              <w:t>191.000</w:t>
            </w:r>
          </w:p>
        </w:tc>
        <w:tc>
          <w:tcPr>
            <w:tcW w:w="657" w:type="pct"/>
            <w:tcBorders>
              <w:top w:val="nil"/>
              <w:left w:val="nil"/>
              <w:bottom w:val="nil"/>
              <w:right w:val="single" w:sz="8" w:space="0" w:color="BFBFBF"/>
            </w:tcBorders>
            <w:shd w:val="clear" w:color="auto" w:fill="auto"/>
            <w:noWrap/>
            <w:vAlign w:val="bottom"/>
            <w:hideMark/>
          </w:tcPr>
          <w:p w:rsidR="00195BE7" w:rsidRPr="001E2F6E" w:rsidRDefault="00195BE7" w:rsidP="00195BE7">
            <w:pPr>
              <w:spacing w:line="220" w:lineRule="exact"/>
              <w:jc w:val="right"/>
              <w:rPr>
                <w:color w:val="000000"/>
                <w:sz w:val="16"/>
                <w:szCs w:val="16"/>
              </w:rPr>
            </w:pPr>
            <w:r w:rsidRPr="001E2F6E">
              <w:rPr>
                <w:color w:val="000000"/>
                <w:sz w:val="16"/>
                <w:szCs w:val="16"/>
              </w:rPr>
              <w:t>28.967.849</w:t>
            </w:r>
          </w:p>
        </w:tc>
      </w:tr>
      <w:tr w:rsidR="00195BE7" w:rsidRPr="001E2F6E" w:rsidTr="00195BE7">
        <w:tc>
          <w:tcPr>
            <w:tcW w:w="1886" w:type="pct"/>
            <w:tcBorders>
              <w:top w:val="nil"/>
              <w:left w:val="nil"/>
              <w:bottom w:val="nil"/>
              <w:right w:val="single" w:sz="8" w:space="0" w:color="BFBFBF"/>
            </w:tcBorders>
            <w:shd w:val="clear" w:color="auto" w:fill="auto"/>
            <w:vAlign w:val="bottom"/>
            <w:hideMark/>
          </w:tcPr>
          <w:p w:rsidR="00195BE7" w:rsidRPr="001E2F6E" w:rsidRDefault="00195BE7" w:rsidP="00195BE7">
            <w:pPr>
              <w:spacing w:line="220" w:lineRule="exact"/>
              <w:rPr>
                <w:sz w:val="16"/>
                <w:szCs w:val="16"/>
                <w:lang w:val="eu-ES"/>
              </w:rPr>
            </w:pPr>
            <w:r w:rsidRPr="001E2F6E">
              <w:rPr>
                <w:sz w:val="16"/>
                <w:szCs w:val="16"/>
                <w:lang w:val="eu-ES"/>
              </w:rPr>
              <w:t>68 Ekitaldiaren amortizaziorako hornidura</w:t>
            </w:r>
          </w:p>
        </w:tc>
        <w:tc>
          <w:tcPr>
            <w:tcW w:w="657" w:type="pct"/>
            <w:tcBorders>
              <w:top w:val="nil"/>
              <w:left w:val="nil"/>
              <w:bottom w:val="nil"/>
              <w:right w:val="single" w:sz="8" w:space="0" w:color="BFBFBF"/>
            </w:tcBorders>
            <w:shd w:val="clear" w:color="auto" w:fill="auto"/>
            <w:noWrap/>
            <w:vAlign w:val="center"/>
            <w:hideMark/>
          </w:tcPr>
          <w:p w:rsidR="00195BE7" w:rsidRPr="001E2F6E" w:rsidRDefault="00195BE7" w:rsidP="00195BE7">
            <w:pPr>
              <w:spacing w:line="220" w:lineRule="exact"/>
              <w:jc w:val="right"/>
              <w:rPr>
                <w:color w:val="000000"/>
                <w:sz w:val="16"/>
                <w:szCs w:val="16"/>
              </w:rPr>
            </w:pPr>
            <w:r w:rsidRPr="001E2F6E">
              <w:rPr>
                <w:color w:val="000000"/>
                <w:sz w:val="16"/>
                <w:szCs w:val="16"/>
              </w:rPr>
              <w:t>74.332.359</w:t>
            </w:r>
          </w:p>
        </w:tc>
        <w:tc>
          <w:tcPr>
            <w:tcW w:w="481" w:type="pct"/>
            <w:tcBorders>
              <w:top w:val="nil"/>
              <w:left w:val="nil"/>
              <w:bottom w:val="nil"/>
              <w:right w:val="single" w:sz="8" w:space="0" w:color="BFBFBF"/>
            </w:tcBorders>
            <w:shd w:val="clear" w:color="auto" w:fill="auto"/>
            <w:noWrap/>
            <w:vAlign w:val="center"/>
            <w:hideMark/>
          </w:tcPr>
          <w:p w:rsidR="00195BE7" w:rsidRPr="001E2F6E" w:rsidRDefault="00195BE7" w:rsidP="00195BE7">
            <w:pPr>
              <w:spacing w:line="220" w:lineRule="exact"/>
              <w:jc w:val="right"/>
              <w:rPr>
                <w:color w:val="000000"/>
                <w:sz w:val="16"/>
                <w:szCs w:val="16"/>
              </w:rPr>
            </w:pPr>
            <w:r w:rsidRPr="001E2F6E">
              <w:rPr>
                <w:color w:val="000000"/>
                <w:sz w:val="16"/>
                <w:szCs w:val="16"/>
              </w:rPr>
              <w:t>22.677</w:t>
            </w:r>
          </w:p>
        </w:tc>
        <w:tc>
          <w:tcPr>
            <w:tcW w:w="657" w:type="pct"/>
            <w:tcBorders>
              <w:top w:val="nil"/>
              <w:left w:val="nil"/>
              <w:bottom w:val="nil"/>
              <w:right w:val="single" w:sz="8" w:space="0" w:color="BFBFBF"/>
            </w:tcBorders>
            <w:shd w:val="clear" w:color="auto" w:fill="auto"/>
            <w:noWrap/>
            <w:vAlign w:val="center"/>
            <w:hideMark/>
          </w:tcPr>
          <w:p w:rsidR="00195BE7" w:rsidRPr="001E2F6E" w:rsidRDefault="00195BE7" w:rsidP="00195BE7">
            <w:pPr>
              <w:spacing w:line="220" w:lineRule="exact"/>
              <w:jc w:val="right"/>
              <w:rPr>
                <w:color w:val="000000"/>
                <w:sz w:val="16"/>
                <w:szCs w:val="16"/>
              </w:rPr>
            </w:pPr>
            <w:r w:rsidRPr="001E2F6E">
              <w:rPr>
                <w:color w:val="000000"/>
                <w:sz w:val="16"/>
                <w:szCs w:val="16"/>
              </w:rPr>
              <w:t>34.636.341</w:t>
            </w:r>
          </w:p>
        </w:tc>
        <w:tc>
          <w:tcPr>
            <w:tcW w:w="662" w:type="pct"/>
            <w:tcBorders>
              <w:top w:val="nil"/>
              <w:left w:val="nil"/>
              <w:bottom w:val="nil"/>
              <w:right w:val="single" w:sz="8" w:space="0" w:color="BFBFBF"/>
            </w:tcBorders>
            <w:shd w:val="clear" w:color="auto" w:fill="auto"/>
            <w:noWrap/>
            <w:vAlign w:val="center"/>
            <w:hideMark/>
          </w:tcPr>
          <w:p w:rsidR="00195BE7" w:rsidRPr="001E2F6E" w:rsidRDefault="00195BE7" w:rsidP="00195BE7">
            <w:pPr>
              <w:spacing w:line="220" w:lineRule="exact"/>
              <w:jc w:val="right"/>
              <w:rPr>
                <w:color w:val="000000"/>
                <w:sz w:val="16"/>
                <w:szCs w:val="16"/>
              </w:rPr>
            </w:pPr>
            <w:r w:rsidRPr="001E2F6E">
              <w:rPr>
                <w:color w:val="000000"/>
                <w:sz w:val="16"/>
                <w:szCs w:val="16"/>
              </w:rPr>
              <w:t>1.073.303</w:t>
            </w:r>
          </w:p>
        </w:tc>
        <w:tc>
          <w:tcPr>
            <w:tcW w:w="657" w:type="pct"/>
            <w:tcBorders>
              <w:top w:val="nil"/>
              <w:left w:val="nil"/>
              <w:bottom w:val="nil"/>
              <w:right w:val="single" w:sz="8" w:space="0" w:color="BFBFBF"/>
            </w:tcBorders>
            <w:shd w:val="clear" w:color="auto" w:fill="auto"/>
            <w:noWrap/>
            <w:vAlign w:val="center"/>
            <w:hideMark/>
          </w:tcPr>
          <w:p w:rsidR="00195BE7" w:rsidRPr="001E2F6E" w:rsidRDefault="00195BE7" w:rsidP="00195BE7">
            <w:pPr>
              <w:spacing w:line="220" w:lineRule="exact"/>
              <w:jc w:val="right"/>
              <w:rPr>
                <w:color w:val="000000"/>
                <w:sz w:val="16"/>
                <w:szCs w:val="16"/>
              </w:rPr>
            </w:pPr>
            <w:r w:rsidRPr="001E2F6E">
              <w:rPr>
                <w:color w:val="000000"/>
                <w:sz w:val="16"/>
                <w:szCs w:val="16"/>
              </w:rPr>
              <w:t>38.600.039</w:t>
            </w:r>
          </w:p>
        </w:tc>
      </w:tr>
      <w:tr w:rsidR="00195BE7" w:rsidRPr="001E2F6E" w:rsidTr="00195BE7">
        <w:tc>
          <w:tcPr>
            <w:tcW w:w="1886" w:type="pct"/>
            <w:tcBorders>
              <w:top w:val="nil"/>
              <w:left w:val="nil"/>
              <w:bottom w:val="single" w:sz="8" w:space="0" w:color="BFBFBF"/>
              <w:right w:val="single" w:sz="8" w:space="0" w:color="BFBFBF"/>
            </w:tcBorders>
            <w:shd w:val="clear" w:color="auto" w:fill="auto"/>
            <w:vAlign w:val="bottom"/>
            <w:hideMark/>
          </w:tcPr>
          <w:p w:rsidR="00195BE7" w:rsidRPr="001E2F6E" w:rsidRDefault="00195BE7" w:rsidP="00195BE7">
            <w:pPr>
              <w:spacing w:line="220" w:lineRule="exact"/>
              <w:rPr>
                <w:sz w:val="16"/>
                <w:szCs w:val="16"/>
                <w:lang w:val="eu-ES"/>
              </w:rPr>
            </w:pPr>
            <w:r w:rsidRPr="001E2F6E">
              <w:rPr>
                <w:sz w:val="16"/>
                <w:szCs w:val="16"/>
                <w:lang w:val="eu-ES"/>
              </w:rPr>
              <w:t>69 Hornidura-zuzkidurak</w:t>
            </w:r>
          </w:p>
        </w:tc>
        <w:tc>
          <w:tcPr>
            <w:tcW w:w="657" w:type="pct"/>
            <w:tcBorders>
              <w:top w:val="nil"/>
              <w:left w:val="nil"/>
              <w:bottom w:val="nil"/>
              <w:right w:val="single" w:sz="8" w:space="0" w:color="BFBFBF"/>
            </w:tcBorders>
            <w:shd w:val="clear" w:color="auto" w:fill="auto"/>
            <w:noWrap/>
            <w:vAlign w:val="bottom"/>
            <w:hideMark/>
          </w:tcPr>
          <w:p w:rsidR="00195BE7" w:rsidRPr="001E2F6E" w:rsidRDefault="00195BE7" w:rsidP="00195BE7">
            <w:pPr>
              <w:spacing w:line="220" w:lineRule="exact"/>
              <w:jc w:val="right"/>
              <w:rPr>
                <w:color w:val="000000"/>
                <w:sz w:val="16"/>
                <w:szCs w:val="16"/>
              </w:rPr>
            </w:pPr>
            <w:r w:rsidRPr="001E2F6E">
              <w:rPr>
                <w:color w:val="000000"/>
                <w:sz w:val="16"/>
                <w:szCs w:val="16"/>
              </w:rPr>
              <w:t>222.049.696</w:t>
            </w:r>
          </w:p>
        </w:tc>
        <w:tc>
          <w:tcPr>
            <w:tcW w:w="481" w:type="pct"/>
            <w:tcBorders>
              <w:top w:val="nil"/>
              <w:left w:val="nil"/>
              <w:bottom w:val="nil"/>
              <w:right w:val="single" w:sz="8" w:space="0" w:color="BFBFBF"/>
            </w:tcBorders>
            <w:shd w:val="clear" w:color="auto" w:fill="auto"/>
            <w:noWrap/>
            <w:vAlign w:val="bottom"/>
            <w:hideMark/>
          </w:tcPr>
          <w:p w:rsidR="00195BE7" w:rsidRPr="001E2F6E" w:rsidRDefault="00195BE7" w:rsidP="00195BE7">
            <w:pPr>
              <w:spacing w:line="220" w:lineRule="exact"/>
              <w:jc w:val="right"/>
              <w:rPr>
                <w:color w:val="000000"/>
                <w:sz w:val="16"/>
                <w:szCs w:val="16"/>
              </w:rPr>
            </w:pPr>
            <w:r w:rsidRPr="001E2F6E">
              <w:rPr>
                <w:color w:val="000000"/>
                <w:sz w:val="16"/>
                <w:szCs w:val="16"/>
              </w:rPr>
              <w:t>23.807</w:t>
            </w:r>
          </w:p>
        </w:tc>
        <w:tc>
          <w:tcPr>
            <w:tcW w:w="657" w:type="pct"/>
            <w:tcBorders>
              <w:top w:val="nil"/>
              <w:left w:val="nil"/>
              <w:bottom w:val="nil"/>
              <w:right w:val="single" w:sz="8" w:space="0" w:color="BFBFBF"/>
            </w:tcBorders>
            <w:shd w:val="clear" w:color="auto" w:fill="auto"/>
            <w:noWrap/>
            <w:vAlign w:val="bottom"/>
            <w:hideMark/>
          </w:tcPr>
          <w:p w:rsidR="00195BE7" w:rsidRPr="001E2F6E" w:rsidRDefault="00195BE7" w:rsidP="00195BE7">
            <w:pPr>
              <w:spacing w:line="220" w:lineRule="exact"/>
              <w:jc w:val="right"/>
              <w:rPr>
                <w:color w:val="000000"/>
                <w:sz w:val="16"/>
                <w:szCs w:val="16"/>
              </w:rPr>
            </w:pPr>
            <w:r w:rsidRPr="001E2F6E">
              <w:rPr>
                <w:color w:val="000000"/>
                <w:sz w:val="16"/>
                <w:szCs w:val="16"/>
              </w:rPr>
              <w:t>24.672.815</w:t>
            </w:r>
          </w:p>
        </w:tc>
        <w:tc>
          <w:tcPr>
            <w:tcW w:w="662" w:type="pct"/>
            <w:tcBorders>
              <w:top w:val="nil"/>
              <w:left w:val="nil"/>
              <w:bottom w:val="nil"/>
              <w:right w:val="single" w:sz="8" w:space="0" w:color="BFBFBF"/>
            </w:tcBorders>
            <w:shd w:val="clear" w:color="auto" w:fill="auto"/>
            <w:noWrap/>
            <w:vAlign w:val="bottom"/>
            <w:hideMark/>
          </w:tcPr>
          <w:p w:rsidR="00195BE7" w:rsidRPr="001E2F6E" w:rsidRDefault="00195BE7" w:rsidP="00195BE7">
            <w:pPr>
              <w:spacing w:line="220" w:lineRule="exact"/>
              <w:jc w:val="right"/>
              <w:rPr>
                <w:color w:val="000000"/>
                <w:sz w:val="16"/>
                <w:szCs w:val="16"/>
              </w:rPr>
            </w:pPr>
            <w:r w:rsidRPr="001E2F6E">
              <w:rPr>
                <w:color w:val="000000"/>
                <w:sz w:val="16"/>
                <w:szCs w:val="16"/>
              </w:rPr>
              <w:t>1.752.866</w:t>
            </w:r>
          </w:p>
        </w:tc>
        <w:tc>
          <w:tcPr>
            <w:tcW w:w="657" w:type="pct"/>
            <w:tcBorders>
              <w:top w:val="nil"/>
              <w:left w:val="nil"/>
              <w:bottom w:val="nil"/>
              <w:right w:val="single" w:sz="8" w:space="0" w:color="BFBFBF"/>
            </w:tcBorders>
            <w:shd w:val="clear" w:color="auto" w:fill="auto"/>
            <w:noWrap/>
            <w:vAlign w:val="bottom"/>
            <w:hideMark/>
          </w:tcPr>
          <w:p w:rsidR="00195BE7" w:rsidRPr="001E2F6E" w:rsidRDefault="00195BE7" w:rsidP="00195BE7">
            <w:pPr>
              <w:spacing w:line="220" w:lineRule="exact"/>
              <w:jc w:val="right"/>
              <w:rPr>
                <w:color w:val="000000"/>
                <w:sz w:val="16"/>
                <w:szCs w:val="16"/>
              </w:rPr>
            </w:pPr>
            <w:r w:rsidRPr="001E2F6E">
              <w:rPr>
                <w:color w:val="000000"/>
                <w:sz w:val="16"/>
                <w:szCs w:val="16"/>
              </w:rPr>
              <w:t>195.600.208</w:t>
            </w:r>
          </w:p>
        </w:tc>
      </w:tr>
      <w:tr w:rsidR="00195BE7" w:rsidRPr="001E2F6E" w:rsidTr="00195BE7">
        <w:tc>
          <w:tcPr>
            <w:tcW w:w="1886" w:type="pct"/>
            <w:tcBorders>
              <w:top w:val="nil"/>
              <w:left w:val="nil"/>
              <w:bottom w:val="single" w:sz="8" w:space="0" w:color="BFBFBF"/>
              <w:right w:val="single" w:sz="8" w:space="0" w:color="BFBFBF"/>
            </w:tcBorders>
            <w:shd w:val="clear" w:color="000000" w:fill="E6E6E6"/>
            <w:vAlign w:val="bottom"/>
            <w:hideMark/>
          </w:tcPr>
          <w:p w:rsidR="00195BE7" w:rsidRPr="001E2F6E" w:rsidRDefault="00195BE7" w:rsidP="00195BE7">
            <w:pPr>
              <w:spacing w:line="220" w:lineRule="exact"/>
              <w:rPr>
                <w:rFonts w:eastAsia="Times New Roman"/>
                <w:color w:val="000000"/>
                <w:sz w:val="16"/>
                <w:szCs w:val="16"/>
                <w:lang w:eastAsia="es-ES"/>
              </w:rPr>
            </w:pPr>
            <w:r w:rsidRPr="001E2F6E">
              <w:rPr>
                <w:rFonts w:eastAsia="Times New Roman"/>
                <w:color w:val="000000"/>
                <w:sz w:val="16"/>
                <w:szCs w:val="16"/>
                <w:lang w:eastAsia="es-ES"/>
              </w:rPr>
              <w:t> </w:t>
            </w:r>
          </w:p>
        </w:tc>
        <w:tc>
          <w:tcPr>
            <w:tcW w:w="657" w:type="pct"/>
            <w:tcBorders>
              <w:top w:val="nil"/>
              <w:left w:val="nil"/>
              <w:bottom w:val="single" w:sz="8" w:space="0" w:color="BFBFBF"/>
              <w:right w:val="single" w:sz="8" w:space="0" w:color="BFBFBF"/>
            </w:tcBorders>
            <w:shd w:val="clear" w:color="000000" w:fill="E6E6E6"/>
            <w:vAlign w:val="bottom"/>
            <w:hideMark/>
          </w:tcPr>
          <w:p w:rsidR="00195BE7" w:rsidRPr="001E2F6E" w:rsidRDefault="00195BE7" w:rsidP="00195BE7">
            <w:pPr>
              <w:spacing w:line="220" w:lineRule="exact"/>
              <w:jc w:val="right"/>
              <w:rPr>
                <w:b/>
                <w:bCs/>
                <w:color w:val="000000"/>
                <w:sz w:val="16"/>
                <w:szCs w:val="16"/>
              </w:rPr>
            </w:pPr>
            <w:r w:rsidRPr="001E2F6E">
              <w:rPr>
                <w:b/>
                <w:bCs/>
                <w:color w:val="000000"/>
                <w:sz w:val="16"/>
                <w:szCs w:val="16"/>
              </w:rPr>
              <w:t>3.355.252.138</w:t>
            </w:r>
          </w:p>
        </w:tc>
        <w:tc>
          <w:tcPr>
            <w:tcW w:w="481" w:type="pct"/>
            <w:tcBorders>
              <w:top w:val="nil"/>
              <w:left w:val="nil"/>
              <w:bottom w:val="single" w:sz="8" w:space="0" w:color="BFBFBF"/>
              <w:right w:val="single" w:sz="8" w:space="0" w:color="BFBFBF"/>
            </w:tcBorders>
            <w:shd w:val="clear" w:color="000000" w:fill="E6E6E6"/>
            <w:vAlign w:val="bottom"/>
            <w:hideMark/>
          </w:tcPr>
          <w:p w:rsidR="00195BE7" w:rsidRPr="001E2F6E" w:rsidRDefault="00195BE7" w:rsidP="00195BE7">
            <w:pPr>
              <w:spacing w:line="220" w:lineRule="exact"/>
              <w:jc w:val="right"/>
              <w:rPr>
                <w:b/>
                <w:bCs/>
                <w:color w:val="000000"/>
                <w:sz w:val="16"/>
                <w:szCs w:val="16"/>
              </w:rPr>
            </w:pPr>
            <w:r w:rsidRPr="001E2F6E">
              <w:rPr>
                <w:b/>
                <w:bCs/>
                <w:color w:val="000000"/>
                <w:sz w:val="16"/>
                <w:szCs w:val="16"/>
              </w:rPr>
              <w:t>1.944.079</w:t>
            </w:r>
          </w:p>
        </w:tc>
        <w:tc>
          <w:tcPr>
            <w:tcW w:w="657" w:type="pct"/>
            <w:tcBorders>
              <w:top w:val="nil"/>
              <w:left w:val="nil"/>
              <w:bottom w:val="single" w:sz="8" w:space="0" w:color="BFBFBF"/>
              <w:right w:val="single" w:sz="8" w:space="0" w:color="BFBFBF"/>
            </w:tcBorders>
            <w:shd w:val="clear" w:color="000000" w:fill="E6E6E6"/>
            <w:vAlign w:val="bottom"/>
            <w:hideMark/>
          </w:tcPr>
          <w:p w:rsidR="00195BE7" w:rsidRPr="001E2F6E" w:rsidRDefault="00195BE7" w:rsidP="00195BE7">
            <w:pPr>
              <w:spacing w:line="220" w:lineRule="exact"/>
              <w:jc w:val="right"/>
              <w:rPr>
                <w:b/>
                <w:bCs/>
                <w:color w:val="000000"/>
                <w:sz w:val="16"/>
                <w:szCs w:val="16"/>
              </w:rPr>
            </w:pPr>
            <w:r w:rsidRPr="001E2F6E">
              <w:rPr>
                <w:b/>
                <w:bCs/>
                <w:color w:val="000000"/>
                <w:sz w:val="16"/>
                <w:szCs w:val="16"/>
              </w:rPr>
              <w:t>1.182.117.038</w:t>
            </w:r>
          </w:p>
        </w:tc>
        <w:tc>
          <w:tcPr>
            <w:tcW w:w="662" w:type="pct"/>
            <w:tcBorders>
              <w:top w:val="nil"/>
              <w:left w:val="nil"/>
              <w:bottom w:val="single" w:sz="8" w:space="0" w:color="BFBFBF"/>
              <w:right w:val="single" w:sz="8" w:space="0" w:color="BFBFBF"/>
            </w:tcBorders>
            <w:shd w:val="clear" w:color="000000" w:fill="E6E6E6"/>
            <w:vAlign w:val="bottom"/>
            <w:hideMark/>
          </w:tcPr>
          <w:p w:rsidR="00195BE7" w:rsidRPr="001E2F6E" w:rsidRDefault="00195BE7" w:rsidP="00195BE7">
            <w:pPr>
              <w:spacing w:line="220" w:lineRule="exact"/>
              <w:jc w:val="right"/>
              <w:rPr>
                <w:b/>
                <w:bCs/>
                <w:color w:val="000000"/>
                <w:sz w:val="16"/>
                <w:szCs w:val="16"/>
              </w:rPr>
            </w:pPr>
            <w:r w:rsidRPr="001E2F6E">
              <w:rPr>
                <w:b/>
                <w:bCs/>
                <w:color w:val="000000"/>
                <w:sz w:val="16"/>
                <w:szCs w:val="16"/>
              </w:rPr>
              <w:t>125.309.751</w:t>
            </w:r>
          </w:p>
        </w:tc>
        <w:tc>
          <w:tcPr>
            <w:tcW w:w="657" w:type="pct"/>
            <w:tcBorders>
              <w:top w:val="nil"/>
              <w:left w:val="nil"/>
              <w:bottom w:val="single" w:sz="8" w:space="0" w:color="BFBFBF"/>
              <w:right w:val="nil"/>
            </w:tcBorders>
            <w:shd w:val="clear" w:color="000000" w:fill="E6E6E6"/>
            <w:vAlign w:val="bottom"/>
            <w:hideMark/>
          </w:tcPr>
          <w:p w:rsidR="00195BE7" w:rsidRPr="001E2F6E" w:rsidRDefault="00195BE7" w:rsidP="00195BE7">
            <w:pPr>
              <w:spacing w:line="220" w:lineRule="exact"/>
              <w:jc w:val="right"/>
              <w:rPr>
                <w:b/>
                <w:bCs/>
                <w:color w:val="000000"/>
                <w:sz w:val="16"/>
                <w:szCs w:val="16"/>
              </w:rPr>
            </w:pPr>
            <w:r w:rsidRPr="001E2F6E">
              <w:rPr>
                <w:b/>
                <w:bCs/>
                <w:color w:val="000000"/>
                <w:sz w:val="16"/>
                <w:szCs w:val="16"/>
              </w:rPr>
              <w:t>2.045.881.270</w:t>
            </w:r>
          </w:p>
        </w:tc>
      </w:tr>
      <w:tr w:rsidR="00195BE7" w:rsidRPr="001E2F6E" w:rsidTr="00195BE7">
        <w:tc>
          <w:tcPr>
            <w:tcW w:w="1886" w:type="pct"/>
            <w:tcBorders>
              <w:top w:val="nil"/>
              <w:left w:val="nil"/>
              <w:bottom w:val="single" w:sz="8" w:space="0" w:color="BFBFBF"/>
              <w:right w:val="single" w:sz="8" w:space="0" w:color="BFBFBF"/>
            </w:tcBorders>
            <w:shd w:val="clear" w:color="000000" w:fill="DDEEFF"/>
            <w:vAlign w:val="bottom"/>
            <w:hideMark/>
          </w:tcPr>
          <w:p w:rsidR="00195BE7" w:rsidRPr="001E2F6E" w:rsidRDefault="00195BE7" w:rsidP="00195BE7">
            <w:pPr>
              <w:spacing w:line="220" w:lineRule="exact"/>
              <w:rPr>
                <w:b/>
                <w:bCs/>
                <w:sz w:val="16"/>
                <w:szCs w:val="16"/>
                <w:lang w:val="eu-ES"/>
              </w:rPr>
            </w:pPr>
            <w:r w:rsidRPr="001E2F6E">
              <w:rPr>
                <w:b/>
                <w:bCs/>
                <w:sz w:val="16"/>
                <w:szCs w:val="16"/>
                <w:lang w:val="eu-ES"/>
              </w:rPr>
              <w:t>MOZKINAK (+) edo GALERAK (-)</w:t>
            </w:r>
          </w:p>
        </w:tc>
        <w:tc>
          <w:tcPr>
            <w:tcW w:w="657" w:type="pct"/>
            <w:tcBorders>
              <w:top w:val="nil"/>
              <w:left w:val="nil"/>
              <w:bottom w:val="single" w:sz="8" w:space="0" w:color="BFBFBF"/>
              <w:right w:val="single" w:sz="8" w:space="0" w:color="BFBFBF"/>
            </w:tcBorders>
            <w:shd w:val="clear" w:color="000000" w:fill="DDEEFF"/>
            <w:vAlign w:val="bottom"/>
            <w:hideMark/>
          </w:tcPr>
          <w:p w:rsidR="00195BE7" w:rsidRPr="001E2F6E" w:rsidRDefault="00195BE7" w:rsidP="00195BE7">
            <w:pPr>
              <w:spacing w:line="220" w:lineRule="exact"/>
              <w:jc w:val="right"/>
              <w:rPr>
                <w:b/>
                <w:bCs/>
                <w:color w:val="000000"/>
                <w:sz w:val="16"/>
                <w:szCs w:val="16"/>
              </w:rPr>
            </w:pPr>
            <w:r w:rsidRPr="001E2F6E">
              <w:rPr>
                <w:b/>
                <w:bCs/>
                <w:color w:val="000000"/>
                <w:sz w:val="16"/>
                <w:szCs w:val="16"/>
              </w:rPr>
              <w:t>-30.616.834</w:t>
            </w:r>
          </w:p>
        </w:tc>
        <w:tc>
          <w:tcPr>
            <w:tcW w:w="481" w:type="pct"/>
            <w:tcBorders>
              <w:top w:val="nil"/>
              <w:left w:val="nil"/>
              <w:bottom w:val="single" w:sz="8" w:space="0" w:color="BFBFBF"/>
              <w:right w:val="single" w:sz="8" w:space="0" w:color="BFBFBF"/>
            </w:tcBorders>
            <w:shd w:val="clear" w:color="000000" w:fill="DDEEFF"/>
            <w:vAlign w:val="bottom"/>
            <w:hideMark/>
          </w:tcPr>
          <w:p w:rsidR="00195BE7" w:rsidRPr="001E2F6E" w:rsidRDefault="00195BE7" w:rsidP="00195BE7">
            <w:pPr>
              <w:spacing w:line="220" w:lineRule="exact"/>
              <w:jc w:val="right"/>
              <w:rPr>
                <w:b/>
                <w:bCs/>
                <w:color w:val="000000"/>
                <w:sz w:val="16"/>
                <w:szCs w:val="16"/>
              </w:rPr>
            </w:pPr>
            <w:r w:rsidRPr="001E2F6E">
              <w:rPr>
                <w:b/>
                <w:bCs/>
                <w:color w:val="000000"/>
                <w:sz w:val="16"/>
                <w:szCs w:val="16"/>
              </w:rPr>
              <w:t>-287.735</w:t>
            </w:r>
          </w:p>
        </w:tc>
        <w:tc>
          <w:tcPr>
            <w:tcW w:w="657" w:type="pct"/>
            <w:tcBorders>
              <w:top w:val="nil"/>
              <w:left w:val="nil"/>
              <w:bottom w:val="single" w:sz="8" w:space="0" w:color="BFBFBF"/>
              <w:right w:val="single" w:sz="8" w:space="0" w:color="BFBFBF"/>
            </w:tcBorders>
            <w:shd w:val="clear" w:color="000000" w:fill="DDEEFF"/>
            <w:vAlign w:val="bottom"/>
            <w:hideMark/>
          </w:tcPr>
          <w:p w:rsidR="00195BE7" w:rsidRPr="001E2F6E" w:rsidRDefault="00195BE7" w:rsidP="00195BE7">
            <w:pPr>
              <w:spacing w:line="220" w:lineRule="exact"/>
              <w:jc w:val="right"/>
              <w:rPr>
                <w:b/>
                <w:bCs/>
                <w:color w:val="000000"/>
                <w:sz w:val="16"/>
                <w:szCs w:val="16"/>
              </w:rPr>
            </w:pPr>
            <w:r w:rsidRPr="001E2F6E">
              <w:rPr>
                <w:b/>
                <w:bCs/>
                <w:color w:val="000000"/>
                <w:sz w:val="16"/>
                <w:szCs w:val="16"/>
              </w:rPr>
              <w:t>8.562.774</w:t>
            </w:r>
          </w:p>
        </w:tc>
        <w:tc>
          <w:tcPr>
            <w:tcW w:w="662" w:type="pct"/>
            <w:tcBorders>
              <w:top w:val="nil"/>
              <w:left w:val="nil"/>
              <w:bottom w:val="single" w:sz="8" w:space="0" w:color="BFBFBF"/>
              <w:right w:val="single" w:sz="8" w:space="0" w:color="BFBFBF"/>
            </w:tcBorders>
            <w:shd w:val="clear" w:color="000000" w:fill="DDEEFF"/>
            <w:vAlign w:val="bottom"/>
            <w:hideMark/>
          </w:tcPr>
          <w:p w:rsidR="00195BE7" w:rsidRPr="001E2F6E" w:rsidRDefault="00195BE7" w:rsidP="00195BE7">
            <w:pPr>
              <w:spacing w:line="220" w:lineRule="exact"/>
              <w:jc w:val="right"/>
              <w:rPr>
                <w:b/>
                <w:bCs/>
                <w:color w:val="000000"/>
                <w:sz w:val="16"/>
                <w:szCs w:val="16"/>
              </w:rPr>
            </w:pPr>
            <w:r w:rsidRPr="001E2F6E">
              <w:rPr>
                <w:b/>
                <w:bCs/>
                <w:color w:val="000000"/>
                <w:sz w:val="16"/>
                <w:szCs w:val="16"/>
              </w:rPr>
              <w:t>-4.414.171</w:t>
            </w:r>
          </w:p>
        </w:tc>
        <w:tc>
          <w:tcPr>
            <w:tcW w:w="657" w:type="pct"/>
            <w:tcBorders>
              <w:top w:val="nil"/>
              <w:left w:val="nil"/>
              <w:bottom w:val="single" w:sz="8" w:space="0" w:color="BFBFBF"/>
              <w:right w:val="single" w:sz="8" w:space="0" w:color="BFBFBF"/>
            </w:tcBorders>
            <w:shd w:val="clear" w:color="000000" w:fill="DDEEFF"/>
            <w:vAlign w:val="bottom"/>
            <w:hideMark/>
          </w:tcPr>
          <w:p w:rsidR="00195BE7" w:rsidRPr="001E2F6E" w:rsidRDefault="00195BE7" w:rsidP="00195BE7">
            <w:pPr>
              <w:spacing w:line="220" w:lineRule="exact"/>
              <w:jc w:val="right"/>
              <w:rPr>
                <w:b/>
                <w:bCs/>
                <w:color w:val="000000"/>
                <w:sz w:val="16"/>
                <w:szCs w:val="16"/>
              </w:rPr>
            </w:pPr>
            <w:r w:rsidRPr="001E2F6E">
              <w:rPr>
                <w:b/>
                <w:bCs/>
                <w:color w:val="000000"/>
                <w:sz w:val="16"/>
                <w:szCs w:val="16"/>
              </w:rPr>
              <w:t>-34.477.703</w:t>
            </w:r>
          </w:p>
        </w:tc>
      </w:tr>
      <w:tr w:rsidR="00195BE7" w:rsidRPr="001E2F6E" w:rsidTr="00195BE7">
        <w:tc>
          <w:tcPr>
            <w:tcW w:w="1886" w:type="pct"/>
            <w:tcBorders>
              <w:top w:val="nil"/>
              <w:left w:val="nil"/>
              <w:bottom w:val="single" w:sz="8" w:space="0" w:color="BFBFBF"/>
              <w:right w:val="single" w:sz="8" w:space="0" w:color="BFBFBF"/>
            </w:tcBorders>
            <w:shd w:val="clear" w:color="auto" w:fill="auto"/>
            <w:vAlign w:val="bottom"/>
            <w:hideMark/>
          </w:tcPr>
          <w:p w:rsidR="00195BE7" w:rsidRPr="001E2F6E" w:rsidRDefault="00195BE7" w:rsidP="00195BE7">
            <w:pPr>
              <w:spacing w:line="220" w:lineRule="exact"/>
              <w:rPr>
                <w:b/>
                <w:sz w:val="16"/>
                <w:szCs w:val="16"/>
                <w:lang w:val="eu-ES"/>
              </w:rPr>
            </w:pPr>
            <w:r w:rsidRPr="001E2F6E">
              <w:rPr>
                <w:b/>
                <w:sz w:val="16"/>
                <w:szCs w:val="16"/>
                <w:lang w:val="eu-ES"/>
              </w:rPr>
              <w:t> </w:t>
            </w:r>
          </w:p>
        </w:tc>
        <w:tc>
          <w:tcPr>
            <w:tcW w:w="657" w:type="pct"/>
            <w:tcBorders>
              <w:top w:val="nil"/>
              <w:left w:val="nil"/>
              <w:bottom w:val="single" w:sz="8" w:space="0" w:color="BFBFBF"/>
              <w:right w:val="single" w:sz="8" w:space="0" w:color="BFBFBF"/>
            </w:tcBorders>
            <w:shd w:val="clear" w:color="auto" w:fill="auto"/>
            <w:vAlign w:val="bottom"/>
            <w:hideMark/>
          </w:tcPr>
          <w:p w:rsidR="00195BE7" w:rsidRPr="001E2F6E" w:rsidRDefault="00195BE7" w:rsidP="00195BE7">
            <w:pPr>
              <w:spacing w:line="220" w:lineRule="exact"/>
              <w:jc w:val="right"/>
              <w:rPr>
                <w:b/>
                <w:bCs/>
                <w:color w:val="000000"/>
                <w:sz w:val="16"/>
                <w:szCs w:val="16"/>
              </w:rPr>
            </w:pPr>
            <w:r w:rsidRPr="001E2F6E">
              <w:rPr>
                <w:b/>
                <w:bCs/>
                <w:color w:val="000000"/>
                <w:sz w:val="16"/>
                <w:szCs w:val="16"/>
              </w:rPr>
              <w:t> </w:t>
            </w:r>
          </w:p>
        </w:tc>
        <w:tc>
          <w:tcPr>
            <w:tcW w:w="481" w:type="pct"/>
            <w:tcBorders>
              <w:top w:val="nil"/>
              <w:left w:val="nil"/>
              <w:bottom w:val="single" w:sz="8" w:space="0" w:color="BFBFBF"/>
              <w:right w:val="single" w:sz="8" w:space="0" w:color="BFBFBF"/>
            </w:tcBorders>
            <w:shd w:val="clear" w:color="auto" w:fill="auto"/>
            <w:vAlign w:val="bottom"/>
            <w:hideMark/>
          </w:tcPr>
          <w:p w:rsidR="00195BE7" w:rsidRPr="001E2F6E" w:rsidRDefault="00195BE7" w:rsidP="00195BE7">
            <w:pPr>
              <w:spacing w:line="220" w:lineRule="exact"/>
              <w:jc w:val="right"/>
              <w:rPr>
                <w:b/>
                <w:bCs/>
                <w:color w:val="000000"/>
                <w:sz w:val="16"/>
                <w:szCs w:val="16"/>
              </w:rPr>
            </w:pPr>
            <w:r w:rsidRPr="001E2F6E">
              <w:rPr>
                <w:b/>
                <w:bCs/>
                <w:color w:val="000000"/>
                <w:sz w:val="16"/>
                <w:szCs w:val="16"/>
              </w:rPr>
              <w:t> </w:t>
            </w:r>
          </w:p>
        </w:tc>
        <w:tc>
          <w:tcPr>
            <w:tcW w:w="657" w:type="pct"/>
            <w:tcBorders>
              <w:top w:val="nil"/>
              <w:left w:val="nil"/>
              <w:bottom w:val="single" w:sz="8" w:space="0" w:color="BFBFBF"/>
              <w:right w:val="single" w:sz="8" w:space="0" w:color="BFBFBF"/>
            </w:tcBorders>
            <w:shd w:val="clear" w:color="auto" w:fill="auto"/>
            <w:vAlign w:val="bottom"/>
            <w:hideMark/>
          </w:tcPr>
          <w:p w:rsidR="00195BE7" w:rsidRPr="001E2F6E" w:rsidRDefault="00195BE7" w:rsidP="00195BE7">
            <w:pPr>
              <w:spacing w:line="220" w:lineRule="exact"/>
              <w:jc w:val="right"/>
              <w:rPr>
                <w:b/>
                <w:bCs/>
                <w:color w:val="000000"/>
                <w:sz w:val="16"/>
                <w:szCs w:val="16"/>
              </w:rPr>
            </w:pPr>
            <w:r w:rsidRPr="001E2F6E">
              <w:rPr>
                <w:b/>
                <w:bCs/>
                <w:color w:val="000000"/>
                <w:sz w:val="16"/>
                <w:szCs w:val="16"/>
              </w:rPr>
              <w:t> </w:t>
            </w:r>
          </w:p>
        </w:tc>
        <w:tc>
          <w:tcPr>
            <w:tcW w:w="662" w:type="pct"/>
            <w:tcBorders>
              <w:top w:val="nil"/>
              <w:left w:val="nil"/>
              <w:bottom w:val="single" w:sz="8" w:space="0" w:color="BFBFBF"/>
              <w:right w:val="single" w:sz="8" w:space="0" w:color="BFBFBF"/>
            </w:tcBorders>
            <w:shd w:val="clear" w:color="auto" w:fill="auto"/>
            <w:vAlign w:val="bottom"/>
            <w:hideMark/>
          </w:tcPr>
          <w:p w:rsidR="00195BE7" w:rsidRPr="001E2F6E" w:rsidRDefault="00195BE7" w:rsidP="00195BE7">
            <w:pPr>
              <w:spacing w:line="220" w:lineRule="exact"/>
              <w:jc w:val="right"/>
              <w:rPr>
                <w:b/>
                <w:bCs/>
                <w:color w:val="000000"/>
                <w:sz w:val="16"/>
                <w:szCs w:val="16"/>
              </w:rPr>
            </w:pPr>
            <w:r w:rsidRPr="001E2F6E">
              <w:rPr>
                <w:b/>
                <w:bCs/>
                <w:color w:val="000000"/>
                <w:sz w:val="16"/>
                <w:szCs w:val="16"/>
              </w:rPr>
              <w:t> </w:t>
            </w:r>
          </w:p>
        </w:tc>
        <w:tc>
          <w:tcPr>
            <w:tcW w:w="657" w:type="pct"/>
            <w:tcBorders>
              <w:top w:val="nil"/>
              <w:left w:val="nil"/>
              <w:bottom w:val="single" w:sz="8" w:space="0" w:color="BFBFBF"/>
              <w:right w:val="nil"/>
            </w:tcBorders>
            <w:shd w:val="clear" w:color="auto" w:fill="auto"/>
            <w:vAlign w:val="bottom"/>
            <w:hideMark/>
          </w:tcPr>
          <w:p w:rsidR="00195BE7" w:rsidRPr="001E2F6E" w:rsidRDefault="00195BE7" w:rsidP="00195BE7">
            <w:pPr>
              <w:spacing w:line="220" w:lineRule="exact"/>
              <w:jc w:val="right"/>
              <w:rPr>
                <w:b/>
                <w:bCs/>
                <w:color w:val="000000"/>
                <w:sz w:val="16"/>
                <w:szCs w:val="16"/>
              </w:rPr>
            </w:pPr>
            <w:r w:rsidRPr="001E2F6E">
              <w:rPr>
                <w:b/>
                <w:bCs/>
                <w:color w:val="000000"/>
                <w:sz w:val="16"/>
                <w:szCs w:val="16"/>
              </w:rPr>
              <w:t> </w:t>
            </w:r>
          </w:p>
        </w:tc>
      </w:tr>
      <w:tr w:rsidR="00195BE7" w:rsidRPr="001E2F6E" w:rsidTr="00195BE7">
        <w:tc>
          <w:tcPr>
            <w:tcW w:w="1886" w:type="pct"/>
            <w:tcBorders>
              <w:top w:val="nil"/>
              <w:left w:val="nil"/>
              <w:bottom w:val="single" w:sz="8" w:space="0" w:color="BFBFBF"/>
              <w:right w:val="single" w:sz="8" w:space="0" w:color="BFBFBF"/>
            </w:tcBorders>
            <w:shd w:val="clear" w:color="000000" w:fill="DDEEFF"/>
            <w:vAlign w:val="bottom"/>
            <w:hideMark/>
          </w:tcPr>
          <w:p w:rsidR="00195BE7" w:rsidRPr="001E2F6E" w:rsidRDefault="00195BE7" w:rsidP="00195BE7">
            <w:pPr>
              <w:spacing w:line="220" w:lineRule="exact"/>
              <w:rPr>
                <w:b/>
                <w:bCs/>
                <w:sz w:val="16"/>
                <w:szCs w:val="16"/>
                <w:lang w:val="eu-ES"/>
              </w:rPr>
            </w:pPr>
            <w:r w:rsidRPr="001E2F6E">
              <w:rPr>
                <w:b/>
                <w:bCs/>
                <w:sz w:val="16"/>
                <w:szCs w:val="16"/>
                <w:lang w:val="eu-ES"/>
              </w:rPr>
              <w:t>CASH FLOW</w:t>
            </w:r>
          </w:p>
        </w:tc>
        <w:tc>
          <w:tcPr>
            <w:tcW w:w="657" w:type="pct"/>
            <w:tcBorders>
              <w:top w:val="nil"/>
              <w:left w:val="nil"/>
              <w:bottom w:val="single" w:sz="8" w:space="0" w:color="BFBFBF"/>
              <w:right w:val="single" w:sz="8" w:space="0" w:color="BFBFBF"/>
            </w:tcBorders>
            <w:shd w:val="clear" w:color="000000" w:fill="DDEEFF"/>
            <w:vAlign w:val="bottom"/>
            <w:hideMark/>
          </w:tcPr>
          <w:p w:rsidR="00195BE7" w:rsidRPr="001E2F6E" w:rsidRDefault="00195BE7" w:rsidP="00195BE7">
            <w:pPr>
              <w:spacing w:line="220" w:lineRule="exact"/>
              <w:jc w:val="right"/>
              <w:rPr>
                <w:b/>
                <w:bCs/>
                <w:color w:val="000000"/>
                <w:sz w:val="16"/>
                <w:szCs w:val="16"/>
              </w:rPr>
            </w:pPr>
            <w:r w:rsidRPr="001E2F6E">
              <w:rPr>
                <w:b/>
                <w:bCs/>
                <w:color w:val="000000"/>
                <w:sz w:val="16"/>
                <w:szCs w:val="16"/>
              </w:rPr>
              <w:t>265.765.221</w:t>
            </w:r>
          </w:p>
        </w:tc>
        <w:tc>
          <w:tcPr>
            <w:tcW w:w="481" w:type="pct"/>
            <w:tcBorders>
              <w:top w:val="nil"/>
              <w:left w:val="nil"/>
              <w:bottom w:val="single" w:sz="8" w:space="0" w:color="BFBFBF"/>
              <w:right w:val="single" w:sz="8" w:space="0" w:color="BFBFBF"/>
            </w:tcBorders>
            <w:shd w:val="clear" w:color="000000" w:fill="DDEEFF"/>
            <w:vAlign w:val="bottom"/>
            <w:hideMark/>
          </w:tcPr>
          <w:p w:rsidR="00195BE7" w:rsidRPr="001E2F6E" w:rsidRDefault="00195BE7" w:rsidP="00195BE7">
            <w:pPr>
              <w:spacing w:line="220" w:lineRule="exact"/>
              <w:jc w:val="right"/>
              <w:rPr>
                <w:b/>
                <w:bCs/>
                <w:color w:val="000000"/>
                <w:sz w:val="16"/>
                <w:szCs w:val="16"/>
              </w:rPr>
            </w:pPr>
            <w:r w:rsidRPr="001E2F6E">
              <w:rPr>
                <w:b/>
                <w:bCs/>
                <w:color w:val="000000"/>
                <w:sz w:val="16"/>
                <w:szCs w:val="16"/>
              </w:rPr>
              <w:t>-241.251</w:t>
            </w:r>
          </w:p>
        </w:tc>
        <w:tc>
          <w:tcPr>
            <w:tcW w:w="657" w:type="pct"/>
            <w:tcBorders>
              <w:top w:val="nil"/>
              <w:left w:val="nil"/>
              <w:bottom w:val="single" w:sz="8" w:space="0" w:color="BFBFBF"/>
              <w:right w:val="single" w:sz="8" w:space="0" w:color="BFBFBF"/>
            </w:tcBorders>
            <w:shd w:val="clear" w:color="000000" w:fill="DDEEFF"/>
            <w:vAlign w:val="bottom"/>
            <w:hideMark/>
          </w:tcPr>
          <w:p w:rsidR="00195BE7" w:rsidRPr="001E2F6E" w:rsidRDefault="00195BE7" w:rsidP="00195BE7">
            <w:pPr>
              <w:spacing w:line="220" w:lineRule="exact"/>
              <w:jc w:val="right"/>
              <w:rPr>
                <w:b/>
                <w:bCs/>
                <w:color w:val="000000"/>
                <w:sz w:val="16"/>
                <w:szCs w:val="16"/>
              </w:rPr>
            </w:pPr>
            <w:r w:rsidRPr="001E2F6E">
              <w:rPr>
                <w:b/>
                <w:bCs/>
                <w:color w:val="000000"/>
                <w:sz w:val="16"/>
                <w:szCs w:val="16"/>
              </w:rPr>
              <w:t>67.871.929</w:t>
            </w:r>
          </w:p>
        </w:tc>
        <w:tc>
          <w:tcPr>
            <w:tcW w:w="662" w:type="pct"/>
            <w:tcBorders>
              <w:top w:val="nil"/>
              <w:left w:val="nil"/>
              <w:bottom w:val="single" w:sz="8" w:space="0" w:color="BFBFBF"/>
              <w:right w:val="single" w:sz="8" w:space="0" w:color="BFBFBF"/>
            </w:tcBorders>
            <w:shd w:val="clear" w:color="000000" w:fill="DDEEFF"/>
            <w:vAlign w:val="bottom"/>
            <w:hideMark/>
          </w:tcPr>
          <w:p w:rsidR="00195BE7" w:rsidRPr="001E2F6E" w:rsidRDefault="00195BE7" w:rsidP="00195BE7">
            <w:pPr>
              <w:spacing w:line="220" w:lineRule="exact"/>
              <w:jc w:val="right"/>
              <w:rPr>
                <w:b/>
                <w:bCs/>
                <w:color w:val="000000"/>
                <w:sz w:val="16"/>
                <w:szCs w:val="16"/>
              </w:rPr>
            </w:pPr>
            <w:r w:rsidRPr="001E2F6E">
              <w:rPr>
                <w:b/>
                <w:bCs/>
                <w:color w:val="000000"/>
                <w:sz w:val="16"/>
                <w:szCs w:val="16"/>
              </w:rPr>
              <w:t>-1.588.002</w:t>
            </w:r>
          </w:p>
        </w:tc>
        <w:tc>
          <w:tcPr>
            <w:tcW w:w="657" w:type="pct"/>
            <w:tcBorders>
              <w:top w:val="nil"/>
              <w:left w:val="nil"/>
              <w:bottom w:val="single" w:sz="8" w:space="0" w:color="BFBFBF"/>
              <w:right w:val="single" w:sz="8" w:space="0" w:color="BFBFBF"/>
            </w:tcBorders>
            <w:shd w:val="clear" w:color="000000" w:fill="DDEEFF"/>
            <w:vAlign w:val="bottom"/>
            <w:hideMark/>
          </w:tcPr>
          <w:p w:rsidR="00195BE7" w:rsidRPr="001E2F6E" w:rsidRDefault="00195BE7" w:rsidP="00195BE7">
            <w:pPr>
              <w:spacing w:line="220" w:lineRule="exact"/>
              <w:jc w:val="right"/>
              <w:rPr>
                <w:b/>
                <w:bCs/>
                <w:color w:val="000000"/>
                <w:sz w:val="16"/>
                <w:szCs w:val="16"/>
              </w:rPr>
            </w:pPr>
            <w:r w:rsidRPr="001E2F6E">
              <w:rPr>
                <w:b/>
                <w:bCs/>
                <w:color w:val="000000"/>
                <w:sz w:val="16"/>
                <w:szCs w:val="16"/>
              </w:rPr>
              <w:t>199.722.544</w:t>
            </w:r>
          </w:p>
        </w:tc>
      </w:tr>
    </w:tbl>
    <w:p w:rsidR="00195BE7" w:rsidRPr="001E2F6E" w:rsidRDefault="00195BE7" w:rsidP="00195BE7">
      <w:pPr>
        <w:rPr>
          <w:lang w:val="en-GB"/>
        </w:rPr>
      </w:pPr>
    </w:p>
    <w:p w:rsidR="00195BE7" w:rsidRPr="001E2F6E" w:rsidRDefault="00195BE7" w:rsidP="00195BE7"/>
    <w:p w:rsidR="00195BE7" w:rsidRPr="001E2F6E" w:rsidRDefault="00195BE7" w:rsidP="00195BE7">
      <w:pPr>
        <w:spacing w:line="240" w:lineRule="auto"/>
        <w:jc w:val="center"/>
        <w:rPr>
          <w:b/>
          <w:color w:val="1F497D" w:themeColor="text2"/>
          <w:sz w:val="18"/>
          <w:szCs w:val="18"/>
        </w:rPr>
      </w:pPr>
      <w:bookmarkStart w:id="258" w:name="_Toc391989145"/>
      <w:bookmarkStart w:id="259" w:name="_Toc392585810"/>
      <w:r w:rsidRPr="001E2F6E">
        <w:rPr>
          <w:b/>
          <w:color w:val="1F497D" w:themeColor="text2"/>
          <w:sz w:val="18"/>
          <w:szCs w:val="18"/>
        </w:rPr>
        <w:t>1.</w:t>
      </w:r>
      <w:r w:rsidR="00EB6BA6" w:rsidRPr="001E2F6E">
        <w:rPr>
          <w:b/>
          <w:color w:val="1F497D" w:themeColor="text2"/>
          <w:sz w:val="18"/>
          <w:szCs w:val="18"/>
        </w:rPr>
        <w:fldChar w:fldCharType="begin"/>
      </w:r>
      <w:r w:rsidRPr="001E2F6E">
        <w:rPr>
          <w:b/>
          <w:color w:val="1F497D" w:themeColor="text2"/>
          <w:sz w:val="18"/>
          <w:szCs w:val="18"/>
        </w:rPr>
        <w:instrText xml:space="preserve"> SEQ Cuadro_1. \* ARABIC </w:instrText>
      </w:r>
      <w:r w:rsidR="00EB6BA6" w:rsidRPr="001E2F6E">
        <w:rPr>
          <w:b/>
          <w:color w:val="1F497D" w:themeColor="text2"/>
          <w:sz w:val="18"/>
          <w:szCs w:val="18"/>
        </w:rPr>
        <w:fldChar w:fldCharType="separate"/>
      </w:r>
      <w:r w:rsidR="00A327D4">
        <w:rPr>
          <w:b/>
          <w:noProof/>
          <w:color w:val="1F497D" w:themeColor="text2"/>
          <w:sz w:val="18"/>
          <w:szCs w:val="18"/>
        </w:rPr>
        <w:t>75</w:t>
      </w:r>
      <w:r w:rsidR="00EB6BA6" w:rsidRPr="001E2F6E">
        <w:rPr>
          <w:b/>
          <w:color w:val="1F497D" w:themeColor="text2"/>
          <w:sz w:val="18"/>
          <w:szCs w:val="18"/>
        </w:rPr>
        <w:fldChar w:fldCharType="end"/>
      </w:r>
      <w:r w:rsidRPr="001E2F6E">
        <w:rPr>
          <w:b/>
          <w:color w:val="1F497D" w:themeColor="text2"/>
          <w:sz w:val="18"/>
          <w:szCs w:val="18"/>
        </w:rPr>
        <w:t xml:space="preserve"> Taula GIZARTE-EKONOMIAREN EMAITZEN KONTUA, JARDUERA-SEKTOREAREN ARABERA.</w:t>
      </w:r>
      <w:bookmarkEnd w:id="258"/>
      <w:r w:rsidRPr="001E2F6E">
        <w:rPr>
          <w:b/>
          <w:color w:val="1F497D" w:themeColor="text2"/>
          <w:sz w:val="18"/>
          <w:szCs w:val="18"/>
        </w:rPr>
        <w:t xml:space="preserve"> 2012. GIPUZKOA  (</w:t>
      </w:r>
      <w:r w:rsidR="00462130" w:rsidRPr="001E2F6E">
        <w:rPr>
          <w:b/>
          <w:color w:val="1F497D" w:themeColor="text2"/>
          <w:sz w:val="18"/>
          <w:szCs w:val="18"/>
        </w:rPr>
        <w:t>zifra absolutuak</w:t>
      </w:r>
      <w:r w:rsidRPr="001E2F6E">
        <w:rPr>
          <w:b/>
          <w:color w:val="1F497D" w:themeColor="text2"/>
          <w:sz w:val="18"/>
          <w:szCs w:val="18"/>
        </w:rPr>
        <w:t xml:space="preserve"> Euroan) (Ohiko prezioak)</w:t>
      </w:r>
      <w:bookmarkEnd w:id="259"/>
    </w:p>
    <w:tbl>
      <w:tblPr>
        <w:tblW w:w="5000" w:type="pct"/>
        <w:tblCellMar>
          <w:left w:w="70" w:type="dxa"/>
          <w:right w:w="70" w:type="dxa"/>
        </w:tblCellMar>
        <w:tblLook w:val="04A0" w:firstRow="1" w:lastRow="0" w:firstColumn="1" w:lastColumn="0" w:noHBand="0" w:noVBand="1"/>
      </w:tblPr>
      <w:tblGrid>
        <w:gridCol w:w="3429"/>
        <w:gridCol w:w="1172"/>
        <w:gridCol w:w="799"/>
        <w:gridCol w:w="1173"/>
        <w:gridCol w:w="1182"/>
        <w:gridCol w:w="1173"/>
      </w:tblGrid>
      <w:tr w:rsidR="00195BE7" w:rsidRPr="001E2F6E" w:rsidTr="00195BE7">
        <w:tc>
          <w:tcPr>
            <w:tcW w:w="1920" w:type="pct"/>
            <w:tcBorders>
              <w:top w:val="single" w:sz="8" w:space="0" w:color="BFBFBF"/>
              <w:left w:val="nil"/>
              <w:bottom w:val="single" w:sz="8" w:space="0" w:color="BFBFBF"/>
              <w:right w:val="single" w:sz="8" w:space="0" w:color="BFBFBF"/>
            </w:tcBorders>
            <w:shd w:val="clear" w:color="000000" w:fill="DBE5F1"/>
            <w:vAlign w:val="bottom"/>
            <w:hideMark/>
          </w:tcPr>
          <w:p w:rsidR="00195BE7" w:rsidRPr="001E2F6E" w:rsidRDefault="00195BE7" w:rsidP="00195BE7">
            <w:pPr>
              <w:spacing w:line="220" w:lineRule="exact"/>
              <w:rPr>
                <w:color w:val="000000"/>
                <w:sz w:val="16"/>
                <w:szCs w:val="16"/>
              </w:rPr>
            </w:pPr>
            <w:r w:rsidRPr="001E2F6E">
              <w:rPr>
                <w:color w:val="000000"/>
                <w:sz w:val="16"/>
                <w:szCs w:val="16"/>
              </w:rPr>
              <w:t> </w:t>
            </w:r>
          </w:p>
        </w:tc>
        <w:tc>
          <w:tcPr>
            <w:tcW w:w="656" w:type="pct"/>
            <w:tcBorders>
              <w:top w:val="single" w:sz="8" w:space="0" w:color="BFBFBF"/>
              <w:left w:val="nil"/>
              <w:bottom w:val="single" w:sz="8" w:space="0" w:color="BFBFBF"/>
              <w:right w:val="single" w:sz="8" w:space="0" w:color="BFBFBF"/>
            </w:tcBorders>
            <w:shd w:val="clear" w:color="000000" w:fill="DBE5F1"/>
            <w:vAlign w:val="center"/>
            <w:hideMark/>
          </w:tcPr>
          <w:p w:rsidR="00195BE7" w:rsidRPr="001E2F6E" w:rsidRDefault="00195BE7" w:rsidP="00195BE7">
            <w:pPr>
              <w:spacing w:line="220" w:lineRule="exact"/>
              <w:jc w:val="center"/>
              <w:rPr>
                <w:rFonts w:eastAsia="Times New Roman"/>
                <w:b/>
                <w:bCs/>
                <w:color w:val="000000"/>
                <w:sz w:val="16"/>
                <w:szCs w:val="16"/>
                <w:lang w:eastAsia="es-ES"/>
              </w:rPr>
            </w:pPr>
            <w:r w:rsidRPr="001E2F6E">
              <w:rPr>
                <w:rFonts w:eastAsia="Times New Roman"/>
                <w:b/>
                <w:bCs/>
                <w:color w:val="000000"/>
                <w:sz w:val="16"/>
                <w:szCs w:val="16"/>
                <w:lang w:eastAsia="es-ES"/>
              </w:rPr>
              <w:t>GUZTIRA</w:t>
            </w:r>
          </w:p>
        </w:tc>
        <w:tc>
          <w:tcPr>
            <w:tcW w:w="447" w:type="pct"/>
            <w:tcBorders>
              <w:top w:val="single" w:sz="8" w:space="0" w:color="BFBFBF"/>
              <w:left w:val="nil"/>
              <w:bottom w:val="single" w:sz="8" w:space="0" w:color="BFBFBF"/>
              <w:right w:val="single" w:sz="8" w:space="0" w:color="BFBFBF"/>
            </w:tcBorders>
            <w:shd w:val="clear" w:color="000000" w:fill="DBE5F1"/>
            <w:vAlign w:val="center"/>
            <w:hideMark/>
          </w:tcPr>
          <w:p w:rsidR="00195BE7" w:rsidRPr="001E2F6E" w:rsidRDefault="00195BE7" w:rsidP="00195BE7">
            <w:pPr>
              <w:spacing w:line="220" w:lineRule="exact"/>
              <w:jc w:val="center"/>
              <w:rPr>
                <w:b/>
                <w:bCs/>
                <w:sz w:val="16"/>
                <w:szCs w:val="16"/>
                <w:lang w:val="eu-ES"/>
              </w:rPr>
            </w:pPr>
            <w:r w:rsidRPr="001E2F6E">
              <w:rPr>
                <w:b/>
                <w:bCs/>
                <w:sz w:val="16"/>
                <w:szCs w:val="16"/>
                <w:lang w:val="eu-ES"/>
              </w:rPr>
              <w:t>Lehen sektorea</w:t>
            </w:r>
          </w:p>
        </w:tc>
        <w:tc>
          <w:tcPr>
            <w:tcW w:w="657" w:type="pct"/>
            <w:tcBorders>
              <w:top w:val="single" w:sz="8" w:space="0" w:color="BFBFBF"/>
              <w:left w:val="nil"/>
              <w:bottom w:val="single" w:sz="8" w:space="0" w:color="BFBFBF"/>
              <w:right w:val="single" w:sz="8" w:space="0" w:color="BFBFBF"/>
            </w:tcBorders>
            <w:shd w:val="clear" w:color="000000" w:fill="DBE5F1"/>
            <w:vAlign w:val="center"/>
            <w:hideMark/>
          </w:tcPr>
          <w:p w:rsidR="00195BE7" w:rsidRPr="001E2F6E" w:rsidRDefault="00195BE7" w:rsidP="00195BE7">
            <w:pPr>
              <w:spacing w:line="220" w:lineRule="exact"/>
              <w:jc w:val="center"/>
              <w:rPr>
                <w:b/>
                <w:bCs/>
                <w:sz w:val="16"/>
                <w:szCs w:val="16"/>
                <w:lang w:val="eu-ES"/>
              </w:rPr>
            </w:pPr>
            <w:r w:rsidRPr="001E2F6E">
              <w:rPr>
                <w:b/>
                <w:bCs/>
                <w:sz w:val="16"/>
                <w:szCs w:val="16"/>
                <w:lang w:val="eu-ES"/>
              </w:rPr>
              <w:t>Industria</w:t>
            </w:r>
          </w:p>
        </w:tc>
        <w:tc>
          <w:tcPr>
            <w:tcW w:w="662" w:type="pct"/>
            <w:tcBorders>
              <w:top w:val="single" w:sz="8" w:space="0" w:color="BFBFBF"/>
              <w:left w:val="nil"/>
              <w:bottom w:val="single" w:sz="8" w:space="0" w:color="BFBFBF"/>
              <w:right w:val="single" w:sz="8" w:space="0" w:color="BFBFBF"/>
            </w:tcBorders>
            <w:shd w:val="clear" w:color="000000" w:fill="DBE5F1"/>
            <w:vAlign w:val="center"/>
            <w:hideMark/>
          </w:tcPr>
          <w:p w:rsidR="00195BE7" w:rsidRPr="001E2F6E" w:rsidRDefault="00195BE7" w:rsidP="00195BE7">
            <w:pPr>
              <w:spacing w:line="220" w:lineRule="exact"/>
              <w:jc w:val="center"/>
              <w:rPr>
                <w:b/>
                <w:bCs/>
                <w:sz w:val="16"/>
                <w:szCs w:val="16"/>
                <w:lang w:val="eu-ES"/>
              </w:rPr>
            </w:pPr>
            <w:r w:rsidRPr="001E2F6E">
              <w:rPr>
                <w:b/>
                <w:bCs/>
                <w:sz w:val="16"/>
                <w:szCs w:val="16"/>
                <w:lang w:val="eu-ES"/>
              </w:rPr>
              <w:t>Eraikuntza</w:t>
            </w:r>
          </w:p>
        </w:tc>
        <w:tc>
          <w:tcPr>
            <w:tcW w:w="657" w:type="pct"/>
            <w:tcBorders>
              <w:top w:val="single" w:sz="8" w:space="0" w:color="BFBFBF"/>
              <w:left w:val="nil"/>
              <w:bottom w:val="single" w:sz="8" w:space="0" w:color="BFBFBF"/>
              <w:right w:val="nil"/>
            </w:tcBorders>
            <w:shd w:val="clear" w:color="000000" w:fill="DBE5F1"/>
            <w:vAlign w:val="center"/>
            <w:hideMark/>
          </w:tcPr>
          <w:p w:rsidR="00195BE7" w:rsidRPr="001E2F6E" w:rsidRDefault="00195BE7" w:rsidP="00195BE7">
            <w:pPr>
              <w:spacing w:line="220" w:lineRule="exact"/>
              <w:jc w:val="center"/>
              <w:rPr>
                <w:b/>
                <w:bCs/>
                <w:sz w:val="16"/>
                <w:szCs w:val="16"/>
                <w:lang w:val="eu-ES"/>
              </w:rPr>
            </w:pPr>
            <w:r w:rsidRPr="001E2F6E">
              <w:rPr>
                <w:b/>
                <w:bCs/>
                <w:sz w:val="16"/>
                <w:szCs w:val="16"/>
                <w:lang w:val="eu-ES"/>
              </w:rPr>
              <w:t>Zerbitzuak</w:t>
            </w:r>
          </w:p>
        </w:tc>
      </w:tr>
      <w:tr w:rsidR="00195BE7" w:rsidRPr="001E2F6E" w:rsidTr="00195BE7">
        <w:tc>
          <w:tcPr>
            <w:tcW w:w="1920" w:type="pct"/>
            <w:tcBorders>
              <w:top w:val="nil"/>
              <w:left w:val="nil"/>
              <w:bottom w:val="nil"/>
              <w:right w:val="single" w:sz="8" w:space="0" w:color="BFBFBF"/>
            </w:tcBorders>
            <w:shd w:val="clear" w:color="auto" w:fill="auto"/>
            <w:vAlign w:val="bottom"/>
            <w:hideMark/>
          </w:tcPr>
          <w:p w:rsidR="00195BE7" w:rsidRPr="001E2F6E" w:rsidRDefault="00195BE7" w:rsidP="00195BE7">
            <w:pPr>
              <w:spacing w:line="220" w:lineRule="exact"/>
              <w:rPr>
                <w:b/>
                <w:bCs/>
                <w:sz w:val="16"/>
                <w:szCs w:val="16"/>
                <w:lang w:val="eu-ES"/>
              </w:rPr>
            </w:pPr>
            <w:r w:rsidRPr="001E2F6E">
              <w:rPr>
                <w:b/>
                <w:bCs/>
                <w:sz w:val="16"/>
                <w:szCs w:val="16"/>
                <w:lang w:val="eu-ES"/>
              </w:rPr>
              <w:t>DIRU-SARRERAK</w:t>
            </w:r>
          </w:p>
        </w:tc>
        <w:tc>
          <w:tcPr>
            <w:tcW w:w="656" w:type="pct"/>
            <w:tcBorders>
              <w:top w:val="nil"/>
              <w:left w:val="nil"/>
              <w:bottom w:val="nil"/>
              <w:right w:val="single" w:sz="8" w:space="0" w:color="BFBFBF"/>
            </w:tcBorders>
            <w:shd w:val="clear" w:color="auto" w:fill="auto"/>
            <w:vAlign w:val="bottom"/>
            <w:hideMark/>
          </w:tcPr>
          <w:p w:rsidR="00195BE7" w:rsidRPr="001E2F6E" w:rsidRDefault="00195BE7" w:rsidP="00195BE7">
            <w:pPr>
              <w:spacing w:line="220" w:lineRule="exact"/>
              <w:jc w:val="center"/>
              <w:rPr>
                <w:color w:val="000000"/>
                <w:sz w:val="16"/>
                <w:szCs w:val="16"/>
              </w:rPr>
            </w:pPr>
            <w:r w:rsidRPr="001E2F6E">
              <w:rPr>
                <w:color w:val="000000"/>
                <w:sz w:val="16"/>
                <w:szCs w:val="16"/>
              </w:rPr>
              <w:t> </w:t>
            </w:r>
          </w:p>
        </w:tc>
        <w:tc>
          <w:tcPr>
            <w:tcW w:w="447" w:type="pct"/>
            <w:tcBorders>
              <w:top w:val="nil"/>
              <w:left w:val="nil"/>
              <w:bottom w:val="nil"/>
              <w:right w:val="single" w:sz="8" w:space="0" w:color="BFBFBF"/>
            </w:tcBorders>
            <w:shd w:val="clear" w:color="auto" w:fill="auto"/>
            <w:noWrap/>
            <w:vAlign w:val="bottom"/>
            <w:hideMark/>
          </w:tcPr>
          <w:p w:rsidR="00195BE7" w:rsidRPr="001E2F6E" w:rsidRDefault="00195BE7" w:rsidP="00195BE7">
            <w:pPr>
              <w:spacing w:line="220" w:lineRule="exact"/>
              <w:jc w:val="right"/>
              <w:rPr>
                <w:color w:val="000000"/>
                <w:sz w:val="16"/>
                <w:szCs w:val="16"/>
              </w:rPr>
            </w:pPr>
            <w:r w:rsidRPr="001E2F6E">
              <w:rPr>
                <w:color w:val="000000"/>
                <w:sz w:val="16"/>
                <w:szCs w:val="16"/>
              </w:rPr>
              <w:t> </w:t>
            </w:r>
          </w:p>
        </w:tc>
        <w:tc>
          <w:tcPr>
            <w:tcW w:w="657" w:type="pct"/>
            <w:tcBorders>
              <w:top w:val="nil"/>
              <w:left w:val="nil"/>
              <w:bottom w:val="nil"/>
              <w:right w:val="single" w:sz="8" w:space="0" w:color="BFBFBF"/>
            </w:tcBorders>
            <w:shd w:val="clear" w:color="auto" w:fill="auto"/>
            <w:vAlign w:val="bottom"/>
            <w:hideMark/>
          </w:tcPr>
          <w:p w:rsidR="00195BE7" w:rsidRPr="001E2F6E" w:rsidRDefault="00195BE7" w:rsidP="00195BE7">
            <w:pPr>
              <w:spacing w:line="220" w:lineRule="exact"/>
              <w:jc w:val="center"/>
              <w:rPr>
                <w:color w:val="000000"/>
                <w:sz w:val="16"/>
                <w:szCs w:val="16"/>
              </w:rPr>
            </w:pPr>
            <w:r w:rsidRPr="001E2F6E">
              <w:rPr>
                <w:color w:val="000000"/>
                <w:sz w:val="16"/>
                <w:szCs w:val="16"/>
              </w:rPr>
              <w:t> </w:t>
            </w:r>
          </w:p>
        </w:tc>
        <w:tc>
          <w:tcPr>
            <w:tcW w:w="662" w:type="pct"/>
            <w:tcBorders>
              <w:top w:val="nil"/>
              <w:left w:val="nil"/>
              <w:bottom w:val="nil"/>
              <w:right w:val="single" w:sz="8" w:space="0" w:color="BFBFBF"/>
            </w:tcBorders>
            <w:shd w:val="clear" w:color="auto" w:fill="auto"/>
            <w:noWrap/>
            <w:vAlign w:val="bottom"/>
            <w:hideMark/>
          </w:tcPr>
          <w:p w:rsidR="00195BE7" w:rsidRPr="001E2F6E" w:rsidRDefault="00195BE7" w:rsidP="00195BE7">
            <w:pPr>
              <w:spacing w:line="220" w:lineRule="exact"/>
              <w:jc w:val="right"/>
              <w:rPr>
                <w:color w:val="000000"/>
                <w:sz w:val="16"/>
                <w:szCs w:val="16"/>
              </w:rPr>
            </w:pPr>
            <w:r w:rsidRPr="001E2F6E">
              <w:rPr>
                <w:color w:val="000000"/>
                <w:sz w:val="16"/>
                <w:szCs w:val="16"/>
              </w:rPr>
              <w:t> </w:t>
            </w:r>
          </w:p>
        </w:tc>
        <w:tc>
          <w:tcPr>
            <w:tcW w:w="657" w:type="pct"/>
            <w:tcBorders>
              <w:top w:val="nil"/>
              <w:left w:val="nil"/>
              <w:bottom w:val="nil"/>
              <w:right w:val="single" w:sz="8" w:space="0" w:color="BFBFBF"/>
            </w:tcBorders>
            <w:shd w:val="clear" w:color="auto" w:fill="auto"/>
            <w:noWrap/>
            <w:vAlign w:val="bottom"/>
            <w:hideMark/>
          </w:tcPr>
          <w:p w:rsidR="00195BE7" w:rsidRPr="001E2F6E" w:rsidRDefault="00195BE7" w:rsidP="00195BE7">
            <w:pPr>
              <w:spacing w:line="220" w:lineRule="exact"/>
              <w:jc w:val="right"/>
              <w:rPr>
                <w:color w:val="000000"/>
                <w:sz w:val="16"/>
                <w:szCs w:val="16"/>
              </w:rPr>
            </w:pPr>
            <w:r w:rsidRPr="001E2F6E">
              <w:rPr>
                <w:color w:val="000000"/>
                <w:sz w:val="16"/>
                <w:szCs w:val="16"/>
              </w:rPr>
              <w:t> </w:t>
            </w:r>
          </w:p>
        </w:tc>
      </w:tr>
      <w:tr w:rsidR="00195BE7" w:rsidRPr="001E2F6E" w:rsidTr="00195BE7">
        <w:tc>
          <w:tcPr>
            <w:tcW w:w="1920" w:type="pct"/>
            <w:tcBorders>
              <w:top w:val="nil"/>
              <w:left w:val="nil"/>
              <w:bottom w:val="nil"/>
              <w:right w:val="single" w:sz="8" w:space="0" w:color="BFBFBF"/>
            </w:tcBorders>
            <w:shd w:val="clear" w:color="auto" w:fill="auto"/>
            <w:vAlign w:val="bottom"/>
            <w:hideMark/>
          </w:tcPr>
          <w:p w:rsidR="00195BE7" w:rsidRPr="001E2F6E" w:rsidRDefault="00195BE7" w:rsidP="00195BE7">
            <w:pPr>
              <w:spacing w:line="220" w:lineRule="exact"/>
              <w:rPr>
                <w:sz w:val="16"/>
                <w:szCs w:val="16"/>
                <w:lang w:val="eu-ES"/>
              </w:rPr>
            </w:pPr>
            <w:r w:rsidRPr="001E2F6E">
              <w:rPr>
                <w:sz w:val="16"/>
                <w:szCs w:val="16"/>
                <w:lang w:val="eu-ES"/>
              </w:rPr>
              <w:t>70 Salmenta garbiak</w:t>
            </w:r>
          </w:p>
        </w:tc>
        <w:tc>
          <w:tcPr>
            <w:tcW w:w="656" w:type="pct"/>
            <w:tcBorders>
              <w:top w:val="nil"/>
              <w:left w:val="nil"/>
              <w:bottom w:val="nil"/>
              <w:right w:val="single" w:sz="8" w:space="0" w:color="BFBFBF"/>
            </w:tcBorders>
            <w:shd w:val="clear" w:color="auto" w:fill="auto"/>
            <w:noWrap/>
            <w:vAlign w:val="bottom"/>
            <w:hideMark/>
          </w:tcPr>
          <w:p w:rsidR="00195BE7" w:rsidRPr="001E2F6E" w:rsidRDefault="00195BE7" w:rsidP="00195BE7">
            <w:pPr>
              <w:spacing w:line="220" w:lineRule="exact"/>
              <w:jc w:val="right"/>
              <w:rPr>
                <w:color w:val="000000"/>
                <w:sz w:val="16"/>
                <w:szCs w:val="16"/>
              </w:rPr>
            </w:pPr>
            <w:r w:rsidRPr="001E2F6E">
              <w:rPr>
                <w:color w:val="000000"/>
                <w:sz w:val="16"/>
                <w:szCs w:val="16"/>
              </w:rPr>
              <w:t>4.475.250.566</w:t>
            </w:r>
          </w:p>
        </w:tc>
        <w:tc>
          <w:tcPr>
            <w:tcW w:w="447" w:type="pct"/>
            <w:tcBorders>
              <w:top w:val="nil"/>
              <w:left w:val="nil"/>
              <w:bottom w:val="nil"/>
              <w:right w:val="single" w:sz="8" w:space="0" w:color="BFBFBF"/>
            </w:tcBorders>
            <w:shd w:val="clear" w:color="auto" w:fill="auto"/>
            <w:noWrap/>
            <w:vAlign w:val="bottom"/>
            <w:hideMark/>
          </w:tcPr>
          <w:p w:rsidR="00195BE7" w:rsidRPr="001E2F6E" w:rsidRDefault="00195BE7" w:rsidP="00195BE7">
            <w:pPr>
              <w:spacing w:line="220" w:lineRule="exact"/>
              <w:jc w:val="right"/>
              <w:rPr>
                <w:color w:val="000000"/>
                <w:sz w:val="16"/>
                <w:szCs w:val="16"/>
              </w:rPr>
            </w:pPr>
            <w:r w:rsidRPr="001E2F6E">
              <w:rPr>
                <w:color w:val="000000"/>
                <w:sz w:val="16"/>
                <w:szCs w:val="16"/>
              </w:rPr>
              <w:t>540.850</w:t>
            </w:r>
          </w:p>
        </w:tc>
        <w:tc>
          <w:tcPr>
            <w:tcW w:w="657" w:type="pct"/>
            <w:tcBorders>
              <w:top w:val="nil"/>
              <w:left w:val="nil"/>
              <w:bottom w:val="nil"/>
              <w:right w:val="single" w:sz="8" w:space="0" w:color="BFBFBF"/>
            </w:tcBorders>
            <w:shd w:val="clear" w:color="auto" w:fill="auto"/>
            <w:noWrap/>
            <w:vAlign w:val="bottom"/>
            <w:hideMark/>
          </w:tcPr>
          <w:p w:rsidR="00195BE7" w:rsidRPr="001E2F6E" w:rsidRDefault="00195BE7" w:rsidP="00195BE7">
            <w:pPr>
              <w:spacing w:line="220" w:lineRule="exact"/>
              <w:jc w:val="right"/>
              <w:rPr>
                <w:color w:val="000000"/>
                <w:sz w:val="16"/>
                <w:szCs w:val="16"/>
              </w:rPr>
            </w:pPr>
            <w:r w:rsidRPr="001E2F6E">
              <w:rPr>
                <w:color w:val="000000"/>
                <w:sz w:val="16"/>
                <w:szCs w:val="16"/>
              </w:rPr>
              <w:t>3.037.057.109</w:t>
            </w:r>
          </w:p>
        </w:tc>
        <w:tc>
          <w:tcPr>
            <w:tcW w:w="662" w:type="pct"/>
            <w:tcBorders>
              <w:top w:val="nil"/>
              <w:left w:val="nil"/>
              <w:bottom w:val="nil"/>
              <w:right w:val="single" w:sz="8" w:space="0" w:color="BFBFBF"/>
            </w:tcBorders>
            <w:shd w:val="clear" w:color="auto" w:fill="auto"/>
            <w:noWrap/>
            <w:vAlign w:val="bottom"/>
            <w:hideMark/>
          </w:tcPr>
          <w:p w:rsidR="00195BE7" w:rsidRPr="001E2F6E" w:rsidRDefault="00195BE7" w:rsidP="00195BE7">
            <w:pPr>
              <w:spacing w:line="220" w:lineRule="exact"/>
              <w:jc w:val="right"/>
              <w:rPr>
                <w:color w:val="000000"/>
                <w:sz w:val="16"/>
                <w:szCs w:val="16"/>
              </w:rPr>
            </w:pPr>
            <w:r w:rsidRPr="001E2F6E">
              <w:rPr>
                <w:color w:val="000000"/>
                <w:sz w:val="16"/>
                <w:szCs w:val="16"/>
              </w:rPr>
              <w:t>50.365.294</w:t>
            </w:r>
          </w:p>
        </w:tc>
        <w:tc>
          <w:tcPr>
            <w:tcW w:w="657" w:type="pct"/>
            <w:tcBorders>
              <w:top w:val="nil"/>
              <w:left w:val="nil"/>
              <w:bottom w:val="nil"/>
              <w:right w:val="single" w:sz="8" w:space="0" w:color="BFBFBF"/>
            </w:tcBorders>
            <w:shd w:val="clear" w:color="auto" w:fill="auto"/>
            <w:noWrap/>
            <w:vAlign w:val="bottom"/>
            <w:hideMark/>
          </w:tcPr>
          <w:p w:rsidR="00195BE7" w:rsidRPr="001E2F6E" w:rsidRDefault="00195BE7" w:rsidP="00195BE7">
            <w:pPr>
              <w:spacing w:line="220" w:lineRule="exact"/>
              <w:jc w:val="right"/>
              <w:rPr>
                <w:color w:val="000000"/>
                <w:sz w:val="16"/>
                <w:szCs w:val="16"/>
              </w:rPr>
            </w:pPr>
            <w:r w:rsidRPr="001E2F6E">
              <w:rPr>
                <w:color w:val="000000"/>
                <w:sz w:val="16"/>
                <w:szCs w:val="16"/>
              </w:rPr>
              <w:t>1.387.287.312</w:t>
            </w:r>
          </w:p>
        </w:tc>
      </w:tr>
      <w:tr w:rsidR="00195BE7" w:rsidRPr="001E2F6E" w:rsidTr="00195BE7">
        <w:tc>
          <w:tcPr>
            <w:tcW w:w="1920" w:type="pct"/>
            <w:tcBorders>
              <w:top w:val="nil"/>
              <w:left w:val="nil"/>
              <w:bottom w:val="nil"/>
              <w:right w:val="single" w:sz="8" w:space="0" w:color="BFBFBF"/>
            </w:tcBorders>
            <w:shd w:val="clear" w:color="auto" w:fill="auto"/>
            <w:vAlign w:val="bottom"/>
            <w:hideMark/>
          </w:tcPr>
          <w:p w:rsidR="00195BE7" w:rsidRPr="001E2F6E" w:rsidRDefault="00195BE7" w:rsidP="00195BE7">
            <w:pPr>
              <w:spacing w:line="220" w:lineRule="exact"/>
              <w:rPr>
                <w:sz w:val="16"/>
                <w:szCs w:val="16"/>
                <w:lang w:val="eu-ES"/>
              </w:rPr>
            </w:pPr>
            <w:r w:rsidRPr="001E2F6E">
              <w:rPr>
                <w:sz w:val="16"/>
                <w:szCs w:val="16"/>
                <w:lang w:val="eu-ES"/>
              </w:rPr>
              <w:t>71 Izakinen aldaketa</w:t>
            </w:r>
          </w:p>
        </w:tc>
        <w:tc>
          <w:tcPr>
            <w:tcW w:w="656" w:type="pct"/>
            <w:tcBorders>
              <w:top w:val="nil"/>
              <w:left w:val="nil"/>
              <w:bottom w:val="nil"/>
              <w:right w:val="single" w:sz="8" w:space="0" w:color="BFBFBF"/>
            </w:tcBorders>
            <w:shd w:val="clear" w:color="auto" w:fill="auto"/>
            <w:noWrap/>
            <w:vAlign w:val="bottom"/>
            <w:hideMark/>
          </w:tcPr>
          <w:p w:rsidR="00195BE7" w:rsidRPr="001E2F6E" w:rsidRDefault="00195BE7" w:rsidP="00195BE7">
            <w:pPr>
              <w:spacing w:line="220" w:lineRule="exact"/>
              <w:jc w:val="right"/>
              <w:rPr>
                <w:color w:val="000000"/>
                <w:sz w:val="16"/>
                <w:szCs w:val="16"/>
              </w:rPr>
            </w:pPr>
            <w:r w:rsidRPr="001E2F6E">
              <w:rPr>
                <w:color w:val="000000"/>
                <w:sz w:val="16"/>
                <w:szCs w:val="16"/>
              </w:rPr>
              <w:t>30.111.102</w:t>
            </w:r>
          </w:p>
        </w:tc>
        <w:tc>
          <w:tcPr>
            <w:tcW w:w="447" w:type="pct"/>
            <w:tcBorders>
              <w:top w:val="nil"/>
              <w:left w:val="nil"/>
              <w:bottom w:val="nil"/>
              <w:right w:val="single" w:sz="8" w:space="0" w:color="BFBFBF"/>
            </w:tcBorders>
            <w:shd w:val="clear" w:color="auto" w:fill="auto"/>
            <w:noWrap/>
            <w:vAlign w:val="bottom"/>
            <w:hideMark/>
          </w:tcPr>
          <w:p w:rsidR="00195BE7" w:rsidRPr="001E2F6E" w:rsidRDefault="00195BE7" w:rsidP="00195BE7">
            <w:pPr>
              <w:spacing w:line="220" w:lineRule="exact"/>
              <w:jc w:val="right"/>
              <w:rPr>
                <w:color w:val="000000"/>
                <w:sz w:val="16"/>
                <w:szCs w:val="16"/>
              </w:rPr>
            </w:pPr>
            <w:r w:rsidRPr="001E2F6E">
              <w:rPr>
                <w:color w:val="000000"/>
                <w:sz w:val="16"/>
                <w:szCs w:val="16"/>
              </w:rPr>
              <w:t> </w:t>
            </w:r>
          </w:p>
        </w:tc>
        <w:tc>
          <w:tcPr>
            <w:tcW w:w="657" w:type="pct"/>
            <w:tcBorders>
              <w:top w:val="nil"/>
              <w:left w:val="nil"/>
              <w:bottom w:val="nil"/>
              <w:right w:val="single" w:sz="8" w:space="0" w:color="BFBFBF"/>
            </w:tcBorders>
            <w:shd w:val="clear" w:color="auto" w:fill="auto"/>
            <w:noWrap/>
            <w:vAlign w:val="bottom"/>
            <w:hideMark/>
          </w:tcPr>
          <w:p w:rsidR="00195BE7" w:rsidRPr="001E2F6E" w:rsidRDefault="00195BE7" w:rsidP="00195BE7">
            <w:pPr>
              <w:spacing w:line="220" w:lineRule="exact"/>
              <w:jc w:val="right"/>
              <w:rPr>
                <w:color w:val="000000"/>
                <w:sz w:val="16"/>
                <w:szCs w:val="16"/>
              </w:rPr>
            </w:pPr>
            <w:r w:rsidRPr="001E2F6E">
              <w:rPr>
                <w:color w:val="000000"/>
                <w:sz w:val="16"/>
                <w:szCs w:val="16"/>
              </w:rPr>
              <w:t>28.834.977</w:t>
            </w:r>
          </w:p>
        </w:tc>
        <w:tc>
          <w:tcPr>
            <w:tcW w:w="662" w:type="pct"/>
            <w:tcBorders>
              <w:top w:val="nil"/>
              <w:left w:val="nil"/>
              <w:bottom w:val="nil"/>
              <w:right w:val="single" w:sz="8" w:space="0" w:color="BFBFBF"/>
            </w:tcBorders>
            <w:shd w:val="clear" w:color="auto" w:fill="auto"/>
            <w:noWrap/>
            <w:vAlign w:val="bottom"/>
            <w:hideMark/>
          </w:tcPr>
          <w:p w:rsidR="00195BE7" w:rsidRPr="001E2F6E" w:rsidRDefault="00195BE7" w:rsidP="00195BE7">
            <w:pPr>
              <w:spacing w:line="220" w:lineRule="exact"/>
              <w:jc w:val="right"/>
              <w:rPr>
                <w:color w:val="000000"/>
                <w:sz w:val="16"/>
                <w:szCs w:val="16"/>
              </w:rPr>
            </w:pPr>
            <w:r w:rsidRPr="001E2F6E">
              <w:rPr>
                <w:color w:val="000000"/>
                <w:sz w:val="16"/>
                <w:szCs w:val="16"/>
              </w:rPr>
              <w:t>-286.797</w:t>
            </w:r>
          </w:p>
        </w:tc>
        <w:tc>
          <w:tcPr>
            <w:tcW w:w="657" w:type="pct"/>
            <w:tcBorders>
              <w:top w:val="nil"/>
              <w:left w:val="nil"/>
              <w:bottom w:val="nil"/>
              <w:right w:val="single" w:sz="8" w:space="0" w:color="BFBFBF"/>
            </w:tcBorders>
            <w:shd w:val="clear" w:color="auto" w:fill="auto"/>
            <w:noWrap/>
            <w:vAlign w:val="bottom"/>
            <w:hideMark/>
          </w:tcPr>
          <w:p w:rsidR="00195BE7" w:rsidRPr="001E2F6E" w:rsidRDefault="00195BE7" w:rsidP="00195BE7">
            <w:pPr>
              <w:spacing w:line="220" w:lineRule="exact"/>
              <w:jc w:val="right"/>
              <w:rPr>
                <w:color w:val="000000"/>
                <w:sz w:val="16"/>
                <w:szCs w:val="16"/>
              </w:rPr>
            </w:pPr>
            <w:r w:rsidRPr="001E2F6E">
              <w:rPr>
                <w:color w:val="000000"/>
                <w:sz w:val="16"/>
                <w:szCs w:val="16"/>
              </w:rPr>
              <w:t>1.562.922</w:t>
            </w:r>
          </w:p>
        </w:tc>
      </w:tr>
      <w:tr w:rsidR="00195BE7" w:rsidRPr="001E2F6E" w:rsidTr="00195BE7">
        <w:tc>
          <w:tcPr>
            <w:tcW w:w="1920" w:type="pct"/>
            <w:tcBorders>
              <w:top w:val="nil"/>
              <w:left w:val="nil"/>
              <w:bottom w:val="nil"/>
              <w:right w:val="single" w:sz="8" w:space="0" w:color="BFBFBF"/>
            </w:tcBorders>
            <w:shd w:val="clear" w:color="auto" w:fill="auto"/>
            <w:vAlign w:val="bottom"/>
            <w:hideMark/>
          </w:tcPr>
          <w:p w:rsidR="00195BE7" w:rsidRPr="001E2F6E" w:rsidRDefault="00195BE7" w:rsidP="00195BE7">
            <w:pPr>
              <w:spacing w:line="220" w:lineRule="exact"/>
              <w:rPr>
                <w:sz w:val="16"/>
                <w:szCs w:val="16"/>
                <w:lang w:val="eu-ES"/>
              </w:rPr>
            </w:pPr>
            <w:r w:rsidRPr="001E2F6E">
              <w:rPr>
                <w:sz w:val="16"/>
                <w:szCs w:val="16"/>
                <w:lang w:val="eu-ES"/>
              </w:rPr>
              <w:t>73 Ibilgeturako egindako lanak</w:t>
            </w:r>
          </w:p>
        </w:tc>
        <w:tc>
          <w:tcPr>
            <w:tcW w:w="656" w:type="pct"/>
            <w:tcBorders>
              <w:top w:val="nil"/>
              <w:left w:val="nil"/>
              <w:bottom w:val="nil"/>
              <w:right w:val="single" w:sz="8" w:space="0" w:color="BFBFBF"/>
            </w:tcBorders>
            <w:shd w:val="clear" w:color="auto" w:fill="auto"/>
            <w:noWrap/>
            <w:vAlign w:val="bottom"/>
            <w:hideMark/>
          </w:tcPr>
          <w:p w:rsidR="00195BE7" w:rsidRPr="001E2F6E" w:rsidRDefault="00195BE7" w:rsidP="00195BE7">
            <w:pPr>
              <w:spacing w:line="220" w:lineRule="exact"/>
              <w:jc w:val="right"/>
              <w:rPr>
                <w:color w:val="000000"/>
                <w:sz w:val="16"/>
                <w:szCs w:val="16"/>
              </w:rPr>
            </w:pPr>
            <w:r w:rsidRPr="001E2F6E">
              <w:rPr>
                <w:color w:val="000000"/>
                <w:sz w:val="16"/>
                <w:szCs w:val="16"/>
              </w:rPr>
              <w:t>16.262.362</w:t>
            </w:r>
          </w:p>
        </w:tc>
        <w:tc>
          <w:tcPr>
            <w:tcW w:w="447" w:type="pct"/>
            <w:tcBorders>
              <w:top w:val="nil"/>
              <w:left w:val="nil"/>
              <w:bottom w:val="nil"/>
              <w:right w:val="single" w:sz="8" w:space="0" w:color="BFBFBF"/>
            </w:tcBorders>
            <w:shd w:val="clear" w:color="auto" w:fill="auto"/>
            <w:noWrap/>
            <w:vAlign w:val="bottom"/>
            <w:hideMark/>
          </w:tcPr>
          <w:p w:rsidR="00195BE7" w:rsidRPr="001E2F6E" w:rsidRDefault="00195BE7" w:rsidP="00195BE7">
            <w:pPr>
              <w:spacing w:line="220" w:lineRule="exact"/>
              <w:jc w:val="right"/>
              <w:rPr>
                <w:color w:val="000000"/>
                <w:sz w:val="16"/>
                <w:szCs w:val="16"/>
              </w:rPr>
            </w:pPr>
            <w:r w:rsidRPr="001E2F6E">
              <w:rPr>
                <w:color w:val="000000"/>
                <w:sz w:val="16"/>
                <w:szCs w:val="16"/>
              </w:rPr>
              <w:t> </w:t>
            </w:r>
          </w:p>
        </w:tc>
        <w:tc>
          <w:tcPr>
            <w:tcW w:w="657" w:type="pct"/>
            <w:tcBorders>
              <w:top w:val="nil"/>
              <w:left w:val="nil"/>
              <w:bottom w:val="nil"/>
              <w:right w:val="single" w:sz="8" w:space="0" w:color="BFBFBF"/>
            </w:tcBorders>
            <w:shd w:val="clear" w:color="auto" w:fill="auto"/>
            <w:noWrap/>
            <w:vAlign w:val="bottom"/>
            <w:hideMark/>
          </w:tcPr>
          <w:p w:rsidR="00195BE7" w:rsidRPr="001E2F6E" w:rsidRDefault="00195BE7" w:rsidP="00195BE7">
            <w:pPr>
              <w:spacing w:line="220" w:lineRule="exact"/>
              <w:jc w:val="right"/>
              <w:rPr>
                <w:color w:val="000000"/>
                <w:sz w:val="16"/>
                <w:szCs w:val="16"/>
              </w:rPr>
            </w:pPr>
            <w:r w:rsidRPr="001E2F6E">
              <w:rPr>
                <w:color w:val="000000"/>
                <w:sz w:val="16"/>
                <w:szCs w:val="16"/>
              </w:rPr>
              <w:t>14.142.200</w:t>
            </w:r>
          </w:p>
        </w:tc>
        <w:tc>
          <w:tcPr>
            <w:tcW w:w="662" w:type="pct"/>
            <w:tcBorders>
              <w:top w:val="nil"/>
              <w:left w:val="nil"/>
              <w:bottom w:val="nil"/>
              <w:right w:val="single" w:sz="8" w:space="0" w:color="BFBFBF"/>
            </w:tcBorders>
            <w:shd w:val="clear" w:color="auto" w:fill="auto"/>
            <w:noWrap/>
            <w:vAlign w:val="bottom"/>
            <w:hideMark/>
          </w:tcPr>
          <w:p w:rsidR="00195BE7" w:rsidRPr="001E2F6E" w:rsidRDefault="00195BE7" w:rsidP="00195BE7">
            <w:pPr>
              <w:spacing w:line="220" w:lineRule="exact"/>
              <w:jc w:val="right"/>
              <w:rPr>
                <w:color w:val="000000"/>
                <w:sz w:val="16"/>
                <w:szCs w:val="16"/>
              </w:rPr>
            </w:pPr>
            <w:r w:rsidRPr="001E2F6E">
              <w:rPr>
                <w:color w:val="000000"/>
                <w:sz w:val="16"/>
                <w:szCs w:val="16"/>
              </w:rPr>
              <w:t> </w:t>
            </w:r>
          </w:p>
        </w:tc>
        <w:tc>
          <w:tcPr>
            <w:tcW w:w="657" w:type="pct"/>
            <w:tcBorders>
              <w:top w:val="nil"/>
              <w:left w:val="nil"/>
              <w:bottom w:val="nil"/>
              <w:right w:val="single" w:sz="8" w:space="0" w:color="BFBFBF"/>
            </w:tcBorders>
            <w:shd w:val="clear" w:color="auto" w:fill="auto"/>
            <w:noWrap/>
            <w:vAlign w:val="bottom"/>
            <w:hideMark/>
          </w:tcPr>
          <w:p w:rsidR="00195BE7" w:rsidRPr="001E2F6E" w:rsidRDefault="00195BE7" w:rsidP="00195BE7">
            <w:pPr>
              <w:spacing w:line="220" w:lineRule="exact"/>
              <w:jc w:val="right"/>
              <w:rPr>
                <w:color w:val="000000"/>
                <w:sz w:val="16"/>
                <w:szCs w:val="16"/>
              </w:rPr>
            </w:pPr>
            <w:r w:rsidRPr="001E2F6E">
              <w:rPr>
                <w:color w:val="000000"/>
                <w:sz w:val="16"/>
                <w:szCs w:val="16"/>
              </w:rPr>
              <w:t>2.120.163</w:t>
            </w:r>
          </w:p>
        </w:tc>
      </w:tr>
      <w:tr w:rsidR="00195BE7" w:rsidRPr="001E2F6E" w:rsidTr="00195BE7">
        <w:tc>
          <w:tcPr>
            <w:tcW w:w="1920" w:type="pct"/>
            <w:tcBorders>
              <w:top w:val="nil"/>
              <w:left w:val="nil"/>
              <w:bottom w:val="nil"/>
              <w:right w:val="single" w:sz="8" w:space="0" w:color="BFBFBF"/>
            </w:tcBorders>
            <w:shd w:val="clear" w:color="auto" w:fill="auto"/>
            <w:vAlign w:val="bottom"/>
            <w:hideMark/>
          </w:tcPr>
          <w:p w:rsidR="00195BE7" w:rsidRPr="001E2F6E" w:rsidRDefault="00195BE7" w:rsidP="00195BE7">
            <w:pPr>
              <w:spacing w:line="220" w:lineRule="exact"/>
              <w:rPr>
                <w:sz w:val="16"/>
                <w:szCs w:val="16"/>
                <w:lang w:val="eu-ES"/>
              </w:rPr>
            </w:pPr>
            <w:r w:rsidRPr="001E2F6E">
              <w:rPr>
                <w:sz w:val="16"/>
                <w:szCs w:val="16"/>
                <w:lang w:val="eu-ES"/>
              </w:rPr>
              <w:t>74 Ustiapeneko dirulaguntzak</w:t>
            </w:r>
          </w:p>
        </w:tc>
        <w:tc>
          <w:tcPr>
            <w:tcW w:w="656" w:type="pct"/>
            <w:tcBorders>
              <w:top w:val="nil"/>
              <w:left w:val="nil"/>
              <w:bottom w:val="nil"/>
              <w:right w:val="single" w:sz="8" w:space="0" w:color="BFBFBF"/>
            </w:tcBorders>
            <w:shd w:val="clear" w:color="auto" w:fill="auto"/>
            <w:noWrap/>
            <w:vAlign w:val="bottom"/>
            <w:hideMark/>
          </w:tcPr>
          <w:p w:rsidR="00195BE7" w:rsidRPr="001E2F6E" w:rsidRDefault="00195BE7" w:rsidP="00195BE7">
            <w:pPr>
              <w:spacing w:line="220" w:lineRule="exact"/>
              <w:jc w:val="right"/>
              <w:rPr>
                <w:color w:val="000000"/>
                <w:sz w:val="16"/>
                <w:szCs w:val="16"/>
              </w:rPr>
            </w:pPr>
            <w:r w:rsidRPr="001E2F6E">
              <w:rPr>
                <w:color w:val="000000"/>
                <w:sz w:val="16"/>
                <w:szCs w:val="16"/>
              </w:rPr>
              <w:t>172.597.935</w:t>
            </w:r>
          </w:p>
        </w:tc>
        <w:tc>
          <w:tcPr>
            <w:tcW w:w="447" w:type="pct"/>
            <w:tcBorders>
              <w:top w:val="nil"/>
              <w:left w:val="nil"/>
              <w:bottom w:val="nil"/>
              <w:right w:val="single" w:sz="8" w:space="0" w:color="BFBFBF"/>
            </w:tcBorders>
            <w:shd w:val="clear" w:color="auto" w:fill="auto"/>
            <w:noWrap/>
            <w:vAlign w:val="bottom"/>
            <w:hideMark/>
          </w:tcPr>
          <w:p w:rsidR="00195BE7" w:rsidRPr="001E2F6E" w:rsidRDefault="00195BE7" w:rsidP="00195BE7">
            <w:pPr>
              <w:spacing w:line="220" w:lineRule="exact"/>
              <w:jc w:val="right"/>
              <w:rPr>
                <w:color w:val="000000"/>
                <w:sz w:val="16"/>
                <w:szCs w:val="16"/>
              </w:rPr>
            </w:pPr>
            <w:r w:rsidRPr="001E2F6E">
              <w:rPr>
                <w:color w:val="000000"/>
                <w:sz w:val="16"/>
                <w:szCs w:val="16"/>
              </w:rPr>
              <w:t>351.825</w:t>
            </w:r>
          </w:p>
        </w:tc>
        <w:tc>
          <w:tcPr>
            <w:tcW w:w="657" w:type="pct"/>
            <w:tcBorders>
              <w:top w:val="nil"/>
              <w:left w:val="nil"/>
              <w:bottom w:val="nil"/>
              <w:right w:val="single" w:sz="8" w:space="0" w:color="BFBFBF"/>
            </w:tcBorders>
            <w:shd w:val="clear" w:color="auto" w:fill="auto"/>
            <w:noWrap/>
            <w:vAlign w:val="bottom"/>
            <w:hideMark/>
          </w:tcPr>
          <w:p w:rsidR="00195BE7" w:rsidRPr="001E2F6E" w:rsidRDefault="00195BE7" w:rsidP="00195BE7">
            <w:pPr>
              <w:spacing w:line="220" w:lineRule="exact"/>
              <w:jc w:val="right"/>
              <w:rPr>
                <w:color w:val="000000"/>
                <w:sz w:val="16"/>
                <w:szCs w:val="16"/>
              </w:rPr>
            </w:pPr>
            <w:r w:rsidRPr="001E2F6E">
              <w:rPr>
                <w:color w:val="000000"/>
                <w:sz w:val="16"/>
                <w:szCs w:val="16"/>
              </w:rPr>
              <w:t>35.321.816</w:t>
            </w:r>
          </w:p>
        </w:tc>
        <w:tc>
          <w:tcPr>
            <w:tcW w:w="662" w:type="pct"/>
            <w:tcBorders>
              <w:top w:val="nil"/>
              <w:left w:val="nil"/>
              <w:bottom w:val="nil"/>
              <w:right w:val="single" w:sz="8" w:space="0" w:color="BFBFBF"/>
            </w:tcBorders>
            <w:shd w:val="clear" w:color="auto" w:fill="auto"/>
            <w:noWrap/>
            <w:vAlign w:val="bottom"/>
            <w:hideMark/>
          </w:tcPr>
          <w:p w:rsidR="00195BE7" w:rsidRPr="001E2F6E" w:rsidRDefault="00195BE7" w:rsidP="00195BE7">
            <w:pPr>
              <w:spacing w:line="220" w:lineRule="exact"/>
              <w:jc w:val="right"/>
              <w:rPr>
                <w:color w:val="000000"/>
                <w:sz w:val="16"/>
                <w:szCs w:val="16"/>
              </w:rPr>
            </w:pPr>
            <w:r w:rsidRPr="001E2F6E">
              <w:rPr>
                <w:color w:val="000000"/>
                <w:sz w:val="16"/>
                <w:szCs w:val="16"/>
              </w:rPr>
              <w:t>196.225</w:t>
            </w:r>
          </w:p>
        </w:tc>
        <w:tc>
          <w:tcPr>
            <w:tcW w:w="657" w:type="pct"/>
            <w:tcBorders>
              <w:top w:val="nil"/>
              <w:left w:val="nil"/>
              <w:bottom w:val="nil"/>
              <w:right w:val="single" w:sz="8" w:space="0" w:color="BFBFBF"/>
            </w:tcBorders>
            <w:shd w:val="clear" w:color="auto" w:fill="auto"/>
            <w:noWrap/>
            <w:vAlign w:val="bottom"/>
            <w:hideMark/>
          </w:tcPr>
          <w:p w:rsidR="00195BE7" w:rsidRPr="001E2F6E" w:rsidRDefault="00195BE7" w:rsidP="00195BE7">
            <w:pPr>
              <w:spacing w:line="220" w:lineRule="exact"/>
              <w:jc w:val="right"/>
              <w:rPr>
                <w:color w:val="000000"/>
                <w:sz w:val="16"/>
                <w:szCs w:val="16"/>
              </w:rPr>
            </w:pPr>
            <w:r w:rsidRPr="001E2F6E">
              <w:rPr>
                <w:color w:val="000000"/>
                <w:sz w:val="16"/>
                <w:szCs w:val="16"/>
              </w:rPr>
              <w:t>136.728.068</w:t>
            </w:r>
          </w:p>
        </w:tc>
      </w:tr>
      <w:tr w:rsidR="00195BE7" w:rsidRPr="001E2F6E" w:rsidTr="00195BE7">
        <w:tc>
          <w:tcPr>
            <w:tcW w:w="1920" w:type="pct"/>
            <w:tcBorders>
              <w:top w:val="nil"/>
              <w:left w:val="nil"/>
              <w:bottom w:val="nil"/>
              <w:right w:val="single" w:sz="8" w:space="0" w:color="BFBFBF"/>
            </w:tcBorders>
            <w:shd w:val="clear" w:color="auto" w:fill="auto"/>
            <w:vAlign w:val="bottom"/>
            <w:hideMark/>
          </w:tcPr>
          <w:p w:rsidR="00195BE7" w:rsidRPr="001E2F6E" w:rsidRDefault="00195BE7" w:rsidP="00195BE7">
            <w:pPr>
              <w:spacing w:line="220" w:lineRule="exact"/>
              <w:rPr>
                <w:sz w:val="16"/>
                <w:szCs w:val="16"/>
                <w:lang w:val="eu-ES"/>
              </w:rPr>
            </w:pPr>
            <w:r w:rsidRPr="001E2F6E">
              <w:rPr>
                <w:sz w:val="16"/>
                <w:szCs w:val="16"/>
                <w:lang w:val="eu-ES"/>
              </w:rPr>
              <w:t>75 Diru-sarrera osagarriak</w:t>
            </w:r>
          </w:p>
        </w:tc>
        <w:tc>
          <w:tcPr>
            <w:tcW w:w="656" w:type="pct"/>
            <w:tcBorders>
              <w:top w:val="nil"/>
              <w:left w:val="nil"/>
              <w:bottom w:val="nil"/>
              <w:right w:val="single" w:sz="8" w:space="0" w:color="BFBFBF"/>
            </w:tcBorders>
            <w:shd w:val="clear" w:color="auto" w:fill="auto"/>
            <w:noWrap/>
            <w:vAlign w:val="bottom"/>
            <w:hideMark/>
          </w:tcPr>
          <w:p w:rsidR="00195BE7" w:rsidRPr="001E2F6E" w:rsidRDefault="00195BE7" w:rsidP="00195BE7">
            <w:pPr>
              <w:spacing w:line="220" w:lineRule="exact"/>
              <w:jc w:val="right"/>
              <w:rPr>
                <w:color w:val="000000"/>
                <w:sz w:val="16"/>
                <w:szCs w:val="16"/>
              </w:rPr>
            </w:pPr>
            <w:r w:rsidRPr="001E2F6E">
              <w:rPr>
                <w:color w:val="000000"/>
                <w:sz w:val="16"/>
                <w:szCs w:val="16"/>
              </w:rPr>
              <w:t>317.981.384</w:t>
            </w:r>
          </w:p>
        </w:tc>
        <w:tc>
          <w:tcPr>
            <w:tcW w:w="447" w:type="pct"/>
            <w:tcBorders>
              <w:top w:val="nil"/>
              <w:left w:val="nil"/>
              <w:bottom w:val="nil"/>
              <w:right w:val="single" w:sz="8" w:space="0" w:color="BFBFBF"/>
            </w:tcBorders>
            <w:shd w:val="clear" w:color="auto" w:fill="auto"/>
            <w:noWrap/>
            <w:vAlign w:val="bottom"/>
            <w:hideMark/>
          </w:tcPr>
          <w:p w:rsidR="00195BE7" w:rsidRPr="001E2F6E" w:rsidRDefault="00195BE7" w:rsidP="00195BE7">
            <w:pPr>
              <w:spacing w:line="220" w:lineRule="exact"/>
              <w:jc w:val="right"/>
              <w:rPr>
                <w:color w:val="000000"/>
                <w:sz w:val="16"/>
                <w:szCs w:val="16"/>
              </w:rPr>
            </w:pPr>
            <w:r w:rsidRPr="001E2F6E">
              <w:rPr>
                <w:color w:val="000000"/>
                <w:sz w:val="16"/>
                <w:szCs w:val="16"/>
              </w:rPr>
              <w:t> </w:t>
            </w:r>
          </w:p>
        </w:tc>
        <w:tc>
          <w:tcPr>
            <w:tcW w:w="657" w:type="pct"/>
            <w:tcBorders>
              <w:top w:val="nil"/>
              <w:left w:val="nil"/>
              <w:bottom w:val="nil"/>
              <w:right w:val="single" w:sz="8" w:space="0" w:color="BFBFBF"/>
            </w:tcBorders>
            <w:shd w:val="clear" w:color="auto" w:fill="auto"/>
            <w:noWrap/>
            <w:vAlign w:val="bottom"/>
            <w:hideMark/>
          </w:tcPr>
          <w:p w:rsidR="00195BE7" w:rsidRPr="001E2F6E" w:rsidRDefault="00195BE7" w:rsidP="00195BE7">
            <w:pPr>
              <w:spacing w:line="220" w:lineRule="exact"/>
              <w:jc w:val="right"/>
              <w:rPr>
                <w:color w:val="000000"/>
                <w:sz w:val="16"/>
                <w:szCs w:val="16"/>
              </w:rPr>
            </w:pPr>
            <w:r w:rsidRPr="001E2F6E">
              <w:rPr>
                <w:color w:val="000000"/>
                <w:sz w:val="16"/>
                <w:szCs w:val="16"/>
              </w:rPr>
              <w:t>115.909.666</w:t>
            </w:r>
          </w:p>
        </w:tc>
        <w:tc>
          <w:tcPr>
            <w:tcW w:w="662" w:type="pct"/>
            <w:tcBorders>
              <w:top w:val="nil"/>
              <w:left w:val="nil"/>
              <w:bottom w:val="nil"/>
              <w:right w:val="single" w:sz="8" w:space="0" w:color="BFBFBF"/>
            </w:tcBorders>
            <w:shd w:val="clear" w:color="auto" w:fill="auto"/>
            <w:noWrap/>
            <w:vAlign w:val="bottom"/>
            <w:hideMark/>
          </w:tcPr>
          <w:p w:rsidR="00195BE7" w:rsidRPr="001E2F6E" w:rsidRDefault="00195BE7" w:rsidP="00195BE7">
            <w:pPr>
              <w:spacing w:line="220" w:lineRule="exact"/>
              <w:jc w:val="right"/>
              <w:rPr>
                <w:color w:val="000000"/>
                <w:sz w:val="16"/>
                <w:szCs w:val="16"/>
              </w:rPr>
            </w:pPr>
            <w:r w:rsidRPr="001E2F6E">
              <w:rPr>
                <w:color w:val="000000"/>
                <w:sz w:val="16"/>
                <w:szCs w:val="16"/>
              </w:rPr>
              <w:t>146.224</w:t>
            </w:r>
          </w:p>
        </w:tc>
        <w:tc>
          <w:tcPr>
            <w:tcW w:w="657" w:type="pct"/>
            <w:tcBorders>
              <w:top w:val="nil"/>
              <w:left w:val="nil"/>
              <w:bottom w:val="nil"/>
              <w:right w:val="single" w:sz="8" w:space="0" w:color="BFBFBF"/>
            </w:tcBorders>
            <w:shd w:val="clear" w:color="auto" w:fill="auto"/>
            <w:noWrap/>
            <w:vAlign w:val="bottom"/>
            <w:hideMark/>
          </w:tcPr>
          <w:p w:rsidR="00195BE7" w:rsidRPr="001E2F6E" w:rsidRDefault="00195BE7" w:rsidP="00195BE7">
            <w:pPr>
              <w:spacing w:line="220" w:lineRule="exact"/>
              <w:jc w:val="right"/>
              <w:rPr>
                <w:color w:val="000000"/>
                <w:sz w:val="16"/>
                <w:szCs w:val="16"/>
              </w:rPr>
            </w:pPr>
            <w:r w:rsidRPr="001E2F6E">
              <w:rPr>
                <w:color w:val="000000"/>
                <w:sz w:val="16"/>
                <w:szCs w:val="16"/>
              </w:rPr>
              <w:t>201.925.494</w:t>
            </w:r>
          </w:p>
        </w:tc>
      </w:tr>
      <w:tr w:rsidR="00195BE7" w:rsidRPr="001E2F6E" w:rsidTr="00195BE7">
        <w:tc>
          <w:tcPr>
            <w:tcW w:w="1920" w:type="pct"/>
            <w:tcBorders>
              <w:top w:val="nil"/>
              <w:left w:val="nil"/>
              <w:bottom w:val="nil"/>
              <w:right w:val="single" w:sz="8" w:space="0" w:color="BFBFBF"/>
            </w:tcBorders>
            <w:shd w:val="clear" w:color="auto" w:fill="auto"/>
            <w:vAlign w:val="bottom"/>
            <w:hideMark/>
          </w:tcPr>
          <w:p w:rsidR="00195BE7" w:rsidRPr="001E2F6E" w:rsidRDefault="00195BE7" w:rsidP="00195BE7">
            <w:pPr>
              <w:spacing w:line="220" w:lineRule="exact"/>
              <w:rPr>
                <w:sz w:val="16"/>
                <w:szCs w:val="16"/>
                <w:lang w:val="eu-ES"/>
              </w:rPr>
            </w:pPr>
            <w:r w:rsidRPr="001E2F6E">
              <w:rPr>
                <w:sz w:val="16"/>
                <w:szCs w:val="16"/>
                <w:lang w:val="eu-ES"/>
              </w:rPr>
              <w:t>76 Finantza-sarrerak</w:t>
            </w:r>
          </w:p>
        </w:tc>
        <w:tc>
          <w:tcPr>
            <w:tcW w:w="656" w:type="pct"/>
            <w:tcBorders>
              <w:top w:val="nil"/>
              <w:left w:val="nil"/>
              <w:bottom w:val="nil"/>
              <w:right w:val="single" w:sz="8" w:space="0" w:color="BFBFBF"/>
            </w:tcBorders>
            <w:shd w:val="clear" w:color="auto" w:fill="auto"/>
            <w:noWrap/>
            <w:vAlign w:val="bottom"/>
            <w:hideMark/>
          </w:tcPr>
          <w:p w:rsidR="00195BE7" w:rsidRPr="001E2F6E" w:rsidRDefault="00195BE7" w:rsidP="00195BE7">
            <w:pPr>
              <w:spacing w:line="220" w:lineRule="exact"/>
              <w:jc w:val="right"/>
              <w:rPr>
                <w:color w:val="000000"/>
                <w:sz w:val="16"/>
                <w:szCs w:val="16"/>
              </w:rPr>
            </w:pPr>
            <w:r w:rsidRPr="001E2F6E">
              <w:rPr>
                <w:color w:val="000000"/>
                <w:sz w:val="16"/>
                <w:szCs w:val="16"/>
              </w:rPr>
              <w:t>109.535.563</w:t>
            </w:r>
          </w:p>
        </w:tc>
        <w:tc>
          <w:tcPr>
            <w:tcW w:w="447" w:type="pct"/>
            <w:tcBorders>
              <w:top w:val="nil"/>
              <w:left w:val="nil"/>
              <w:bottom w:val="nil"/>
              <w:right w:val="single" w:sz="8" w:space="0" w:color="BFBFBF"/>
            </w:tcBorders>
            <w:shd w:val="clear" w:color="auto" w:fill="auto"/>
            <w:noWrap/>
            <w:vAlign w:val="bottom"/>
            <w:hideMark/>
          </w:tcPr>
          <w:p w:rsidR="00195BE7" w:rsidRPr="001E2F6E" w:rsidRDefault="00195BE7" w:rsidP="00195BE7">
            <w:pPr>
              <w:spacing w:line="220" w:lineRule="exact"/>
              <w:jc w:val="right"/>
              <w:rPr>
                <w:color w:val="000000"/>
                <w:sz w:val="16"/>
                <w:szCs w:val="16"/>
              </w:rPr>
            </w:pPr>
            <w:r w:rsidRPr="001E2F6E">
              <w:rPr>
                <w:color w:val="000000"/>
                <w:sz w:val="16"/>
                <w:szCs w:val="16"/>
              </w:rPr>
              <w:t>78</w:t>
            </w:r>
          </w:p>
        </w:tc>
        <w:tc>
          <w:tcPr>
            <w:tcW w:w="657" w:type="pct"/>
            <w:tcBorders>
              <w:top w:val="nil"/>
              <w:left w:val="nil"/>
              <w:bottom w:val="nil"/>
              <w:right w:val="single" w:sz="8" w:space="0" w:color="BFBFBF"/>
            </w:tcBorders>
            <w:shd w:val="clear" w:color="auto" w:fill="auto"/>
            <w:noWrap/>
            <w:vAlign w:val="bottom"/>
            <w:hideMark/>
          </w:tcPr>
          <w:p w:rsidR="00195BE7" w:rsidRPr="001E2F6E" w:rsidRDefault="00195BE7" w:rsidP="00195BE7">
            <w:pPr>
              <w:spacing w:line="220" w:lineRule="exact"/>
              <w:jc w:val="right"/>
              <w:rPr>
                <w:color w:val="000000"/>
                <w:sz w:val="16"/>
                <w:szCs w:val="16"/>
              </w:rPr>
            </w:pPr>
            <w:r w:rsidRPr="001E2F6E">
              <w:rPr>
                <w:color w:val="000000"/>
                <w:sz w:val="16"/>
                <w:szCs w:val="16"/>
              </w:rPr>
              <w:t>64.838.512</w:t>
            </w:r>
          </w:p>
        </w:tc>
        <w:tc>
          <w:tcPr>
            <w:tcW w:w="662" w:type="pct"/>
            <w:tcBorders>
              <w:top w:val="nil"/>
              <w:left w:val="nil"/>
              <w:bottom w:val="nil"/>
              <w:right w:val="single" w:sz="8" w:space="0" w:color="BFBFBF"/>
            </w:tcBorders>
            <w:shd w:val="clear" w:color="auto" w:fill="auto"/>
            <w:noWrap/>
            <w:vAlign w:val="bottom"/>
            <w:hideMark/>
          </w:tcPr>
          <w:p w:rsidR="00195BE7" w:rsidRPr="001E2F6E" w:rsidRDefault="00195BE7" w:rsidP="00195BE7">
            <w:pPr>
              <w:spacing w:line="220" w:lineRule="exact"/>
              <w:jc w:val="right"/>
              <w:rPr>
                <w:color w:val="000000"/>
                <w:sz w:val="16"/>
                <w:szCs w:val="16"/>
              </w:rPr>
            </w:pPr>
            <w:r w:rsidRPr="001E2F6E">
              <w:rPr>
                <w:color w:val="000000"/>
                <w:sz w:val="16"/>
                <w:szCs w:val="16"/>
              </w:rPr>
              <w:t>103.545</w:t>
            </w:r>
          </w:p>
        </w:tc>
        <w:tc>
          <w:tcPr>
            <w:tcW w:w="657" w:type="pct"/>
            <w:tcBorders>
              <w:top w:val="nil"/>
              <w:left w:val="nil"/>
              <w:bottom w:val="nil"/>
              <w:right w:val="single" w:sz="8" w:space="0" w:color="BFBFBF"/>
            </w:tcBorders>
            <w:shd w:val="clear" w:color="auto" w:fill="auto"/>
            <w:noWrap/>
            <w:vAlign w:val="bottom"/>
            <w:hideMark/>
          </w:tcPr>
          <w:p w:rsidR="00195BE7" w:rsidRPr="001E2F6E" w:rsidRDefault="00195BE7" w:rsidP="00195BE7">
            <w:pPr>
              <w:spacing w:line="220" w:lineRule="exact"/>
              <w:jc w:val="right"/>
              <w:rPr>
                <w:color w:val="000000"/>
                <w:sz w:val="16"/>
                <w:szCs w:val="16"/>
              </w:rPr>
            </w:pPr>
            <w:r w:rsidRPr="001E2F6E">
              <w:rPr>
                <w:color w:val="000000"/>
                <w:sz w:val="16"/>
                <w:szCs w:val="16"/>
              </w:rPr>
              <w:t>44.593.429</w:t>
            </w:r>
          </w:p>
        </w:tc>
      </w:tr>
      <w:tr w:rsidR="00195BE7" w:rsidRPr="001E2F6E" w:rsidTr="00195BE7">
        <w:tc>
          <w:tcPr>
            <w:tcW w:w="1920" w:type="pct"/>
            <w:tcBorders>
              <w:top w:val="nil"/>
              <w:left w:val="nil"/>
              <w:bottom w:val="nil"/>
              <w:right w:val="single" w:sz="8" w:space="0" w:color="BFBFBF"/>
            </w:tcBorders>
            <w:shd w:val="clear" w:color="auto" w:fill="auto"/>
            <w:vAlign w:val="bottom"/>
            <w:hideMark/>
          </w:tcPr>
          <w:p w:rsidR="00195BE7" w:rsidRPr="001E2F6E" w:rsidRDefault="00195BE7" w:rsidP="00195BE7">
            <w:pPr>
              <w:spacing w:line="220" w:lineRule="exact"/>
              <w:rPr>
                <w:sz w:val="16"/>
                <w:szCs w:val="16"/>
                <w:lang w:val="eu-ES"/>
              </w:rPr>
            </w:pPr>
            <w:r w:rsidRPr="001E2F6E">
              <w:rPr>
                <w:sz w:val="16"/>
                <w:szCs w:val="16"/>
                <w:lang w:val="eu-ES"/>
              </w:rPr>
              <w:t>77 Ezohiko diru-sarrerak</w:t>
            </w:r>
          </w:p>
        </w:tc>
        <w:tc>
          <w:tcPr>
            <w:tcW w:w="656" w:type="pct"/>
            <w:tcBorders>
              <w:top w:val="nil"/>
              <w:left w:val="nil"/>
              <w:bottom w:val="nil"/>
              <w:right w:val="single" w:sz="8" w:space="0" w:color="BFBFBF"/>
            </w:tcBorders>
            <w:shd w:val="clear" w:color="auto" w:fill="auto"/>
            <w:noWrap/>
            <w:vAlign w:val="bottom"/>
            <w:hideMark/>
          </w:tcPr>
          <w:p w:rsidR="00195BE7" w:rsidRPr="001E2F6E" w:rsidRDefault="00195BE7" w:rsidP="00195BE7">
            <w:pPr>
              <w:spacing w:line="220" w:lineRule="exact"/>
              <w:jc w:val="right"/>
              <w:rPr>
                <w:color w:val="000000"/>
                <w:sz w:val="16"/>
                <w:szCs w:val="16"/>
              </w:rPr>
            </w:pPr>
            <w:r w:rsidRPr="001E2F6E">
              <w:rPr>
                <w:color w:val="000000"/>
                <w:sz w:val="16"/>
                <w:szCs w:val="16"/>
              </w:rPr>
              <w:t>71.770.347</w:t>
            </w:r>
          </w:p>
        </w:tc>
        <w:tc>
          <w:tcPr>
            <w:tcW w:w="447" w:type="pct"/>
            <w:tcBorders>
              <w:top w:val="nil"/>
              <w:left w:val="nil"/>
              <w:bottom w:val="nil"/>
              <w:right w:val="single" w:sz="8" w:space="0" w:color="BFBFBF"/>
            </w:tcBorders>
            <w:shd w:val="clear" w:color="auto" w:fill="auto"/>
            <w:noWrap/>
            <w:vAlign w:val="bottom"/>
            <w:hideMark/>
          </w:tcPr>
          <w:p w:rsidR="00195BE7" w:rsidRPr="001E2F6E" w:rsidRDefault="00195BE7" w:rsidP="00195BE7">
            <w:pPr>
              <w:spacing w:line="220" w:lineRule="exact"/>
              <w:jc w:val="right"/>
              <w:rPr>
                <w:color w:val="000000"/>
                <w:sz w:val="16"/>
                <w:szCs w:val="16"/>
              </w:rPr>
            </w:pPr>
            <w:r w:rsidRPr="001E2F6E">
              <w:rPr>
                <w:color w:val="000000"/>
                <w:sz w:val="16"/>
                <w:szCs w:val="16"/>
              </w:rPr>
              <w:t> </w:t>
            </w:r>
          </w:p>
        </w:tc>
        <w:tc>
          <w:tcPr>
            <w:tcW w:w="657" w:type="pct"/>
            <w:tcBorders>
              <w:top w:val="nil"/>
              <w:left w:val="nil"/>
              <w:bottom w:val="nil"/>
              <w:right w:val="single" w:sz="8" w:space="0" w:color="BFBFBF"/>
            </w:tcBorders>
            <w:shd w:val="clear" w:color="auto" w:fill="auto"/>
            <w:noWrap/>
            <w:vAlign w:val="bottom"/>
            <w:hideMark/>
          </w:tcPr>
          <w:p w:rsidR="00195BE7" w:rsidRPr="001E2F6E" w:rsidRDefault="00195BE7" w:rsidP="00195BE7">
            <w:pPr>
              <w:spacing w:line="220" w:lineRule="exact"/>
              <w:jc w:val="right"/>
              <w:rPr>
                <w:color w:val="000000"/>
                <w:sz w:val="16"/>
                <w:szCs w:val="16"/>
              </w:rPr>
            </w:pPr>
            <w:r w:rsidRPr="001E2F6E">
              <w:rPr>
                <w:color w:val="000000"/>
                <w:sz w:val="16"/>
                <w:szCs w:val="16"/>
              </w:rPr>
              <w:t>59.154.917</w:t>
            </w:r>
          </w:p>
        </w:tc>
        <w:tc>
          <w:tcPr>
            <w:tcW w:w="662" w:type="pct"/>
            <w:tcBorders>
              <w:top w:val="nil"/>
              <w:left w:val="nil"/>
              <w:bottom w:val="nil"/>
              <w:right w:val="single" w:sz="8" w:space="0" w:color="BFBFBF"/>
            </w:tcBorders>
            <w:shd w:val="clear" w:color="auto" w:fill="auto"/>
            <w:noWrap/>
            <w:vAlign w:val="bottom"/>
            <w:hideMark/>
          </w:tcPr>
          <w:p w:rsidR="00195BE7" w:rsidRPr="001E2F6E" w:rsidRDefault="00195BE7" w:rsidP="00195BE7">
            <w:pPr>
              <w:spacing w:line="220" w:lineRule="exact"/>
              <w:jc w:val="right"/>
              <w:rPr>
                <w:color w:val="000000"/>
                <w:sz w:val="16"/>
                <w:szCs w:val="16"/>
              </w:rPr>
            </w:pPr>
            <w:r w:rsidRPr="001E2F6E">
              <w:rPr>
                <w:color w:val="000000"/>
                <w:sz w:val="16"/>
                <w:szCs w:val="16"/>
              </w:rPr>
              <w:t>58.766</w:t>
            </w:r>
          </w:p>
        </w:tc>
        <w:tc>
          <w:tcPr>
            <w:tcW w:w="657" w:type="pct"/>
            <w:tcBorders>
              <w:top w:val="nil"/>
              <w:left w:val="nil"/>
              <w:bottom w:val="nil"/>
              <w:right w:val="single" w:sz="8" w:space="0" w:color="BFBFBF"/>
            </w:tcBorders>
            <w:shd w:val="clear" w:color="auto" w:fill="auto"/>
            <w:noWrap/>
            <w:vAlign w:val="bottom"/>
            <w:hideMark/>
          </w:tcPr>
          <w:p w:rsidR="00195BE7" w:rsidRPr="001E2F6E" w:rsidRDefault="00195BE7" w:rsidP="00195BE7">
            <w:pPr>
              <w:spacing w:line="220" w:lineRule="exact"/>
              <w:jc w:val="right"/>
              <w:rPr>
                <w:color w:val="000000"/>
                <w:sz w:val="16"/>
                <w:szCs w:val="16"/>
              </w:rPr>
            </w:pPr>
            <w:r w:rsidRPr="001E2F6E">
              <w:rPr>
                <w:color w:val="000000"/>
                <w:sz w:val="16"/>
                <w:szCs w:val="16"/>
              </w:rPr>
              <w:t>12.556.663</w:t>
            </w:r>
          </w:p>
        </w:tc>
      </w:tr>
      <w:tr w:rsidR="00195BE7" w:rsidRPr="001E2F6E" w:rsidTr="00195BE7">
        <w:tc>
          <w:tcPr>
            <w:tcW w:w="1920" w:type="pct"/>
            <w:tcBorders>
              <w:top w:val="nil"/>
              <w:left w:val="nil"/>
              <w:bottom w:val="single" w:sz="8" w:space="0" w:color="BFBFBF"/>
              <w:right w:val="single" w:sz="8" w:space="0" w:color="BFBFBF"/>
            </w:tcBorders>
            <w:shd w:val="clear" w:color="auto" w:fill="auto"/>
            <w:vAlign w:val="bottom"/>
            <w:hideMark/>
          </w:tcPr>
          <w:p w:rsidR="00195BE7" w:rsidRPr="001E2F6E" w:rsidRDefault="00195BE7" w:rsidP="00195BE7">
            <w:pPr>
              <w:spacing w:line="220" w:lineRule="exact"/>
              <w:rPr>
                <w:sz w:val="16"/>
                <w:szCs w:val="16"/>
                <w:lang w:val="eu-ES"/>
              </w:rPr>
            </w:pPr>
            <w:r w:rsidRPr="001E2F6E">
              <w:rPr>
                <w:sz w:val="16"/>
                <w:szCs w:val="16"/>
                <w:lang w:val="eu-ES"/>
              </w:rPr>
              <w:t>79 Gehiegizko hornidura</w:t>
            </w:r>
          </w:p>
        </w:tc>
        <w:tc>
          <w:tcPr>
            <w:tcW w:w="656" w:type="pct"/>
            <w:tcBorders>
              <w:top w:val="nil"/>
              <w:left w:val="nil"/>
              <w:bottom w:val="nil"/>
              <w:right w:val="single" w:sz="8" w:space="0" w:color="BFBFBF"/>
            </w:tcBorders>
            <w:shd w:val="clear" w:color="auto" w:fill="auto"/>
            <w:noWrap/>
            <w:vAlign w:val="bottom"/>
            <w:hideMark/>
          </w:tcPr>
          <w:p w:rsidR="00195BE7" w:rsidRPr="001E2F6E" w:rsidRDefault="00195BE7" w:rsidP="00195BE7">
            <w:pPr>
              <w:spacing w:line="220" w:lineRule="exact"/>
              <w:jc w:val="right"/>
              <w:rPr>
                <w:color w:val="000000"/>
                <w:sz w:val="16"/>
                <w:szCs w:val="16"/>
              </w:rPr>
            </w:pPr>
            <w:r w:rsidRPr="001E2F6E">
              <w:rPr>
                <w:color w:val="000000"/>
                <w:sz w:val="16"/>
                <w:szCs w:val="16"/>
              </w:rPr>
              <w:t>79.467.856</w:t>
            </w:r>
          </w:p>
        </w:tc>
        <w:tc>
          <w:tcPr>
            <w:tcW w:w="447" w:type="pct"/>
            <w:tcBorders>
              <w:top w:val="nil"/>
              <w:left w:val="nil"/>
              <w:bottom w:val="single" w:sz="8" w:space="0" w:color="BFBFBF"/>
              <w:right w:val="single" w:sz="8" w:space="0" w:color="BFBFBF"/>
            </w:tcBorders>
            <w:shd w:val="clear" w:color="auto" w:fill="auto"/>
            <w:noWrap/>
            <w:vAlign w:val="bottom"/>
            <w:hideMark/>
          </w:tcPr>
          <w:p w:rsidR="00195BE7" w:rsidRPr="001E2F6E" w:rsidRDefault="00195BE7" w:rsidP="00195BE7">
            <w:pPr>
              <w:spacing w:line="220" w:lineRule="exact"/>
              <w:jc w:val="right"/>
              <w:rPr>
                <w:color w:val="000000"/>
                <w:sz w:val="16"/>
                <w:szCs w:val="16"/>
              </w:rPr>
            </w:pPr>
            <w:r w:rsidRPr="001E2F6E">
              <w:rPr>
                <w:color w:val="000000"/>
                <w:sz w:val="16"/>
                <w:szCs w:val="16"/>
              </w:rPr>
              <w:t> </w:t>
            </w:r>
          </w:p>
        </w:tc>
        <w:tc>
          <w:tcPr>
            <w:tcW w:w="657" w:type="pct"/>
            <w:tcBorders>
              <w:top w:val="nil"/>
              <w:left w:val="nil"/>
              <w:bottom w:val="single" w:sz="8" w:space="0" w:color="BFBFBF"/>
              <w:right w:val="single" w:sz="8" w:space="0" w:color="BFBFBF"/>
            </w:tcBorders>
            <w:shd w:val="clear" w:color="auto" w:fill="auto"/>
            <w:noWrap/>
            <w:vAlign w:val="bottom"/>
            <w:hideMark/>
          </w:tcPr>
          <w:p w:rsidR="00195BE7" w:rsidRPr="001E2F6E" w:rsidRDefault="00195BE7" w:rsidP="00195BE7">
            <w:pPr>
              <w:spacing w:line="220" w:lineRule="exact"/>
              <w:jc w:val="right"/>
              <w:rPr>
                <w:color w:val="000000"/>
                <w:sz w:val="16"/>
                <w:szCs w:val="16"/>
              </w:rPr>
            </w:pPr>
            <w:r w:rsidRPr="001E2F6E">
              <w:rPr>
                <w:color w:val="000000"/>
                <w:sz w:val="16"/>
                <w:szCs w:val="16"/>
              </w:rPr>
              <w:t>39.178.399</w:t>
            </w:r>
          </w:p>
        </w:tc>
        <w:tc>
          <w:tcPr>
            <w:tcW w:w="662" w:type="pct"/>
            <w:tcBorders>
              <w:top w:val="nil"/>
              <w:left w:val="nil"/>
              <w:bottom w:val="single" w:sz="8" w:space="0" w:color="BFBFBF"/>
              <w:right w:val="single" w:sz="8" w:space="0" w:color="BFBFBF"/>
            </w:tcBorders>
            <w:shd w:val="clear" w:color="auto" w:fill="auto"/>
            <w:noWrap/>
            <w:vAlign w:val="bottom"/>
            <w:hideMark/>
          </w:tcPr>
          <w:p w:rsidR="00195BE7" w:rsidRPr="001E2F6E" w:rsidRDefault="00195BE7" w:rsidP="00195BE7">
            <w:pPr>
              <w:spacing w:line="220" w:lineRule="exact"/>
              <w:jc w:val="right"/>
              <w:rPr>
                <w:color w:val="000000"/>
                <w:sz w:val="16"/>
                <w:szCs w:val="16"/>
              </w:rPr>
            </w:pPr>
            <w:r w:rsidRPr="001E2F6E">
              <w:rPr>
                <w:color w:val="000000"/>
                <w:sz w:val="16"/>
                <w:szCs w:val="16"/>
              </w:rPr>
              <w:t>55.888</w:t>
            </w:r>
          </w:p>
        </w:tc>
        <w:tc>
          <w:tcPr>
            <w:tcW w:w="657" w:type="pct"/>
            <w:tcBorders>
              <w:top w:val="nil"/>
              <w:left w:val="nil"/>
              <w:bottom w:val="single" w:sz="8" w:space="0" w:color="BFBFBF"/>
              <w:right w:val="single" w:sz="8" w:space="0" w:color="BFBFBF"/>
            </w:tcBorders>
            <w:shd w:val="clear" w:color="auto" w:fill="auto"/>
            <w:noWrap/>
            <w:vAlign w:val="bottom"/>
            <w:hideMark/>
          </w:tcPr>
          <w:p w:rsidR="00195BE7" w:rsidRPr="001E2F6E" w:rsidRDefault="00195BE7" w:rsidP="00195BE7">
            <w:pPr>
              <w:spacing w:line="220" w:lineRule="exact"/>
              <w:jc w:val="right"/>
              <w:rPr>
                <w:color w:val="000000"/>
                <w:sz w:val="16"/>
                <w:szCs w:val="16"/>
              </w:rPr>
            </w:pPr>
            <w:r w:rsidRPr="001E2F6E">
              <w:rPr>
                <w:color w:val="000000"/>
                <w:sz w:val="16"/>
                <w:szCs w:val="16"/>
              </w:rPr>
              <w:t>40.233.569</w:t>
            </w:r>
          </w:p>
        </w:tc>
      </w:tr>
      <w:tr w:rsidR="00195BE7" w:rsidRPr="001E2F6E" w:rsidTr="00195BE7">
        <w:tc>
          <w:tcPr>
            <w:tcW w:w="1920" w:type="pct"/>
            <w:tcBorders>
              <w:top w:val="nil"/>
              <w:left w:val="nil"/>
              <w:bottom w:val="single" w:sz="8" w:space="0" w:color="BFBFBF"/>
              <w:right w:val="single" w:sz="8" w:space="0" w:color="BFBFBF"/>
            </w:tcBorders>
            <w:shd w:val="clear" w:color="000000" w:fill="E6E6E6"/>
            <w:vAlign w:val="bottom"/>
            <w:hideMark/>
          </w:tcPr>
          <w:p w:rsidR="00195BE7" w:rsidRPr="001E2F6E" w:rsidRDefault="00195BE7" w:rsidP="00195BE7">
            <w:pPr>
              <w:spacing w:line="220" w:lineRule="exact"/>
              <w:rPr>
                <w:rFonts w:eastAsia="Times New Roman"/>
                <w:b/>
                <w:bCs/>
                <w:color w:val="000000"/>
                <w:sz w:val="16"/>
                <w:szCs w:val="16"/>
                <w:lang w:eastAsia="es-ES"/>
              </w:rPr>
            </w:pPr>
            <w:r w:rsidRPr="001E2F6E">
              <w:rPr>
                <w:rFonts w:eastAsia="Times New Roman"/>
                <w:b/>
                <w:bCs/>
                <w:color w:val="000000"/>
                <w:sz w:val="16"/>
                <w:szCs w:val="16"/>
                <w:lang w:eastAsia="es-ES"/>
              </w:rPr>
              <w:t> </w:t>
            </w:r>
          </w:p>
        </w:tc>
        <w:tc>
          <w:tcPr>
            <w:tcW w:w="656" w:type="pct"/>
            <w:tcBorders>
              <w:top w:val="nil"/>
              <w:left w:val="nil"/>
              <w:bottom w:val="single" w:sz="8" w:space="0" w:color="BFBFBF"/>
              <w:right w:val="single" w:sz="8" w:space="0" w:color="BFBFBF"/>
            </w:tcBorders>
            <w:shd w:val="clear" w:color="000000" w:fill="E6E6E6"/>
            <w:vAlign w:val="bottom"/>
            <w:hideMark/>
          </w:tcPr>
          <w:p w:rsidR="00195BE7" w:rsidRPr="001E2F6E" w:rsidRDefault="00195BE7" w:rsidP="00195BE7">
            <w:pPr>
              <w:spacing w:line="220" w:lineRule="exact"/>
              <w:jc w:val="right"/>
              <w:rPr>
                <w:b/>
                <w:bCs/>
                <w:color w:val="000000"/>
                <w:sz w:val="16"/>
                <w:szCs w:val="16"/>
              </w:rPr>
            </w:pPr>
            <w:r w:rsidRPr="001E2F6E">
              <w:rPr>
                <w:b/>
                <w:bCs/>
                <w:color w:val="000000"/>
                <w:sz w:val="16"/>
                <w:szCs w:val="16"/>
              </w:rPr>
              <w:t>5.272.977.115</w:t>
            </w:r>
          </w:p>
        </w:tc>
        <w:tc>
          <w:tcPr>
            <w:tcW w:w="447" w:type="pct"/>
            <w:tcBorders>
              <w:top w:val="nil"/>
              <w:left w:val="nil"/>
              <w:bottom w:val="single" w:sz="8" w:space="0" w:color="BFBFBF"/>
              <w:right w:val="single" w:sz="8" w:space="0" w:color="BFBFBF"/>
            </w:tcBorders>
            <w:shd w:val="clear" w:color="000000" w:fill="E6E6E6"/>
            <w:vAlign w:val="bottom"/>
            <w:hideMark/>
          </w:tcPr>
          <w:p w:rsidR="00195BE7" w:rsidRPr="001E2F6E" w:rsidRDefault="00195BE7" w:rsidP="00195BE7">
            <w:pPr>
              <w:spacing w:line="220" w:lineRule="exact"/>
              <w:jc w:val="right"/>
              <w:rPr>
                <w:b/>
                <w:bCs/>
                <w:color w:val="000000"/>
                <w:sz w:val="16"/>
                <w:szCs w:val="16"/>
              </w:rPr>
            </w:pPr>
            <w:r w:rsidRPr="001E2F6E">
              <w:rPr>
                <w:b/>
                <w:bCs/>
                <w:color w:val="000000"/>
                <w:sz w:val="16"/>
                <w:szCs w:val="16"/>
              </w:rPr>
              <w:t>892.753</w:t>
            </w:r>
          </w:p>
        </w:tc>
        <w:tc>
          <w:tcPr>
            <w:tcW w:w="657" w:type="pct"/>
            <w:tcBorders>
              <w:top w:val="nil"/>
              <w:left w:val="nil"/>
              <w:bottom w:val="single" w:sz="8" w:space="0" w:color="BFBFBF"/>
              <w:right w:val="single" w:sz="8" w:space="0" w:color="BFBFBF"/>
            </w:tcBorders>
            <w:shd w:val="clear" w:color="000000" w:fill="E6E6E6"/>
            <w:vAlign w:val="bottom"/>
            <w:hideMark/>
          </w:tcPr>
          <w:p w:rsidR="00195BE7" w:rsidRPr="001E2F6E" w:rsidRDefault="00195BE7" w:rsidP="00195BE7">
            <w:pPr>
              <w:spacing w:line="220" w:lineRule="exact"/>
              <w:jc w:val="right"/>
              <w:rPr>
                <w:b/>
                <w:bCs/>
                <w:color w:val="000000"/>
                <w:sz w:val="16"/>
                <w:szCs w:val="16"/>
              </w:rPr>
            </w:pPr>
            <w:r w:rsidRPr="001E2F6E">
              <w:rPr>
                <w:b/>
                <w:bCs/>
                <w:color w:val="000000"/>
                <w:sz w:val="16"/>
                <w:szCs w:val="16"/>
              </w:rPr>
              <w:t>3.394.437.596</w:t>
            </w:r>
          </w:p>
        </w:tc>
        <w:tc>
          <w:tcPr>
            <w:tcW w:w="662" w:type="pct"/>
            <w:tcBorders>
              <w:top w:val="nil"/>
              <w:left w:val="nil"/>
              <w:bottom w:val="single" w:sz="8" w:space="0" w:color="BFBFBF"/>
              <w:right w:val="single" w:sz="8" w:space="0" w:color="BFBFBF"/>
            </w:tcBorders>
            <w:shd w:val="clear" w:color="000000" w:fill="E6E6E6"/>
            <w:vAlign w:val="bottom"/>
            <w:hideMark/>
          </w:tcPr>
          <w:p w:rsidR="00195BE7" w:rsidRPr="001E2F6E" w:rsidRDefault="00195BE7" w:rsidP="00195BE7">
            <w:pPr>
              <w:spacing w:line="220" w:lineRule="exact"/>
              <w:jc w:val="right"/>
              <w:rPr>
                <w:b/>
                <w:bCs/>
                <w:color w:val="000000"/>
                <w:sz w:val="16"/>
                <w:szCs w:val="16"/>
              </w:rPr>
            </w:pPr>
            <w:r w:rsidRPr="001E2F6E">
              <w:rPr>
                <w:b/>
                <w:bCs/>
                <w:color w:val="000000"/>
                <w:sz w:val="16"/>
                <w:szCs w:val="16"/>
              </w:rPr>
              <w:t>50.639.147</w:t>
            </w:r>
          </w:p>
        </w:tc>
        <w:tc>
          <w:tcPr>
            <w:tcW w:w="657" w:type="pct"/>
            <w:tcBorders>
              <w:top w:val="nil"/>
              <w:left w:val="nil"/>
              <w:bottom w:val="single" w:sz="8" w:space="0" w:color="BFBFBF"/>
              <w:right w:val="single" w:sz="8" w:space="0" w:color="BFBFBF"/>
            </w:tcBorders>
            <w:shd w:val="clear" w:color="000000" w:fill="E6E6E6"/>
            <w:vAlign w:val="bottom"/>
            <w:hideMark/>
          </w:tcPr>
          <w:p w:rsidR="00195BE7" w:rsidRPr="001E2F6E" w:rsidRDefault="00195BE7" w:rsidP="00195BE7">
            <w:pPr>
              <w:spacing w:line="220" w:lineRule="exact"/>
              <w:jc w:val="right"/>
              <w:rPr>
                <w:b/>
                <w:bCs/>
                <w:color w:val="000000"/>
                <w:sz w:val="16"/>
                <w:szCs w:val="16"/>
              </w:rPr>
            </w:pPr>
            <w:r w:rsidRPr="001E2F6E">
              <w:rPr>
                <w:b/>
                <w:bCs/>
                <w:color w:val="000000"/>
                <w:sz w:val="16"/>
                <w:szCs w:val="16"/>
              </w:rPr>
              <w:t>1.827.007.619</w:t>
            </w:r>
          </w:p>
        </w:tc>
      </w:tr>
      <w:tr w:rsidR="00195BE7" w:rsidRPr="001E2F6E" w:rsidTr="00195BE7">
        <w:tc>
          <w:tcPr>
            <w:tcW w:w="1920" w:type="pct"/>
            <w:tcBorders>
              <w:top w:val="nil"/>
              <w:left w:val="nil"/>
              <w:bottom w:val="nil"/>
              <w:right w:val="single" w:sz="8" w:space="0" w:color="BFBFBF"/>
            </w:tcBorders>
            <w:shd w:val="clear" w:color="auto" w:fill="auto"/>
            <w:vAlign w:val="bottom"/>
            <w:hideMark/>
          </w:tcPr>
          <w:p w:rsidR="00195BE7" w:rsidRPr="001E2F6E" w:rsidRDefault="00195BE7" w:rsidP="00195BE7">
            <w:pPr>
              <w:spacing w:line="220" w:lineRule="exact"/>
              <w:rPr>
                <w:b/>
                <w:bCs/>
                <w:sz w:val="16"/>
                <w:szCs w:val="16"/>
                <w:lang w:val="eu-ES"/>
              </w:rPr>
            </w:pPr>
            <w:r w:rsidRPr="001E2F6E">
              <w:rPr>
                <w:b/>
                <w:bCs/>
                <w:sz w:val="16"/>
                <w:szCs w:val="16"/>
                <w:lang w:val="eu-ES"/>
              </w:rPr>
              <w:t>GASTUAK</w:t>
            </w:r>
          </w:p>
        </w:tc>
        <w:tc>
          <w:tcPr>
            <w:tcW w:w="656" w:type="pct"/>
            <w:tcBorders>
              <w:top w:val="nil"/>
              <w:left w:val="nil"/>
              <w:bottom w:val="nil"/>
              <w:right w:val="single" w:sz="8" w:space="0" w:color="BFBFBF"/>
            </w:tcBorders>
            <w:shd w:val="clear" w:color="auto" w:fill="auto"/>
            <w:vAlign w:val="bottom"/>
            <w:hideMark/>
          </w:tcPr>
          <w:p w:rsidR="00195BE7" w:rsidRPr="001E2F6E" w:rsidRDefault="00195BE7" w:rsidP="00195BE7">
            <w:pPr>
              <w:spacing w:line="220" w:lineRule="exact"/>
              <w:jc w:val="right"/>
              <w:rPr>
                <w:color w:val="000000"/>
                <w:sz w:val="16"/>
                <w:szCs w:val="16"/>
              </w:rPr>
            </w:pPr>
            <w:r w:rsidRPr="001E2F6E">
              <w:rPr>
                <w:color w:val="000000"/>
                <w:sz w:val="16"/>
                <w:szCs w:val="16"/>
              </w:rPr>
              <w:t> </w:t>
            </w:r>
          </w:p>
        </w:tc>
        <w:tc>
          <w:tcPr>
            <w:tcW w:w="447" w:type="pct"/>
            <w:tcBorders>
              <w:top w:val="nil"/>
              <w:left w:val="nil"/>
              <w:bottom w:val="nil"/>
              <w:right w:val="single" w:sz="8" w:space="0" w:color="BFBFBF"/>
            </w:tcBorders>
            <w:shd w:val="clear" w:color="auto" w:fill="auto"/>
            <w:vAlign w:val="bottom"/>
            <w:hideMark/>
          </w:tcPr>
          <w:p w:rsidR="00195BE7" w:rsidRPr="001E2F6E" w:rsidRDefault="00195BE7" w:rsidP="00195BE7">
            <w:pPr>
              <w:spacing w:line="220" w:lineRule="exact"/>
              <w:jc w:val="right"/>
              <w:rPr>
                <w:color w:val="000000"/>
                <w:sz w:val="16"/>
                <w:szCs w:val="16"/>
              </w:rPr>
            </w:pPr>
            <w:r w:rsidRPr="001E2F6E">
              <w:rPr>
                <w:color w:val="000000"/>
                <w:sz w:val="16"/>
                <w:szCs w:val="16"/>
              </w:rPr>
              <w:t> </w:t>
            </w:r>
          </w:p>
        </w:tc>
        <w:tc>
          <w:tcPr>
            <w:tcW w:w="657" w:type="pct"/>
            <w:tcBorders>
              <w:top w:val="nil"/>
              <w:left w:val="nil"/>
              <w:bottom w:val="nil"/>
              <w:right w:val="single" w:sz="8" w:space="0" w:color="BFBFBF"/>
            </w:tcBorders>
            <w:shd w:val="clear" w:color="auto" w:fill="auto"/>
            <w:vAlign w:val="bottom"/>
            <w:hideMark/>
          </w:tcPr>
          <w:p w:rsidR="00195BE7" w:rsidRPr="001E2F6E" w:rsidRDefault="00195BE7" w:rsidP="00195BE7">
            <w:pPr>
              <w:spacing w:line="220" w:lineRule="exact"/>
              <w:jc w:val="right"/>
              <w:rPr>
                <w:color w:val="000000"/>
                <w:sz w:val="16"/>
                <w:szCs w:val="16"/>
              </w:rPr>
            </w:pPr>
            <w:r w:rsidRPr="001E2F6E">
              <w:rPr>
                <w:color w:val="000000"/>
                <w:sz w:val="16"/>
                <w:szCs w:val="16"/>
              </w:rPr>
              <w:t> </w:t>
            </w:r>
          </w:p>
        </w:tc>
        <w:tc>
          <w:tcPr>
            <w:tcW w:w="662" w:type="pct"/>
            <w:tcBorders>
              <w:top w:val="nil"/>
              <w:left w:val="nil"/>
              <w:bottom w:val="nil"/>
              <w:right w:val="single" w:sz="8" w:space="0" w:color="BFBFBF"/>
            </w:tcBorders>
            <w:shd w:val="clear" w:color="auto" w:fill="auto"/>
            <w:vAlign w:val="bottom"/>
            <w:hideMark/>
          </w:tcPr>
          <w:p w:rsidR="00195BE7" w:rsidRPr="001E2F6E" w:rsidRDefault="00195BE7" w:rsidP="00195BE7">
            <w:pPr>
              <w:spacing w:line="220" w:lineRule="exact"/>
              <w:jc w:val="right"/>
              <w:rPr>
                <w:color w:val="000000"/>
                <w:sz w:val="16"/>
                <w:szCs w:val="16"/>
              </w:rPr>
            </w:pPr>
            <w:r w:rsidRPr="001E2F6E">
              <w:rPr>
                <w:color w:val="000000"/>
                <w:sz w:val="16"/>
                <w:szCs w:val="16"/>
              </w:rPr>
              <w:t> </w:t>
            </w:r>
          </w:p>
        </w:tc>
        <w:tc>
          <w:tcPr>
            <w:tcW w:w="657" w:type="pct"/>
            <w:tcBorders>
              <w:top w:val="nil"/>
              <w:left w:val="nil"/>
              <w:bottom w:val="nil"/>
              <w:right w:val="single" w:sz="8" w:space="0" w:color="BFBFBF"/>
            </w:tcBorders>
            <w:shd w:val="clear" w:color="auto" w:fill="auto"/>
            <w:vAlign w:val="bottom"/>
            <w:hideMark/>
          </w:tcPr>
          <w:p w:rsidR="00195BE7" w:rsidRPr="001E2F6E" w:rsidRDefault="00195BE7" w:rsidP="00195BE7">
            <w:pPr>
              <w:spacing w:line="220" w:lineRule="exact"/>
              <w:jc w:val="right"/>
              <w:rPr>
                <w:color w:val="000000"/>
                <w:sz w:val="16"/>
                <w:szCs w:val="16"/>
              </w:rPr>
            </w:pPr>
            <w:r w:rsidRPr="001E2F6E">
              <w:rPr>
                <w:color w:val="000000"/>
                <w:sz w:val="16"/>
                <w:szCs w:val="16"/>
              </w:rPr>
              <w:t> </w:t>
            </w:r>
          </w:p>
        </w:tc>
      </w:tr>
      <w:tr w:rsidR="00195BE7" w:rsidRPr="001E2F6E" w:rsidTr="00195BE7">
        <w:tc>
          <w:tcPr>
            <w:tcW w:w="1920" w:type="pct"/>
            <w:tcBorders>
              <w:top w:val="nil"/>
              <w:left w:val="nil"/>
              <w:bottom w:val="nil"/>
              <w:right w:val="single" w:sz="8" w:space="0" w:color="BFBFBF"/>
            </w:tcBorders>
            <w:shd w:val="clear" w:color="auto" w:fill="auto"/>
            <w:vAlign w:val="bottom"/>
            <w:hideMark/>
          </w:tcPr>
          <w:p w:rsidR="00195BE7" w:rsidRPr="001E2F6E" w:rsidRDefault="00195BE7" w:rsidP="00195BE7">
            <w:pPr>
              <w:spacing w:line="220" w:lineRule="exact"/>
              <w:rPr>
                <w:sz w:val="16"/>
                <w:szCs w:val="16"/>
                <w:lang w:val="eu-ES"/>
              </w:rPr>
            </w:pPr>
            <w:r w:rsidRPr="001E2F6E">
              <w:rPr>
                <w:sz w:val="16"/>
                <w:szCs w:val="16"/>
                <w:lang w:val="eu-ES"/>
              </w:rPr>
              <w:t>60 Erosketa garbiak</w:t>
            </w:r>
          </w:p>
        </w:tc>
        <w:tc>
          <w:tcPr>
            <w:tcW w:w="656" w:type="pct"/>
            <w:tcBorders>
              <w:top w:val="nil"/>
              <w:left w:val="nil"/>
              <w:bottom w:val="nil"/>
              <w:right w:val="single" w:sz="8" w:space="0" w:color="BFBFBF"/>
            </w:tcBorders>
            <w:shd w:val="clear" w:color="auto" w:fill="auto"/>
            <w:noWrap/>
            <w:vAlign w:val="bottom"/>
            <w:hideMark/>
          </w:tcPr>
          <w:p w:rsidR="00195BE7" w:rsidRPr="001E2F6E" w:rsidRDefault="00195BE7" w:rsidP="00195BE7">
            <w:pPr>
              <w:spacing w:line="220" w:lineRule="exact"/>
              <w:jc w:val="right"/>
              <w:rPr>
                <w:color w:val="000000"/>
                <w:sz w:val="16"/>
                <w:szCs w:val="16"/>
              </w:rPr>
            </w:pPr>
            <w:r w:rsidRPr="001E2F6E">
              <w:rPr>
                <w:color w:val="000000"/>
                <w:sz w:val="16"/>
                <w:szCs w:val="16"/>
              </w:rPr>
              <w:t>2.498.849.271</w:t>
            </w:r>
          </w:p>
        </w:tc>
        <w:tc>
          <w:tcPr>
            <w:tcW w:w="447" w:type="pct"/>
            <w:tcBorders>
              <w:top w:val="nil"/>
              <w:left w:val="nil"/>
              <w:bottom w:val="nil"/>
              <w:right w:val="single" w:sz="8" w:space="0" w:color="BFBFBF"/>
            </w:tcBorders>
            <w:shd w:val="clear" w:color="auto" w:fill="auto"/>
            <w:noWrap/>
            <w:vAlign w:val="bottom"/>
            <w:hideMark/>
          </w:tcPr>
          <w:p w:rsidR="00195BE7" w:rsidRPr="001E2F6E" w:rsidRDefault="00195BE7" w:rsidP="00195BE7">
            <w:pPr>
              <w:spacing w:line="220" w:lineRule="exact"/>
              <w:jc w:val="right"/>
              <w:rPr>
                <w:color w:val="000000"/>
                <w:sz w:val="16"/>
                <w:szCs w:val="16"/>
              </w:rPr>
            </w:pPr>
            <w:r w:rsidRPr="001E2F6E">
              <w:rPr>
                <w:color w:val="000000"/>
                <w:sz w:val="16"/>
                <w:szCs w:val="16"/>
              </w:rPr>
              <w:t>426.001</w:t>
            </w:r>
          </w:p>
        </w:tc>
        <w:tc>
          <w:tcPr>
            <w:tcW w:w="657" w:type="pct"/>
            <w:tcBorders>
              <w:top w:val="nil"/>
              <w:left w:val="nil"/>
              <w:bottom w:val="nil"/>
              <w:right w:val="single" w:sz="8" w:space="0" w:color="BFBFBF"/>
            </w:tcBorders>
            <w:shd w:val="clear" w:color="auto" w:fill="auto"/>
            <w:noWrap/>
            <w:vAlign w:val="bottom"/>
            <w:hideMark/>
          </w:tcPr>
          <w:p w:rsidR="00195BE7" w:rsidRPr="001E2F6E" w:rsidRDefault="00195BE7" w:rsidP="00195BE7">
            <w:pPr>
              <w:spacing w:line="220" w:lineRule="exact"/>
              <w:jc w:val="right"/>
              <w:rPr>
                <w:color w:val="000000"/>
                <w:sz w:val="16"/>
                <w:szCs w:val="16"/>
              </w:rPr>
            </w:pPr>
            <w:r w:rsidRPr="001E2F6E">
              <w:rPr>
                <w:color w:val="000000"/>
                <w:sz w:val="16"/>
                <w:szCs w:val="16"/>
              </w:rPr>
              <w:t>1.754.800.987</w:t>
            </w:r>
          </w:p>
        </w:tc>
        <w:tc>
          <w:tcPr>
            <w:tcW w:w="662" w:type="pct"/>
            <w:tcBorders>
              <w:top w:val="nil"/>
              <w:left w:val="nil"/>
              <w:bottom w:val="nil"/>
              <w:right w:val="single" w:sz="8" w:space="0" w:color="BFBFBF"/>
            </w:tcBorders>
            <w:shd w:val="clear" w:color="auto" w:fill="auto"/>
            <w:noWrap/>
            <w:vAlign w:val="bottom"/>
            <w:hideMark/>
          </w:tcPr>
          <w:p w:rsidR="00195BE7" w:rsidRPr="001E2F6E" w:rsidRDefault="00195BE7" w:rsidP="00195BE7">
            <w:pPr>
              <w:spacing w:line="220" w:lineRule="exact"/>
              <w:jc w:val="right"/>
              <w:rPr>
                <w:color w:val="000000"/>
                <w:sz w:val="16"/>
                <w:szCs w:val="16"/>
              </w:rPr>
            </w:pPr>
            <w:r w:rsidRPr="001E2F6E">
              <w:rPr>
                <w:color w:val="000000"/>
                <w:sz w:val="16"/>
                <w:szCs w:val="16"/>
              </w:rPr>
              <w:t>25.946.309</w:t>
            </w:r>
          </w:p>
        </w:tc>
        <w:tc>
          <w:tcPr>
            <w:tcW w:w="657" w:type="pct"/>
            <w:tcBorders>
              <w:top w:val="nil"/>
              <w:left w:val="nil"/>
              <w:bottom w:val="nil"/>
              <w:right w:val="single" w:sz="8" w:space="0" w:color="BFBFBF"/>
            </w:tcBorders>
            <w:shd w:val="clear" w:color="auto" w:fill="auto"/>
            <w:noWrap/>
            <w:vAlign w:val="bottom"/>
            <w:hideMark/>
          </w:tcPr>
          <w:p w:rsidR="00195BE7" w:rsidRPr="001E2F6E" w:rsidRDefault="00195BE7" w:rsidP="00195BE7">
            <w:pPr>
              <w:spacing w:line="220" w:lineRule="exact"/>
              <w:jc w:val="right"/>
              <w:rPr>
                <w:color w:val="000000"/>
                <w:sz w:val="16"/>
                <w:szCs w:val="16"/>
              </w:rPr>
            </w:pPr>
            <w:r w:rsidRPr="001E2F6E">
              <w:rPr>
                <w:color w:val="000000"/>
                <w:sz w:val="16"/>
                <w:szCs w:val="16"/>
              </w:rPr>
              <w:t>717.675.973</w:t>
            </w:r>
          </w:p>
        </w:tc>
      </w:tr>
      <w:tr w:rsidR="00195BE7" w:rsidRPr="001E2F6E" w:rsidTr="00195BE7">
        <w:tc>
          <w:tcPr>
            <w:tcW w:w="1920" w:type="pct"/>
            <w:tcBorders>
              <w:top w:val="nil"/>
              <w:left w:val="nil"/>
              <w:bottom w:val="nil"/>
              <w:right w:val="single" w:sz="8" w:space="0" w:color="BFBFBF"/>
            </w:tcBorders>
            <w:shd w:val="clear" w:color="auto" w:fill="auto"/>
            <w:vAlign w:val="bottom"/>
            <w:hideMark/>
          </w:tcPr>
          <w:p w:rsidR="00195BE7" w:rsidRPr="001E2F6E" w:rsidRDefault="00195BE7" w:rsidP="00195BE7">
            <w:pPr>
              <w:spacing w:line="220" w:lineRule="exact"/>
              <w:rPr>
                <w:sz w:val="16"/>
                <w:szCs w:val="16"/>
                <w:lang w:val="eu-ES"/>
              </w:rPr>
            </w:pPr>
            <w:r w:rsidRPr="001E2F6E">
              <w:rPr>
                <w:sz w:val="16"/>
                <w:szCs w:val="16"/>
                <w:lang w:val="eu-ES"/>
              </w:rPr>
              <w:t>61 Izakinen aldaketa</w:t>
            </w:r>
          </w:p>
        </w:tc>
        <w:tc>
          <w:tcPr>
            <w:tcW w:w="656" w:type="pct"/>
            <w:tcBorders>
              <w:top w:val="nil"/>
              <w:left w:val="nil"/>
              <w:bottom w:val="nil"/>
              <w:right w:val="single" w:sz="8" w:space="0" w:color="BFBFBF"/>
            </w:tcBorders>
            <w:shd w:val="clear" w:color="auto" w:fill="auto"/>
            <w:noWrap/>
            <w:vAlign w:val="bottom"/>
            <w:hideMark/>
          </w:tcPr>
          <w:p w:rsidR="00195BE7" w:rsidRPr="001E2F6E" w:rsidRDefault="00195BE7" w:rsidP="00195BE7">
            <w:pPr>
              <w:spacing w:line="220" w:lineRule="exact"/>
              <w:jc w:val="right"/>
              <w:rPr>
                <w:color w:val="000000"/>
                <w:sz w:val="16"/>
                <w:szCs w:val="16"/>
              </w:rPr>
            </w:pPr>
            <w:r w:rsidRPr="001E2F6E">
              <w:rPr>
                <w:color w:val="000000"/>
                <w:sz w:val="16"/>
                <w:szCs w:val="16"/>
              </w:rPr>
              <w:t>18.784.406</w:t>
            </w:r>
          </w:p>
        </w:tc>
        <w:tc>
          <w:tcPr>
            <w:tcW w:w="447" w:type="pct"/>
            <w:tcBorders>
              <w:top w:val="nil"/>
              <w:left w:val="nil"/>
              <w:bottom w:val="nil"/>
              <w:right w:val="single" w:sz="8" w:space="0" w:color="BFBFBF"/>
            </w:tcBorders>
            <w:shd w:val="clear" w:color="auto" w:fill="auto"/>
            <w:noWrap/>
            <w:vAlign w:val="bottom"/>
            <w:hideMark/>
          </w:tcPr>
          <w:p w:rsidR="00195BE7" w:rsidRPr="001E2F6E" w:rsidRDefault="00195BE7" w:rsidP="00195BE7">
            <w:pPr>
              <w:spacing w:line="220" w:lineRule="exact"/>
              <w:jc w:val="right"/>
              <w:rPr>
                <w:color w:val="000000"/>
                <w:sz w:val="16"/>
                <w:szCs w:val="16"/>
              </w:rPr>
            </w:pPr>
            <w:r w:rsidRPr="001E2F6E">
              <w:rPr>
                <w:color w:val="000000"/>
                <w:sz w:val="16"/>
                <w:szCs w:val="16"/>
              </w:rPr>
              <w:t>-6.520</w:t>
            </w:r>
          </w:p>
        </w:tc>
        <w:tc>
          <w:tcPr>
            <w:tcW w:w="657" w:type="pct"/>
            <w:tcBorders>
              <w:top w:val="nil"/>
              <w:left w:val="nil"/>
              <w:bottom w:val="nil"/>
              <w:right w:val="single" w:sz="8" w:space="0" w:color="BFBFBF"/>
            </w:tcBorders>
            <w:shd w:val="clear" w:color="auto" w:fill="auto"/>
            <w:noWrap/>
            <w:vAlign w:val="bottom"/>
            <w:hideMark/>
          </w:tcPr>
          <w:p w:rsidR="00195BE7" w:rsidRPr="001E2F6E" w:rsidRDefault="00195BE7" w:rsidP="00195BE7">
            <w:pPr>
              <w:spacing w:line="220" w:lineRule="exact"/>
              <w:jc w:val="right"/>
              <w:rPr>
                <w:color w:val="000000"/>
                <w:sz w:val="16"/>
                <w:szCs w:val="16"/>
              </w:rPr>
            </w:pPr>
            <w:r w:rsidRPr="001E2F6E">
              <w:rPr>
                <w:color w:val="000000"/>
                <w:sz w:val="16"/>
                <w:szCs w:val="16"/>
              </w:rPr>
              <w:t>14.125.520</w:t>
            </w:r>
          </w:p>
        </w:tc>
        <w:tc>
          <w:tcPr>
            <w:tcW w:w="662" w:type="pct"/>
            <w:tcBorders>
              <w:top w:val="nil"/>
              <w:left w:val="nil"/>
              <w:bottom w:val="nil"/>
              <w:right w:val="single" w:sz="8" w:space="0" w:color="BFBFBF"/>
            </w:tcBorders>
            <w:shd w:val="clear" w:color="auto" w:fill="auto"/>
            <w:noWrap/>
            <w:vAlign w:val="bottom"/>
            <w:hideMark/>
          </w:tcPr>
          <w:p w:rsidR="00195BE7" w:rsidRPr="001E2F6E" w:rsidRDefault="00195BE7" w:rsidP="00195BE7">
            <w:pPr>
              <w:spacing w:line="220" w:lineRule="exact"/>
              <w:jc w:val="right"/>
              <w:rPr>
                <w:color w:val="000000"/>
                <w:sz w:val="16"/>
                <w:szCs w:val="16"/>
              </w:rPr>
            </w:pPr>
            <w:r w:rsidRPr="001E2F6E">
              <w:rPr>
                <w:color w:val="000000"/>
                <w:sz w:val="16"/>
                <w:szCs w:val="16"/>
              </w:rPr>
              <w:t>-468.827</w:t>
            </w:r>
          </w:p>
        </w:tc>
        <w:tc>
          <w:tcPr>
            <w:tcW w:w="657" w:type="pct"/>
            <w:tcBorders>
              <w:top w:val="nil"/>
              <w:left w:val="nil"/>
              <w:bottom w:val="nil"/>
              <w:right w:val="single" w:sz="8" w:space="0" w:color="BFBFBF"/>
            </w:tcBorders>
            <w:shd w:val="clear" w:color="auto" w:fill="auto"/>
            <w:noWrap/>
            <w:vAlign w:val="bottom"/>
            <w:hideMark/>
          </w:tcPr>
          <w:p w:rsidR="00195BE7" w:rsidRPr="001E2F6E" w:rsidRDefault="00195BE7" w:rsidP="00195BE7">
            <w:pPr>
              <w:spacing w:line="220" w:lineRule="exact"/>
              <w:jc w:val="right"/>
              <w:rPr>
                <w:color w:val="000000"/>
                <w:sz w:val="16"/>
                <w:szCs w:val="16"/>
              </w:rPr>
            </w:pPr>
            <w:r w:rsidRPr="001E2F6E">
              <w:rPr>
                <w:color w:val="000000"/>
                <w:sz w:val="16"/>
                <w:szCs w:val="16"/>
              </w:rPr>
              <w:t>5.134.233</w:t>
            </w:r>
          </w:p>
        </w:tc>
      </w:tr>
      <w:tr w:rsidR="00195BE7" w:rsidRPr="001E2F6E" w:rsidTr="00195BE7">
        <w:tc>
          <w:tcPr>
            <w:tcW w:w="1920" w:type="pct"/>
            <w:tcBorders>
              <w:top w:val="nil"/>
              <w:left w:val="nil"/>
              <w:bottom w:val="nil"/>
              <w:right w:val="single" w:sz="8" w:space="0" w:color="BFBFBF"/>
            </w:tcBorders>
            <w:shd w:val="clear" w:color="auto" w:fill="auto"/>
            <w:vAlign w:val="bottom"/>
            <w:hideMark/>
          </w:tcPr>
          <w:p w:rsidR="00195BE7" w:rsidRPr="001E2F6E" w:rsidRDefault="00195BE7" w:rsidP="00195BE7">
            <w:pPr>
              <w:spacing w:line="220" w:lineRule="exact"/>
              <w:rPr>
                <w:sz w:val="16"/>
                <w:szCs w:val="16"/>
                <w:lang w:val="eu-ES"/>
              </w:rPr>
            </w:pPr>
            <w:r w:rsidRPr="001E2F6E">
              <w:rPr>
                <w:sz w:val="16"/>
                <w:szCs w:val="16"/>
                <w:lang w:val="eu-ES"/>
              </w:rPr>
              <w:t>62 Kanpoko zerbitzuak</w:t>
            </w:r>
          </w:p>
        </w:tc>
        <w:tc>
          <w:tcPr>
            <w:tcW w:w="656" w:type="pct"/>
            <w:tcBorders>
              <w:top w:val="nil"/>
              <w:left w:val="nil"/>
              <w:bottom w:val="nil"/>
              <w:right w:val="single" w:sz="8" w:space="0" w:color="BFBFBF"/>
            </w:tcBorders>
            <w:shd w:val="clear" w:color="auto" w:fill="auto"/>
            <w:noWrap/>
            <w:vAlign w:val="bottom"/>
            <w:hideMark/>
          </w:tcPr>
          <w:p w:rsidR="00195BE7" w:rsidRPr="001E2F6E" w:rsidRDefault="00195BE7" w:rsidP="00195BE7">
            <w:pPr>
              <w:spacing w:line="220" w:lineRule="exact"/>
              <w:jc w:val="right"/>
              <w:rPr>
                <w:color w:val="000000"/>
                <w:sz w:val="16"/>
                <w:szCs w:val="16"/>
              </w:rPr>
            </w:pPr>
            <w:r w:rsidRPr="001E2F6E">
              <w:rPr>
                <w:color w:val="000000"/>
                <w:sz w:val="16"/>
                <w:szCs w:val="16"/>
              </w:rPr>
              <w:t>671.580.070</w:t>
            </w:r>
          </w:p>
        </w:tc>
        <w:tc>
          <w:tcPr>
            <w:tcW w:w="447" w:type="pct"/>
            <w:tcBorders>
              <w:top w:val="nil"/>
              <w:left w:val="nil"/>
              <w:bottom w:val="nil"/>
              <w:right w:val="single" w:sz="8" w:space="0" w:color="BFBFBF"/>
            </w:tcBorders>
            <w:shd w:val="clear" w:color="auto" w:fill="auto"/>
            <w:noWrap/>
            <w:vAlign w:val="bottom"/>
            <w:hideMark/>
          </w:tcPr>
          <w:p w:rsidR="00195BE7" w:rsidRPr="001E2F6E" w:rsidRDefault="00195BE7" w:rsidP="00195BE7">
            <w:pPr>
              <w:spacing w:line="220" w:lineRule="exact"/>
              <w:jc w:val="right"/>
              <w:rPr>
                <w:color w:val="000000"/>
                <w:sz w:val="16"/>
                <w:szCs w:val="16"/>
              </w:rPr>
            </w:pPr>
            <w:r w:rsidRPr="001E2F6E">
              <w:rPr>
                <w:color w:val="000000"/>
                <w:sz w:val="16"/>
                <w:szCs w:val="16"/>
              </w:rPr>
              <w:t>105.325</w:t>
            </w:r>
          </w:p>
        </w:tc>
        <w:tc>
          <w:tcPr>
            <w:tcW w:w="657" w:type="pct"/>
            <w:tcBorders>
              <w:top w:val="nil"/>
              <w:left w:val="nil"/>
              <w:bottom w:val="nil"/>
              <w:right w:val="single" w:sz="8" w:space="0" w:color="BFBFBF"/>
            </w:tcBorders>
            <w:shd w:val="clear" w:color="auto" w:fill="auto"/>
            <w:noWrap/>
            <w:vAlign w:val="bottom"/>
            <w:hideMark/>
          </w:tcPr>
          <w:p w:rsidR="00195BE7" w:rsidRPr="001E2F6E" w:rsidRDefault="00195BE7" w:rsidP="00195BE7">
            <w:pPr>
              <w:spacing w:line="220" w:lineRule="exact"/>
              <w:jc w:val="right"/>
              <w:rPr>
                <w:color w:val="000000"/>
                <w:sz w:val="16"/>
                <w:szCs w:val="16"/>
              </w:rPr>
            </w:pPr>
            <w:r w:rsidRPr="001E2F6E">
              <w:rPr>
                <w:color w:val="000000"/>
                <w:sz w:val="16"/>
                <w:szCs w:val="16"/>
              </w:rPr>
              <w:t>495.698.759</w:t>
            </w:r>
          </w:p>
        </w:tc>
        <w:tc>
          <w:tcPr>
            <w:tcW w:w="662" w:type="pct"/>
            <w:tcBorders>
              <w:top w:val="nil"/>
              <w:left w:val="nil"/>
              <w:bottom w:val="nil"/>
              <w:right w:val="single" w:sz="8" w:space="0" w:color="BFBFBF"/>
            </w:tcBorders>
            <w:shd w:val="clear" w:color="auto" w:fill="auto"/>
            <w:noWrap/>
            <w:vAlign w:val="bottom"/>
            <w:hideMark/>
          </w:tcPr>
          <w:p w:rsidR="00195BE7" w:rsidRPr="001E2F6E" w:rsidRDefault="00195BE7" w:rsidP="00195BE7">
            <w:pPr>
              <w:spacing w:line="220" w:lineRule="exact"/>
              <w:jc w:val="right"/>
              <w:rPr>
                <w:color w:val="000000"/>
                <w:sz w:val="16"/>
                <w:szCs w:val="16"/>
              </w:rPr>
            </w:pPr>
            <w:r w:rsidRPr="001E2F6E">
              <w:rPr>
                <w:color w:val="000000"/>
                <w:sz w:val="16"/>
                <w:szCs w:val="16"/>
              </w:rPr>
              <w:t>6.952.750</w:t>
            </w:r>
          </w:p>
        </w:tc>
        <w:tc>
          <w:tcPr>
            <w:tcW w:w="657" w:type="pct"/>
            <w:tcBorders>
              <w:top w:val="nil"/>
              <w:left w:val="nil"/>
              <w:bottom w:val="nil"/>
              <w:right w:val="single" w:sz="8" w:space="0" w:color="BFBFBF"/>
            </w:tcBorders>
            <w:shd w:val="clear" w:color="auto" w:fill="auto"/>
            <w:noWrap/>
            <w:vAlign w:val="bottom"/>
            <w:hideMark/>
          </w:tcPr>
          <w:p w:rsidR="00195BE7" w:rsidRPr="001E2F6E" w:rsidRDefault="00195BE7" w:rsidP="00195BE7">
            <w:pPr>
              <w:spacing w:line="220" w:lineRule="exact"/>
              <w:jc w:val="right"/>
              <w:rPr>
                <w:color w:val="000000"/>
                <w:sz w:val="16"/>
                <w:szCs w:val="16"/>
              </w:rPr>
            </w:pPr>
            <w:r w:rsidRPr="001E2F6E">
              <w:rPr>
                <w:color w:val="000000"/>
                <w:sz w:val="16"/>
                <w:szCs w:val="16"/>
              </w:rPr>
              <w:t>168.823.236</w:t>
            </w:r>
          </w:p>
        </w:tc>
      </w:tr>
      <w:tr w:rsidR="00195BE7" w:rsidRPr="001E2F6E" w:rsidTr="00195BE7">
        <w:tc>
          <w:tcPr>
            <w:tcW w:w="1920" w:type="pct"/>
            <w:tcBorders>
              <w:top w:val="nil"/>
              <w:left w:val="nil"/>
              <w:bottom w:val="nil"/>
              <w:right w:val="single" w:sz="8" w:space="0" w:color="BFBFBF"/>
            </w:tcBorders>
            <w:shd w:val="clear" w:color="auto" w:fill="auto"/>
            <w:vAlign w:val="bottom"/>
            <w:hideMark/>
          </w:tcPr>
          <w:p w:rsidR="00195BE7" w:rsidRPr="001E2F6E" w:rsidRDefault="00195BE7" w:rsidP="00195BE7">
            <w:pPr>
              <w:spacing w:line="220" w:lineRule="exact"/>
              <w:rPr>
                <w:sz w:val="16"/>
                <w:szCs w:val="16"/>
                <w:lang w:val="eu-ES"/>
              </w:rPr>
            </w:pPr>
            <w:r w:rsidRPr="001E2F6E">
              <w:rPr>
                <w:sz w:val="16"/>
                <w:szCs w:val="16"/>
                <w:lang w:val="eu-ES"/>
              </w:rPr>
              <w:t>63 Jarduerari lotutako zergak</w:t>
            </w:r>
          </w:p>
        </w:tc>
        <w:tc>
          <w:tcPr>
            <w:tcW w:w="656" w:type="pct"/>
            <w:tcBorders>
              <w:top w:val="nil"/>
              <w:left w:val="nil"/>
              <w:bottom w:val="nil"/>
              <w:right w:val="single" w:sz="8" w:space="0" w:color="BFBFBF"/>
            </w:tcBorders>
            <w:shd w:val="clear" w:color="auto" w:fill="auto"/>
            <w:noWrap/>
            <w:vAlign w:val="bottom"/>
            <w:hideMark/>
          </w:tcPr>
          <w:p w:rsidR="00195BE7" w:rsidRPr="001E2F6E" w:rsidRDefault="00195BE7" w:rsidP="00195BE7">
            <w:pPr>
              <w:spacing w:line="220" w:lineRule="exact"/>
              <w:jc w:val="right"/>
              <w:rPr>
                <w:color w:val="000000"/>
                <w:sz w:val="16"/>
                <w:szCs w:val="16"/>
              </w:rPr>
            </w:pPr>
            <w:r w:rsidRPr="001E2F6E">
              <w:rPr>
                <w:color w:val="000000"/>
                <w:sz w:val="16"/>
                <w:szCs w:val="16"/>
              </w:rPr>
              <w:t>-11.862.275</w:t>
            </w:r>
          </w:p>
        </w:tc>
        <w:tc>
          <w:tcPr>
            <w:tcW w:w="447" w:type="pct"/>
            <w:tcBorders>
              <w:top w:val="nil"/>
              <w:left w:val="nil"/>
              <w:bottom w:val="nil"/>
              <w:right w:val="single" w:sz="8" w:space="0" w:color="BFBFBF"/>
            </w:tcBorders>
            <w:shd w:val="clear" w:color="auto" w:fill="auto"/>
            <w:noWrap/>
            <w:vAlign w:val="bottom"/>
            <w:hideMark/>
          </w:tcPr>
          <w:p w:rsidR="00195BE7" w:rsidRPr="001E2F6E" w:rsidRDefault="00195BE7" w:rsidP="00195BE7">
            <w:pPr>
              <w:spacing w:line="220" w:lineRule="exact"/>
              <w:jc w:val="right"/>
              <w:rPr>
                <w:color w:val="000000"/>
                <w:sz w:val="16"/>
                <w:szCs w:val="16"/>
              </w:rPr>
            </w:pPr>
            <w:r w:rsidRPr="001E2F6E">
              <w:rPr>
                <w:color w:val="000000"/>
                <w:sz w:val="16"/>
                <w:szCs w:val="16"/>
              </w:rPr>
              <w:t>277</w:t>
            </w:r>
          </w:p>
        </w:tc>
        <w:tc>
          <w:tcPr>
            <w:tcW w:w="657" w:type="pct"/>
            <w:tcBorders>
              <w:top w:val="nil"/>
              <w:left w:val="nil"/>
              <w:bottom w:val="nil"/>
              <w:right w:val="single" w:sz="8" w:space="0" w:color="BFBFBF"/>
            </w:tcBorders>
            <w:shd w:val="clear" w:color="auto" w:fill="auto"/>
            <w:noWrap/>
            <w:vAlign w:val="bottom"/>
            <w:hideMark/>
          </w:tcPr>
          <w:p w:rsidR="00195BE7" w:rsidRPr="001E2F6E" w:rsidRDefault="00195BE7" w:rsidP="00195BE7">
            <w:pPr>
              <w:spacing w:line="220" w:lineRule="exact"/>
              <w:jc w:val="right"/>
              <w:rPr>
                <w:color w:val="000000"/>
                <w:sz w:val="16"/>
                <w:szCs w:val="16"/>
              </w:rPr>
            </w:pPr>
            <w:r w:rsidRPr="001E2F6E">
              <w:rPr>
                <w:color w:val="000000"/>
                <w:sz w:val="16"/>
                <w:szCs w:val="16"/>
              </w:rPr>
              <w:t>10.156.559</w:t>
            </w:r>
          </w:p>
        </w:tc>
        <w:tc>
          <w:tcPr>
            <w:tcW w:w="662" w:type="pct"/>
            <w:tcBorders>
              <w:top w:val="nil"/>
              <w:left w:val="nil"/>
              <w:bottom w:val="nil"/>
              <w:right w:val="single" w:sz="8" w:space="0" w:color="BFBFBF"/>
            </w:tcBorders>
            <w:shd w:val="clear" w:color="auto" w:fill="auto"/>
            <w:noWrap/>
            <w:vAlign w:val="bottom"/>
            <w:hideMark/>
          </w:tcPr>
          <w:p w:rsidR="00195BE7" w:rsidRPr="001E2F6E" w:rsidRDefault="00195BE7" w:rsidP="00195BE7">
            <w:pPr>
              <w:spacing w:line="220" w:lineRule="exact"/>
              <w:jc w:val="right"/>
              <w:rPr>
                <w:color w:val="000000"/>
                <w:sz w:val="16"/>
                <w:szCs w:val="16"/>
              </w:rPr>
            </w:pPr>
            <w:r w:rsidRPr="001E2F6E">
              <w:rPr>
                <w:color w:val="000000"/>
                <w:sz w:val="16"/>
                <w:szCs w:val="16"/>
              </w:rPr>
              <w:t>76.061</w:t>
            </w:r>
          </w:p>
        </w:tc>
        <w:tc>
          <w:tcPr>
            <w:tcW w:w="657" w:type="pct"/>
            <w:tcBorders>
              <w:top w:val="nil"/>
              <w:left w:val="nil"/>
              <w:bottom w:val="nil"/>
              <w:right w:val="single" w:sz="8" w:space="0" w:color="BFBFBF"/>
            </w:tcBorders>
            <w:shd w:val="clear" w:color="auto" w:fill="auto"/>
            <w:noWrap/>
            <w:vAlign w:val="bottom"/>
            <w:hideMark/>
          </w:tcPr>
          <w:p w:rsidR="00195BE7" w:rsidRPr="001E2F6E" w:rsidRDefault="00195BE7" w:rsidP="00195BE7">
            <w:pPr>
              <w:spacing w:line="220" w:lineRule="exact"/>
              <w:jc w:val="right"/>
              <w:rPr>
                <w:color w:val="000000"/>
                <w:sz w:val="16"/>
                <w:szCs w:val="16"/>
              </w:rPr>
            </w:pPr>
            <w:r w:rsidRPr="001E2F6E">
              <w:rPr>
                <w:color w:val="000000"/>
                <w:sz w:val="16"/>
                <w:szCs w:val="16"/>
              </w:rPr>
              <w:t>-22.095.172</w:t>
            </w:r>
          </w:p>
        </w:tc>
      </w:tr>
      <w:tr w:rsidR="00195BE7" w:rsidRPr="001E2F6E" w:rsidTr="00195BE7">
        <w:tc>
          <w:tcPr>
            <w:tcW w:w="1920" w:type="pct"/>
            <w:tcBorders>
              <w:top w:val="nil"/>
              <w:left w:val="nil"/>
              <w:bottom w:val="nil"/>
              <w:right w:val="single" w:sz="8" w:space="0" w:color="BFBFBF"/>
            </w:tcBorders>
            <w:shd w:val="clear" w:color="auto" w:fill="auto"/>
            <w:vAlign w:val="bottom"/>
            <w:hideMark/>
          </w:tcPr>
          <w:p w:rsidR="00195BE7" w:rsidRPr="001E2F6E" w:rsidRDefault="00195BE7" w:rsidP="00195BE7">
            <w:pPr>
              <w:spacing w:line="220" w:lineRule="exact"/>
              <w:rPr>
                <w:sz w:val="16"/>
                <w:szCs w:val="16"/>
                <w:lang w:val="eu-ES"/>
              </w:rPr>
            </w:pPr>
            <w:r w:rsidRPr="001E2F6E">
              <w:rPr>
                <w:sz w:val="16"/>
                <w:szCs w:val="16"/>
                <w:lang w:val="eu-ES"/>
              </w:rPr>
              <w:t>64 Pertsonal-gastuak</w:t>
            </w:r>
          </w:p>
        </w:tc>
        <w:tc>
          <w:tcPr>
            <w:tcW w:w="656" w:type="pct"/>
            <w:tcBorders>
              <w:top w:val="nil"/>
              <w:left w:val="nil"/>
              <w:bottom w:val="nil"/>
              <w:right w:val="single" w:sz="8" w:space="0" w:color="BFBFBF"/>
            </w:tcBorders>
            <w:shd w:val="clear" w:color="auto" w:fill="auto"/>
            <w:noWrap/>
            <w:vAlign w:val="bottom"/>
            <w:hideMark/>
          </w:tcPr>
          <w:p w:rsidR="00195BE7" w:rsidRPr="001E2F6E" w:rsidRDefault="00195BE7" w:rsidP="00195BE7">
            <w:pPr>
              <w:spacing w:line="220" w:lineRule="exact"/>
              <w:jc w:val="right"/>
              <w:rPr>
                <w:color w:val="000000"/>
                <w:sz w:val="16"/>
                <w:szCs w:val="16"/>
              </w:rPr>
            </w:pPr>
            <w:r w:rsidRPr="001E2F6E">
              <w:rPr>
                <w:color w:val="000000"/>
                <w:sz w:val="16"/>
                <w:szCs w:val="16"/>
              </w:rPr>
              <w:t>1.130.160.539</w:t>
            </w:r>
          </w:p>
        </w:tc>
        <w:tc>
          <w:tcPr>
            <w:tcW w:w="447" w:type="pct"/>
            <w:tcBorders>
              <w:top w:val="nil"/>
              <w:left w:val="nil"/>
              <w:bottom w:val="nil"/>
              <w:right w:val="single" w:sz="8" w:space="0" w:color="BFBFBF"/>
            </w:tcBorders>
            <w:shd w:val="clear" w:color="auto" w:fill="auto"/>
            <w:noWrap/>
            <w:vAlign w:val="bottom"/>
            <w:hideMark/>
          </w:tcPr>
          <w:p w:rsidR="00195BE7" w:rsidRPr="001E2F6E" w:rsidRDefault="00195BE7" w:rsidP="00195BE7">
            <w:pPr>
              <w:spacing w:line="220" w:lineRule="exact"/>
              <w:jc w:val="right"/>
              <w:rPr>
                <w:color w:val="000000"/>
                <w:sz w:val="16"/>
                <w:szCs w:val="16"/>
              </w:rPr>
            </w:pPr>
            <w:r w:rsidRPr="001E2F6E">
              <w:rPr>
                <w:color w:val="000000"/>
                <w:sz w:val="16"/>
                <w:szCs w:val="16"/>
              </w:rPr>
              <w:t>386.271</w:t>
            </w:r>
          </w:p>
        </w:tc>
        <w:tc>
          <w:tcPr>
            <w:tcW w:w="657" w:type="pct"/>
            <w:tcBorders>
              <w:top w:val="nil"/>
              <w:left w:val="nil"/>
              <w:bottom w:val="nil"/>
              <w:right w:val="single" w:sz="8" w:space="0" w:color="BFBFBF"/>
            </w:tcBorders>
            <w:shd w:val="clear" w:color="auto" w:fill="auto"/>
            <w:noWrap/>
            <w:vAlign w:val="bottom"/>
            <w:hideMark/>
          </w:tcPr>
          <w:p w:rsidR="00195BE7" w:rsidRPr="001E2F6E" w:rsidRDefault="00195BE7" w:rsidP="00195BE7">
            <w:pPr>
              <w:spacing w:line="220" w:lineRule="exact"/>
              <w:jc w:val="right"/>
              <w:rPr>
                <w:color w:val="000000"/>
                <w:sz w:val="16"/>
                <w:szCs w:val="16"/>
              </w:rPr>
            </w:pPr>
            <w:r w:rsidRPr="001E2F6E">
              <w:rPr>
                <w:color w:val="000000"/>
                <w:sz w:val="16"/>
                <w:szCs w:val="16"/>
              </w:rPr>
              <w:t>687.971.045</w:t>
            </w:r>
          </w:p>
        </w:tc>
        <w:tc>
          <w:tcPr>
            <w:tcW w:w="662" w:type="pct"/>
            <w:tcBorders>
              <w:top w:val="nil"/>
              <w:left w:val="nil"/>
              <w:bottom w:val="nil"/>
              <w:right w:val="single" w:sz="8" w:space="0" w:color="BFBFBF"/>
            </w:tcBorders>
            <w:shd w:val="clear" w:color="auto" w:fill="auto"/>
            <w:noWrap/>
            <w:vAlign w:val="bottom"/>
            <w:hideMark/>
          </w:tcPr>
          <w:p w:rsidR="00195BE7" w:rsidRPr="001E2F6E" w:rsidRDefault="00195BE7" w:rsidP="00195BE7">
            <w:pPr>
              <w:spacing w:line="220" w:lineRule="exact"/>
              <w:jc w:val="right"/>
              <w:rPr>
                <w:color w:val="000000"/>
                <w:sz w:val="16"/>
                <w:szCs w:val="16"/>
              </w:rPr>
            </w:pPr>
            <w:r w:rsidRPr="001E2F6E">
              <w:rPr>
                <w:color w:val="000000"/>
                <w:sz w:val="16"/>
                <w:szCs w:val="16"/>
              </w:rPr>
              <w:t>17.511.207</w:t>
            </w:r>
          </w:p>
        </w:tc>
        <w:tc>
          <w:tcPr>
            <w:tcW w:w="657" w:type="pct"/>
            <w:tcBorders>
              <w:top w:val="nil"/>
              <w:left w:val="nil"/>
              <w:bottom w:val="nil"/>
              <w:right w:val="single" w:sz="8" w:space="0" w:color="BFBFBF"/>
            </w:tcBorders>
            <w:shd w:val="clear" w:color="auto" w:fill="auto"/>
            <w:noWrap/>
            <w:vAlign w:val="bottom"/>
            <w:hideMark/>
          </w:tcPr>
          <w:p w:rsidR="00195BE7" w:rsidRPr="001E2F6E" w:rsidRDefault="00195BE7" w:rsidP="00195BE7">
            <w:pPr>
              <w:spacing w:line="220" w:lineRule="exact"/>
              <w:jc w:val="right"/>
              <w:rPr>
                <w:color w:val="000000"/>
                <w:sz w:val="16"/>
                <w:szCs w:val="16"/>
              </w:rPr>
            </w:pPr>
            <w:r w:rsidRPr="001E2F6E">
              <w:rPr>
                <w:color w:val="000000"/>
                <w:sz w:val="16"/>
                <w:szCs w:val="16"/>
              </w:rPr>
              <w:t>424.292.016</w:t>
            </w:r>
          </w:p>
        </w:tc>
      </w:tr>
      <w:tr w:rsidR="00195BE7" w:rsidRPr="001E2F6E" w:rsidTr="00195BE7">
        <w:tc>
          <w:tcPr>
            <w:tcW w:w="1920" w:type="pct"/>
            <w:tcBorders>
              <w:top w:val="nil"/>
              <w:left w:val="nil"/>
              <w:bottom w:val="nil"/>
              <w:right w:val="single" w:sz="8" w:space="0" w:color="BFBFBF"/>
            </w:tcBorders>
            <w:shd w:val="clear" w:color="auto" w:fill="auto"/>
            <w:vAlign w:val="bottom"/>
            <w:hideMark/>
          </w:tcPr>
          <w:p w:rsidR="00195BE7" w:rsidRPr="001E2F6E" w:rsidRDefault="00195BE7" w:rsidP="00195BE7">
            <w:pPr>
              <w:spacing w:line="220" w:lineRule="exact"/>
              <w:rPr>
                <w:sz w:val="16"/>
                <w:szCs w:val="16"/>
                <w:lang w:val="eu-ES"/>
              </w:rPr>
            </w:pPr>
            <w:r w:rsidRPr="001E2F6E">
              <w:rPr>
                <w:sz w:val="16"/>
                <w:szCs w:val="16"/>
                <w:lang w:val="eu-ES"/>
              </w:rPr>
              <w:t>65 Kudeaketa-gastuak</w:t>
            </w:r>
          </w:p>
        </w:tc>
        <w:tc>
          <w:tcPr>
            <w:tcW w:w="656" w:type="pct"/>
            <w:tcBorders>
              <w:top w:val="nil"/>
              <w:left w:val="nil"/>
              <w:bottom w:val="nil"/>
              <w:right w:val="single" w:sz="8" w:space="0" w:color="BFBFBF"/>
            </w:tcBorders>
            <w:shd w:val="clear" w:color="auto" w:fill="auto"/>
            <w:noWrap/>
            <w:vAlign w:val="bottom"/>
            <w:hideMark/>
          </w:tcPr>
          <w:p w:rsidR="00195BE7" w:rsidRPr="001E2F6E" w:rsidRDefault="00195BE7" w:rsidP="00195BE7">
            <w:pPr>
              <w:spacing w:line="220" w:lineRule="exact"/>
              <w:jc w:val="right"/>
              <w:rPr>
                <w:color w:val="000000"/>
                <w:sz w:val="16"/>
                <w:szCs w:val="16"/>
              </w:rPr>
            </w:pPr>
            <w:r w:rsidRPr="001E2F6E">
              <w:rPr>
                <w:color w:val="000000"/>
                <w:sz w:val="16"/>
                <w:szCs w:val="16"/>
              </w:rPr>
              <w:t>275.211.391</w:t>
            </w:r>
          </w:p>
        </w:tc>
        <w:tc>
          <w:tcPr>
            <w:tcW w:w="447" w:type="pct"/>
            <w:tcBorders>
              <w:top w:val="nil"/>
              <w:left w:val="nil"/>
              <w:bottom w:val="nil"/>
              <w:right w:val="single" w:sz="8" w:space="0" w:color="BFBFBF"/>
            </w:tcBorders>
            <w:shd w:val="clear" w:color="auto" w:fill="auto"/>
            <w:noWrap/>
            <w:vAlign w:val="bottom"/>
            <w:hideMark/>
          </w:tcPr>
          <w:p w:rsidR="00195BE7" w:rsidRPr="001E2F6E" w:rsidRDefault="00195BE7" w:rsidP="00195BE7">
            <w:pPr>
              <w:spacing w:line="220" w:lineRule="exact"/>
              <w:jc w:val="right"/>
              <w:rPr>
                <w:color w:val="000000"/>
                <w:sz w:val="16"/>
                <w:szCs w:val="16"/>
              </w:rPr>
            </w:pPr>
            <w:r w:rsidRPr="001E2F6E">
              <w:rPr>
                <w:color w:val="000000"/>
                <w:sz w:val="16"/>
                <w:szCs w:val="16"/>
              </w:rPr>
              <w:t> </w:t>
            </w:r>
          </w:p>
        </w:tc>
        <w:tc>
          <w:tcPr>
            <w:tcW w:w="657" w:type="pct"/>
            <w:tcBorders>
              <w:top w:val="nil"/>
              <w:left w:val="nil"/>
              <w:bottom w:val="nil"/>
              <w:right w:val="single" w:sz="8" w:space="0" w:color="BFBFBF"/>
            </w:tcBorders>
            <w:shd w:val="clear" w:color="auto" w:fill="auto"/>
            <w:noWrap/>
            <w:vAlign w:val="bottom"/>
            <w:hideMark/>
          </w:tcPr>
          <w:p w:rsidR="00195BE7" w:rsidRPr="001E2F6E" w:rsidRDefault="00195BE7" w:rsidP="00195BE7">
            <w:pPr>
              <w:spacing w:line="220" w:lineRule="exact"/>
              <w:jc w:val="right"/>
              <w:rPr>
                <w:color w:val="000000"/>
                <w:sz w:val="16"/>
                <w:szCs w:val="16"/>
              </w:rPr>
            </w:pPr>
            <w:r w:rsidRPr="001E2F6E">
              <w:rPr>
                <w:color w:val="000000"/>
                <w:sz w:val="16"/>
                <w:szCs w:val="16"/>
              </w:rPr>
              <w:t>31.947.572</w:t>
            </w:r>
          </w:p>
        </w:tc>
        <w:tc>
          <w:tcPr>
            <w:tcW w:w="662" w:type="pct"/>
            <w:tcBorders>
              <w:top w:val="nil"/>
              <w:left w:val="nil"/>
              <w:bottom w:val="nil"/>
              <w:right w:val="single" w:sz="8" w:space="0" w:color="BFBFBF"/>
            </w:tcBorders>
            <w:shd w:val="clear" w:color="auto" w:fill="auto"/>
            <w:noWrap/>
            <w:vAlign w:val="bottom"/>
            <w:hideMark/>
          </w:tcPr>
          <w:p w:rsidR="00195BE7" w:rsidRPr="001E2F6E" w:rsidRDefault="00195BE7" w:rsidP="00195BE7">
            <w:pPr>
              <w:spacing w:line="220" w:lineRule="exact"/>
              <w:jc w:val="right"/>
              <w:rPr>
                <w:color w:val="000000"/>
                <w:sz w:val="16"/>
                <w:szCs w:val="16"/>
              </w:rPr>
            </w:pPr>
            <w:r w:rsidRPr="001E2F6E">
              <w:rPr>
                <w:color w:val="000000"/>
                <w:sz w:val="16"/>
                <w:szCs w:val="16"/>
              </w:rPr>
              <w:t>204.586</w:t>
            </w:r>
          </w:p>
        </w:tc>
        <w:tc>
          <w:tcPr>
            <w:tcW w:w="657" w:type="pct"/>
            <w:tcBorders>
              <w:top w:val="nil"/>
              <w:left w:val="nil"/>
              <w:bottom w:val="nil"/>
              <w:right w:val="single" w:sz="8" w:space="0" w:color="BFBFBF"/>
            </w:tcBorders>
            <w:shd w:val="clear" w:color="auto" w:fill="auto"/>
            <w:noWrap/>
            <w:vAlign w:val="bottom"/>
            <w:hideMark/>
          </w:tcPr>
          <w:p w:rsidR="00195BE7" w:rsidRPr="001E2F6E" w:rsidRDefault="00195BE7" w:rsidP="00195BE7">
            <w:pPr>
              <w:spacing w:line="220" w:lineRule="exact"/>
              <w:jc w:val="right"/>
              <w:rPr>
                <w:color w:val="000000"/>
                <w:sz w:val="16"/>
                <w:szCs w:val="16"/>
              </w:rPr>
            </w:pPr>
            <w:r w:rsidRPr="001E2F6E">
              <w:rPr>
                <w:color w:val="000000"/>
                <w:sz w:val="16"/>
                <w:szCs w:val="16"/>
              </w:rPr>
              <w:t>243.059.234</w:t>
            </w:r>
          </w:p>
        </w:tc>
      </w:tr>
      <w:tr w:rsidR="00195BE7" w:rsidRPr="001E2F6E" w:rsidTr="00195BE7">
        <w:tc>
          <w:tcPr>
            <w:tcW w:w="1920" w:type="pct"/>
            <w:tcBorders>
              <w:top w:val="nil"/>
              <w:left w:val="nil"/>
              <w:bottom w:val="nil"/>
              <w:right w:val="single" w:sz="8" w:space="0" w:color="BFBFBF"/>
            </w:tcBorders>
            <w:shd w:val="clear" w:color="auto" w:fill="auto"/>
            <w:vAlign w:val="bottom"/>
            <w:hideMark/>
          </w:tcPr>
          <w:p w:rsidR="00195BE7" w:rsidRPr="001E2F6E" w:rsidRDefault="00195BE7" w:rsidP="00195BE7">
            <w:pPr>
              <w:spacing w:line="220" w:lineRule="exact"/>
              <w:rPr>
                <w:sz w:val="16"/>
                <w:szCs w:val="16"/>
                <w:lang w:val="eu-ES"/>
              </w:rPr>
            </w:pPr>
            <w:r w:rsidRPr="001E2F6E">
              <w:rPr>
                <w:sz w:val="16"/>
                <w:szCs w:val="16"/>
                <w:lang w:val="eu-ES"/>
              </w:rPr>
              <w:t>66 Finantza-gastuak</w:t>
            </w:r>
          </w:p>
        </w:tc>
        <w:tc>
          <w:tcPr>
            <w:tcW w:w="656" w:type="pct"/>
            <w:tcBorders>
              <w:top w:val="nil"/>
              <w:left w:val="nil"/>
              <w:bottom w:val="nil"/>
              <w:right w:val="single" w:sz="8" w:space="0" w:color="BFBFBF"/>
            </w:tcBorders>
            <w:shd w:val="clear" w:color="auto" w:fill="auto"/>
            <w:noWrap/>
            <w:vAlign w:val="bottom"/>
            <w:hideMark/>
          </w:tcPr>
          <w:p w:rsidR="00195BE7" w:rsidRPr="001E2F6E" w:rsidRDefault="00195BE7" w:rsidP="00195BE7">
            <w:pPr>
              <w:spacing w:line="220" w:lineRule="exact"/>
              <w:jc w:val="right"/>
              <w:rPr>
                <w:color w:val="000000"/>
                <w:sz w:val="16"/>
                <w:szCs w:val="16"/>
              </w:rPr>
            </w:pPr>
            <w:r w:rsidRPr="001E2F6E">
              <w:rPr>
                <w:color w:val="000000"/>
                <w:sz w:val="16"/>
                <w:szCs w:val="16"/>
              </w:rPr>
              <w:t>113.137.368</w:t>
            </w:r>
          </w:p>
        </w:tc>
        <w:tc>
          <w:tcPr>
            <w:tcW w:w="447" w:type="pct"/>
            <w:tcBorders>
              <w:top w:val="nil"/>
              <w:left w:val="nil"/>
              <w:bottom w:val="nil"/>
              <w:right w:val="single" w:sz="8" w:space="0" w:color="BFBFBF"/>
            </w:tcBorders>
            <w:shd w:val="clear" w:color="auto" w:fill="auto"/>
            <w:noWrap/>
            <w:vAlign w:val="bottom"/>
            <w:hideMark/>
          </w:tcPr>
          <w:p w:rsidR="00195BE7" w:rsidRPr="001E2F6E" w:rsidRDefault="00195BE7" w:rsidP="00195BE7">
            <w:pPr>
              <w:spacing w:line="220" w:lineRule="exact"/>
              <w:jc w:val="right"/>
              <w:rPr>
                <w:color w:val="000000"/>
                <w:sz w:val="16"/>
                <w:szCs w:val="16"/>
              </w:rPr>
            </w:pPr>
            <w:r w:rsidRPr="001E2F6E">
              <w:rPr>
                <w:color w:val="000000"/>
                <w:sz w:val="16"/>
                <w:szCs w:val="16"/>
              </w:rPr>
              <w:t>2.871</w:t>
            </w:r>
          </w:p>
        </w:tc>
        <w:tc>
          <w:tcPr>
            <w:tcW w:w="657" w:type="pct"/>
            <w:tcBorders>
              <w:top w:val="nil"/>
              <w:left w:val="nil"/>
              <w:bottom w:val="nil"/>
              <w:right w:val="single" w:sz="8" w:space="0" w:color="BFBFBF"/>
            </w:tcBorders>
            <w:shd w:val="clear" w:color="auto" w:fill="auto"/>
            <w:noWrap/>
            <w:vAlign w:val="bottom"/>
            <w:hideMark/>
          </w:tcPr>
          <w:p w:rsidR="00195BE7" w:rsidRPr="001E2F6E" w:rsidRDefault="00195BE7" w:rsidP="00195BE7">
            <w:pPr>
              <w:spacing w:line="220" w:lineRule="exact"/>
              <w:jc w:val="right"/>
              <w:rPr>
                <w:color w:val="000000"/>
                <w:sz w:val="16"/>
                <w:szCs w:val="16"/>
              </w:rPr>
            </w:pPr>
            <w:r w:rsidRPr="001E2F6E">
              <w:rPr>
                <w:color w:val="000000"/>
                <w:sz w:val="16"/>
                <w:szCs w:val="16"/>
              </w:rPr>
              <w:t>70.156.897</w:t>
            </w:r>
          </w:p>
        </w:tc>
        <w:tc>
          <w:tcPr>
            <w:tcW w:w="662" w:type="pct"/>
            <w:tcBorders>
              <w:top w:val="nil"/>
              <w:left w:val="nil"/>
              <w:bottom w:val="nil"/>
              <w:right w:val="single" w:sz="8" w:space="0" w:color="BFBFBF"/>
            </w:tcBorders>
            <w:shd w:val="clear" w:color="auto" w:fill="auto"/>
            <w:noWrap/>
            <w:vAlign w:val="bottom"/>
            <w:hideMark/>
          </w:tcPr>
          <w:p w:rsidR="00195BE7" w:rsidRPr="001E2F6E" w:rsidRDefault="00195BE7" w:rsidP="00195BE7">
            <w:pPr>
              <w:spacing w:line="220" w:lineRule="exact"/>
              <w:jc w:val="right"/>
              <w:rPr>
                <w:color w:val="000000"/>
                <w:sz w:val="16"/>
                <w:szCs w:val="16"/>
              </w:rPr>
            </w:pPr>
            <w:r w:rsidRPr="001E2F6E">
              <w:rPr>
                <w:color w:val="000000"/>
                <w:sz w:val="16"/>
                <w:szCs w:val="16"/>
              </w:rPr>
              <w:t>250.089</w:t>
            </w:r>
          </w:p>
        </w:tc>
        <w:tc>
          <w:tcPr>
            <w:tcW w:w="657" w:type="pct"/>
            <w:tcBorders>
              <w:top w:val="nil"/>
              <w:left w:val="nil"/>
              <w:bottom w:val="nil"/>
              <w:right w:val="single" w:sz="8" w:space="0" w:color="BFBFBF"/>
            </w:tcBorders>
            <w:shd w:val="clear" w:color="auto" w:fill="auto"/>
            <w:noWrap/>
            <w:vAlign w:val="bottom"/>
            <w:hideMark/>
          </w:tcPr>
          <w:p w:rsidR="00195BE7" w:rsidRPr="001E2F6E" w:rsidRDefault="00195BE7" w:rsidP="00195BE7">
            <w:pPr>
              <w:spacing w:line="220" w:lineRule="exact"/>
              <w:jc w:val="right"/>
              <w:rPr>
                <w:color w:val="000000"/>
                <w:sz w:val="16"/>
                <w:szCs w:val="16"/>
              </w:rPr>
            </w:pPr>
            <w:r w:rsidRPr="001E2F6E">
              <w:rPr>
                <w:color w:val="000000"/>
                <w:sz w:val="16"/>
                <w:szCs w:val="16"/>
              </w:rPr>
              <w:t>42.727.511</w:t>
            </w:r>
          </w:p>
        </w:tc>
      </w:tr>
      <w:tr w:rsidR="00195BE7" w:rsidRPr="001E2F6E" w:rsidTr="00195BE7">
        <w:tc>
          <w:tcPr>
            <w:tcW w:w="1920" w:type="pct"/>
            <w:tcBorders>
              <w:top w:val="nil"/>
              <w:left w:val="nil"/>
              <w:bottom w:val="nil"/>
              <w:right w:val="single" w:sz="8" w:space="0" w:color="BFBFBF"/>
            </w:tcBorders>
            <w:shd w:val="clear" w:color="auto" w:fill="auto"/>
            <w:vAlign w:val="bottom"/>
            <w:hideMark/>
          </w:tcPr>
          <w:p w:rsidR="00195BE7" w:rsidRPr="001E2F6E" w:rsidRDefault="00195BE7" w:rsidP="00195BE7">
            <w:pPr>
              <w:spacing w:line="220" w:lineRule="exact"/>
              <w:rPr>
                <w:sz w:val="16"/>
                <w:szCs w:val="16"/>
                <w:lang w:val="eu-ES"/>
              </w:rPr>
            </w:pPr>
            <w:r w:rsidRPr="001E2F6E">
              <w:rPr>
                <w:sz w:val="16"/>
                <w:szCs w:val="16"/>
                <w:lang w:val="eu-ES"/>
              </w:rPr>
              <w:t>67 Ezohiko gastuak</w:t>
            </w:r>
          </w:p>
        </w:tc>
        <w:tc>
          <w:tcPr>
            <w:tcW w:w="656" w:type="pct"/>
            <w:tcBorders>
              <w:top w:val="nil"/>
              <w:left w:val="nil"/>
              <w:bottom w:val="nil"/>
              <w:right w:val="single" w:sz="8" w:space="0" w:color="BFBFBF"/>
            </w:tcBorders>
            <w:shd w:val="clear" w:color="auto" w:fill="auto"/>
            <w:noWrap/>
            <w:vAlign w:val="bottom"/>
            <w:hideMark/>
          </w:tcPr>
          <w:p w:rsidR="00195BE7" w:rsidRPr="001E2F6E" w:rsidRDefault="00195BE7" w:rsidP="00195BE7">
            <w:pPr>
              <w:spacing w:line="220" w:lineRule="exact"/>
              <w:jc w:val="right"/>
              <w:rPr>
                <w:color w:val="000000"/>
                <w:sz w:val="16"/>
                <w:szCs w:val="16"/>
              </w:rPr>
            </w:pPr>
            <w:r w:rsidRPr="001E2F6E">
              <w:rPr>
                <w:color w:val="000000"/>
                <w:sz w:val="16"/>
                <w:szCs w:val="16"/>
              </w:rPr>
              <w:t>45.333.437</w:t>
            </w:r>
          </w:p>
        </w:tc>
        <w:tc>
          <w:tcPr>
            <w:tcW w:w="447" w:type="pct"/>
            <w:tcBorders>
              <w:top w:val="nil"/>
              <w:left w:val="nil"/>
              <w:bottom w:val="nil"/>
              <w:right w:val="single" w:sz="8" w:space="0" w:color="BFBFBF"/>
            </w:tcBorders>
            <w:shd w:val="clear" w:color="auto" w:fill="auto"/>
            <w:noWrap/>
            <w:vAlign w:val="bottom"/>
            <w:hideMark/>
          </w:tcPr>
          <w:p w:rsidR="00195BE7" w:rsidRPr="001E2F6E" w:rsidRDefault="00195BE7" w:rsidP="00195BE7">
            <w:pPr>
              <w:spacing w:line="220" w:lineRule="exact"/>
              <w:jc w:val="right"/>
              <w:rPr>
                <w:color w:val="000000"/>
                <w:sz w:val="16"/>
                <w:szCs w:val="16"/>
              </w:rPr>
            </w:pPr>
            <w:r w:rsidRPr="001E2F6E">
              <w:rPr>
                <w:color w:val="000000"/>
                <w:sz w:val="16"/>
                <w:szCs w:val="16"/>
              </w:rPr>
              <w:t> </w:t>
            </w:r>
          </w:p>
        </w:tc>
        <w:tc>
          <w:tcPr>
            <w:tcW w:w="657" w:type="pct"/>
            <w:tcBorders>
              <w:top w:val="nil"/>
              <w:left w:val="nil"/>
              <w:bottom w:val="nil"/>
              <w:right w:val="single" w:sz="8" w:space="0" w:color="BFBFBF"/>
            </w:tcBorders>
            <w:shd w:val="clear" w:color="auto" w:fill="auto"/>
            <w:noWrap/>
            <w:vAlign w:val="bottom"/>
            <w:hideMark/>
          </w:tcPr>
          <w:p w:rsidR="00195BE7" w:rsidRPr="001E2F6E" w:rsidRDefault="00195BE7" w:rsidP="00195BE7">
            <w:pPr>
              <w:spacing w:line="220" w:lineRule="exact"/>
              <w:jc w:val="right"/>
              <w:rPr>
                <w:color w:val="000000"/>
                <w:sz w:val="16"/>
                <w:szCs w:val="16"/>
              </w:rPr>
            </w:pPr>
            <w:r w:rsidRPr="001E2F6E">
              <w:rPr>
                <w:color w:val="000000"/>
                <w:sz w:val="16"/>
                <w:szCs w:val="16"/>
              </w:rPr>
              <w:t>18.375.200</w:t>
            </w:r>
          </w:p>
        </w:tc>
        <w:tc>
          <w:tcPr>
            <w:tcW w:w="662" w:type="pct"/>
            <w:tcBorders>
              <w:top w:val="nil"/>
              <w:left w:val="nil"/>
              <w:bottom w:val="nil"/>
              <w:right w:val="single" w:sz="8" w:space="0" w:color="BFBFBF"/>
            </w:tcBorders>
            <w:shd w:val="clear" w:color="auto" w:fill="auto"/>
            <w:noWrap/>
            <w:vAlign w:val="bottom"/>
            <w:hideMark/>
          </w:tcPr>
          <w:p w:rsidR="00195BE7" w:rsidRPr="001E2F6E" w:rsidRDefault="00195BE7" w:rsidP="00195BE7">
            <w:pPr>
              <w:spacing w:line="220" w:lineRule="exact"/>
              <w:jc w:val="right"/>
              <w:rPr>
                <w:color w:val="000000"/>
                <w:sz w:val="16"/>
                <w:szCs w:val="16"/>
              </w:rPr>
            </w:pPr>
            <w:r w:rsidRPr="001E2F6E">
              <w:rPr>
                <w:color w:val="000000"/>
                <w:sz w:val="16"/>
                <w:szCs w:val="16"/>
              </w:rPr>
              <w:t>62.871</w:t>
            </w:r>
          </w:p>
        </w:tc>
        <w:tc>
          <w:tcPr>
            <w:tcW w:w="657" w:type="pct"/>
            <w:tcBorders>
              <w:top w:val="nil"/>
              <w:left w:val="nil"/>
              <w:bottom w:val="nil"/>
              <w:right w:val="single" w:sz="8" w:space="0" w:color="BFBFBF"/>
            </w:tcBorders>
            <w:shd w:val="clear" w:color="auto" w:fill="auto"/>
            <w:noWrap/>
            <w:vAlign w:val="bottom"/>
            <w:hideMark/>
          </w:tcPr>
          <w:p w:rsidR="00195BE7" w:rsidRPr="001E2F6E" w:rsidRDefault="00195BE7" w:rsidP="00195BE7">
            <w:pPr>
              <w:spacing w:line="220" w:lineRule="exact"/>
              <w:jc w:val="right"/>
              <w:rPr>
                <w:color w:val="000000"/>
                <w:sz w:val="16"/>
                <w:szCs w:val="16"/>
              </w:rPr>
            </w:pPr>
            <w:r w:rsidRPr="001E2F6E">
              <w:rPr>
                <w:color w:val="000000"/>
                <w:sz w:val="16"/>
                <w:szCs w:val="16"/>
              </w:rPr>
              <w:t>26.895.366</w:t>
            </w:r>
          </w:p>
        </w:tc>
      </w:tr>
      <w:tr w:rsidR="00195BE7" w:rsidRPr="001E2F6E" w:rsidTr="00195BE7">
        <w:tc>
          <w:tcPr>
            <w:tcW w:w="1920" w:type="pct"/>
            <w:tcBorders>
              <w:top w:val="nil"/>
              <w:left w:val="nil"/>
              <w:bottom w:val="nil"/>
              <w:right w:val="single" w:sz="8" w:space="0" w:color="BFBFBF"/>
            </w:tcBorders>
            <w:shd w:val="clear" w:color="auto" w:fill="auto"/>
            <w:vAlign w:val="bottom"/>
            <w:hideMark/>
          </w:tcPr>
          <w:p w:rsidR="00195BE7" w:rsidRPr="001E2F6E" w:rsidRDefault="00195BE7" w:rsidP="00195BE7">
            <w:pPr>
              <w:spacing w:line="220" w:lineRule="exact"/>
              <w:rPr>
                <w:sz w:val="16"/>
                <w:szCs w:val="16"/>
                <w:lang w:val="eu-ES"/>
              </w:rPr>
            </w:pPr>
            <w:r w:rsidRPr="001E2F6E">
              <w:rPr>
                <w:sz w:val="16"/>
                <w:szCs w:val="16"/>
                <w:lang w:val="eu-ES"/>
              </w:rPr>
              <w:t>68 Ekitaldiaren amortizaziorako hornidura</w:t>
            </w:r>
          </w:p>
        </w:tc>
        <w:tc>
          <w:tcPr>
            <w:tcW w:w="656" w:type="pct"/>
            <w:tcBorders>
              <w:top w:val="nil"/>
              <w:left w:val="nil"/>
              <w:bottom w:val="nil"/>
              <w:right w:val="single" w:sz="8" w:space="0" w:color="BFBFBF"/>
            </w:tcBorders>
            <w:shd w:val="clear" w:color="auto" w:fill="auto"/>
            <w:noWrap/>
            <w:vAlign w:val="center"/>
            <w:hideMark/>
          </w:tcPr>
          <w:p w:rsidR="00195BE7" w:rsidRPr="001E2F6E" w:rsidRDefault="00195BE7" w:rsidP="00195BE7">
            <w:pPr>
              <w:spacing w:line="220" w:lineRule="exact"/>
              <w:jc w:val="right"/>
              <w:rPr>
                <w:color w:val="000000"/>
                <w:sz w:val="16"/>
                <w:szCs w:val="16"/>
              </w:rPr>
            </w:pPr>
            <w:r w:rsidRPr="001E2F6E">
              <w:rPr>
                <w:color w:val="000000"/>
                <w:sz w:val="16"/>
                <w:szCs w:val="16"/>
              </w:rPr>
              <w:t>176.389.838</w:t>
            </w:r>
          </w:p>
        </w:tc>
        <w:tc>
          <w:tcPr>
            <w:tcW w:w="447" w:type="pct"/>
            <w:tcBorders>
              <w:top w:val="nil"/>
              <w:left w:val="nil"/>
              <w:bottom w:val="nil"/>
              <w:right w:val="single" w:sz="8" w:space="0" w:color="BFBFBF"/>
            </w:tcBorders>
            <w:shd w:val="clear" w:color="auto" w:fill="auto"/>
            <w:noWrap/>
            <w:vAlign w:val="center"/>
            <w:hideMark/>
          </w:tcPr>
          <w:p w:rsidR="00195BE7" w:rsidRPr="001E2F6E" w:rsidRDefault="00195BE7" w:rsidP="00195BE7">
            <w:pPr>
              <w:spacing w:line="220" w:lineRule="exact"/>
              <w:jc w:val="right"/>
              <w:rPr>
                <w:color w:val="000000"/>
                <w:sz w:val="16"/>
                <w:szCs w:val="16"/>
              </w:rPr>
            </w:pPr>
            <w:r w:rsidRPr="001E2F6E">
              <w:rPr>
                <w:color w:val="000000"/>
                <w:sz w:val="16"/>
                <w:szCs w:val="16"/>
              </w:rPr>
              <w:t>6.147</w:t>
            </w:r>
          </w:p>
        </w:tc>
        <w:tc>
          <w:tcPr>
            <w:tcW w:w="657" w:type="pct"/>
            <w:tcBorders>
              <w:top w:val="nil"/>
              <w:left w:val="nil"/>
              <w:bottom w:val="nil"/>
              <w:right w:val="single" w:sz="8" w:space="0" w:color="BFBFBF"/>
            </w:tcBorders>
            <w:shd w:val="clear" w:color="auto" w:fill="auto"/>
            <w:noWrap/>
            <w:vAlign w:val="center"/>
            <w:hideMark/>
          </w:tcPr>
          <w:p w:rsidR="00195BE7" w:rsidRPr="001E2F6E" w:rsidRDefault="00195BE7" w:rsidP="00195BE7">
            <w:pPr>
              <w:spacing w:line="220" w:lineRule="exact"/>
              <w:jc w:val="right"/>
              <w:rPr>
                <w:color w:val="000000"/>
                <w:sz w:val="16"/>
                <w:szCs w:val="16"/>
              </w:rPr>
            </w:pPr>
            <w:r w:rsidRPr="001E2F6E">
              <w:rPr>
                <w:color w:val="000000"/>
                <w:sz w:val="16"/>
                <w:szCs w:val="16"/>
              </w:rPr>
              <w:t>137.481.447</w:t>
            </w:r>
          </w:p>
        </w:tc>
        <w:tc>
          <w:tcPr>
            <w:tcW w:w="662" w:type="pct"/>
            <w:tcBorders>
              <w:top w:val="nil"/>
              <w:left w:val="nil"/>
              <w:bottom w:val="nil"/>
              <w:right w:val="single" w:sz="8" w:space="0" w:color="BFBFBF"/>
            </w:tcBorders>
            <w:shd w:val="clear" w:color="auto" w:fill="auto"/>
            <w:noWrap/>
            <w:vAlign w:val="center"/>
            <w:hideMark/>
          </w:tcPr>
          <w:p w:rsidR="00195BE7" w:rsidRPr="001E2F6E" w:rsidRDefault="00195BE7" w:rsidP="00195BE7">
            <w:pPr>
              <w:spacing w:line="220" w:lineRule="exact"/>
              <w:jc w:val="right"/>
              <w:rPr>
                <w:color w:val="000000"/>
                <w:sz w:val="16"/>
                <w:szCs w:val="16"/>
              </w:rPr>
            </w:pPr>
            <w:r w:rsidRPr="001E2F6E">
              <w:rPr>
                <w:color w:val="000000"/>
                <w:sz w:val="16"/>
                <w:szCs w:val="16"/>
              </w:rPr>
              <w:t>679.611</w:t>
            </w:r>
          </w:p>
        </w:tc>
        <w:tc>
          <w:tcPr>
            <w:tcW w:w="657" w:type="pct"/>
            <w:tcBorders>
              <w:top w:val="nil"/>
              <w:left w:val="nil"/>
              <w:bottom w:val="nil"/>
              <w:right w:val="single" w:sz="8" w:space="0" w:color="BFBFBF"/>
            </w:tcBorders>
            <w:shd w:val="clear" w:color="auto" w:fill="auto"/>
            <w:noWrap/>
            <w:vAlign w:val="center"/>
            <w:hideMark/>
          </w:tcPr>
          <w:p w:rsidR="00195BE7" w:rsidRPr="001E2F6E" w:rsidRDefault="00195BE7" w:rsidP="00195BE7">
            <w:pPr>
              <w:spacing w:line="220" w:lineRule="exact"/>
              <w:jc w:val="right"/>
              <w:rPr>
                <w:color w:val="000000"/>
                <w:sz w:val="16"/>
                <w:szCs w:val="16"/>
              </w:rPr>
            </w:pPr>
            <w:r w:rsidRPr="001E2F6E">
              <w:rPr>
                <w:color w:val="000000"/>
                <w:sz w:val="16"/>
                <w:szCs w:val="16"/>
              </w:rPr>
              <w:t>38.222.634</w:t>
            </w:r>
          </w:p>
        </w:tc>
      </w:tr>
      <w:tr w:rsidR="00195BE7" w:rsidRPr="001E2F6E" w:rsidTr="00195BE7">
        <w:tc>
          <w:tcPr>
            <w:tcW w:w="1920" w:type="pct"/>
            <w:tcBorders>
              <w:top w:val="nil"/>
              <w:left w:val="nil"/>
              <w:bottom w:val="single" w:sz="8" w:space="0" w:color="BFBFBF"/>
              <w:right w:val="single" w:sz="8" w:space="0" w:color="BFBFBF"/>
            </w:tcBorders>
            <w:shd w:val="clear" w:color="auto" w:fill="auto"/>
            <w:vAlign w:val="bottom"/>
            <w:hideMark/>
          </w:tcPr>
          <w:p w:rsidR="00195BE7" w:rsidRPr="001E2F6E" w:rsidRDefault="00195BE7" w:rsidP="00195BE7">
            <w:pPr>
              <w:spacing w:line="220" w:lineRule="exact"/>
              <w:rPr>
                <w:sz w:val="16"/>
                <w:szCs w:val="16"/>
                <w:lang w:val="eu-ES"/>
              </w:rPr>
            </w:pPr>
            <w:r w:rsidRPr="001E2F6E">
              <w:rPr>
                <w:sz w:val="16"/>
                <w:szCs w:val="16"/>
                <w:lang w:val="eu-ES"/>
              </w:rPr>
              <w:t>69 Hornidura-zuzkidurak</w:t>
            </w:r>
          </w:p>
        </w:tc>
        <w:tc>
          <w:tcPr>
            <w:tcW w:w="656" w:type="pct"/>
            <w:tcBorders>
              <w:top w:val="nil"/>
              <w:left w:val="nil"/>
              <w:bottom w:val="nil"/>
              <w:right w:val="single" w:sz="8" w:space="0" w:color="BFBFBF"/>
            </w:tcBorders>
            <w:shd w:val="clear" w:color="auto" w:fill="auto"/>
            <w:noWrap/>
            <w:vAlign w:val="bottom"/>
            <w:hideMark/>
          </w:tcPr>
          <w:p w:rsidR="00195BE7" w:rsidRPr="001E2F6E" w:rsidRDefault="00195BE7" w:rsidP="00195BE7">
            <w:pPr>
              <w:spacing w:line="220" w:lineRule="exact"/>
              <w:jc w:val="right"/>
              <w:rPr>
                <w:color w:val="000000"/>
                <w:sz w:val="16"/>
                <w:szCs w:val="16"/>
              </w:rPr>
            </w:pPr>
            <w:r w:rsidRPr="001E2F6E">
              <w:rPr>
                <w:color w:val="000000"/>
                <w:sz w:val="16"/>
                <w:szCs w:val="16"/>
              </w:rPr>
              <w:t>268.073.205</w:t>
            </w:r>
          </w:p>
        </w:tc>
        <w:tc>
          <w:tcPr>
            <w:tcW w:w="447" w:type="pct"/>
            <w:tcBorders>
              <w:top w:val="nil"/>
              <w:left w:val="nil"/>
              <w:bottom w:val="nil"/>
              <w:right w:val="single" w:sz="8" w:space="0" w:color="BFBFBF"/>
            </w:tcBorders>
            <w:shd w:val="clear" w:color="auto" w:fill="auto"/>
            <w:noWrap/>
            <w:vAlign w:val="bottom"/>
            <w:hideMark/>
          </w:tcPr>
          <w:p w:rsidR="00195BE7" w:rsidRPr="001E2F6E" w:rsidRDefault="00195BE7" w:rsidP="00195BE7">
            <w:pPr>
              <w:spacing w:line="220" w:lineRule="exact"/>
              <w:jc w:val="right"/>
              <w:rPr>
                <w:color w:val="000000"/>
                <w:sz w:val="16"/>
                <w:szCs w:val="16"/>
              </w:rPr>
            </w:pPr>
            <w:r w:rsidRPr="001E2F6E">
              <w:rPr>
                <w:color w:val="000000"/>
                <w:sz w:val="16"/>
                <w:szCs w:val="16"/>
              </w:rPr>
              <w:t>8.454</w:t>
            </w:r>
          </w:p>
        </w:tc>
        <w:tc>
          <w:tcPr>
            <w:tcW w:w="657" w:type="pct"/>
            <w:tcBorders>
              <w:top w:val="nil"/>
              <w:left w:val="nil"/>
              <w:bottom w:val="nil"/>
              <w:right w:val="single" w:sz="8" w:space="0" w:color="BFBFBF"/>
            </w:tcBorders>
            <w:shd w:val="clear" w:color="auto" w:fill="auto"/>
            <w:noWrap/>
            <w:vAlign w:val="bottom"/>
            <w:hideMark/>
          </w:tcPr>
          <w:p w:rsidR="00195BE7" w:rsidRPr="001E2F6E" w:rsidRDefault="00195BE7" w:rsidP="00195BE7">
            <w:pPr>
              <w:spacing w:line="220" w:lineRule="exact"/>
              <w:jc w:val="right"/>
              <w:rPr>
                <w:color w:val="000000"/>
                <w:sz w:val="16"/>
                <w:szCs w:val="16"/>
              </w:rPr>
            </w:pPr>
            <w:r w:rsidRPr="001E2F6E">
              <w:rPr>
                <w:color w:val="000000"/>
                <w:sz w:val="16"/>
                <w:szCs w:val="16"/>
              </w:rPr>
              <w:t>80.521.877</w:t>
            </w:r>
          </w:p>
        </w:tc>
        <w:tc>
          <w:tcPr>
            <w:tcW w:w="662" w:type="pct"/>
            <w:tcBorders>
              <w:top w:val="nil"/>
              <w:left w:val="nil"/>
              <w:bottom w:val="nil"/>
              <w:right w:val="single" w:sz="8" w:space="0" w:color="BFBFBF"/>
            </w:tcBorders>
            <w:shd w:val="clear" w:color="auto" w:fill="auto"/>
            <w:noWrap/>
            <w:vAlign w:val="bottom"/>
            <w:hideMark/>
          </w:tcPr>
          <w:p w:rsidR="00195BE7" w:rsidRPr="001E2F6E" w:rsidRDefault="00195BE7" w:rsidP="00195BE7">
            <w:pPr>
              <w:spacing w:line="220" w:lineRule="exact"/>
              <w:jc w:val="right"/>
              <w:rPr>
                <w:color w:val="000000"/>
                <w:sz w:val="16"/>
                <w:szCs w:val="16"/>
              </w:rPr>
            </w:pPr>
            <w:r w:rsidRPr="001E2F6E">
              <w:rPr>
                <w:color w:val="000000"/>
                <w:sz w:val="16"/>
                <w:szCs w:val="16"/>
              </w:rPr>
              <w:t>40.873</w:t>
            </w:r>
          </w:p>
        </w:tc>
        <w:tc>
          <w:tcPr>
            <w:tcW w:w="657" w:type="pct"/>
            <w:tcBorders>
              <w:top w:val="nil"/>
              <w:left w:val="nil"/>
              <w:bottom w:val="nil"/>
              <w:right w:val="single" w:sz="8" w:space="0" w:color="BFBFBF"/>
            </w:tcBorders>
            <w:shd w:val="clear" w:color="auto" w:fill="auto"/>
            <w:noWrap/>
            <w:vAlign w:val="bottom"/>
            <w:hideMark/>
          </w:tcPr>
          <w:p w:rsidR="00195BE7" w:rsidRPr="001E2F6E" w:rsidRDefault="00195BE7" w:rsidP="00195BE7">
            <w:pPr>
              <w:spacing w:line="220" w:lineRule="exact"/>
              <w:jc w:val="right"/>
              <w:rPr>
                <w:color w:val="000000"/>
                <w:sz w:val="16"/>
                <w:szCs w:val="16"/>
              </w:rPr>
            </w:pPr>
            <w:r w:rsidRPr="001E2F6E">
              <w:rPr>
                <w:color w:val="000000"/>
                <w:sz w:val="16"/>
                <w:szCs w:val="16"/>
              </w:rPr>
              <w:t>187.502.001</w:t>
            </w:r>
          </w:p>
        </w:tc>
      </w:tr>
      <w:tr w:rsidR="00195BE7" w:rsidRPr="001E2F6E" w:rsidTr="00195BE7">
        <w:tc>
          <w:tcPr>
            <w:tcW w:w="1920" w:type="pct"/>
            <w:tcBorders>
              <w:top w:val="nil"/>
              <w:left w:val="nil"/>
              <w:bottom w:val="single" w:sz="8" w:space="0" w:color="BFBFBF"/>
              <w:right w:val="single" w:sz="8" w:space="0" w:color="BFBFBF"/>
            </w:tcBorders>
            <w:shd w:val="clear" w:color="000000" w:fill="E6E6E6"/>
            <w:vAlign w:val="bottom"/>
            <w:hideMark/>
          </w:tcPr>
          <w:p w:rsidR="00195BE7" w:rsidRPr="001E2F6E" w:rsidRDefault="00195BE7" w:rsidP="00195BE7">
            <w:pPr>
              <w:spacing w:line="220" w:lineRule="exact"/>
              <w:rPr>
                <w:rFonts w:eastAsia="Times New Roman"/>
                <w:color w:val="000000"/>
                <w:sz w:val="16"/>
                <w:szCs w:val="16"/>
                <w:lang w:eastAsia="es-ES"/>
              </w:rPr>
            </w:pPr>
            <w:r w:rsidRPr="001E2F6E">
              <w:rPr>
                <w:rFonts w:eastAsia="Times New Roman"/>
                <w:color w:val="000000"/>
                <w:sz w:val="16"/>
                <w:szCs w:val="16"/>
                <w:lang w:eastAsia="es-ES"/>
              </w:rPr>
              <w:t> </w:t>
            </w:r>
          </w:p>
        </w:tc>
        <w:tc>
          <w:tcPr>
            <w:tcW w:w="656" w:type="pct"/>
            <w:tcBorders>
              <w:top w:val="nil"/>
              <w:left w:val="nil"/>
              <w:bottom w:val="single" w:sz="8" w:space="0" w:color="BFBFBF"/>
              <w:right w:val="single" w:sz="8" w:space="0" w:color="BFBFBF"/>
            </w:tcBorders>
            <w:shd w:val="clear" w:color="000000" w:fill="E6E6E6"/>
            <w:vAlign w:val="bottom"/>
            <w:hideMark/>
          </w:tcPr>
          <w:p w:rsidR="00195BE7" w:rsidRPr="001E2F6E" w:rsidRDefault="00195BE7" w:rsidP="00195BE7">
            <w:pPr>
              <w:spacing w:line="220" w:lineRule="exact"/>
              <w:jc w:val="right"/>
              <w:rPr>
                <w:b/>
                <w:bCs/>
                <w:color w:val="000000"/>
                <w:sz w:val="16"/>
                <w:szCs w:val="16"/>
              </w:rPr>
            </w:pPr>
            <w:r w:rsidRPr="001E2F6E">
              <w:rPr>
                <w:b/>
                <w:bCs/>
                <w:color w:val="000000"/>
                <w:sz w:val="16"/>
                <w:szCs w:val="16"/>
              </w:rPr>
              <w:t>5.185.657.249</w:t>
            </w:r>
          </w:p>
        </w:tc>
        <w:tc>
          <w:tcPr>
            <w:tcW w:w="447" w:type="pct"/>
            <w:tcBorders>
              <w:top w:val="nil"/>
              <w:left w:val="nil"/>
              <w:bottom w:val="single" w:sz="8" w:space="0" w:color="BFBFBF"/>
              <w:right w:val="single" w:sz="8" w:space="0" w:color="BFBFBF"/>
            </w:tcBorders>
            <w:shd w:val="clear" w:color="000000" w:fill="E6E6E6"/>
            <w:vAlign w:val="bottom"/>
            <w:hideMark/>
          </w:tcPr>
          <w:p w:rsidR="00195BE7" w:rsidRPr="001E2F6E" w:rsidRDefault="00195BE7" w:rsidP="00195BE7">
            <w:pPr>
              <w:spacing w:line="220" w:lineRule="exact"/>
              <w:jc w:val="right"/>
              <w:rPr>
                <w:b/>
                <w:bCs/>
                <w:color w:val="000000"/>
                <w:sz w:val="16"/>
                <w:szCs w:val="16"/>
              </w:rPr>
            </w:pPr>
            <w:r w:rsidRPr="001E2F6E">
              <w:rPr>
                <w:b/>
                <w:bCs/>
                <w:color w:val="000000"/>
                <w:sz w:val="16"/>
                <w:szCs w:val="16"/>
              </w:rPr>
              <w:t>928.826</w:t>
            </w:r>
          </w:p>
        </w:tc>
        <w:tc>
          <w:tcPr>
            <w:tcW w:w="657" w:type="pct"/>
            <w:tcBorders>
              <w:top w:val="nil"/>
              <w:left w:val="nil"/>
              <w:bottom w:val="single" w:sz="8" w:space="0" w:color="BFBFBF"/>
              <w:right w:val="single" w:sz="8" w:space="0" w:color="BFBFBF"/>
            </w:tcBorders>
            <w:shd w:val="clear" w:color="000000" w:fill="E6E6E6"/>
            <w:vAlign w:val="bottom"/>
            <w:hideMark/>
          </w:tcPr>
          <w:p w:rsidR="00195BE7" w:rsidRPr="001E2F6E" w:rsidRDefault="00195BE7" w:rsidP="00195BE7">
            <w:pPr>
              <w:spacing w:line="220" w:lineRule="exact"/>
              <w:jc w:val="right"/>
              <w:rPr>
                <w:b/>
                <w:bCs/>
                <w:color w:val="000000"/>
                <w:sz w:val="16"/>
                <w:szCs w:val="16"/>
              </w:rPr>
            </w:pPr>
            <w:r w:rsidRPr="001E2F6E">
              <w:rPr>
                <w:b/>
                <w:bCs/>
                <w:color w:val="000000"/>
                <w:sz w:val="16"/>
                <w:szCs w:val="16"/>
              </w:rPr>
              <w:t>3.301.235.864</w:t>
            </w:r>
          </w:p>
        </w:tc>
        <w:tc>
          <w:tcPr>
            <w:tcW w:w="662" w:type="pct"/>
            <w:tcBorders>
              <w:top w:val="nil"/>
              <w:left w:val="nil"/>
              <w:bottom w:val="single" w:sz="8" w:space="0" w:color="BFBFBF"/>
              <w:right w:val="single" w:sz="8" w:space="0" w:color="BFBFBF"/>
            </w:tcBorders>
            <w:shd w:val="clear" w:color="000000" w:fill="E6E6E6"/>
            <w:vAlign w:val="bottom"/>
            <w:hideMark/>
          </w:tcPr>
          <w:p w:rsidR="00195BE7" w:rsidRPr="001E2F6E" w:rsidRDefault="00195BE7" w:rsidP="00195BE7">
            <w:pPr>
              <w:spacing w:line="220" w:lineRule="exact"/>
              <w:jc w:val="right"/>
              <w:rPr>
                <w:b/>
                <w:bCs/>
                <w:color w:val="000000"/>
                <w:sz w:val="16"/>
                <w:szCs w:val="16"/>
              </w:rPr>
            </w:pPr>
            <w:r w:rsidRPr="001E2F6E">
              <w:rPr>
                <w:b/>
                <w:bCs/>
                <w:color w:val="000000"/>
                <w:sz w:val="16"/>
                <w:szCs w:val="16"/>
              </w:rPr>
              <w:t>51.255.529</w:t>
            </w:r>
          </w:p>
        </w:tc>
        <w:tc>
          <w:tcPr>
            <w:tcW w:w="657" w:type="pct"/>
            <w:tcBorders>
              <w:top w:val="nil"/>
              <w:left w:val="nil"/>
              <w:bottom w:val="single" w:sz="8" w:space="0" w:color="BFBFBF"/>
              <w:right w:val="nil"/>
            </w:tcBorders>
            <w:shd w:val="clear" w:color="000000" w:fill="E6E6E6"/>
            <w:vAlign w:val="bottom"/>
            <w:hideMark/>
          </w:tcPr>
          <w:p w:rsidR="00195BE7" w:rsidRPr="001E2F6E" w:rsidRDefault="00195BE7" w:rsidP="00195BE7">
            <w:pPr>
              <w:spacing w:line="220" w:lineRule="exact"/>
              <w:jc w:val="right"/>
              <w:rPr>
                <w:b/>
                <w:bCs/>
                <w:color w:val="000000"/>
                <w:sz w:val="16"/>
                <w:szCs w:val="16"/>
              </w:rPr>
            </w:pPr>
            <w:r w:rsidRPr="001E2F6E">
              <w:rPr>
                <w:b/>
                <w:bCs/>
                <w:color w:val="000000"/>
                <w:sz w:val="16"/>
                <w:szCs w:val="16"/>
              </w:rPr>
              <w:t>1.832.237.031</w:t>
            </w:r>
          </w:p>
        </w:tc>
      </w:tr>
      <w:tr w:rsidR="00195BE7" w:rsidRPr="001E2F6E" w:rsidTr="00195BE7">
        <w:tc>
          <w:tcPr>
            <w:tcW w:w="1920" w:type="pct"/>
            <w:tcBorders>
              <w:top w:val="nil"/>
              <w:left w:val="nil"/>
              <w:bottom w:val="single" w:sz="8" w:space="0" w:color="BFBFBF"/>
              <w:right w:val="single" w:sz="8" w:space="0" w:color="BFBFBF"/>
            </w:tcBorders>
            <w:shd w:val="clear" w:color="000000" w:fill="DDEEFF"/>
            <w:vAlign w:val="bottom"/>
            <w:hideMark/>
          </w:tcPr>
          <w:p w:rsidR="00195BE7" w:rsidRPr="001E2F6E" w:rsidRDefault="00195BE7" w:rsidP="00195BE7">
            <w:pPr>
              <w:spacing w:line="220" w:lineRule="exact"/>
              <w:rPr>
                <w:b/>
                <w:bCs/>
                <w:sz w:val="16"/>
                <w:szCs w:val="16"/>
                <w:lang w:val="eu-ES"/>
              </w:rPr>
            </w:pPr>
            <w:r w:rsidRPr="001E2F6E">
              <w:rPr>
                <w:b/>
                <w:bCs/>
                <w:sz w:val="16"/>
                <w:szCs w:val="16"/>
                <w:lang w:val="eu-ES"/>
              </w:rPr>
              <w:t>MOZKINAK (+) edo GALERAK (-)</w:t>
            </w:r>
          </w:p>
        </w:tc>
        <w:tc>
          <w:tcPr>
            <w:tcW w:w="656" w:type="pct"/>
            <w:tcBorders>
              <w:top w:val="nil"/>
              <w:left w:val="nil"/>
              <w:bottom w:val="single" w:sz="8" w:space="0" w:color="BFBFBF"/>
              <w:right w:val="single" w:sz="8" w:space="0" w:color="BFBFBF"/>
            </w:tcBorders>
            <w:shd w:val="clear" w:color="000000" w:fill="DDEEFF"/>
            <w:vAlign w:val="bottom"/>
            <w:hideMark/>
          </w:tcPr>
          <w:p w:rsidR="00195BE7" w:rsidRPr="001E2F6E" w:rsidRDefault="00195BE7" w:rsidP="00195BE7">
            <w:pPr>
              <w:spacing w:line="220" w:lineRule="exact"/>
              <w:jc w:val="right"/>
              <w:rPr>
                <w:b/>
                <w:bCs/>
                <w:color w:val="000000"/>
                <w:sz w:val="16"/>
                <w:szCs w:val="16"/>
              </w:rPr>
            </w:pPr>
            <w:r w:rsidRPr="001E2F6E">
              <w:rPr>
                <w:b/>
                <w:bCs/>
                <w:color w:val="000000"/>
                <w:sz w:val="16"/>
                <w:szCs w:val="16"/>
              </w:rPr>
              <w:t>87.319.866</w:t>
            </w:r>
          </w:p>
        </w:tc>
        <w:tc>
          <w:tcPr>
            <w:tcW w:w="447" w:type="pct"/>
            <w:tcBorders>
              <w:top w:val="nil"/>
              <w:left w:val="nil"/>
              <w:bottom w:val="single" w:sz="8" w:space="0" w:color="BFBFBF"/>
              <w:right w:val="single" w:sz="8" w:space="0" w:color="BFBFBF"/>
            </w:tcBorders>
            <w:shd w:val="clear" w:color="000000" w:fill="DDEEFF"/>
            <w:vAlign w:val="bottom"/>
            <w:hideMark/>
          </w:tcPr>
          <w:p w:rsidR="00195BE7" w:rsidRPr="001E2F6E" w:rsidRDefault="00195BE7" w:rsidP="00195BE7">
            <w:pPr>
              <w:spacing w:line="220" w:lineRule="exact"/>
              <w:jc w:val="right"/>
              <w:rPr>
                <w:b/>
                <w:bCs/>
                <w:color w:val="000000"/>
                <w:sz w:val="16"/>
                <w:szCs w:val="16"/>
              </w:rPr>
            </w:pPr>
            <w:r w:rsidRPr="001E2F6E">
              <w:rPr>
                <w:b/>
                <w:bCs/>
                <w:color w:val="000000"/>
                <w:sz w:val="16"/>
                <w:szCs w:val="16"/>
              </w:rPr>
              <w:t>-36.073</w:t>
            </w:r>
          </w:p>
        </w:tc>
        <w:tc>
          <w:tcPr>
            <w:tcW w:w="657" w:type="pct"/>
            <w:tcBorders>
              <w:top w:val="nil"/>
              <w:left w:val="nil"/>
              <w:bottom w:val="single" w:sz="8" w:space="0" w:color="BFBFBF"/>
              <w:right w:val="single" w:sz="8" w:space="0" w:color="BFBFBF"/>
            </w:tcBorders>
            <w:shd w:val="clear" w:color="000000" w:fill="DDEEFF"/>
            <w:vAlign w:val="bottom"/>
            <w:hideMark/>
          </w:tcPr>
          <w:p w:rsidR="00195BE7" w:rsidRPr="001E2F6E" w:rsidRDefault="00195BE7" w:rsidP="00195BE7">
            <w:pPr>
              <w:spacing w:line="220" w:lineRule="exact"/>
              <w:jc w:val="right"/>
              <w:rPr>
                <w:b/>
                <w:bCs/>
                <w:color w:val="000000"/>
                <w:sz w:val="16"/>
                <w:szCs w:val="16"/>
              </w:rPr>
            </w:pPr>
            <w:r w:rsidRPr="001E2F6E">
              <w:rPr>
                <w:b/>
                <w:bCs/>
                <w:color w:val="000000"/>
                <w:sz w:val="16"/>
                <w:szCs w:val="16"/>
              </w:rPr>
              <w:t>93.201.732</w:t>
            </w:r>
          </w:p>
        </w:tc>
        <w:tc>
          <w:tcPr>
            <w:tcW w:w="662" w:type="pct"/>
            <w:tcBorders>
              <w:top w:val="nil"/>
              <w:left w:val="nil"/>
              <w:bottom w:val="single" w:sz="8" w:space="0" w:color="BFBFBF"/>
              <w:right w:val="single" w:sz="8" w:space="0" w:color="BFBFBF"/>
            </w:tcBorders>
            <w:shd w:val="clear" w:color="000000" w:fill="DDEEFF"/>
            <w:vAlign w:val="bottom"/>
            <w:hideMark/>
          </w:tcPr>
          <w:p w:rsidR="00195BE7" w:rsidRPr="001E2F6E" w:rsidRDefault="00195BE7" w:rsidP="00195BE7">
            <w:pPr>
              <w:spacing w:line="220" w:lineRule="exact"/>
              <w:jc w:val="right"/>
              <w:rPr>
                <w:b/>
                <w:bCs/>
                <w:color w:val="000000"/>
                <w:sz w:val="16"/>
                <w:szCs w:val="16"/>
              </w:rPr>
            </w:pPr>
            <w:r w:rsidRPr="001E2F6E">
              <w:rPr>
                <w:b/>
                <w:bCs/>
                <w:color w:val="000000"/>
                <w:sz w:val="16"/>
                <w:szCs w:val="16"/>
              </w:rPr>
              <w:t>-616.383</w:t>
            </w:r>
          </w:p>
        </w:tc>
        <w:tc>
          <w:tcPr>
            <w:tcW w:w="657" w:type="pct"/>
            <w:tcBorders>
              <w:top w:val="nil"/>
              <w:left w:val="nil"/>
              <w:bottom w:val="single" w:sz="8" w:space="0" w:color="BFBFBF"/>
              <w:right w:val="single" w:sz="8" w:space="0" w:color="BFBFBF"/>
            </w:tcBorders>
            <w:shd w:val="clear" w:color="000000" w:fill="DDEEFF"/>
            <w:vAlign w:val="bottom"/>
            <w:hideMark/>
          </w:tcPr>
          <w:p w:rsidR="00195BE7" w:rsidRPr="001E2F6E" w:rsidRDefault="00195BE7" w:rsidP="00195BE7">
            <w:pPr>
              <w:spacing w:line="220" w:lineRule="exact"/>
              <w:jc w:val="right"/>
              <w:rPr>
                <w:b/>
                <w:bCs/>
                <w:color w:val="000000"/>
                <w:sz w:val="16"/>
                <w:szCs w:val="16"/>
              </w:rPr>
            </w:pPr>
            <w:r w:rsidRPr="001E2F6E">
              <w:rPr>
                <w:b/>
                <w:bCs/>
                <w:color w:val="000000"/>
                <w:sz w:val="16"/>
                <w:szCs w:val="16"/>
              </w:rPr>
              <w:t>-5.229.412</w:t>
            </w:r>
          </w:p>
        </w:tc>
      </w:tr>
    </w:tbl>
    <w:p w:rsidR="00195BE7" w:rsidRPr="001E2F6E" w:rsidRDefault="00195BE7" w:rsidP="00195BE7">
      <w:pPr>
        <w:rPr>
          <w:rFonts w:ascii="Arial Black" w:hAnsi="Arial Black"/>
          <w:b/>
          <w:color w:val="1F497D"/>
          <w:w w:val="90"/>
          <w:szCs w:val="26"/>
        </w:rPr>
      </w:pPr>
    </w:p>
    <w:p w:rsidR="00195BE7" w:rsidRPr="001E2F6E" w:rsidRDefault="00195BE7" w:rsidP="00195BE7">
      <w:pPr>
        <w:spacing w:after="200" w:line="276" w:lineRule="auto"/>
        <w:jc w:val="left"/>
        <w:rPr>
          <w:b/>
          <w:color w:val="1F497D" w:themeColor="text2"/>
          <w:szCs w:val="26"/>
        </w:rPr>
      </w:pPr>
      <w:r w:rsidRPr="001E2F6E">
        <w:rPr>
          <w:b/>
          <w:color w:val="1F497D" w:themeColor="text2"/>
          <w:szCs w:val="26"/>
        </w:rPr>
        <w:br w:type="page"/>
      </w:r>
    </w:p>
    <w:p w:rsidR="00195BE7" w:rsidRPr="001E2F6E" w:rsidRDefault="00195BE7" w:rsidP="00195BE7">
      <w:pPr>
        <w:pStyle w:val="Ttulo1"/>
        <w:ind w:left="708" w:hanging="708"/>
        <w:rPr>
          <w:color w:val="1F497D" w:themeColor="text2"/>
        </w:rPr>
      </w:pPr>
      <w:bookmarkStart w:id="260" w:name="_Toc391989025"/>
      <w:bookmarkStart w:id="261" w:name="_Toc392585688"/>
      <w:r w:rsidRPr="001E2F6E">
        <w:rPr>
          <w:color w:val="1F497D" w:themeColor="text2"/>
        </w:rPr>
        <w:lastRenderedPageBreak/>
        <w:t xml:space="preserve">II.- </w:t>
      </w:r>
      <w:r w:rsidRPr="001E2F6E">
        <w:rPr>
          <w:color w:val="1F497D" w:themeColor="text2"/>
        </w:rPr>
        <w:tab/>
        <w:t>GIZARTE-EKONOMIAREN KONTUEN AURRERAPENA</w:t>
      </w:r>
      <w:bookmarkEnd w:id="260"/>
      <w:r w:rsidRPr="001E2F6E">
        <w:rPr>
          <w:color w:val="1F497D" w:themeColor="text2"/>
        </w:rPr>
        <w:t xml:space="preserve"> 2013</w:t>
      </w:r>
      <w:bookmarkEnd w:id="261"/>
    </w:p>
    <w:p w:rsidR="00195BE7" w:rsidRPr="001E2F6E" w:rsidRDefault="00195BE7" w:rsidP="00195BE7"/>
    <w:p w:rsidR="00195BE7" w:rsidRPr="001E2F6E" w:rsidRDefault="00195BE7" w:rsidP="00195BE7">
      <w:pPr>
        <w:pStyle w:val="Epgrafe"/>
        <w:jc w:val="center"/>
        <w:rPr>
          <w:rFonts w:ascii="Arial" w:hAnsi="Arial" w:cs="Arial"/>
          <w:snapToGrid w:val="0"/>
          <w:color w:val="1F497D" w:themeColor="text2"/>
          <w:sz w:val="18"/>
          <w:szCs w:val="18"/>
          <w:lang w:val="es-ES_tradnl"/>
        </w:rPr>
      </w:pPr>
      <w:bookmarkStart w:id="262" w:name="_Toc391989216"/>
      <w:bookmarkStart w:id="263" w:name="_Toc391989222"/>
      <w:r w:rsidRPr="001E2F6E">
        <w:rPr>
          <w:rFonts w:ascii="Arial" w:hAnsi="Arial" w:cs="Arial"/>
          <w:bCs w:val="0"/>
          <w:noProof/>
          <w:color w:val="1F497D" w:themeColor="text2"/>
          <w:sz w:val="18"/>
          <w:szCs w:val="18"/>
        </w:rPr>
        <w:drawing>
          <wp:anchor distT="0" distB="0" distL="114300" distR="114300" simplePos="0" relativeHeight="251707392" behindDoc="0" locked="0" layoutInCell="1" allowOverlap="1" wp14:anchorId="63ACC6E0" wp14:editId="76567370">
            <wp:simplePos x="0" y="0"/>
            <wp:positionH relativeFrom="column">
              <wp:posOffset>378460</wp:posOffset>
            </wp:positionH>
            <wp:positionV relativeFrom="paragraph">
              <wp:posOffset>179070</wp:posOffset>
            </wp:positionV>
            <wp:extent cx="4953000" cy="1828800"/>
            <wp:effectExtent l="0" t="0" r="0" b="0"/>
            <wp:wrapNone/>
            <wp:docPr id="472" name="Objeto 43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anchor>
        </w:drawing>
      </w:r>
      <w:bookmarkStart w:id="264" w:name="_Toc392585833"/>
      <w:r w:rsidRPr="001E2F6E">
        <w:rPr>
          <w:rFonts w:ascii="Arial" w:hAnsi="Arial" w:cs="Arial"/>
          <w:bCs w:val="0"/>
          <w:snapToGrid w:val="0"/>
          <w:color w:val="1F497D" w:themeColor="text2"/>
          <w:sz w:val="18"/>
          <w:szCs w:val="18"/>
          <w:lang w:val="es-ES_tradnl"/>
        </w:rPr>
        <w:t>2.</w:t>
      </w:r>
      <w:r w:rsidR="00EB6BA6" w:rsidRPr="001E2F6E">
        <w:rPr>
          <w:rFonts w:ascii="Arial" w:hAnsi="Arial" w:cs="Arial"/>
          <w:bCs w:val="0"/>
          <w:snapToGrid w:val="0"/>
          <w:color w:val="1F497D" w:themeColor="text2"/>
          <w:sz w:val="18"/>
          <w:szCs w:val="18"/>
          <w:lang w:val="es-ES_tradnl"/>
        </w:rPr>
        <w:fldChar w:fldCharType="begin"/>
      </w:r>
      <w:r w:rsidRPr="001E2F6E">
        <w:rPr>
          <w:rFonts w:ascii="Arial" w:hAnsi="Arial" w:cs="Arial"/>
          <w:bCs w:val="0"/>
          <w:snapToGrid w:val="0"/>
          <w:color w:val="1F497D" w:themeColor="text2"/>
          <w:sz w:val="18"/>
          <w:szCs w:val="18"/>
          <w:lang w:val="es-ES_tradnl"/>
        </w:rPr>
        <w:instrText xml:space="preserve"> SEQ Gráfico_2. \* ARABIC </w:instrText>
      </w:r>
      <w:r w:rsidR="00EB6BA6" w:rsidRPr="001E2F6E">
        <w:rPr>
          <w:rFonts w:ascii="Arial" w:hAnsi="Arial" w:cs="Arial"/>
          <w:bCs w:val="0"/>
          <w:snapToGrid w:val="0"/>
          <w:color w:val="1F497D" w:themeColor="text2"/>
          <w:sz w:val="18"/>
          <w:szCs w:val="18"/>
          <w:lang w:val="es-ES_tradnl"/>
        </w:rPr>
        <w:fldChar w:fldCharType="separate"/>
      </w:r>
      <w:r w:rsidR="00A327D4">
        <w:rPr>
          <w:rFonts w:ascii="Arial" w:hAnsi="Arial" w:cs="Arial"/>
          <w:bCs w:val="0"/>
          <w:noProof/>
          <w:snapToGrid w:val="0"/>
          <w:color w:val="1F497D" w:themeColor="text2"/>
          <w:sz w:val="18"/>
          <w:szCs w:val="18"/>
          <w:lang w:val="es-ES_tradnl"/>
        </w:rPr>
        <w:t>1</w:t>
      </w:r>
      <w:r w:rsidR="00EB6BA6" w:rsidRPr="001E2F6E">
        <w:rPr>
          <w:rFonts w:ascii="Arial" w:hAnsi="Arial" w:cs="Arial"/>
          <w:bCs w:val="0"/>
          <w:snapToGrid w:val="0"/>
          <w:color w:val="1F497D" w:themeColor="text2"/>
          <w:sz w:val="18"/>
          <w:szCs w:val="18"/>
          <w:lang w:val="es-ES_tradnl"/>
        </w:rPr>
        <w:fldChar w:fldCharType="end"/>
      </w:r>
      <w:r w:rsidRPr="001E2F6E">
        <w:rPr>
          <w:rFonts w:ascii="Arial" w:hAnsi="Arial" w:cs="Arial"/>
          <w:bCs w:val="0"/>
          <w:snapToGrid w:val="0"/>
          <w:color w:val="1F497D" w:themeColor="text2"/>
          <w:sz w:val="18"/>
          <w:szCs w:val="18"/>
          <w:lang w:val="es-ES_tradnl"/>
        </w:rPr>
        <w:t xml:space="preserve"> Irudia </w:t>
      </w:r>
      <w:r w:rsidRPr="001E2F6E">
        <w:rPr>
          <w:rFonts w:ascii="Arial" w:hAnsi="Arial" w:cs="Arial"/>
          <w:color w:val="1F497D" w:themeColor="text2"/>
          <w:sz w:val="18"/>
          <w:szCs w:val="18"/>
          <w:lang w:val="eu-ES"/>
        </w:rPr>
        <w:t>GIZARTE-EKONOMIAREN ALORREKO ESTABLEZIMENDUEN ETA ENPLEGUAREN BILAKAERA 1994-2013</w:t>
      </w:r>
      <w:bookmarkEnd w:id="262"/>
      <w:bookmarkEnd w:id="263"/>
      <w:bookmarkEnd w:id="264"/>
    </w:p>
    <w:p w:rsidR="00195BE7" w:rsidRPr="001E2F6E" w:rsidRDefault="00195BE7" w:rsidP="00195BE7">
      <w:pPr>
        <w:rPr>
          <w:rFonts w:ascii="Arial Black" w:hAnsi="Arial Black"/>
          <w:b/>
          <w:color w:val="1F497D"/>
          <w:w w:val="90"/>
          <w:szCs w:val="26"/>
        </w:rPr>
      </w:pPr>
      <w:bookmarkStart w:id="265" w:name="_Toc391565515"/>
    </w:p>
    <w:p w:rsidR="00195BE7" w:rsidRPr="001E2F6E" w:rsidRDefault="00195BE7" w:rsidP="00195BE7">
      <w:pPr>
        <w:rPr>
          <w:rFonts w:ascii="Arial Black" w:hAnsi="Arial Black"/>
          <w:b/>
          <w:color w:val="1F497D"/>
          <w:w w:val="90"/>
          <w:szCs w:val="26"/>
        </w:rPr>
      </w:pPr>
    </w:p>
    <w:p w:rsidR="00195BE7" w:rsidRPr="001E2F6E" w:rsidRDefault="00195BE7" w:rsidP="00195BE7">
      <w:pPr>
        <w:rPr>
          <w:rFonts w:ascii="Arial Black" w:hAnsi="Arial Black"/>
          <w:b/>
          <w:color w:val="1F497D"/>
          <w:w w:val="90"/>
          <w:szCs w:val="26"/>
        </w:rPr>
      </w:pPr>
    </w:p>
    <w:p w:rsidR="00195BE7" w:rsidRPr="001E2F6E" w:rsidRDefault="00195BE7" w:rsidP="00195BE7">
      <w:pPr>
        <w:rPr>
          <w:rFonts w:ascii="Arial Black" w:hAnsi="Arial Black"/>
          <w:b/>
          <w:color w:val="1F497D"/>
          <w:w w:val="90"/>
          <w:szCs w:val="26"/>
        </w:rPr>
      </w:pPr>
    </w:p>
    <w:p w:rsidR="00195BE7" w:rsidRPr="001E2F6E" w:rsidRDefault="00195BE7" w:rsidP="00195BE7">
      <w:pPr>
        <w:rPr>
          <w:rFonts w:ascii="Arial Black" w:hAnsi="Arial Black"/>
          <w:b/>
          <w:color w:val="1F497D"/>
          <w:w w:val="90"/>
          <w:szCs w:val="26"/>
        </w:rPr>
      </w:pPr>
    </w:p>
    <w:p w:rsidR="00195BE7" w:rsidRPr="001E2F6E" w:rsidRDefault="00195BE7" w:rsidP="00195BE7">
      <w:pPr>
        <w:rPr>
          <w:rFonts w:ascii="Arial Black" w:hAnsi="Arial Black"/>
          <w:b/>
          <w:color w:val="1F497D"/>
          <w:w w:val="90"/>
          <w:szCs w:val="26"/>
        </w:rPr>
      </w:pPr>
    </w:p>
    <w:p w:rsidR="00195BE7" w:rsidRPr="001E2F6E" w:rsidRDefault="00195BE7" w:rsidP="00195BE7">
      <w:r w:rsidRPr="001E2F6E">
        <w:rPr>
          <w:noProof/>
          <w:lang w:eastAsia="es-ES"/>
        </w:rPr>
        <w:drawing>
          <wp:anchor distT="0" distB="0" distL="114300" distR="114300" simplePos="0" relativeHeight="251686912" behindDoc="0" locked="0" layoutInCell="1" allowOverlap="1" wp14:anchorId="6D977763" wp14:editId="66CBF9CA">
            <wp:simplePos x="0" y="0"/>
            <wp:positionH relativeFrom="column">
              <wp:posOffset>254635</wp:posOffset>
            </wp:positionH>
            <wp:positionV relativeFrom="paragraph">
              <wp:posOffset>207010</wp:posOffset>
            </wp:positionV>
            <wp:extent cx="4953000" cy="1828800"/>
            <wp:effectExtent l="0" t="0" r="0" b="0"/>
            <wp:wrapNone/>
            <wp:docPr id="86" name="Objeto 43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anchor>
        </w:drawing>
      </w:r>
    </w:p>
    <w:p w:rsidR="00195BE7" w:rsidRPr="001E2F6E" w:rsidRDefault="00195BE7" w:rsidP="00195BE7">
      <w:pPr>
        <w:pStyle w:val="Epgrafe"/>
        <w:jc w:val="center"/>
        <w:rPr>
          <w:rFonts w:ascii="Arial" w:hAnsi="Arial" w:cs="Arial"/>
          <w:bCs w:val="0"/>
          <w:snapToGrid w:val="0"/>
          <w:color w:val="1F497D" w:themeColor="text2"/>
          <w:sz w:val="18"/>
          <w:szCs w:val="18"/>
          <w:lang w:val="es-ES_tradnl"/>
        </w:rPr>
      </w:pPr>
      <w:bookmarkStart w:id="266" w:name="_Toc391989217"/>
      <w:bookmarkStart w:id="267" w:name="_Toc391989223"/>
      <w:bookmarkStart w:id="268" w:name="_Toc392585834"/>
      <w:r w:rsidRPr="001E2F6E">
        <w:rPr>
          <w:rFonts w:ascii="Arial" w:hAnsi="Arial" w:cs="Arial"/>
          <w:bCs w:val="0"/>
          <w:snapToGrid w:val="0"/>
          <w:color w:val="1F497D" w:themeColor="text2"/>
          <w:sz w:val="18"/>
          <w:szCs w:val="18"/>
          <w:lang w:val="es-ES_tradnl"/>
        </w:rPr>
        <w:t>2.</w:t>
      </w:r>
      <w:r w:rsidR="00EB6BA6" w:rsidRPr="001E2F6E">
        <w:rPr>
          <w:rFonts w:ascii="Arial" w:hAnsi="Arial" w:cs="Arial"/>
          <w:bCs w:val="0"/>
          <w:snapToGrid w:val="0"/>
          <w:color w:val="1F497D" w:themeColor="text2"/>
          <w:sz w:val="18"/>
          <w:szCs w:val="18"/>
          <w:lang w:val="es-ES_tradnl"/>
        </w:rPr>
        <w:fldChar w:fldCharType="begin"/>
      </w:r>
      <w:r w:rsidRPr="001E2F6E">
        <w:rPr>
          <w:rFonts w:ascii="Arial" w:hAnsi="Arial" w:cs="Arial"/>
          <w:bCs w:val="0"/>
          <w:snapToGrid w:val="0"/>
          <w:color w:val="1F497D" w:themeColor="text2"/>
          <w:sz w:val="18"/>
          <w:szCs w:val="18"/>
          <w:lang w:val="es-ES_tradnl"/>
        </w:rPr>
        <w:instrText xml:space="preserve"> SEQ Gráfico_2. \* ARABIC </w:instrText>
      </w:r>
      <w:r w:rsidR="00EB6BA6" w:rsidRPr="001E2F6E">
        <w:rPr>
          <w:rFonts w:ascii="Arial" w:hAnsi="Arial" w:cs="Arial"/>
          <w:bCs w:val="0"/>
          <w:snapToGrid w:val="0"/>
          <w:color w:val="1F497D" w:themeColor="text2"/>
          <w:sz w:val="18"/>
          <w:szCs w:val="18"/>
          <w:lang w:val="es-ES_tradnl"/>
        </w:rPr>
        <w:fldChar w:fldCharType="separate"/>
      </w:r>
      <w:r w:rsidR="00A327D4">
        <w:rPr>
          <w:rFonts w:ascii="Arial" w:hAnsi="Arial" w:cs="Arial"/>
          <w:bCs w:val="0"/>
          <w:noProof/>
          <w:snapToGrid w:val="0"/>
          <w:color w:val="1F497D" w:themeColor="text2"/>
          <w:sz w:val="18"/>
          <w:szCs w:val="18"/>
          <w:lang w:val="es-ES_tradnl"/>
        </w:rPr>
        <w:t>2</w:t>
      </w:r>
      <w:r w:rsidR="00EB6BA6" w:rsidRPr="001E2F6E">
        <w:rPr>
          <w:rFonts w:ascii="Arial" w:hAnsi="Arial" w:cs="Arial"/>
          <w:bCs w:val="0"/>
          <w:snapToGrid w:val="0"/>
          <w:color w:val="1F497D" w:themeColor="text2"/>
          <w:sz w:val="18"/>
          <w:szCs w:val="18"/>
          <w:lang w:val="es-ES_tradnl"/>
        </w:rPr>
        <w:fldChar w:fldCharType="end"/>
      </w:r>
      <w:r w:rsidRPr="001E2F6E">
        <w:rPr>
          <w:rFonts w:ascii="Arial" w:hAnsi="Arial" w:cs="Arial"/>
          <w:bCs w:val="0"/>
          <w:snapToGrid w:val="0"/>
          <w:color w:val="1F497D" w:themeColor="text2"/>
          <w:sz w:val="18"/>
          <w:szCs w:val="18"/>
          <w:lang w:val="es-ES_tradnl"/>
        </w:rPr>
        <w:t xml:space="preserve"> Irudia</w:t>
      </w:r>
      <w:bookmarkEnd w:id="265"/>
      <w:r w:rsidRPr="001E2F6E">
        <w:rPr>
          <w:rFonts w:ascii="Arial" w:hAnsi="Arial" w:cs="Arial"/>
          <w:bCs w:val="0"/>
          <w:snapToGrid w:val="0"/>
          <w:color w:val="1F497D" w:themeColor="text2"/>
          <w:sz w:val="18"/>
          <w:szCs w:val="18"/>
          <w:lang w:val="es-ES_tradnl"/>
        </w:rPr>
        <w:t>. FAKTURAZIOAREN BILAKAERA 2006 - 2013 (MILAKA EURO)</w:t>
      </w:r>
      <w:bookmarkEnd w:id="266"/>
      <w:bookmarkEnd w:id="267"/>
      <w:bookmarkEnd w:id="268"/>
    </w:p>
    <w:p w:rsidR="00195BE7" w:rsidRPr="001E2F6E" w:rsidRDefault="00195BE7" w:rsidP="00195BE7">
      <w:pPr>
        <w:rPr>
          <w:b/>
          <w:color w:val="000080"/>
          <w:lang w:val="es-ES_tradnl"/>
        </w:rPr>
      </w:pPr>
    </w:p>
    <w:p w:rsidR="00195BE7" w:rsidRPr="001E2F6E" w:rsidRDefault="00195BE7" w:rsidP="00195BE7">
      <w:pPr>
        <w:rPr>
          <w:b/>
          <w:color w:val="000080"/>
        </w:rPr>
      </w:pPr>
    </w:p>
    <w:p w:rsidR="00195BE7" w:rsidRPr="001E2F6E" w:rsidRDefault="00195BE7" w:rsidP="00195BE7">
      <w:pPr>
        <w:rPr>
          <w:b/>
          <w:color w:val="000080"/>
        </w:rPr>
      </w:pPr>
    </w:p>
    <w:p w:rsidR="00195BE7" w:rsidRPr="001E2F6E" w:rsidRDefault="00195BE7" w:rsidP="00195BE7">
      <w:pPr>
        <w:rPr>
          <w:b/>
          <w:color w:val="000080"/>
        </w:rPr>
      </w:pPr>
    </w:p>
    <w:p w:rsidR="00195BE7" w:rsidRPr="001E2F6E" w:rsidRDefault="00195BE7" w:rsidP="00195BE7">
      <w:pPr>
        <w:rPr>
          <w:b/>
          <w:color w:val="000080"/>
        </w:rPr>
      </w:pPr>
    </w:p>
    <w:p w:rsidR="00195BE7" w:rsidRPr="001E2F6E" w:rsidRDefault="00195BE7" w:rsidP="00195BE7">
      <w:pPr>
        <w:rPr>
          <w:b/>
          <w:color w:val="000080"/>
        </w:rPr>
      </w:pPr>
    </w:p>
    <w:p w:rsidR="00195BE7" w:rsidRPr="001E2F6E" w:rsidRDefault="00195BE7" w:rsidP="00195BE7">
      <w:pPr>
        <w:rPr>
          <w:b/>
          <w:color w:val="000080"/>
        </w:rPr>
      </w:pPr>
    </w:p>
    <w:p w:rsidR="00195BE7" w:rsidRPr="001E2F6E" w:rsidRDefault="00195BE7" w:rsidP="00195BE7"/>
    <w:p w:rsidR="00195BE7" w:rsidRPr="001E2F6E" w:rsidRDefault="00195BE7" w:rsidP="00195BE7">
      <w:pPr>
        <w:pStyle w:val="Epgrafe"/>
        <w:jc w:val="center"/>
        <w:rPr>
          <w:rFonts w:ascii="Arial" w:hAnsi="Arial" w:cs="Arial"/>
          <w:bCs w:val="0"/>
          <w:snapToGrid w:val="0"/>
          <w:color w:val="1F497D" w:themeColor="text2"/>
          <w:sz w:val="18"/>
          <w:szCs w:val="18"/>
          <w:lang w:val="es-ES_tradnl"/>
        </w:rPr>
      </w:pPr>
      <w:bookmarkStart w:id="269" w:name="_Toc391989219"/>
      <w:bookmarkStart w:id="270" w:name="_Toc392585830"/>
      <w:r w:rsidRPr="001E2F6E">
        <w:rPr>
          <w:rFonts w:ascii="Arial" w:hAnsi="Arial" w:cs="Arial"/>
          <w:bCs w:val="0"/>
          <w:snapToGrid w:val="0"/>
          <w:color w:val="1F497D" w:themeColor="text2"/>
          <w:sz w:val="18"/>
          <w:szCs w:val="18"/>
          <w:lang w:val="es-ES_tradnl"/>
        </w:rPr>
        <w:t>2.</w:t>
      </w:r>
      <w:r w:rsidR="00EB6BA6" w:rsidRPr="001E2F6E">
        <w:rPr>
          <w:rFonts w:ascii="Arial" w:hAnsi="Arial" w:cs="Arial"/>
          <w:bCs w:val="0"/>
          <w:snapToGrid w:val="0"/>
          <w:color w:val="1F497D" w:themeColor="text2"/>
          <w:sz w:val="18"/>
          <w:szCs w:val="18"/>
          <w:lang w:val="es-ES_tradnl"/>
        </w:rPr>
        <w:fldChar w:fldCharType="begin"/>
      </w:r>
      <w:r w:rsidRPr="001E2F6E">
        <w:rPr>
          <w:rFonts w:ascii="Arial" w:hAnsi="Arial" w:cs="Arial"/>
          <w:bCs w:val="0"/>
          <w:snapToGrid w:val="0"/>
          <w:color w:val="1F497D" w:themeColor="text2"/>
          <w:sz w:val="18"/>
          <w:szCs w:val="18"/>
          <w:lang w:val="es-ES_tradnl"/>
        </w:rPr>
        <w:instrText xml:space="preserve"> SEQ Cuadro_2. \* ARABIC </w:instrText>
      </w:r>
      <w:r w:rsidR="00EB6BA6" w:rsidRPr="001E2F6E">
        <w:rPr>
          <w:rFonts w:ascii="Arial" w:hAnsi="Arial" w:cs="Arial"/>
          <w:bCs w:val="0"/>
          <w:snapToGrid w:val="0"/>
          <w:color w:val="1F497D" w:themeColor="text2"/>
          <w:sz w:val="18"/>
          <w:szCs w:val="18"/>
          <w:lang w:val="es-ES_tradnl"/>
        </w:rPr>
        <w:fldChar w:fldCharType="separate"/>
      </w:r>
      <w:r w:rsidR="00A327D4">
        <w:rPr>
          <w:rFonts w:ascii="Arial" w:hAnsi="Arial" w:cs="Arial"/>
          <w:bCs w:val="0"/>
          <w:noProof/>
          <w:snapToGrid w:val="0"/>
          <w:color w:val="1F497D" w:themeColor="text2"/>
          <w:sz w:val="18"/>
          <w:szCs w:val="18"/>
          <w:lang w:val="es-ES_tradnl"/>
        </w:rPr>
        <w:t>1</w:t>
      </w:r>
      <w:r w:rsidR="00EB6BA6" w:rsidRPr="001E2F6E">
        <w:rPr>
          <w:rFonts w:ascii="Arial" w:hAnsi="Arial" w:cs="Arial"/>
          <w:bCs w:val="0"/>
          <w:snapToGrid w:val="0"/>
          <w:color w:val="1F497D" w:themeColor="text2"/>
          <w:sz w:val="18"/>
          <w:szCs w:val="18"/>
          <w:lang w:val="es-ES_tradnl"/>
        </w:rPr>
        <w:fldChar w:fldCharType="end"/>
      </w:r>
      <w:r w:rsidRPr="001E2F6E">
        <w:rPr>
          <w:rFonts w:ascii="Arial" w:hAnsi="Arial" w:cs="Arial"/>
          <w:bCs w:val="0"/>
          <w:snapToGrid w:val="0"/>
          <w:color w:val="1F497D" w:themeColor="text2"/>
          <w:sz w:val="18"/>
          <w:szCs w:val="18"/>
          <w:lang w:val="es-ES_tradnl"/>
        </w:rPr>
        <w:t xml:space="preserve"> Taula JARDUERA SEKTOREAREN ARABERAKO AZTERKETA. AURREIKUSITAKO ENPLEGUAREN ETA FAKTURAZIOAREN BILAKAERA. 2012-2013</w:t>
      </w:r>
      <w:bookmarkEnd w:id="269"/>
      <w:bookmarkEnd w:id="270"/>
    </w:p>
    <w:tbl>
      <w:tblPr>
        <w:tblW w:w="5000" w:type="pct"/>
        <w:jc w:val="center"/>
        <w:tblLook w:val="04A0" w:firstRow="1" w:lastRow="0" w:firstColumn="1" w:lastColumn="0" w:noHBand="0" w:noVBand="1"/>
      </w:tblPr>
      <w:tblGrid>
        <w:gridCol w:w="3000"/>
        <w:gridCol w:w="3000"/>
        <w:gridCol w:w="3004"/>
      </w:tblGrid>
      <w:tr w:rsidR="00195BE7" w:rsidRPr="001E2F6E" w:rsidTr="00462130">
        <w:trPr>
          <w:jc w:val="center"/>
        </w:trPr>
        <w:tc>
          <w:tcPr>
            <w:tcW w:w="1666" w:type="pct"/>
            <w:vMerge w:val="restar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tcPr>
          <w:p w:rsidR="00195BE7" w:rsidRPr="001E2F6E" w:rsidRDefault="00195BE7" w:rsidP="00195BE7">
            <w:pPr>
              <w:widowControl w:val="0"/>
              <w:spacing w:line="240" w:lineRule="exact"/>
              <w:jc w:val="center"/>
              <w:rPr>
                <w:b/>
                <w:sz w:val="16"/>
                <w:szCs w:val="16"/>
              </w:rPr>
            </w:pPr>
          </w:p>
        </w:tc>
        <w:tc>
          <w:tcPr>
            <w:tcW w:w="3334" w:type="pct"/>
            <w:gridSpan w:val="2"/>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vAlign w:val="center"/>
          </w:tcPr>
          <w:p w:rsidR="00195BE7" w:rsidRPr="001E2F6E" w:rsidRDefault="00195BE7" w:rsidP="00195BE7">
            <w:pPr>
              <w:widowControl w:val="0"/>
              <w:spacing w:line="240" w:lineRule="exact"/>
              <w:jc w:val="center"/>
              <w:rPr>
                <w:b/>
                <w:sz w:val="16"/>
                <w:szCs w:val="16"/>
              </w:rPr>
            </w:pPr>
            <w:r w:rsidRPr="001E2F6E">
              <w:rPr>
                <w:b/>
                <w:sz w:val="16"/>
                <w:szCs w:val="16"/>
              </w:rPr>
              <w:t>Bilakaera 2012 - 2013</w:t>
            </w:r>
          </w:p>
        </w:tc>
      </w:tr>
      <w:tr w:rsidR="00195BE7" w:rsidRPr="001E2F6E" w:rsidTr="00195BE7">
        <w:trPr>
          <w:jc w:val="center"/>
        </w:trPr>
        <w:tc>
          <w:tcPr>
            <w:tcW w:w="1666" w:type="pct"/>
            <w:vMerge/>
            <w:tcBorders>
              <w:bottom w:val="single" w:sz="4" w:space="0" w:color="BFBFBF" w:themeColor="background1" w:themeShade="BF"/>
              <w:right w:val="single" w:sz="4" w:space="0" w:color="BFBFBF" w:themeColor="background1" w:themeShade="BF"/>
            </w:tcBorders>
            <w:shd w:val="clear" w:color="auto" w:fill="DBE5F1" w:themeFill="accent1" w:themeFillTint="33"/>
          </w:tcPr>
          <w:p w:rsidR="00195BE7" w:rsidRPr="001E2F6E" w:rsidRDefault="00195BE7" w:rsidP="00195BE7">
            <w:pPr>
              <w:widowControl w:val="0"/>
              <w:spacing w:line="240" w:lineRule="exact"/>
              <w:jc w:val="center"/>
              <w:rPr>
                <w:b/>
                <w:sz w:val="16"/>
                <w:szCs w:val="16"/>
              </w:rPr>
            </w:pPr>
          </w:p>
        </w:tc>
        <w:tc>
          <w:tcPr>
            <w:tcW w:w="1666" w:type="pct"/>
            <w:tcBorders>
              <w:left w:val="single" w:sz="4" w:space="0" w:color="BFBFBF" w:themeColor="background1" w:themeShade="BF"/>
              <w:bottom w:val="single" w:sz="4" w:space="0" w:color="BFBFBF" w:themeColor="background1" w:themeShade="BF"/>
            </w:tcBorders>
            <w:shd w:val="clear" w:color="auto" w:fill="DBE5F1" w:themeFill="accent1" w:themeFillTint="33"/>
            <w:vAlign w:val="center"/>
          </w:tcPr>
          <w:p w:rsidR="00195BE7" w:rsidRPr="001E2F6E" w:rsidRDefault="00195BE7" w:rsidP="00195BE7">
            <w:pPr>
              <w:widowControl w:val="0"/>
              <w:spacing w:line="240" w:lineRule="exact"/>
              <w:jc w:val="center"/>
              <w:rPr>
                <w:b/>
                <w:bCs/>
                <w:sz w:val="16"/>
                <w:szCs w:val="16"/>
                <w:lang w:val="es-ES_tradnl"/>
              </w:rPr>
            </w:pPr>
            <w:r w:rsidRPr="001E2F6E">
              <w:rPr>
                <w:b/>
                <w:sz w:val="16"/>
                <w:szCs w:val="16"/>
              </w:rPr>
              <w:t>Enplegua</w:t>
            </w:r>
          </w:p>
        </w:tc>
        <w:tc>
          <w:tcPr>
            <w:tcW w:w="1667" w:type="pct"/>
            <w:tcBorders>
              <w:left w:val="single" w:sz="4" w:space="0" w:color="BFBFBF" w:themeColor="background1" w:themeShade="BF"/>
              <w:bottom w:val="single" w:sz="4" w:space="0" w:color="BFBFBF" w:themeColor="background1" w:themeShade="BF"/>
            </w:tcBorders>
            <w:shd w:val="clear" w:color="auto" w:fill="DBE5F1" w:themeFill="accent1" w:themeFillTint="33"/>
            <w:vAlign w:val="center"/>
          </w:tcPr>
          <w:p w:rsidR="00195BE7" w:rsidRPr="001E2F6E" w:rsidRDefault="00195BE7" w:rsidP="00195BE7">
            <w:pPr>
              <w:widowControl w:val="0"/>
              <w:spacing w:line="240" w:lineRule="exact"/>
              <w:jc w:val="center"/>
              <w:rPr>
                <w:b/>
                <w:sz w:val="16"/>
                <w:szCs w:val="16"/>
              </w:rPr>
            </w:pPr>
            <w:r w:rsidRPr="001E2F6E">
              <w:rPr>
                <w:b/>
                <w:bCs/>
                <w:sz w:val="16"/>
                <w:szCs w:val="16"/>
                <w:lang w:val="es-ES_tradnl"/>
              </w:rPr>
              <w:t>Fakturazioa</w:t>
            </w:r>
          </w:p>
        </w:tc>
      </w:tr>
      <w:tr w:rsidR="00195BE7" w:rsidRPr="001E2F6E" w:rsidTr="00195BE7">
        <w:trPr>
          <w:jc w:val="center"/>
        </w:trPr>
        <w:tc>
          <w:tcPr>
            <w:tcW w:w="1666" w:type="pct"/>
            <w:tcBorders>
              <w:top w:val="single" w:sz="4" w:space="0" w:color="BFBFBF" w:themeColor="background1" w:themeShade="BF"/>
              <w:right w:val="single" w:sz="4" w:space="0" w:color="BFBFBF" w:themeColor="background1" w:themeShade="BF"/>
            </w:tcBorders>
          </w:tcPr>
          <w:p w:rsidR="00195BE7" w:rsidRPr="001E2F6E" w:rsidRDefault="00195BE7" w:rsidP="00195BE7">
            <w:pPr>
              <w:widowControl w:val="0"/>
              <w:spacing w:line="240" w:lineRule="exact"/>
              <w:rPr>
                <w:sz w:val="16"/>
                <w:szCs w:val="16"/>
              </w:rPr>
            </w:pPr>
            <w:r w:rsidRPr="001E2F6E">
              <w:rPr>
                <w:sz w:val="16"/>
                <w:szCs w:val="16"/>
              </w:rPr>
              <w:t>Industria</w:t>
            </w:r>
          </w:p>
        </w:tc>
        <w:tc>
          <w:tcPr>
            <w:tcW w:w="1666" w:type="pct"/>
            <w:tcBorders>
              <w:top w:val="single" w:sz="4" w:space="0" w:color="BFBFBF" w:themeColor="background1" w:themeShade="BF"/>
              <w:left w:val="single" w:sz="4" w:space="0" w:color="BFBFBF" w:themeColor="background1" w:themeShade="BF"/>
              <w:right w:val="single" w:sz="4" w:space="0" w:color="BFBFBF" w:themeColor="background1" w:themeShade="BF"/>
            </w:tcBorders>
            <w:vAlign w:val="bottom"/>
          </w:tcPr>
          <w:p w:rsidR="00195BE7" w:rsidRPr="001E2F6E" w:rsidRDefault="00195BE7" w:rsidP="00195BE7">
            <w:pPr>
              <w:widowControl w:val="0"/>
              <w:spacing w:line="240" w:lineRule="exact"/>
              <w:ind w:right="170"/>
              <w:jc w:val="center"/>
              <w:rPr>
                <w:color w:val="FF0000"/>
                <w:sz w:val="16"/>
                <w:szCs w:val="16"/>
              </w:rPr>
            </w:pPr>
            <w:r w:rsidRPr="001E2F6E">
              <w:rPr>
                <w:color w:val="FF0000"/>
                <w:sz w:val="16"/>
                <w:szCs w:val="16"/>
              </w:rPr>
              <w:t>%-0,6</w:t>
            </w:r>
          </w:p>
        </w:tc>
        <w:tc>
          <w:tcPr>
            <w:tcW w:w="1667" w:type="pct"/>
            <w:tcBorders>
              <w:top w:val="single" w:sz="4" w:space="0" w:color="BFBFBF" w:themeColor="background1" w:themeShade="BF"/>
              <w:left w:val="single" w:sz="4" w:space="0" w:color="BFBFBF" w:themeColor="background1" w:themeShade="BF"/>
            </w:tcBorders>
            <w:vAlign w:val="bottom"/>
          </w:tcPr>
          <w:p w:rsidR="00195BE7" w:rsidRPr="001E2F6E" w:rsidRDefault="00195BE7" w:rsidP="00195BE7">
            <w:pPr>
              <w:widowControl w:val="0"/>
              <w:spacing w:line="240" w:lineRule="exact"/>
              <w:ind w:right="170"/>
              <w:jc w:val="center"/>
              <w:rPr>
                <w:color w:val="76923C" w:themeColor="accent3" w:themeShade="BF"/>
                <w:sz w:val="16"/>
                <w:szCs w:val="16"/>
              </w:rPr>
            </w:pPr>
            <w:r w:rsidRPr="001E2F6E">
              <w:rPr>
                <w:color w:val="76923C" w:themeColor="accent3" w:themeShade="BF"/>
                <w:sz w:val="16"/>
                <w:szCs w:val="16"/>
              </w:rPr>
              <w:t>%+1,6</w:t>
            </w:r>
          </w:p>
        </w:tc>
      </w:tr>
      <w:tr w:rsidR="00195BE7" w:rsidRPr="001E2F6E" w:rsidTr="00195BE7">
        <w:trPr>
          <w:jc w:val="center"/>
        </w:trPr>
        <w:tc>
          <w:tcPr>
            <w:tcW w:w="1666" w:type="pct"/>
            <w:tcBorders>
              <w:bottom w:val="single" w:sz="4" w:space="0" w:color="BFBFBF" w:themeColor="background1" w:themeShade="BF"/>
              <w:right w:val="single" w:sz="4" w:space="0" w:color="BFBFBF" w:themeColor="background1" w:themeShade="BF"/>
            </w:tcBorders>
          </w:tcPr>
          <w:p w:rsidR="00195BE7" w:rsidRPr="001E2F6E" w:rsidRDefault="00195BE7" w:rsidP="00195BE7">
            <w:pPr>
              <w:widowControl w:val="0"/>
              <w:spacing w:line="240" w:lineRule="exact"/>
              <w:rPr>
                <w:sz w:val="16"/>
                <w:szCs w:val="16"/>
              </w:rPr>
            </w:pPr>
            <w:r w:rsidRPr="001E2F6E">
              <w:rPr>
                <w:sz w:val="16"/>
                <w:szCs w:val="16"/>
                <w:lang w:val="eu-ES"/>
              </w:rPr>
              <w:t>Eraikuntza</w:t>
            </w:r>
          </w:p>
          <w:p w:rsidR="00195BE7" w:rsidRPr="001E2F6E" w:rsidRDefault="00195BE7" w:rsidP="00195BE7">
            <w:pPr>
              <w:widowControl w:val="0"/>
              <w:spacing w:line="240" w:lineRule="exact"/>
              <w:rPr>
                <w:sz w:val="16"/>
                <w:szCs w:val="16"/>
              </w:rPr>
            </w:pPr>
            <w:r w:rsidRPr="001E2F6E">
              <w:rPr>
                <w:sz w:val="16"/>
                <w:szCs w:val="16"/>
              </w:rPr>
              <w:t>Zerbitzuak</w:t>
            </w:r>
          </w:p>
        </w:tc>
        <w:tc>
          <w:tcPr>
            <w:tcW w:w="1666" w:type="pct"/>
            <w:tcBorders>
              <w:left w:val="single" w:sz="4" w:space="0" w:color="BFBFBF" w:themeColor="background1" w:themeShade="BF"/>
              <w:bottom w:val="single" w:sz="4" w:space="0" w:color="BFBFBF" w:themeColor="background1" w:themeShade="BF"/>
              <w:right w:val="single" w:sz="4" w:space="0" w:color="BFBFBF" w:themeColor="background1" w:themeShade="BF"/>
            </w:tcBorders>
            <w:vAlign w:val="bottom"/>
          </w:tcPr>
          <w:p w:rsidR="00195BE7" w:rsidRPr="001E2F6E" w:rsidRDefault="00195BE7" w:rsidP="00195BE7">
            <w:pPr>
              <w:widowControl w:val="0"/>
              <w:spacing w:line="240" w:lineRule="exact"/>
              <w:ind w:right="170"/>
              <w:jc w:val="center"/>
              <w:rPr>
                <w:color w:val="FF0000"/>
                <w:sz w:val="16"/>
                <w:szCs w:val="16"/>
              </w:rPr>
            </w:pPr>
            <w:r w:rsidRPr="001E2F6E">
              <w:rPr>
                <w:color w:val="FF0000"/>
                <w:sz w:val="16"/>
                <w:szCs w:val="16"/>
              </w:rPr>
              <w:t>%-2,2</w:t>
            </w:r>
          </w:p>
          <w:p w:rsidR="00195BE7" w:rsidRPr="001E2F6E" w:rsidRDefault="00195BE7" w:rsidP="00195BE7">
            <w:pPr>
              <w:widowControl w:val="0"/>
              <w:spacing w:line="240" w:lineRule="exact"/>
              <w:ind w:right="170"/>
              <w:jc w:val="center"/>
              <w:rPr>
                <w:color w:val="76923C" w:themeColor="accent3" w:themeShade="BF"/>
                <w:sz w:val="16"/>
                <w:szCs w:val="16"/>
              </w:rPr>
            </w:pPr>
            <w:r w:rsidRPr="001E2F6E">
              <w:rPr>
                <w:color w:val="76923C" w:themeColor="accent3" w:themeShade="BF"/>
                <w:sz w:val="16"/>
                <w:szCs w:val="16"/>
              </w:rPr>
              <w:t>%+0,8</w:t>
            </w:r>
          </w:p>
        </w:tc>
        <w:tc>
          <w:tcPr>
            <w:tcW w:w="1667" w:type="pct"/>
            <w:tcBorders>
              <w:left w:val="single" w:sz="4" w:space="0" w:color="BFBFBF" w:themeColor="background1" w:themeShade="BF"/>
              <w:bottom w:val="single" w:sz="4" w:space="0" w:color="BFBFBF" w:themeColor="background1" w:themeShade="BF"/>
            </w:tcBorders>
            <w:vAlign w:val="bottom"/>
          </w:tcPr>
          <w:p w:rsidR="00195BE7" w:rsidRPr="001E2F6E" w:rsidRDefault="00195BE7" w:rsidP="00195BE7">
            <w:pPr>
              <w:widowControl w:val="0"/>
              <w:spacing w:line="240" w:lineRule="exact"/>
              <w:ind w:right="170"/>
              <w:jc w:val="center"/>
              <w:rPr>
                <w:color w:val="FF0000"/>
                <w:sz w:val="16"/>
                <w:szCs w:val="16"/>
              </w:rPr>
            </w:pPr>
            <w:r w:rsidRPr="001E2F6E">
              <w:rPr>
                <w:color w:val="FF0000"/>
                <w:sz w:val="16"/>
                <w:szCs w:val="16"/>
              </w:rPr>
              <w:t>%-8,7</w:t>
            </w:r>
          </w:p>
          <w:p w:rsidR="00195BE7" w:rsidRPr="001E2F6E" w:rsidRDefault="00195BE7" w:rsidP="00195BE7">
            <w:pPr>
              <w:widowControl w:val="0"/>
              <w:spacing w:line="240" w:lineRule="exact"/>
              <w:ind w:right="170"/>
              <w:jc w:val="center"/>
              <w:rPr>
                <w:color w:val="FF0000"/>
                <w:sz w:val="16"/>
                <w:szCs w:val="16"/>
              </w:rPr>
            </w:pPr>
            <w:r w:rsidRPr="001E2F6E">
              <w:rPr>
                <w:color w:val="FF0000"/>
                <w:sz w:val="16"/>
                <w:szCs w:val="16"/>
              </w:rPr>
              <w:t>%-1,1</w:t>
            </w:r>
          </w:p>
        </w:tc>
      </w:tr>
      <w:tr w:rsidR="00195BE7" w:rsidRPr="001E2F6E" w:rsidTr="00195BE7">
        <w:trPr>
          <w:jc w:val="center"/>
        </w:trPr>
        <w:tc>
          <w:tcPr>
            <w:tcW w:w="1666" w:type="pct"/>
            <w:tcBorders>
              <w:top w:val="single" w:sz="4" w:space="0" w:color="BFBFBF" w:themeColor="background1" w:themeShade="BF"/>
              <w:bottom w:val="single" w:sz="4" w:space="0" w:color="BFBFBF" w:themeColor="background1" w:themeShade="BF"/>
              <w:right w:val="single" w:sz="4" w:space="0" w:color="BFBFBF" w:themeColor="background1" w:themeShade="BF"/>
            </w:tcBorders>
          </w:tcPr>
          <w:p w:rsidR="00195BE7" w:rsidRPr="001E2F6E" w:rsidRDefault="00195BE7" w:rsidP="00195BE7">
            <w:pPr>
              <w:widowControl w:val="0"/>
              <w:spacing w:line="240" w:lineRule="exact"/>
              <w:rPr>
                <w:b/>
                <w:sz w:val="16"/>
                <w:szCs w:val="16"/>
              </w:rPr>
            </w:pPr>
            <w:r w:rsidRPr="001E2F6E">
              <w:rPr>
                <w:b/>
                <w:sz w:val="16"/>
                <w:szCs w:val="16"/>
              </w:rPr>
              <w:t>GUZTIRA</w:t>
            </w:r>
          </w:p>
        </w:tc>
        <w:tc>
          <w:tcPr>
            <w:tcW w:w="166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bottom"/>
          </w:tcPr>
          <w:p w:rsidR="00195BE7" w:rsidRPr="001E2F6E" w:rsidRDefault="00195BE7" w:rsidP="00195BE7">
            <w:pPr>
              <w:widowControl w:val="0"/>
              <w:spacing w:line="240" w:lineRule="exact"/>
              <w:ind w:right="170"/>
              <w:jc w:val="center"/>
              <w:rPr>
                <w:b/>
                <w:color w:val="76923C" w:themeColor="accent3" w:themeShade="BF"/>
                <w:sz w:val="16"/>
                <w:szCs w:val="16"/>
              </w:rPr>
            </w:pPr>
            <w:r w:rsidRPr="001E2F6E">
              <w:rPr>
                <w:b/>
                <w:color w:val="76923C" w:themeColor="accent3" w:themeShade="BF"/>
                <w:sz w:val="16"/>
                <w:szCs w:val="16"/>
              </w:rPr>
              <w:t>%+0,1</w:t>
            </w:r>
          </w:p>
        </w:tc>
        <w:tc>
          <w:tcPr>
            <w:tcW w:w="1667" w:type="pct"/>
            <w:tcBorders>
              <w:top w:val="single" w:sz="4" w:space="0" w:color="BFBFBF" w:themeColor="background1" w:themeShade="BF"/>
              <w:left w:val="single" w:sz="4" w:space="0" w:color="BFBFBF" w:themeColor="background1" w:themeShade="BF"/>
              <w:bottom w:val="single" w:sz="4" w:space="0" w:color="BFBFBF" w:themeColor="background1" w:themeShade="BF"/>
            </w:tcBorders>
            <w:vAlign w:val="bottom"/>
          </w:tcPr>
          <w:p w:rsidR="00195BE7" w:rsidRPr="001E2F6E" w:rsidRDefault="00195BE7" w:rsidP="00195BE7">
            <w:pPr>
              <w:widowControl w:val="0"/>
              <w:spacing w:line="240" w:lineRule="exact"/>
              <w:ind w:right="170"/>
              <w:jc w:val="center"/>
              <w:rPr>
                <w:color w:val="76923C" w:themeColor="accent3" w:themeShade="BF"/>
                <w:sz w:val="16"/>
                <w:szCs w:val="16"/>
              </w:rPr>
            </w:pPr>
            <w:r w:rsidRPr="001E2F6E">
              <w:rPr>
                <w:b/>
                <w:color w:val="76923C" w:themeColor="accent3" w:themeShade="BF"/>
                <w:sz w:val="16"/>
                <w:szCs w:val="16"/>
              </w:rPr>
              <w:t>%+0,3</w:t>
            </w:r>
          </w:p>
        </w:tc>
      </w:tr>
    </w:tbl>
    <w:p w:rsidR="00195BE7" w:rsidRPr="001E2F6E" w:rsidRDefault="00195BE7" w:rsidP="00195BE7">
      <w:pPr>
        <w:rPr>
          <w:snapToGrid w:val="0"/>
          <w:lang w:val="es-ES_tradnl"/>
        </w:rPr>
      </w:pPr>
    </w:p>
    <w:p w:rsidR="00195BE7" w:rsidRPr="001E2F6E" w:rsidRDefault="00195BE7" w:rsidP="00195BE7">
      <w:pPr>
        <w:spacing w:line="240" w:lineRule="auto"/>
        <w:jc w:val="center"/>
        <w:rPr>
          <w:rFonts w:eastAsia="Times New Roman"/>
          <w:b/>
          <w:bCs/>
          <w:snapToGrid w:val="0"/>
          <w:color w:val="1F497D" w:themeColor="text2"/>
          <w:sz w:val="18"/>
          <w:szCs w:val="18"/>
          <w:lang w:val="es-ES_tradnl" w:eastAsia="es-ES"/>
        </w:rPr>
      </w:pPr>
      <w:bookmarkStart w:id="271" w:name="_Toc391989220"/>
      <w:bookmarkStart w:id="272" w:name="_Toc392585831"/>
      <w:r w:rsidRPr="001E2F6E">
        <w:rPr>
          <w:rFonts w:eastAsia="Times New Roman"/>
          <w:b/>
          <w:bCs/>
          <w:snapToGrid w:val="0"/>
          <w:color w:val="1F497D" w:themeColor="text2"/>
          <w:sz w:val="18"/>
          <w:szCs w:val="18"/>
          <w:lang w:val="es-ES_tradnl" w:eastAsia="es-ES"/>
        </w:rPr>
        <w:t>2.</w:t>
      </w:r>
      <w:r w:rsidR="00EB6BA6" w:rsidRPr="001E2F6E">
        <w:rPr>
          <w:rFonts w:eastAsia="Times New Roman"/>
          <w:b/>
          <w:bCs/>
          <w:snapToGrid w:val="0"/>
          <w:color w:val="1F497D" w:themeColor="text2"/>
          <w:sz w:val="18"/>
          <w:szCs w:val="18"/>
          <w:lang w:val="es-ES_tradnl" w:eastAsia="es-ES"/>
        </w:rPr>
        <w:fldChar w:fldCharType="begin"/>
      </w:r>
      <w:r w:rsidRPr="001E2F6E">
        <w:rPr>
          <w:rFonts w:eastAsia="Times New Roman"/>
          <w:b/>
          <w:bCs/>
          <w:snapToGrid w:val="0"/>
          <w:color w:val="1F497D" w:themeColor="text2"/>
          <w:sz w:val="18"/>
          <w:szCs w:val="18"/>
          <w:lang w:val="es-ES_tradnl" w:eastAsia="es-ES"/>
        </w:rPr>
        <w:instrText xml:space="preserve"> SEQ Cuadro_2. \* ARABIC </w:instrText>
      </w:r>
      <w:r w:rsidR="00EB6BA6" w:rsidRPr="001E2F6E">
        <w:rPr>
          <w:rFonts w:eastAsia="Times New Roman"/>
          <w:b/>
          <w:bCs/>
          <w:snapToGrid w:val="0"/>
          <w:color w:val="1F497D" w:themeColor="text2"/>
          <w:sz w:val="18"/>
          <w:szCs w:val="18"/>
          <w:lang w:val="es-ES_tradnl" w:eastAsia="es-ES"/>
        </w:rPr>
        <w:fldChar w:fldCharType="separate"/>
      </w:r>
      <w:r w:rsidR="00A327D4">
        <w:rPr>
          <w:rFonts w:eastAsia="Times New Roman"/>
          <w:b/>
          <w:bCs/>
          <w:noProof/>
          <w:snapToGrid w:val="0"/>
          <w:color w:val="1F497D" w:themeColor="text2"/>
          <w:sz w:val="18"/>
          <w:szCs w:val="18"/>
          <w:lang w:val="es-ES_tradnl" w:eastAsia="es-ES"/>
        </w:rPr>
        <w:t>2</w:t>
      </w:r>
      <w:r w:rsidR="00EB6BA6" w:rsidRPr="001E2F6E">
        <w:rPr>
          <w:rFonts w:eastAsia="Times New Roman"/>
          <w:b/>
          <w:bCs/>
          <w:snapToGrid w:val="0"/>
          <w:color w:val="1F497D" w:themeColor="text2"/>
          <w:sz w:val="18"/>
          <w:szCs w:val="18"/>
          <w:lang w:val="es-ES_tradnl" w:eastAsia="es-ES"/>
        </w:rPr>
        <w:fldChar w:fldCharType="end"/>
      </w:r>
      <w:r w:rsidRPr="001E2F6E">
        <w:rPr>
          <w:rFonts w:eastAsia="Times New Roman"/>
          <w:b/>
          <w:bCs/>
          <w:snapToGrid w:val="0"/>
          <w:color w:val="1F497D" w:themeColor="text2"/>
          <w:sz w:val="18"/>
          <w:szCs w:val="18"/>
          <w:lang w:val="es-ES_tradnl" w:eastAsia="es-ES"/>
        </w:rPr>
        <w:t xml:space="preserve"> Taula FORMA JURIDIKOAREN ARABERAKO AZTERKETA</w:t>
      </w:r>
      <w:r w:rsidRPr="001E2F6E">
        <w:rPr>
          <w:b/>
          <w:snapToGrid w:val="0"/>
          <w:color w:val="1F497D" w:themeColor="text2"/>
          <w:sz w:val="18"/>
          <w:szCs w:val="18"/>
          <w:lang w:val="es-ES_tradnl"/>
        </w:rPr>
        <w:t xml:space="preserve">. </w:t>
      </w:r>
      <w:bookmarkEnd w:id="271"/>
      <w:r w:rsidRPr="001E2F6E">
        <w:rPr>
          <w:rFonts w:eastAsia="Times New Roman"/>
          <w:b/>
          <w:bCs/>
          <w:snapToGrid w:val="0"/>
          <w:color w:val="1F497D" w:themeColor="text2"/>
          <w:sz w:val="18"/>
          <w:szCs w:val="18"/>
          <w:lang w:val="es-ES_tradnl" w:eastAsia="es-ES"/>
        </w:rPr>
        <w:t>AURREIKUSITAKO ENPLEGUAREN ETA FAKTURAZIOAREN BILAKAERA. 2012-2013</w:t>
      </w:r>
      <w:bookmarkEnd w:id="272"/>
    </w:p>
    <w:tbl>
      <w:tblPr>
        <w:tblW w:w="5000" w:type="pct"/>
        <w:jc w:val="center"/>
        <w:tblLook w:val="04A0" w:firstRow="1" w:lastRow="0" w:firstColumn="1" w:lastColumn="0" w:noHBand="0" w:noVBand="1"/>
      </w:tblPr>
      <w:tblGrid>
        <w:gridCol w:w="2282"/>
        <w:gridCol w:w="3234"/>
        <w:gridCol w:w="9"/>
        <w:gridCol w:w="3479"/>
      </w:tblGrid>
      <w:tr w:rsidR="00195BE7" w:rsidRPr="001E2F6E" w:rsidTr="00462130">
        <w:trPr>
          <w:jc w:val="center"/>
        </w:trPr>
        <w:tc>
          <w:tcPr>
            <w:tcW w:w="1267" w:type="pct"/>
            <w:vMerge w:val="restart"/>
            <w:tcBorders>
              <w:top w:val="single" w:sz="4" w:space="0" w:color="BFBFBF" w:themeColor="background1" w:themeShade="BF"/>
              <w:right w:val="single" w:sz="4" w:space="0" w:color="BFBFBF" w:themeColor="background1" w:themeShade="BF"/>
            </w:tcBorders>
            <w:shd w:val="clear" w:color="auto" w:fill="DBE5F1" w:themeFill="accent1" w:themeFillTint="33"/>
          </w:tcPr>
          <w:p w:rsidR="00195BE7" w:rsidRPr="001E2F6E" w:rsidRDefault="00195BE7" w:rsidP="00195BE7">
            <w:pPr>
              <w:widowControl w:val="0"/>
              <w:spacing w:line="240" w:lineRule="exact"/>
              <w:jc w:val="center"/>
              <w:rPr>
                <w:b/>
                <w:sz w:val="16"/>
                <w:szCs w:val="16"/>
              </w:rPr>
            </w:pPr>
          </w:p>
        </w:tc>
        <w:tc>
          <w:tcPr>
            <w:tcW w:w="3733" w:type="pct"/>
            <w:gridSpan w:val="3"/>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vAlign w:val="center"/>
          </w:tcPr>
          <w:p w:rsidR="00195BE7" w:rsidRPr="001E2F6E" w:rsidRDefault="00195BE7" w:rsidP="00195BE7">
            <w:pPr>
              <w:widowControl w:val="0"/>
              <w:spacing w:line="240" w:lineRule="exact"/>
              <w:jc w:val="center"/>
              <w:rPr>
                <w:b/>
                <w:sz w:val="16"/>
                <w:szCs w:val="16"/>
              </w:rPr>
            </w:pPr>
            <w:r w:rsidRPr="001E2F6E">
              <w:rPr>
                <w:b/>
                <w:sz w:val="16"/>
                <w:szCs w:val="16"/>
              </w:rPr>
              <w:t>Bilakaera 2012 - 2013</w:t>
            </w:r>
          </w:p>
        </w:tc>
      </w:tr>
      <w:tr w:rsidR="00195BE7" w:rsidRPr="001E2F6E" w:rsidTr="00462130">
        <w:trPr>
          <w:jc w:val="center"/>
        </w:trPr>
        <w:tc>
          <w:tcPr>
            <w:tcW w:w="1267" w:type="pct"/>
            <w:vMerge/>
            <w:tcBorders>
              <w:bottom w:val="single" w:sz="4" w:space="0" w:color="BFBFBF" w:themeColor="background1" w:themeShade="BF"/>
              <w:right w:val="single" w:sz="4" w:space="0" w:color="BFBFBF" w:themeColor="background1" w:themeShade="BF"/>
            </w:tcBorders>
            <w:shd w:val="clear" w:color="auto" w:fill="DBE5F1" w:themeFill="accent1" w:themeFillTint="33"/>
          </w:tcPr>
          <w:p w:rsidR="00195BE7" w:rsidRPr="001E2F6E" w:rsidRDefault="00195BE7" w:rsidP="00195BE7">
            <w:pPr>
              <w:widowControl w:val="0"/>
              <w:spacing w:line="240" w:lineRule="exact"/>
              <w:jc w:val="center"/>
              <w:rPr>
                <w:b/>
                <w:sz w:val="16"/>
                <w:szCs w:val="16"/>
              </w:rPr>
            </w:pPr>
          </w:p>
        </w:tc>
        <w:tc>
          <w:tcPr>
            <w:tcW w:w="1796"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vAlign w:val="center"/>
          </w:tcPr>
          <w:p w:rsidR="00195BE7" w:rsidRPr="001E2F6E" w:rsidRDefault="00195BE7" w:rsidP="00195BE7">
            <w:pPr>
              <w:widowControl w:val="0"/>
              <w:spacing w:line="240" w:lineRule="exact"/>
              <w:jc w:val="center"/>
              <w:rPr>
                <w:b/>
                <w:bCs/>
                <w:sz w:val="16"/>
                <w:szCs w:val="16"/>
                <w:lang w:val="es-ES_tradnl"/>
              </w:rPr>
            </w:pPr>
            <w:r w:rsidRPr="001E2F6E">
              <w:rPr>
                <w:b/>
                <w:sz w:val="16"/>
                <w:szCs w:val="16"/>
              </w:rPr>
              <w:t>Enplegua</w:t>
            </w:r>
          </w:p>
        </w:tc>
        <w:tc>
          <w:tcPr>
            <w:tcW w:w="1937" w:type="pct"/>
            <w:gridSpan w:val="2"/>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vAlign w:val="center"/>
          </w:tcPr>
          <w:p w:rsidR="00195BE7" w:rsidRPr="001E2F6E" w:rsidRDefault="00195BE7" w:rsidP="00195BE7">
            <w:pPr>
              <w:widowControl w:val="0"/>
              <w:spacing w:line="240" w:lineRule="exact"/>
              <w:jc w:val="center"/>
              <w:rPr>
                <w:b/>
                <w:sz w:val="16"/>
                <w:szCs w:val="16"/>
              </w:rPr>
            </w:pPr>
            <w:r w:rsidRPr="001E2F6E">
              <w:rPr>
                <w:b/>
                <w:bCs/>
                <w:sz w:val="16"/>
                <w:szCs w:val="16"/>
                <w:lang w:val="es-ES_tradnl"/>
              </w:rPr>
              <w:t>Fakturazioa</w:t>
            </w:r>
          </w:p>
        </w:tc>
      </w:tr>
      <w:tr w:rsidR="00195BE7" w:rsidRPr="001E2F6E" w:rsidTr="00462130">
        <w:trPr>
          <w:jc w:val="center"/>
        </w:trPr>
        <w:tc>
          <w:tcPr>
            <w:tcW w:w="1267" w:type="pct"/>
            <w:tcBorders>
              <w:top w:val="single" w:sz="4" w:space="0" w:color="BFBFBF" w:themeColor="background1" w:themeShade="BF"/>
              <w:right w:val="single" w:sz="4" w:space="0" w:color="BFBFBF" w:themeColor="background1" w:themeShade="BF"/>
            </w:tcBorders>
            <w:vAlign w:val="bottom"/>
          </w:tcPr>
          <w:p w:rsidR="00195BE7" w:rsidRPr="001E2F6E" w:rsidRDefault="00195BE7" w:rsidP="00195BE7">
            <w:pPr>
              <w:spacing w:line="240" w:lineRule="exact"/>
              <w:rPr>
                <w:color w:val="000000"/>
                <w:sz w:val="16"/>
                <w:szCs w:val="16"/>
              </w:rPr>
            </w:pPr>
            <w:r w:rsidRPr="001E2F6E">
              <w:rPr>
                <w:color w:val="000000"/>
                <w:sz w:val="16"/>
                <w:szCs w:val="16"/>
              </w:rPr>
              <w:t>Koop</w:t>
            </w:r>
          </w:p>
        </w:tc>
        <w:tc>
          <w:tcPr>
            <w:tcW w:w="1801" w:type="pct"/>
            <w:gridSpan w:val="2"/>
            <w:tcBorders>
              <w:top w:val="single" w:sz="4" w:space="0" w:color="BFBFBF" w:themeColor="background1" w:themeShade="BF"/>
              <w:left w:val="single" w:sz="4" w:space="0" w:color="BFBFBF" w:themeColor="background1" w:themeShade="BF"/>
              <w:right w:val="single" w:sz="4" w:space="0" w:color="BFBFBF" w:themeColor="background1" w:themeShade="BF"/>
            </w:tcBorders>
            <w:vAlign w:val="bottom"/>
          </w:tcPr>
          <w:p w:rsidR="00195BE7" w:rsidRPr="001E2F6E" w:rsidRDefault="00195BE7" w:rsidP="00195BE7">
            <w:pPr>
              <w:widowControl w:val="0"/>
              <w:spacing w:line="240" w:lineRule="exact"/>
              <w:ind w:right="284"/>
              <w:jc w:val="center"/>
              <w:rPr>
                <w:color w:val="76923C" w:themeColor="accent3" w:themeShade="BF"/>
                <w:sz w:val="16"/>
                <w:szCs w:val="16"/>
              </w:rPr>
            </w:pPr>
            <w:r w:rsidRPr="001E2F6E">
              <w:rPr>
                <w:color w:val="76923C" w:themeColor="accent3" w:themeShade="BF"/>
                <w:sz w:val="16"/>
                <w:szCs w:val="16"/>
              </w:rPr>
              <w:t>%+0,2</w:t>
            </w:r>
          </w:p>
        </w:tc>
        <w:tc>
          <w:tcPr>
            <w:tcW w:w="1932" w:type="pct"/>
            <w:tcBorders>
              <w:top w:val="single" w:sz="4" w:space="0" w:color="BFBFBF" w:themeColor="background1" w:themeShade="BF"/>
              <w:left w:val="single" w:sz="4" w:space="0" w:color="BFBFBF" w:themeColor="background1" w:themeShade="BF"/>
            </w:tcBorders>
            <w:vAlign w:val="bottom"/>
          </w:tcPr>
          <w:p w:rsidR="00195BE7" w:rsidRPr="001E2F6E" w:rsidRDefault="00195BE7" w:rsidP="00195BE7">
            <w:pPr>
              <w:spacing w:line="240" w:lineRule="exact"/>
              <w:ind w:right="284"/>
              <w:jc w:val="center"/>
              <w:rPr>
                <w:color w:val="76923C" w:themeColor="accent3" w:themeShade="BF"/>
                <w:sz w:val="16"/>
                <w:szCs w:val="16"/>
              </w:rPr>
            </w:pPr>
            <w:r w:rsidRPr="001E2F6E">
              <w:rPr>
                <w:color w:val="76923C" w:themeColor="accent3" w:themeShade="BF"/>
                <w:sz w:val="16"/>
                <w:szCs w:val="16"/>
              </w:rPr>
              <w:t>%+0,5</w:t>
            </w:r>
          </w:p>
        </w:tc>
      </w:tr>
      <w:tr w:rsidR="00195BE7" w:rsidRPr="001E2F6E" w:rsidTr="00195BE7">
        <w:trPr>
          <w:jc w:val="center"/>
        </w:trPr>
        <w:tc>
          <w:tcPr>
            <w:tcW w:w="1267" w:type="pct"/>
            <w:tcBorders>
              <w:right w:val="single" w:sz="4" w:space="0" w:color="BFBFBF" w:themeColor="background1" w:themeShade="BF"/>
            </w:tcBorders>
            <w:vAlign w:val="bottom"/>
          </w:tcPr>
          <w:p w:rsidR="00195BE7" w:rsidRPr="001E2F6E" w:rsidRDefault="00195BE7" w:rsidP="00195BE7">
            <w:pPr>
              <w:spacing w:line="240" w:lineRule="exact"/>
              <w:rPr>
                <w:color w:val="000000"/>
                <w:sz w:val="16"/>
                <w:szCs w:val="16"/>
              </w:rPr>
            </w:pPr>
            <w:r w:rsidRPr="001E2F6E">
              <w:rPr>
                <w:color w:val="000000"/>
                <w:sz w:val="16"/>
                <w:szCs w:val="16"/>
              </w:rPr>
              <w:t>LSA</w:t>
            </w:r>
          </w:p>
        </w:tc>
        <w:tc>
          <w:tcPr>
            <w:tcW w:w="1801" w:type="pct"/>
            <w:gridSpan w:val="2"/>
            <w:tcBorders>
              <w:left w:val="single" w:sz="4" w:space="0" w:color="BFBFBF" w:themeColor="background1" w:themeShade="BF"/>
              <w:right w:val="single" w:sz="4" w:space="0" w:color="BFBFBF" w:themeColor="background1" w:themeShade="BF"/>
            </w:tcBorders>
            <w:vAlign w:val="bottom"/>
          </w:tcPr>
          <w:p w:rsidR="00195BE7" w:rsidRPr="001E2F6E" w:rsidRDefault="00195BE7" w:rsidP="00195BE7">
            <w:pPr>
              <w:spacing w:line="240" w:lineRule="exact"/>
              <w:ind w:right="284"/>
              <w:jc w:val="center"/>
              <w:rPr>
                <w:color w:val="76923C" w:themeColor="accent3" w:themeShade="BF"/>
                <w:sz w:val="16"/>
                <w:szCs w:val="16"/>
              </w:rPr>
            </w:pPr>
            <w:r w:rsidRPr="001E2F6E">
              <w:rPr>
                <w:color w:val="76923C" w:themeColor="accent3" w:themeShade="BF"/>
                <w:sz w:val="16"/>
                <w:szCs w:val="16"/>
              </w:rPr>
              <w:t>%+1,4</w:t>
            </w:r>
          </w:p>
        </w:tc>
        <w:tc>
          <w:tcPr>
            <w:tcW w:w="1932" w:type="pct"/>
            <w:tcBorders>
              <w:left w:val="single" w:sz="4" w:space="0" w:color="BFBFBF" w:themeColor="background1" w:themeShade="BF"/>
            </w:tcBorders>
            <w:vAlign w:val="bottom"/>
          </w:tcPr>
          <w:p w:rsidR="00195BE7" w:rsidRPr="001E2F6E" w:rsidRDefault="00195BE7" w:rsidP="00195BE7">
            <w:pPr>
              <w:spacing w:line="240" w:lineRule="exact"/>
              <w:ind w:right="284"/>
              <w:jc w:val="center"/>
              <w:rPr>
                <w:color w:val="FF0000"/>
                <w:sz w:val="16"/>
                <w:szCs w:val="16"/>
              </w:rPr>
            </w:pPr>
            <w:r w:rsidRPr="001E2F6E">
              <w:rPr>
                <w:color w:val="FF0000"/>
                <w:sz w:val="16"/>
                <w:szCs w:val="16"/>
              </w:rPr>
              <w:t>%-2,5</w:t>
            </w:r>
          </w:p>
        </w:tc>
      </w:tr>
      <w:tr w:rsidR="00195BE7" w:rsidRPr="001E2F6E" w:rsidTr="00195BE7">
        <w:trPr>
          <w:jc w:val="center"/>
        </w:trPr>
        <w:tc>
          <w:tcPr>
            <w:tcW w:w="1267" w:type="pct"/>
            <w:tcBorders>
              <w:right w:val="single" w:sz="4" w:space="0" w:color="BFBFBF" w:themeColor="background1" w:themeShade="BF"/>
            </w:tcBorders>
            <w:vAlign w:val="bottom"/>
          </w:tcPr>
          <w:p w:rsidR="00195BE7" w:rsidRPr="001E2F6E" w:rsidRDefault="00195BE7" w:rsidP="00195BE7">
            <w:pPr>
              <w:spacing w:line="240" w:lineRule="exact"/>
              <w:rPr>
                <w:color w:val="000000"/>
                <w:sz w:val="16"/>
                <w:szCs w:val="16"/>
              </w:rPr>
            </w:pPr>
            <w:r w:rsidRPr="001E2F6E">
              <w:rPr>
                <w:color w:val="000000"/>
                <w:sz w:val="16"/>
                <w:szCs w:val="16"/>
              </w:rPr>
              <w:t>LSM</w:t>
            </w:r>
          </w:p>
        </w:tc>
        <w:tc>
          <w:tcPr>
            <w:tcW w:w="1801" w:type="pct"/>
            <w:gridSpan w:val="2"/>
            <w:tcBorders>
              <w:left w:val="single" w:sz="4" w:space="0" w:color="BFBFBF" w:themeColor="background1" w:themeShade="BF"/>
              <w:bottom w:val="single" w:sz="4" w:space="0" w:color="BFBFBF" w:themeColor="background1" w:themeShade="BF"/>
              <w:right w:val="single" w:sz="4" w:space="0" w:color="BFBFBF" w:themeColor="background1" w:themeShade="BF"/>
            </w:tcBorders>
            <w:vAlign w:val="bottom"/>
          </w:tcPr>
          <w:p w:rsidR="00195BE7" w:rsidRPr="001E2F6E" w:rsidRDefault="00195BE7" w:rsidP="00195BE7">
            <w:pPr>
              <w:widowControl w:val="0"/>
              <w:spacing w:line="240" w:lineRule="exact"/>
              <w:ind w:right="284"/>
              <w:jc w:val="center"/>
              <w:rPr>
                <w:color w:val="76923C" w:themeColor="accent3" w:themeShade="BF"/>
                <w:sz w:val="16"/>
                <w:szCs w:val="16"/>
              </w:rPr>
            </w:pPr>
            <w:r w:rsidRPr="001E2F6E">
              <w:rPr>
                <w:color w:val="FF0000"/>
                <w:sz w:val="16"/>
                <w:szCs w:val="16"/>
              </w:rPr>
              <w:t>%-2,3</w:t>
            </w:r>
          </w:p>
        </w:tc>
        <w:tc>
          <w:tcPr>
            <w:tcW w:w="1932" w:type="pct"/>
            <w:tcBorders>
              <w:left w:val="single" w:sz="4" w:space="0" w:color="BFBFBF" w:themeColor="background1" w:themeShade="BF"/>
            </w:tcBorders>
            <w:vAlign w:val="bottom"/>
          </w:tcPr>
          <w:p w:rsidR="00195BE7" w:rsidRPr="001E2F6E" w:rsidRDefault="00195BE7" w:rsidP="00195BE7">
            <w:pPr>
              <w:spacing w:line="240" w:lineRule="exact"/>
              <w:ind w:right="284"/>
              <w:jc w:val="center"/>
              <w:rPr>
                <w:color w:val="FF0000"/>
                <w:sz w:val="16"/>
                <w:szCs w:val="16"/>
              </w:rPr>
            </w:pPr>
            <w:r w:rsidRPr="001E2F6E">
              <w:rPr>
                <w:color w:val="FF0000"/>
                <w:sz w:val="16"/>
                <w:szCs w:val="16"/>
              </w:rPr>
              <w:t>%-3,2</w:t>
            </w:r>
          </w:p>
        </w:tc>
      </w:tr>
      <w:tr w:rsidR="00195BE7" w:rsidRPr="001E2F6E" w:rsidTr="00195BE7">
        <w:trPr>
          <w:jc w:val="center"/>
        </w:trPr>
        <w:tc>
          <w:tcPr>
            <w:tcW w:w="1267" w:type="pct"/>
            <w:tcBorders>
              <w:top w:val="single" w:sz="4" w:space="0" w:color="BFBFBF" w:themeColor="background1" w:themeShade="BF"/>
              <w:bottom w:val="single" w:sz="4" w:space="0" w:color="BFBFBF" w:themeColor="background1" w:themeShade="BF"/>
              <w:right w:val="single" w:sz="4" w:space="0" w:color="BFBFBF" w:themeColor="background1" w:themeShade="BF"/>
            </w:tcBorders>
            <w:vAlign w:val="bottom"/>
          </w:tcPr>
          <w:p w:rsidR="00195BE7" w:rsidRPr="001E2F6E" w:rsidRDefault="00195BE7" w:rsidP="00195BE7">
            <w:pPr>
              <w:widowControl w:val="0"/>
              <w:spacing w:line="240" w:lineRule="exact"/>
              <w:rPr>
                <w:b/>
                <w:sz w:val="16"/>
                <w:szCs w:val="16"/>
              </w:rPr>
            </w:pPr>
            <w:r w:rsidRPr="001E2F6E">
              <w:rPr>
                <w:b/>
                <w:sz w:val="16"/>
                <w:szCs w:val="16"/>
              </w:rPr>
              <w:t>GUZTIRA</w:t>
            </w:r>
          </w:p>
        </w:tc>
        <w:tc>
          <w:tcPr>
            <w:tcW w:w="1801"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bottom"/>
          </w:tcPr>
          <w:p w:rsidR="00195BE7" w:rsidRPr="001E2F6E" w:rsidRDefault="00195BE7" w:rsidP="00195BE7">
            <w:pPr>
              <w:widowControl w:val="0"/>
              <w:spacing w:line="240" w:lineRule="exact"/>
              <w:ind w:right="284"/>
              <w:jc w:val="center"/>
              <w:rPr>
                <w:b/>
                <w:color w:val="76923C" w:themeColor="accent3" w:themeShade="BF"/>
                <w:sz w:val="16"/>
                <w:szCs w:val="16"/>
              </w:rPr>
            </w:pPr>
            <w:r w:rsidRPr="001E2F6E">
              <w:rPr>
                <w:b/>
                <w:color w:val="76923C" w:themeColor="accent3" w:themeShade="BF"/>
                <w:sz w:val="16"/>
                <w:szCs w:val="16"/>
              </w:rPr>
              <w:t>%+0,1</w:t>
            </w:r>
          </w:p>
        </w:tc>
        <w:tc>
          <w:tcPr>
            <w:tcW w:w="1932" w:type="pct"/>
            <w:tcBorders>
              <w:top w:val="single" w:sz="4" w:space="0" w:color="BFBFBF" w:themeColor="background1" w:themeShade="BF"/>
              <w:left w:val="single" w:sz="4" w:space="0" w:color="BFBFBF" w:themeColor="background1" w:themeShade="BF"/>
              <w:bottom w:val="single" w:sz="4" w:space="0" w:color="BFBFBF" w:themeColor="background1" w:themeShade="BF"/>
            </w:tcBorders>
            <w:vAlign w:val="bottom"/>
          </w:tcPr>
          <w:p w:rsidR="00195BE7" w:rsidRPr="001E2F6E" w:rsidRDefault="00195BE7" w:rsidP="00195BE7">
            <w:pPr>
              <w:widowControl w:val="0"/>
              <w:spacing w:line="240" w:lineRule="exact"/>
              <w:ind w:right="284"/>
              <w:jc w:val="center"/>
              <w:rPr>
                <w:color w:val="76923C" w:themeColor="accent3" w:themeShade="BF"/>
                <w:sz w:val="16"/>
                <w:szCs w:val="16"/>
              </w:rPr>
            </w:pPr>
            <w:r w:rsidRPr="001E2F6E">
              <w:rPr>
                <w:b/>
                <w:color w:val="76923C" w:themeColor="accent3" w:themeShade="BF"/>
                <w:sz w:val="16"/>
                <w:szCs w:val="16"/>
              </w:rPr>
              <w:t>%+0,3</w:t>
            </w:r>
          </w:p>
        </w:tc>
      </w:tr>
    </w:tbl>
    <w:p w:rsidR="00195BE7" w:rsidRPr="001E2F6E" w:rsidRDefault="00195BE7" w:rsidP="00195BE7">
      <w:pPr>
        <w:rPr>
          <w:i/>
        </w:rPr>
      </w:pPr>
    </w:p>
    <w:p w:rsidR="00195BE7" w:rsidRPr="001E2F6E" w:rsidRDefault="00195BE7" w:rsidP="00195BE7">
      <w:pPr>
        <w:spacing w:line="240" w:lineRule="auto"/>
        <w:jc w:val="center"/>
        <w:rPr>
          <w:b/>
          <w:snapToGrid w:val="0"/>
          <w:color w:val="1F497D" w:themeColor="text2"/>
          <w:sz w:val="18"/>
          <w:szCs w:val="18"/>
          <w:lang w:val="es-ES_tradnl"/>
        </w:rPr>
      </w:pPr>
      <w:bookmarkStart w:id="273" w:name="_Toc391989221"/>
      <w:bookmarkStart w:id="274" w:name="_Toc392585832"/>
      <w:r w:rsidRPr="00A105C6">
        <w:rPr>
          <w:rFonts w:eastAsia="Times New Roman"/>
          <w:b/>
          <w:bCs/>
          <w:snapToGrid w:val="0"/>
          <w:color w:val="1F497D" w:themeColor="text2"/>
          <w:sz w:val="18"/>
          <w:szCs w:val="18"/>
          <w:lang w:val="de-DE" w:eastAsia="es-ES"/>
        </w:rPr>
        <w:t>2.</w:t>
      </w:r>
      <w:r w:rsidR="00EB6BA6" w:rsidRPr="001E2F6E">
        <w:rPr>
          <w:rFonts w:eastAsia="Times New Roman"/>
          <w:b/>
          <w:bCs/>
          <w:snapToGrid w:val="0"/>
          <w:color w:val="1F497D" w:themeColor="text2"/>
          <w:sz w:val="18"/>
          <w:szCs w:val="18"/>
          <w:lang w:val="es-ES_tradnl" w:eastAsia="es-ES"/>
        </w:rPr>
        <w:fldChar w:fldCharType="begin"/>
      </w:r>
      <w:r w:rsidRPr="00A105C6">
        <w:rPr>
          <w:rFonts w:eastAsia="Times New Roman"/>
          <w:b/>
          <w:bCs/>
          <w:snapToGrid w:val="0"/>
          <w:color w:val="1F497D" w:themeColor="text2"/>
          <w:sz w:val="18"/>
          <w:szCs w:val="18"/>
          <w:lang w:val="de-DE" w:eastAsia="es-ES"/>
        </w:rPr>
        <w:instrText xml:space="preserve"> SEQ Cuadro_2. \* ARABIC </w:instrText>
      </w:r>
      <w:r w:rsidR="00EB6BA6" w:rsidRPr="001E2F6E">
        <w:rPr>
          <w:rFonts w:eastAsia="Times New Roman"/>
          <w:b/>
          <w:bCs/>
          <w:snapToGrid w:val="0"/>
          <w:color w:val="1F497D" w:themeColor="text2"/>
          <w:sz w:val="18"/>
          <w:szCs w:val="18"/>
          <w:lang w:val="es-ES_tradnl" w:eastAsia="es-ES"/>
        </w:rPr>
        <w:fldChar w:fldCharType="separate"/>
      </w:r>
      <w:r w:rsidR="00A327D4">
        <w:rPr>
          <w:rFonts w:eastAsia="Times New Roman"/>
          <w:b/>
          <w:bCs/>
          <w:noProof/>
          <w:snapToGrid w:val="0"/>
          <w:color w:val="1F497D" w:themeColor="text2"/>
          <w:sz w:val="18"/>
          <w:szCs w:val="18"/>
          <w:lang w:val="de-DE" w:eastAsia="es-ES"/>
        </w:rPr>
        <w:t>3</w:t>
      </w:r>
      <w:r w:rsidR="00EB6BA6" w:rsidRPr="001E2F6E">
        <w:rPr>
          <w:rFonts w:eastAsia="Times New Roman"/>
          <w:b/>
          <w:bCs/>
          <w:snapToGrid w:val="0"/>
          <w:color w:val="1F497D" w:themeColor="text2"/>
          <w:sz w:val="18"/>
          <w:szCs w:val="18"/>
          <w:lang w:val="es-ES_tradnl" w:eastAsia="es-ES"/>
        </w:rPr>
        <w:fldChar w:fldCharType="end"/>
      </w:r>
      <w:r w:rsidRPr="00A105C6">
        <w:rPr>
          <w:rFonts w:eastAsia="Times New Roman"/>
          <w:b/>
          <w:bCs/>
          <w:snapToGrid w:val="0"/>
          <w:color w:val="1F497D" w:themeColor="text2"/>
          <w:sz w:val="18"/>
          <w:szCs w:val="18"/>
          <w:lang w:val="de-DE" w:eastAsia="es-ES"/>
        </w:rPr>
        <w:t xml:space="preserve"> Taula  LURRALDE HISTORIKOAREN ARABERAKO AZTERKETA. </w:t>
      </w:r>
      <w:bookmarkEnd w:id="273"/>
      <w:r w:rsidRPr="001E2F6E">
        <w:rPr>
          <w:rFonts w:eastAsia="Times New Roman"/>
          <w:b/>
          <w:bCs/>
          <w:snapToGrid w:val="0"/>
          <w:color w:val="1F497D" w:themeColor="text2"/>
          <w:sz w:val="18"/>
          <w:szCs w:val="18"/>
          <w:lang w:val="es-ES_tradnl" w:eastAsia="es-ES"/>
        </w:rPr>
        <w:t>AURREIKUSITAKO ENPLEGUAREN ETA FAKTURAZIOAREN BILAKAERA. 2012-2013</w:t>
      </w:r>
      <w:bookmarkEnd w:id="274"/>
    </w:p>
    <w:tbl>
      <w:tblPr>
        <w:tblW w:w="5000" w:type="pct"/>
        <w:jc w:val="center"/>
        <w:tblLook w:val="04A0" w:firstRow="1" w:lastRow="0" w:firstColumn="1" w:lastColumn="0" w:noHBand="0" w:noVBand="1"/>
      </w:tblPr>
      <w:tblGrid>
        <w:gridCol w:w="2282"/>
        <w:gridCol w:w="3234"/>
        <w:gridCol w:w="9"/>
        <w:gridCol w:w="3479"/>
      </w:tblGrid>
      <w:tr w:rsidR="00195BE7" w:rsidRPr="001E2F6E" w:rsidTr="00462130">
        <w:trPr>
          <w:jc w:val="center"/>
        </w:trPr>
        <w:tc>
          <w:tcPr>
            <w:tcW w:w="1267" w:type="pct"/>
            <w:vMerge w:val="restar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tcPr>
          <w:p w:rsidR="00195BE7" w:rsidRPr="001E2F6E" w:rsidRDefault="00195BE7" w:rsidP="00195BE7">
            <w:pPr>
              <w:widowControl w:val="0"/>
              <w:spacing w:line="240" w:lineRule="exact"/>
              <w:jc w:val="center"/>
              <w:rPr>
                <w:b/>
                <w:sz w:val="16"/>
                <w:szCs w:val="16"/>
              </w:rPr>
            </w:pPr>
          </w:p>
        </w:tc>
        <w:tc>
          <w:tcPr>
            <w:tcW w:w="3733" w:type="pct"/>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tcPr>
          <w:p w:rsidR="00195BE7" w:rsidRPr="001E2F6E" w:rsidRDefault="00195BE7" w:rsidP="00195BE7">
            <w:pPr>
              <w:widowControl w:val="0"/>
              <w:spacing w:line="240" w:lineRule="exact"/>
              <w:jc w:val="center"/>
              <w:rPr>
                <w:b/>
                <w:sz w:val="16"/>
                <w:szCs w:val="16"/>
              </w:rPr>
            </w:pPr>
            <w:r w:rsidRPr="001E2F6E">
              <w:rPr>
                <w:b/>
                <w:sz w:val="16"/>
                <w:szCs w:val="16"/>
              </w:rPr>
              <w:t>Bilakaera 2012 - 2013</w:t>
            </w:r>
          </w:p>
        </w:tc>
      </w:tr>
      <w:tr w:rsidR="00195BE7" w:rsidRPr="001E2F6E" w:rsidTr="00462130">
        <w:trPr>
          <w:jc w:val="center"/>
        </w:trPr>
        <w:tc>
          <w:tcPr>
            <w:tcW w:w="1267" w:type="pct"/>
            <w:vMerge/>
            <w:tcBorders>
              <w:bottom w:val="single" w:sz="4" w:space="0" w:color="BFBFBF" w:themeColor="background1" w:themeShade="BF"/>
              <w:right w:val="single" w:sz="4" w:space="0" w:color="BFBFBF" w:themeColor="background1" w:themeShade="BF"/>
            </w:tcBorders>
            <w:shd w:val="clear" w:color="auto" w:fill="DBE5F1" w:themeFill="accent1" w:themeFillTint="33"/>
          </w:tcPr>
          <w:p w:rsidR="00195BE7" w:rsidRPr="001E2F6E" w:rsidRDefault="00195BE7" w:rsidP="00195BE7">
            <w:pPr>
              <w:widowControl w:val="0"/>
              <w:spacing w:line="240" w:lineRule="exact"/>
              <w:jc w:val="center"/>
              <w:rPr>
                <w:b/>
                <w:sz w:val="16"/>
                <w:szCs w:val="16"/>
              </w:rPr>
            </w:pPr>
          </w:p>
        </w:tc>
        <w:tc>
          <w:tcPr>
            <w:tcW w:w="179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tcPr>
          <w:p w:rsidR="00195BE7" w:rsidRPr="001E2F6E" w:rsidRDefault="00195BE7" w:rsidP="00195BE7">
            <w:pPr>
              <w:widowControl w:val="0"/>
              <w:spacing w:line="240" w:lineRule="exact"/>
              <w:jc w:val="center"/>
              <w:rPr>
                <w:b/>
                <w:bCs/>
                <w:sz w:val="16"/>
                <w:szCs w:val="16"/>
                <w:lang w:val="es-ES_tradnl"/>
              </w:rPr>
            </w:pPr>
            <w:r w:rsidRPr="001E2F6E">
              <w:rPr>
                <w:b/>
                <w:sz w:val="16"/>
                <w:szCs w:val="16"/>
              </w:rPr>
              <w:t>Enplegua</w:t>
            </w:r>
          </w:p>
        </w:tc>
        <w:tc>
          <w:tcPr>
            <w:tcW w:w="1937"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tcPr>
          <w:p w:rsidR="00195BE7" w:rsidRPr="001E2F6E" w:rsidRDefault="00195BE7" w:rsidP="00195BE7">
            <w:pPr>
              <w:widowControl w:val="0"/>
              <w:spacing w:line="240" w:lineRule="exact"/>
              <w:jc w:val="center"/>
              <w:rPr>
                <w:b/>
                <w:sz w:val="16"/>
                <w:szCs w:val="16"/>
              </w:rPr>
            </w:pPr>
            <w:r w:rsidRPr="001E2F6E">
              <w:rPr>
                <w:b/>
                <w:bCs/>
                <w:sz w:val="16"/>
                <w:szCs w:val="16"/>
                <w:lang w:val="es-ES_tradnl"/>
              </w:rPr>
              <w:t>Fakturazioa</w:t>
            </w:r>
          </w:p>
        </w:tc>
      </w:tr>
      <w:tr w:rsidR="00195BE7" w:rsidRPr="001E2F6E" w:rsidTr="00462130">
        <w:trPr>
          <w:jc w:val="center"/>
        </w:trPr>
        <w:tc>
          <w:tcPr>
            <w:tcW w:w="1267" w:type="pct"/>
            <w:tcBorders>
              <w:top w:val="single" w:sz="4" w:space="0" w:color="BFBFBF" w:themeColor="background1" w:themeShade="BF"/>
              <w:right w:val="single" w:sz="4" w:space="0" w:color="BFBFBF" w:themeColor="background1" w:themeShade="BF"/>
            </w:tcBorders>
            <w:vAlign w:val="bottom"/>
          </w:tcPr>
          <w:p w:rsidR="00195BE7" w:rsidRPr="001E2F6E" w:rsidRDefault="00195BE7" w:rsidP="00195BE7">
            <w:pPr>
              <w:spacing w:line="240" w:lineRule="exact"/>
              <w:rPr>
                <w:color w:val="000000"/>
                <w:sz w:val="16"/>
                <w:szCs w:val="16"/>
              </w:rPr>
            </w:pPr>
            <w:r w:rsidRPr="001E2F6E">
              <w:rPr>
                <w:color w:val="000000"/>
                <w:sz w:val="16"/>
                <w:szCs w:val="16"/>
              </w:rPr>
              <w:t>Araba</w:t>
            </w:r>
          </w:p>
        </w:tc>
        <w:tc>
          <w:tcPr>
            <w:tcW w:w="1801" w:type="pct"/>
            <w:gridSpan w:val="2"/>
            <w:tcBorders>
              <w:top w:val="single" w:sz="4" w:space="0" w:color="BFBFBF" w:themeColor="background1" w:themeShade="BF"/>
              <w:left w:val="single" w:sz="4" w:space="0" w:color="BFBFBF" w:themeColor="background1" w:themeShade="BF"/>
              <w:right w:val="single" w:sz="4" w:space="0" w:color="BFBFBF" w:themeColor="background1" w:themeShade="BF"/>
            </w:tcBorders>
            <w:vAlign w:val="bottom"/>
          </w:tcPr>
          <w:p w:rsidR="00195BE7" w:rsidRPr="001E2F6E" w:rsidRDefault="00195BE7" w:rsidP="00195BE7">
            <w:pPr>
              <w:widowControl w:val="0"/>
              <w:spacing w:line="240" w:lineRule="exact"/>
              <w:ind w:right="284"/>
              <w:jc w:val="center"/>
              <w:rPr>
                <w:color w:val="76923C" w:themeColor="accent3" w:themeShade="BF"/>
                <w:sz w:val="16"/>
                <w:szCs w:val="16"/>
              </w:rPr>
            </w:pPr>
            <w:r w:rsidRPr="001E2F6E">
              <w:rPr>
                <w:color w:val="FF0000"/>
                <w:sz w:val="16"/>
                <w:szCs w:val="16"/>
              </w:rPr>
              <w:t>%-0,4</w:t>
            </w:r>
          </w:p>
        </w:tc>
        <w:tc>
          <w:tcPr>
            <w:tcW w:w="1932" w:type="pct"/>
            <w:tcBorders>
              <w:top w:val="single" w:sz="4" w:space="0" w:color="BFBFBF" w:themeColor="background1" w:themeShade="BF"/>
              <w:left w:val="single" w:sz="4" w:space="0" w:color="BFBFBF" w:themeColor="background1" w:themeShade="BF"/>
            </w:tcBorders>
            <w:vAlign w:val="bottom"/>
          </w:tcPr>
          <w:p w:rsidR="00195BE7" w:rsidRPr="001E2F6E" w:rsidRDefault="00195BE7" w:rsidP="00195BE7">
            <w:pPr>
              <w:spacing w:line="240" w:lineRule="exact"/>
              <w:ind w:right="284"/>
              <w:jc w:val="center"/>
              <w:rPr>
                <w:color w:val="76923C" w:themeColor="accent3" w:themeShade="BF"/>
                <w:sz w:val="16"/>
                <w:szCs w:val="16"/>
              </w:rPr>
            </w:pPr>
            <w:r w:rsidRPr="001E2F6E">
              <w:rPr>
                <w:color w:val="FF0000"/>
                <w:sz w:val="16"/>
                <w:szCs w:val="16"/>
              </w:rPr>
              <w:t>%-1,2</w:t>
            </w:r>
          </w:p>
        </w:tc>
      </w:tr>
      <w:tr w:rsidR="00195BE7" w:rsidRPr="001E2F6E" w:rsidTr="00195BE7">
        <w:trPr>
          <w:jc w:val="center"/>
        </w:trPr>
        <w:tc>
          <w:tcPr>
            <w:tcW w:w="1267" w:type="pct"/>
            <w:tcBorders>
              <w:right w:val="single" w:sz="4" w:space="0" w:color="BFBFBF" w:themeColor="background1" w:themeShade="BF"/>
            </w:tcBorders>
            <w:vAlign w:val="bottom"/>
          </w:tcPr>
          <w:p w:rsidR="00195BE7" w:rsidRPr="001E2F6E" w:rsidRDefault="00195BE7" w:rsidP="00195BE7">
            <w:pPr>
              <w:spacing w:line="240" w:lineRule="exact"/>
              <w:rPr>
                <w:color w:val="000000"/>
                <w:sz w:val="16"/>
                <w:szCs w:val="16"/>
              </w:rPr>
            </w:pPr>
            <w:r w:rsidRPr="001E2F6E">
              <w:rPr>
                <w:color w:val="000000"/>
                <w:sz w:val="16"/>
                <w:szCs w:val="16"/>
              </w:rPr>
              <w:t>Bizkaia</w:t>
            </w:r>
          </w:p>
        </w:tc>
        <w:tc>
          <w:tcPr>
            <w:tcW w:w="1801" w:type="pct"/>
            <w:gridSpan w:val="2"/>
            <w:tcBorders>
              <w:left w:val="single" w:sz="4" w:space="0" w:color="BFBFBF" w:themeColor="background1" w:themeShade="BF"/>
              <w:right w:val="single" w:sz="4" w:space="0" w:color="BFBFBF" w:themeColor="background1" w:themeShade="BF"/>
            </w:tcBorders>
            <w:vAlign w:val="bottom"/>
          </w:tcPr>
          <w:p w:rsidR="00195BE7" w:rsidRPr="001E2F6E" w:rsidRDefault="00195BE7" w:rsidP="00195BE7">
            <w:pPr>
              <w:spacing w:line="240" w:lineRule="exact"/>
              <w:ind w:right="284"/>
              <w:jc w:val="center"/>
              <w:rPr>
                <w:color w:val="FF0000"/>
                <w:sz w:val="16"/>
                <w:szCs w:val="16"/>
              </w:rPr>
            </w:pPr>
            <w:r w:rsidRPr="001E2F6E">
              <w:rPr>
                <w:color w:val="FF0000"/>
                <w:sz w:val="16"/>
                <w:szCs w:val="16"/>
              </w:rPr>
              <w:t>%-0,2</w:t>
            </w:r>
          </w:p>
        </w:tc>
        <w:tc>
          <w:tcPr>
            <w:tcW w:w="1932" w:type="pct"/>
            <w:tcBorders>
              <w:left w:val="single" w:sz="4" w:space="0" w:color="BFBFBF" w:themeColor="background1" w:themeShade="BF"/>
            </w:tcBorders>
            <w:vAlign w:val="bottom"/>
          </w:tcPr>
          <w:p w:rsidR="00195BE7" w:rsidRPr="001E2F6E" w:rsidRDefault="00195BE7" w:rsidP="00195BE7">
            <w:pPr>
              <w:spacing w:line="240" w:lineRule="exact"/>
              <w:ind w:right="284"/>
              <w:jc w:val="center"/>
              <w:rPr>
                <w:color w:val="FF0000"/>
                <w:sz w:val="16"/>
                <w:szCs w:val="16"/>
              </w:rPr>
            </w:pPr>
            <w:r w:rsidRPr="001E2F6E">
              <w:rPr>
                <w:color w:val="FF0000"/>
                <w:sz w:val="16"/>
                <w:szCs w:val="16"/>
              </w:rPr>
              <w:t>%-0,7</w:t>
            </w:r>
          </w:p>
        </w:tc>
      </w:tr>
      <w:tr w:rsidR="00195BE7" w:rsidRPr="001E2F6E" w:rsidTr="00195BE7">
        <w:trPr>
          <w:jc w:val="center"/>
        </w:trPr>
        <w:tc>
          <w:tcPr>
            <w:tcW w:w="1267" w:type="pct"/>
            <w:tcBorders>
              <w:right w:val="single" w:sz="4" w:space="0" w:color="BFBFBF" w:themeColor="background1" w:themeShade="BF"/>
            </w:tcBorders>
            <w:vAlign w:val="bottom"/>
          </w:tcPr>
          <w:p w:rsidR="00195BE7" w:rsidRPr="001E2F6E" w:rsidRDefault="00195BE7" w:rsidP="00195BE7">
            <w:pPr>
              <w:spacing w:line="240" w:lineRule="exact"/>
              <w:rPr>
                <w:color w:val="000000"/>
                <w:sz w:val="16"/>
                <w:szCs w:val="16"/>
              </w:rPr>
            </w:pPr>
            <w:r w:rsidRPr="001E2F6E">
              <w:rPr>
                <w:color w:val="000000"/>
                <w:sz w:val="16"/>
                <w:szCs w:val="16"/>
              </w:rPr>
              <w:t>Gipuzkoa</w:t>
            </w:r>
          </w:p>
        </w:tc>
        <w:tc>
          <w:tcPr>
            <w:tcW w:w="1801" w:type="pct"/>
            <w:gridSpan w:val="2"/>
            <w:tcBorders>
              <w:left w:val="single" w:sz="4" w:space="0" w:color="BFBFBF" w:themeColor="background1" w:themeShade="BF"/>
              <w:bottom w:val="single" w:sz="4" w:space="0" w:color="BFBFBF" w:themeColor="background1" w:themeShade="BF"/>
              <w:right w:val="single" w:sz="4" w:space="0" w:color="BFBFBF" w:themeColor="background1" w:themeShade="BF"/>
            </w:tcBorders>
            <w:vAlign w:val="bottom"/>
          </w:tcPr>
          <w:p w:rsidR="00195BE7" w:rsidRPr="001E2F6E" w:rsidRDefault="00195BE7" w:rsidP="00195BE7">
            <w:pPr>
              <w:widowControl w:val="0"/>
              <w:spacing w:line="240" w:lineRule="exact"/>
              <w:ind w:right="284"/>
              <w:jc w:val="center"/>
              <w:rPr>
                <w:color w:val="76923C" w:themeColor="accent3" w:themeShade="BF"/>
                <w:sz w:val="16"/>
                <w:szCs w:val="16"/>
              </w:rPr>
            </w:pPr>
            <w:r w:rsidRPr="001E2F6E">
              <w:rPr>
                <w:color w:val="76923C" w:themeColor="accent3" w:themeShade="BF"/>
                <w:sz w:val="16"/>
                <w:szCs w:val="16"/>
              </w:rPr>
              <w:t>%+0,4</w:t>
            </w:r>
          </w:p>
        </w:tc>
        <w:tc>
          <w:tcPr>
            <w:tcW w:w="1932" w:type="pct"/>
            <w:tcBorders>
              <w:left w:val="single" w:sz="4" w:space="0" w:color="BFBFBF" w:themeColor="background1" w:themeShade="BF"/>
            </w:tcBorders>
            <w:vAlign w:val="bottom"/>
          </w:tcPr>
          <w:p w:rsidR="00195BE7" w:rsidRPr="001E2F6E" w:rsidRDefault="00195BE7" w:rsidP="00195BE7">
            <w:pPr>
              <w:spacing w:line="240" w:lineRule="exact"/>
              <w:ind w:right="284"/>
              <w:jc w:val="center"/>
              <w:rPr>
                <w:color w:val="FF0000"/>
                <w:sz w:val="16"/>
                <w:szCs w:val="16"/>
              </w:rPr>
            </w:pPr>
            <w:r w:rsidRPr="001E2F6E">
              <w:rPr>
                <w:color w:val="76923C" w:themeColor="accent3" w:themeShade="BF"/>
                <w:sz w:val="16"/>
                <w:szCs w:val="16"/>
              </w:rPr>
              <w:t>%+1,3</w:t>
            </w:r>
          </w:p>
        </w:tc>
      </w:tr>
      <w:tr w:rsidR="00195BE7" w:rsidRPr="001E2F6E" w:rsidTr="00195BE7">
        <w:trPr>
          <w:jc w:val="center"/>
        </w:trPr>
        <w:tc>
          <w:tcPr>
            <w:tcW w:w="1267" w:type="pct"/>
            <w:tcBorders>
              <w:top w:val="single" w:sz="4" w:space="0" w:color="BFBFBF" w:themeColor="background1" w:themeShade="BF"/>
              <w:bottom w:val="single" w:sz="4" w:space="0" w:color="BFBFBF" w:themeColor="background1" w:themeShade="BF"/>
              <w:right w:val="single" w:sz="4" w:space="0" w:color="BFBFBF" w:themeColor="background1" w:themeShade="BF"/>
            </w:tcBorders>
            <w:vAlign w:val="bottom"/>
          </w:tcPr>
          <w:p w:rsidR="00195BE7" w:rsidRPr="001E2F6E" w:rsidRDefault="00195BE7" w:rsidP="00195BE7">
            <w:pPr>
              <w:widowControl w:val="0"/>
              <w:spacing w:line="240" w:lineRule="exact"/>
              <w:rPr>
                <w:b/>
                <w:sz w:val="16"/>
                <w:szCs w:val="16"/>
              </w:rPr>
            </w:pPr>
            <w:r w:rsidRPr="001E2F6E">
              <w:rPr>
                <w:b/>
                <w:sz w:val="16"/>
                <w:szCs w:val="16"/>
              </w:rPr>
              <w:t>GUZTIRA</w:t>
            </w:r>
          </w:p>
        </w:tc>
        <w:tc>
          <w:tcPr>
            <w:tcW w:w="1801"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bottom"/>
          </w:tcPr>
          <w:p w:rsidR="00195BE7" w:rsidRPr="001E2F6E" w:rsidRDefault="00195BE7" w:rsidP="00195BE7">
            <w:pPr>
              <w:widowControl w:val="0"/>
              <w:spacing w:line="240" w:lineRule="exact"/>
              <w:ind w:right="284"/>
              <w:jc w:val="center"/>
              <w:rPr>
                <w:b/>
                <w:color w:val="76923C" w:themeColor="accent3" w:themeShade="BF"/>
                <w:sz w:val="16"/>
                <w:szCs w:val="16"/>
              </w:rPr>
            </w:pPr>
            <w:r w:rsidRPr="001E2F6E">
              <w:rPr>
                <w:b/>
                <w:color w:val="76923C" w:themeColor="accent3" w:themeShade="BF"/>
                <w:sz w:val="16"/>
                <w:szCs w:val="16"/>
              </w:rPr>
              <w:t>%+0,1</w:t>
            </w:r>
          </w:p>
        </w:tc>
        <w:tc>
          <w:tcPr>
            <w:tcW w:w="1932" w:type="pct"/>
            <w:tcBorders>
              <w:top w:val="single" w:sz="4" w:space="0" w:color="BFBFBF" w:themeColor="background1" w:themeShade="BF"/>
              <w:left w:val="single" w:sz="4" w:space="0" w:color="BFBFBF" w:themeColor="background1" w:themeShade="BF"/>
              <w:bottom w:val="single" w:sz="4" w:space="0" w:color="BFBFBF" w:themeColor="background1" w:themeShade="BF"/>
            </w:tcBorders>
            <w:vAlign w:val="bottom"/>
          </w:tcPr>
          <w:p w:rsidR="00195BE7" w:rsidRPr="001E2F6E" w:rsidRDefault="00195BE7" w:rsidP="00195BE7">
            <w:pPr>
              <w:widowControl w:val="0"/>
              <w:spacing w:line="240" w:lineRule="exact"/>
              <w:ind w:right="284"/>
              <w:jc w:val="center"/>
              <w:rPr>
                <w:b/>
                <w:color w:val="76923C" w:themeColor="accent3" w:themeShade="BF"/>
                <w:sz w:val="16"/>
                <w:szCs w:val="16"/>
              </w:rPr>
            </w:pPr>
            <w:r w:rsidRPr="001E2F6E">
              <w:rPr>
                <w:b/>
                <w:color w:val="76923C" w:themeColor="accent3" w:themeShade="BF"/>
                <w:sz w:val="16"/>
                <w:szCs w:val="16"/>
              </w:rPr>
              <w:t>%+0,3</w:t>
            </w:r>
          </w:p>
        </w:tc>
      </w:tr>
    </w:tbl>
    <w:p w:rsidR="00195BE7" w:rsidRPr="001E2F6E" w:rsidRDefault="00195BE7" w:rsidP="00195BE7">
      <w:pPr>
        <w:rPr>
          <w:rFonts w:eastAsia="Times New Roman" w:cs="Times New Roman"/>
          <w:snapToGrid w:val="0"/>
          <w:sz w:val="28"/>
          <w:lang w:eastAsia="es-ES"/>
        </w:rPr>
      </w:pPr>
      <w:bookmarkStart w:id="275" w:name="_Toc391989026"/>
      <w:r w:rsidRPr="001E2F6E">
        <w:br w:type="page"/>
      </w:r>
    </w:p>
    <w:p w:rsidR="00195BE7" w:rsidRPr="001E2F6E" w:rsidRDefault="00195BE7" w:rsidP="00195BE7">
      <w:pPr>
        <w:pStyle w:val="Ttulo1"/>
        <w:ind w:left="708" w:hanging="708"/>
        <w:rPr>
          <w:color w:val="1F497D" w:themeColor="text2"/>
        </w:rPr>
      </w:pPr>
      <w:bookmarkStart w:id="276" w:name="_Toc392585689"/>
      <w:r w:rsidRPr="001E2F6E">
        <w:rPr>
          <w:color w:val="1F497D" w:themeColor="text2"/>
        </w:rPr>
        <w:lastRenderedPageBreak/>
        <w:t>III.-</w:t>
      </w:r>
      <w:r w:rsidRPr="001E2F6E">
        <w:rPr>
          <w:color w:val="1F497D" w:themeColor="text2"/>
        </w:rPr>
        <w:tab/>
        <w:t>GIZARTE-EKONOMIAK KRISIARI AURRE EGITEKO ESTRATEGIAK ETA KUDEAKETARAKO-TRESNAK GIZARTE-EKONOMIA KLASIKOAN (GEFK)</w:t>
      </w:r>
      <w:bookmarkEnd w:id="275"/>
      <w:bookmarkEnd w:id="276"/>
    </w:p>
    <w:p w:rsidR="00195BE7" w:rsidRPr="001E2F6E" w:rsidRDefault="00195BE7" w:rsidP="00195BE7"/>
    <w:p w:rsidR="00195BE7" w:rsidRPr="001E2F6E" w:rsidRDefault="00195BE7" w:rsidP="00195BE7"/>
    <w:p w:rsidR="00195BE7" w:rsidRPr="001E2F6E" w:rsidRDefault="00195BE7" w:rsidP="00195BE7">
      <w:pPr>
        <w:pStyle w:val="Ttulo1"/>
        <w:ind w:left="708" w:hanging="708"/>
        <w:rPr>
          <w:color w:val="1F497D" w:themeColor="text2"/>
          <w:sz w:val="26"/>
          <w:szCs w:val="26"/>
        </w:rPr>
      </w:pPr>
      <w:bookmarkStart w:id="277" w:name="_Toc391989027"/>
      <w:bookmarkStart w:id="278" w:name="_Toc392585690"/>
      <w:r w:rsidRPr="001E2F6E">
        <w:rPr>
          <w:color w:val="1F497D" w:themeColor="text2"/>
          <w:sz w:val="26"/>
          <w:szCs w:val="26"/>
        </w:rPr>
        <w:t>1.-</w:t>
      </w:r>
      <w:r w:rsidRPr="001E2F6E">
        <w:rPr>
          <w:color w:val="1F497D" w:themeColor="text2"/>
          <w:sz w:val="26"/>
          <w:szCs w:val="26"/>
        </w:rPr>
        <w:tab/>
        <w:t>KRISIARI AURRE EGITEKO ESTRATEGIAK</w:t>
      </w:r>
      <w:bookmarkEnd w:id="277"/>
      <w:bookmarkEnd w:id="278"/>
    </w:p>
    <w:p w:rsidR="00195BE7" w:rsidRPr="001E2F6E" w:rsidRDefault="00195BE7" w:rsidP="00195BE7">
      <w:pPr>
        <w:spacing w:line="240" w:lineRule="auto"/>
        <w:jc w:val="center"/>
        <w:rPr>
          <w:b/>
          <w:snapToGrid w:val="0"/>
          <w:color w:val="1F497D" w:themeColor="text2"/>
          <w:sz w:val="18"/>
          <w:szCs w:val="18"/>
          <w:lang w:val="es-ES_tradnl"/>
        </w:rPr>
      </w:pPr>
    </w:p>
    <w:p w:rsidR="00195BE7" w:rsidRPr="001E2F6E" w:rsidRDefault="00195BE7" w:rsidP="00195BE7">
      <w:pPr>
        <w:spacing w:line="240" w:lineRule="auto"/>
        <w:jc w:val="center"/>
        <w:rPr>
          <w:b/>
          <w:snapToGrid w:val="0"/>
          <w:color w:val="1F497D" w:themeColor="text2"/>
          <w:sz w:val="18"/>
          <w:szCs w:val="18"/>
          <w:lang w:val="es-ES_tradnl"/>
        </w:rPr>
      </w:pPr>
      <w:bookmarkStart w:id="279" w:name="_Toc392585844"/>
      <w:r w:rsidRPr="001E2F6E">
        <w:rPr>
          <w:b/>
          <w:snapToGrid w:val="0"/>
          <w:color w:val="1F497D" w:themeColor="text2"/>
          <w:sz w:val="18"/>
          <w:szCs w:val="18"/>
          <w:lang w:val="es-ES_tradnl"/>
        </w:rPr>
        <w:t>3.</w:t>
      </w:r>
      <w:r w:rsidR="00EB6BA6" w:rsidRPr="001E2F6E">
        <w:rPr>
          <w:b/>
          <w:snapToGrid w:val="0"/>
          <w:color w:val="1F497D" w:themeColor="text2"/>
          <w:sz w:val="18"/>
          <w:szCs w:val="18"/>
          <w:lang w:val="es-ES_tradnl"/>
        </w:rPr>
        <w:fldChar w:fldCharType="begin"/>
      </w:r>
      <w:r w:rsidRPr="001E2F6E">
        <w:rPr>
          <w:b/>
          <w:snapToGrid w:val="0"/>
          <w:color w:val="1F497D" w:themeColor="text2"/>
          <w:sz w:val="18"/>
          <w:szCs w:val="18"/>
          <w:lang w:val="es-ES_tradnl"/>
        </w:rPr>
        <w:instrText xml:space="preserve"> SEQ Gráfico_3. \* ARABIC </w:instrText>
      </w:r>
      <w:r w:rsidR="00EB6BA6" w:rsidRPr="001E2F6E">
        <w:rPr>
          <w:b/>
          <w:snapToGrid w:val="0"/>
          <w:color w:val="1F497D" w:themeColor="text2"/>
          <w:sz w:val="18"/>
          <w:szCs w:val="18"/>
          <w:lang w:val="es-ES_tradnl"/>
        </w:rPr>
        <w:fldChar w:fldCharType="separate"/>
      </w:r>
      <w:r w:rsidR="00A327D4">
        <w:rPr>
          <w:b/>
          <w:noProof/>
          <w:snapToGrid w:val="0"/>
          <w:color w:val="1F497D" w:themeColor="text2"/>
          <w:sz w:val="18"/>
          <w:szCs w:val="18"/>
          <w:lang w:val="es-ES_tradnl"/>
        </w:rPr>
        <w:t>1</w:t>
      </w:r>
      <w:r w:rsidR="00EB6BA6" w:rsidRPr="001E2F6E">
        <w:rPr>
          <w:b/>
          <w:snapToGrid w:val="0"/>
          <w:color w:val="1F497D" w:themeColor="text2"/>
          <w:sz w:val="18"/>
          <w:szCs w:val="18"/>
          <w:lang w:val="es-ES_tradnl"/>
        </w:rPr>
        <w:fldChar w:fldCharType="end"/>
      </w:r>
      <w:r w:rsidRPr="001E2F6E">
        <w:rPr>
          <w:b/>
          <w:snapToGrid w:val="0"/>
          <w:color w:val="1F497D" w:themeColor="text2"/>
          <w:sz w:val="18"/>
          <w:szCs w:val="18"/>
          <w:lang w:val="es-ES_tradnl"/>
        </w:rPr>
        <w:t xml:space="preserve"> Irudia KRISIAREN AURREAN NEURRIAK HARTU DITUZTEN ENPRESEN EHUNEKOA 2012 (%)</w:t>
      </w:r>
      <w:bookmarkEnd w:id="279"/>
    </w:p>
    <w:p w:rsidR="00195BE7" w:rsidRPr="001E2F6E" w:rsidRDefault="00195BE7" w:rsidP="00195BE7">
      <w:pPr>
        <w:rPr>
          <w:lang w:val="es-ES_tradnl"/>
        </w:rPr>
      </w:pPr>
      <w:r w:rsidRPr="001E2F6E">
        <w:rPr>
          <w:noProof/>
          <w:lang w:eastAsia="es-ES"/>
        </w:rPr>
        <w:drawing>
          <wp:anchor distT="0" distB="0" distL="114300" distR="114300" simplePos="0" relativeHeight="251720704" behindDoc="0" locked="0" layoutInCell="1" allowOverlap="1" wp14:anchorId="3A3A98B8" wp14:editId="7501989E">
            <wp:simplePos x="0" y="0"/>
            <wp:positionH relativeFrom="column">
              <wp:posOffset>41910</wp:posOffset>
            </wp:positionH>
            <wp:positionV relativeFrom="paragraph">
              <wp:posOffset>174625</wp:posOffset>
            </wp:positionV>
            <wp:extent cx="5581650" cy="2419350"/>
            <wp:effectExtent l="0" t="0" r="0" b="0"/>
            <wp:wrapNone/>
            <wp:docPr id="7" name="Objeto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anchor>
        </w:drawing>
      </w:r>
    </w:p>
    <w:p w:rsidR="00195BE7" w:rsidRPr="001E2F6E" w:rsidRDefault="00195BE7" w:rsidP="00195BE7"/>
    <w:p w:rsidR="00195BE7" w:rsidRPr="001E2F6E" w:rsidRDefault="00195BE7" w:rsidP="00195BE7"/>
    <w:p w:rsidR="00195BE7" w:rsidRPr="001E2F6E" w:rsidRDefault="00195BE7" w:rsidP="00195BE7"/>
    <w:p w:rsidR="00195BE7" w:rsidRPr="001E2F6E" w:rsidRDefault="00195BE7" w:rsidP="00195BE7"/>
    <w:p w:rsidR="00195BE7" w:rsidRPr="001E2F6E" w:rsidRDefault="00195BE7" w:rsidP="00195BE7"/>
    <w:p w:rsidR="00195BE7" w:rsidRPr="001E2F6E" w:rsidRDefault="00195BE7" w:rsidP="00195BE7"/>
    <w:p w:rsidR="00195BE7" w:rsidRPr="001E2F6E" w:rsidRDefault="00195BE7" w:rsidP="00195BE7"/>
    <w:p w:rsidR="00195BE7" w:rsidRPr="001E2F6E" w:rsidRDefault="00195BE7" w:rsidP="00195BE7"/>
    <w:p w:rsidR="00195BE7" w:rsidRPr="001E2F6E" w:rsidRDefault="00195BE7" w:rsidP="00195BE7"/>
    <w:p w:rsidR="00195BE7" w:rsidRPr="001E2F6E" w:rsidRDefault="00195BE7" w:rsidP="00195BE7"/>
    <w:p w:rsidR="00195BE7" w:rsidRPr="001E2F6E" w:rsidRDefault="00195BE7" w:rsidP="00195BE7"/>
    <w:p w:rsidR="00195BE7" w:rsidRPr="001E2F6E" w:rsidRDefault="00195BE7" w:rsidP="00195BE7"/>
    <w:p w:rsidR="00195BE7" w:rsidRPr="001E2F6E" w:rsidRDefault="00195BE7" w:rsidP="00195BE7">
      <w:pPr>
        <w:pStyle w:val="Ttulo1"/>
        <w:ind w:left="708" w:hanging="708"/>
        <w:rPr>
          <w:color w:val="1F497D" w:themeColor="text2"/>
          <w:sz w:val="22"/>
          <w:szCs w:val="22"/>
        </w:rPr>
      </w:pPr>
      <w:bookmarkStart w:id="280" w:name="_Toc391989028"/>
      <w:bookmarkStart w:id="281" w:name="_Toc392585691"/>
      <w:r w:rsidRPr="001E2F6E">
        <w:rPr>
          <w:color w:val="1F497D" w:themeColor="text2"/>
          <w:sz w:val="22"/>
          <w:szCs w:val="22"/>
        </w:rPr>
        <w:t>1.1.-</w:t>
      </w:r>
      <w:r w:rsidRPr="001E2F6E">
        <w:rPr>
          <w:color w:val="1F497D" w:themeColor="text2"/>
          <w:sz w:val="22"/>
          <w:szCs w:val="22"/>
        </w:rPr>
        <w:tab/>
      </w:r>
      <w:bookmarkEnd w:id="280"/>
      <w:r w:rsidRPr="001E2F6E">
        <w:rPr>
          <w:color w:val="1F497D" w:themeColor="text2"/>
          <w:sz w:val="22"/>
          <w:szCs w:val="22"/>
        </w:rPr>
        <w:t>SOLDATA-DOIKUNTZA</w:t>
      </w:r>
      <w:bookmarkEnd w:id="281"/>
    </w:p>
    <w:p w:rsidR="00195BE7" w:rsidRPr="001E2F6E" w:rsidRDefault="00195BE7" w:rsidP="00195BE7">
      <w:pPr>
        <w:rPr>
          <w:b/>
          <w:color w:val="000080"/>
          <w:sz w:val="16"/>
          <w:szCs w:val="16"/>
        </w:rPr>
      </w:pPr>
    </w:p>
    <w:p w:rsidR="00195BE7" w:rsidRPr="001E2F6E" w:rsidRDefault="00195BE7" w:rsidP="00195BE7">
      <w:pPr>
        <w:spacing w:line="240" w:lineRule="auto"/>
        <w:jc w:val="center"/>
        <w:rPr>
          <w:b/>
          <w:snapToGrid w:val="0"/>
          <w:color w:val="1F497D" w:themeColor="text2"/>
          <w:sz w:val="18"/>
          <w:szCs w:val="18"/>
          <w:lang w:val="es-ES_tradnl"/>
        </w:rPr>
      </w:pPr>
      <w:bookmarkStart w:id="282" w:name="_Toc391989196"/>
      <w:bookmarkStart w:id="283" w:name="_Toc392585845"/>
      <w:r w:rsidRPr="001E2F6E">
        <w:rPr>
          <w:b/>
          <w:snapToGrid w:val="0"/>
          <w:color w:val="1F497D" w:themeColor="text2"/>
          <w:sz w:val="18"/>
          <w:szCs w:val="18"/>
          <w:lang w:val="es-ES_tradnl"/>
        </w:rPr>
        <w:t>3.</w:t>
      </w:r>
      <w:r w:rsidR="00EB6BA6" w:rsidRPr="001E2F6E">
        <w:rPr>
          <w:b/>
          <w:snapToGrid w:val="0"/>
          <w:color w:val="1F497D" w:themeColor="text2"/>
          <w:sz w:val="18"/>
          <w:szCs w:val="18"/>
          <w:lang w:val="es-ES_tradnl"/>
        </w:rPr>
        <w:fldChar w:fldCharType="begin"/>
      </w:r>
      <w:r w:rsidRPr="001E2F6E">
        <w:rPr>
          <w:b/>
          <w:snapToGrid w:val="0"/>
          <w:color w:val="1F497D" w:themeColor="text2"/>
          <w:sz w:val="18"/>
          <w:szCs w:val="18"/>
          <w:lang w:val="es-ES_tradnl"/>
        </w:rPr>
        <w:instrText xml:space="preserve"> SEQ Gráfico_3. \* ARABIC </w:instrText>
      </w:r>
      <w:r w:rsidR="00EB6BA6" w:rsidRPr="001E2F6E">
        <w:rPr>
          <w:b/>
          <w:snapToGrid w:val="0"/>
          <w:color w:val="1F497D" w:themeColor="text2"/>
          <w:sz w:val="18"/>
          <w:szCs w:val="18"/>
          <w:lang w:val="es-ES_tradnl"/>
        </w:rPr>
        <w:fldChar w:fldCharType="separate"/>
      </w:r>
      <w:r w:rsidR="00A327D4">
        <w:rPr>
          <w:b/>
          <w:noProof/>
          <w:snapToGrid w:val="0"/>
          <w:color w:val="1F497D" w:themeColor="text2"/>
          <w:sz w:val="18"/>
          <w:szCs w:val="18"/>
          <w:lang w:val="es-ES_tradnl"/>
        </w:rPr>
        <w:t>2</w:t>
      </w:r>
      <w:r w:rsidR="00EB6BA6" w:rsidRPr="001E2F6E">
        <w:rPr>
          <w:b/>
          <w:snapToGrid w:val="0"/>
          <w:color w:val="1F497D" w:themeColor="text2"/>
          <w:sz w:val="18"/>
          <w:szCs w:val="18"/>
          <w:lang w:val="es-ES_tradnl"/>
        </w:rPr>
        <w:fldChar w:fldCharType="end"/>
      </w:r>
      <w:r w:rsidRPr="001E2F6E">
        <w:rPr>
          <w:b/>
          <w:snapToGrid w:val="0"/>
          <w:color w:val="1F497D" w:themeColor="text2"/>
          <w:sz w:val="18"/>
          <w:szCs w:val="18"/>
          <w:lang w:val="es-ES_tradnl"/>
        </w:rPr>
        <w:t xml:space="preserve"> Irudia </w:t>
      </w:r>
      <w:bookmarkEnd w:id="282"/>
      <w:r w:rsidRPr="001E2F6E">
        <w:rPr>
          <w:b/>
          <w:bCs/>
          <w:snapToGrid w:val="0"/>
          <w:color w:val="1F497D" w:themeColor="text2"/>
          <w:sz w:val="18"/>
          <w:szCs w:val="18"/>
          <w:lang w:val="eu-ES"/>
        </w:rPr>
        <w:t>SOLDATA-DOIKUNTZAK EGIN DITUZTEN ENPRESEN EHUNEKOA</w:t>
      </w:r>
      <w:bookmarkEnd w:id="283"/>
    </w:p>
    <w:p w:rsidR="00195BE7" w:rsidRPr="001E2F6E" w:rsidRDefault="00195BE7" w:rsidP="00195BE7">
      <w:r w:rsidRPr="001E2F6E">
        <w:rPr>
          <w:noProof/>
          <w:lang w:eastAsia="es-ES"/>
        </w:rPr>
        <w:drawing>
          <wp:anchor distT="341376" distB="93726" distL="352044" distR="142494" simplePos="0" relativeHeight="251721728" behindDoc="1" locked="0" layoutInCell="1" allowOverlap="1" wp14:anchorId="5948D411" wp14:editId="59FC74F4">
            <wp:simplePos x="0" y="0"/>
            <wp:positionH relativeFrom="column">
              <wp:posOffset>565785</wp:posOffset>
            </wp:positionH>
            <wp:positionV relativeFrom="paragraph">
              <wp:posOffset>136525</wp:posOffset>
            </wp:positionV>
            <wp:extent cx="4572000" cy="1819275"/>
            <wp:effectExtent l="0" t="0" r="0" b="0"/>
            <wp:wrapNone/>
            <wp:docPr id="8" name="Objeto 4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anchor>
        </w:drawing>
      </w:r>
    </w:p>
    <w:p w:rsidR="00195BE7" w:rsidRPr="001E2F6E" w:rsidRDefault="00195BE7" w:rsidP="00195BE7"/>
    <w:p w:rsidR="00195BE7" w:rsidRPr="001E2F6E" w:rsidRDefault="00195BE7" w:rsidP="00195BE7"/>
    <w:p w:rsidR="00195BE7" w:rsidRPr="001E2F6E" w:rsidRDefault="00195BE7" w:rsidP="00195BE7"/>
    <w:p w:rsidR="00195BE7" w:rsidRPr="001E2F6E" w:rsidRDefault="00195BE7" w:rsidP="00195BE7"/>
    <w:p w:rsidR="00195BE7" w:rsidRPr="001E2F6E" w:rsidRDefault="00195BE7" w:rsidP="00195BE7"/>
    <w:p w:rsidR="00195BE7" w:rsidRPr="001E2F6E" w:rsidRDefault="00195BE7" w:rsidP="00195BE7"/>
    <w:p w:rsidR="00195BE7" w:rsidRPr="001E2F6E" w:rsidRDefault="00195BE7" w:rsidP="00195BE7"/>
    <w:p w:rsidR="00195BE7" w:rsidRPr="001E2F6E" w:rsidRDefault="00195BE7" w:rsidP="00195BE7"/>
    <w:p w:rsidR="00195BE7" w:rsidRPr="001E2F6E" w:rsidRDefault="00195BE7" w:rsidP="00195BE7"/>
    <w:p w:rsidR="00195BE7" w:rsidRPr="001E2F6E" w:rsidRDefault="00195BE7" w:rsidP="00195BE7">
      <w:pPr>
        <w:jc w:val="left"/>
        <w:rPr>
          <w:b/>
          <w:color w:val="1F497D" w:themeColor="text2"/>
          <w:sz w:val="22"/>
        </w:rPr>
      </w:pPr>
      <w:r w:rsidRPr="001E2F6E">
        <w:rPr>
          <w:b/>
          <w:color w:val="1F497D" w:themeColor="text2"/>
          <w:sz w:val="22"/>
        </w:rPr>
        <w:br w:type="page"/>
      </w:r>
    </w:p>
    <w:p w:rsidR="00195BE7" w:rsidRPr="001E2F6E" w:rsidRDefault="00195BE7" w:rsidP="00195BE7">
      <w:pPr>
        <w:pStyle w:val="Ttulo1"/>
        <w:ind w:left="708" w:hanging="708"/>
        <w:rPr>
          <w:color w:val="1F497D" w:themeColor="text2"/>
          <w:sz w:val="22"/>
          <w:szCs w:val="22"/>
        </w:rPr>
      </w:pPr>
      <w:bookmarkStart w:id="284" w:name="_Toc391989029"/>
      <w:bookmarkStart w:id="285" w:name="_Toc392585692"/>
      <w:r w:rsidRPr="001E2F6E">
        <w:rPr>
          <w:color w:val="1F497D" w:themeColor="text2"/>
          <w:sz w:val="22"/>
          <w:szCs w:val="22"/>
        </w:rPr>
        <w:lastRenderedPageBreak/>
        <w:t>1.2.-</w:t>
      </w:r>
      <w:r w:rsidRPr="001E2F6E">
        <w:rPr>
          <w:color w:val="1F497D" w:themeColor="text2"/>
          <w:sz w:val="22"/>
          <w:szCs w:val="22"/>
        </w:rPr>
        <w:tab/>
        <w:t>PERTSONALEAN ETA DEDIKAZIO-ORDUETAN DOIKUNTZAK</w:t>
      </w:r>
      <w:bookmarkEnd w:id="284"/>
      <w:bookmarkEnd w:id="285"/>
    </w:p>
    <w:p w:rsidR="00195BE7" w:rsidRPr="001E2F6E" w:rsidRDefault="00195BE7" w:rsidP="00195BE7"/>
    <w:p w:rsidR="00195BE7" w:rsidRPr="001E2F6E" w:rsidRDefault="00195BE7" w:rsidP="00195BE7">
      <w:pPr>
        <w:spacing w:line="240" w:lineRule="auto"/>
        <w:jc w:val="center"/>
        <w:rPr>
          <w:b/>
          <w:snapToGrid w:val="0"/>
          <w:color w:val="1F497D" w:themeColor="text2"/>
          <w:sz w:val="18"/>
          <w:szCs w:val="18"/>
          <w:lang w:val="es-ES_tradnl"/>
        </w:rPr>
      </w:pPr>
      <w:bookmarkStart w:id="286" w:name="_Toc391989197"/>
      <w:bookmarkStart w:id="287" w:name="_Toc392585846"/>
      <w:r w:rsidRPr="001E2F6E">
        <w:rPr>
          <w:b/>
          <w:snapToGrid w:val="0"/>
          <w:color w:val="1F497D" w:themeColor="text2"/>
          <w:sz w:val="18"/>
          <w:szCs w:val="18"/>
          <w:lang w:val="es-ES_tradnl"/>
        </w:rPr>
        <w:t>3.</w:t>
      </w:r>
      <w:r w:rsidR="00EB6BA6" w:rsidRPr="001E2F6E">
        <w:rPr>
          <w:b/>
          <w:snapToGrid w:val="0"/>
          <w:color w:val="1F497D" w:themeColor="text2"/>
          <w:sz w:val="18"/>
          <w:szCs w:val="18"/>
          <w:lang w:val="es-ES_tradnl"/>
        </w:rPr>
        <w:fldChar w:fldCharType="begin"/>
      </w:r>
      <w:r w:rsidRPr="001E2F6E">
        <w:rPr>
          <w:b/>
          <w:snapToGrid w:val="0"/>
          <w:color w:val="1F497D" w:themeColor="text2"/>
          <w:sz w:val="18"/>
          <w:szCs w:val="18"/>
          <w:lang w:val="es-ES_tradnl"/>
        </w:rPr>
        <w:instrText xml:space="preserve"> SEQ Gráfico_3. \* ARABIC </w:instrText>
      </w:r>
      <w:r w:rsidR="00EB6BA6" w:rsidRPr="001E2F6E">
        <w:rPr>
          <w:b/>
          <w:snapToGrid w:val="0"/>
          <w:color w:val="1F497D" w:themeColor="text2"/>
          <w:sz w:val="18"/>
          <w:szCs w:val="18"/>
          <w:lang w:val="es-ES_tradnl"/>
        </w:rPr>
        <w:fldChar w:fldCharType="separate"/>
      </w:r>
      <w:r w:rsidR="00A327D4">
        <w:rPr>
          <w:b/>
          <w:noProof/>
          <w:snapToGrid w:val="0"/>
          <w:color w:val="1F497D" w:themeColor="text2"/>
          <w:sz w:val="18"/>
          <w:szCs w:val="18"/>
          <w:lang w:val="es-ES_tradnl"/>
        </w:rPr>
        <w:t>3</w:t>
      </w:r>
      <w:r w:rsidR="00EB6BA6" w:rsidRPr="001E2F6E">
        <w:rPr>
          <w:b/>
          <w:snapToGrid w:val="0"/>
          <w:color w:val="1F497D" w:themeColor="text2"/>
          <w:sz w:val="18"/>
          <w:szCs w:val="18"/>
          <w:lang w:val="es-ES_tradnl"/>
        </w:rPr>
        <w:fldChar w:fldCharType="end"/>
      </w:r>
      <w:r w:rsidRPr="001E2F6E">
        <w:rPr>
          <w:b/>
          <w:snapToGrid w:val="0"/>
          <w:color w:val="1F497D" w:themeColor="text2"/>
          <w:sz w:val="18"/>
          <w:szCs w:val="18"/>
          <w:lang w:val="es-ES_tradnl"/>
        </w:rPr>
        <w:t xml:space="preserve"> Irudia PERTSONALEAN ETA DEDIKAZIO-ORDUETAN DOIKUNTZAK EGIN DITUZTEN ENPRESEN EHUNEKOA</w:t>
      </w:r>
      <w:bookmarkEnd w:id="286"/>
      <w:bookmarkEnd w:id="287"/>
    </w:p>
    <w:p w:rsidR="00195BE7" w:rsidRPr="001E2F6E" w:rsidRDefault="00195BE7" w:rsidP="00195BE7">
      <w:pPr>
        <w:jc w:val="center"/>
        <w:rPr>
          <w:rFonts w:ascii="Tahoma" w:hAnsi="Tahoma"/>
          <w:b/>
          <w:noProof/>
          <w:color w:val="000080"/>
          <w:lang w:eastAsia="es-ES"/>
        </w:rPr>
      </w:pPr>
      <w:r w:rsidRPr="001E2F6E">
        <w:rPr>
          <w:rFonts w:ascii="Tahoma" w:hAnsi="Tahoma"/>
          <w:b/>
          <w:noProof/>
          <w:color w:val="000080"/>
          <w:lang w:eastAsia="es-ES"/>
        </w:rPr>
        <w:drawing>
          <wp:anchor distT="237744" distB="105918" distL="321564" distR="257175" simplePos="0" relativeHeight="251722752" behindDoc="0" locked="0" layoutInCell="1" allowOverlap="1" wp14:anchorId="451F9A3E" wp14:editId="686D220D">
            <wp:simplePos x="0" y="0"/>
            <wp:positionH relativeFrom="column">
              <wp:posOffset>426085</wp:posOffset>
            </wp:positionH>
            <wp:positionV relativeFrom="paragraph">
              <wp:posOffset>93345</wp:posOffset>
            </wp:positionV>
            <wp:extent cx="4695825" cy="1933575"/>
            <wp:effectExtent l="0" t="0" r="0" b="0"/>
            <wp:wrapNone/>
            <wp:docPr id="9" name="Objeto 4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anchor>
        </w:drawing>
      </w:r>
    </w:p>
    <w:p w:rsidR="00195BE7" w:rsidRPr="001E2F6E" w:rsidRDefault="00195BE7" w:rsidP="00195BE7">
      <w:pPr>
        <w:jc w:val="center"/>
        <w:rPr>
          <w:rFonts w:ascii="Tahoma" w:hAnsi="Tahoma"/>
          <w:b/>
          <w:noProof/>
          <w:color w:val="000080"/>
          <w:lang w:eastAsia="es-ES"/>
        </w:rPr>
      </w:pPr>
    </w:p>
    <w:p w:rsidR="00195BE7" w:rsidRPr="001E2F6E" w:rsidRDefault="00195BE7" w:rsidP="00195BE7">
      <w:pPr>
        <w:jc w:val="center"/>
        <w:rPr>
          <w:rFonts w:ascii="Tahoma" w:hAnsi="Tahoma"/>
          <w:b/>
          <w:color w:val="000080"/>
        </w:rPr>
      </w:pPr>
    </w:p>
    <w:p w:rsidR="00195BE7" w:rsidRPr="001E2F6E" w:rsidRDefault="00195BE7" w:rsidP="00195BE7"/>
    <w:p w:rsidR="00195BE7" w:rsidRPr="001E2F6E" w:rsidRDefault="00195BE7" w:rsidP="00195BE7"/>
    <w:p w:rsidR="00195BE7" w:rsidRPr="001E2F6E" w:rsidRDefault="00195BE7" w:rsidP="00195BE7"/>
    <w:p w:rsidR="00195BE7" w:rsidRPr="001E2F6E" w:rsidRDefault="00195BE7" w:rsidP="00195BE7"/>
    <w:p w:rsidR="00195BE7" w:rsidRPr="001E2F6E" w:rsidRDefault="00195BE7" w:rsidP="00195BE7"/>
    <w:p w:rsidR="00195BE7" w:rsidRPr="001E2F6E" w:rsidRDefault="00195BE7" w:rsidP="00195BE7"/>
    <w:p w:rsidR="00195BE7" w:rsidRPr="001E2F6E" w:rsidRDefault="00195BE7" w:rsidP="00195BE7"/>
    <w:p w:rsidR="00195BE7" w:rsidRPr="001E2F6E" w:rsidRDefault="00195BE7" w:rsidP="00195BE7">
      <w:pPr>
        <w:pStyle w:val="Ttulo1"/>
        <w:ind w:left="708" w:hanging="708"/>
        <w:rPr>
          <w:color w:val="1F497D" w:themeColor="text2"/>
          <w:sz w:val="22"/>
          <w:szCs w:val="22"/>
        </w:rPr>
      </w:pPr>
      <w:bookmarkStart w:id="288" w:name="_Toc391989030"/>
      <w:bookmarkStart w:id="289" w:name="_Toc392585693"/>
      <w:r w:rsidRPr="001E2F6E">
        <w:rPr>
          <w:color w:val="1F497D" w:themeColor="text2"/>
          <w:sz w:val="22"/>
          <w:szCs w:val="22"/>
        </w:rPr>
        <w:t>1.3.-</w:t>
      </w:r>
      <w:r w:rsidRPr="001E2F6E">
        <w:rPr>
          <w:color w:val="1F497D" w:themeColor="text2"/>
          <w:sz w:val="22"/>
          <w:szCs w:val="22"/>
        </w:rPr>
        <w:tab/>
        <w:t>KOOPERATIBEN ARTEKO LANKIDETZA-AKORDIO SOLIDARIOAK</w:t>
      </w:r>
      <w:bookmarkEnd w:id="288"/>
      <w:bookmarkEnd w:id="289"/>
    </w:p>
    <w:p w:rsidR="00195BE7" w:rsidRPr="001E2F6E" w:rsidRDefault="00195BE7" w:rsidP="00195BE7">
      <w:pPr>
        <w:rPr>
          <w:b/>
          <w:color w:val="1F497D" w:themeColor="text2"/>
        </w:rPr>
      </w:pPr>
    </w:p>
    <w:p w:rsidR="00195BE7" w:rsidRPr="00A105C6" w:rsidRDefault="00195BE7" w:rsidP="00195BE7">
      <w:pPr>
        <w:spacing w:line="240" w:lineRule="auto"/>
        <w:jc w:val="center"/>
        <w:rPr>
          <w:b/>
          <w:snapToGrid w:val="0"/>
          <w:color w:val="1F497D" w:themeColor="text2"/>
          <w:sz w:val="18"/>
          <w:szCs w:val="18"/>
          <w:lang w:val="de-DE"/>
        </w:rPr>
      </w:pPr>
      <w:bookmarkStart w:id="290" w:name="_Toc391989198"/>
      <w:bookmarkStart w:id="291" w:name="_Toc392585847"/>
      <w:r w:rsidRPr="00A105C6">
        <w:rPr>
          <w:b/>
          <w:snapToGrid w:val="0"/>
          <w:color w:val="1F497D" w:themeColor="text2"/>
          <w:sz w:val="18"/>
          <w:szCs w:val="18"/>
          <w:lang w:val="de-DE"/>
        </w:rPr>
        <w:t>3.</w:t>
      </w:r>
      <w:r w:rsidR="00EB6BA6" w:rsidRPr="001E2F6E">
        <w:rPr>
          <w:b/>
          <w:snapToGrid w:val="0"/>
          <w:color w:val="1F497D" w:themeColor="text2"/>
          <w:sz w:val="18"/>
          <w:szCs w:val="18"/>
          <w:lang w:val="es-ES_tradnl"/>
        </w:rPr>
        <w:fldChar w:fldCharType="begin"/>
      </w:r>
      <w:r w:rsidRPr="00A105C6">
        <w:rPr>
          <w:b/>
          <w:snapToGrid w:val="0"/>
          <w:color w:val="1F497D" w:themeColor="text2"/>
          <w:sz w:val="18"/>
          <w:szCs w:val="18"/>
          <w:lang w:val="de-DE"/>
        </w:rPr>
        <w:instrText xml:space="preserve"> SEQ Gráfico_3. \* ARABIC </w:instrText>
      </w:r>
      <w:r w:rsidR="00EB6BA6" w:rsidRPr="001E2F6E">
        <w:rPr>
          <w:b/>
          <w:snapToGrid w:val="0"/>
          <w:color w:val="1F497D" w:themeColor="text2"/>
          <w:sz w:val="18"/>
          <w:szCs w:val="18"/>
          <w:lang w:val="es-ES_tradnl"/>
        </w:rPr>
        <w:fldChar w:fldCharType="separate"/>
      </w:r>
      <w:r w:rsidR="00A327D4">
        <w:rPr>
          <w:b/>
          <w:noProof/>
          <w:snapToGrid w:val="0"/>
          <w:color w:val="1F497D" w:themeColor="text2"/>
          <w:sz w:val="18"/>
          <w:szCs w:val="18"/>
          <w:lang w:val="de-DE"/>
        </w:rPr>
        <w:t>4</w:t>
      </w:r>
      <w:r w:rsidR="00EB6BA6" w:rsidRPr="001E2F6E">
        <w:rPr>
          <w:b/>
          <w:snapToGrid w:val="0"/>
          <w:color w:val="1F497D" w:themeColor="text2"/>
          <w:sz w:val="18"/>
          <w:szCs w:val="18"/>
          <w:lang w:val="es-ES_tradnl"/>
        </w:rPr>
        <w:fldChar w:fldCharType="end"/>
      </w:r>
      <w:r w:rsidRPr="00A105C6">
        <w:rPr>
          <w:b/>
          <w:snapToGrid w:val="0"/>
          <w:color w:val="1F497D" w:themeColor="text2"/>
          <w:sz w:val="18"/>
          <w:szCs w:val="18"/>
          <w:lang w:val="de-DE"/>
        </w:rPr>
        <w:t xml:space="preserve"> Irudia KOOPERATIBEN ARTEKO LANKIDETZA-AKORDIO SOLIDARIOAK EGIN DITUZTEN ENPRESEN EHUNEKOA</w:t>
      </w:r>
      <w:bookmarkEnd w:id="290"/>
      <w:bookmarkEnd w:id="291"/>
    </w:p>
    <w:p w:rsidR="00195BE7" w:rsidRPr="00A105C6" w:rsidRDefault="00195BE7" w:rsidP="00195BE7">
      <w:pPr>
        <w:jc w:val="left"/>
        <w:rPr>
          <w:rFonts w:ascii="Tahoma" w:hAnsi="Tahoma"/>
          <w:b/>
          <w:color w:val="000080"/>
          <w:lang w:val="de-DE"/>
        </w:rPr>
      </w:pPr>
      <w:r w:rsidRPr="001E2F6E">
        <w:rPr>
          <w:rFonts w:ascii="Tahoma" w:hAnsi="Tahoma"/>
          <w:b/>
          <w:noProof/>
          <w:color w:val="000080"/>
          <w:lang w:eastAsia="es-ES"/>
        </w:rPr>
        <w:drawing>
          <wp:anchor distT="335280" distB="96317" distL="187452" distR="215494" simplePos="0" relativeHeight="251723776" behindDoc="0" locked="0" layoutInCell="1" allowOverlap="1" wp14:anchorId="3DC02B48" wp14:editId="10494BD7">
            <wp:simplePos x="0" y="0"/>
            <wp:positionH relativeFrom="column">
              <wp:posOffset>-316865</wp:posOffset>
            </wp:positionH>
            <wp:positionV relativeFrom="paragraph">
              <wp:posOffset>161290</wp:posOffset>
            </wp:positionV>
            <wp:extent cx="6343650" cy="2381250"/>
            <wp:effectExtent l="0" t="0" r="0" b="0"/>
            <wp:wrapNone/>
            <wp:docPr id="10" name="Objeto 4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anchor>
        </w:drawing>
      </w:r>
    </w:p>
    <w:p w:rsidR="00195BE7" w:rsidRPr="00A105C6" w:rsidRDefault="00195BE7" w:rsidP="00195BE7">
      <w:pPr>
        <w:rPr>
          <w:b/>
          <w:color w:val="1F497D" w:themeColor="text2"/>
          <w:lang w:val="de-DE"/>
        </w:rPr>
      </w:pPr>
    </w:p>
    <w:p w:rsidR="00195BE7" w:rsidRPr="00A105C6" w:rsidRDefault="00195BE7" w:rsidP="00195BE7">
      <w:pPr>
        <w:rPr>
          <w:b/>
          <w:color w:val="1F497D" w:themeColor="text2"/>
          <w:lang w:val="de-DE"/>
        </w:rPr>
      </w:pPr>
    </w:p>
    <w:p w:rsidR="00195BE7" w:rsidRPr="00A105C6" w:rsidRDefault="00195BE7" w:rsidP="00195BE7">
      <w:pPr>
        <w:rPr>
          <w:b/>
          <w:color w:val="1F497D" w:themeColor="text2"/>
          <w:lang w:val="de-DE"/>
        </w:rPr>
      </w:pPr>
    </w:p>
    <w:p w:rsidR="00195BE7" w:rsidRPr="00A105C6" w:rsidRDefault="00195BE7" w:rsidP="00195BE7">
      <w:pPr>
        <w:jc w:val="center"/>
        <w:rPr>
          <w:rFonts w:ascii="Tahoma" w:hAnsi="Tahoma"/>
          <w:b/>
          <w:color w:val="000080"/>
          <w:lang w:val="de-DE"/>
        </w:rPr>
      </w:pPr>
    </w:p>
    <w:p w:rsidR="00195BE7" w:rsidRPr="00A105C6" w:rsidRDefault="00195BE7" w:rsidP="00195BE7">
      <w:pPr>
        <w:jc w:val="center"/>
        <w:rPr>
          <w:rFonts w:ascii="Tahoma" w:hAnsi="Tahoma"/>
          <w:b/>
          <w:color w:val="000080"/>
          <w:lang w:val="de-DE"/>
        </w:rPr>
      </w:pPr>
    </w:p>
    <w:p w:rsidR="00195BE7" w:rsidRPr="00A105C6" w:rsidRDefault="00195BE7" w:rsidP="00195BE7">
      <w:pPr>
        <w:jc w:val="center"/>
        <w:rPr>
          <w:rFonts w:ascii="Tahoma" w:hAnsi="Tahoma"/>
          <w:b/>
          <w:color w:val="000080"/>
          <w:lang w:val="de-DE"/>
        </w:rPr>
      </w:pPr>
    </w:p>
    <w:p w:rsidR="00195BE7" w:rsidRPr="00A105C6" w:rsidRDefault="00195BE7" w:rsidP="00195BE7">
      <w:pPr>
        <w:jc w:val="left"/>
        <w:rPr>
          <w:b/>
          <w:color w:val="1F497D" w:themeColor="text2"/>
          <w:szCs w:val="26"/>
          <w:lang w:val="de-DE"/>
        </w:rPr>
      </w:pPr>
    </w:p>
    <w:p w:rsidR="00195BE7" w:rsidRPr="00A105C6" w:rsidRDefault="00195BE7" w:rsidP="00195BE7">
      <w:pPr>
        <w:rPr>
          <w:b/>
          <w:color w:val="1F497D" w:themeColor="text2"/>
          <w:szCs w:val="26"/>
          <w:lang w:val="de-DE"/>
        </w:rPr>
      </w:pPr>
    </w:p>
    <w:p w:rsidR="00195BE7" w:rsidRPr="00A105C6" w:rsidRDefault="00195BE7" w:rsidP="00195BE7">
      <w:pPr>
        <w:jc w:val="left"/>
        <w:rPr>
          <w:b/>
          <w:color w:val="1F497D" w:themeColor="text2"/>
          <w:szCs w:val="26"/>
          <w:lang w:val="de-DE"/>
        </w:rPr>
      </w:pPr>
      <w:r w:rsidRPr="00A105C6">
        <w:rPr>
          <w:b/>
          <w:color w:val="1F497D" w:themeColor="text2"/>
          <w:szCs w:val="26"/>
          <w:lang w:val="de-DE"/>
        </w:rPr>
        <w:br w:type="page"/>
      </w:r>
    </w:p>
    <w:p w:rsidR="00195BE7" w:rsidRPr="00A105C6" w:rsidRDefault="00195BE7" w:rsidP="00195BE7">
      <w:pPr>
        <w:pStyle w:val="Ttulo1"/>
        <w:ind w:left="708" w:hanging="708"/>
        <w:rPr>
          <w:color w:val="1F497D" w:themeColor="text2"/>
          <w:sz w:val="26"/>
          <w:szCs w:val="26"/>
          <w:lang w:val="de-DE"/>
        </w:rPr>
      </w:pPr>
      <w:bookmarkStart w:id="292" w:name="_Toc391989031"/>
      <w:bookmarkStart w:id="293" w:name="_Toc392585694"/>
      <w:r w:rsidRPr="00A105C6">
        <w:rPr>
          <w:color w:val="1F497D" w:themeColor="text2"/>
          <w:sz w:val="26"/>
          <w:szCs w:val="26"/>
          <w:lang w:val="de-DE"/>
        </w:rPr>
        <w:lastRenderedPageBreak/>
        <w:t>2.- KUDEAKETARAKO TRESNAK</w:t>
      </w:r>
      <w:bookmarkEnd w:id="292"/>
      <w:bookmarkEnd w:id="293"/>
    </w:p>
    <w:p w:rsidR="00195BE7" w:rsidRPr="00A105C6" w:rsidRDefault="00195BE7" w:rsidP="00195BE7">
      <w:pPr>
        <w:rPr>
          <w:lang w:val="de-DE"/>
        </w:rPr>
      </w:pPr>
    </w:p>
    <w:p w:rsidR="00195BE7" w:rsidRPr="001E2F6E" w:rsidRDefault="00195BE7" w:rsidP="00195BE7">
      <w:pPr>
        <w:spacing w:line="240" w:lineRule="auto"/>
        <w:jc w:val="center"/>
        <w:rPr>
          <w:b/>
          <w:snapToGrid w:val="0"/>
          <w:color w:val="1F497D" w:themeColor="text2"/>
          <w:sz w:val="18"/>
          <w:szCs w:val="18"/>
          <w:lang w:val="es-ES_tradnl"/>
        </w:rPr>
      </w:pPr>
      <w:bookmarkStart w:id="294" w:name="_Toc391989205"/>
      <w:bookmarkStart w:id="295" w:name="_Toc392585835"/>
      <w:r w:rsidRPr="00A105C6">
        <w:rPr>
          <w:b/>
          <w:snapToGrid w:val="0"/>
          <w:color w:val="1F497D" w:themeColor="text2"/>
          <w:sz w:val="18"/>
          <w:szCs w:val="18"/>
          <w:lang w:val="de-DE"/>
        </w:rPr>
        <w:t>3.</w:t>
      </w:r>
      <w:r w:rsidR="00EB6BA6" w:rsidRPr="001E2F6E">
        <w:rPr>
          <w:b/>
          <w:snapToGrid w:val="0"/>
          <w:color w:val="1F497D" w:themeColor="text2"/>
          <w:sz w:val="18"/>
          <w:szCs w:val="18"/>
          <w:lang w:val="es-ES_tradnl"/>
        </w:rPr>
        <w:fldChar w:fldCharType="begin"/>
      </w:r>
      <w:r w:rsidRPr="00A105C6">
        <w:rPr>
          <w:b/>
          <w:snapToGrid w:val="0"/>
          <w:color w:val="1F497D" w:themeColor="text2"/>
          <w:sz w:val="18"/>
          <w:szCs w:val="18"/>
          <w:lang w:val="de-DE"/>
        </w:rPr>
        <w:instrText xml:space="preserve"> SEQ Cuadro_3. \* ARABIC </w:instrText>
      </w:r>
      <w:r w:rsidR="00EB6BA6" w:rsidRPr="001E2F6E">
        <w:rPr>
          <w:b/>
          <w:snapToGrid w:val="0"/>
          <w:color w:val="1F497D" w:themeColor="text2"/>
          <w:sz w:val="18"/>
          <w:szCs w:val="18"/>
          <w:lang w:val="es-ES_tradnl"/>
        </w:rPr>
        <w:fldChar w:fldCharType="separate"/>
      </w:r>
      <w:r w:rsidR="00A327D4">
        <w:rPr>
          <w:b/>
          <w:noProof/>
          <w:snapToGrid w:val="0"/>
          <w:color w:val="1F497D" w:themeColor="text2"/>
          <w:sz w:val="18"/>
          <w:szCs w:val="18"/>
          <w:lang w:val="de-DE"/>
        </w:rPr>
        <w:t>1</w:t>
      </w:r>
      <w:r w:rsidR="00EB6BA6" w:rsidRPr="001E2F6E">
        <w:rPr>
          <w:b/>
          <w:snapToGrid w:val="0"/>
          <w:color w:val="1F497D" w:themeColor="text2"/>
          <w:sz w:val="18"/>
          <w:szCs w:val="18"/>
          <w:lang w:val="es-ES_tradnl"/>
        </w:rPr>
        <w:fldChar w:fldCharType="end"/>
      </w:r>
      <w:r w:rsidRPr="00A105C6">
        <w:rPr>
          <w:b/>
          <w:snapToGrid w:val="0"/>
          <w:color w:val="1F497D" w:themeColor="text2"/>
          <w:sz w:val="18"/>
          <w:szCs w:val="18"/>
          <w:lang w:val="de-DE"/>
        </w:rPr>
        <w:t xml:space="preserve"> Taula ENPRESA-KUDEAKETARAKO TRESNEN ERABILERA. </w:t>
      </w:r>
      <w:r w:rsidRPr="001E2F6E">
        <w:rPr>
          <w:b/>
          <w:snapToGrid w:val="0"/>
          <w:color w:val="1F497D" w:themeColor="text2"/>
          <w:sz w:val="18"/>
          <w:szCs w:val="18"/>
          <w:lang w:val="es-ES_tradnl"/>
        </w:rPr>
        <w:t>2012 (Kudeaketarako tresnak dituzten enpresen %)</w:t>
      </w:r>
      <w:bookmarkEnd w:id="294"/>
      <w:bookmarkEnd w:id="295"/>
    </w:p>
    <w:tbl>
      <w:tblPr>
        <w:tblW w:w="5000" w:type="pct"/>
        <w:jc w:val="center"/>
        <w:tblBorders>
          <w:top w:val="single" w:sz="4" w:space="0" w:color="BFBFBF" w:themeColor="background1" w:themeShade="BF"/>
          <w:bottom w:val="single" w:sz="4" w:space="0" w:color="BFBFBF" w:themeColor="background1" w:themeShade="BF"/>
        </w:tblBorders>
        <w:tblLook w:val="04A0" w:firstRow="1" w:lastRow="0" w:firstColumn="1" w:lastColumn="0" w:noHBand="0" w:noVBand="1"/>
      </w:tblPr>
      <w:tblGrid>
        <w:gridCol w:w="3288"/>
        <w:gridCol w:w="1430"/>
        <w:gridCol w:w="1430"/>
        <w:gridCol w:w="1430"/>
        <w:gridCol w:w="1426"/>
      </w:tblGrid>
      <w:tr w:rsidR="00195BE7" w:rsidRPr="001E2F6E" w:rsidTr="00195BE7">
        <w:trPr>
          <w:jc w:val="center"/>
        </w:trPr>
        <w:tc>
          <w:tcPr>
            <w:tcW w:w="1826"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noWrap/>
          </w:tcPr>
          <w:p w:rsidR="00195BE7" w:rsidRPr="001E2F6E" w:rsidRDefault="00195BE7" w:rsidP="00195BE7">
            <w:pPr>
              <w:spacing w:line="240" w:lineRule="exact"/>
              <w:rPr>
                <w:b/>
                <w:bCs/>
                <w:sz w:val="16"/>
                <w:szCs w:val="16"/>
              </w:rPr>
            </w:pPr>
          </w:p>
        </w:tc>
        <w:tc>
          <w:tcPr>
            <w:tcW w:w="794"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tcPr>
          <w:p w:rsidR="00195BE7" w:rsidRPr="001E2F6E" w:rsidRDefault="00195BE7" w:rsidP="00195BE7">
            <w:pPr>
              <w:spacing w:line="240" w:lineRule="exact"/>
              <w:jc w:val="center"/>
              <w:rPr>
                <w:b/>
                <w:bCs/>
                <w:sz w:val="16"/>
                <w:szCs w:val="16"/>
                <w:lang w:val="en-GB"/>
              </w:rPr>
            </w:pPr>
            <w:r w:rsidRPr="001E2F6E">
              <w:rPr>
                <w:b/>
                <w:bCs/>
                <w:sz w:val="16"/>
                <w:szCs w:val="16"/>
                <w:lang w:val="en-GB"/>
              </w:rPr>
              <w:t>GUZTIRA</w:t>
            </w:r>
          </w:p>
        </w:tc>
        <w:tc>
          <w:tcPr>
            <w:tcW w:w="79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noWrap/>
          </w:tcPr>
          <w:p w:rsidR="00195BE7" w:rsidRPr="001E2F6E" w:rsidRDefault="00195BE7" w:rsidP="00195BE7">
            <w:pPr>
              <w:spacing w:line="240" w:lineRule="exact"/>
              <w:jc w:val="center"/>
              <w:rPr>
                <w:b/>
                <w:bCs/>
                <w:sz w:val="16"/>
                <w:szCs w:val="16"/>
              </w:rPr>
            </w:pPr>
            <w:r w:rsidRPr="001E2F6E">
              <w:rPr>
                <w:b/>
                <w:bCs/>
                <w:sz w:val="16"/>
                <w:szCs w:val="16"/>
                <w:lang w:val="en-GB"/>
              </w:rPr>
              <w:t>Koop.</w:t>
            </w:r>
          </w:p>
        </w:tc>
        <w:tc>
          <w:tcPr>
            <w:tcW w:w="79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tcPr>
          <w:p w:rsidR="00195BE7" w:rsidRPr="001E2F6E" w:rsidRDefault="00195BE7" w:rsidP="00195BE7">
            <w:pPr>
              <w:spacing w:line="240" w:lineRule="exact"/>
              <w:jc w:val="center"/>
              <w:rPr>
                <w:b/>
                <w:bCs/>
                <w:sz w:val="16"/>
                <w:szCs w:val="16"/>
              </w:rPr>
            </w:pPr>
            <w:r w:rsidRPr="001E2F6E">
              <w:rPr>
                <w:b/>
                <w:bCs/>
                <w:sz w:val="16"/>
                <w:szCs w:val="16"/>
                <w:lang w:val="en-GB"/>
              </w:rPr>
              <w:t>LSA</w:t>
            </w:r>
          </w:p>
        </w:tc>
        <w:tc>
          <w:tcPr>
            <w:tcW w:w="792"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tcPr>
          <w:p w:rsidR="00195BE7" w:rsidRPr="001E2F6E" w:rsidRDefault="00195BE7" w:rsidP="00195BE7">
            <w:pPr>
              <w:spacing w:line="240" w:lineRule="exact"/>
              <w:jc w:val="center"/>
              <w:rPr>
                <w:b/>
                <w:bCs/>
                <w:sz w:val="16"/>
                <w:szCs w:val="16"/>
              </w:rPr>
            </w:pPr>
            <w:r w:rsidRPr="001E2F6E">
              <w:rPr>
                <w:b/>
                <w:bCs/>
                <w:sz w:val="16"/>
                <w:szCs w:val="16"/>
                <w:lang w:val="en-GB"/>
              </w:rPr>
              <w:t>LSM</w:t>
            </w:r>
          </w:p>
        </w:tc>
      </w:tr>
      <w:tr w:rsidR="00195BE7" w:rsidRPr="001E2F6E" w:rsidTr="00195BE7">
        <w:trPr>
          <w:jc w:val="center"/>
        </w:trPr>
        <w:tc>
          <w:tcPr>
            <w:tcW w:w="1826" w:type="pct"/>
            <w:tcBorders>
              <w:top w:val="single" w:sz="4" w:space="0" w:color="BFBFBF" w:themeColor="background1" w:themeShade="BF"/>
              <w:right w:val="single" w:sz="4" w:space="0" w:color="BFBFBF" w:themeColor="background1" w:themeShade="BF"/>
            </w:tcBorders>
            <w:noWrap/>
          </w:tcPr>
          <w:p w:rsidR="00195BE7" w:rsidRPr="001E2F6E" w:rsidRDefault="00195BE7" w:rsidP="00195BE7">
            <w:pPr>
              <w:spacing w:line="240" w:lineRule="exact"/>
              <w:jc w:val="left"/>
              <w:rPr>
                <w:sz w:val="16"/>
                <w:szCs w:val="16"/>
                <w:lang w:val="eu-ES"/>
              </w:rPr>
            </w:pPr>
            <w:r w:rsidRPr="001E2F6E">
              <w:rPr>
                <w:sz w:val="16"/>
                <w:szCs w:val="16"/>
                <w:lang w:val="eu-ES"/>
              </w:rPr>
              <w:t>Barne-Erregimeneko Araudia</w:t>
            </w:r>
          </w:p>
        </w:tc>
        <w:tc>
          <w:tcPr>
            <w:tcW w:w="794" w:type="pct"/>
            <w:tcBorders>
              <w:top w:val="single" w:sz="4" w:space="0" w:color="BFBFBF" w:themeColor="background1" w:themeShade="BF"/>
              <w:right w:val="single" w:sz="4" w:space="0" w:color="BFBFBF" w:themeColor="background1" w:themeShade="BF"/>
            </w:tcBorders>
          </w:tcPr>
          <w:p w:rsidR="00195BE7" w:rsidRPr="001E2F6E" w:rsidRDefault="00195BE7" w:rsidP="00195BE7">
            <w:pPr>
              <w:spacing w:line="240" w:lineRule="exact"/>
              <w:ind w:right="170"/>
              <w:jc w:val="right"/>
              <w:rPr>
                <w:bCs/>
                <w:sz w:val="16"/>
                <w:szCs w:val="16"/>
              </w:rPr>
            </w:pPr>
            <w:r w:rsidRPr="001E2F6E">
              <w:rPr>
                <w:bCs/>
                <w:sz w:val="16"/>
                <w:szCs w:val="16"/>
              </w:rPr>
              <w:t>38,2</w:t>
            </w:r>
          </w:p>
        </w:tc>
        <w:tc>
          <w:tcPr>
            <w:tcW w:w="794" w:type="pct"/>
            <w:tcBorders>
              <w:top w:val="single" w:sz="4" w:space="0" w:color="BFBFBF" w:themeColor="background1" w:themeShade="BF"/>
              <w:left w:val="single" w:sz="4" w:space="0" w:color="BFBFBF" w:themeColor="background1" w:themeShade="BF"/>
              <w:right w:val="single" w:sz="4" w:space="0" w:color="BFBFBF" w:themeColor="background1" w:themeShade="BF"/>
            </w:tcBorders>
            <w:vAlign w:val="bottom"/>
          </w:tcPr>
          <w:p w:rsidR="00195BE7" w:rsidRPr="001E2F6E" w:rsidRDefault="00195BE7" w:rsidP="00195BE7">
            <w:pPr>
              <w:spacing w:line="240" w:lineRule="exact"/>
              <w:ind w:right="170"/>
              <w:jc w:val="right"/>
              <w:rPr>
                <w:sz w:val="16"/>
                <w:szCs w:val="16"/>
              </w:rPr>
            </w:pPr>
            <w:r w:rsidRPr="001E2F6E">
              <w:rPr>
                <w:sz w:val="16"/>
                <w:szCs w:val="16"/>
              </w:rPr>
              <w:t>48,4</w:t>
            </w:r>
          </w:p>
        </w:tc>
        <w:tc>
          <w:tcPr>
            <w:tcW w:w="794" w:type="pct"/>
            <w:tcBorders>
              <w:top w:val="single" w:sz="4" w:space="0" w:color="BFBFBF" w:themeColor="background1" w:themeShade="BF"/>
              <w:left w:val="single" w:sz="4" w:space="0" w:color="BFBFBF" w:themeColor="background1" w:themeShade="BF"/>
              <w:right w:val="single" w:sz="4" w:space="0" w:color="BFBFBF" w:themeColor="background1" w:themeShade="BF"/>
            </w:tcBorders>
            <w:vAlign w:val="bottom"/>
          </w:tcPr>
          <w:p w:rsidR="00195BE7" w:rsidRPr="001E2F6E" w:rsidRDefault="00195BE7" w:rsidP="00195BE7">
            <w:pPr>
              <w:spacing w:line="240" w:lineRule="exact"/>
              <w:ind w:right="170"/>
              <w:jc w:val="right"/>
              <w:rPr>
                <w:sz w:val="16"/>
                <w:szCs w:val="16"/>
              </w:rPr>
            </w:pPr>
            <w:r w:rsidRPr="001E2F6E">
              <w:rPr>
                <w:sz w:val="16"/>
                <w:szCs w:val="16"/>
              </w:rPr>
              <w:t>20,1</w:t>
            </w:r>
          </w:p>
        </w:tc>
        <w:tc>
          <w:tcPr>
            <w:tcW w:w="792" w:type="pct"/>
            <w:tcBorders>
              <w:top w:val="single" w:sz="4" w:space="0" w:color="BFBFBF" w:themeColor="background1" w:themeShade="BF"/>
              <w:left w:val="single" w:sz="4" w:space="0" w:color="BFBFBF" w:themeColor="background1" w:themeShade="BF"/>
            </w:tcBorders>
            <w:vAlign w:val="bottom"/>
          </w:tcPr>
          <w:p w:rsidR="00195BE7" w:rsidRPr="001E2F6E" w:rsidRDefault="00195BE7" w:rsidP="00195BE7">
            <w:pPr>
              <w:spacing w:line="240" w:lineRule="exact"/>
              <w:ind w:right="170"/>
              <w:jc w:val="right"/>
              <w:rPr>
                <w:sz w:val="16"/>
                <w:szCs w:val="16"/>
              </w:rPr>
            </w:pPr>
            <w:r w:rsidRPr="001E2F6E">
              <w:rPr>
                <w:sz w:val="16"/>
                <w:szCs w:val="16"/>
              </w:rPr>
              <w:t>18,0</w:t>
            </w:r>
          </w:p>
        </w:tc>
      </w:tr>
      <w:tr w:rsidR="00195BE7" w:rsidRPr="001E2F6E" w:rsidTr="00195BE7">
        <w:trPr>
          <w:jc w:val="center"/>
        </w:trPr>
        <w:tc>
          <w:tcPr>
            <w:tcW w:w="1826" w:type="pct"/>
            <w:tcBorders>
              <w:right w:val="single" w:sz="4" w:space="0" w:color="BFBFBF" w:themeColor="background1" w:themeShade="BF"/>
            </w:tcBorders>
            <w:noWrap/>
          </w:tcPr>
          <w:p w:rsidR="00195BE7" w:rsidRPr="001E2F6E" w:rsidRDefault="00195BE7" w:rsidP="00195BE7">
            <w:pPr>
              <w:spacing w:line="240" w:lineRule="exact"/>
              <w:jc w:val="left"/>
              <w:rPr>
                <w:sz w:val="16"/>
                <w:szCs w:val="16"/>
                <w:lang w:val="eu-ES"/>
              </w:rPr>
            </w:pPr>
            <w:r w:rsidRPr="001E2F6E">
              <w:rPr>
                <w:sz w:val="16"/>
                <w:szCs w:val="16"/>
                <w:lang w:val="eu-ES"/>
              </w:rPr>
              <w:t>Kudeaketa-Plana</w:t>
            </w:r>
          </w:p>
        </w:tc>
        <w:tc>
          <w:tcPr>
            <w:tcW w:w="794" w:type="pct"/>
            <w:tcBorders>
              <w:right w:val="single" w:sz="4" w:space="0" w:color="BFBFBF" w:themeColor="background1" w:themeShade="BF"/>
            </w:tcBorders>
          </w:tcPr>
          <w:p w:rsidR="00195BE7" w:rsidRPr="001E2F6E" w:rsidRDefault="00195BE7" w:rsidP="00195BE7">
            <w:pPr>
              <w:spacing w:line="240" w:lineRule="exact"/>
              <w:ind w:right="170"/>
              <w:jc w:val="right"/>
              <w:rPr>
                <w:bCs/>
                <w:sz w:val="16"/>
                <w:szCs w:val="16"/>
              </w:rPr>
            </w:pPr>
            <w:r w:rsidRPr="001E2F6E">
              <w:rPr>
                <w:bCs/>
                <w:sz w:val="16"/>
                <w:szCs w:val="16"/>
              </w:rPr>
              <w:t>33,2</w:t>
            </w:r>
          </w:p>
        </w:tc>
        <w:tc>
          <w:tcPr>
            <w:tcW w:w="794" w:type="pct"/>
            <w:tcBorders>
              <w:left w:val="single" w:sz="4" w:space="0" w:color="BFBFBF" w:themeColor="background1" w:themeShade="BF"/>
              <w:right w:val="single" w:sz="4" w:space="0" w:color="BFBFBF" w:themeColor="background1" w:themeShade="BF"/>
            </w:tcBorders>
            <w:vAlign w:val="bottom"/>
          </w:tcPr>
          <w:p w:rsidR="00195BE7" w:rsidRPr="001E2F6E" w:rsidRDefault="00195BE7" w:rsidP="00195BE7">
            <w:pPr>
              <w:spacing w:line="240" w:lineRule="exact"/>
              <w:ind w:right="170"/>
              <w:jc w:val="right"/>
              <w:rPr>
                <w:sz w:val="16"/>
                <w:szCs w:val="16"/>
              </w:rPr>
            </w:pPr>
            <w:r w:rsidRPr="001E2F6E">
              <w:rPr>
                <w:sz w:val="16"/>
                <w:szCs w:val="16"/>
              </w:rPr>
              <w:t>39,7</w:t>
            </w:r>
          </w:p>
        </w:tc>
        <w:tc>
          <w:tcPr>
            <w:tcW w:w="794" w:type="pct"/>
            <w:tcBorders>
              <w:left w:val="single" w:sz="4" w:space="0" w:color="BFBFBF" w:themeColor="background1" w:themeShade="BF"/>
              <w:right w:val="single" w:sz="4" w:space="0" w:color="BFBFBF" w:themeColor="background1" w:themeShade="BF"/>
            </w:tcBorders>
            <w:vAlign w:val="bottom"/>
          </w:tcPr>
          <w:p w:rsidR="00195BE7" w:rsidRPr="001E2F6E" w:rsidRDefault="00195BE7" w:rsidP="00195BE7">
            <w:pPr>
              <w:spacing w:line="240" w:lineRule="exact"/>
              <w:ind w:right="170"/>
              <w:jc w:val="right"/>
              <w:rPr>
                <w:sz w:val="16"/>
                <w:szCs w:val="16"/>
              </w:rPr>
            </w:pPr>
            <w:r w:rsidRPr="001E2F6E">
              <w:rPr>
                <w:sz w:val="16"/>
                <w:szCs w:val="16"/>
              </w:rPr>
              <w:t>29,0</w:t>
            </w:r>
          </w:p>
        </w:tc>
        <w:tc>
          <w:tcPr>
            <w:tcW w:w="792" w:type="pct"/>
            <w:tcBorders>
              <w:left w:val="single" w:sz="4" w:space="0" w:color="BFBFBF" w:themeColor="background1" w:themeShade="BF"/>
            </w:tcBorders>
            <w:vAlign w:val="bottom"/>
          </w:tcPr>
          <w:p w:rsidR="00195BE7" w:rsidRPr="001E2F6E" w:rsidRDefault="00195BE7" w:rsidP="00195BE7">
            <w:pPr>
              <w:spacing w:line="240" w:lineRule="exact"/>
              <w:ind w:right="170"/>
              <w:jc w:val="right"/>
              <w:rPr>
                <w:sz w:val="16"/>
                <w:szCs w:val="16"/>
              </w:rPr>
            </w:pPr>
            <w:r w:rsidRPr="001E2F6E">
              <w:rPr>
                <w:sz w:val="16"/>
                <w:szCs w:val="16"/>
              </w:rPr>
              <w:t>17,1</w:t>
            </w:r>
          </w:p>
        </w:tc>
      </w:tr>
      <w:tr w:rsidR="00195BE7" w:rsidRPr="001E2F6E" w:rsidTr="00195BE7">
        <w:trPr>
          <w:jc w:val="center"/>
        </w:trPr>
        <w:tc>
          <w:tcPr>
            <w:tcW w:w="1826" w:type="pct"/>
            <w:tcBorders>
              <w:right w:val="single" w:sz="4" w:space="0" w:color="BFBFBF" w:themeColor="background1" w:themeShade="BF"/>
            </w:tcBorders>
            <w:noWrap/>
          </w:tcPr>
          <w:p w:rsidR="00195BE7" w:rsidRPr="001E2F6E" w:rsidRDefault="00195BE7" w:rsidP="00195BE7">
            <w:pPr>
              <w:spacing w:line="240" w:lineRule="exact"/>
              <w:jc w:val="left"/>
              <w:rPr>
                <w:sz w:val="16"/>
                <w:szCs w:val="16"/>
                <w:lang w:val="eu-ES"/>
              </w:rPr>
            </w:pPr>
            <w:r w:rsidRPr="001E2F6E">
              <w:rPr>
                <w:sz w:val="16"/>
                <w:szCs w:val="16"/>
                <w:lang w:val="eu-ES"/>
              </w:rPr>
              <w:t>Prestakuntza-Plana</w:t>
            </w:r>
          </w:p>
        </w:tc>
        <w:tc>
          <w:tcPr>
            <w:tcW w:w="794" w:type="pct"/>
            <w:tcBorders>
              <w:right w:val="single" w:sz="4" w:space="0" w:color="BFBFBF" w:themeColor="background1" w:themeShade="BF"/>
            </w:tcBorders>
          </w:tcPr>
          <w:p w:rsidR="00195BE7" w:rsidRPr="001E2F6E" w:rsidRDefault="00195BE7" w:rsidP="00195BE7">
            <w:pPr>
              <w:spacing w:line="240" w:lineRule="exact"/>
              <w:ind w:right="170"/>
              <w:jc w:val="right"/>
              <w:rPr>
                <w:bCs/>
                <w:sz w:val="16"/>
                <w:szCs w:val="16"/>
              </w:rPr>
            </w:pPr>
            <w:r w:rsidRPr="001E2F6E">
              <w:rPr>
                <w:bCs/>
                <w:sz w:val="16"/>
                <w:szCs w:val="16"/>
              </w:rPr>
              <w:t>47,4</w:t>
            </w:r>
          </w:p>
        </w:tc>
        <w:tc>
          <w:tcPr>
            <w:tcW w:w="794" w:type="pct"/>
            <w:tcBorders>
              <w:left w:val="single" w:sz="4" w:space="0" w:color="BFBFBF" w:themeColor="background1" w:themeShade="BF"/>
              <w:right w:val="single" w:sz="4" w:space="0" w:color="BFBFBF" w:themeColor="background1" w:themeShade="BF"/>
            </w:tcBorders>
            <w:vAlign w:val="bottom"/>
          </w:tcPr>
          <w:p w:rsidR="00195BE7" w:rsidRPr="001E2F6E" w:rsidRDefault="00195BE7" w:rsidP="00195BE7">
            <w:pPr>
              <w:spacing w:line="240" w:lineRule="exact"/>
              <w:ind w:right="170"/>
              <w:jc w:val="right"/>
              <w:rPr>
                <w:sz w:val="16"/>
                <w:szCs w:val="16"/>
              </w:rPr>
            </w:pPr>
            <w:r w:rsidRPr="001E2F6E">
              <w:rPr>
                <w:sz w:val="16"/>
                <w:szCs w:val="16"/>
              </w:rPr>
              <w:t>48,3</w:t>
            </w:r>
          </w:p>
        </w:tc>
        <w:tc>
          <w:tcPr>
            <w:tcW w:w="794" w:type="pct"/>
            <w:tcBorders>
              <w:left w:val="single" w:sz="4" w:space="0" w:color="BFBFBF" w:themeColor="background1" w:themeShade="BF"/>
              <w:right w:val="single" w:sz="4" w:space="0" w:color="BFBFBF" w:themeColor="background1" w:themeShade="BF"/>
            </w:tcBorders>
            <w:vAlign w:val="bottom"/>
          </w:tcPr>
          <w:p w:rsidR="00195BE7" w:rsidRPr="001E2F6E" w:rsidRDefault="00195BE7" w:rsidP="00195BE7">
            <w:pPr>
              <w:spacing w:line="240" w:lineRule="exact"/>
              <w:ind w:right="170"/>
              <w:jc w:val="right"/>
              <w:rPr>
                <w:sz w:val="16"/>
                <w:szCs w:val="16"/>
              </w:rPr>
            </w:pPr>
            <w:r w:rsidRPr="001E2F6E">
              <w:rPr>
                <w:sz w:val="16"/>
                <w:szCs w:val="16"/>
              </w:rPr>
              <w:t>58,6</w:t>
            </w:r>
          </w:p>
        </w:tc>
        <w:tc>
          <w:tcPr>
            <w:tcW w:w="792" w:type="pct"/>
            <w:tcBorders>
              <w:left w:val="single" w:sz="4" w:space="0" w:color="BFBFBF" w:themeColor="background1" w:themeShade="BF"/>
            </w:tcBorders>
            <w:vAlign w:val="bottom"/>
          </w:tcPr>
          <w:p w:rsidR="00195BE7" w:rsidRPr="001E2F6E" w:rsidRDefault="00195BE7" w:rsidP="00195BE7">
            <w:pPr>
              <w:spacing w:line="240" w:lineRule="exact"/>
              <w:ind w:right="170"/>
              <w:jc w:val="right"/>
              <w:rPr>
                <w:sz w:val="16"/>
                <w:szCs w:val="16"/>
              </w:rPr>
            </w:pPr>
            <w:r w:rsidRPr="001E2F6E">
              <w:rPr>
                <w:sz w:val="16"/>
                <w:szCs w:val="16"/>
              </w:rPr>
              <w:t>39,4</w:t>
            </w:r>
          </w:p>
        </w:tc>
      </w:tr>
      <w:tr w:rsidR="00195BE7" w:rsidRPr="001E2F6E" w:rsidTr="00195BE7">
        <w:trPr>
          <w:jc w:val="center"/>
        </w:trPr>
        <w:tc>
          <w:tcPr>
            <w:tcW w:w="1826" w:type="pct"/>
            <w:tcBorders>
              <w:right w:val="single" w:sz="4" w:space="0" w:color="BFBFBF" w:themeColor="background1" w:themeShade="BF"/>
            </w:tcBorders>
            <w:noWrap/>
          </w:tcPr>
          <w:p w:rsidR="00195BE7" w:rsidRPr="001E2F6E" w:rsidRDefault="00195BE7" w:rsidP="00195BE7">
            <w:pPr>
              <w:spacing w:line="240" w:lineRule="exact"/>
              <w:jc w:val="left"/>
              <w:rPr>
                <w:sz w:val="16"/>
                <w:szCs w:val="16"/>
                <w:lang w:val="eu-ES"/>
              </w:rPr>
            </w:pPr>
            <w:r w:rsidRPr="001E2F6E">
              <w:rPr>
                <w:sz w:val="16"/>
                <w:szCs w:val="16"/>
                <w:lang w:val="eu-ES"/>
              </w:rPr>
              <w:t xml:space="preserve">Plan Estrategikoa </w:t>
            </w:r>
          </w:p>
        </w:tc>
        <w:tc>
          <w:tcPr>
            <w:tcW w:w="794" w:type="pct"/>
            <w:tcBorders>
              <w:right w:val="single" w:sz="4" w:space="0" w:color="BFBFBF" w:themeColor="background1" w:themeShade="BF"/>
            </w:tcBorders>
          </w:tcPr>
          <w:p w:rsidR="00195BE7" w:rsidRPr="001E2F6E" w:rsidRDefault="00195BE7" w:rsidP="00195BE7">
            <w:pPr>
              <w:spacing w:line="240" w:lineRule="exact"/>
              <w:ind w:right="170"/>
              <w:jc w:val="right"/>
              <w:rPr>
                <w:bCs/>
                <w:sz w:val="16"/>
                <w:szCs w:val="16"/>
              </w:rPr>
            </w:pPr>
            <w:r w:rsidRPr="001E2F6E">
              <w:rPr>
                <w:bCs/>
                <w:sz w:val="16"/>
                <w:szCs w:val="16"/>
              </w:rPr>
              <w:t>25,8</w:t>
            </w:r>
          </w:p>
        </w:tc>
        <w:tc>
          <w:tcPr>
            <w:tcW w:w="794" w:type="pct"/>
            <w:tcBorders>
              <w:left w:val="single" w:sz="4" w:space="0" w:color="BFBFBF" w:themeColor="background1" w:themeShade="BF"/>
              <w:right w:val="single" w:sz="4" w:space="0" w:color="BFBFBF" w:themeColor="background1" w:themeShade="BF"/>
            </w:tcBorders>
            <w:vAlign w:val="bottom"/>
          </w:tcPr>
          <w:p w:rsidR="00195BE7" w:rsidRPr="001E2F6E" w:rsidRDefault="00195BE7" w:rsidP="00195BE7">
            <w:pPr>
              <w:spacing w:line="240" w:lineRule="exact"/>
              <w:ind w:right="170"/>
              <w:jc w:val="right"/>
              <w:rPr>
                <w:sz w:val="16"/>
                <w:szCs w:val="16"/>
              </w:rPr>
            </w:pPr>
            <w:r w:rsidRPr="001E2F6E">
              <w:rPr>
                <w:sz w:val="16"/>
                <w:szCs w:val="16"/>
              </w:rPr>
              <w:t>32,8</w:t>
            </w:r>
          </w:p>
        </w:tc>
        <w:tc>
          <w:tcPr>
            <w:tcW w:w="794" w:type="pct"/>
            <w:tcBorders>
              <w:left w:val="single" w:sz="4" w:space="0" w:color="BFBFBF" w:themeColor="background1" w:themeShade="BF"/>
              <w:right w:val="single" w:sz="4" w:space="0" w:color="BFBFBF" w:themeColor="background1" w:themeShade="BF"/>
            </w:tcBorders>
            <w:vAlign w:val="bottom"/>
          </w:tcPr>
          <w:p w:rsidR="00195BE7" w:rsidRPr="001E2F6E" w:rsidRDefault="00195BE7" w:rsidP="00195BE7">
            <w:pPr>
              <w:spacing w:line="240" w:lineRule="exact"/>
              <w:ind w:right="170"/>
              <w:jc w:val="right"/>
              <w:rPr>
                <w:sz w:val="16"/>
                <w:szCs w:val="16"/>
              </w:rPr>
            </w:pPr>
            <w:r w:rsidRPr="001E2F6E">
              <w:rPr>
                <w:sz w:val="16"/>
                <w:szCs w:val="16"/>
              </w:rPr>
              <w:t>19,3</w:t>
            </w:r>
          </w:p>
        </w:tc>
        <w:tc>
          <w:tcPr>
            <w:tcW w:w="792" w:type="pct"/>
            <w:tcBorders>
              <w:left w:val="single" w:sz="4" w:space="0" w:color="BFBFBF" w:themeColor="background1" w:themeShade="BF"/>
            </w:tcBorders>
            <w:vAlign w:val="bottom"/>
          </w:tcPr>
          <w:p w:rsidR="00195BE7" w:rsidRPr="001E2F6E" w:rsidRDefault="00195BE7" w:rsidP="00195BE7">
            <w:pPr>
              <w:spacing w:line="240" w:lineRule="exact"/>
              <w:ind w:right="170"/>
              <w:jc w:val="right"/>
              <w:rPr>
                <w:sz w:val="16"/>
                <w:szCs w:val="16"/>
              </w:rPr>
            </w:pPr>
            <w:r w:rsidRPr="001E2F6E">
              <w:rPr>
                <w:sz w:val="16"/>
                <w:szCs w:val="16"/>
              </w:rPr>
              <w:t>9,0</w:t>
            </w:r>
          </w:p>
        </w:tc>
      </w:tr>
      <w:tr w:rsidR="00195BE7" w:rsidRPr="001E2F6E" w:rsidTr="00195BE7">
        <w:trPr>
          <w:jc w:val="center"/>
        </w:trPr>
        <w:tc>
          <w:tcPr>
            <w:tcW w:w="1826" w:type="pct"/>
            <w:tcBorders>
              <w:right w:val="single" w:sz="4" w:space="0" w:color="BFBFBF" w:themeColor="background1" w:themeShade="BF"/>
            </w:tcBorders>
            <w:noWrap/>
          </w:tcPr>
          <w:p w:rsidR="00195BE7" w:rsidRPr="001E2F6E" w:rsidRDefault="00195BE7" w:rsidP="00195BE7">
            <w:pPr>
              <w:spacing w:line="240" w:lineRule="exact"/>
              <w:jc w:val="left"/>
              <w:rPr>
                <w:sz w:val="16"/>
                <w:szCs w:val="16"/>
                <w:lang w:val="eu-ES"/>
              </w:rPr>
            </w:pPr>
            <w:r w:rsidRPr="001E2F6E">
              <w:rPr>
                <w:sz w:val="16"/>
                <w:szCs w:val="16"/>
                <w:lang w:val="eu-ES"/>
              </w:rPr>
              <w:t>Lanpostuen Baloraziorako Eskuliburua</w:t>
            </w:r>
          </w:p>
        </w:tc>
        <w:tc>
          <w:tcPr>
            <w:tcW w:w="794" w:type="pct"/>
            <w:tcBorders>
              <w:right w:val="single" w:sz="4" w:space="0" w:color="BFBFBF" w:themeColor="background1" w:themeShade="BF"/>
            </w:tcBorders>
          </w:tcPr>
          <w:p w:rsidR="00195BE7" w:rsidRPr="001E2F6E" w:rsidRDefault="00195BE7" w:rsidP="00195BE7">
            <w:pPr>
              <w:spacing w:line="240" w:lineRule="exact"/>
              <w:ind w:right="170"/>
              <w:jc w:val="right"/>
              <w:rPr>
                <w:bCs/>
                <w:sz w:val="16"/>
                <w:szCs w:val="16"/>
              </w:rPr>
            </w:pPr>
            <w:r w:rsidRPr="001E2F6E">
              <w:rPr>
                <w:bCs/>
                <w:sz w:val="16"/>
                <w:szCs w:val="16"/>
              </w:rPr>
              <w:t>29,2</w:t>
            </w:r>
          </w:p>
        </w:tc>
        <w:tc>
          <w:tcPr>
            <w:tcW w:w="794" w:type="pct"/>
            <w:tcBorders>
              <w:left w:val="single" w:sz="4" w:space="0" w:color="BFBFBF" w:themeColor="background1" w:themeShade="BF"/>
              <w:right w:val="single" w:sz="4" w:space="0" w:color="BFBFBF" w:themeColor="background1" w:themeShade="BF"/>
            </w:tcBorders>
            <w:vAlign w:val="bottom"/>
          </w:tcPr>
          <w:p w:rsidR="00195BE7" w:rsidRPr="001E2F6E" w:rsidRDefault="00195BE7" w:rsidP="00195BE7">
            <w:pPr>
              <w:spacing w:line="240" w:lineRule="exact"/>
              <w:ind w:right="170"/>
              <w:jc w:val="right"/>
              <w:rPr>
                <w:sz w:val="16"/>
                <w:szCs w:val="16"/>
              </w:rPr>
            </w:pPr>
            <w:r w:rsidRPr="001E2F6E">
              <w:rPr>
                <w:sz w:val="16"/>
                <w:szCs w:val="16"/>
              </w:rPr>
              <w:t>31,6</w:t>
            </w:r>
          </w:p>
        </w:tc>
        <w:tc>
          <w:tcPr>
            <w:tcW w:w="794" w:type="pct"/>
            <w:tcBorders>
              <w:left w:val="single" w:sz="4" w:space="0" w:color="BFBFBF" w:themeColor="background1" w:themeShade="BF"/>
              <w:right w:val="single" w:sz="4" w:space="0" w:color="BFBFBF" w:themeColor="background1" w:themeShade="BF"/>
            </w:tcBorders>
            <w:vAlign w:val="bottom"/>
          </w:tcPr>
          <w:p w:rsidR="00195BE7" w:rsidRPr="001E2F6E" w:rsidRDefault="00195BE7" w:rsidP="00195BE7">
            <w:pPr>
              <w:spacing w:line="240" w:lineRule="exact"/>
              <w:ind w:right="170"/>
              <w:jc w:val="right"/>
              <w:rPr>
                <w:sz w:val="16"/>
                <w:szCs w:val="16"/>
              </w:rPr>
            </w:pPr>
            <w:r w:rsidRPr="001E2F6E">
              <w:rPr>
                <w:sz w:val="16"/>
                <w:szCs w:val="16"/>
              </w:rPr>
              <w:t>37,2</w:t>
            </w:r>
          </w:p>
        </w:tc>
        <w:tc>
          <w:tcPr>
            <w:tcW w:w="792" w:type="pct"/>
            <w:tcBorders>
              <w:left w:val="single" w:sz="4" w:space="0" w:color="BFBFBF" w:themeColor="background1" w:themeShade="BF"/>
            </w:tcBorders>
            <w:vAlign w:val="bottom"/>
          </w:tcPr>
          <w:p w:rsidR="00195BE7" w:rsidRPr="001E2F6E" w:rsidRDefault="00195BE7" w:rsidP="00195BE7">
            <w:pPr>
              <w:spacing w:line="240" w:lineRule="exact"/>
              <w:ind w:right="170"/>
              <w:jc w:val="right"/>
              <w:rPr>
                <w:sz w:val="16"/>
                <w:szCs w:val="16"/>
              </w:rPr>
            </w:pPr>
            <w:r w:rsidRPr="001E2F6E">
              <w:rPr>
                <w:sz w:val="16"/>
                <w:szCs w:val="16"/>
              </w:rPr>
              <w:t>19,1</w:t>
            </w:r>
          </w:p>
        </w:tc>
      </w:tr>
    </w:tbl>
    <w:p w:rsidR="00195BE7" w:rsidRPr="001E2F6E" w:rsidRDefault="00195BE7" w:rsidP="00195BE7"/>
    <w:p w:rsidR="00195BE7" w:rsidRPr="001E2F6E" w:rsidRDefault="00195BE7" w:rsidP="00195BE7"/>
    <w:p w:rsidR="00195BE7" w:rsidRPr="001E2F6E" w:rsidRDefault="00195BE7" w:rsidP="00195BE7">
      <w:pPr>
        <w:spacing w:line="240" w:lineRule="auto"/>
        <w:jc w:val="center"/>
        <w:rPr>
          <w:b/>
          <w:snapToGrid w:val="0"/>
          <w:color w:val="1F497D" w:themeColor="text2"/>
          <w:sz w:val="18"/>
          <w:szCs w:val="18"/>
          <w:lang w:val="es-ES_tradnl"/>
        </w:rPr>
      </w:pPr>
      <w:bookmarkStart w:id="296" w:name="_Toc391989206"/>
      <w:bookmarkStart w:id="297" w:name="_Toc392585836"/>
      <w:r w:rsidRPr="001E2F6E">
        <w:rPr>
          <w:b/>
          <w:snapToGrid w:val="0"/>
          <w:color w:val="1F497D" w:themeColor="text2"/>
          <w:sz w:val="18"/>
          <w:szCs w:val="18"/>
          <w:lang w:val="es-ES_tradnl"/>
        </w:rPr>
        <w:t>3.</w:t>
      </w:r>
      <w:r w:rsidR="00EB6BA6" w:rsidRPr="001E2F6E">
        <w:rPr>
          <w:b/>
          <w:snapToGrid w:val="0"/>
          <w:color w:val="1F497D" w:themeColor="text2"/>
          <w:sz w:val="18"/>
          <w:szCs w:val="18"/>
          <w:lang w:val="es-ES_tradnl"/>
        </w:rPr>
        <w:fldChar w:fldCharType="begin"/>
      </w:r>
      <w:r w:rsidRPr="001E2F6E">
        <w:rPr>
          <w:b/>
          <w:snapToGrid w:val="0"/>
          <w:color w:val="1F497D" w:themeColor="text2"/>
          <w:sz w:val="18"/>
          <w:szCs w:val="18"/>
          <w:lang w:val="es-ES_tradnl"/>
        </w:rPr>
        <w:instrText xml:space="preserve"> SEQ Cuadro_3. \* ARABIC </w:instrText>
      </w:r>
      <w:r w:rsidR="00EB6BA6" w:rsidRPr="001E2F6E">
        <w:rPr>
          <w:b/>
          <w:snapToGrid w:val="0"/>
          <w:color w:val="1F497D" w:themeColor="text2"/>
          <w:sz w:val="18"/>
          <w:szCs w:val="18"/>
          <w:lang w:val="es-ES_tradnl"/>
        </w:rPr>
        <w:fldChar w:fldCharType="separate"/>
      </w:r>
      <w:r w:rsidR="00A327D4">
        <w:rPr>
          <w:b/>
          <w:noProof/>
          <w:snapToGrid w:val="0"/>
          <w:color w:val="1F497D" w:themeColor="text2"/>
          <w:sz w:val="18"/>
          <w:szCs w:val="18"/>
          <w:lang w:val="es-ES_tradnl"/>
        </w:rPr>
        <w:t>2</w:t>
      </w:r>
      <w:r w:rsidR="00EB6BA6" w:rsidRPr="001E2F6E">
        <w:rPr>
          <w:b/>
          <w:snapToGrid w:val="0"/>
          <w:color w:val="1F497D" w:themeColor="text2"/>
          <w:sz w:val="18"/>
          <w:szCs w:val="18"/>
          <w:lang w:val="es-ES_tradnl"/>
        </w:rPr>
        <w:fldChar w:fldCharType="end"/>
      </w:r>
      <w:r w:rsidRPr="001E2F6E">
        <w:rPr>
          <w:b/>
          <w:snapToGrid w:val="0"/>
          <w:color w:val="1F497D" w:themeColor="text2"/>
          <w:sz w:val="18"/>
          <w:szCs w:val="18"/>
          <w:lang w:val="es-ES_tradnl"/>
        </w:rPr>
        <w:t xml:space="preserve"> Taula ENPRESA-KUDEAKETARAKO TRESNEN ERABILERA, ENPRESA TAMAINAREN ARABERA. 2012 (Kudeaketarako tresnak dituzten enpresen %)</w:t>
      </w:r>
      <w:bookmarkEnd w:id="296"/>
      <w:bookmarkEnd w:id="297"/>
    </w:p>
    <w:tbl>
      <w:tblPr>
        <w:tblW w:w="5626" w:type="pct"/>
        <w:jc w:val="center"/>
        <w:tblInd w:w="-332" w:type="dxa"/>
        <w:tblBorders>
          <w:bottom w:val="single" w:sz="4" w:space="0" w:color="BFBFBF" w:themeColor="background1" w:themeShade="BF"/>
        </w:tblBorders>
        <w:tblLayout w:type="fixed"/>
        <w:tblLook w:val="04A0" w:firstRow="1" w:lastRow="0" w:firstColumn="1" w:lastColumn="0" w:noHBand="0" w:noVBand="1"/>
      </w:tblPr>
      <w:tblGrid>
        <w:gridCol w:w="2637"/>
        <w:gridCol w:w="1024"/>
        <w:gridCol w:w="1104"/>
        <w:gridCol w:w="867"/>
        <w:gridCol w:w="871"/>
        <w:gridCol w:w="867"/>
        <w:gridCol w:w="867"/>
        <w:gridCol w:w="867"/>
        <w:gridCol w:w="1027"/>
      </w:tblGrid>
      <w:tr w:rsidR="00195BE7" w:rsidRPr="001E2F6E" w:rsidTr="00195BE7">
        <w:trPr>
          <w:trHeight w:val="802"/>
          <w:jc w:val="center"/>
        </w:trPr>
        <w:tc>
          <w:tcPr>
            <w:tcW w:w="1301"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tcPr>
          <w:p w:rsidR="00195BE7" w:rsidRPr="001E2F6E" w:rsidRDefault="00195BE7" w:rsidP="00195BE7">
            <w:pPr>
              <w:spacing w:line="240" w:lineRule="exact"/>
              <w:jc w:val="center"/>
              <w:rPr>
                <w:b/>
                <w:bCs/>
                <w:sz w:val="16"/>
                <w:szCs w:val="16"/>
              </w:rPr>
            </w:pPr>
            <w:r w:rsidRPr="001E2F6E">
              <w:rPr>
                <w:b/>
                <w:bCs/>
                <w:sz w:val="16"/>
                <w:szCs w:val="16"/>
              </w:rPr>
              <w:t> </w:t>
            </w:r>
          </w:p>
        </w:tc>
        <w:tc>
          <w:tcPr>
            <w:tcW w:w="505" w:type="pct"/>
            <w:tcBorders>
              <w:top w:val="single" w:sz="4" w:space="0" w:color="BFBFBF" w:themeColor="background1" w:themeShade="BF"/>
              <w:left w:val="single" w:sz="4" w:space="0" w:color="BFBFBF" w:themeColor="background1" w:themeShade="BF"/>
              <w:right w:val="single" w:sz="4" w:space="0" w:color="BFBFBF" w:themeColor="background1" w:themeShade="BF"/>
            </w:tcBorders>
            <w:shd w:val="clear" w:color="auto" w:fill="DBE5F1" w:themeFill="accent1" w:themeFillTint="33"/>
            <w:vAlign w:val="bottom"/>
          </w:tcPr>
          <w:p w:rsidR="00195BE7" w:rsidRPr="001E2F6E" w:rsidRDefault="00195BE7" w:rsidP="00195BE7">
            <w:pPr>
              <w:spacing w:line="240" w:lineRule="exact"/>
              <w:jc w:val="center"/>
              <w:rPr>
                <w:b/>
                <w:bCs/>
                <w:sz w:val="16"/>
                <w:szCs w:val="16"/>
              </w:rPr>
            </w:pPr>
            <w:r w:rsidRPr="001E2F6E">
              <w:rPr>
                <w:b/>
                <w:bCs/>
                <w:sz w:val="16"/>
                <w:szCs w:val="16"/>
              </w:rPr>
              <w:t>GUZTIRA</w:t>
            </w:r>
          </w:p>
          <w:p w:rsidR="00195BE7" w:rsidRPr="001E2F6E" w:rsidRDefault="00195BE7" w:rsidP="00195BE7">
            <w:pPr>
              <w:spacing w:line="240" w:lineRule="exact"/>
              <w:jc w:val="center"/>
              <w:rPr>
                <w:b/>
                <w:bCs/>
                <w:sz w:val="16"/>
                <w:szCs w:val="16"/>
              </w:rPr>
            </w:pPr>
            <w:r w:rsidRPr="001E2F6E">
              <w:rPr>
                <w:b/>
                <w:sz w:val="16"/>
                <w:szCs w:val="16"/>
                <w:lang w:val="es-ES_tradnl"/>
              </w:rPr>
              <w:t>%</w:t>
            </w:r>
          </w:p>
        </w:tc>
        <w:tc>
          <w:tcPr>
            <w:tcW w:w="545" w:type="pct"/>
            <w:tcBorders>
              <w:top w:val="single" w:sz="4" w:space="0" w:color="BFBFBF" w:themeColor="background1" w:themeShade="BF"/>
              <w:left w:val="single" w:sz="4" w:space="0" w:color="BFBFBF" w:themeColor="background1" w:themeShade="BF"/>
              <w:right w:val="single" w:sz="4" w:space="0" w:color="BFBFBF" w:themeColor="background1" w:themeShade="BF"/>
            </w:tcBorders>
            <w:shd w:val="clear" w:color="auto" w:fill="DBE5F1" w:themeFill="accent1" w:themeFillTint="33"/>
            <w:vAlign w:val="bottom"/>
          </w:tcPr>
          <w:p w:rsidR="00195BE7" w:rsidRPr="001E2F6E" w:rsidRDefault="00195BE7" w:rsidP="00195BE7">
            <w:pPr>
              <w:spacing w:line="240" w:lineRule="auto"/>
              <w:jc w:val="center"/>
              <w:rPr>
                <w:b/>
                <w:bCs/>
                <w:sz w:val="16"/>
                <w:szCs w:val="16"/>
                <w:lang w:val="eu-ES"/>
              </w:rPr>
            </w:pPr>
            <w:r w:rsidRPr="001E2F6E">
              <w:rPr>
                <w:b/>
                <w:sz w:val="16"/>
                <w:szCs w:val="16"/>
                <w:lang w:val="eu-ES"/>
              </w:rPr>
              <w:t>6 enplegu baino gutxiago</w:t>
            </w:r>
          </w:p>
          <w:p w:rsidR="00195BE7" w:rsidRPr="001E2F6E" w:rsidRDefault="00195BE7" w:rsidP="00195BE7">
            <w:pPr>
              <w:spacing w:line="240" w:lineRule="exact"/>
              <w:jc w:val="center"/>
              <w:rPr>
                <w:b/>
                <w:bCs/>
                <w:sz w:val="16"/>
                <w:szCs w:val="16"/>
                <w:lang w:val="eu-ES"/>
              </w:rPr>
            </w:pPr>
            <w:r w:rsidRPr="001E2F6E">
              <w:rPr>
                <w:b/>
                <w:sz w:val="16"/>
                <w:szCs w:val="16"/>
                <w:lang w:val="es-ES_tradnl"/>
              </w:rPr>
              <w:t>%</w:t>
            </w:r>
          </w:p>
        </w:tc>
        <w:tc>
          <w:tcPr>
            <w:tcW w:w="428" w:type="pct"/>
            <w:tcBorders>
              <w:top w:val="single" w:sz="4" w:space="0" w:color="BFBFBF" w:themeColor="background1" w:themeShade="BF"/>
              <w:left w:val="single" w:sz="4" w:space="0" w:color="BFBFBF" w:themeColor="background1" w:themeShade="BF"/>
              <w:right w:val="single" w:sz="4" w:space="0" w:color="BFBFBF" w:themeColor="background1" w:themeShade="BF"/>
            </w:tcBorders>
            <w:shd w:val="clear" w:color="auto" w:fill="DBE5F1" w:themeFill="accent1" w:themeFillTint="33"/>
            <w:vAlign w:val="bottom"/>
          </w:tcPr>
          <w:p w:rsidR="00195BE7" w:rsidRPr="001E2F6E" w:rsidRDefault="00195BE7" w:rsidP="00195BE7">
            <w:pPr>
              <w:spacing w:line="240" w:lineRule="auto"/>
              <w:jc w:val="center"/>
              <w:rPr>
                <w:b/>
                <w:bCs/>
                <w:sz w:val="16"/>
                <w:szCs w:val="16"/>
                <w:lang w:val="eu-ES"/>
              </w:rPr>
            </w:pPr>
            <w:r w:rsidRPr="001E2F6E">
              <w:rPr>
                <w:b/>
                <w:bCs/>
                <w:sz w:val="16"/>
                <w:szCs w:val="16"/>
                <w:lang w:val="eu-ES"/>
              </w:rPr>
              <w:t>6 - 15</w:t>
            </w:r>
          </w:p>
          <w:p w:rsidR="00195BE7" w:rsidRPr="001E2F6E" w:rsidRDefault="00195BE7" w:rsidP="00195BE7">
            <w:pPr>
              <w:spacing w:line="240" w:lineRule="exact"/>
              <w:jc w:val="center"/>
              <w:rPr>
                <w:b/>
                <w:bCs/>
                <w:sz w:val="16"/>
                <w:szCs w:val="16"/>
                <w:lang w:val="eu-ES"/>
              </w:rPr>
            </w:pPr>
            <w:r w:rsidRPr="001E2F6E">
              <w:rPr>
                <w:b/>
                <w:sz w:val="16"/>
                <w:szCs w:val="16"/>
                <w:lang w:val="es-ES_tradnl"/>
              </w:rPr>
              <w:t>%</w:t>
            </w:r>
          </w:p>
        </w:tc>
        <w:tc>
          <w:tcPr>
            <w:tcW w:w="430" w:type="pct"/>
            <w:tcBorders>
              <w:top w:val="single" w:sz="4" w:space="0" w:color="BFBFBF" w:themeColor="background1" w:themeShade="BF"/>
              <w:left w:val="single" w:sz="4" w:space="0" w:color="BFBFBF" w:themeColor="background1" w:themeShade="BF"/>
              <w:right w:val="single" w:sz="4" w:space="0" w:color="BFBFBF" w:themeColor="background1" w:themeShade="BF"/>
            </w:tcBorders>
            <w:shd w:val="clear" w:color="auto" w:fill="DBE5F1" w:themeFill="accent1" w:themeFillTint="33"/>
            <w:vAlign w:val="bottom"/>
          </w:tcPr>
          <w:p w:rsidR="00195BE7" w:rsidRPr="001E2F6E" w:rsidRDefault="00195BE7" w:rsidP="00195BE7">
            <w:pPr>
              <w:spacing w:line="240" w:lineRule="auto"/>
              <w:jc w:val="center"/>
              <w:rPr>
                <w:b/>
                <w:bCs/>
                <w:sz w:val="16"/>
                <w:szCs w:val="16"/>
                <w:lang w:val="eu-ES"/>
              </w:rPr>
            </w:pPr>
            <w:r w:rsidRPr="001E2F6E">
              <w:rPr>
                <w:b/>
                <w:bCs/>
                <w:sz w:val="16"/>
                <w:szCs w:val="16"/>
                <w:lang w:val="eu-ES"/>
              </w:rPr>
              <w:t>16  - 50</w:t>
            </w:r>
          </w:p>
          <w:p w:rsidR="00195BE7" w:rsidRPr="001E2F6E" w:rsidRDefault="00195BE7" w:rsidP="00195BE7">
            <w:pPr>
              <w:spacing w:line="240" w:lineRule="exact"/>
              <w:jc w:val="center"/>
              <w:rPr>
                <w:b/>
                <w:bCs/>
                <w:sz w:val="16"/>
                <w:szCs w:val="16"/>
                <w:lang w:val="eu-ES"/>
              </w:rPr>
            </w:pPr>
            <w:r w:rsidRPr="001E2F6E">
              <w:rPr>
                <w:b/>
                <w:sz w:val="16"/>
                <w:szCs w:val="16"/>
                <w:lang w:val="es-ES_tradnl"/>
              </w:rPr>
              <w:t>%</w:t>
            </w:r>
          </w:p>
        </w:tc>
        <w:tc>
          <w:tcPr>
            <w:tcW w:w="428" w:type="pct"/>
            <w:tcBorders>
              <w:top w:val="single" w:sz="4" w:space="0" w:color="BFBFBF" w:themeColor="background1" w:themeShade="BF"/>
              <w:left w:val="single" w:sz="4" w:space="0" w:color="BFBFBF" w:themeColor="background1" w:themeShade="BF"/>
              <w:right w:val="single" w:sz="4" w:space="0" w:color="BFBFBF" w:themeColor="background1" w:themeShade="BF"/>
            </w:tcBorders>
            <w:shd w:val="clear" w:color="auto" w:fill="DBE5F1" w:themeFill="accent1" w:themeFillTint="33"/>
            <w:vAlign w:val="bottom"/>
          </w:tcPr>
          <w:p w:rsidR="00195BE7" w:rsidRPr="001E2F6E" w:rsidRDefault="00195BE7" w:rsidP="00195BE7">
            <w:pPr>
              <w:spacing w:line="240" w:lineRule="auto"/>
              <w:jc w:val="center"/>
              <w:rPr>
                <w:b/>
                <w:bCs/>
                <w:sz w:val="16"/>
                <w:szCs w:val="16"/>
                <w:lang w:val="eu-ES"/>
              </w:rPr>
            </w:pPr>
            <w:r w:rsidRPr="001E2F6E">
              <w:rPr>
                <w:b/>
                <w:bCs/>
                <w:sz w:val="16"/>
                <w:szCs w:val="16"/>
                <w:lang w:val="eu-ES"/>
              </w:rPr>
              <w:t>51 - 100</w:t>
            </w:r>
          </w:p>
          <w:p w:rsidR="00195BE7" w:rsidRPr="001E2F6E" w:rsidRDefault="00195BE7" w:rsidP="00195BE7">
            <w:pPr>
              <w:spacing w:line="240" w:lineRule="exact"/>
              <w:jc w:val="center"/>
              <w:rPr>
                <w:b/>
                <w:bCs/>
                <w:sz w:val="16"/>
                <w:szCs w:val="16"/>
                <w:lang w:val="eu-ES"/>
              </w:rPr>
            </w:pPr>
            <w:r w:rsidRPr="001E2F6E">
              <w:rPr>
                <w:b/>
                <w:sz w:val="16"/>
                <w:szCs w:val="16"/>
                <w:lang w:val="es-ES_tradnl"/>
              </w:rPr>
              <w:t>%</w:t>
            </w:r>
          </w:p>
        </w:tc>
        <w:tc>
          <w:tcPr>
            <w:tcW w:w="428" w:type="pct"/>
            <w:tcBorders>
              <w:top w:val="single" w:sz="4" w:space="0" w:color="BFBFBF" w:themeColor="background1" w:themeShade="BF"/>
              <w:left w:val="single" w:sz="4" w:space="0" w:color="BFBFBF" w:themeColor="background1" w:themeShade="BF"/>
              <w:right w:val="single" w:sz="4" w:space="0" w:color="BFBFBF" w:themeColor="background1" w:themeShade="BF"/>
            </w:tcBorders>
            <w:shd w:val="clear" w:color="auto" w:fill="DBE5F1" w:themeFill="accent1" w:themeFillTint="33"/>
            <w:vAlign w:val="bottom"/>
          </w:tcPr>
          <w:p w:rsidR="00195BE7" w:rsidRPr="001E2F6E" w:rsidRDefault="00195BE7" w:rsidP="00195BE7">
            <w:pPr>
              <w:spacing w:line="240" w:lineRule="auto"/>
              <w:jc w:val="center"/>
              <w:rPr>
                <w:b/>
                <w:bCs/>
                <w:sz w:val="16"/>
                <w:szCs w:val="16"/>
                <w:lang w:val="eu-ES"/>
              </w:rPr>
            </w:pPr>
            <w:r w:rsidRPr="001E2F6E">
              <w:rPr>
                <w:b/>
                <w:bCs/>
                <w:sz w:val="16"/>
                <w:szCs w:val="16"/>
                <w:lang w:val="eu-ES"/>
              </w:rPr>
              <w:t>101 - 200</w:t>
            </w:r>
          </w:p>
          <w:p w:rsidR="00195BE7" w:rsidRPr="001E2F6E" w:rsidRDefault="00195BE7" w:rsidP="00195BE7">
            <w:pPr>
              <w:spacing w:line="240" w:lineRule="exact"/>
              <w:jc w:val="center"/>
              <w:rPr>
                <w:b/>
                <w:bCs/>
                <w:sz w:val="16"/>
                <w:szCs w:val="16"/>
                <w:lang w:val="eu-ES"/>
              </w:rPr>
            </w:pPr>
            <w:r w:rsidRPr="001E2F6E">
              <w:rPr>
                <w:b/>
                <w:sz w:val="16"/>
                <w:szCs w:val="16"/>
                <w:lang w:val="es-ES_tradnl"/>
              </w:rPr>
              <w:t>%</w:t>
            </w:r>
          </w:p>
        </w:tc>
        <w:tc>
          <w:tcPr>
            <w:tcW w:w="428" w:type="pct"/>
            <w:tcBorders>
              <w:top w:val="single" w:sz="4" w:space="0" w:color="BFBFBF" w:themeColor="background1" w:themeShade="BF"/>
              <w:left w:val="single" w:sz="4" w:space="0" w:color="BFBFBF" w:themeColor="background1" w:themeShade="BF"/>
              <w:right w:val="single" w:sz="4" w:space="0" w:color="BFBFBF" w:themeColor="background1" w:themeShade="BF"/>
            </w:tcBorders>
            <w:shd w:val="clear" w:color="auto" w:fill="DBE5F1" w:themeFill="accent1" w:themeFillTint="33"/>
            <w:vAlign w:val="bottom"/>
          </w:tcPr>
          <w:p w:rsidR="00195BE7" w:rsidRPr="001E2F6E" w:rsidRDefault="00195BE7" w:rsidP="00195BE7">
            <w:pPr>
              <w:spacing w:line="240" w:lineRule="auto"/>
              <w:jc w:val="center"/>
              <w:rPr>
                <w:b/>
                <w:bCs/>
                <w:sz w:val="16"/>
                <w:szCs w:val="16"/>
                <w:lang w:val="eu-ES"/>
              </w:rPr>
            </w:pPr>
            <w:r w:rsidRPr="001E2F6E">
              <w:rPr>
                <w:b/>
                <w:bCs/>
                <w:sz w:val="16"/>
                <w:szCs w:val="16"/>
                <w:lang w:val="eu-ES"/>
              </w:rPr>
              <w:t>201  500</w:t>
            </w:r>
          </w:p>
          <w:p w:rsidR="00195BE7" w:rsidRPr="001E2F6E" w:rsidRDefault="00195BE7" w:rsidP="00195BE7">
            <w:pPr>
              <w:spacing w:line="240" w:lineRule="exact"/>
              <w:jc w:val="center"/>
              <w:rPr>
                <w:b/>
                <w:bCs/>
                <w:sz w:val="16"/>
                <w:szCs w:val="16"/>
                <w:lang w:val="eu-ES"/>
              </w:rPr>
            </w:pPr>
            <w:r w:rsidRPr="001E2F6E">
              <w:rPr>
                <w:b/>
                <w:sz w:val="16"/>
                <w:szCs w:val="16"/>
                <w:lang w:val="es-ES_tradnl"/>
              </w:rPr>
              <w:t>%</w:t>
            </w:r>
          </w:p>
        </w:tc>
        <w:tc>
          <w:tcPr>
            <w:tcW w:w="507" w:type="pct"/>
            <w:tcBorders>
              <w:top w:val="single" w:sz="4" w:space="0" w:color="BFBFBF" w:themeColor="background1" w:themeShade="BF"/>
              <w:left w:val="single" w:sz="4" w:space="0" w:color="BFBFBF" w:themeColor="background1" w:themeShade="BF"/>
            </w:tcBorders>
            <w:shd w:val="clear" w:color="auto" w:fill="DBE5F1" w:themeFill="accent1" w:themeFillTint="33"/>
            <w:vAlign w:val="bottom"/>
          </w:tcPr>
          <w:p w:rsidR="00195BE7" w:rsidRPr="001E2F6E" w:rsidRDefault="00195BE7" w:rsidP="00195BE7">
            <w:pPr>
              <w:spacing w:line="240" w:lineRule="auto"/>
              <w:jc w:val="center"/>
              <w:rPr>
                <w:b/>
                <w:bCs/>
                <w:sz w:val="16"/>
                <w:szCs w:val="16"/>
                <w:lang w:val="eu-ES"/>
              </w:rPr>
            </w:pPr>
            <w:r w:rsidRPr="001E2F6E">
              <w:rPr>
                <w:b/>
                <w:bCs/>
                <w:sz w:val="16"/>
                <w:szCs w:val="16"/>
                <w:lang w:val="eu-ES"/>
              </w:rPr>
              <w:t>500 enplegutik gora</w:t>
            </w:r>
          </w:p>
          <w:p w:rsidR="00195BE7" w:rsidRPr="001E2F6E" w:rsidRDefault="00195BE7" w:rsidP="00195BE7">
            <w:pPr>
              <w:spacing w:line="240" w:lineRule="exact"/>
              <w:jc w:val="center"/>
              <w:rPr>
                <w:b/>
                <w:bCs/>
                <w:sz w:val="16"/>
                <w:szCs w:val="16"/>
                <w:lang w:val="eu-ES"/>
              </w:rPr>
            </w:pPr>
            <w:r w:rsidRPr="001E2F6E">
              <w:rPr>
                <w:b/>
                <w:sz w:val="16"/>
                <w:szCs w:val="16"/>
                <w:lang w:val="es-ES_tradnl"/>
              </w:rPr>
              <w:t>%</w:t>
            </w:r>
          </w:p>
        </w:tc>
      </w:tr>
      <w:tr w:rsidR="00195BE7" w:rsidRPr="001E2F6E" w:rsidTr="00195BE7">
        <w:trPr>
          <w:jc w:val="center"/>
        </w:trPr>
        <w:tc>
          <w:tcPr>
            <w:tcW w:w="1301" w:type="pct"/>
            <w:tcBorders>
              <w:top w:val="single" w:sz="4" w:space="0" w:color="BFBFBF" w:themeColor="background1" w:themeShade="BF"/>
              <w:right w:val="single" w:sz="4" w:space="0" w:color="BFBFBF" w:themeColor="background1" w:themeShade="BF"/>
            </w:tcBorders>
          </w:tcPr>
          <w:p w:rsidR="00195BE7" w:rsidRPr="001E2F6E" w:rsidRDefault="00195BE7" w:rsidP="00195BE7">
            <w:pPr>
              <w:spacing w:line="240" w:lineRule="exact"/>
              <w:jc w:val="left"/>
              <w:rPr>
                <w:sz w:val="16"/>
                <w:szCs w:val="16"/>
                <w:lang w:val="eu-ES"/>
              </w:rPr>
            </w:pPr>
            <w:r w:rsidRPr="001E2F6E">
              <w:rPr>
                <w:sz w:val="16"/>
                <w:szCs w:val="16"/>
                <w:lang w:val="eu-ES"/>
              </w:rPr>
              <w:t>Barne-Erregimeneko Araudia</w:t>
            </w:r>
          </w:p>
        </w:tc>
        <w:tc>
          <w:tcPr>
            <w:tcW w:w="505" w:type="pct"/>
            <w:tcBorders>
              <w:top w:val="single" w:sz="4" w:space="0" w:color="BFBFBF" w:themeColor="background1" w:themeShade="BF"/>
              <w:left w:val="single" w:sz="4" w:space="0" w:color="BFBFBF" w:themeColor="background1" w:themeShade="BF"/>
              <w:right w:val="single" w:sz="4" w:space="0" w:color="BFBFBF" w:themeColor="background1" w:themeShade="BF"/>
            </w:tcBorders>
            <w:vAlign w:val="center"/>
          </w:tcPr>
          <w:p w:rsidR="00195BE7" w:rsidRPr="001E2F6E" w:rsidRDefault="00195BE7" w:rsidP="00195BE7">
            <w:pPr>
              <w:spacing w:line="240" w:lineRule="exact"/>
              <w:ind w:right="170"/>
              <w:jc w:val="right"/>
              <w:rPr>
                <w:bCs/>
                <w:sz w:val="16"/>
                <w:szCs w:val="16"/>
              </w:rPr>
            </w:pPr>
            <w:r w:rsidRPr="001E2F6E">
              <w:rPr>
                <w:bCs/>
                <w:sz w:val="16"/>
                <w:szCs w:val="16"/>
              </w:rPr>
              <w:t>38,2</w:t>
            </w:r>
          </w:p>
        </w:tc>
        <w:tc>
          <w:tcPr>
            <w:tcW w:w="545" w:type="pct"/>
            <w:tcBorders>
              <w:top w:val="single" w:sz="4" w:space="0" w:color="BFBFBF" w:themeColor="background1" w:themeShade="BF"/>
              <w:left w:val="single" w:sz="4" w:space="0" w:color="BFBFBF" w:themeColor="background1" w:themeShade="BF"/>
              <w:right w:val="single" w:sz="4" w:space="0" w:color="BFBFBF" w:themeColor="background1" w:themeShade="BF"/>
            </w:tcBorders>
            <w:vAlign w:val="center"/>
          </w:tcPr>
          <w:p w:rsidR="00195BE7" w:rsidRPr="001E2F6E" w:rsidRDefault="00195BE7" w:rsidP="00195BE7">
            <w:pPr>
              <w:spacing w:line="240" w:lineRule="exact"/>
              <w:ind w:right="170"/>
              <w:jc w:val="right"/>
              <w:rPr>
                <w:sz w:val="16"/>
                <w:szCs w:val="16"/>
              </w:rPr>
            </w:pPr>
            <w:r w:rsidRPr="001E2F6E">
              <w:rPr>
                <w:sz w:val="16"/>
                <w:szCs w:val="16"/>
              </w:rPr>
              <w:t>24,2</w:t>
            </w:r>
          </w:p>
        </w:tc>
        <w:tc>
          <w:tcPr>
            <w:tcW w:w="428" w:type="pct"/>
            <w:tcBorders>
              <w:top w:val="single" w:sz="4" w:space="0" w:color="BFBFBF" w:themeColor="background1" w:themeShade="BF"/>
              <w:left w:val="single" w:sz="4" w:space="0" w:color="BFBFBF" w:themeColor="background1" w:themeShade="BF"/>
              <w:right w:val="single" w:sz="4" w:space="0" w:color="BFBFBF" w:themeColor="background1" w:themeShade="BF"/>
            </w:tcBorders>
            <w:vAlign w:val="center"/>
          </w:tcPr>
          <w:p w:rsidR="00195BE7" w:rsidRPr="001E2F6E" w:rsidRDefault="00195BE7" w:rsidP="00195BE7">
            <w:pPr>
              <w:spacing w:line="240" w:lineRule="exact"/>
              <w:ind w:right="170"/>
              <w:jc w:val="right"/>
              <w:rPr>
                <w:sz w:val="16"/>
                <w:szCs w:val="16"/>
              </w:rPr>
            </w:pPr>
            <w:r w:rsidRPr="001E2F6E">
              <w:rPr>
                <w:sz w:val="16"/>
                <w:szCs w:val="16"/>
              </w:rPr>
              <w:t>37,3</w:t>
            </w:r>
          </w:p>
        </w:tc>
        <w:tc>
          <w:tcPr>
            <w:tcW w:w="430" w:type="pct"/>
            <w:tcBorders>
              <w:top w:val="single" w:sz="4" w:space="0" w:color="BFBFBF" w:themeColor="background1" w:themeShade="BF"/>
              <w:left w:val="single" w:sz="4" w:space="0" w:color="BFBFBF" w:themeColor="background1" w:themeShade="BF"/>
              <w:right w:val="single" w:sz="4" w:space="0" w:color="BFBFBF" w:themeColor="background1" w:themeShade="BF"/>
            </w:tcBorders>
            <w:vAlign w:val="center"/>
          </w:tcPr>
          <w:p w:rsidR="00195BE7" w:rsidRPr="001E2F6E" w:rsidRDefault="00195BE7" w:rsidP="00195BE7">
            <w:pPr>
              <w:spacing w:line="240" w:lineRule="exact"/>
              <w:ind w:right="170"/>
              <w:jc w:val="right"/>
              <w:rPr>
                <w:sz w:val="16"/>
                <w:szCs w:val="16"/>
              </w:rPr>
            </w:pPr>
            <w:r w:rsidRPr="001E2F6E">
              <w:rPr>
                <w:sz w:val="16"/>
                <w:szCs w:val="16"/>
              </w:rPr>
              <w:t>73,4</w:t>
            </w:r>
          </w:p>
        </w:tc>
        <w:tc>
          <w:tcPr>
            <w:tcW w:w="428" w:type="pct"/>
            <w:tcBorders>
              <w:top w:val="single" w:sz="4" w:space="0" w:color="BFBFBF" w:themeColor="background1" w:themeShade="BF"/>
              <w:left w:val="single" w:sz="4" w:space="0" w:color="BFBFBF" w:themeColor="background1" w:themeShade="BF"/>
              <w:right w:val="single" w:sz="4" w:space="0" w:color="BFBFBF" w:themeColor="background1" w:themeShade="BF"/>
            </w:tcBorders>
            <w:vAlign w:val="center"/>
          </w:tcPr>
          <w:p w:rsidR="00195BE7" w:rsidRPr="001E2F6E" w:rsidRDefault="00195BE7" w:rsidP="00195BE7">
            <w:pPr>
              <w:spacing w:line="240" w:lineRule="exact"/>
              <w:ind w:right="170"/>
              <w:jc w:val="right"/>
              <w:rPr>
                <w:sz w:val="16"/>
                <w:szCs w:val="16"/>
              </w:rPr>
            </w:pPr>
            <w:r w:rsidRPr="001E2F6E">
              <w:rPr>
                <w:sz w:val="16"/>
                <w:szCs w:val="16"/>
              </w:rPr>
              <w:t>77,8</w:t>
            </w:r>
          </w:p>
        </w:tc>
        <w:tc>
          <w:tcPr>
            <w:tcW w:w="428" w:type="pct"/>
            <w:tcBorders>
              <w:top w:val="single" w:sz="4" w:space="0" w:color="BFBFBF" w:themeColor="background1" w:themeShade="BF"/>
              <w:left w:val="single" w:sz="4" w:space="0" w:color="BFBFBF" w:themeColor="background1" w:themeShade="BF"/>
              <w:right w:val="single" w:sz="4" w:space="0" w:color="BFBFBF" w:themeColor="background1" w:themeShade="BF"/>
            </w:tcBorders>
            <w:vAlign w:val="center"/>
          </w:tcPr>
          <w:p w:rsidR="00195BE7" w:rsidRPr="001E2F6E" w:rsidRDefault="00195BE7" w:rsidP="00195BE7">
            <w:pPr>
              <w:spacing w:line="240" w:lineRule="exact"/>
              <w:ind w:right="170"/>
              <w:jc w:val="right"/>
              <w:rPr>
                <w:sz w:val="16"/>
                <w:szCs w:val="16"/>
              </w:rPr>
            </w:pPr>
            <w:r w:rsidRPr="001E2F6E">
              <w:rPr>
                <w:sz w:val="16"/>
                <w:szCs w:val="16"/>
              </w:rPr>
              <w:t>100,0</w:t>
            </w:r>
          </w:p>
        </w:tc>
        <w:tc>
          <w:tcPr>
            <w:tcW w:w="428" w:type="pct"/>
            <w:tcBorders>
              <w:top w:val="single" w:sz="4" w:space="0" w:color="BFBFBF" w:themeColor="background1" w:themeShade="BF"/>
              <w:left w:val="single" w:sz="4" w:space="0" w:color="BFBFBF" w:themeColor="background1" w:themeShade="BF"/>
              <w:right w:val="single" w:sz="4" w:space="0" w:color="BFBFBF" w:themeColor="background1" w:themeShade="BF"/>
            </w:tcBorders>
            <w:vAlign w:val="center"/>
          </w:tcPr>
          <w:p w:rsidR="00195BE7" w:rsidRPr="001E2F6E" w:rsidRDefault="00195BE7" w:rsidP="00195BE7">
            <w:pPr>
              <w:spacing w:line="240" w:lineRule="exact"/>
              <w:ind w:right="170"/>
              <w:jc w:val="right"/>
              <w:rPr>
                <w:sz w:val="16"/>
                <w:szCs w:val="16"/>
              </w:rPr>
            </w:pPr>
            <w:r w:rsidRPr="001E2F6E">
              <w:rPr>
                <w:sz w:val="16"/>
                <w:szCs w:val="16"/>
              </w:rPr>
              <w:t>92,3</w:t>
            </w:r>
          </w:p>
        </w:tc>
        <w:tc>
          <w:tcPr>
            <w:tcW w:w="507" w:type="pct"/>
            <w:tcBorders>
              <w:top w:val="single" w:sz="4" w:space="0" w:color="BFBFBF" w:themeColor="background1" w:themeShade="BF"/>
              <w:left w:val="single" w:sz="4" w:space="0" w:color="BFBFBF" w:themeColor="background1" w:themeShade="BF"/>
            </w:tcBorders>
            <w:vAlign w:val="center"/>
          </w:tcPr>
          <w:p w:rsidR="00195BE7" w:rsidRPr="001E2F6E" w:rsidRDefault="00195BE7" w:rsidP="00195BE7">
            <w:pPr>
              <w:spacing w:line="240" w:lineRule="exact"/>
              <w:ind w:right="170"/>
              <w:jc w:val="right"/>
              <w:rPr>
                <w:sz w:val="16"/>
                <w:szCs w:val="16"/>
              </w:rPr>
            </w:pPr>
            <w:r w:rsidRPr="001E2F6E">
              <w:rPr>
                <w:sz w:val="16"/>
                <w:szCs w:val="16"/>
              </w:rPr>
              <w:t>100,0</w:t>
            </w:r>
          </w:p>
        </w:tc>
      </w:tr>
      <w:tr w:rsidR="00195BE7" w:rsidRPr="001E2F6E" w:rsidTr="00195BE7">
        <w:trPr>
          <w:jc w:val="center"/>
        </w:trPr>
        <w:tc>
          <w:tcPr>
            <w:tcW w:w="1301" w:type="pct"/>
            <w:tcBorders>
              <w:right w:val="single" w:sz="4" w:space="0" w:color="BFBFBF" w:themeColor="background1" w:themeShade="BF"/>
            </w:tcBorders>
          </w:tcPr>
          <w:p w:rsidR="00195BE7" w:rsidRPr="001E2F6E" w:rsidRDefault="00195BE7" w:rsidP="00195BE7">
            <w:pPr>
              <w:spacing w:line="240" w:lineRule="exact"/>
              <w:jc w:val="left"/>
              <w:rPr>
                <w:sz w:val="16"/>
                <w:szCs w:val="16"/>
                <w:lang w:val="eu-ES"/>
              </w:rPr>
            </w:pPr>
            <w:r w:rsidRPr="001E2F6E">
              <w:rPr>
                <w:sz w:val="16"/>
                <w:szCs w:val="16"/>
                <w:lang w:val="eu-ES"/>
              </w:rPr>
              <w:t>Kudeaketa-Plana</w:t>
            </w:r>
          </w:p>
        </w:tc>
        <w:tc>
          <w:tcPr>
            <w:tcW w:w="505" w:type="pct"/>
            <w:tcBorders>
              <w:left w:val="single" w:sz="4" w:space="0" w:color="BFBFBF" w:themeColor="background1" w:themeShade="BF"/>
              <w:right w:val="single" w:sz="4" w:space="0" w:color="BFBFBF" w:themeColor="background1" w:themeShade="BF"/>
            </w:tcBorders>
            <w:vAlign w:val="center"/>
          </w:tcPr>
          <w:p w:rsidR="00195BE7" w:rsidRPr="001E2F6E" w:rsidRDefault="00195BE7" w:rsidP="00195BE7">
            <w:pPr>
              <w:spacing w:line="240" w:lineRule="exact"/>
              <w:ind w:right="170"/>
              <w:jc w:val="right"/>
              <w:rPr>
                <w:bCs/>
                <w:sz w:val="16"/>
                <w:szCs w:val="16"/>
              </w:rPr>
            </w:pPr>
            <w:r w:rsidRPr="001E2F6E">
              <w:rPr>
                <w:bCs/>
                <w:sz w:val="16"/>
                <w:szCs w:val="16"/>
              </w:rPr>
              <w:t>33,2</w:t>
            </w:r>
          </w:p>
        </w:tc>
        <w:tc>
          <w:tcPr>
            <w:tcW w:w="545" w:type="pct"/>
            <w:tcBorders>
              <w:left w:val="single" w:sz="4" w:space="0" w:color="BFBFBF" w:themeColor="background1" w:themeShade="BF"/>
              <w:right w:val="single" w:sz="4" w:space="0" w:color="BFBFBF" w:themeColor="background1" w:themeShade="BF"/>
            </w:tcBorders>
            <w:vAlign w:val="center"/>
          </w:tcPr>
          <w:p w:rsidR="00195BE7" w:rsidRPr="001E2F6E" w:rsidRDefault="00195BE7" w:rsidP="00195BE7">
            <w:pPr>
              <w:spacing w:line="240" w:lineRule="exact"/>
              <w:ind w:right="170"/>
              <w:jc w:val="right"/>
              <w:rPr>
                <w:sz w:val="16"/>
                <w:szCs w:val="16"/>
              </w:rPr>
            </w:pPr>
            <w:r w:rsidRPr="001E2F6E">
              <w:rPr>
                <w:sz w:val="16"/>
                <w:szCs w:val="16"/>
              </w:rPr>
              <w:t>18,0</w:t>
            </w:r>
          </w:p>
        </w:tc>
        <w:tc>
          <w:tcPr>
            <w:tcW w:w="428" w:type="pct"/>
            <w:tcBorders>
              <w:left w:val="single" w:sz="4" w:space="0" w:color="BFBFBF" w:themeColor="background1" w:themeShade="BF"/>
              <w:right w:val="single" w:sz="4" w:space="0" w:color="BFBFBF" w:themeColor="background1" w:themeShade="BF"/>
            </w:tcBorders>
            <w:vAlign w:val="center"/>
          </w:tcPr>
          <w:p w:rsidR="00195BE7" w:rsidRPr="001E2F6E" w:rsidRDefault="00195BE7" w:rsidP="00195BE7">
            <w:pPr>
              <w:spacing w:line="240" w:lineRule="exact"/>
              <w:ind w:right="170"/>
              <w:jc w:val="right"/>
              <w:rPr>
                <w:sz w:val="16"/>
                <w:szCs w:val="16"/>
              </w:rPr>
            </w:pPr>
            <w:r w:rsidRPr="001E2F6E">
              <w:rPr>
                <w:sz w:val="16"/>
                <w:szCs w:val="16"/>
              </w:rPr>
              <w:t>30,6</w:t>
            </w:r>
          </w:p>
        </w:tc>
        <w:tc>
          <w:tcPr>
            <w:tcW w:w="430" w:type="pct"/>
            <w:tcBorders>
              <w:left w:val="single" w:sz="4" w:space="0" w:color="BFBFBF" w:themeColor="background1" w:themeShade="BF"/>
              <w:right w:val="single" w:sz="4" w:space="0" w:color="BFBFBF" w:themeColor="background1" w:themeShade="BF"/>
            </w:tcBorders>
            <w:vAlign w:val="center"/>
          </w:tcPr>
          <w:p w:rsidR="00195BE7" w:rsidRPr="001E2F6E" w:rsidRDefault="00195BE7" w:rsidP="00195BE7">
            <w:pPr>
              <w:spacing w:line="240" w:lineRule="exact"/>
              <w:ind w:right="170"/>
              <w:jc w:val="right"/>
              <w:rPr>
                <w:sz w:val="16"/>
                <w:szCs w:val="16"/>
              </w:rPr>
            </w:pPr>
            <w:r w:rsidRPr="001E2F6E">
              <w:rPr>
                <w:sz w:val="16"/>
                <w:szCs w:val="16"/>
              </w:rPr>
              <w:t>72,4</w:t>
            </w:r>
          </w:p>
        </w:tc>
        <w:tc>
          <w:tcPr>
            <w:tcW w:w="428" w:type="pct"/>
            <w:tcBorders>
              <w:left w:val="single" w:sz="4" w:space="0" w:color="BFBFBF" w:themeColor="background1" w:themeShade="BF"/>
              <w:right w:val="single" w:sz="4" w:space="0" w:color="BFBFBF" w:themeColor="background1" w:themeShade="BF"/>
            </w:tcBorders>
            <w:vAlign w:val="center"/>
          </w:tcPr>
          <w:p w:rsidR="00195BE7" w:rsidRPr="001E2F6E" w:rsidRDefault="00195BE7" w:rsidP="00195BE7">
            <w:pPr>
              <w:spacing w:line="240" w:lineRule="exact"/>
              <w:ind w:right="170"/>
              <w:jc w:val="right"/>
              <w:rPr>
                <w:sz w:val="16"/>
                <w:szCs w:val="16"/>
              </w:rPr>
            </w:pPr>
            <w:r w:rsidRPr="001E2F6E">
              <w:rPr>
                <w:sz w:val="16"/>
                <w:szCs w:val="16"/>
              </w:rPr>
              <w:t>86,2</w:t>
            </w:r>
          </w:p>
        </w:tc>
        <w:tc>
          <w:tcPr>
            <w:tcW w:w="428" w:type="pct"/>
            <w:tcBorders>
              <w:left w:val="single" w:sz="4" w:space="0" w:color="BFBFBF" w:themeColor="background1" w:themeShade="BF"/>
              <w:right w:val="single" w:sz="4" w:space="0" w:color="BFBFBF" w:themeColor="background1" w:themeShade="BF"/>
            </w:tcBorders>
            <w:vAlign w:val="center"/>
          </w:tcPr>
          <w:p w:rsidR="00195BE7" w:rsidRPr="001E2F6E" w:rsidRDefault="00195BE7" w:rsidP="00195BE7">
            <w:pPr>
              <w:spacing w:line="240" w:lineRule="exact"/>
              <w:ind w:right="170"/>
              <w:jc w:val="right"/>
              <w:rPr>
                <w:sz w:val="16"/>
                <w:szCs w:val="16"/>
              </w:rPr>
            </w:pPr>
            <w:r w:rsidRPr="001E2F6E">
              <w:rPr>
                <w:sz w:val="16"/>
                <w:szCs w:val="16"/>
              </w:rPr>
              <w:t>92,5</w:t>
            </w:r>
          </w:p>
        </w:tc>
        <w:tc>
          <w:tcPr>
            <w:tcW w:w="428" w:type="pct"/>
            <w:tcBorders>
              <w:left w:val="single" w:sz="4" w:space="0" w:color="BFBFBF" w:themeColor="background1" w:themeShade="BF"/>
              <w:right w:val="single" w:sz="4" w:space="0" w:color="BFBFBF" w:themeColor="background1" w:themeShade="BF"/>
            </w:tcBorders>
            <w:vAlign w:val="center"/>
          </w:tcPr>
          <w:p w:rsidR="00195BE7" w:rsidRPr="001E2F6E" w:rsidRDefault="00195BE7" w:rsidP="00195BE7">
            <w:pPr>
              <w:spacing w:line="240" w:lineRule="exact"/>
              <w:ind w:right="170"/>
              <w:jc w:val="right"/>
              <w:rPr>
                <w:sz w:val="16"/>
                <w:szCs w:val="16"/>
              </w:rPr>
            </w:pPr>
            <w:r w:rsidRPr="001E2F6E">
              <w:rPr>
                <w:sz w:val="16"/>
                <w:szCs w:val="16"/>
              </w:rPr>
              <w:t>93,8</w:t>
            </w:r>
          </w:p>
        </w:tc>
        <w:tc>
          <w:tcPr>
            <w:tcW w:w="507" w:type="pct"/>
            <w:tcBorders>
              <w:left w:val="single" w:sz="4" w:space="0" w:color="BFBFBF" w:themeColor="background1" w:themeShade="BF"/>
            </w:tcBorders>
            <w:vAlign w:val="center"/>
          </w:tcPr>
          <w:p w:rsidR="00195BE7" w:rsidRPr="001E2F6E" w:rsidRDefault="00195BE7" w:rsidP="00195BE7">
            <w:pPr>
              <w:spacing w:line="240" w:lineRule="exact"/>
              <w:ind w:right="170"/>
              <w:jc w:val="right"/>
              <w:rPr>
                <w:sz w:val="16"/>
                <w:szCs w:val="16"/>
              </w:rPr>
            </w:pPr>
            <w:r w:rsidRPr="001E2F6E">
              <w:rPr>
                <w:sz w:val="16"/>
                <w:szCs w:val="16"/>
              </w:rPr>
              <w:t>83,7</w:t>
            </w:r>
          </w:p>
        </w:tc>
      </w:tr>
      <w:tr w:rsidR="00195BE7" w:rsidRPr="001E2F6E" w:rsidTr="00195BE7">
        <w:trPr>
          <w:jc w:val="center"/>
        </w:trPr>
        <w:tc>
          <w:tcPr>
            <w:tcW w:w="1301" w:type="pct"/>
            <w:tcBorders>
              <w:right w:val="single" w:sz="4" w:space="0" w:color="BFBFBF" w:themeColor="background1" w:themeShade="BF"/>
            </w:tcBorders>
          </w:tcPr>
          <w:p w:rsidR="00195BE7" w:rsidRPr="001E2F6E" w:rsidRDefault="00195BE7" w:rsidP="00195BE7">
            <w:pPr>
              <w:spacing w:line="240" w:lineRule="exact"/>
              <w:jc w:val="left"/>
              <w:rPr>
                <w:sz w:val="16"/>
                <w:szCs w:val="16"/>
                <w:lang w:val="eu-ES"/>
              </w:rPr>
            </w:pPr>
            <w:r w:rsidRPr="001E2F6E">
              <w:rPr>
                <w:sz w:val="16"/>
                <w:szCs w:val="16"/>
                <w:lang w:val="eu-ES"/>
              </w:rPr>
              <w:t>Prestakuntza-Plana</w:t>
            </w:r>
          </w:p>
        </w:tc>
        <w:tc>
          <w:tcPr>
            <w:tcW w:w="505" w:type="pct"/>
            <w:tcBorders>
              <w:left w:val="single" w:sz="4" w:space="0" w:color="BFBFBF" w:themeColor="background1" w:themeShade="BF"/>
              <w:right w:val="single" w:sz="4" w:space="0" w:color="BFBFBF" w:themeColor="background1" w:themeShade="BF"/>
            </w:tcBorders>
            <w:vAlign w:val="center"/>
          </w:tcPr>
          <w:p w:rsidR="00195BE7" w:rsidRPr="001E2F6E" w:rsidRDefault="00195BE7" w:rsidP="00195BE7">
            <w:pPr>
              <w:spacing w:line="240" w:lineRule="exact"/>
              <w:ind w:right="170"/>
              <w:jc w:val="right"/>
              <w:rPr>
                <w:bCs/>
                <w:sz w:val="16"/>
                <w:szCs w:val="16"/>
              </w:rPr>
            </w:pPr>
            <w:r w:rsidRPr="001E2F6E">
              <w:rPr>
                <w:bCs/>
                <w:sz w:val="16"/>
                <w:szCs w:val="16"/>
              </w:rPr>
              <w:t>47,4</w:t>
            </w:r>
          </w:p>
        </w:tc>
        <w:tc>
          <w:tcPr>
            <w:tcW w:w="545" w:type="pct"/>
            <w:tcBorders>
              <w:left w:val="single" w:sz="4" w:space="0" w:color="BFBFBF" w:themeColor="background1" w:themeShade="BF"/>
              <w:right w:val="single" w:sz="4" w:space="0" w:color="BFBFBF" w:themeColor="background1" w:themeShade="BF"/>
            </w:tcBorders>
            <w:vAlign w:val="center"/>
          </w:tcPr>
          <w:p w:rsidR="00195BE7" w:rsidRPr="001E2F6E" w:rsidRDefault="00195BE7" w:rsidP="00195BE7">
            <w:pPr>
              <w:spacing w:line="240" w:lineRule="exact"/>
              <w:ind w:right="170"/>
              <w:jc w:val="right"/>
              <w:rPr>
                <w:sz w:val="16"/>
                <w:szCs w:val="16"/>
              </w:rPr>
            </w:pPr>
            <w:r w:rsidRPr="001E2F6E">
              <w:rPr>
                <w:sz w:val="16"/>
                <w:szCs w:val="16"/>
              </w:rPr>
              <w:t>33,3</w:t>
            </w:r>
          </w:p>
        </w:tc>
        <w:tc>
          <w:tcPr>
            <w:tcW w:w="428" w:type="pct"/>
            <w:tcBorders>
              <w:left w:val="single" w:sz="4" w:space="0" w:color="BFBFBF" w:themeColor="background1" w:themeShade="BF"/>
              <w:right w:val="single" w:sz="4" w:space="0" w:color="BFBFBF" w:themeColor="background1" w:themeShade="BF"/>
            </w:tcBorders>
            <w:vAlign w:val="center"/>
          </w:tcPr>
          <w:p w:rsidR="00195BE7" w:rsidRPr="001E2F6E" w:rsidRDefault="00195BE7" w:rsidP="00195BE7">
            <w:pPr>
              <w:spacing w:line="240" w:lineRule="exact"/>
              <w:ind w:right="170"/>
              <w:jc w:val="right"/>
              <w:rPr>
                <w:sz w:val="16"/>
                <w:szCs w:val="16"/>
              </w:rPr>
            </w:pPr>
            <w:r w:rsidRPr="001E2F6E">
              <w:rPr>
                <w:sz w:val="16"/>
                <w:szCs w:val="16"/>
              </w:rPr>
              <w:t>51,2</w:t>
            </w:r>
          </w:p>
        </w:tc>
        <w:tc>
          <w:tcPr>
            <w:tcW w:w="430" w:type="pct"/>
            <w:tcBorders>
              <w:left w:val="single" w:sz="4" w:space="0" w:color="BFBFBF" w:themeColor="background1" w:themeShade="BF"/>
              <w:right w:val="single" w:sz="4" w:space="0" w:color="BFBFBF" w:themeColor="background1" w:themeShade="BF"/>
            </w:tcBorders>
            <w:vAlign w:val="center"/>
          </w:tcPr>
          <w:p w:rsidR="00195BE7" w:rsidRPr="001E2F6E" w:rsidRDefault="00195BE7" w:rsidP="00195BE7">
            <w:pPr>
              <w:spacing w:line="240" w:lineRule="exact"/>
              <w:ind w:right="170"/>
              <w:jc w:val="right"/>
              <w:rPr>
                <w:sz w:val="16"/>
                <w:szCs w:val="16"/>
              </w:rPr>
            </w:pPr>
            <w:r w:rsidRPr="001E2F6E">
              <w:rPr>
                <w:sz w:val="16"/>
                <w:szCs w:val="16"/>
              </w:rPr>
              <w:t>78,5</w:t>
            </w:r>
          </w:p>
        </w:tc>
        <w:tc>
          <w:tcPr>
            <w:tcW w:w="428" w:type="pct"/>
            <w:tcBorders>
              <w:left w:val="single" w:sz="4" w:space="0" w:color="BFBFBF" w:themeColor="background1" w:themeShade="BF"/>
              <w:right w:val="single" w:sz="4" w:space="0" w:color="BFBFBF" w:themeColor="background1" w:themeShade="BF"/>
            </w:tcBorders>
            <w:vAlign w:val="center"/>
          </w:tcPr>
          <w:p w:rsidR="00195BE7" w:rsidRPr="001E2F6E" w:rsidRDefault="00195BE7" w:rsidP="00195BE7">
            <w:pPr>
              <w:spacing w:line="240" w:lineRule="exact"/>
              <w:ind w:right="170"/>
              <w:jc w:val="right"/>
              <w:rPr>
                <w:sz w:val="16"/>
                <w:szCs w:val="16"/>
              </w:rPr>
            </w:pPr>
            <w:r w:rsidRPr="001E2F6E">
              <w:rPr>
                <w:sz w:val="16"/>
                <w:szCs w:val="16"/>
              </w:rPr>
              <w:t>85,9</w:t>
            </w:r>
          </w:p>
        </w:tc>
        <w:tc>
          <w:tcPr>
            <w:tcW w:w="428" w:type="pct"/>
            <w:tcBorders>
              <w:left w:val="single" w:sz="4" w:space="0" w:color="BFBFBF" w:themeColor="background1" w:themeShade="BF"/>
              <w:right w:val="single" w:sz="4" w:space="0" w:color="BFBFBF" w:themeColor="background1" w:themeShade="BF"/>
            </w:tcBorders>
            <w:vAlign w:val="center"/>
          </w:tcPr>
          <w:p w:rsidR="00195BE7" w:rsidRPr="001E2F6E" w:rsidRDefault="00195BE7" w:rsidP="00195BE7">
            <w:pPr>
              <w:spacing w:line="240" w:lineRule="exact"/>
              <w:ind w:right="170"/>
              <w:jc w:val="right"/>
              <w:rPr>
                <w:sz w:val="16"/>
                <w:szCs w:val="16"/>
              </w:rPr>
            </w:pPr>
            <w:r w:rsidRPr="001E2F6E">
              <w:rPr>
                <w:sz w:val="16"/>
                <w:szCs w:val="16"/>
              </w:rPr>
              <w:t>100,0</w:t>
            </w:r>
          </w:p>
        </w:tc>
        <w:tc>
          <w:tcPr>
            <w:tcW w:w="428" w:type="pct"/>
            <w:tcBorders>
              <w:left w:val="single" w:sz="4" w:space="0" w:color="BFBFBF" w:themeColor="background1" w:themeShade="BF"/>
              <w:right w:val="single" w:sz="4" w:space="0" w:color="BFBFBF" w:themeColor="background1" w:themeShade="BF"/>
            </w:tcBorders>
            <w:vAlign w:val="center"/>
          </w:tcPr>
          <w:p w:rsidR="00195BE7" w:rsidRPr="001E2F6E" w:rsidRDefault="00195BE7" w:rsidP="00195BE7">
            <w:pPr>
              <w:spacing w:line="240" w:lineRule="exact"/>
              <w:ind w:right="170"/>
              <w:jc w:val="right"/>
              <w:rPr>
                <w:sz w:val="16"/>
                <w:szCs w:val="16"/>
              </w:rPr>
            </w:pPr>
            <w:r w:rsidRPr="001E2F6E">
              <w:rPr>
                <w:sz w:val="16"/>
                <w:szCs w:val="16"/>
              </w:rPr>
              <w:t>100,0</w:t>
            </w:r>
          </w:p>
        </w:tc>
        <w:tc>
          <w:tcPr>
            <w:tcW w:w="507" w:type="pct"/>
            <w:tcBorders>
              <w:left w:val="single" w:sz="4" w:space="0" w:color="BFBFBF" w:themeColor="background1" w:themeShade="BF"/>
            </w:tcBorders>
            <w:vAlign w:val="center"/>
          </w:tcPr>
          <w:p w:rsidR="00195BE7" w:rsidRPr="001E2F6E" w:rsidRDefault="00195BE7" w:rsidP="00195BE7">
            <w:pPr>
              <w:spacing w:line="240" w:lineRule="exact"/>
              <w:ind w:right="170"/>
              <w:jc w:val="right"/>
              <w:rPr>
                <w:sz w:val="16"/>
                <w:szCs w:val="16"/>
              </w:rPr>
            </w:pPr>
            <w:r w:rsidRPr="001E2F6E">
              <w:rPr>
                <w:sz w:val="16"/>
                <w:szCs w:val="16"/>
              </w:rPr>
              <w:t>83,7</w:t>
            </w:r>
          </w:p>
        </w:tc>
      </w:tr>
      <w:tr w:rsidR="00195BE7" w:rsidRPr="001E2F6E" w:rsidTr="00195BE7">
        <w:trPr>
          <w:jc w:val="center"/>
        </w:trPr>
        <w:tc>
          <w:tcPr>
            <w:tcW w:w="1301" w:type="pct"/>
            <w:tcBorders>
              <w:right w:val="single" w:sz="4" w:space="0" w:color="BFBFBF" w:themeColor="background1" w:themeShade="BF"/>
            </w:tcBorders>
          </w:tcPr>
          <w:p w:rsidR="00195BE7" w:rsidRPr="001E2F6E" w:rsidRDefault="00195BE7" w:rsidP="00195BE7">
            <w:pPr>
              <w:spacing w:line="240" w:lineRule="exact"/>
              <w:jc w:val="left"/>
              <w:rPr>
                <w:sz w:val="16"/>
                <w:szCs w:val="16"/>
                <w:lang w:val="eu-ES"/>
              </w:rPr>
            </w:pPr>
            <w:r w:rsidRPr="001E2F6E">
              <w:rPr>
                <w:sz w:val="16"/>
                <w:szCs w:val="16"/>
                <w:lang w:val="eu-ES"/>
              </w:rPr>
              <w:t xml:space="preserve">Plan Estrategikoa </w:t>
            </w:r>
          </w:p>
        </w:tc>
        <w:tc>
          <w:tcPr>
            <w:tcW w:w="505" w:type="pct"/>
            <w:tcBorders>
              <w:left w:val="single" w:sz="4" w:space="0" w:color="BFBFBF" w:themeColor="background1" w:themeShade="BF"/>
              <w:right w:val="single" w:sz="4" w:space="0" w:color="BFBFBF" w:themeColor="background1" w:themeShade="BF"/>
            </w:tcBorders>
            <w:vAlign w:val="center"/>
          </w:tcPr>
          <w:p w:rsidR="00195BE7" w:rsidRPr="001E2F6E" w:rsidRDefault="00195BE7" w:rsidP="00195BE7">
            <w:pPr>
              <w:spacing w:line="240" w:lineRule="exact"/>
              <w:ind w:right="170"/>
              <w:jc w:val="right"/>
              <w:rPr>
                <w:bCs/>
                <w:sz w:val="16"/>
                <w:szCs w:val="16"/>
              </w:rPr>
            </w:pPr>
            <w:r w:rsidRPr="001E2F6E">
              <w:rPr>
                <w:bCs/>
                <w:sz w:val="16"/>
                <w:szCs w:val="16"/>
              </w:rPr>
              <w:t>25,8</w:t>
            </w:r>
          </w:p>
        </w:tc>
        <w:tc>
          <w:tcPr>
            <w:tcW w:w="545" w:type="pct"/>
            <w:tcBorders>
              <w:left w:val="single" w:sz="4" w:space="0" w:color="BFBFBF" w:themeColor="background1" w:themeShade="BF"/>
              <w:right w:val="single" w:sz="4" w:space="0" w:color="BFBFBF" w:themeColor="background1" w:themeShade="BF"/>
            </w:tcBorders>
            <w:vAlign w:val="center"/>
          </w:tcPr>
          <w:p w:rsidR="00195BE7" w:rsidRPr="001E2F6E" w:rsidRDefault="00195BE7" w:rsidP="00195BE7">
            <w:pPr>
              <w:spacing w:line="240" w:lineRule="exact"/>
              <w:ind w:right="170"/>
              <w:jc w:val="right"/>
              <w:rPr>
                <w:sz w:val="16"/>
                <w:szCs w:val="16"/>
              </w:rPr>
            </w:pPr>
            <w:r w:rsidRPr="001E2F6E">
              <w:rPr>
                <w:sz w:val="16"/>
                <w:szCs w:val="16"/>
              </w:rPr>
              <w:t>11,8</w:t>
            </w:r>
          </w:p>
        </w:tc>
        <w:tc>
          <w:tcPr>
            <w:tcW w:w="428" w:type="pct"/>
            <w:tcBorders>
              <w:left w:val="single" w:sz="4" w:space="0" w:color="BFBFBF" w:themeColor="background1" w:themeShade="BF"/>
              <w:right w:val="single" w:sz="4" w:space="0" w:color="BFBFBF" w:themeColor="background1" w:themeShade="BF"/>
            </w:tcBorders>
            <w:vAlign w:val="center"/>
          </w:tcPr>
          <w:p w:rsidR="00195BE7" w:rsidRPr="001E2F6E" w:rsidRDefault="00195BE7" w:rsidP="00195BE7">
            <w:pPr>
              <w:spacing w:line="240" w:lineRule="exact"/>
              <w:ind w:right="170"/>
              <w:jc w:val="right"/>
              <w:rPr>
                <w:sz w:val="16"/>
                <w:szCs w:val="16"/>
              </w:rPr>
            </w:pPr>
            <w:r w:rsidRPr="001E2F6E">
              <w:rPr>
                <w:sz w:val="16"/>
                <w:szCs w:val="16"/>
              </w:rPr>
              <w:t>23,0</w:t>
            </w:r>
          </w:p>
        </w:tc>
        <w:tc>
          <w:tcPr>
            <w:tcW w:w="430" w:type="pct"/>
            <w:tcBorders>
              <w:left w:val="single" w:sz="4" w:space="0" w:color="BFBFBF" w:themeColor="background1" w:themeShade="BF"/>
              <w:right w:val="single" w:sz="4" w:space="0" w:color="BFBFBF" w:themeColor="background1" w:themeShade="BF"/>
            </w:tcBorders>
            <w:vAlign w:val="center"/>
          </w:tcPr>
          <w:p w:rsidR="00195BE7" w:rsidRPr="001E2F6E" w:rsidRDefault="00195BE7" w:rsidP="00195BE7">
            <w:pPr>
              <w:spacing w:line="240" w:lineRule="exact"/>
              <w:ind w:right="170"/>
              <w:jc w:val="right"/>
              <w:rPr>
                <w:sz w:val="16"/>
                <w:szCs w:val="16"/>
              </w:rPr>
            </w:pPr>
            <w:r w:rsidRPr="001E2F6E">
              <w:rPr>
                <w:sz w:val="16"/>
                <w:szCs w:val="16"/>
              </w:rPr>
              <w:t>57,2</w:t>
            </w:r>
          </w:p>
        </w:tc>
        <w:tc>
          <w:tcPr>
            <w:tcW w:w="428" w:type="pct"/>
            <w:tcBorders>
              <w:left w:val="single" w:sz="4" w:space="0" w:color="BFBFBF" w:themeColor="background1" w:themeShade="BF"/>
              <w:right w:val="single" w:sz="4" w:space="0" w:color="BFBFBF" w:themeColor="background1" w:themeShade="BF"/>
            </w:tcBorders>
            <w:vAlign w:val="center"/>
          </w:tcPr>
          <w:p w:rsidR="00195BE7" w:rsidRPr="001E2F6E" w:rsidRDefault="00195BE7" w:rsidP="00195BE7">
            <w:pPr>
              <w:spacing w:line="240" w:lineRule="exact"/>
              <w:ind w:right="170"/>
              <w:jc w:val="right"/>
              <w:rPr>
                <w:sz w:val="16"/>
                <w:szCs w:val="16"/>
              </w:rPr>
            </w:pPr>
            <w:r w:rsidRPr="001E2F6E">
              <w:rPr>
                <w:sz w:val="16"/>
                <w:szCs w:val="16"/>
              </w:rPr>
              <w:t>81,8</w:t>
            </w:r>
          </w:p>
        </w:tc>
        <w:tc>
          <w:tcPr>
            <w:tcW w:w="428" w:type="pct"/>
            <w:tcBorders>
              <w:left w:val="single" w:sz="4" w:space="0" w:color="BFBFBF" w:themeColor="background1" w:themeShade="BF"/>
              <w:right w:val="single" w:sz="4" w:space="0" w:color="BFBFBF" w:themeColor="background1" w:themeShade="BF"/>
            </w:tcBorders>
            <w:vAlign w:val="center"/>
          </w:tcPr>
          <w:p w:rsidR="00195BE7" w:rsidRPr="001E2F6E" w:rsidRDefault="00195BE7" w:rsidP="00195BE7">
            <w:pPr>
              <w:spacing w:line="240" w:lineRule="exact"/>
              <w:ind w:right="170"/>
              <w:jc w:val="right"/>
              <w:rPr>
                <w:sz w:val="16"/>
                <w:szCs w:val="16"/>
              </w:rPr>
            </w:pPr>
            <w:r w:rsidRPr="001E2F6E">
              <w:rPr>
                <w:sz w:val="16"/>
                <w:szCs w:val="16"/>
              </w:rPr>
              <w:t>92,5</w:t>
            </w:r>
          </w:p>
        </w:tc>
        <w:tc>
          <w:tcPr>
            <w:tcW w:w="428" w:type="pct"/>
            <w:tcBorders>
              <w:left w:val="single" w:sz="4" w:space="0" w:color="BFBFBF" w:themeColor="background1" w:themeShade="BF"/>
              <w:right w:val="single" w:sz="4" w:space="0" w:color="BFBFBF" w:themeColor="background1" w:themeShade="BF"/>
            </w:tcBorders>
            <w:vAlign w:val="center"/>
          </w:tcPr>
          <w:p w:rsidR="00195BE7" w:rsidRPr="001E2F6E" w:rsidRDefault="00195BE7" w:rsidP="00195BE7">
            <w:pPr>
              <w:spacing w:line="240" w:lineRule="exact"/>
              <w:ind w:right="170"/>
              <w:jc w:val="right"/>
              <w:rPr>
                <w:sz w:val="16"/>
                <w:szCs w:val="16"/>
              </w:rPr>
            </w:pPr>
            <w:r w:rsidRPr="001E2F6E">
              <w:rPr>
                <w:sz w:val="16"/>
                <w:szCs w:val="16"/>
              </w:rPr>
              <w:t>88,0</w:t>
            </w:r>
          </w:p>
        </w:tc>
        <w:tc>
          <w:tcPr>
            <w:tcW w:w="507" w:type="pct"/>
            <w:tcBorders>
              <w:left w:val="single" w:sz="4" w:space="0" w:color="BFBFBF" w:themeColor="background1" w:themeShade="BF"/>
            </w:tcBorders>
            <w:vAlign w:val="center"/>
          </w:tcPr>
          <w:p w:rsidR="00195BE7" w:rsidRPr="001E2F6E" w:rsidRDefault="00195BE7" w:rsidP="00195BE7">
            <w:pPr>
              <w:spacing w:line="240" w:lineRule="exact"/>
              <w:ind w:right="170"/>
              <w:jc w:val="right"/>
              <w:rPr>
                <w:sz w:val="16"/>
                <w:szCs w:val="16"/>
              </w:rPr>
            </w:pPr>
            <w:r w:rsidRPr="001E2F6E">
              <w:rPr>
                <w:sz w:val="16"/>
                <w:szCs w:val="16"/>
              </w:rPr>
              <w:t>83,7</w:t>
            </w:r>
          </w:p>
        </w:tc>
      </w:tr>
      <w:tr w:rsidR="00195BE7" w:rsidRPr="001E2F6E" w:rsidTr="00195BE7">
        <w:trPr>
          <w:jc w:val="center"/>
        </w:trPr>
        <w:tc>
          <w:tcPr>
            <w:tcW w:w="1301" w:type="pct"/>
            <w:tcBorders>
              <w:bottom w:val="single" w:sz="4" w:space="0" w:color="BFBFBF" w:themeColor="background1" w:themeShade="BF"/>
              <w:right w:val="single" w:sz="4" w:space="0" w:color="BFBFBF" w:themeColor="background1" w:themeShade="BF"/>
            </w:tcBorders>
          </w:tcPr>
          <w:p w:rsidR="00195BE7" w:rsidRPr="001E2F6E" w:rsidRDefault="00195BE7" w:rsidP="00195BE7">
            <w:pPr>
              <w:spacing w:line="240" w:lineRule="exact"/>
              <w:jc w:val="left"/>
              <w:rPr>
                <w:sz w:val="16"/>
                <w:szCs w:val="16"/>
                <w:lang w:val="eu-ES"/>
              </w:rPr>
            </w:pPr>
            <w:r w:rsidRPr="001E2F6E">
              <w:rPr>
                <w:sz w:val="16"/>
                <w:szCs w:val="16"/>
                <w:lang w:val="eu-ES"/>
              </w:rPr>
              <w:t>Lanpostuen Baloraziorako Eskuliburua</w:t>
            </w:r>
          </w:p>
        </w:tc>
        <w:tc>
          <w:tcPr>
            <w:tcW w:w="505" w:type="pct"/>
            <w:tcBorders>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195BE7" w:rsidRPr="001E2F6E" w:rsidRDefault="00195BE7" w:rsidP="00195BE7">
            <w:pPr>
              <w:spacing w:line="240" w:lineRule="exact"/>
              <w:ind w:right="170"/>
              <w:jc w:val="right"/>
              <w:rPr>
                <w:bCs/>
                <w:sz w:val="16"/>
                <w:szCs w:val="16"/>
              </w:rPr>
            </w:pPr>
            <w:r w:rsidRPr="001E2F6E">
              <w:rPr>
                <w:bCs/>
                <w:sz w:val="16"/>
                <w:szCs w:val="16"/>
              </w:rPr>
              <w:t>29,2</w:t>
            </w:r>
          </w:p>
        </w:tc>
        <w:tc>
          <w:tcPr>
            <w:tcW w:w="545" w:type="pct"/>
            <w:tcBorders>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195BE7" w:rsidRPr="001E2F6E" w:rsidRDefault="00195BE7" w:rsidP="00195BE7">
            <w:pPr>
              <w:spacing w:line="240" w:lineRule="exact"/>
              <w:ind w:right="170"/>
              <w:jc w:val="right"/>
              <w:rPr>
                <w:sz w:val="16"/>
                <w:szCs w:val="16"/>
              </w:rPr>
            </w:pPr>
            <w:r w:rsidRPr="001E2F6E">
              <w:rPr>
                <w:sz w:val="16"/>
                <w:szCs w:val="16"/>
              </w:rPr>
              <w:t>15,9</w:t>
            </w:r>
          </w:p>
        </w:tc>
        <w:tc>
          <w:tcPr>
            <w:tcW w:w="428" w:type="pct"/>
            <w:tcBorders>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195BE7" w:rsidRPr="001E2F6E" w:rsidRDefault="00195BE7" w:rsidP="00195BE7">
            <w:pPr>
              <w:spacing w:line="240" w:lineRule="exact"/>
              <w:ind w:right="170"/>
              <w:jc w:val="right"/>
              <w:rPr>
                <w:sz w:val="16"/>
                <w:szCs w:val="16"/>
              </w:rPr>
            </w:pPr>
            <w:r w:rsidRPr="001E2F6E">
              <w:rPr>
                <w:sz w:val="16"/>
                <w:szCs w:val="16"/>
              </w:rPr>
              <w:t>30,3</w:t>
            </w:r>
          </w:p>
        </w:tc>
        <w:tc>
          <w:tcPr>
            <w:tcW w:w="430" w:type="pct"/>
            <w:tcBorders>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195BE7" w:rsidRPr="001E2F6E" w:rsidRDefault="00195BE7" w:rsidP="00195BE7">
            <w:pPr>
              <w:spacing w:line="240" w:lineRule="exact"/>
              <w:ind w:right="170"/>
              <w:jc w:val="right"/>
              <w:rPr>
                <w:sz w:val="16"/>
                <w:szCs w:val="16"/>
              </w:rPr>
            </w:pPr>
            <w:r w:rsidRPr="001E2F6E">
              <w:rPr>
                <w:sz w:val="16"/>
                <w:szCs w:val="16"/>
              </w:rPr>
              <w:t>58,9</w:t>
            </w:r>
          </w:p>
        </w:tc>
        <w:tc>
          <w:tcPr>
            <w:tcW w:w="428" w:type="pct"/>
            <w:tcBorders>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195BE7" w:rsidRPr="001E2F6E" w:rsidRDefault="00195BE7" w:rsidP="00195BE7">
            <w:pPr>
              <w:spacing w:line="240" w:lineRule="exact"/>
              <w:ind w:right="170"/>
              <w:jc w:val="right"/>
              <w:rPr>
                <w:sz w:val="16"/>
                <w:szCs w:val="16"/>
              </w:rPr>
            </w:pPr>
            <w:r w:rsidRPr="001E2F6E">
              <w:rPr>
                <w:sz w:val="16"/>
                <w:szCs w:val="16"/>
              </w:rPr>
              <w:t>62,2</w:t>
            </w:r>
          </w:p>
        </w:tc>
        <w:tc>
          <w:tcPr>
            <w:tcW w:w="428" w:type="pct"/>
            <w:tcBorders>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195BE7" w:rsidRPr="001E2F6E" w:rsidRDefault="00195BE7" w:rsidP="00195BE7">
            <w:pPr>
              <w:spacing w:line="240" w:lineRule="exact"/>
              <w:ind w:right="170"/>
              <w:jc w:val="right"/>
              <w:rPr>
                <w:sz w:val="16"/>
                <w:szCs w:val="16"/>
              </w:rPr>
            </w:pPr>
            <w:r w:rsidRPr="001E2F6E">
              <w:rPr>
                <w:sz w:val="16"/>
                <w:szCs w:val="16"/>
              </w:rPr>
              <w:t>96,2</w:t>
            </w:r>
          </w:p>
        </w:tc>
        <w:tc>
          <w:tcPr>
            <w:tcW w:w="428" w:type="pct"/>
            <w:tcBorders>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195BE7" w:rsidRPr="001E2F6E" w:rsidRDefault="00195BE7" w:rsidP="00195BE7">
            <w:pPr>
              <w:spacing w:line="240" w:lineRule="exact"/>
              <w:ind w:right="170"/>
              <w:jc w:val="right"/>
              <w:rPr>
                <w:sz w:val="16"/>
                <w:szCs w:val="16"/>
              </w:rPr>
            </w:pPr>
            <w:r w:rsidRPr="001E2F6E">
              <w:rPr>
                <w:sz w:val="16"/>
                <w:szCs w:val="16"/>
              </w:rPr>
              <w:t>93,3</w:t>
            </w:r>
          </w:p>
        </w:tc>
        <w:tc>
          <w:tcPr>
            <w:tcW w:w="507" w:type="pct"/>
            <w:tcBorders>
              <w:left w:val="single" w:sz="4" w:space="0" w:color="BFBFBF" w:themeColor="background1" w:themeShade="BF"/>
              <w:bottom w:val="single" w:sz="4" w:space="0" w:color="BFBFBF" w:themeColor="background1" w:themeShade="BF"/>
            </w:tcBorders>
            <w:vAlign w:val="center"/>
          </w:tcPr>
          <w:p w:rsidR="00195BE7" w:rsidRPr="001E2F6E" w:rsidRDefault="00195BE7" w:rsidP="00195BE7">
            <w:pPr>
              <w:spacing w:line="240" w:lineRule="exact"/>
              <w:ind w:right="170"/>
              <w:jc w:val="right"/>
              <w:rPr>
                <w:sz w:val="16"/>
                <w:szCs w:val="16"/>
              </w:rPr>
            </w:pPr>
            <w:r w:rsidRPr="001E2F6E">
              <w:rPr>
                <w:sz w:val="16"/>
                <w:szCs w:val="16"/>
              </w:rPr>
              <w:t>100,0</w:t>
            </w:r>
          </w:p>
        </w:tc>
      </w:tr>
    </w:tbl>
    <w:p w:rsidR="00195BE7" w:rsidRPr="001E2F6E" w:rsidRDefault="00195BE7" w:rsidP="00195BE7"/>
    <w:p w:rsidR="00195BE7" w:rsidRPr="001E2F6E" w:rsidRDefault="00195BE7" w:rsidP="00195BE7"/>
    <w:p w:rsidR="00195BE7" w:rsidRPr="001E2F6E" w:rsidRDefault="00195BE7" w:rsidP="00195BE7">
      <w:pPr>
        <w:spacing w:line="240" w:lineRule="auto"/>
        <w:jc w:val="center"/>
        <w:rPr>
          <w:b/>
          <w:snapToGrid w:val="0"/>
          <w:color w:val="1F497D" w:themeColor="text2"/>
          <w:sz w:val="18"/>
          <w:szCs w:val="18"/>
          <w:lang w:val="es-ES_tradnl"/>
        </w:rPr>
      </w:pPr>
      <w:bookmarkStart w:id="298" w:name="_Toc391989207"/>
      <w:bookmarkStart w:id="299" w:name="_Toc392585837"/>
      <w:r w:rsidRPr="001E2F6E">
        <w:rPr>
          <w:b/>
          <w:snapToGrid w:val="0"/>
          <w:color w:val="1F497D" w:themeColor="text2"/>
          <w:sz w:val="18"/>
          <w:szCs w:val="18"/>
          <w:lang w:val="es-ES_tradnl"/>
        </w:rPr>
        <w:t>3.</w:t>
      </w:r>
      <w:r w:rsidR="00EB6BA6" w:rsidRPr="001E2F6E">
        <w:rPr>
          <w:b/>
          <w:snapToGrid w:val="0"/>
          <w:color w:val="1F497D" w:themeColor="text2"/>
          <w:sz w:val="18"/>
          <w:szCs w:val="18"/>
          <w:lang w:val="es-ES_tradnl"/>
        </w:rPr>
        <w:fldChar w:fldCharType="begin"/>
      </w:r>
      <w:r w:rsidRPr="001E2F6E">
        <w:rPr>
          <w:b/>
          <w:snapToGrid w:val="0"/>
          <w:color w:val="1F497D" w:themeColor="text2"/>
          <w:sz w:val="18"/>
          <w:szCs w:val="18"/>
          <w:lang w:val="es-ES_tradnl"/>
        </w:rPr>
        <w:instrText xml:space="preserve"> SEQ Cuadro_3. \* ARABIC </w:instrText>
      </w:r>
      <w:r w:rsidR="00EB6BA6" w:rsidRPr="001E2F6E">
        <w:rPr>
          <w:b/>
          <w:snapToGrid w:val="0"/>
          <w:color w:val="1F497D" w:themeColor="text2"/>
          <w:sz w:val="18"/>
          <w:szCs w:val="18"/>
          <w:lang w:val="es-ES_tradnl"/>
        </w:rPr>
        <w:fldChar w:fldCharType="separate"/>
      </w:r>
      <w:r w:rsidR="00A327D4">
        <w:rPr>
          <w:b/>
          <w:noProof/>
          <w:snapToGrid w:val="0"/>
          <w:color w:val="1F497D" w:themeColor="text2"/>
          <w:sz w:val="18"/>
          <w:szCs w:val="18"/>
          <w:lang w:val="es-ES_tradnl"/>
        </w:rPr>
        <w:t>3</w:t>
      </w:r>
      <w:r w:rsidR="00EB6BA6" w:rsidRPr="001E2F6E">
        <w:rPr>
          <w:b/>
          <w:snapToGrid w:val="0"/>
          <w:color w:val="1F497D" w:themeColor="text2"/>
          <w:sz w:val="18"/>
          <w:szCs w:val="18"/>
          <w:lang w:val="es-ES_tradnl"/>
        </w:rPr>
        <w:fldChar w:fldCharType="end"/>
      </w:r>
      <w:r w:rsidRPr="001E2F6E">
        <w:rPr>
          <w:b/>
          <w:snapToGrid w:val="0"/>
          <w:color w:val="1F497D" w:themeColor="text2"/>
          <w:sz w:val="18"/>
          <w:szCs w:val="18"/>
          <w:lang w:val="es-ES_tradnl"/>
        </w:rPr>
        <w:t xml:space="preserve"> Taula ENPRESA-KUDEAKETARAKO TRESNEN ERABILERA, ENPRESAREN TAMAINAREN ETA IZAERA JURIDIKOAREN ARABERA. 2012  (Kudeaketarako tresnak dituzten enpresen %)</w:t>
      </w:r>
      <w:bookmarkEnd w:id="298"/>
      <w:bookmarkEnd w:id="299"/>
    </w:p>
    <w:tbl>
      <w:tblPr>
        <w:tblW w:w="9801" w:type="dxa"/>
        <w:jc w:val="center"/>
        <w:tblLayout w:type="fixed"/>
        <w:tblLook w:val="04A0" w:firstRow="1" w:lastRow="0" w:firstColumn="1" w:lastColumn="0" w:noHBand="0" w:noVBand="1"/>
      </w:tblPr>
      <w:tblGrid>
        <w:gridCol w:w="2654"/>
        <w:gridCol w:w="1021"/>
        <w:gridCol w:w="1021"/>
        <w:gridCol w:w="1021"/>
        <w:gridCol w:w="1021"/>
        <w:gridCol w:w="1021"/>
        <w:gridCol w:w="1021"/>
        <w:gridCol w:w="1021"/>
      </w:tblGrid>
      <w:tr w:rsidR="00195BE7" w:rsidRPr="001E2F6E" w:rsidTr="00195BE7">
        <w:trPr>
          <w:jc w:val="center"/>
        </w:trPr>
        <w:tc>
          <w:tcPr>
            <w:tcW w:w="2654" w:type="dxa"/>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tcPr>
          <w:p w:rsidR="00195BE7" w:rsidRPr="001E2F6E" w:rsidRDefault="00195BE7" w:rsidP="00195BE7">
            <w:pPr>
              <w:spacing w:line="240" w:lineRule="exact"/>
              <w:jc w:val="center"/>
              <w:rPr>
                <w:b/>
                <w:bCs/>
                <w:sz w:val="16"/>
                <w:szCs w:val="16"/>
              </w:rPr>
            </w:pPr>
            <w:r w:rsidRPr="001E2F6E">
              <w:rPr>
                <w:b/>
                <w:bCs/>
                <w:sz w:val="16"/>
                <w:szCs w:val="16"/>
              </w:rPr>
              <w:t>Koop.</w:t>
            </w:r>
          </w:p>
        </w:tc>
        <w:tc>
          <w:tcPr>
            <w:tcW w:w="102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tcPr>
          <w:p w:rsidR="00195BE7" w:rsidRPr="001E2F6E" w:rsidRDefault="00195BE7" w:rsidP="00195BE7">
            <w:pPr>
              <w:spacing w:line="240" w:lineRule="auto"/>
              <w:jc w:val="center"/>
              <w:rPr>
                <w:b/>
                <w:bCs/>
                <w:sz w:val="16"/>
                <w:szCs w:val="16"/>
                <w:lang w:val="eu-ES"/>
              </w:rPr>
            </w:pPr>
            <w:r w:rsidRPr="001E2F6E">
              <w:rPr>
                <w:b/>
                <w:bCs/>
                <w:sz w:val="16"/>
                <w:szCs w:val="16"/>
                <w:lang w:val="eu-ES"/>
              </w:rPr>
              <w:t>5 enplegu bitarte</w:t>
            </w:r>
          </w:p>
        </w:tc>
        <w:tc>
          <w:tcPr>
            <w:tcW w:w="102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tcPr>
          <w:p w:rsidR="00195BE7" w:rsidRPr="001E2F6E" w:rsidRDefault="00195BE7" w:rsidP="00195BE7">
            <w:pPr>
              <w:spacing w:line="240" w:lineRule="auto"/>
              <w:jc w:val="center"/>
              <w:rPr>
                <w:b/>
                <w:bCs/>
                <w:sz w:val="16"/>
                <w:szCs w:val="16"/>
                <w:lang w:val="eu-ES"/>
              </w:rPr>
            </w:pPr>
            <w:r w:rsidRPr="001E2F6E">
              <w:rPr>
                <w:b/>
                <w:bCs/>
                <w:sz w:val="16"/>
                <w:szCs w:val="16"/>
                <w:lang w:val="eu-ES"/>
              </w:rPr>
              <w:t>6 - 15</w:t>
            </w:r>
          </w:p>
        </w:tc>
        <w:tc>
          <w:tcPr>
            <w:tcW w:w="102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tcPr>
          <w:p w:rsidR="00195BE7" w:rsidRPr="001E2F6E" w:rsidRDefault="00195BE7" w:rsidP="00195BE7">
            <w:pPr>
              <w:spacing w:line="240" w:lineRule="auto"/>
              <w:jc w:val="center"/>
              <w:rPr>
                <w:b/>
                <w:bCs/>
                <w:sz w:val="16"/>
                <w:szCs w:val="16"/>
                <w:lang w:val="eu-ES"/>
              </w:rPr>
            </w:pPr>
            <w:r w:rsidRPr="001E2F6E">
              <w:rPr>
                <w:b/>
                <w:bCs/>
                <w:sz w:val="16"/>
                <w:szCs w:val="16"/>
                <w:lang w:val="eu-ES"/>
              </w:rPr>
              <w:t>16 - 50</w:t>
            </w:r>
          </w:p>
        </w:tc>
        <w:tc>
          <w:tcPr>
            <w:tcW w:w="102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tcPr>
          <w:p w:rsidR="00195BE7" w:rsidRPr="001E2F6E" w:rsidRDefault="00195BE7" w:rsidP="00195BE7">
            <w:pPr>
              <w:spacing w:line="240" w:lineRule="auto"/>
              <w:jc w:val="center"/>
              <w:rPr>
                <w:b/>
                <w:bCs/>
                <w:sz w:val="16"/>
                <w:szCs w:val="16"/>
                <w:lang w:val="eu-ES"/>
              </w:rPr>
            </w:pPr>
            <w:r w:rsidRPr="001E2F6E">
              <w:rPr>
                <w:b/>
                <w:bCs/>
                <w:sz w:val="16"/>
                <w:szCs w:val="16"/>
                <w:lang w:val="eu-ES"/>
              </w:rPr>
              <w:t>51 - 100</w:t>
            </w:r>
          </w:p>
        </w:tc>
        <w:tc>
          <w:tcPr>
            <w:tcW w:w="102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tcPr>
          <w:p w:rsidR="00195BE7" w:rsidRPr="001E2F6E" w:rsidRDefault="00195BE7" w:rsidP="00195BE7">
            <w:pPr>
              <w:spacing w:line="240" w:lineRule="auto"/>
              <w:jc w:val="center"/>
              <w:rPr>
                <w:b/>
                <w:bCs/>
                <w:sz w:val="16"/>
                <w:szCs w:val="16"/>
                <w:lang w:val="eu-ES"/>
              </w:rPr>
            </w:pPr>
            <w:r w:rsidRPr="001E2F6E">
              <w:rPr>
                <w:b/>
                <w:bCs/>
                <w:sz w:val="16"/>
                <w:szCs w:val="16"/>
                <w:lang w:val="eu-ES"/>
              </w:rPr>
              <w:t>101 - 200</w:t>
            </w:r>
          </w:p>
        </w:tc>
        <w:tc>
          <w:tcPr>
            <w:tcW w:w="102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tcPr>
          <w:p w:rsidR="00195BE7" w:rsidRPr="001E2F6E" w:rsidRDefault="00195BE7" w:rsidP="00195BE7">
            <w:pPr>
              <w:spacing w:line="240" w:lineRule="auto"/>
              <w:jc w:val="center"/>
              <w:rPr>
                <w:b/>
                <w:bCs/>
                <w:sz w:val="16"/>
                <w:szCs w:val="16"/>
                <w:lang w:val="eu-ES"/>
              </w:rPr>
            </w:pPr>
            <w:r w:rsidRPr="001E2F6E">
              <w:rPr>
                <w:b/>
                <w:bCs/>
                <w:sz w:val="16"/>
                <w:szCs w:val="16"/>
                <w:lang w:val="eu-ES"/>
              </w:rPr>
              <w:t>201  500</w:t>
            </w:r>
          </w:p>
        </w:tc>
        <w:tc>
          <w:tcPr>
            <w:tcW w:w="1021" w:type="dxa"/>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vAlign w:val="center"/>
          </w:tcPr>
          <w:p w:rsidR="00195BE7" w:rsidRPr="001E2F6E" w:rsidRDefault="00195BE7" w:rsidP="00195BE7">
            <w:pPr>
              <w:spacing w:line="240" w:lineRule="auto"/>
              <w:jc w:val="center"/>
              <w:rPr>
                <w:b/>
                <w:bCs/>
                <w:sz w:val="16"/>
                <w:szCs w:val="16"/>
                <w:lang w:val="eu-ES"/>
              </w:rPr>
            </w:pPr>
            <w:r w:rsidRPr="001E2F6E">
              <w:rPr>
                <w:b/>
                <w:bCs/>
                <w:sz w:val="16"/>
                <w:szCs w:val="16"/>
                <w:lang w:val="eu-ES"/>
              </w:rPr>
              <w:t>500 enplegutik gora</w:t>
            </w:r>
          </w:p>
        </w:tc>
      </w:tr>
      <w:tr w:rsidR="00195BE7" w:rsidRPr="001E2F6E" w:rsidTr="00195BE7">
        <w:trPr>
          <w:jc w:val="center"/>
        </w:trPr>
        <w:tc>
          <w:tcPr>
            <w:tcW w:w="2654" w:type="dxa"/>
            <w:tcBorders>
              <w:top w:val="single" w:sz="4" w:space="0" w:color="BFBFBF" w:themeColor="background1" w:themeShade="BF"/>
              <w:right w:val="single" w:sz="4" w:space="0" w:color="BFBFBF" w:themeColor="background1" w:themeShade="BF"/>
            </w:tcBorders>
          </w:tcPr>
          <w:p w:rsidR="00195BE7" w:rsidRPr="001E2F6E" w:rsidRDefault="00195BE7" w:rsidP="00195BE7">
            <w:pPr>
              <w:spacing w:line="240" w:lineRule="exact"/>
              <w:jc w:val="left"/>
              <w:rPr>
                <w:sz w:val="16"/>
                <w:szCs w:val="16"/>
                <w:lang w:val="eu-ES"/>
              </w:rPr>
            </w:pPr>
            <w:r w:rsidRPr="001E2F6E">
              <w:rPr>
                <w:sz w:val="16"/>
                <w:szCs w:val="16"/>
                <w:lang w:val="eu-ES"/>
              </w:rPr>
              <w:t>Barne-Erregimeneko Araudia</w:t>
            </w:r>
          </w:p>
        </w:tc>
        <w:tc>
          <w:tcPr>
            <w:tcW w:w="1021" w:type="dxa"/>
            <w:tcBorders>
              <w:top w:val="single" w:sz="4" w:space="0" w:color="BFBFBF" w:themeColor="background1" w:themeShade="BF"/>
              <w:left w:val="single" w:sz="4" w:space="0" w:color="BFBFBF" w:themeColor="background1" w:themeShade="BF"/>
              <w:right w:val="single" w:sz="4" w:space="0" w:color="BFBFBF" w:themeColor="background1" w:themeShade="BF"/>
            </w:tcBorders>
            <w:noWrap/>
            <w:vAlign w:val="center"/>
          </w:tcPr>
          <w:p w:rsidR="00195BE7" w:rsidRPr="001E2F6E" w:rsidRDefault="00195BE7" w:rsidP="00195BE7">
            <w:pPr>
              <w:spacing w:line="240" w:lineRule="exact"/>
              <w:ind w:right="170"/>
              <w:jc w:val="right"/>
              <w:rPr>
                <w:sz w:val="16"/>
                <w:szCs w:val="16"/>
              </w:rPr>
            </w:pPr>
            <w:r w:rsidRPr="001E2F6E">
              <w:rPr>
                <w:sz w:val="16"/>
                <w:szCs w:val="16"/>
              </w:rPr>
              <w:t>30,4</w:t>
            </w:r>
          </w:p>
        </w:tc>
        <w:tc>
          <w:tcPr>
            <w:tcW w:w="1021" w:type="dxa"/>
            <w:tcBorders>
              <w:top w:val="single" w:sz="4" w:space="0" w:color="BFBFBF" w:themeColor="background1" w:themeShade="BF"/>
              <w:left w:val="single" w:sz="4" w:space="0" w:color="BFBFBF" w:themeColor="background1" w:themeShade="BF"/>
              <w:right w:val="single" w:sz="4" w:space="0" w:color="BFBFBF" w:themeColor="background1" w:themeShade="BF"/>
            </w:tcBorders>
            <w:noWrap/>
            <w:vAlign w:val="center"/>
          </w:tcPr>
          <w:p w:rsidR="00195BE7" w:rsidRPr="001E2F6E" w:rsidRDefault="00195BE7" w:rsidP="00195BE7">
            <w:pPr>
              <w:spacing w:line="240" w:lineRule="exact"/>
              <w:ind w:right="170"/>
              <w:jc w:val="right"/>
              <w:rPr>
                <w:sz w:val="16"/>
                <w:szCs w:val="16"/>
              </w:rPr>
            </w:pPr>
            <w:r w:rsidRPr="001E2F6E">
              <w:rPr>
                <w:sz w:val="16"/>
                <w:szCs w:val="16"/>
              </w:rPr>
              <w:t>48,5</w:t>
            </w:r>
          </w:p>
        </w:tc>
        <w:tc>
          <w:tcPr>
            <w:tcW w:w="1021" w:type="dxa"/>
            <w:tcBorders>
              <w:top w:val="single" w:sz="4" w:space="0" w:color="BFBFBF" w:themeColor="background1" w:themeShade="BF"/>
              <w:left w:val="single" w:sz="4" w:space="0" w:color="BFBFBF" w:themeColor="background1" w:themeShade="BF"/>
              <w:right w:val="single" w:sz="4" w:space="0" w:color="BFBFBF" w:themeColor="background1" w:themeShade="BF"/>
            </w:tcBorders>
            <w:noWrap/>
            <w:vAlign w:val="center"/>
          </w:tcPr>
          <w:p w:rsidR="00195BE7" w:rsidRPr="001E2F6E" w:rsidRDefault="00195BE7" w:rsidP="00195BE7">
            <w:pPr>
              <w:spacing w:line="240" w:lineRule="exact"/>
              <w:ind w:right="170"/>
              <w:jc w:val="right"/>
              <w:rPr>
                <w:sz w:val="16"/>
                <w:szCs w:val="16"/>
              </w:rPr>
            </w:pPr>
            <w:r w:rsidRPr="001E2F6E">
              <w:rPr>
                <w:sz w:val="16"/>
                <w:szCs w:val="16"/>
              </w:rPr>
              <w:t>88,1</w:t>
            </w:r>
          </w:p>
        </w:tc>
        <w:tc>
          <w:tcPr>
            <w:tcW w:w="1021" w:type="dxa"/>
            <w:tcBorders>
              <w:top w:val="single" w:sz="4" w:space="0" w:color="BFBFBF" w:themeColor="background1" w:themeShade="BF"/>
              <w:left w:val="single" w:sz="4" w:space="0" w:color="BFBFBF" w:themeColor="background1" w:themeShade="BF"/>
              <w:right w:val="single" w:sz="4" w:space="0" w:color="BFBFBF" w:themeColor="background1" w:themeShade="BF"/>
            </w:tcBorders>
            <w:noWrap/>
            <w:vAlign w:val="center"/>
          </w:tcPr>
          <w:p w:rsidR="00195BE7" w:rsidRPr="001E2F6E" w:rsidRDefault="00195BE7" w:rsidP="00195BE7">
            <w:pPr>
              <w:spacing w:line="240" w:lineRule="exact"/>
              <w:ind w:right="170"/>
              <w:jc w:val="right"/>
              <w:rPr>
                <w:sz w:val="16"/>
                <w:szCs w:val="16"/>
              </w:rPr>
            </w:pPr>
            <w:r w:rsidRPr="001E2F6E">
              <w:rPr>
                <w:sz w:val="16"/>
                <w:szCs w:val="16"/>
              </w:rPr>
              <w:t>79,1</w:t>
            </w:r>
          </w:p>
        </w:tc>
        <w:tc>
          <w:tcPr>
            <w:tcW w:w="1021" w:type="dxa"/>
            <w:tcBorders>
              <w:top w:val="single" w:sz="4" w:space="0" w:color="BFBFBF" w:themeColor="background1" w:themeShade="BF"/>
              <w:left w:val="single" w:sz="4" w:space="0" w:color="BFBFBF" w:themeColor="background1" w:themeShade="BF"/>
              <w:right w:val="single" w:sz="4" w:space="0" w:color="BFBFBF" w:themeColor="background1" w:themeShade="BF"/>
            </w:tcBorders>
            <w:noWrap/>
            <w:vAlign w:val="center"/>
          </w:tcPr>
          <w:p w:rsidR="00195BE7" w:rsidRPr="001E2F6E" w:rsidRDefault="00195BE7" w:rsidP="00195BE7">
            <w:pPr>
              <w:spacing w:line="240" w:lineRule="exact"/>
              <w:ind w:right="170"/>
              <w:jc w:val="right"/>
              <w:rPr>
                <w:sz w:val="16"/>
                <w:szCs w:val="16"/>
              </w:rPr>
            </w:pPr>
            <w:r w:rsidRPr="001E2F6E">
              <w:rPr>
                <w:sz w:val="16"/>
                <w:szCs w:val="16"/>
              </w:rPr>
              <w:t>100,0</w:t>
            </w:r>
          </w:p>
        </w:tc>
        <w:tc>
          <w:tcPr>
            <w:tcW w:w="1021" w:type="dxa"/>
            <w:tcBorders>
              <w:top w:val="single" w:sz="4" w:space="0" w:color="BFBFBF" w:themeColor="background1" w:themeShade="BF"/>
              <w:left w:val="single" w:sz="4" w:space="0" w:color="BFBFBF" w:themeColor="background1" w:themeShade="BF"/>
              <w:right w:val="single" w:sz="4" w:space="0" w:color="BFBFBF" w:themeColor="background1" w:themeShade="BF"/>
            </w:tcBorders>
            <w:noWrap/>
            <w:vAlign w:val="center"/>
          </w:tcPr>
          <w:p w:rsidR="00195BE7" w:rsidRPr="001E2F6E" w:rsidRDefault="00195BE7" w:rsidP="00195BE7">
            <w:pPr>
              <w:spacing w:line="240" w:lineRule="exact"/>
              <w:ind w:right="170"/>
              <w:jc w:val="right"/>
              <w:rPr>
                <w:sz w:val="16"/>
                <w:szCs w:val="16"/>
              </w:rPr>
            </w:pPr>
            <w:r w:rsidRPr="001E2F6E">
              <w:rPr>
                <w:sz w:val="16"/>
                <w:szCs w:val="16"/>
              </w:rPr>
              <w:t>91,6</w:t>
            </w:r>
          </w:p>
        </w:tc>
        <w:tc>
          <w:tcPr>
            <w:tcW w:w="1021" w:type="dxa"/>
            <w:tcBorders>
              <w:top w:val="single" w:sz="4" w:space="0" w:color="BFBFBF" w:themeColor="background1" w:themeShade="BF"/>
              <w:left w:val="single" w:sz="4" w:space="0" w:color="BFBFBF" w:themeColor="background1" w:themeShade="BF"/>
            </w:tcBorders>
            <w:noWrap/>
            <w:vAlign w:val="center"/>
          </w:tcPr>
          <w:p w:rsidR="00195BE7" w:rsidRPr="001E2F6E" w:rsidRDefault="00195BE7" w:rsidP="00195BE7">
            <w:pPr>
              <w:spacing w:line="240" w:lineRule="exact"/>
              <w:ind w:right="170"/>
              <w:jc w:val="right"/>
              <w:rPr>
                <w:sz w:val="16"/>
                <w:szCs w:val="16"/>
              </w:rPr>
            </w:pPr>
            <w:r w:rsidRPr="001E2F6E">
              <w:rPr>
                <w:sz w:val="16"/>
                <w:szCs w:val="16"/>
              </w:rPr>
              <w:t>100,0</w:t>
            </w:r>
          </w:p>
        </w:tc>
      </w:tr>
      <w:tr w:rsidR="00195BE7" w:rsidRPr="001E2F6E" w:rsidTr="00195BE7">
        <w:trPr>
          <w:jc w:val="center"/>
        </w:trPr>
        <w:tc>
          <w:tcPr>
            <w:tcW w:w="2654" w:type="dxa"/>
            <w:tcBorders>
              <w:right w:val="single" w:sz="4" w:space="0" w:color="BFBFBF" w:themeColor="background1" w:themeShade="BF"/>
            </w:tcBorders>
          </w:tcPr>
          <w:p w:rsidR="00195BE7" w:rsidRPr="001E2F6E" w:rsidRDefault="00195BE7" w:rsidP="00195BE7">
            <w:pPr>
              <w:spacing w:line="240" w:lineRule="exact"/>
              <w:jc w:val="left"/>
              <w:rPr>
                <w:sz w:val="16"/>
                <w:szCs w:val="16"/>
                <w:lang w:val="eu-ES"/>
              </w:rPr>
            </w:pPr>
            <w:r w:rsidRPr="001E2F6E">
              <w:rPr>
                <w:sz w:val="16"/>
                <w:szCs w:val="16"/>
                <w:lang w:val="eu-ES"/>
              </w:rPr>
              <w:t>Kudeaketa-Plana</w:t>
            </w:r>
          </w:p>
        </w:tc>
        <w:tc>
          <w:tcPr>
            <w:tcW w:w="1021" w:type="dxa"/>
            <w:tcBorders>
              <w:left w:val="single" w:sz="4" w:space="0" w:color="BFBFBF" w:themeColor="background1" w:themeShade="BF"/>
              <w:right w:val="single" w:sz="4" w:space="0" w:color="BFBFBF" w:themeColor="background1" w:themeShade="BF"/>
            </w:tcBorders>
            <w:noWrap/>
            <w:vAlign w:val="center"/>
          </w:tcPr>
          <w:p w:rsidR="00195BE7" w:rsidRPr="001E2F6E" w:rsidRDefault="00195BE7" w:rsidP="00195BE7">
            <w:pPr>
              <w:spacing w:line="240" w:lineRule="exact"/>
              <w:ind w:right="170"/>
              <w:jc w:val="right"/>
              <w:rPr>
                <w:sz w:val="16"/>
                <w:szCs w:val="16"/>
              </w:rPr>
            </w:pPr>
            <w:r w:rsidRPr="001E2F6E">
              <w:rPr>
                <w:sz w:val="16"/>
                <w:szCs w:val="16"/>
              </w:rPr>
              <w:t>22,0</w:t>
            </w:r>
          </w:p>
        </w:tc>
        <w:tc>
          <w:tcPr>
            <w:tcW w:w="1021" w:type="dxa"/>
            <w:tcBorders>
              <w:left w:val="single" w:sz="4" w:space="0" w:color="BFBFBF" w:themeColor="background1" w:themeShade="BF"/>
              <w:right w:val="single" w:sz="4" w:space="0" w:color="BFBFBF" w:themeColor="background1" w:themeShade="BF"/>
            </w:tcBorders>
            <w:noWrap/>
            <w:vAlign w:val="center"/>
          </w:tcPr>
          <w:p w:rsidR="00195BE7" w:rsidRPr="001E2F6E" w:rsidRDefault="00195BE7" w:rsidP="00195BE7">
            <w:pPr>
              <w:spacing w:line="240" w:lineRule="exact"/>
              <w:ind w:right="170"/>
              <w:jc w:val="right"/>
              <w:rPr>
                <w:sz w:val="16"/>
                <w:szCs w:val="16"/>
              </w:rPr>
            </w:pPr>
            <w:r w:rsidRPr="001E2F6E">
              <w:rPr>
                <w:sz w:val="16"/>
                <w:szCs w:val="16"/>
              </w:rPr>
              <w:t>35,0</w:t>
            </w:r>
          </w:p>
        </w:tc>
        <w:tc>
          <w:tcPr>
            <w:tcW w:w="1021" w:type="dxa"/>
            <w:tcBorders>
              <w:left w:val="single" w:sz="4" w:space="0" w:color="BFBFBF" w:themeColor="background1" w:themeShade="BF"/>
              <w:right w:val="single" w:sz="4" w:space="0" w:color="BFBFBF" w:themeColor="background1" w:themeShade="BF"/>
            </w:tcBorders>
            <w:noWrap/>
            <w:vAlign w:val="center"/>
          </w:tcPr>
          <w:p w:rsidR="00195BE7" w:rsidRPr="001E2F6E" w:rsidRDefault="00195BE7" w:rsidP="00195BE7">
            <w:pPr>
              <w:spacing w:line="240" w:lineRule="exact"/>
              <w:ind w:right="170"/>
              <w:jc w:val="right"/>
              <w:rPr>
                <w:sz w:val="16"/>
                <w:szCs w:val="16"/>
              </w:rPr>
            </w:pPr>
            <w:r w:rsidRPr="001E2F6E">
              <w:rPr>
                <w:sz w:val="16"/>
                <w:szCs w:val="16"/>
              </w:rPr>
              <w:t>78,7</w:t>
            </w:r>
          </w:p>
        </w:tc>
        <w:tc>
          <w:tcPr>
            <w:tcW w:w="1021" w:type="dxa"/>
            <w:tcBorders>
              <w:left w:val="single" w:sz="4" w:space="0" w:color="BFBFBF" w:themeColor="background1" w:themeShade="BF"/>
              <w:right w:val="single" w:sz="4" w:space="0" w:color="BFBFBF" w:themeColor="background1" w:themeShade="BF"/>
            </w:tcBorders>
            <w:noWrap/>
            <w:vAlign w:val="center"/>
          </w:tcPr>
          <w:p w:rsidR="00195BE7" w:rsidRPr="001E2F6E" w:rsidRDefault="00195BE7" w:rsidP="00195BE7">
            <w:pPr>
              <w:spacing w:line="240" w:lineRule="exact"/>
              <w:ind w:right="170"/>
              <w:jc w:val="right"/>
              <w:rPr>
                <w:sz w:val="16"/>
                <w:szCs w:val="16"/>
              </w:rPr>
            </w:pPr>
            <w:r w:rsidRPr="001E2F6E">
              <w:rPr>
                <w:sz w:val="16"/>
                <w:szCs w:val="16"/>
              </w:rPr>
              <w:t>86,6</w:t>
            </w:r>
          </w:p>
        </w:tc>
        <w:tc>
          <w:tcPr>
            <w:tcW w:w="1021" w:type="dxa"/>
            <w:tcBorders>
              <w:left w:val="single" w:sz="4" w:space="0" w:color="BFBFBF" w:themeColor="background1" w:themeShade="BF"/>
              <w:right w:val="single" w:sz="4" w:space="0" w:color="BFBFBF" w:themeColor="background1" w:themeShade="BF"/>
            </w:tcBorders>
            <w:noWrap/>
            <w:vAlign w:val="center"/>
          </w:tcPr>
          <w:p w:rsidR="00195BE7" w:rsidRPr="001E2F6E" w:rsidRDefault="00195BE7" w:rsidP="00195BE7">
            <w:pPr>
              <w:spacing w:line="240" w:lineRule="exact"/>
              <w:ind w:right="170"/>
              <w:jc w:val="right"/>
              <w:rPr>
                <w:sz w:val="16"/>
                <w:szCs w:val="16"/>
              </w:rPr>
            </w:pPr>
            <w:r w:rsidRPr="001E2F6E">
              <w:rPr>
                <w:sz w:val="16"/>
                <w:szCs w:val="16"/>
              </w:rPr>
              <w:t>92,0</w:t>
            </w:r>
          </w:p>
        </w:tc>
        <w:tc>
          <w:tcPr>
            <w:tcW w:w="1021" w:type="dxa"/>
            <w:tcBorders>
              <w:left w:val="single" w:sz="4" w:space="0" w:color="BFBFBF" w:themeColor="background1" w:themeShade="BF"/>
              <w:right w:val="single" w:sz="4" w:space="0" w:color="BFBFBF" w:themeColor="background1" w:themeShade="BF"/>
            </w:tcBorders>
            <w:noWrap/>
            <w:vAlign w:val="center"/>
          </w:tcPr>
          <w:p w:rsidR="00195BE7" w:rsidRPr="001E2F6E" w:rsidRDefault="00195BE7" w:rsidP="00195BE7">
            <w:pPr>
              <w:spacing w:line="240" w:lineRule="exact"/>
              <w:ind w:right="170"/>
              <w:jc w:val="right"/>
              <w:rPr>
                <w:sz w:val="16"/>
                <w:szCs w:val="16"/>
              </w:rPr>
            </w:pPr>
            <w:r w:rsidRPr="001E2F6E">
              <w:rPr>
                <w:sz w:val="16"/>
                <w:szCs w:val="16"/>
              </w:rPr>
              <w:t>93,2</w:t>
            </w:r>
          </w:p>
        </w:tc>
        <w:tc>
          <w:tcPr>
            <w:tcW w:w="1021" w:type="dxa"/>
            <w:tcBorders>
              <w:left w:val="single" w:sz="4" w:space="0" w:color="BFBFBF" w:themeColor="background1" w:themeShade="BF"/>
            </w:tcBorders>
            <w:noWrap/>
            <w:vAlign w:val="center"/>
          </w:tcPr>
          <w:p w:rsidR="00195BE7" w:rsidRPr="001E2F6E" w:rsidRDefault="00195BE7" w:rsidP="00195BE7">
            <w:pPr>
              <w:spacing w:line="240" w:lineRule="exact"/>
              <w:ind w:right="170"/>
              <w:jc w:val="right"/>
              <w:rPr>
                <w:sz w:val="16"/>
                <w:szCs w:val="16"/>
              </w:rPr>
            </w:pPr>
            <w:r w:rsidRPr="001E2F6E">
              <w:rPr>
                <w:sz w:val="16"/>
                <w:szCs w:val="16"/>
              </w:rPr>
              <w:t>83,7</w:t>
            </w:r>
          </w:p>
        </w:tc>
      </w:tr>
      <w:tr w:rsidR="00195BE7" w:rsidRPr="001E2F6E" w:rsidTr="00195BE7">
        <w:trPr>
          <w:jc w:val="center"/>
        </w:trPr>
        <w:tc>
          <w:tcPr>
            <w:tcW w:w="2654" w:type="dxa"/>
            <w:tcBorders>
              <w:right w:val="single" w:sz="4" w:space="0" w:color="BFBFBF" w:themeColor="background1" w:themeShade="BF"/>
            </w:tcBorders>
          </w:tcPr>
          <w:p w:rsidR="00195BE7" w:rsidRPr="001E2F6E" w:rsidRDefault="00195BE7" w:rsidP="00195BE7">
            <w:pPr>
              <w:spacing w:line="240" w:lineRule="exact"/>
              <w:jc w:val="left"/>
              <w:rPr>
                <w:sz w:val="16"/>
                <w:szCs w:val="16"/>
                <w:lang w:val="eu-ES"/>
              </w:rPr>
            </w:pPr>
            <w:r w:rsidRPr="001E2F6E">
              <w:rPr>
                <w:sz w:val="16"/>
                <w:szCs w:val="16"/>
                <w:lang w:val="eu-ES"/>
              </w:rPr>
              <w:t>Prestakuntza-Plana</w:t>
            </w:r>
          </w:p>
        </w:tc>
        <w:tc>
          <w:tcPr>
            <w:tcW w:w="1021" w:type="dxa"/>
            <w:tcBorders>
              <w:left w:val="single" w:sz="4" w:space="0" w:color="BFBFBF" w:themeColor="background1" w:themeShade="BF"/>
              <w:right w:val="single" w:sz="4" w:space="0" w:color="BFBFBF" w:themeColor="background1" w:themeShade="BF"/>
            </w:tcBorders>
            <w:noWrap/>
            <w:vAlign w:val="center"/>
          </w:tcPr>
          <w:p w:rsidR="00195BE7" w:rsidRPr="001E2F6E" w:rsidRDefault="00195BE7" w:rsidP="00195BE7">
            <w:pPr>
              <w:spacing w:line="240" w:lineRule="exact"/>
              <w:ind w:right="170"/>
              <w:jc w:val="right"/>
              <w:rPr>
                <w:sz w:val="16"/>
                <w:szCs w:val="16"/>
              </w:rPr>
            </w:pPr>
            <w:r w:rsidRPr="001E2F6E">
              <w:rPr>
                <w:sz w:val="16"/>
                <w:szCs w:val="16"/>
              </w:rPr>
              <w:t>32,7</w:t>
            </w:r>
          </w:p>
        </w:tc>
        <w:tc>
          <w:tcPr>
            <w:tcW w:w="1021" w:type="dxa"/>
            <w:tcBorders>
              <w:left w:val="single" w:sz="4" w:space="0" w:color="BFBFBF" w:themeColor="background1" w:themeShade="BF"/>
              <w:right w:val="single" w:sz="4" w:space="0" w:color="BFBFBF" w:themeColor="background1" w:themeShade="BF"/>
            </w:tcBorders>
            <w:noWrap/>
            <w:vAlign w:val="center"/>
          </w:tcPr>
          <w:p w:rsidR="00195BE7" w:rsidRPr="001E2F6E" w:rsidRDefault="00195BE7" w:rsidP="00195BE7">
            <w:pPr>
              <w:spacing w:line="240" w:lineRule="exact"/>
              <w:ind w:right="170"/>
              <w:jc w:val="right"/>
              <w:rPr>
                <w:sz w:val="16"/>
                <w:szCs w:val="16"/>
              </w:rPr>
            </w:pPr>
            <w:r w:rsidRPr="001E2F6E">
              <w:rPr>
                <w:sz w:val="16"/>
                <w:szCs w:val="16"/>
              </w:rPr>
              <w:t>48,8</w:t>
            </w:r>
          </w:p>
        </w:tc>
        <w:tc>
          <w:tcPr>
            <w:tcW w:w="1021" w:type="dxa"/>
            <w:tcBorders>
              <w:left w:val="single" w:sz="4" w:space="0" w:color="BFBFBF" w:themeColor="background1" w:themeShade="BF"/>
              <w:right w:val="single" w:sz="4" w:space="0" w:color="BFBFBF" w:themeColor="background1" w:themeShade="BF"/>
            </w:tcBorders>
            <w:noWrap/>
            <w:vAlign w:val="center"/>
          </w:tcPr>
          <w:p w:rsidR="00195BE7" w:rsidRPr="001E2F6E" w:rsidRDefault="00195BE7" w:rsidP="00195BE7">
            <w:pPr>
              <w:spacing w:line="240" w:lineRule="exact"/>
              <w:ind w:right="170"/>
              <w:jc w:val="right"/>
              <w:rPr>
                <w:sz w:val="16"/>
                <w:szCs w:val="16"/>
              </w:rPr>
            </w:pPr>
            <w:r w:rsidRPr="001E2F6E">
              <w:rPr>
                <w:sz w:val="16"/>
                <w:szCs w:val="16"/>
              </w:rPr>
              <w:t>76,4</w:t>
            </w:r>
          </w:p>
        </w:tc>
        <w:tc>
          <w:tcPr>
            <w:tcW w:w="1021" w:type="dxa"/>
            <w:tcBorders>
              <w:left w:val="single" w:sz="4" w:space="0" w:color="BFBFBF" w:themeColor="background1" w:themeShade="BF"/>
              <w:right w:val="single" w:sz="4" w:space="0" w:color="BFBFBF" w:themeColor="background1" w:themeShade="BF"/>
            </w:tcBorders>
            <w:noWrap/>
            <w:vAlign w:val="center"/>
          </w:tcPr>
          <w:p w:rsidR="00195BE7" w:rsidRPr="001E2F6E" w:rsidRDefault="00195BE7" w:rsidP="00195BE7">
            <w:pPr>
              <w:spacing w:line="240" w:lineRule="exact"/>
              <w:ind w:right="170"/>
              <w:jc w:val="right"/>
              <w:rPr>
                <w:sz w:val="16"/>
                <w:szCs w:val="16"/>
              </w:rPr>
            </w:pPr>
            <w:r w:rsidRPr="001E2F6E">
              <w:rPr>
                <w:sz w:val="16"/>
                <w:szCs w:val="16"/>
              </w:rPr>
              <w:t>86,3</w:t>
            </w:r>
          </w:p>
        </w:tc>
        <w:tc>
          <w:tcPr>
            <w:tcW w:w="1021" w:type="dxa"/>
            <w:tcBorders>
              <w:left w:val="single" w:sz="4" w:space="0" w:color="BFBFBF" w:themeColor="background1" w:themeShade="BF"/>
              <w:right w:val="single" w:sz="4" w:space="0" w:color="BFBFBF" w:themeColor="background1" w:themeShade="BF"/>
            </w:tcBorders>
            <w:noWrap/>
            <w:vAlign w:val="center"/>
          </w:tcPr>
          <w:p w:rsidR="00195BE7" w:rsidRPr="001E2F6E" w:rsidRDefault="00195BE7" w:rsidP="00195BE7">
            <w:pPr>
              <w:spacing w:line="240" w:lineRule="exact"/>
              <w:ind w:right="170"/>
              <w:jc w:val="right"/>
              <w:rPr>
                <w:sz w:val="16"/>
                <w:szCs w:val="16"/>
              </w:rPr>
            </w:pPr>
            <w:r w:rsidRPr="001E2F6E">
              <w:rPr>
                <w:sz w:val="16"/>
                <w:szCs w:val="16"/>
              </w:rPr>
              <w:t>100,0</w:t>
            </w:r>
          </w:p>
        </w:tc>
        <w:tc>
          <w:tcPr>
            <w:tcW w:w="1021" w:type="dxa"/>
            <w:tcBorders>
              <w:left w:val="single" w:sz="4" w:space="0" w:color="BFBFBF" w:themeColor="background1" w:themeShade="BF"/>
              <w:right w:val="single" w:sz="4" w:space="0" w:color="BFBFBF" w:themeColor="background1" w:themeShade="BF"/>
            </w:tcBorders>
            <w:noWrap/>
            <w:vAlign w:val="center"/>
          </w:tcPr>
          <w:p w:rsidR="00195BE7" w:rsidRPr="001E2F6E" w:rsidRDefault="00195BE7" w:rsidP="00195BE7">
            <w:pPr>
              <w:spacing w:line="240" w:lineRule="exact"/>
              <w:ind w:right="170"/>
              <w:jc w:val="right"/>
              <w:rPr>
                <w:sz w:val="16"/>
                <w:szCs w:val="16"/>
              </w:rPr>
            </w:pPr>
            <w:r w:rsidRPr="001E2F6E">
              <w:rPr>
                <w:sz w:val="16"/>
                <w:szCs w:val="16"/>
              </w:rPr>
              <w:t>100,0</w:t>
            </w:r>
          </w:p>
        </w:tc>
        <w:tc>
          <w:tcPr>
            <w:tcW w:w="1021" w:type="dxa"/>
            <w:tcBorders>
              <w:left w:val="single" w:sz="4" w:space="0" w:color="BFBFBF" w:themeColor="background1" w:themeShade="BF"/>
            </w:tcBorders>
            <w:noWrap/>
            <w:vAlign w:val="center"/>
          </w:tcPr>
          <w:p w:rsidR="00195BE7" w:rsidRPr="001E2F6E" w:rsidRDefault="00195BE7" w:rsidP="00195BE7">
            <w:pPr>
              <w:spacing w:line="240" w:lineRule="exact"/>
              <w:ind w:right="170"/>
              <w:jc w:val="right"/>
              <w:rPr>
                <w:sz w:val="16"/>
                <w:szCs w:val="16"/>
              </w:rPr>
            </w:pPr>
            <w:r w:rsidRPr="001E2F6E">
              <w:rPr>
                <w:sz w:val="16"/>
                <w:szCs w:val="16"/>
              </w:rPr>
              <w:t>83,7</w:t>
            </w:r>
          </w:p>
        </w:tc>
      </w:tr>
      <w:tr w:rsidR="00195BE7" w:rsidRPr="001E2F6E" w:rsidTr="00195BE7">
        <w:trPr>
          <w:jc w:val="center"/>
        </w:trPr>
        <w:tc>
          <w:tcPr>
            <w:tcW w:w="2654" w:type="dxa"/>
            <w:tcBorders>
              <w:right w:val="single" w:sz="4" w:space="0" w:color="BFBFBF" w:themeColor="background1" w:themeShade="BF"/>
            </w:tcBorders>
          </w:tcPr>
          <w:p w:rsidR="00195BE7" w:rsidRPr="001E2F6E" w:rsidRDefault="00195BE7" w:rsidP="00195BE7">
            <w:pPr>
              <w:spacing w:line="240" w:lineRule="exact"/>
              <w:jc w:val="left"/>
              <w:rPr>
                <w:sz w:val="16"/>
                <w:szCs w:val="16"/>
                <w:lang w:val="eu-ES"/>
              </w:rPr>
            </w:pPr>
            <w:r w:rsidRPr="001E2F6E">
              <w:rPr>
                <w:sz w:val="16"/>
                <w:szCs w:val="16"/>
                <w:lang w:val="eu-ES"/>
              </w:rPr>
              <w:t xml:space="preserve">Plan Estrategikoa </w:t>
            </w:r>
          </w:p>
        </w:tc>
        <w:tc>
          <w:tcPr>
            <w:tcW w:w="1021" w:type="dxa"/>
            <w:tcBorders>
              <w:left w:val="single" w:sz="4" w:space="0" w:color="BFBFBF" w:themeColor="background1" w:themeShade="BF"/>
              <w:right w:val="single" w:sz="4" w:space="0" w:color="BFBFBF" w:themeColor="background1" w:themeShade="BF"/>
            </w:tcBorders>
            <w:noWrap/>
            <w:vAlign w:val="center"/>
          </w:tcPr>
          <w:p w:rsidR="00195BE7" w:rsidRPr="001E2F6E" w:rsidRDefault="00195BE7" w:rsidP="00195BE7">
            <w:pPr>
              <w:spacing w:line="240" w:lineRule="exact"/>
              <w:ind w:right="170"/>
              <w:jc w:val="right"/>
              <w:rPr>
                <w:sz w:val="16"/>
                <w:szCs w:val="16"/>
              </w:rPr>
            </w:pPr>
            <w:r w:rsidRPr="001E2F6E">
              <w:rPr>
                <w:sz w:val="16"/>
                <w:szCs w:val="16"/>
              </w:rPr>
              <w:t>16,7</w:t>
            </w:r>
          </w:p>
        </w:tc>
        <w:tc>
          <w:tcPr>
            <w:tcW w:w="1021" w:type="dxa"/>
            <w:tcBorders>
              <w:left w:val="single" w:sz="4" w:space="0" w:color="BFBFBF" w:themeColor="background1" w:themeShade="BF"/>
              <w:right w:val="single" w:sz="4" w:space="0" w:color="BFBFBF" w:themeColor="background1" w:themeShade="BF"/>
            </w:tcBorders>
            <w:noWrap/>
            <w:vAlign w:val="center"/>
          </w:tcPr>
          <w:p w:rsidR="00195BE7" w:rsidRPr="001E2F6E" w:rsidRDefault="00195BE7" w:rsidP="00195BE7">
            <w:pPr>
              <w:spacing w:line="240" w:lineRule="exact"/>
              <w:ind w:right="170"/>
              <w:jc w:val="right"/>
              <w:rPr>
                <w:sz w:val="16"/>
                <w:szCs w:val="16"/>
              </w:rPr>
            </w:pPr>
            <w:r w:rsidRPr="001E2F6E">
              <w:rPr>
                <w:sz w:val="16"/>
                <w:szCs w:val="16"/>
              </w:rPr>
              <w:t>26,5</w:t>
            </w:r>
          </w:p>
        </w:tc>
        <w:tc>
          <w:tcPr>
            <w:tcW w:w="1021" w:type="dxa"/>
            <w:tcBorders>
              <w:left w:val="single" w:sz="4" w:space="0" w:color="BFBFBF" w:themeColor="background1" w:themeShade="BF"/>
              <w:right w:val="single" w:sz="4" w:space="0" w:color="BFBFBF" w:themeColor="background1" w:themeShade="BF"/>
            </w:tcBorders>
            <w:noWrap/>
            <w:vAlign w:val="center"/>
          </w:tcPr>
          <w:p w:rsidR="00195BE7" w:rsidRPr="001E2F6E" w:rsidRDefault="00195BE7" w:rsidP="00195BE7">
            <w:pPr>
              <w:spacing w:line="240" w:lineRule="exact"/>
              <w:ind w:right="170"/>
              <w:jc w:val="right"/>
              <w:rPr>
                <w:sz w:val="16"/>
                <w:szCs w:val="16"/>
              </w:rPr>
            </w:pPr>
            <w:r w:rsidRPr="001E2F6E">
              <w:rPr>
                <w:sz w:val="16"/>
                <w:szCs w:val="16"/>
              </w:rPr>
              <w:t>66,3</w:t>
            </w:r>
          </w:p>
        </w:tc>
        <w:tc>
          <w:tcPr>
            <w:tcW w:w="1021" w:type="dxa"/>
            <w:tcBorders>
              <w:left w:val="single" w:sz="4" w:space="0" w:color="BFBFBF" w:themeColor="background1" w:themeShade="BF"/>
              <w:right w:val="single" w:sz="4" w:space="0" w:color="BFBFBF" w:themeColor="background1" w:themeShade="BF"/>
            </w:tcBorders>
            <w:noWrap/>
            <w:vAlign w:val="center"/>
          </w:tcPr>
          <w:p w:rsidR="00195BE7" w:rsidRPr="001E2F6E" w:rsidRDefault="00195BE7" w:rsidP="00195BE7">
            <w:pPr>
              <w:spacing w:line="240" w:lineRule="exact"/>
              <w:ind w:right="170"/>
              <w:jc w:val="right"/>
              <w:rPr>
                <w:sz w:val="16"/>
                <w:szCs w:val="16"/>
              </w:rPr>
            </w:pPr>
            <w:r w:rsidRPr="001E2F6E">
              <w:rPr>
                <w:sz w:val="16"/>
                <w:szCs w:val="16"/>
              </w:rPr>
              <w:t>81,8</w:t>
            </w:r>
          </w:p>
        </w:tc>
        <w:tc>
          <w:tcPr>
            <w:tcW w:w="1021" w:type="dxa"/>
            <w:tcBorders>
              <w:left w:val="single" w:sz="4" w:space="0" w:color="BFBFBF" w:themeColor="background1" w:themeShade="BF"/>
              <w:right w:val="single" w:sz="4" w:space="0" w:color="BFBFBF" w:themeColor="background1" w:themeShade="BF"/>
            </w:tcBorders>
            <w:noWrap/>
            <w:vAlign w:val="center"/>
          </w:tcPr>
          <w:p w:rsidR="00195BE7" w:rsidRPr="001E2F6E" w:rsidRDefault="00195BE7" w:rsidP="00195BE7">
            <w:pPr>
              <w:spacing w:line="240" w:lineRule="exact"/>
              <w:ind w:right="170"/>
              <w:jc w:val="right"/>
              <w:rPr>
                <w:sz w:val="16"/>
                <w:szCs w:val="16"/>
              </w:rPr>
            </w:pPr>
            <w:r w:rsidRPr="001E2F6E">
              <w:rPr>
                <w:sz w:val="16"/>
                <w:szCs w:val="16"/>
              </w:rPr>
              <w:t>92,0</w:t>
            </w:r>
          </w:p>
        </w:tc>
        <w:tc>
          <w:tcPr>
            <w:tcW w:w="1021" w:type="dxa"/>
            <w:tcBorders>
              <w:left w:val="single" w:sz="4" w:space="0" w:color="BFBFBF" w:themeColor="background1" w:themeShade="BF"/>
              <w:right w:val="single" w:sz="4" w:space="0" w:color="BFBFBF" w:themeColor="background1" w:themeShade="BF"/>
            </w:tcBorders>
            <w:noWrap/>
            <w:vAlign w:val="center"/>
          </w:tcPr>
          <w:p w:rsidR="00195BE7" w:rsidRPr="001E2F6E" w:rsidRDefault="00195BE7" w:rsidP="00195BE7">
            <w:pPr>
              <w:spacing w:line="240" w:lineRule="exact"/>
              <w:ind w:right="170"/>
              <w:jc w:val="right"/>
              <w:rPr>
                <w:sz w:val="16"/>
                <w:szCs w:val="16"/>
              </w:rPr>
            </w:pPr>
            <w:r w:rsidRPr="001E2F6E">
              <w:rPr>
                <w:sz w:val="16"/>
                <w:szCs w:val="16"/>
              </w:rPr>
              <w:t>86,9</w:t>
            </w:r>
          </w:p>
        </w:tc>
        <w:tc>
          <w:tcPr>
            <w:tcW w:w="1021" w:type="dxa"/>
            <w:tcBorders>
              <w:left w:val="single" w:sz="4" w:space="0" w:color="BFBFBF" w:themeColor="background1" w:themeShade="BF"/>
            </w:tcBorders>
            <w:noWrap/>
            <w:vAlign w:val="center"/>
          </w:tcPr>
          <w:p w:rsidR="00195BE7" w:rsidRPr="001E2F6E" w:rsidRDefault="00195BE7" w:rsidP="00195BE7">
            <w:pPr>
              <w:spacing w:line="240" w:lineRule="exact"/>
              <w:ind w:right="170"/>
              <w:jc w:val="right"/>
              <w:rPr>
                <w:sz w:val="16"/>
                <w:szCs w:val="16"/>
              </w:rPr>
            </w:pPr>
            <w:r w:rsidRPr="001E2F6E">
              <w:rPr>
                <w:sz w:val="16"/>
                <w:szCs w:val="16"/>
              </w:rPr>
              <w:t>83,7</w:t>
            </w:r>
          </w:p>
        </w:tc>
      </w:tr>
      <w:tr w:rsidR="00195BE7" w:rsidRPr="001E2F6E" w:rsidTr="00195BE7">
        <w:trPr>
          <w:jc w:val="center"/>
        </w:trPr>
        <w:tc>
          <w:tcPr>
            <w:tcW w:w="2654" w:type="dxa"/>
            <w:tcBorders>
              <w:bottom w:val="single" w:sz="4" w:space="0" w:color="BFBFBF" w:themeColor="background1" w:themeShade="BF"/>
              <w:right w:val="single" w:sz="4" w:space="0" w:color="BFBFBF" w:themeColor="background1" w:themeShade="BF"/>
            </w:tcBorders>
          </w:tcPr>
          <w:p w:rsidR="00195BE7" w:rsidRPr="001E2F6E" w:rsidRDefault="00195BE7" w:rsidP="00195BE7">
            <w:pPr>
              <w:spacing w:line="240" w:lineRule="exact"/>
              <w:jc w:val="left"/>
              <w:rPr>
                <w:sz w:val="16"/>
                <w:szCs w:val="16"/>
                <w:lang w:val="eu-ES"/>
              </w:rPr>
            </w:pPr>
            <w:r w:rsidRPr="001E2F6E">
              <w:rPr>
                <w:sz w:val="16"/>
                <w:szCs w:val="16"/>
                <w:lang w:val="eu-ES"/>
              </w:rPr>
              <w:t>Lanpostuen Baloraziorako Eskuliburua</w:t>
            </w:r>
          </w:p>
        </w:tc>
        <w:tc>
          <w:tcPr>
            <w:tcW w:w="1021" w:type="dxa"/>
            <w:tcBorders>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tcPr>
          <w:p w:rsidR="00195BE7" w:rsidRPr="001E2F6E" w:rsidRDefault="00195BE7" w:rsidP="00195BE7">
            <w:pPr>
              <w:spacing w:line="240" w:lineRule="exact"/>
              <w:ind w:right="170"/>
              <w:jc w:val="right"/>
              <w:rPr>
                <w:sz w:val="16"/>
                <w:szCs w:val="16"/>
              </w:rPr>
            </w:pPr>
            <w:r w:rsidRPr="001E2F6E">
              <w:rPr>
                <w:sz w:val="16"/>
                <w:szCs w:val="16"/>
              </w:rPr>
              <w:t>16,4</w:t>
            </w:r>
          </w:p>
        </w:tc>
        <w:tc>
          <w:tcPr>
            <w:tcW w:w="1021" w:type="dxa"/>
            <w:tcBorders>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tcPr>
          <w:p w:rsidR="00195BE7" w:rsidRPr="001E2F6E" w:rsidRDefault="00195BE7" w:rsidP="00195BE7">
            <w:pPr>
              <w:spacing w:line="240" w:lineRule="exact"/>
              <w:ind w:right="170"/>
              <w:jc w:val="right"/>
              <w:rPr>
                <w:sz w:val="16"/>
                <w:szCs w:val="16"/>
              </w:rPr>
            </w:pPr>
            <w:r w:rsidRPr="001E2F6E">
              <w:rPr>
                <w:sz w:val="16"/>
                <w:szCs w:val="16"/>
              </w:rPr>
              <w:t>30,0</w:t>
            </w:r>
          </w:p>
        </w:tc>
        <w:tc>
          <w:tcPr>
            <w:tcW w:w="1021" w:type="dxa"/>
            <w:tcBorders>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tcPr>
          <w:p w:rsidR="00195BE7" w:rsidRPr="001E2F6E" w:rsidRDefault="00195BE7" w:rsidP="00195BE7">
            <w:pPr>
              <w:spacing w:line="240" w:lineRule="exact"/>
              <w:ind w:right="170"/>
              <w:jc w:val="right"/>
              <w:rPr>
                <w:sz w:val="16"/>
                <w:szCs w:val="16"/>
              </w:rPr>
            </w:pPr>
            <w:r w:rsidRPr="001E2F6E">
              <w:rPr>
                <w:sz w:val="16"/>
                <w:szCs w:val="16"/>
              </w:rPr>
              <w:t>58,5</w:t>
            </w:r>
          </w:p>
        </w:tc>
        <w:tc>
          <w:tcPr>
            <w:tcW w:w="1021" w:type="dxa"/>
            <w:tcBorders>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tcPr>
          <w:p w:rsidR="00195BE7" w:rsidRPr="001E2F6E" w:rsidRDefault="00195BE7" w:rsidP="00195BE7">
            <w:pPr>
              <w:spacing w:line="240" w:lineRule="exact"/>
              <w:ind w:right="170"/>
              <w:jc w:val="right"/>
              <w:rPr>
                <w:sz w:val="16"/>
                <w:szCs w:val="16"/>
              </w:rPr>
            </w:pPr>
            <w:r w:rsidRPr="001E2F6E">
              <w:rPr>
                <w:sz w:val="16"/>
                <w:szCs w:val="16"/>
              </w:rPr>
              <w:t>61,9</w:t>
            </w:r>
          </w:p>
        </w:tc>
        <w:tc>
          <w:tcPr>
            <w:tcW w:w="1021" w:type="dxa"/>
            <w:tcBorders>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tcPr>
          <w:p w:rsidR="00195BE7" w:rsidRPr="001E2F6E" w:rsidRDefault="00195BE7" w:rsidP="00195BE7">
            <w:pPr>
              <w:spacing w:line="240" w:lineRule="exact"/>
              <w:ind w:right="170"/>
              <w:jc w:val="right"/>
              <w:rPr>
                <w:sz w:val="16"/>
                <w:szCs w:val="16"/>
              </w:rPr>
            </w:pPr>
            <w:r w:rsidRPr="001E2F6E">
              <w:rPr>
                <w:sz w:val="16"/>
                <w:szCs w:val="16"/>
              </w:rPr>
              <w:t>95,9</w:t>
            </w:r>
          </w:p>
        </w:tc>
        <w:tc>
          <w:tcPr>
            <w:tcW w:w="1021" w:type="dxa"/>
            <w:tcBorders>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tcPr>
          <w:p w:rsidR="00195BE7" w:rsidRPr="001E2F6E" w:rsidRDefault="00195BE7" w:rsidP="00195BE7">
            <w:pPr>
              <w:spacing w:line="240" w:lineRule="exact"/>
              <w:ind w:right="170"/>
              <w:jc w:val="right"/>
              <w:rPr>
                <w:sz w:val="16"/>
                <w:szCs w:val="16"/>
              </w:rPr>
            </w:pPr>
            <w:r w:rsidRPr="001E2F6E">
              <w:rPr>
                <w:sz w:val="16"/>
                <w:szCs w:val="16"/>
              </w:rPr>
              <w:t>92,6</w:t>
            </w:r>
          </w:p>
        </w:tc>
        <w:tc>
          <w:tcPr>
            <w:tcW w:w="1021" w:type="dxa"/>
            <w:tcBorders>
              <w:left w:val="single" w:sz="4" w:space="0" w:color="BFBFBF" w:themeColor="background1" w:themeShade="BF"/>
              <w:bottom w:val="single" w:sz="4" w:space="0" w:color="BFBFBF" w:themeColor="background1" w:themeShade="BF"/>
            </w:tcBorders>
            <w:noWrap/>
            <w:vAlign w:val="center"/>
          </w:tcPr>
          <w:p w:rsidR="00195BE7" w:rsidRPr="001E2F6E" w:rsidRDefault="00195BE7" w:rsidP="00195BE7">
            <w:pPr>
              <w:spacing w:line="240" w:lineRule="exact"/>
              <w:ind w:right="170"/>
              <w:jc w:val="right"/>
              <w:rPr>
                <w:sz w:val="16"/>
                <w:szCs w:val="16"/>
              </w:rPr>
            </w:pPr>
            <w:r w:rsidRPr="001E2F6E">
              <w:rPr>
                <w:sz w:val="16"/>
                <w:szCs w:val="16"/>
              </w:rPr>
              <w:t>100,0</w:t>
            </w:r>
          </w:p>
        </w:tc>
      </w:tr>
    </w:tbl>
    <w:p w:rsidR="00195BE7" w:rsidRPr="001E2F6E" w:rsidRDefault="00195BE7" w:rsidP="00195BE7"/>
    <w:tbl>
      <w:tblPr>
        <w:tblW w:w="9801" w:type="dxa"/>
        <w:jc w:val="center"/>
        <w:tblLayout w:type="fixed"/>
        <w:tblLook w:val="04A0" w:firstRow="1" w:lastRow="0" w:firstColumn="1" w:lastColumn="0" w:noHBand="0" w:noVBand="1"/>
      </w:tblPr>
      <w:tblGrid>
        <w:gridCol w:w="2654"/>
        <w:gridCol w:w="1021"/>
        <w:gridCol w:w="1021"/>
        <w:gridCol w:w="1021"/>
        <w:gridCol w:w="1021"/>
        <w:gridCol w:w="1021"/>
        <w:gridCol w:w="1021"/>
        <w:gridCol w:w="1021"/>
      </w:tblGrid>
      <w:tr w:rsidR="00195BE7" w:rsidRPr="001E2F6E" w:rsidTr="00195BE7">
        <w:trPr>
          <w:jc w:val="center"/>
        </w:trPr>
        <w:tc>
          <w:tcPr>
            <w:tcW w:w="2654" w:type="dxa"/>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tcPr>
          <w:p w:rsidR="00195BE7" w:rsidRPr="001E2F6E" w:rsidRDefault="00195BE7" w:rsidP="00195BE7">
            <w:pPr>
              <w:spacing w:line="240" w:lineRule="exact"/>
              <w:jc w:val="center"/>
              <w:rPr>
                <w:b/>
                <w:bCs/>
                <w:sz w:val="16"/>
                <w:szCs w:val="16"/>
              </w:rPr>
            </w:pPr>
            <w:r w:rsidRPr="001E2F6E">
              <w:rPr>
                <w:b/>
                <w:bCs/>
                <w:sz w:val="16"/>
                <w:szCs w:val="16"/>
              </w:rPr>
              <w:t>LSA</w:t>
            </w:r>
          </w:p>
        </w:tc>
        <w:tc>
          <w:tcPr>
            <w:tcW w:w="102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tcPr>
          <w:p w:rsidR="00195BE7" w:rsidRPr="001E2F6E" w:rsidRDefault="00195BE7" w:rsidP="00195BE7">
            <w:pPr>
              <w:spacing w:line="240" w:lineRule="auto"/>
              <w:jc w:val="center"/>
              <w:rPr>
                <w:b/>
                <w:bCs/>
                <w:sz w:val="16"/>
                <w:szCs w:val="16"/>
                <w:lang w:val="eu-ES"/>
              </w:rPr>
            </w:pPr>
            <w:r w:rsidRPr="001E2F6E">
              <w:rPr>
                <w:b/>
                <w:bCs/>
                <w:sz w:val="16"/>
                <w:szCs w:val="16"/>
                <w:lang w:val="eu-ES"/>
              </w:rPr>
              <w:t>5 enplegu bitarte</w:t>
            </w:r>
          </w:p>
        </w:tc>
        <w:tc>
          <w:tcPr>
            <w:tcW w:w="102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tcPr>
          <w:p w:rsidR="00195BE7" w:rsidRPr="001E2F6E" w:rsidRDefault="00195BE7" w:rsidP="00195BE7">
            <w:pPr>
              <w:spacing w:line="240" w:lineRule="auto"/>
              <w:jc w:val="center"/>
              <w:rPr>
                <w:b/>
                <w:bCs/>
                <w:sz w:val="16"/>
                <w:szCs w:val="16"/>
                <w:lang w:val="eu-ES"/>
              </w:rPr>
            </w:pPr>
            <w:r w:rsidRPr="001E2F6E">
              <w:rPr>
                <w:b/>
                <w:bCs/>
                <w:sz w:val="16"/>
                <w:szCs w:val="16"/>
                <w:lang w:val="eu-ES"/>
              </w:rPr>
              <w:t>6 - 15</w:t>
            </w:r>
          </w:p>
        </w:tc>
        <w:tc>
          <w:tcPr>
            <w:tcW w:w="102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tcPr>
          <w:p w:rsidR="00195BE7" w:rsidRPr="001E2F6E" w:rsidRDefault="00195BE7" w:rsidP="00195BE7">
            <w:pPr>
              <w:spacing w:line="240" w:lineRule="auto"/>
              <w:jc w:val="center"/>
              <w:rPr>
                <w:b/>
                <w:bCs/>
                <w:sz w:val="16"/>
                <w:szCs w:val="16"/>
                <w:lang w:val="eu-ES"/>
              </w:rPr>
            </w:pPr>
            <w:r w:rsidRPr="001E2F6E">
              <w:rPr>
                <w:b/>
                <w:bCs/>
                <w:sz w:val="16"/>
                <w:szCs w:val="16"/>
                <w:lang w:val="eu-ES"/>
              </w:rPr>
              <w:t>16 - 50</w:t>
            </w:r>
          </w:p>
        </w:tc>
        <w:tc>
          <w:tcPr>
            <w:tcW w:w="102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tcPr>
          <w:p w:rsidR="00195BE7" w:rsidRPr="001E2F6E" w:rsidRDefault="00195BE7" w:rsidP="00195BE7">
            <w:pPr>
              <w:spacing w:line="240" w:lineRule="auto"/>
              <w:jc w:val="center"/>
              <w:rPr>
                <w:b/>
                <w:bCs/>
                <w:sz w:val="16"/>
                <w:szCs w:val="16"/>
                <w:lang w:val="eu-ES"/>
              </w:rPr>
            </w:pPr>
            <w:r w:rsidRPr="001E2F6E">
              <w:rPr>
                <w:b/>
                <w:bCs/>
                <w:sz w:val="16"/>
                <w:szCs w:val="16"/>
                <w:lang w:val="eu-ES"/>
              </w:rPr>
              <w:t>51 - 100</w:t>
            </w:r>
          </w:p>
        </w:tc>
        <w:tc>
          <w:tcPr>
            <w:tcW w:w="102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tcPr>
          <w:p w:rsidR="00195BE7" w:rsidRPr="001E2F6E" w:rsidRDefault="00195BE7" w:rsidP="00195BE7">
            <w:pPr>
              <w:spacing w:line="240" w:lineRule="auto"/>
              <w:jc w:val="center"/>
              <w:rPr>
                <w:b/>
                <w:bCs/>
                <w:sz w:val="16"/>
                <w:szCs w:val="16"/>
                <w:lang w:val="eu-ES"/>
              </w:rPr>
            </w:pPr>
            <w:r w:rsidRPr="001E2F6E">
              <w:rPr>
                <w:b/>
                <w:bCs/>
                <w:sz w:val="16"/>
                <w:szCs w:val="16"/>
                <w:lang w:val="eu-ES"/>
              </w:rPr>
              <w:t>101 - 200</w:t>
            </w:r>
          </w:p>
        </w:tc>
        <w:tc>
          <w:tcPr>
            <w:tcW w:w="102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tcPr>
          <w:p w:rsidR="00195BE7" w:rsidRPr="001E2F6E" w:rsidRDefault="00195BE7" w:rsidP="00195BE7">
            <w:pPr>
              <w:spacing w:line="240" w:lineRule="auto"/>
              <w:jc w:val="center"/>
              <w:rPr>
                <w:b/>
                <w:bCs/>
                <w:sz w:val="16"/>
                <w:szCs w:val="16"/>
                <w:lang w:val="eu-ES"/>
              </w:rPr>
            </w:pPr>
            <w:r w:rsidRPr="001E2F6E">
              <w:rPr>
                <w:b/>
                <w:bCs/>
                <w:sz w:val="16"/>
                <w:szCs w:val="16"/>
                <w:lang w:val="eu-ES"/>
              </w:rPr>
              <w:t>201  500</w:t>
            </w:r>
          </w:p>
        </w:tc>
        <w:tc>
          <w:tcPr>
            <w:tcW w:w="1021" w:type="dxa"/>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vAlign w:val="center"/>
          </w:tcPr>
          <w:p w:rsidR="00195BE7" w:rsidRPr="001E2F6E" w:rsidRDefault="00195BE7" w:rsidP="00195BE7">
            <w:pPr>
              <w:spacing w:line="240" w:lineRule="auto"/>
              <w:jc w:val="center"/>
              <w:rPr>
                <w:b/>
                <w:bCs/>
                <w:sz w:val="16"/>
                <w:szCs w:val="16"/>
                <w:lang w:val="eu-ES"/>
              </w:rPr>
            </w:pPr>
            <w:r w:rsidRPr="001E2F6E">
              <w:rPr>
                <w:b/>
                <w:bCs/>
                <w:sz w:val="16"/>
                <w:szCs w:val="16"/>
                <w:lang w:val="eu-ES"/>
              </w:rPr>
              <w:t>500 enplegutik gora</w:t>
            </w:r>
          </w:p>
        </w:tc>
      </w:tr>
      <w:tr w:rsidR="00195BE7" w:rsidRPr="001E2F6E" w:rsidTr="00195BE7">
        <w:trPr>
          <w:jc w:val="center"/>
        </w:trPr>
        <w:tc>
          <w:tcPr>
            <w:tcW w:w="2654" w:type="dxa"/>
            <w:tcBorders>
              <w:top w:val="single" w:sz="4" w:space="0" w:color="BFBFBF" w:themeColor="background1" w:themeShade="BF"/>
              <w:right w:val="single" w:sz="4" w:space="0" w:color="BFBFBF" w:themeColor="background1" w:themeShade="BF"/>
            </w:tcBorders>
          </w:tcPr>
          <w:p w:rsidR="00195BE7" w:rsidRPr="001E2F6E" w:rsidRDefault="00195BE7" w:rsidP="00195BE7">
            <w:pPr>
              <w:spacing w:line="240" w:lineRule="exact"/>
              <w:jc w:val="left"/>
              <w:rPr>
                <w:sz w:val="16"/>
                <w:szCs w:val="16"/>
                <w:lang w:val="eu-ES"/>
              </w:rPr>
            </w:pPr>
            <w:r w:rsidRPr="001E2F6E">
              <w:rPr>
                <w:sz w:val="16"/>
                <w:szCs w:val="16"/>
                <w:lang w:val="eu-ES"/>
              </w:rPr>
              <w:t>Barne-Erregimeneko Araudia</w:t>
            </w:r>
          </w:p>
        </w:tc>
        <w:tc>
          <w:tcPr>
            <w:tcW w:w="1021" w:type="dxa"/>
            <w:tcBorders>
              <w:top w:val="single" w:sz="4" w:space="0" w:color="BFBFBF" w:themeColor="background1" w:themeShade="BF"/>
              <w:left w:val="single" w:sz="4" w:space="0" w:color="BFBFBF" w:themeColor="background1" w:themeShade="BF"/>
              <w:right w:val="single" w:sz="4" w:space="0" w:color="BFBFBF" w:themeColor="background1" w:themeShade="BF"/>
            </w:tcBorders>
            <w:noWrap/>
            <w:vAlign w:val="center"/>
          </w:tcPr>
          <w:p w:rsidR="00195BE7" w:rsidRPr="001E2F6E" w:rsidRDefault="00195BE7" w:rsidP="00195BE7">
            <w:pPr>
              <w:spacing w:line="240" w:lineRule="exact"/>
              <w:ind w:right="170"/>
              <w:jc w:val="right"/>
              <w:rPr>
                <w:sz w:val="16"/>
                <w:szCs w:val="16"/>
              </w:rPr>
            </w:pPr>
            <w:r w:rsidRPr="001E2F6E">
              <w:rPr>
                <w:sz w:val="16"/>
                <w:szCs w:val="16"/>
              </w:rPr>
              <w:t>15,1</w:t>
            </w:r>
          </w:p>
        </w:tc>
        <w:tc>
          <w:tcPr>
            <w:tcW w:w="1021" w:type="dxa"/>
            <w:tcBorders>
              <w:top w:val="single" w:sz="4" w:space="0" w:color="BFBFBF" w:themeColor="background1" w:themeShade="BF"/>
              <w:left w:val="single" w:sz="4" w:space="0" w:color="BFBFBF" w:themeColor="background1" w:themeShade="BF"/>
              <w:right w:val="single" w:sz="4" w:space="0" w:color="BFBFBF" w:themeColor="background1" w:themeShade="BF"/>
            </w:tcBorders>
            <w:noWrap/>
            <w:vAlign w:val="center"/>
          </w:tcPr>
          <w:p w:rsidR="00195BE7" w:rsidRPr="001E2F6E" w:rsidRDefault="00195BE7" w:rsidP="00195BE7">
            <w:pPr>
              <w:spacing w:line="240" w:lineRule="exact"/>
              <w:ind w:right="170"/>
              <w:jc w:val="right"/>
              <w:rPr>
                <w:sz w:val="16"/>
                <w:szCs w:val="16"/>
              </w:rPr>
            </w:pPr>
            <w:r w:rsidRPr="001E2F6E">
              <w:rPr>
                <w:sz w:val="16"/>
                <w:szCs w:val="16"/>
              </w:rPr>
              <w:t>10,7</w:t>
            </w:r>
          </w:p>
        </w:tc>
        <w:tc>
          <w:tcPr>
            <w:tcW w:w="1021" w:type="dxa"/>
            <w:tcBorders>
              <w:top w:val="single" w:sz="4" w:space="0" w:color="BFBFBF" w:themeColor="background1" w:themeShade="BF"/>
              <w:left w:val="single" w:sz="4" w:space="0" w:color="BFBFBF" w:themeColor="background1" w:themeShade="BF"/>
              <w:right w:val="single" w:sz="4" w:space="0" w:color="BFBFBF" w:themeColor="background1" w:themeShade="BF"/>
            </w:tcBorders>
            <w:noWrap/>
            <w:vAlign w:val="center"/>
          </w:tcPr>
          <w:p w:rsidR="00195BE7" w:rsidRPr="001E2F6E" w:rsidRDefault="00195BE7" w:rsidP="00195BE7">
            <w:pPr>
              <w:spacing w:line="240" w:lineRule="exact"/>
              <w:ind w:right="170"/>
              <w:jc w:val="right"/>
              <w:rPr>
                <w:sz w:val="16"/>
                <w:szCs w:val="16"/>
              </w:rPr>
            </w:pPr>
            <w:r w:rsidRPr="001E2F6E">
              <w:rPr>
                <w:sz w:val="16"/>
                <w:szCs w:val="16"/>
              </w:rPr>
              <w:t>30,6</w:t>
            </w:r>
          </w:p>
        </w:tc>
        <w:tc>
          <w:tcPr>
            <w:tcW w:w="1021" w:type="dxa"/>
            <w:tcBorders>
              <w:top w:val="single" w:sz="4" w:space="0" w:color="BFBFBF" w:themeColor="background1" w:themeShade="BF"/>
              <w:left w:val="single" w:sz="4" w:space="0" w:color="BFBFBF" w:themeColor="background1" w:themeShade="BF"/>
              <w:right w:val="single" w:sz="4" w:space="0" w:color="BFBFBF" w:themeColor="background1" w:themeShade="BF"/>
            </w:tcBorders>
            <w:noWrap/>
            <w:vAlign w:val="center"/>
          </w:tcPr>
          <w:p w:rsidR="00195BE7" w:rsidRPr="001E2F6E" w:rsidRDefault="00195BE7" w:rsidP="00195BE7">
            <w:pPr>
              <w:spacing w:line="240" w:lineRule="exact"/>
              <w:ind w:right="170"/>
              <w:jc w:val="right"/>
              <w:rPr>
                <w:sz w:val="16"/>
                <w:szCs w:val="16"/>
              </w:rPr>
            </w:pPr>
            <w:r w:rsidRPr="001E2F6E">
              <w:rPr>
                <w:sz w:val="16"/>
                <w:szCs w:val="16"/>
              </w:rPr>
              <w:t>72,0</w:t>
            </w:r>
          </w:p>
        </w:tc>
        <w:tc>
          <w:tcPr>
            <w:tcW w:w="1021" w:type="dxa"/>
            <w:tcBorders>
              <w:top w:val="single" w:sz="4" w:space="0" w:color="BFBFBF" w:themeColor="background1" w:themeShade="BF"/>
              <w:left w:val="single" w:sz="4" w:space="0" w:color="BFBFBF" w:themeColor="background1" w:themeShade="BF"/>
              <w:right w:val="single" w:sz="4" w:space="0" w:color="BFBFBF" w:themeColor="background1" w:themeShade="BF"/>
            </w:tcBorders>
            <w:noWrap/>
            <w:vAlign w:val="center"/>
          </w:tcPr>
          <w:p w:rsidR="00195BE7" w:rsidRPr="001E2F6E" w:rsidRDefault="00195BE7" w:rsidP="00195BE7">
            <w:pPr>
              <w:spacing w:line="240" w:lineRule="exact"/>
              <w:ind w:right="170"/>
              <w:jc w:val="right"/>
              <w:rPr>
                <w:sz w:val="16"/>
                <w:szCs w:val="16"/>
              </w:rPr>
            </w:pPr>
            <w:r w:rsidRPr="001E2F6E">
              <w:rPr>
                <w:sz w:val="16"/>
                <w:szCs w:val="16"/>
              </w:rPr>
              <w:t>100,0</w:t>
            </w:r>
          </w:p>
        </w:tc>
        <w:tc>
          <w:tcPr>
            <w:tcW w:w="1021" w:type="dxa"/>
            <w:tcBorders>
              <w:top w:val="single" w:sz="4" w:space="0" w:color="BFBFBF" w:themeColor="background1" w:themeShade="BF"/>
              <w:left w:val="single" w:sz="4" w:space="0" w:color="BFBFBF" w:themeColor="background1" w:themeShade="BF"/>
              <w:right w:val="single" w:sz="4" w:space="0" w:color="BFBFBF" w:themeColor="background1" w:themeShade="BF"/>
            </w:tcBorders>
            <w:noWrap/>
            <w:vAlign w:val="center"/>
          </w:tcPr>
          <w:p w:rsidR="00195BE7" w:rsidRPr="001E2F6E" w:rsidRDefault="00195BE7" w:rsidP="00195BE7">
            <w:pPr>
              <w:spacing w:line="240" w:lineRule="exact"/>
              <w:ind w:right="170"/>
              <w:jc w:val="right"/>
              <w:rPr>
                <w:sz w:val="16"/>
                <w:szCs w:val="16"/>
              </w:rPr>
            </w:pPr>
            <w:r w:rsidRPr="001E2F6E">
              <w:rPr>
                <w:sz w:val="16"/>
                <w:szCs w:val="16"/>
              </w:rPr>
              <w:t>100,0</w:t>
            </w:r>
          </w:p>
        </w:tc>
        <w:tc>
          <w:tcPr>
            <w:tcW w:w="1021" w:type="dxa"/>
            <w:tcBorders>
              <w:top w:val="single" w:sz="4" w:space="0" w:color="BFBFBF" w:themeColor="background1" w:themeShade="BF"/>
              <w:left w:val="single" w:sz="4" w:space="0" w:color="BFBFBF" w:themeColor="background1" w:themeShade="BF"/>
            </w:tcBorders>
            <w:noWrap/>
            <w:vAlign w:val="center"/>
          </w:tcPr>
          <w:p w:rsidR="00195BE7" w:rsidRPr="001E2F6E" w:rsidRDefault="00195BE7" w:rsidP="00195BE7">
            <w:pPr>
              <w:spacing w:line="240" w:lineRule="exact"/>
              <w:ind w:right="170"/>
              <w:jc w:val="right"/>
              <w:rPr>
                <w:sz w:val="16"/>
                <w:szCs w:val="16"/>
              </w:rPr>
            </w:pPr>
            <w:r w:rsidRPr="001E2F6E">
              <w:rPr>
                <w:sz w:val="16"/>
                <w:szCs w:val="16"/>
              </w:rPr>
              <w:t>0,0</w:t>
            </w:r>
          </w:p>
        </w:tc>
      </w:tr>
      <w:tr w:rsidR="00195BE7" w:rsidRPr="001E2F6E" w:rsidTr="00195BE7">
        <w:trPr>
          <w:jc w:val="center"/>
        </w:trPr>
        <w:tc>
          <w:tcPr>
            <w:tcW w:w="2654" w:type="dxa"/>
            <w:tcBorders>
              <w:right w:val="single" w:sz="4" w:space="0" w:color="BFBFBF" w:themeColor="background1" w:themeShade="BF"/>
            </w:tcBorders>
          </w:tcPr>
          <w:p w:rsidR="00195BE7" w:rsidRPr="001E2F6E" w:rsidRDefault="00195BE7" w:rsidP="00195BE7">
            <w:pPr>
              <w:spacing w:line="240" w:lineRule="exact"/>
              <w:jc w:val="left"/>
              <w:rPr>
                <w:sz w:val="16"/>
                <w:szCs w:val="16"/>
                <w:lang w:val="eu-ES"/>
              </w:rPr>
            </w:pPr>
            <w:r w:rsidRPr="001E2F6E">
              <w:rPr>
                <w:sz w:val="16"/>
                <w:szCs w:val="16"/>
                <w:lang w:val="eu-ES"/>
              </w:rPr>
              <w:t>Kudeaketa-Plana</w:t>
            </w:r>
          </w:p>
        </w:tc>
        <w:tc>
          <w:tcPr>
            <w:tcW w:w="1021" w:type="dxa"/>
            <w:tcBorders>
              <w:left w:val="single" w:sz="4" w:space="0" w:color="BFBFBF" w:themeColor="background1" w:themeShade="BF"/>
              <w:right w:val="single" w:sz="4" w:space="0" w:color="BFBFBF" w:themeColor="background1" w:themeShade="BF"/>
            </w:tcBorders>
            <w:noWrap/>
            <w:vAlign w:val="center"/>
          </w:tcPr>
          <w:p w:rsidR="00195BE7" w:rsidRPr="001E2F6E" w:rsidRDefault="00195BE7" w:rsidP="00195BE7">
            <w:pPr>
              <w:spacing w:line="240" w:lineRule="exact"/>
              <w:ind w:right="170"/>
              <w:jc w:val="right"/>
              <w:rPr>
                <w:sz w:val="16"/>
                <w:szCs w:val="16"/>
              </w:rPr>
            </w:pPr>
            <w:r w:rsidRPr="001E2F6E">
              <w:rPr>
                <w:sz w:val="16"/>
                <w:szCs w:val="16"/>
              </w:rPr>
              <w:t>6,9</w:t>
            </w:r>
          </w:p>
        </w:tc>
        <w:tc>
          <w:tcPr>
            <w:tcW w:w="1021" w:type="dxa"/>
            <w:tcBorders>
              <w:left w:val="single" w:sz="4" w:space="0" w:color="BFBFBF" w:themeColor="background1" w:themeShade="BF"/>
              <w:right w:val="single" w:sz="4" w:space="0" w:color="BFBFBF" w:themeColor="background1" w:themeShade="BF"/>
            </w:tcBorders>
            <w:noWrap/>
            <w:vAlign w:val="center"/>
          </w:tcPr>
          <w:p w:rsidR="00195BE7" w:rsidRPr="001E2F6E" w:rsidRDefault="00195BE7" w:rsidP="00195BE7">
            <w:pPr>
              <w:spacing w:line="240" w:lineRule="exact"/>
              <w:ind w:right="170"/>
              <w:jc w:val="right"/>
              <w:rPr>
                <w:sz w:val="16"/>
                <w:szCs w:val="16"/>
              </w:rPr>
            </w:pPr>
            <w:r w:rsidRPr="001E2F6E">
              <w:rPr>
                <w:sz w:val="16"/>
                <w:szCs w:val="16"/>
              </w:rPr>
              <w:t>23,0</w:t>
            </w:r>
          </w:p>
        </w:tc>
        <w:tc>
          <w:tcPr>
            <w:tcW w:w="1021" w:type="dxa"/>
            <w:tcBorders>
              <w:left w:val="single" w:sz="4" w:space="0" w:color="BFBFBF" w:themeColor="background1" w:themeShade="BF"/>
              <w:right w:val="single" w:sz="4" w:space="0" w:color="BFBFBF" w:themeColor="background1" w:themeShade="BF"/>
            </w:tcBorders>
            <w:noWrap/>
            <w:vAlign w:val="center"/>
          </w:tcPr>
          <w:p w:rsidR="00195BE7" w:rsidRPr="001E2F6E" w:rsidRDefault="00195BE7" w:rsidP="00195BE7">
            <w:pPr>
              <w:spacing w:line="240" w:lineRule="exact"/>
              <w:ind w:right="170"/>
              <w:jc w:val="right"/>
              <w:rPr>
                <w:sz w:val="16"/>
                <w:szCs w:val="16"/>
              </w:rPr>
            </w:pPr>
            <w:r w:rsidRPr="001E2F6E">
              <w:rPr>
                <w:sz w:val="16"/>
                <w:szCs w:val="16"/>
              </w:rPr>
              <w:t>58,6</w:t>
            </w:r>
          </w:p>
        </w:tc>
        <w:tc>
          <w:tcPr>
            <w:tcW w:w="1021" w:type="dxa"/>
            <w:tcBorders>
              <w:left w:val="single" w:sz="4" w:space="0" w:color="BFBFBF" w:themeColor="background1" w:themeShade="BF"/>
              <w:right w:val="single" w:sz="4" w:space="0" w:color="BFBFBF" w:themeColor="background1" w:themeShade="BF"/>
            </w:tcBorders>
            <w:noWrap/>
            <w:vAlign w:val="center"/>
          </w:tcPr>
          <w:p w:rsidR="00195BE7" w:rsidRPr="001E2F6E" w:rsidRDefault="00195BE7" w:rsidP="00195BE7">
            <w:pPr>
              <w:spacing w:line="240" w:lineRule="exact"/>
              <w:ind w:right="170"/>
              <w:jc w:val="right"/>
              <w:rPr>
                <w:sz w:val="16"/>
                <w:szCs w:val="16"/>
              </w:rPr>
            </w:pPr>
            <w:r w:rsidRPr="001E2F6E">
              <w:rPr>
                <w:sz w:val="16"/>
                <w:szCs w:val="16"/>
              </w:rPr>
              <w:t>100,0</w:t>
            </w:r>
          </w:p>
        </w:tc>
        <w:tc>
          <w:tcPr>
            <w:tcW w:w="1021" w:type="dxa"/>
            <w:tcBorders>
              <w:left w:val="single" w:sz="4" w:space="0" w:color="BFBFBF" w:themeColor="background1" w:themeShade="BF"/>
              <w:right w:val="single" w:sz="4" w:space="0" w:color="BFBFBF" w:themeColor="background1" w:themeShade="BF"/>
            </w:tcBorders>
            <w:noWrap/>
            <w:vAlign w:val="center"/>
          </w:tcPr>
          <w:p w:rsidR="00195BE7" w:rsidRPr="001E2F6E" w:rsidRDefault="00195BE7" w:rsidP="00195BE7">
            <w:pPr>
              <w:spacing w:line="240" w:lineRule="exact"/>
              <w:ind w:right="170"/>
              <w:jc w:val="right"/>
              <w:rPr>
                <w:sz w:val="16"/>
                <w:szCs w:val="16"/>
              </w:rPr>
            </w:pPr>
            <w:r w:rsidRPr="001E2F6E">
              <w:rPr>
                <w:sz w:val="16"/>
                <w:szCs w:val="16"/>
              </w:rPr>
              <w:t>100,0</w:t>
            </w:r>
          </w:p>
        </w:tc>
        <w:tc>
          <w:tcPr>
            <w:tcW w:w="1021" w:type="dxa"/>
            <w:tcBorders>
              <w:left w:val="single" w:sz="4" w:space="0" w:color="BFBFBF" w:themeColor="background1" w:themeShade="BF"/>
              <w:right w:val="single" w:sz="4" w:space="0" w:color="BFBFBF" w:themeColor="background1" w:themeShade="BF"/>
            </w:tcBorders>
            <w:noWrap/>
            <w:vAlign w:val="center"/>
          </w:tcPr>
          <w:p w:rsidR="00195BE7" w:rsidRPr="001E2F6E" w:rsidRDefault="00195BE7" w:rsidP="00195BE7">
            <w:pPr>
              <w:spacing w:line="240" w:lineRule="exact"/>
              <w:ind w:right="170"/>
              <w:jc w:val="right"/>
              <w:rPr>
                <w:sz w:val="16"/>
                <w:szCs w:val="16"/>
              </w:rPr>
            </w:pPr>
            <w:r w:rsidRPr="001E2F6E">
              <w:rPr>
                <w:sz w:val="16"/>
                <w:szCs w:val="16"/>
              </w:rPr>
              <w:t>100,0</w:t>
            </w:r>
          </w:p>
        </w:tc>
        <w:tc>
          <w:tcPr>
            <w:tcW w:w="1021" w:type="dxa"/>
            <w:tcBorders>
              <w:left w:val="single" w:sz="4" w:space="0" w:color="BFBFBF" w:themeColor="background1" w:themeShade="BF"/>
            </w:tcBorders>
            <w:noWrap/>
            <w:vAlign w:val="center"/>
          </w:tcPr>
          <w:p w:rsidR="00195BE7" w:rsidRPr="001E2F6E" w:rsidRDefault="00195BE7" w:rsidP="00195BE7">
            <w:pPr>
              <w:spacing w:line="240" w:lineRule="exact"/>
              <w:ind w:right="170"/>
              <w:jc w:val="right"/>
              <w:rPr>
                <w:sz w:val="16"/>
                <w:szCs w:val="16"/>
              </w:rPr>
            </w:pPr>
            <w:r w:rsidRPr="001E2F6E">
              <w:rPr>
                <w:sz w:val="16"/>
                <w:szCs w:val="16"/>
              </w:rPr>
              <w:t>0,0</w:t>
            </w:r>
          </w:p>
        </w:tc>
      </w:tr>
      <w:tr w:rsidR="00195BE7" w:rsidRPr="001E2F6E" w:rsidTr="00195BE7">
        <w:trPr>
          <w:jc w:val="center"/>
        </w:trPr>
        <w:tc>
          <w:tcPr>
            <w:tcW w:w="2654" w:type="dxa"/>
            <w:tcBorders>
              <w:right w:val="single" w:sz="4" w:space="0" w:color="BFBFBF" w:themeColor="background1" w:themeShade="BF"/>
            </w:tcBorders>
          </w:tcPr>
          <w:p w:rsidR="00195BE7" w:rsidRPr="001E2F6E" w:rsidRDefault="00195BE7" w:rsidP="00195BE7">
            <w:pPr>
              <w:spacing w:line="240" w:lineRule="exact"/>
              <w:jc w:val="left"/>
              <w:rPr>
                <w:sz w:val="16"/>
                <w:szCs w:val="16"/>
                <w:lang w:val="eu-ES"/>
              </w:rPr>
            </w:pPr>
            <w:r w:rsidRPr="001E2F6E">
              <w:rPr>
                <w:sz w:val="16"/>
                <w:szCs w:val="16"/>
                <w:lang w:val="eu-ES"/>
              </w:rPr>
              <w:t>Prestakuntza-Plana</w:t>
            </w:r>
          </w:p>
        </w:tc>
        <w:tc>
          <w:tcPr>
            <w:tcW w:w="1021" w:type="dxa"/>
            <w:tcBorders>
              <w:left w:val="single" w:sz="4" w:space="0" w:color="BFBFBF" w:themeColor="background1" w:themeShade="BF"/>
              <w:right w:val="single" w:sz="4" w:space="0" w:color="BFBFBF" w:themeColor="background1" w:themeShade="BF"/>
            </w:tcBorders>
            <w:noWrap/>
            <w:vAlign w:val="center"/>
          </w:tcPr>
          <w:p w:rsidR="00195BE7" w:rsidRPr="001E2F6E" w:rsidRDefault="00195BE7" w:rsidP="00195BE7">
            <w:pPr>
              <w:spacing w:line="240" w:lineRule="exact"/>
              <w:ind w:right="170"/>
              <w:jc w:val="right"/>
              <w:rPr>
                <w:sz w:val="16"/>
                <w:szCs w:val="16"/>
              </w:rPr>
            </w:pPr>
            <w:r w:rsidRPr="001E2F6E">
              <w:rPr>
                <w:sz w:val="16"/>
                <w:szCs w:val="16"/>
              </w:rPr>
              <w:t>44,9</w:t>
            </w:r>
          </w:p>
        </w:tc>
        <w:tc>
          <w:tcPr>
            <w:tcW w:w="1021" w:type="dxa"/>
            <w:tcBorders>
              <w:left w:val="single" w:sz="4" w:space="0" w:color="BFBFBF" w:themeColor="background1" w:themeShade="BF"/>
              <w:right w:val="single" w:sz="4" w:space="0" w:color="BFBFBF" w:themeColor="background1" w:themeShade="BF"/>
            </w:tcBorders>
            <w:noWrap/>
            <w:vAlign w:val="center"/>
          </w:tcPr>
          <w:p w:rsidR="00195BE7" w:rsidRPr="001E2F6E" w:rsidRDefault="00195BE7" w:rsidP="00195BE7">
            <w:pPr>
              <w:spacing w:line="240" w:lineRule="exact"/>
              <w:ind w:right="170"/>
              <w:jc w:val="right"/>
              <w:rPr>
                <w:sz w:val="16"/>
                <w:szCs w:val="16"/>
              </w:rPr>
            </w:pPr>
            <w:r w:rsidRPr="001E2F6E">
              <w:rPr>
                <w:sz w:val="16"/>
                <w:szCs w:val="16"/>
              </w:rPr>
              <w:t>52,9</w:t>
            </w:r>
          </w:p>
        </w:tc>
        <w:tc>
          <w:tcPr>
            <w:tcW w:w="1021" w:type="dxa"/>
            <w:tcBorders>
              <w:left w:val="single" w:sz="4" w:space="0" w:color="BFBFBF" w:themeColor="background1" w:themeShade="BF"/>
              <w:right w:val="single" w:sz="4" w:space="0" w:color="BFBFBF" w:themeColor="background1" w:themeShade="BF"/>
            </w:tcBorders>
            <w:noWrap/>
            <w:vAlign w:val="center"/>
          </w:tcPr>
          <w:p w:rsidR="00195BE7" w:rsidRPr="001E2F6E" w:rsidRDefault="00195BE7" w:rsidP="00195BE7">
            <w:pPr>
              <w:spacing w:line="240" w:lineRule="exact"/>
              <w:ind w:right="170"/>
              <w:jc w:val="right"/>
              <w:rPr>
                <w:sz w:val="16"/>
                <w:szCs w:val="16"/>
              </w:rPr>
            </w:pPr>
            <w:r w:rsidRPr="001E2F6E">
              <w:rPr>
                <w:sz w:val="16"/>
                <w:szCs w:val="16"/>
              </w:rPr>
              <w:t>81,0</w:t>
            </w:r>
          </w:p>
        </w:tc>
        <w:tc>
          <w:tcPr>
            <w:tcW w:w="1021" w:type="dxa"/>
            <w:tcBorders>
              <w:left w:val="single" w:sz="4" w:space="0" w:color="BFBFBF" w:themeColor="background1" w:themeShade="BF"/>
              <w:right w:val="single" w:sz="4" w:space="0" w:color="BFBFBF" w:themeColor="background1" w:themeShade="BF"/>
            </w:tcBorders>
            <w:noWrap/>
            <w:vAlign w:val="center"/>
          </w:tcPr>
          <w:p w:rsidR="00195BE7" w:rsidRPr="001E2F6E" w:rsidRDefault="00195BE7" w:rsidP="00195BE7">
            <w:pPr>
              <w:spacing w:line="240" w:lineRule="exact"/>
              <w:ind w:right="170"/>
              <w:jc w:val="right"/>
              <w:rPr>
                <w:sz w:val="16"/>
                <w:szCs w:val="16"/>
              </w:rPr>
            </w:pPr>
            <w:r w:rsidRPr="001E2F6E">
              <w:rPr>
                <w:sz w:val="16"/>
                <w:szCs w:val="16"/>
              </w:rPr>
              <w:t>100,0</w:t>
            </w:r>
          </w:p>
        </w:tc>
        <w:tc>
          <w:tcPr>
            <w:tcW w:w="1021" w:type="dxa"/>
            <w:tcBorders>
              <w:left w:val="single" w:sz="4" w:space="0" w:color="BFBFBF" w:themeColor="background1" w:themeShade="BF"/>
              <w:right w:val="single" w:sz="4" w:space="0" w:color="BFBFBF" w:themeColor="background1" w:themeShade="BF"/>
            </w:tcBorders>
            <w:noWrap/>
            <w:vAlign w:val="center"/>
          </w:tcPr>
          <w:p w:rsidR="00195BE7" w:rsidRPr="001E2F6E" w:rsidRDefault="00195BE7" w:rsidP="00195BE7">
            <w:pPr>
              <w:spacing w:line="240" w:lineRule="exact"/>
              <w:ind w:right="170"/>
              <w:jc w:val="right"/>
              <w:rPr>
                <w:sz w:val="16"/>
                <w:szCs w:val="16"/>
              </w:rPr>
            </w:pPr>
            <w:r w:rsidRPr="001E2F6E">
              <w:rPr>
                <w:sz w:val="16"/>
                <w:szCs w:val="16"/>
              </w:rPr>
              <w:t>100,0</w:t>
            </w:r>
          </w:p>
        </w:tc>
        <w:tc>
          <w:tcPr>
            <w:tcW w:w="1021" w:type="dxa"/>
            <w:tcBorders>
              <w:left w:val="single" w:sz="4" w:space="0" w:color="BFBFBF" w:themeColor="background1" w:themeShade="BF"/>
              <w:right w:val="single" w:sz="4" w:space="0" w:color="BFBFBF" w:themeColor="background1" w:themeShade="BF"/>
            </w:tcBorders>
            <w:noWrap/>
            <w:vAlign w:val="center"/>
          </w:tcPr>
          <w:p w:rsidR="00195BE7" w:rsidRPr="001E2F6E" w:rsidRDefault="00195BE7" w:rsidP="00195BE7">
            <w:pPr>
              <w:spacing w:line="240" w:lineRule="exact"/>
              <w:ind w:right="170"/>
              <w:jc w:val="right"/>
              <w:rPr>
                <w:sz w:val="16"/>
                <w:szCs w:val="16"/>
              </w:rPr>
            </w:pPr>
            <w:r w:rsidRPr="001E2F6E">
              <w:rPr>
                <w:sz w:val="16"/>
                <w:szCs w:val="16"/>
              </w:rPr>
              <w:t>100,0</w:t>
            </w:r>
          </w:p>
        </w:tc>
        <w:tc>
          <w:tcPr>
            <w:tcW w:w="1021" w:type="dxa"/>
            <w:tcBorders>
              <w:left w:val="single" w:sz="4" w:space="0" w:color="BFBFBF" w:themeColor="background1" w:themeShade="BF"/>
            </w:tcBorders>
            <w:noWrap/>
            <w:vAlign w:val="center"/>
          </w:tcPr>
          <w:p w:rsidR="00195BE7" w:rsidRPr="001E2F6E" w:rsidRDefault="00195BE7" w:rsidP="00195BE7">
            <w:pPr>
              <w:spacing w:line="240" w:lineRule="exact"/>
              <w:ind w:right="170"/>
              <w:jc w:val="right"/>
              <w:rPr>
                <w:sz w:val="16"/>
                <w:szCs w:val="16"/>
              </w:rPr>
            </w:pPr>
            <w:r w:rsidRPr="001E2F6E">
              <w:rPr>
                <w:sz w:val="16"/>
                <w:szCs w:val="16"/>
              </w:rPr>
              <w:t>0,0</w:t>
            </w:r>
          </w:p>
        </w:tc>
      </w:tr>
      <w:tr w:rsidR="00195BE7" w:rsidRPr="001E2F6E" w:rsidTr="00195BE7">
        <w:trPr>
          <w:jc w:val="center"/>
        </w:trPr>
        <w:tc>
          <w:tcPr>
            <w:tcW w:w="2654" w:type="dxa"/>
            <w:tcBorders>
              <w:right w:val="single" w:sz="4" w:space="0" w:color="BFBFBF" w:themeColor="background1" w:themeShade="BF"/>
            </w:tcBorders>
          </w:tcPr>
          <w:p w:rsidR="00195BE7" w:rsidRPr="001E2F6E" w:rsidRDefault="00195BE7" w:rsidP="00195BE7">
            <w:pPr>
              <w:spacing w:line="240" w:lineRule="exact"/>
              <w:jc w:val="left"/>
              <w:rPr>
                <w:sz w:val="16"/>
                <w:szCs w:val="16"/>
                <w:lang w:val="eu-ES"/>
              </w:rPr>
            </w:pPr>
            <w:r w:rsidRPr="001E2F6E">
              <w:rPr>
                <w:sz w:val="16"/>
                <w:szCs w:val="16"/>
                <w:lang w:val="eu-ES"/>
              </w:rPr>
              <w:t xml:space="preserve">Plan Estrategikoa </w:t>
            </w:r>
          </w:p>
        </w:tc>
        <w:tc>
          <w:tcPr>
            <w:tcW w:w="1021" w:type="dxa"/>
            <w:tcBorders>
              <w:left w:val="single" w:sz="4" w:space="0" w:color="BFBFBF" w:themeColor="background1" w:themeShade="BF"/>
              <w:right w:val="single" w:sz="4" w:space="0" w:color="BFBFBF" w:themeColor="background1" w:themeShade="BF"/>
            </w:tcBorders>
            <w:noWrap/>
            <w:vAlign w:val="center"/>
          </w:tcPr>
          <w:p w:rsidR="00195BE7" w:rsidRPr="001E2F6E" w:rsidRDefault="00195BE7" w:rsidP="00195BE7">
            <w:pPr>
              <w:spacing w:line="240" w:lineRule="exact"/>
              <w:ind w:right="170"/>
              <w:jc w:val="right"/>
              <w:rPr>
                <w:sz w:val="16"/>
                <w:szCs w:val="16"/>
              </w:rPr>
            </w:pPr>
            <w:r w:rsidRPr="001E2F6E">
              <w:rPr>
                <w:sz w:val="16"/>
                <w:szCs w:val="16"/>
              </w:rPr>
              <w:t>0,0</w:t>
            </w:r>
          </w:p>
        </w:tc>
        <w:tc>
          <w:tcPr>
            <w:tcW w:w="1021" w:type="dxa"/>
            <w:tcBorders>
              <w:left w:val="single" w:sz="4" w:space="0" w:color="BFBFBF" w:themeColor="background1" w:themeShade="BF"/>
              <w:right w:val="single" w:sz="4" w:space="0" w:color="BFBFBF" w:themeColor="background1" w:themeShade="BF"/>
            </w:tcBorders>
            <w:noWrap/>
            <w:vAlign w:val="center"/>
          </w:tcPr>
          <w:p w:rsidR="00195BE7" w:rsidRPr="001E2F6E" w:rsidRDefault="00195BE7" w:rsidP="00195BE7">
            <w:pPr>
              <w:spacing w:line="240" w:lineRule="exact"/>
              <w:ind w:right="170"/>
              <w:jc w:val="right"/>
              <w:rPr>
                <w:sz w:val="16"/>
                <w:szCs w:val="16"/>
              </w:rPr>
            </w:pPr>
            <w:r w:rsidRPr="001E2F6E">
              <w:rPr>
                <w:sz w:val="16"/>
                <w:szCs w:val="16"/>
              </w:rPr>
              <w:t>13,2</w:t>
            </w:r>
          </w:p>
        </w:tc>
        <w:tc>
          <w:tcPr>
            <w:tcW w:w="1021" w:type="dxa"/>
            <w:tcBorders>
              <w:left w:val="single" w:sz="4" w:space="0" w:color="BFBFBF" w:themeColor="background1" w:themeShade="BF"/>
              <w:right w:val="single" w:sz="4" w:space="0" w:color="BFBFBF" w:themeColor="background1" w:themeShade="BF"/>
            </w:tcBorders>
            <w:noWrap/>
            <w:vAlign w:val="center"/>
          </w:tcPr>
          <w:p w:rsidR="00195BE7" w:rsidRPr="001E2F6E" w:rsidRDefault="00195BE7" w:rsidP="00195BE7">
            <w:pPr>
              <w:spacing w:line="240" w:lineRule="exact"/>
              <w:ind w:right="170"/>
              <w:jc w:val="right"/>
              <w:rPr>
                <w:sz w:val="16"/>
                <w:szCs w:val="16"/>
              </w:rPr>
            </w:pPr>
            <w:r w:rsidRPr="001E2F6E">
              <w:rPr>
                <w:sz w:val="16"/>
                <w:szCs w:val="16"/>
              </w:rPr>
              <w:t>43,1</w:t>
            </w:r>
          </w:p>
        </w:tc>
        <w:tc>
          <w:tcPr>
            <w:tcW w:w="1021" w:type="dxa"/>
            <w:tcBorders>
              <w:left w:val="single" w:sz="4" w:space="0" w:color="BFBFBF" w:themeColor="background1" w:themeShade="BF"/>
              <w:right w:val="single" w:sz="4" w:space="0" w:color="BFBFBF" w:themeColor="background1" w:themeShade="BF"/>
            </w:tcBorders>
            <w:noWrap/>
            <w:vAlign w:val="center"/>
          </w:tcPr>
          <w:p w:rsidR="00195BE7" w:rsidRPr="001E2F6E" w:rsidRDefault="00195BE7" w:rsidP="00195BE7">
            <w:pPr>
              <w:spacing w:line="240" w:lineRule="exact"/>
              <w:ind w:right="170"/>
              <w:jc w:val="right"/>
              <w:rPr>
                <w:sz w:val="16"/>
                <w:szCs w:val="16"/>
              </w:rPr>
            </w:pPr>
            <w:r w:rsidRPr="001E2F6E">
              <w:rPr>
                <w:sz w:val="16"/>
                <w:szCs w:val="16"/>
              </w:rPr>
              <w:t>100,0</w:t>
            </w:r>
          </w:p>
        </w:tc>
        <w:tc>
          <w:tcPr>
            <w:tcW w:w="1021" w:type="dxa"/>
            <w:tcBorders>
              <w:left w:val="single" w:sz="4" w:space="0" w:color="BFBFBF" w:themeColor="background1" w:themeShade="BF"/>
              <w:right w:val="single" w:sz="4" w:space="0" w:color="BFBFBF" w:themeColor="background1" w:themeShade="BF"/>
            </w:tcBorders>
            <w:noWrap/>
            <w:vAlign w:val="center"/>
          </w:tcPr>
          <w:p w:rsidR="00195BE7" w:rsidRPr="001E2F6E" w:rsidRDefault="00195BE7" w:rsidP="00195BE7">
            <w:pPr>
              <w:spacing w:line="240" w:lineRule="exact"/>
              <w:ind w:right="170"/>
              <w:jc w:val="right"/>
              <w:rPr>
                <w:sz w:val="16"/>
                <w:szCs w:val="16"/>
              </w:rPr>
            </w:pPr>
            <w:r w:rsidRPr="001E2F6E">
              <w:rPr>
                <w:sz w:val="16"/>
                <w:szCs w:val="16"/>
              </w:rPr>
              <w:t>100,0</w:t>
            </w:r>
          </w:p>
        </w:tc>
        <w:tc>
          <w:tcPr>
            <w:tcW w:w="1021" w:type="dxa"/>
            <w:tcBorders>
              <w:left w:val="single" w:sz="4" w:space="0" w:color="BFBFBF" w:themeColor="background1" w:themeShade="BF"/>
              <w:right w:val="single" w:sz="4" w:space="0" w:color="BFBFBF" w:themeColor="background1" w:themeShade="BF"/>
            </w:tcBorders>
            <w:noWrap/>
            <w:vAlign w:val="center"/>
          </w:tcPr>
          <w:p w:rsidR="00195BE7" w:rsidRPr="001E2F6E" w:rsidRDefault="00195BE7" w:rsidP="00195BE7">
            <w:pPr>
              <w:spacing w:line="240" w:lineRule="exact"/>
              <w:ind w:right="170"/>
              <w:jc w:val="right"/>
              <w:rPr>
                <w:sz w:val="16"/>
                <w:szCs w:val="16"/>
              </w:rPr>
            </w:pPr>
            <w:r w:rsidRPr="001E2F6E">
              <w:rPr>
                <w:sz w:val="16"/>
                <w:szCs w:val="16"/>
              </w:rPr>
              <w:t>100,0</w:t>
            </w:r>
          </w:p>
        </w:tc>
        <w:tc>
          <w:tcPr>
            <w:tcW w:w="1021" w:type="dxa"/>
            <w:tcBorders>
              <w:left w:val="single" w:sz="4" w:space="0" w:color="BFBFBF" w:themeColor="background1" w:themeShade="BF"/>
            </w:tcBorders>
            <w:noWrap/>
            <w:vAlign w:val="center"/>
          </w:tcPr>
          <w:p w:rsidR="00195BE7" w:rsidRPr="001E2F6E" w:rsidRDefault="00195BE7" w:rsidP="00195BE7">
            <w:pPr>
              <w:spacing w:line="240" w:lineRule="exact"/>
              <w:ind w:right="170"/>
              <w:jc w:val="right"/>
              <w:rPr>
                <w:sz w:val="16"/>
                <w:szCs w:val="16"/>
              </w:rPr>
            </w:pPr>
            <w:r w:rsidRPr="001E2F6E">
              <w:rPr>
                <w:sz w:val="16"/>
                <w:szCs w:val="16"/>
              </w:rPr>
              <w:t>0,0</w:t>
            </w:r>
          </w:p>
        </w:tc>
      </w:tr>
      <w:tr w:rsidR="00195BE7" w:rsidRPr="001E2F6E" w:rsidTr="00195BE7">
        <w:trPr>
          <w:jc w:val="center"/>
        </w:trPr>
        <w:tc>
          <w:tcPr>
            <w:tcW w:w="2654" w:type="dxa"/>
            <w:tcBorders>
              <w:bottom w:val="single" w:sz="4" w:space="0" w:color="BFBFBF" w:themeColor="background1" w:themeShade="BF"/>
              <w:right w:val="single" w:sz="4" w:space="0" w:color="BFBFBF" w:themeColor="background1" w:themeShade="BF"/>
            </w:tcBorders>
          </w:tcPr>
          <w:p w:rsidR="00195BE7" w:rsidRPr="001E2F6E" w:rsidRDefault="00195BE7" w:rsidP="00195BE7">
            <w:pPr>
              <w:spacing w:line="240" w:lineRule="exact"/>
              <w:jc w:val="left"/>
              <w:rPr>
                <w:sz w:val="16"/>
                <w:szCs w:val="16"/>
                <w:lang w:val="eu-ES"/>
              </w:rPr>
            </w:pPr>
            <w:r w:rsidRPr="001E2F6E">
              <w:rPr>
                <w:sz w:val="16"/>
                <w:szCs w:val="16"/>
                <w:lang w:val="eu-ES"/>
              </w:rPr>
              <w:t>Lanpostuen Baloraziorako Eskuliburua</w:t>
            </w:r>
          </w:p>
        </w:tc>
        <w:tc>
          <w:tcPr>
            <w:tcW w:w="1021" w:type="dxa"/>
            <w:tcBorders>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tcPr>
          <w:p w:rsidR="00195BE7" w:rsidRPr="001E2F6E" w:rsidRDefault="00195BE7" w:rsidP="00195BE7">
            <w:pPr>
              <w:spacing w:line="240" w:lineRule="exact"/>
              <w:ind w:right="170"/>
              <w:jc w:val="right"/>
              <w:rPr>
                <w:sz w:val="16"/>
                <w:szCs w:val="16"/>
              </w:rPr>
            </w:pPr>
            <w:r w:rsidRPr="001E2F6E">
              <w:rPr>
                <w:sz w:val="16"/>
                <w:szCs w:val="16"/>
              </w:rPr>
              <w:t>22,1</w:t>
            </w:r>
          </w:p>
        </w:tc>
        <w:tc>
          <w:tcPr>
            <w:tcW w:w="1021" w:type="dxa"/>
            <w:tcBorders>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tcPr>
          <w:p w:rsidR="00195BE7" w:rsidRPr="001E2F6E" w:rsidRDefault="00195BE7" w:rsidP="00195BE7">
            <w:pPr>
              <w:spacing w:line="240" w:lineRule="exact"/>
              <w:ind w:right="170"/>
              <w:jc w:val="right"/>
              <w:rPr>
                <w:sz w:val="16"/>
                <w:szCs w:val="16"/>
              </w:rPr>
            </w:pPr>
            <w:r w:rsidRPr="001E2F6E">
              <w:rPr>
                <w:sz w:val="16"/>
                <w:szCs w:val="16"/>
              </w:rPr>
              <w:t>32,8</w:t>
            </w:r>
          </w:p>
        </w:tc>
        <w:tc>
          <w:tcPr>
            <w:tcW w:w="1021" w:type="dxa"/>
            <w:tcBorders>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tcPr>
          <w:p w:rsidR="00195BE7" w:rsidRPr="001E2F6E" w:rsidRDefault="00195BE7" w:rsidP="00195BE7">
            <w:pPr>
              <w:spacing w:line="240" w:lineRule="exact"/>
              <w:ind w:right="170"/>
              <w:jc w:val="right"/>
              <w:rPr>
                <w:sz w:val="16"/>
                <w:szCs w:val="16"/>
              </w:rPr>
            </w:pPr>
            <w:r w:rsidRPr="001E2F6E">
              <w:rPr>
                <w:sz w:val="16"/>
                <w:szCs w:val="16"/>
              </w:rPr>
              <w:t>58,6</w:t>
            </w:r>
          </w:p>
        </w:tc>
        <w:tc>
          <w:tcPr>
            <w:tcW w:w="1021" w:type="dxa"/>
            <w:tcBorders>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tcPr>
          <w:p w:rsidR="00195BE7" w:rsidRPr="001E2F6E" w:rsidRDefault="00195BE7" w:rsidP="00195BE7">
            <w:pPr>
              <w:spacing w:line="240" w:lineRule="exact"/>
              <w:ind w:right="170"/>
              <w:jc w:val="right"/>
              <w:rPr>
                <w:sz w:val="16"/>
                <w:szCs w:val="16"/>
              </w:rPr>
            </w:pPr>
            <w:r w:rsidRPr="001E2F6E">
              <w:rPr>
                <w:sz w:val="16"/>
                <w:szCs w:val="16"/>
              </w:rPr>
              <w:t>72,0</w:t>
            </w:r>
          </w:p>
        </w:tc>
        <w:tc>
          <w:tcPr>
            <w:tcW w:w="1021" w:type="dxa"/>
            <w:tcBorders>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tcPr>
          <w:p w:rsidR="00195BE7" w:rsidRPr="001E2F6E" w:rsidRDefault="00195BE7" w:rsidP="00195BE7">
            <w:pPr>
              <w:spacing w:line="240" w:lineRule="exact"/>
              <w:ind w:right="170"/>
              <w:jc w:val="right"/>
              <w:rPr>
                <w:sz w:val="16"/>
                <w:szCs w:val="16"/>
              </w:rPr>
            </w:pPr>
            <w:r w:rsidRPr="001E2F6E">
              <w:rPr>
                <w:sz w:val="16"/>
                <w:szCs w:val="16"/>
              </w:rPr>
              <w:t>100,0</w:t>
            </w:r>
          </w:p>
        </w:tc>
        <w:tc>
          <w:tcPr>
            <w:tcW w:w="1021" w:type="dxa"/>
            <w:tcBorders>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tcPr>
          <w:p w:rsidR="00195BE7" w:rsidRPr="001E2F6E" w:rsidRDefault="00195BE7" w:rsidP="00195BE7">
            <w:pPr>
              <w:spacing w:line="240" w:lineRule="exact"/>
              <w:ind w:right="170"/>
              <w:jc w:val="right"/>
              <w:rPr>
                <w:sz w:val="16"/>
                <w:szCs w:val="16"/>
              </w:rPr>
            </w:pPr>
            <w:r w:rsidRPr="001E2F6E">
              <w:rPr>
                <w:sz w:val="16"/>
                <w:szCs w:val="16"/>
              </w:rPr>
              <w:t>100,0</w:t>
            </w:r>
          </w:p>
        </w:tc>
        <w:tc>
          <w:tcPr>
            <w:tcW w:w="1021" w:type="dxa"/>
            <w:tcBorders>
              <w:left w:val="single" w:sz="4" w:space="0" w:color="BFBFBF" w:themeColor="background1" w:themeShade="BF"/>
              <w:bottom w:val="single" w:sz="4" w:space="0" w:color="BFBFBF" w:themeColor="background1" w:themeShade="BF"/>
            </w:tcBorders>
            <w:noWrap/>
            <w:vAlign w:val="center"/>
          </w:tcPr>
          <w:p w:rsidR="00195BE7" w:rsidRPr="001E2F6E" w:rsidRDefault="00195BE7" w:rsidP="00195BE7">
            <w:pPr>
              <w:spacing w:line="240" w:lineRule="exact"/>
              <w:ind w:right="170"/>
              <w:jc w:val="right"/>
              <w:rPr>
                <w:sz w:val="16"/>
                <w:szCs w:val="16"/>
              </w:rPr>
            </w:pPr>
            <w:r w:rsidRPr="001E2F6E">
              <w:rPr>
                <w:sz w:val="16"/>
                <w:szCs w:val="16"/>
              </w:rPr>
              <w:t>0,0</w:t>
            </w:r>
          </w:p>
        </w:tc>
      </w:tr>
    </w:tbl>
    <w:p w:rsidR="00195BE7" w:rsidRPr="001E2F6E" w:rsidRDefault="00195BE7" w:rsidP="00195BE7"/>
    <w:tbl>
      <w:tblPr>
        <w:tblW w:w="9801" w:type="dxa"/>
        <w:jc w:val="center"/>
        <w:tblLayout w:type="fixed"/>
        <w:tblLook w:val="04A0" w:firstRow="1" w:lastRow="0" w:firstColumn="1" w:lastColumn="0" w:noHBand="0" w:noVBand="1"/>
      </w:tblPr>
      <w:tblGrid>
        <w:gridCol w:w="2654"/>
        <w:gridCol w:w="1021"/>
        <w:gridCol w:w="1021"/>
        <w:gridCol w:w="1021"/>
        <w:gridCol w:w="1021"/>
        <w:gridCol w:w="1021"/>
        <w:gridCol w:w="1021"/>
        <w:gridCol w:w="1021"/>
      </w:tblGrid>
      <w:tr w:rsidR="00195BE7" w:rsidRPr="001E2F6E" w:rsidTr="00195BE7">
        <w:trPr>
          <w:jc w:val="center"/>
        </w:trPr>
        <w:tc>
          <w:tcPr>
            <w:tcW w:w="2654" w:type="dxa"/>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tcPr>
          <w:p w:rsidR="00195BE7" w:rsidRPr="001E2F6E" w:rsidRDefault="00195BE7" w:rsidP="00195BE7">
            <w:pPr>
              <w:spacing w:line="240" w:lineRule="exact"/>
              <w:jc w:val="center"/>
              <w:rPr>
                <w:b/>
                <w:bCs/>
                <w:sz w:val="16"/>
                <w:szCs w:val="16"/>
              </w:rPr>
            </w:pPr>
            <w:r w:rsidRPr="001E2F6E">
              <w:rPr>
                <w:b/>
                <w:bCs/>
                <w:sz w:val="16"/>
                <w:szCs w:val="16"/>
              </w:rPr>
              <w:t>LSM</w:t>
            </w:r>
          </w:p>
        </w:tc>
        <w:tc>
          <w:tcPr>
            <w:tcW w:w="102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tcPr>
          <w:p w:rsidR="00195BE7" w:rsidRPr="001E2F6E" w:rsidRDefault="00195BE7" w:rsidP="00195BE7">
            <w:pPr>
              <w:spacing w:line="240" w:lineRule="auto"/>
              <w:jc w:val="center"/>
              <w:rPr>
                <w:b/>
                <w:bCs/>
                <w:sz w:val="16"/>
                <w:szCs w:val="16"/>
                <w:lang w:val="eu-ES"/>
              </w:rPr>
            </w:pPr>
            <w:r w:rsidRPr="001E2F6E">
              <w:rPr>
                <w:b/>
                <w:bCs/>
                <w:sz w:val="16"/>
                <w:szCs w:val="16"/>
                <w:lang w:val="eu-ES"/>
              </w:rPr>
              <w:t>5 enplegu bitarte</w:t>
            </w:r>
          </w:p>
        </w:tc>
        <w:tc>
          <w:tcPr>
            <w:tcW w:w="102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tcPr>
          <w:p w:rsidR="00195BE7" w:rsidRPr="001E2F6E" w:rsidRDefault="00195BE7" w:rsidP="00195BE7">
            <w:pPr>
              <w:spacing w:line="240" w:lineRule="auto"/>
              <w:jc w:val="center"/>
              <w:rPr>
                <w:b/>
                <w:bCs/>
                <w:sz w:val="16"/>
                <w:szCs w:val="16"/>
                <w:lang w:val="eu-ES"/>
              </w:rPr>
            </w:pPr>
            <w:r w:rsidRPr="001E2F6E">
              <w:rPr>
                <w:b/>
                <w:bCs/>
                <w:sz w:val="16"/>
                <w:szCs w:val="16"/>
                <w:lang w:val="eu-ES"/>
              </w:rPr>
              <w:t>6 - 15</w:t>
            </w:r>
          </w:p>
        </w:tc>
        <w:tc>
          <w:tcPr>
            <w:tcW w:w="102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tcPr>
          <w:p w:rsidR="00195BE7" w:rsidRPr="001E2F6E" w:rsidRDefault="00195BE7" w:rsidP="00195BE7">
            <w:pPr>
              <w:spacing w:line="240" w:lineRule="auto"/>
              <w:jc w:val="center"/>
              <w:rPr>
                <w:b/>
                <w:bCs/>
                <w:sz w:val="16"/>
                <w:szCs w:val="16"/>
                <w:lang w:val="eu-ES"/>
              </w:rPr>
            </w:pPr>
            <w:r w:rsidRPr="001E2F6E">
              <w:rPr>
                <w:b/>
                <w:bCs/>
                <w:sz w:val="16"/>
                <w:szCs w:val="16"/>
                <w:lang w:val="eu-ES"/>
              </w:rPr>
              <w:t>16 - 50</w:t>
            </w:r>
          </w:p>
        </w:tc>
        <w:tc>
          <w:tcPr>
            <w:tcW w:w="102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tcPr>
          <w:p w:rsidR="00195BE7" w:rsidRPr="001E2F6E" w:rsidRDefault="00195BE7" w:rsidP="00195BE7">
            <w:pPr>
              <w:spacing w:line="240" w:lineRule="auto"/>
              <w:jc w:val="center"/>
              <w:rPr>
                <w:b/>
                <w:bCs/>
                <w:sz w:val="16"/>
                <w:szCs w:val="16"/>
                <w:lang w:val="eu-ES"/>
              </w:rPr>
            </w:pPr>
            <w:r w:rsidRPr="001E2F6E">
              <w:rPr>
                <w:b/>
                <w:bCs/>
                <w:sz w:val="16"/>
                <w:szCs w:val="16"/>
                <w:lang w:val="eu-ES"/>
              </w:rPr>
              <w:t>51 - 100</w:t>
            </w:r>
          </w:p>
        </w:tc>
        <w:tc>
          <w:tcPr>
            <w:tcW w:w="102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tcPr>
          <w:p w:rsidR="00195BE7" w:rsidRPr="001E2F6E" w:rsidRDefault="00195BE7" w:rsidP="00195BE7">
            <w:pPr>
              <w:spacing w:line="240" w:lineRule="auto"/>
              <w:jc w:val="center"/>
              <w:rPr>
                <w:b/>
                <w:bCs/>
                <w:sz w:val="16"/>
                <w:szCs w:val="16"/>
                <w:lang w:val="eu-ES"/>
              </w:rPr>
            </w:pPr>
            <w:r w:rsidRPr="001E2F6E">
              <w:rPr>
                <w:b/>
                <w:bCs/>
                <w:sz w:val="16"/>
                <w:szCs w:val="16"/>
                <w:lang w:val="eu-ES"/>
              </w:rPr>
              <w:t>101 - 200</w:t>
            </w:r>
          </w:p>
        </w:tc>
        <w:tc>
          <w:tcPr>
            <w:tcW w:w="102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tcPr>
          <w:p w:rsidR="00195BE7" w:rsidRPr="001E2F6E" w:rsidRDefault="00195BE7" w:rsidP="00195BE7">
            <w:pPr>
              <w:spacing w:line="240" w:lineRule="auto"/>
              <w:jc w:val="center"/>
              <w:rPr>
                <w:b/>
                <w:bCs/>
                <w:sz w:val="16"/>
                <w:szCs w:val="16"/>
                <w:lang w:val="eu-ES"/>
              </w:rPr>
            </w:pPr>
            <w:r w:rsidRPr="001E2F6E">
              <w:rPr>
                <w:b/>
                <w:bCs/>
                <w:sz w:val="16"/>
                <w:szCs w:val="16"/>
                <w:lang w:val="eu-ES"/>
              </w:rPr>
              <w:t>201  500</w:t>
            </w:r>
          </w:p>
        </w:tc>
        <w:tc>
          <w:tcPr>
            <w:tcW w:w="1021" w:type="dxa"/>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vAlign w:val="center"/>
          </w:tcPr>
          <w:p w:rsidR="00195BE7" w:rsidRPr="001E2F6E" w:rsidRDefault="00195BE7" w:rsidP="00195BE7">
            <w:pPr>
              <w:spacing w:line="240" w:lineRule="auto"/>
              <w:jc w:val="center"/>
              <w:rPr>
                <w:b/>
                <w:bCs/>
                <w:sz w:val="16"/>
                <w:szCs w:val="16"/>
                <w:lang w:val="eu-ES"/>
              </w:rPr>
            </w:pPr>
            <w:r w:rsidRPr="001E2F6E">
              <w:rPr>
                <w:b/>
                <w:bCs/>
                <w:sz w:val="16"/>
                <w:szCs w:val="16"/>
                <w:lang w:val="eu-ES"/>
              </w:rPr>
              <w:t>500 enplegutik gora</w:t>
            </w:r>
          </w:p>
        </w:tc>
      </w:tr>
      <w:tr w:rsidR="00195BE7" w:rsidRPr="001E2F6E" w:rsidTr="00195BE7">
        <w:trPr>
          <w:jc w:val="center"/>
        </w:trPr>
        <w:tc>
          <w:tcPr>
            <w:tcW w:w="2654" w:type="dxa"/>
            <w:tcBorders>
              <w:top w:val="single" w:sz="4" w:space="0" w:color="BFBFBF" w:themeColor="background1" w:themeShade="BF"/>
              <w:right w:val="single" w:sz="4" w:space="0" w:color="BFBFBF" w:themeColor="background1" w:themeShade="BF"/>
            </w:tcBorders>
          </w:tcPr>
          <w:p w:rsidR="00195BE7" w:rsidRPr="001E2F6E" w:rsidRDefault="00195BE7" w:rsidP="00195BE7">
            <w:pPr>
              <w:spacing w:line="240" w:lineRule="exact"/>
              <w:jc w:val="left"/>
              <w:rPr>
                <w:sz w:val="16"/>
                <w:szCs w:val="16"/>
                <w:lang w:val="eu-ES"/>
              </w:rPr>
            </w:pPr>
            <w:r w:rsidRPr="001E2F6E">
              <w:rPr>
                <w:sz w:val="16"/>
                <w:szCs w:val="16"/>
                <w:lang w:val="eu-ES"/>
              </w:rPr>
              <w:t>Barne-Erregimeneko Araudia</w:t>
            </w:r>
          </w:p>
        </w:tc>
        <w:tc>
          <w:tcPr>
            <w:tcW w:w="1021" w:type="dxa"/>
            <w:tcBorders>
              <w:top w:val="single" w:sz="4" w:space="0" w:color="BFBFBF" w:themeColor="background1" w:themeShade="BF"/>
              <w:left w:val="single" w:sz="4" w:space="0" w:color="BFBFBF" w:themeColor="background1" w:themeShade="BF"/>
              <w:right w:val="single" w:sz="4" w:space="0" w:color="BFBFBF" w:themeColor="background1" w:themeShade="BF"/>
            </w:tcBorders>
            <w:noWrap/>
            <w:vAlign w:val="center"/>
          </w:tcPr>
          <w:p w:rsidR="00195BE7" w:rsidRPr="001E2F6E" w:rsidRDefault="00195BE7" w:rsidP="00195BE7">
            <w:pPr>
              <w:spacing w:line="240" w:lineRule="exact"/>
              <w:ind w:right="170"/>
              <w:jc w:val="right"/>
              <w:rPr>
                <w:sz w:val="16"/>
                <w:szCs w:val="16"/>
              </w:rPr>
            </w:pPr>
            <w:r w:rsidRPr="001E2F6E">
              <w:rPr>
                <w:sz w:val="16"/>
                <w:szCs w:val="16"/>
              </w:rPr>
              <w:t>13,8</w:t>
            </w:r>
          </w:p>
        </w:tc>
        <w:tc>
          <w:tcPr>
            <w:tcW w:w="1021" w:type="dxa"/>
            <w:tcBorders>
              <w:top w:val="single" w:sz="4" w:space="0" w:color="BFBFBF" w:themeColor="background1" w:themeShade="BF"/>
              <w:left w:val="single" w:sz="4" w:space="0" w:color="BFBFBF" w:themeColor="background1" w:themeShade="BF"/>
              <w:right w:val="single" w:sz="4" w:space="0" w:color="BFBFBF" w:themeColor="background1" w:themeShade="BF"/>
            </w:tcBorders>
            <w:noWrap/>
            <w:vAlign w:val="center"/>
          </w:tcPr>
          <w:p w:rsidR="00195BE7" w:rsidRPr="001E2F6E" w:rsidRDefault="00195BE7" w:rsidP="00195BE7">
            <w:pPr>
              <w:spacing w:line="240" w:lineRule="exact"/>
              <w:ind w:right="170"/>
              <w:jc w:val="right"/>
              <w:rPr>
                <w:sz w:val="16"/>
                <w:szCs w:val="16"/>
              </w:rPr>
            </w:pPr>
            <w:r w:rsidRPr="001E2F6E">
              <w:rPr>
                <w:sz w:val="16"/>
                <w:szCs w:val="16"/>
              </w:rPr>
              <w:t>25,2</w:t>
            </w:r>
          </w:p>
        </w:tc>
        <w:tc>
          <w:tcPr>
            <w:tcW w:w="1021" w:type="dxa"/>
            <w:tcBorders>
              <w:top w:val="single" w:sz="4" w:space="0" w:color="BFBFBF" w:themeColor="background1" w:themeShade="BF"/>
              <w:left w:val="single" w:sz="4" w:space="0" w:color="BFBFBF" w:themeColor="background1" w:themeShade="BF"/>
              <w:right w:val="single" w:sz="4" w:space="0" w:color="BFBFBF" w:themeColor="background1" w:themeShade="BF"/>
            </w:tcBorders>
            <w:noWrap/>
            <w:vAlign w:val="center"/>
          </w:tcPr>
          <w:p w:rsidR="00195BE7" w:rsidRPr="001E2F6E" w:rsidRDefault="00195BE7" w:rsidP="00195BE7">
            <w:pPr>
              <w:spacing w:line="240" w:lineRule="exact"/>
              <w:ind w:right="170"/>
              <w:jc w:val="right"/>
              <w:rPr>
                <w:sz w:val="16"/>
                <w:szCs w:val="16"/>
              </w:rPr>
            </w:pPr>
            <w:r w:rsidRPr="001E2F6E">
              <w:rPr>
                <w:sz w:val="16"/>
                <w:szCs w:val="16"/>
              </w:rPr>
              <w:t>55,0</w:t>
            </w:r>
          </w:p>
        </w:tc>
        <w:tc>
          <w:tcPr>
            <w:tcW w:w="1021" w:type="dxa"/>
            <w:tcBorders>
              <w:top w:val="single" w:sz="4" w:space="0" w:color="BFBFBF" w:themeColor="background1" w:themeShade="BF"/>
              <w:left w:val="single" w:sz="4" w:space="0" w:color="BFBFBF" w:themeColor="background1" w:themeShade="BF"/>
              <w:right w:val="single" w:sz="4" w:space="0" w:color="BFBFBF" w:themeColor="background1" w:themeShade="BF"/>
            </w:tcBorders>
            <w:noWrap/>
            <w:vAlign w:val="center"/>
          </w:tcPr>
          <w:p w:rsidR="00195BE7" w:rsidRPr="001E2F6E" w:rsidRDefault="00195BE7" w:rsidP="00195BE7">
            <w:pPr>
              <w:spacing w:line="240" w:lineRule="exact"/>
              <w:ind w:right="170"/>
              <w:jc w:val="right"/>
              <w:rPr>
                <w:sz w:val="16"/>
                <w:szCs w:val="16"/>
              </w:rPr>
            </w:pPr>
            <w:r w:rsidRPr="001E2F6E">
              <w:rPr>
                <w:sz w:val="16"/>
                <w:szCs w:val="16"/>
              </w:rPr>
              <w:t>53,4</w:t>
            </w:r>
          </w:p>
        </w:tc>
        <w:tc>
          <w:tcPr>
            <w:tcW w:w="1021" w:type="dxa"/>
            <w:tcBorders>
              <w:top w:val="single" w:sz="4" w:space="0" w:color="BFBFBF" w:themeColor="background1" w:themeShade="BF"/>
              <w:left w:val="single" w:sz="4" w:space="0" w:color="BFBFBF" w:themeColor="background1" w:themeShade="BF"/>
              <w:right w:val="single" w:sz="4" w:space="0" w:color="BFBFBF" w:themeColor="background1" w:themeShade="BF"/>
            </w:tcBorders>
            <w:noWrap/>
            <w:vAlign w:val="center"/>
          </w:tcPr>
          <w:p w:rsidR="00195BE7" w:rsidRPr="001E2F6E" w:rsidRDefault="00195BE7" w:rsidP="00195BE7">
            <w:pPr>
              <w:spacing w:line="240" w:lineRule="exact"/>
              <w:ind w:right="170"/>
              <w:jc w:val="right"/>
              <w:rPr>
                <w:sz w:val="16"/>
                <w:szCs w:val="16"/>
              </w:rPr>
            </w:pPr>
            <w:r w:rsidRPr="001E2F6E">
              <w:rPr>
                <w:sz w:val="16"/>
                <w:szCs w:val="16"/>
              </w:rPr>
              <w:t>100,0</w:t>
            </w:r>
          </w:p>
        </w:tc>
        <w:tc>
          <w:tcPr>
            <w:tcW w:w="1021" w:type="dxa"/>
            <w:tcBorders>
              <w:top w:val="single" w:sz="4" w:space="0" w:color="BFBFBF" w:themeColor="background1" w:themeShade="BF"/>
              <w:left w:val="single" w:sz="4" w:space="0" w:color="BFBFBF" w:themeColor="background1" w:themeShade="BF"/>
              <w:right w:val="single" w:sz="4" w:space="0" w:color="BFBFBF" w:themeColor="background1" w:themeShade="BF"/>
            </w:tcBorders>
            <w:noWrap/>
            <w:vAlign w:val="center"/>
          </w:tcPr>
          <w:p w:rsidR="00195BE7" w:rsidRPr="001E2F6E" w:rsidRDefault="00195BE7" w:rsidP="00195BE7">
            <w:pPr>
              <w:spacing w:line="240" w:lineRule="exact"/>
              <w:ind w:right="170"/>
              <w:jc w:val="right"/>
              <w:rPr>
                <w:sz w:val="16"/>
                <w:szCs w:val="16"/>
              </w:rPr>
            </w:pPr>
            <w:r w:rsidRPr="001E2F6E">
              <w:rPr>
                <w:sz w:val="16"/>
                <w:szCs w:val="16"/>
              </w:rPr>
              <w:t>0,0</w:t>
            </w:r>
          </w:p>
        </w:tc>
        <w:tc>
          <w:tcPr>
            <w:tcW w:w="1021" w:type="dxa"/>
            <w:tcBorders>
              <w:top w:val="single" w:sz="4" w:space="0" w:color="BFBFBF" w:themeColor="background1" w:themeShade="BF"/>
              <w:left w:val="single" w:sz="4" w:space="0" w:color="BFBFBF" w:themeColor="background1" w:themeShade="BF"/>
            </w:tcBorders>
            <w:noWrap/>
            <w:vAlign w:val="center"/>
          </w:tcPr>
          <w:p w:rsidR="00195BE7" w:rsidRPr="001E2F6E" w:rsidRDefault="00195BE7" w:rsidP="00195BE7">
            <w:pPr>
              <w:spacing w:line="240" w:lineRule="exact"/>
              <w:ind w:right="170"/>
              <w:jc w:val="right"/>
              <w:rPr>
                <w:sz w:val="16"/>
                <w:szCs w:val="16"/>
              </w:rPr>
            </w:pPr>
            <w:r w:rsidRPr="001E2F6E">
              <w:rPr>
                <w:sz w:val="16"/>
                <w:szCs w:val="16"/>
              </w:rPr>
              <w:t>0,0</w:t>
            </w:r>
          </w:p>
        </w:tc>
      </w:tr>
      <w:tr w:rsidR="00195BE7" w:rsidRPr="001E2F6E" w:rsidTr="00195BE7">
        <w:trPr>
          <w:jc w:val="center"/>
        </w:trPr>
        <w:tc>
          <w:tcPr>
            <w:tcW w:w="2654" w:type="dxa"/>
            <w:tcBorders>
              <w:right w:val="single" w:sz="4" w:space="0" w:color="BFBFBF" w:themeColor="background1" w:themeShade="BF"/>
            </w:tcBorders>
          </w:tcPr>
          <w:p w:rsidR="00195BE7" w:rsidRPr="001E2F6E" w:rsidRDefault="00195BE7" w:rsidP="00195BE7">
            <w:pPr>
              <w:spacing w:line="240" w:lineRule="exact"/>
              <w:jc w:val="left"/>
              <w:rPr>
                <w:sz w:val="16"/>
                <w:szCs w:val="16"/>
                <w:lang w:val="eu-ES"/>
              </w:rPr>
            </w:pPr>
            <w:r w:rsidRPr="001E2F6E">
              <w:rPr>
                <w:sz w:val="16"/>
                <w:szCs w:val="16"/>
                <w:lang w:val="eu-ES"/>
              </w:rPr>
              <w:t>Kudeaketa-Plana</w:t>
            </w:r>
          </w:p>
        </w:tc>
        <w:tc>
          <w:tcPr>
            <w:tcW w:w="1021" w:type="dxa"/>
            <w:tcBorders>
              <w:left w:val="single" w:sz="4" w:space="0" w:color="BFBFBF" w:themeColor="background1" w:themeShade="BF"/>
              <w:right w:val="single" w:sz="4" w:space="0" w:color="BFBFBF" w:themeColor="background1" w:themeShade="BF"/>
            </w:tcBorders>
            <w:noWrap/>
            <w:vAlign w:val="center"/>
          </w:tcPr>
          <w:p w:rsidR="00195BE7" w:rsidRPr="001E2F6E" w:rsidRDefault="00195BE7" w:rsidP="00195BE7">
            <w:pPr>
              <w:spacing w:line="240" w:lineRule="exact"/>
              <w:ind w:right="170"/>
              <w:jc w:val="right"/>
              <w:rPr>
                <w:sz w:val="16"/>
                <w:szCs w:val="16"/>
              </w:rPr>
            </w:pPr>
            <w:r w:rsidRPr="001E2F6E">
              <w:rPr>
                <w:sz w:val="16"/>
                <w:szCs w:val="16"/>
              </w:rPr>
              <w:t>12,1</w:t>
            </w:r>
          </w:p>
        </w:tc>
        <w:tc>
          <w:tcPr>
            <w:tcW w:w="1021" w:type="dxa"/>
            <w:tcBorders>
              <w:left w:val="single" w:sz="4" w:space="0" w:color="BFBFBF" w:themeColor="background1" w:themeShade="BF"/>
              <w:right w:val="single" w:sz="4" w:space="0" w:color="BFBFBF" w:themeColor="background1" w:themeShade="BF"/>
            </w:tcBorders>
            <w:noWrap/>
            <w:vAlign w:val="center"/>
          </w:tcPr>
          <w:p w:rsidR="00195BE7" w:rsidRPr="001E2F6E" w:rsidRDefault="00195BE7" w:rsidP="00195BE7">
            <w:pPr>
              <w:spacing w:line="240" w:lineRule="exact"/>
              <w:ind w:right="170"/>
              <w:jc w:val="right"/>
              <w:rPr>
                <w:sz w:val="16"/>
                <w:szCs w:val="16"/>
              </w:rPr>
            </w:pPr>
            <w:r w:rsidRPr="001E2F6E">
              <w:rPr>
                <w:sz w:val="16"/>
                <w:szCs w:val="16"/>
              </w:rPr>
              <w:t>24,3</w:t>
            </w:r>
          </w:p>
        </w:tc>
        <w:tc>
          <w:tcPr>
            <w:tcW w:w="1021" w:type="dxa"/>
            <w:tcBorders>
              <w:left w:val="single" w:sz="4" w:space="0" w:color="BFBFBF" w:themeColor="background1" w:themeShade="BF"/>
              <w:right w:val="single" w:sz="4" w:space="0" w:color="BFBFBF" w:themeColor="background1" w:themeShade="BF"/>
            </w:tcBorders>
            <w:noWrap/>
            <w:vAlign w:val="center"/>
          </w:tcPr>
          <w:p w:rsidR="00195BE7" w:rsidRPr="001E2F6E" w:rsidRDefault="00195BE7" w:rsidP="00195BE7">
            <w:pPr>
              <w:spacing w:line="240" w:lineRule="exact"/>
              <w:ind w:right="170"/>
              <w:jc w:val="right"/>
              <w:rPr>
                <w:sz w:val="16"/>
                <w:szCs w:val="16"/>
              </w:rPr>
            </w:pPr>
            <w:r w:rsidRPr="001E2F6E">
              <w:rPr>
                <w:sz w:val="16"/>
                <w:szCs w:val="16"/>
              </w:rPr>
              <w:t>59,7</w:t>
            </w:r>
          </w:p>
        </w:tc>
        <w:tc>
          <w:tcPr>
            <w:tcW w:w="1021" w:type="dxa"/>
            <w:tcBorders>
              <w:left w:val="single" w:sz="4" w:space="0" w:color="BFBFBF" w:themeColor="background1" w:themeShade="BF"/>
              <w:right w:val="single" w:sz="4" w:space="0" w:color="BFBFBF" w:themeColor="background1" w:themeShade="BF"/>
            </w:tcBorders>
            <w:noWrap/>
            <w:vAlign w:val="center"/>
          </w:tcPr>
          <w:p w:rsidR="00195BE7" w:rsidRPr="001E2F6E" w:rsidRDefault="00195BE7" w:rsidP="00195BE7">
            <w:pPr>
              <w:spacing w:line="240" w:lineRule="exact"/>
              <w:ind w:right="170"/>
              <w:jc w:val="right"/>
              <w:rPr>
                <w:sz w:val="16"/>
                <w:szCs w:val="16"/>
              </w:rPr>
            </w:pPr>
            <w:r w:rsidRPr="001E2F6E">
              <w:rPr>
                <w:sz w:val="16"/>
                <w:szCs w:val="16"/>
              </w:rPr>
              <w:t>53,4</w:t>
            </w:r>
          </w:p>
        </w:tc>
        <w:tc>
          <w:tcPr>
            <w:tcW w:w="1021" w:type="dxa"/>
            <w:tcBorders>
              <w:left w:val="single" w:sz="4" w:space="0" w:color="BFBFBF" w:themeColor="background1" w:themeShade="BF"/>
              <w:right w:val="single" w:sz="4" w:space="0" w:color="BFBFBF" w:themeColor="background1" w:themeShade="BF"/>
            </w:tcBorders>
            <w:noWrap/>
            <w:vAlign w:val="center"/>
          </w:tcPr>
          <w:p w:rsidR="00195BE7" w:rsidRPr="001E2F6E" w:rsidRDefault="00195BE7" w:rsidP="00195BE7">
            <w:pPr>
              <w:spacing w:line="240" w:lineRule="exact"/>
              <w:ind w:right="170"/>
              <w:jc w:val="right"/>
              <w:rPr>
                <w:sz w:val="16"/>
                <w:szCs w:val="16"/>
              </w:rPr>
            </w:pPr>
            <w:r w:rsidRPr="001E2F6E">
              <w:rPr>
                <w:sz w:val="16"/>
                <w:szCs w:val="16"/>
              </w:rPr>
              <w:t>100,0</w:t>
            </w:r>
          </w:p>
        </w:tc>
        <w:tc>
          <w:tcPr>
            <w:tcW w:w="1021" w:type="dxa"/>
            <w:tcBorders>
              <w:left w:val="single" w:sz="4" w:space="0" w:color="BFBFBF" w:themeColor="background1" w:themeShade="BF"/>
              <w:right w:val="single" w:sz="4" w:space="0" w:color="BFBFBF" w:themeColor="background1" w:themeShade="BF"/>
            </w:tcBorders>
            <w:noWrap/>
            <w:vAlign w:val="center"/>
          </w:tcPr>
          <w:p w:rsidR="00195BE7" w:rsidRPr="001E2F6E" w:rsidRDefault="00195BE7" w:rsidP="00195BE7">
            <w:pPr>
              <w:spacing w:line="240" w:lineRule="exact"/>
              <w:ind w:right="170"/>
              <w:jc w:val="right"/>
              <w:rPr>
                <w:sz w:val="16"/>
                <w:szCs w:val="16"/>
              </w:rPr>
            </w:pPr>
            <w:r w:rsidRPr="001E2F6E">
              <w:rPr>
                <w:sz w:val="16"/>
                <w:szCs w:val="16"/>
              </w:rPr>
              <w:t>0,0</w:t>
            </w:r>
          </w:p>
        </w:tc>
        <w:tc>
          <w:tcPr>
            <w:tcW w:w="1021" w:type="dxa"/>
            <w:tcBorders>
              <w:left w:val="single" w:sz="4" w:space="0" w:color="BFBFBF" w:themeColor="background1" w:themeShade="BF"/>
            </w:tcBorders>
            <w:noWrap/>
            <w:vAlign w:val="center"/>
          </w:tcPr>
          <w:p w:rsidR="00195BE7" w:rsidRPr="001E2F6E" w:rsidRDefault="00195BE7" w:rsidP="00195BE7">
            <w:pPr>
              <w:spacing w:line="240" w:lineRule="exact"/>
              <w:ind w:right="170"/>
              <w:jc w:val="right"/>
              <w:rPr>
                <w:sz w:val="16"/>
                <w:szCs w:val="16"/>
              </w:rPr>
            </w:pPr>
            <w:r w:rsidRPr="001E2F6E">
              <w:rPr>
                <w:sz w:val="16"/>
                <w:szCs w:val="16"/>
              </w:rPr>
              <w:t>0,0</w:t>
            </w:r>
          </w:p>
        </w:tc>
      </w:tr>
      <w:tr w:rsidR="00195BE7" w:rsidRPr="001E2F6E" w:rsidTr="00195BE7">
        <w:trPr>
          <w:jc w:val="center"/>
        </w:trPr>
        <w:tc>
          <w:tcPr>
            <w:tcW w:w="2654" w:type="dxa"/>
            <w:tcBorders>
              <w:right w:val="single" w:sz="4" w:space="0" w:color="BFBFBF" w:themeColor="background1" w:themeShade="BF"/>
            </w:tcBorders>
          </w:tcPr>
          <w:p w:rsidR="00195BE7" w:rsidRPr="001E2F6E" w:rsidRDefault="00195BE7" w:rsidP="00195BE7">
            <w:pPr>
              <w:spacing w:line="240" w:lineRule="exact"/>
              <w:jc w:val="left"/>
              <w:rPr>
                <w:sz w:val="16"/>
                <w:szCs w:val="16"/>
                <w:lang w:val="eu-ES"/>
              </w:rPr>
            </w:pPr>
            <w:r w:rsidRPr="001E2F6E">
              <w:rPr>
                <w:sz w:val="16"/>
                <w:szCs w:val="16"/>
                <w:lang w:val="eu-ES"/>
              </w:rPr>
              <w:t>Prestakuntza-Plana</w:t>
            </w:r>
          </w:p>
        </w:tc>
        <w:tc>
          <w:tcPr>
            <w:tcW w:w="1021" w:type="dxa"/>
            <w:tcBorders>
              <w:left w:val="single" w:sz="4" w:space="0" w:color="BFBFBF" w:themeColor="background1" w:themeShade="BF"/>
              <w:right w:val="single" w:sz="4" w:space="0" w:color="BFBFBF" w:themeColor="background1" w:themeShade="BF"/>
            </w:tcBorders>
            <w:noWrap/>
            <w:vAlign w:val="center"/>
          </w:tcPr>
          <w:p w:rsidR="00195BE7" w:rsidRPr="001E2F6E" w:rsidRDefault="00195BE7" w:rsidP="00195BE7">
            <w:pPr>
              <w:spacing w:line="240" w:lineRule="exact"/>
              <w:ind w:right="170"/>
              <w:jc w:val="right"/>
              <w:rPr>
                <w:sz w:val="16"/>
                <w:szCs w:val="16"/>
              </w:rPr>
            </w:pPr>
            <w:r w:rsidRPr="001E2F6E">
              <w:rPr>
                <w:sz w:val="16"/>
                <w:szCs w:val="16"/>
              </w:rPr>
              <w:t>31,7</w:t>
            </w:r>
          </w:p>
        </w:tc>
        <w:tc>
          <w:tcPr>
            <w:tcW w:w="1021" w:type="dxa"/>
            <w:tcBorders>
              <w:left w:val="single" w:sz="4" w:space="0" w:color="BFBFBF" w:themeColor="background1" w:themeShade="BF"/>
              <w:right w:val="single" w:sz="4" w:space="0" w:color="BFBFBF" w:themeColor="background1" w:themeShade="BF"/>
            </w:tcBorders>
            <w:noWrap/>
            <w:vAlign w:val="center"/>
          </w:tcPr>
          <w:p w:rsidR="00195BE7" w:rsidRPr="001E2F6E" w:rsidRDefault="00195BE7" w:rsidP="00195BE7">
            <w:pPr>
              <w:spacing w:line="240" w:lineRule="exact"/>
              <w:ind w:right="170"/>
              <w:jc w:val="right"/>
              <w:rPr>
                <w:sz w:val="16"/>
                <w:szCs w:val="16"/>
              </w:rPr>
            </w:pPr>
            <w:r w:rsidRPr="001E2F6E">
              <w:rPr>
                <w:sz w:val="16"/>
                <w:szCs w:val="16"/>
              </w:rPr>
              <w:t>56,7</w:t>
            </w:r>
          </w:p>
        </w:tc>
        <w:tc>
          <w:tcPr>
            <w:tcW w:w="1021" w:type="dxa"/>
            <w:tcBorders>
              <w:left w:val="single" w:sz="4" w:space="0" w:color="BFBFBF" w:themeColor="background1" w:themeShade="BF"/>
              <w:right w:val="single" w:sz="4" w:space="0" w:color="BFBFBF" w:themeColor="background1" w:themeShade="BF"/>
            </w:tcBorders>
            <w:noWrap/>
            <w:vAlign w:val="center"/>
          </w:tcPr>
          <w:p w:rsidR="00195BE7" w:rsidRPr="001E2F6E" w:rsidRDefault="00195BE7" w:rsidP="00195BE7">
            <w:pPr>
              <w:spacing w:line="240" w:lineRule="exact"/>
              <w:ind w:right="170"/>
              <w:jc w:val="right"/>
              <w:rPr>
                <w:sz w:val="16"/>
                <w:szCs w:val="16"/>
              </w:rPr>
            </w:pPr>
            <w:r w:rsidRPr="001E2F6E">
              <w:rPr>
                <w:sz w:val="16"/>
                <w:szCs w:val="16"/>
              </w:rPr>
              <w:t>88,6</w:t>
            </w:r>
          </w:p>
        </w:tc>
        <w:tc>
          <w:tcPr>
            <w:tcW w:w="1021" w:type="dxa"/>
            <w:tcBorders>
              <w:left w:val="single" w:sz="4" w:space="0" w:color="BFBFBF" w:themeColor="background1" w:themeShade="BF"/>
              <w:right w:val="single" w:sz="4" w:space="0" w:color="BFBFBF" w:themeColor="background1" w:themeShade="BF"/>
            </w:tcBorders>
            <w:noWrap/>
            <w:vAlign w:val="center"/>
          </w:tcPr>
          <w:p w:rsidR="00195BE7" w:rsidRPr="001E2F6E" w:rsidRDefault="00195BE7" w:rsidP="00195BE7">
            <w:pPr>
              <w:spacing w:line="240" w:lineRule="exact"/>
              <w:ind w:right="170"/>
              <w:jc w:val="right"/>
              <w:rPr>
                <w:sz w:val="16"/>
                <w:szCs w:val="16"/>
              </w:rPr>
            </w:pPr>
            <w:r w:rsidRPr="001E2F6E">
              <w:rPr>
                <w:sz w:val="16"/>
                <w:szCs w:val="16"/>
              </w:rPr>
              <w:t>53,4</w:t>
            </w:r>
          </w:p>
        </w:tc>
        <w:tc>
          <w:tcPr>
            <w:tcW w:w="1021" w:type="dxa"/>
            <w:tcBorders>
              <w:left w:val="single" w:sz="4" w:space="0" w:color="BFBFBF" w:themeColor="background1" w:themeShade="BF"/>
              <w:right w:val="single" w:sz="4" w:space="0" w:color="BFBFBF" w:themeColor="background1" w:themeShade="BF"/>
            </w:tcBorders>
            <w:noWrap/>
            <w:vAlign w:val="center"/>
          </w:tcPr>
          <w:p w:rsidR="00195BE7" w:rsidRPr="001E2F6E" w:rsidRDefault="00195BE7" w:rsidP="00195BE7">
            <w:pPr>
              <w:spacing w:line="240" w:lineRule="exact"/>
              <w:ind w:right="170"/>
              <w:jc w:val="right"/>
              <w:rPr>
                <w:sz w:val="16"/>
                <w:szCs w:val="16"/>
              </w:rPr>
            </w:pPr>
            <w:r w:rsidRPr="001E2F6E">
              <w:rPr>
                <w:sz w:val="16"/>
                <w:szCs w:val="16"/>
              </w:rPr>
              <w:t>100,0</w:t>
            </w:r>
          </w:p>
        </w:tc>
        <w:tc>
          <w:tcPr>
            <w:tcW w:w="1021" w:type="dxa"/>
            <w:tcBorders>
              <w:left w:val="single" w:sz="4" w:space="0" w:color="BFBFBF" w:themeColor="background1" w:themeShade="BF"/>
              <w:right w:val="single" w:sz="4" w:space="0" w:color="BFBFBF" w:themeColor="background1" w:themeShade="BF"/>
            </w:tcBorders>
            <w:noWrap/>
            <w:vAlign w:val="center"/>
          </w:tcPr>
          <w:p w:rsidR="00195BE7" w:rsidRPr="001E2F6E" w:rsidRDefault="00195BE7" w:rsidP="00195BE7">
            <w:pPr>
              <w:spacing w:line="240" w:lineRule="exact"/>
              <w:ind w:right="170"/>
              <w:jc w:val="right"/>
              <w:rPr>
                <w:sz w:val="16"/>
                <w:szCs w:val="16"/>
              </w:rPr>
            </w:pPr>
            <w:r w:rsidRPr="001E2F6E">
              <w:rPr>
                <w:sz w:val="16"/>
                <w:szCs w:val="16"/>
              </w:rPr>
              <w:t>0,0</w:t>
            </w:r>
          </w:p>
        </w:tc>
        <w:tc>
          <w:tcPr>
            <w:tcW w:w="1021" w:type="dxa"/>
            <w:tcBorders>
              <w:left w:val="single" w:sz="4" w:space="0" w:color="BFBFBF" w:themeColor="background1" w:themeShade="BF"/>
            </w:tcBorders>
            <w:noWrap/>
            <w:vAlign w:val="center"/>
          </w:tcPr>
          <w:p w:rsidR="00195BE7" w:rsidRPr="001E2F6E" w:rsidRDefault="00195BE7" w:rsidP="00195BE7">
            <w:pPr>
              <w:spacing w:line="240" w:lineRule="exact"/>
              <w:ind w:right="170"/>
              <w:jc w:val="right"/>
              <w:rPr>
                <w:sz w:val="16"/>
                <w:szCs w:val="16"/>
              </w:rPr>
            </w:pPr>
            <w:r w:rsidRPr="001E2F6E">
              <w:rPr>
                <w:sz w:val="16"/>
                <w:szCs w:val="16"/>
              </w:rPr>
              <w:t>0,0</w:t>
            </w:r>
          </w:p>
        </w:tc>
      </w:tr>
      <w:tr w:rsidR="00195BE7" w:rsidRPr="001E2F6E" w:rsidTr="00195BE7">
        <w:trPr>
          <w:jc w:val="center"/>
        </w:trPr>
        <w:tc>
          <w:tcPr>
            <w:tcW w:w="2654" w:type="dxa"/>
            <w:tcBorders>
              <w:right w:val="single" w:sz="4" w:space="0" w:color="BFBFBF" w:themeColor="background1" w:themeShade="BF"/>
            </w:tcBorders>
          </w:tcPr>
          <w:p w:rsidR="00195BE7" w:rsidRPr="001E2F6E" w:rsidRDefault="00195BE7" w:rsidP="00195BE7">
            <w:pPr>
              <w:spacing w:line="240" w:lineRule="exact"/>
              <w:jc w:val="left"/>
              <w:rPr>
                <w:sz w:val="16"/>
                <w:szCs w:val="16"/>
                <w:lang w:val="eu-ES"/>
              </w:rPr>
            </w:pPr>
            <w:r w:rsidRPr="001E2F6E">
              <w:rPr>
                <w:sz w:val="16"/>
                <w:szCs w:val="16"/>
                <w:lang w:val="eu-ES"/>
              </w:rPr>
              <w:t xml:space="preserve">Plan Estrategikoa </w:t>
            </w:r>
          </w:p>
        </w:tc>
        <w:tc>
          <w:tcPr>
            <w:tcW w:w="1021" w:type="dxa"/>
            <w:tcBorders>
              <w:left w:val="single" w:sz="4" w:space="0" w:color="BFBFBF" w:themeColor="background1" w:themeShade="BF"/>
              <w:right w:val="single" w:sz="4" w:space="0" w:color="BFBFBF" w:themeColor="background1" w:themeShade="BF"/>
            </w:tcBorders>
            <w:noWrap/>
            <w:vAlign w:val="center"/>
          </w:tcPr>
          <w:p w:rsidR="00195BE7" w:rsidRPr="001E2F6E" w:rsidRDefault="00195BE7" w:rsidP="00195BE7">
            <w:pPr>
              <w:spacing w:line="240" w:lineRule="exact"/>
              <w:ind w:right="170"/>
              <w:jc w:val="right"/>
              <w:rPr>
                <w:sz w:val="16"/>
                <w:szCs w:val="16"/>
              </w:rPr>
            </w:pPr>
            <w:r w:rsidRPr="001E2F6E">
              <w:rPr>
                <w:sz w:val="16"/>
                <w:szCs w:val="16"/>
              </w:rPr>
              <w:t>4,3</w:t>
            </w:r>
          </w:p>
        </w:tc>
        <w:tc>
          <w:tcPr>
            <w:tcW w:w="1021" w:type="dxa"/>
            <w:tcBorders>
              <w:left w:val="single" w:sz="4" w:space="0" w:color="BFBFBF" w:themeColor="background1" w:themeShade="BF"/>
              <w:right w:val="single" w:sz="4" w:space="0" w:color="BFBFBF" w:themeColor="background1" w:themeShade="BF"/>
            </w:tcBorders>
            <w:noWrap/>
            <w:vAlign w:val="center"/>
          </w:tcPr>
          <w:p w:rsidR="00195BE7" w:rsidRPr="001E2F6E" w:rsidRDefault="00195BE7" w:rsidP="00195BE7">
            <w:pPr>
              <w:spacing w:line="240" w:lineRule="exact"/>
              <w:ind w:right="170"/>
              <w:jc w:val="right"/>
              <w:rPr>
                <w:sz w:val="16"/>
                <w:szCs w:val="16"/>
              </w:rPr>
            </w:pPr>
            <w:r w:rsidRPr="001E2F6E">
              <w:rPr>
                <w:sz w:val="16"/>
                <w:szCs w:val="16"/>
              </w:rPr>
              <w:t>20,5</w:t>
            </w:r>
          </w:p>
        </w:tc>
        <w:tc>
          <w:tcPr>
            <w:tcW w:w="1021" w:type="dxa"/>
            <w:tcBorders>
              <w:left w:val="single" w:sz="4" w:space="0" w:color="BFBFBF" w:themeColor="background1" w:themeShade="BF"/>
              <w:right w:val="single" w:sz="4" w:space="0" w:color="BFBFBF" w:themeColor="background1" w:themeShade="BF"/>
            </w:tcBorders>
            <w:noWrap/>
            <w:vAlign w:val="center"/>
          </w:tcPr>
          <w:p w:rsidR="00195BE7" w:rsidRPr="001E2F6E" w:rsidRDefault="00195BE7" w:rsidP="00195BE7">
            <w:pPr>
              <w:spacing w:line="240" w:lineRule="exact"/>
              <w:ind w:right="170"/>
              <w:jc w:val="right"/>
              <w:rPr>
                <w:sz w:val="16"/>
                <w:szCs w:val="16"/>
              </w:rPr>
            </w:pPr>
            <w:r w:rsidRPr="001E2F6E">
              <w:rPr>
                <w:sz w:val="16"/>
                <w:szCs w:val="16"/>
              </w:rPr>
              <w:t>22,2</w:t>
            </w:r>
          </w:p>
        </w:tc>
        <w:tc>
          <w:tcPr>
            <w:tcW w:w="1021" w:type="dxa"/>
            <w:tcBorders>
              <w:left w:val="single" w:sz="4" w:space="0" w:color="BFBFBF" w:themeColor="background1" w:themeShade="BF"/>
              <w:right w:val="single" w:sz="4" w:space="0" w:color="BFBFBF" w:themeColor="background1" w:themeShade="BF"/>
            </w:tcBorders>
            <w:noWrap/>
            <w:vAlign w:val="center"/>
          </w:tcPr>
          <w:p w:rsidR="00195BE7" w:rsidRPr="001E2F6E" w:rsidRDefault="00195BE7" w:rsidP="00195BE7">
            <w:pPr>
              <w:spacing w:line="240" w:lineRule="exact"/>
              <w:ind w:right="170"/>
              <w:jc w:val="right"/>
              <w:rPr>
                <w:sz w:val="16"/>
                <w:szCs w:val="16"/>
              </w:rPr>
            </w:pPr>
            <w:r w:rsidRPr="001E2F6E">
              <w:rPr>
                <w:sz w:val="16"/>
                <w:szCs w:val="16"/>
              </w:rPr>
              <w:t>53,4</w:t>
            </w:r>
          </w:p>
        </w:tc>
        <w:tc>
          <w:tcPr>
            <w:tcW w:w="1021" w:type="dxa"/>
            <w:tcBorders>
              <w:left w:val="single" w:sz="4" w:space="0" w:color="BFBFBF" w:themeColor="background1" w:themeShade="BF"/>
              <w:right w:val="single" w:sz="4" w:space="0" w:color="BFBFBF" w:themeColor="background1" w:themeShade="BF"/>
            </w:tcBorders>
            <w:noWrap/>
            <w:vAlign w:val="center"/>
          </w:tcPr>
          <w:p w:rsidR="00195BE7" w:rsidRPr="001E2F6E" w:rsidRDefault="00195BE7" w:rsidP="00195BE7">
            <w:pPr>
              <w:spacing w:line="240" w:lineRule="exact"/>
              <w:ind w:right="170"/>
              <w:jc w:val="right"/>
              <w:rPr>
                <w:sz w:val="16"/>
                <w:szCs w:val="16"/>
              </w:rPr>
            </w:pPr>
            <w:r w:rsidRPr="001E2F6E">
              <w:rPr>
                <w:sz w:val="16"/>
                <w:szCs w:val="16"/>
              </w:rPr>
              <w:t>100,0</w:t>
            </w:r>
          </w:p>
        </w:tc>
        <w:tc>
          <w:tcPr>
            <w:tcW w:w="1021" w:type="dxa"/>
            <w:tcBorders>
              <w:left w:val="single" w:sz="4" w:space="0" w:color="BFBFBF" w:themeColor="background1" w:themeShade="BF"/>
              <w:right w:val="single" w:sz="4" w:space="0" w:color="BFBFBF" w:themeColor="background1" w:themeShade="BF"/>
            </w:tcBorders>
            <w:noWrap/>
            <w:vAlign w:val="center"/>
          </w:tcPr>
          <w:p w:rsidR="00195BE7" w:rsidRPr="001E2F6E" w:rsidRDefault="00195BE7" w:rsidP="00195BE7">
            <w:pPr>
              <w:spacing w:line="240" w:lineRule="exact"/>
              <w:ind w:right="170"/>
              <w:jc w:val="right"/>
              <w:rPr>
                <w:sz w:val="16"/>
                <w:szCs w:val="16"/>
              </w:rPr>
            </w:pPr>
            <w:r w:rsidRPr="001E2F6E">
              <w:rPr>
                <w:sz w:val="16"/>
                <w:szCs w:val="16"/>
              </w:rPr>
              <w:t>0,0</w:t>
            </w:r>
          </w:p>
        </w:tc>
        <w:tc>
          <w:tcPr>
            <w:tcW w:w="1021" w:type="dxa"/>
            <w:tcBorders>
              <w:left w:val="single" w:sz="4" w:space="0" w:color="BFBFBF" w:themeColor="background1" w:themeShade="BF"/>
            </w:tcBorders>
            <w:noWrap/>
            <w:vAlign w:val="center"/>
          </w:tcPr>
          <w:p w:rsidR="00195BE7" w:rsidRPr="001E2F6E" w:rsidRDefault="00195BE7" w:rsidP="00195BE7">
            <w:pPr>
              <w:spacing w:line="240" w:lineRule="exact"/>
              <w:ind w:right="170"/>
              <w:jc w:val="right"/>
              <w:rPr>
                <w:sz w:val="16"/>
                <w:szCs w:val="16"/>
              </w:rPr>
            </w:pPr>
            <w:r w:rsidRPr="001E2F6E">
              <w:rPr>
                <w:sz w:val="16"/>
                <w:szCs w:val="16"/>
              </w:rPr>
              <w:t>0,0</w:t>
            </w:r>
          </w:p>
        </w:tc>
      </w:tr>
      <w:tr w:rsidR="00195BE7" w:rsidRPr="001E2F6E" w:rsidTr="00195BE7">
        <w:trPr>
          <w:jc w:val="center"/>
        </w:trPr>
        <w:tc>
          <w:tcPr>
            <w:tcW w:w="2654" w:type="dxa"/>
            <w:tcBorders>
              <w:bottom w:val="single" w:sz="4" w:space="0" w:color="BFBFBF" w:themeColor="background1" w:themeShade="BF"/>
              <w:right w:val="single" w:sz="4" w:space="0" w:color="BFBFBF" w:themeColor="background1" w:themeShade="BF"/>
            </w:tcBorders>
          </w:tcPr>
          <w:p w:rsidR="00195BE7" w:rsidRPr="001E2F6E" w:rsidRDefault="00195BE7" w:rsidP="00195BE7">
            <w:pPr>
              <w:spacing w:line="240" w:lineRule="exact"/>
              <w:jc w:val="left"/>
              <w:rPr>
                <w:sz w:val="16"/>
                <w:szCs w:val="16"/>
                <w:lang w:val="eu-ES"/>
              </w:rPr>
            </w:pPr>
            <w:r w:rsidRPr="001E2F6E">
              <w:rPr>
                <w:sz w:val="16"/>
                <w:szCs w:val="16"/>
                <w:lang w:val="eu-ES"/>
              </w:rPr>
              <w:t>Lanpostuen Baloraziorako Eskuliburua</w:t>
            </w:r>
          </w:p>
        </w:tc>
        <w:tc>
          <w:tcPr>
            <w:tcW w:w="1021" w:type="dxa"/>
            <w:tcBorders>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tcPr>
          <w:p w:rsidR="00195BE7" w:rsidRPr="001E2F6E" w:rsidRDefault="00195BE7" w:rsidP="00195BE7">
            <w:pPr>
              <w:spacing w:line="240" w:lineRule="exact"/>
              <w:ind w:right="170"/>
              <w:jc w:val="right"/>
              <w:rPr>
                <w:sz w:val="16"/>
                <w:szCs w:val="16"/>
              </w:rPr>
            </w:pPr>
            <w:r w:rsidRPr="001E2F6E">
              <w:rPr>
                <w:sz w:val="16"/>
                <w:szCs w:val="16"/>
              </w:rPr>
              <w:t>13,3</w:t>
            </w:r>
          </w:p>
        </w:tc>
        <w:tc>
          <w:tcPr>
            <w:tcW w:w="1021" w:type="dxa"/>
            <w:tcBorders>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tcPr>
          <w:p w:rsidR="00195BE7" w:rsidRPr="001E2F6E" w:rsidRDefault="00195BE7" w:rsidP="00195BE7">
            <w:pPr>
              <w:spacing w:line="240" w:lineRule="exact"/>
              <w:ind w:right="170"/>
              <w:jc w:val="right"/>
              <w:rPr>
                <w:sz w:val="16"/>
                <w:szCs w:val="16"/>
              </w:rPr>
            </w:pPr>
            <w:r w:rsidRPr="001E2F6E">
              <w:rPr>
                <w:sz w:val="16"/>
                <w:szCs w:val="16"/>
              </w:rPr>
              <w:t>22,9</w:t>
            </w:r>
          </w:p>
        </w:tc>
        <w:tc>
          <w:tcPr>
            <w:tcW w:w="1021" w:type="dxa"/>
            <w:tcBorders>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tcPr>
          <w:p w:rsidR="00195BE7" w:rsidRPr="001E2F6E" w:rsidRDefault="00195BE7" w:rsidP="00195BE7">
            <w:pPr>
              <w:spacing w:line="240" w:lineRule="exact"/>
              <w:ind w:right="170"/>
              <w:jc w:val="right"/>
              <w:rPr>
                <w:sz w:val="16"/>
                <w:szCs w:val="16"/>
              </w:rPr>
            </w:pPr>
            <w:r w:rsidRPr="001E2F6E">
              <w:rPr>
                <w:sz w:val="16"/>
                <w:szCs w:val="16"/>
              </w:rPr>
              <w:t>63,1</w:t>
            </w:r>
          </w:p>
        </w:tc>
        <w:tc>
          <w:tcPr>
            <w:tcW w:w="1021" w:type="dxa"/>
            <w:tcBorders>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tcPr>
          <w:p w:rsidR="00195BE7" w:rsidRPr="001E2F6E" w:rsidRDefault="00195BE7" w:rsidP="00195BE7">
            <w:pPr>
              <w:spacing w:line="240" w:lineRule="exact"/>
              <w:ind w:right="170"/>
              <w:jc w:val="right"/>
              <w:rPr>
                <w:sz w:val="16"/>
                <w:szCs w:val="16"/>
              </w:rPr>
            </w:pPr>
            <w:r w:rsidRPr="001E2F6E">
              <w:rPr>
                <w:sz w:val="16"/>
                <w:szCs w:val="16"/>
              </w:rPr>
              <w:t>53,4</w:t>
            </w:r>
          </w:p>
        </w:tc>
        <w:tc>
          <w:tcPr>
            <w:tcW w:w="1021" w:type="dxa"/>
            <w:tcBorders>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tcPr>
          <w:p w:rsidR="00195BE7" w:rsidRPr="001E2F6E" w:rsidRDefault="00195BE7" w:rsidP="00195BE7">
            <w:pPr>
              <w:spacing w:line="240" w:lineRule="exact"/>
              <w:ind w:right="170"/>
              <w:jc w:val="right"/>
              <w:rPr>
                <w:sz w:val="16"/>
                <w:szCs w:val="16"/>
              </w:rPr>
            </w:pPr>
            <w:r w:rsidRPr="001E2F6E">
              <w:rPr>
                <w:sz w:val="16"/>
                <w:szCs w:val="16"/>
              </w:rPr>
              <w:t>100,0</w:t>
            </w:r>
          </w:p>
        </w:tc>
        <w:tc>
          <w:tcPr>
            <w:tcW w:w="1021" w:type="dxa"/>
            <w:tcBorders>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tcPr>
          <w:p w:rsidR="00195BE7" w:rsidRPr="001E2F6E" w:rsidRDefault="00195BE7" w:rsidP="00195BE7">
            <w:pPr>
              <w:spacing w:line="240" w:lineRule="exact"/>
              <w:ind w:right="170"/>
              <w:jc w:val="right"/>
              <w:rPr>
                <w:sz w:val="16"/>
                <w:szCs w:val="16"/>
              </w:rPr>
            </w:pPr>
            <w:r w:rsidRPr="001E2F6E">
              <w:rPr>
                <w:sz w:val="16"/>
                <w:szCs w:val="16"/>
              </w:rPr>
              <w:t>0,0</w:t>
            </w:r>
          </w:p>
        </w:tc>
        <w:tc>
          <w:tcPr>
            <w:tcW w:w="1021" w:type="dxa"/>
            <w:tcBorders>
              <w:left w:val="single" w:sz="4" w:space="0" w:color="BFBFBF" w:themeColor="background1" w:themeShade="BF"/>
              <w:bottom w:val="single" w:sz="4" w:space="0" w:color="BFBFBF" w:themeColor="background1" w:themeShade="BF"/>
            </w:tcBorders>
            <w:noWrap/>
            <w:vAlign w:val="center"/>
          </w:tcPr>
          <w:p w:rsidR="00195BE7" w:rsidRPr="001E2F6E" w:rsidRDefault="00195BE7" w:rsidP="00195BE7">
            <w:pPr>
              <w:spacing w:line="240" w:lineRule="exact"/>
              <w:ind w:right="170"/>
              <w:jc w:val="right"/>
              <w:rPr>
                <w:sz w:val="16"/>
                <w:szCs w:val="16"/>
              </w:rPr>
            </w:pPr>
            <w:r w:rsidRPr="001E2F6E">
              <w:rPr>
                <w:sz w:val="16"/>
                <w:szCs w:val="16"/>
              </w:rPr>
              <w:t>0,0</w:t>
            </w:r>
          </w:p>
        </w:tc>
      </w:tr>
    </w:tbl>
    <w:p w:rsidR="00195BE7" w:rsidRPr="001E2F6E" w:rsidRDefault="00195BE7" w:rsidP="00195BE7">
      <w:pPr>
        <w:spacing w:line="240" w:lineRule="auto"/>
        <w:jc w:val="center"/>
        <w:rPr>
          <w:b/>
          <w:snapToGrid w:val="0"/>
          <w:color w:val="1F497D" w:themeColor="text2"/>
          <w:sz w:val="18"/>
          <w:szCs w:val="18"/>
          <w:lang w:val="es-ES_tradnl"/>
        </w:rPr>
      </w:pPr>
    </w:p>
    <w:p w:rsidR="00195BE7" w:rsidRPr="001E2F6E" w:rsidRDefault="00195BE7" w:rsidP="00195BE7">
      <w:pPr>
        <w:spacing w:line="240" w:lineRule="auto"/>
        <w:jc w:val="center"/>
        <w:rPr>
          <w:b/>
          <w:snapToGrid w:val="0"/>
          <w:color w:val="1F497D" w:themeColor="text2"/>
          <w:sz w:val="18"/>
          <w:szCs w:val="18"/>
          <w:lang w:val="es-ES_tradnl"/>
        </w:rPr>
      </w:pPr>
      <w:bookmarkStart w:id="300" w:name="_Toc391989208"/>
      <w:bookmarkStart w:id="301" w:name="_Toc392585838"/>
      <w:r w:rsidRPr="001E2F6E">
        <w:rPr>
          <w:b/>
          <w:snapToGrid w:val="0"/>
          <w:color w:val="1F497D" w:themeColor="text2"/>
          <w:sz w:val="18"/>
          <w:szCs w:val="18"/>
          <w:lang w:val="es-ES_tradnl"/>
        </w:rPr>
        <w:lastRenderedPageBreak/>
        <w:t>3.</w:t>
      </w:r>
      <w:r w:rsidR="00EB6BA6" w:rsidRPr="001E2F6E">
        <w:rPr>
          <w:b/>
          <w:snapToGrid w:val="0"/>
          <w:color w:val="1F497D" w:themeColor="text2"/>
          <w:sz w:val="18"/>
          <w:szCs w:val="18"/>
          <w:lang w:val="es-ES_tradnl"/>
        </w:rPr>
        <w:fldChar w:fldCharType="begin"/>
      </w:r>
      <w:r w:rsidRPr="001E2F6E">
        <w:rPr>
          <w:b/>
          <w:snapToGrid w:val="0"/>
          <w:color w:val="1F497D" w:themeColor="text2"/>
          <w:sz w:val="18"/>
          <w:szCs w:val="18"/>
          <w:lang w:val="es-ES_tradnl"/>
        </w:rPr>
        <w:instrText xml:space="preserve"> SEQ Cuadro_3. \* ARABIC </w:instrText>
      </w:r>
      <w:r w:rsidR="00EB6BA6" w:rsidRPr="001E2F6E">
        <w:rPr>
          <w:b/>
          <w:snapToGrid w:val="0"/>
          <w:color w:val="1F497D" w:themeColor="text2"/>
          <w:sz w:val="18"/>
          <w:szCs w:val="18"/>
          <w:lang w:val="es-ES_tradnl"/>
        </w:rPr>
        <w:fldChar w:fldCharType="separate"/>
      </w:r>
      <w:r w:rsidR="00A327D4">
        <w:rPr>
          <w:b/>
          <w:noProof/>
          <w:snapToGrid w:val="0"/>
          <w:color w:val="1F497D" w:themeColor="text2"/>
          <w:sz w:val="18"/>
          <w:szCs w:val="18"/>
          <w:lang w:val="es-ES_tradnl"/>
        </w:rPr>
        <w:t>4</w:t>
      </w:r>
      <w:r w:rsidR="00EB6BA6" w:rsidRPr="001E2F6E">
        <w:rPr>
          <w:b/>
          <w:snapToGrid w:val="0"/>
          <w:color w:val="1F497D" w:themeColor="text2"/>
          <w:sz w:val="18"/>
          <w:szCs w:val="18"/>
          <w:lang w:val="es-ES_tradnl"/>
        </w:rPr>
        <w:fldChar w:fldCharType="end"/>
      </w:r>
      <w:r w:rsidRPr="001E2F6E">
        <w:rPr>
          <w:b/>
          <w:snapToGrid w:val="0"/>
          <w:color w:val="1F497D" w:themeColor="text2"/>
          <w:sz w:val="18"/>
          <w:szCs w:val="18"/>
          <w:lang w:val="es-ES_tradnl"/>
        </w:rPr>
        <w:t xml:space="preserve"> Taula KUDEAKETARAKO TRESNAK EZARTZEKO JOERA, ENPRESAREN TAMAINAREN ARABERA</w:t>
      </w:r>
      <w:bookmarkEnd w:id="300"/>
      <w:r w:rsidR="00462130" w:rsidRPr="001E2F6E">
        <w:rPr>
          <w:b/>
          <w:snapToGrid w:val="0"/>
          <w:color w:val="1F497D" w:themeColor="text2"/>
          <w:sz w:val="18"/>
          <w:szCs w:val="18"/>
          <w:lang w:val="es-ES_tradnl"/>
        </w:rPr>
        <w:t xml:space="preserve">. </w:t>
      </w:r>
      <w:r w:rsidRPr="001E2F6E">
        <w:rPr>
          <w:b/>
          <w:snapToGrid w:val="0"/>
          <w:color w:val="1F497D" w:themeColor="text2"/>
          <w:sz w:val="18"/>
          <w:szCs w:val="18"/>
          <w:lang w:val="es-ES_tradnl"/>
        </w:rPr>
        <w:t>2012</w:t>
      </w:r>
      <w:bookmarkEnd w:id="301"/>
    </w:p>
    <w:tbl>
      <w:tblPr>
        <w:tblW w:w="5626" w:type="pct"/>
        <w:jc w:val="center"/>
        <w:tblBorders>
          <w:bottom w:val="single" w:sz="4" w:space="0" w:color="BFBFBF" w:themeColor="background1" w:themeShade="BF"/>
        </w:tblBorders>
        <w:tblLayout w:type="fixed"/>
        <w:tblLook w:val="04A0" w:firstRow="1" w:lastRow="0" w:firstColumn="1" w:lastColumn="0" w:noHBand="0" w:noVBand="1"/>
      </w:tblPr>
      <w:tblGrid>
        <w:gridCol w:w="2637"/>
        <w:gridCol w:w="1024"/>
        <w:gridCol w:w="1104"/>
        <w:gridCol w:w="867"/>
        <w:gridCol w:w="871"/>
        <w:gridCol w:w="867"/>
        <w:gridCol w:w="867"/>
        <w:gridCol w:w="867"/>
        <w:gridCol w:w="1027"/>
      </w:tblGrid>
      <w:tr w:rsidR="00195BE7" w:rsidRPr="001E2F6E" w:rsidTr="00195BE7">
        <w:trPr>
          <w:trHeight w:val="802"/>
          <w:jc w:val="center"/>
        </w:trPr>
        <w:tc>
          <w:tcPr>
            <w:tcW w:w="1301"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tcPr>
          <w:p w:rsidR="00195BE7" w:rsidRPr="001E2F6E" w:rsidRDefault="00195BE7" w:rsidP="00195BE7">
            <w:pPr>
              <w:spacing w:line="240" w:lineRule="exact"/>
              <w:jc w:val="center"/>
              <w:rPr>
                <w:b/>
                <w:bCs/>
                <w:sz w:val="16"/>
                <w:szCs w:val="16"/>
              </w:rPr>
            </w:pPr>
            <w:r w:rsidRPr="001E2F6E">
              <w:rPr>
                <w:b/>
                <w:bCs/>
                <w:sz w:val="16"/>
                <w:szCs w:val="16"/>
              </w:rPr>
              <w:t> </w:t>
            </w:r>
          </w:p>
        </w:tc>
        <w:tc>
          <w:tcPr>
            <w:tcW w:w="505" w:type="pct"/>
            <w:tcBorders>
              <w:top w:val="single" w:sz="4" w:space="0" w:color="BFBFBF" w:themeColor="background1" w:themeShade="BF"/>
              <w:left w:val="single" w:sz="4" w:space="0" w:color="BFBFBF" w:themeColor="background1" w:themeShade="BF"/>
              <w:right w:val="single" w:sz="4" w:space="0" w:color="BFBFBF" w:themeColor="background1" w:themeShade="BF"/>
            </w:tcBorders>
            <w:shd w:val="clear" w:color="auto" w:fill="DBE5F1" w:themeFill="accent1" w:themeFillTint="33"/>
            <w:vAlign w:val="bottom"/>
          </w:tcPr>
          <w:p w:rsidR="00195BE7" w:rsidRPr="001E2F6E" w:rsidRDefault="00195BE7" w:rsidP="00195BE7">
            <w:pPr>
              <w:spacing w:line="240" w:lineRule="exact"/>
              <w:jc w:val="center"/>
              <w:rPr>
                <w:b/>
                <w:bCs/>
                <w:sz w:val="16"/>
                <w:szCs w:val="16"/>
              </w:rPr>
            </w:pPr>
            <w:r w:rsidRPr="001E2F6E">
              <w:rPr>
                <w:b/>
                <w:bCs/>
                <w:sz w:val="16"/>
                <w:szCs w:val="16"/>
              </w:rPr>
              <w:t>GUZTIRA</w:t>
            </w:r>
          </w:p>
          <w:p w:rsidR="00195BE7" w:rsidRPr="001E2F6E" w:rsidRDefault="00195BE7" w:rsidP="00195BE7">
            <w:pPr>
              <w:spacing w:line="240" w:lineRule="exact"/>
              <w:jc w:val="center"/>
              <w:rPr>
                <w:b/>
                <w:bCs/>
                <w:sz w:val="16"/>
                <w:szCs w:val="16"/>
              </w:rPr>
            </w:pPr>
            <w:r w:rsidRPr="001E2F6E">
              <w:rPr>
                <w:b/>
                <w:sz w:val="16"/>
                <w:szCs w:val="16"/>
                <w:lang w:val="es-ES_tradnl"/>
              </w:rPr>
              <w:t>%</w:t>
            </w:r>
          </w:p>
        </w:tc>
        <w:tc>
          <w:tcPr>
            <w:tcW w:w="545" w:type="pct"/>
            <w:tcBorders>
              <w:top w:val="single" w:sz="4" w:space="0" w:color="BFBFBF" w:themeColor="background1" w:themeShade="BF"/>
              <w:left w:val="single" w:sz="4" w:space="0" w:color="BFBFBF" w:themeColor="background1" w:themeShade="BF"/>
              <w:right w:val="single" w:sz="4" w:space="0" w:color="BFBFBF" w:themeColor="background1" w:themeShade="BF"/>
            </w:tcBorders>
            <w:shd w:val="clear" w:color="auto" w:fill="DBE5F1" w:themeFill="accent1" w:themeFillTint="33"/>
            <w:vAlign w:val="bottom"/>
          </w:tcPr>
          <w:p w:rsidR="00195BE7" w:rsidRPr="001E2F6E" w:rsidRDefault="00195BE7" w:rsidP="00195BE7">
            <w:pPr>
              <w:spacing w:line="240" w:lineRule="auto"/>
              <w:jc w:val="center"/>
              <w:rPr>
                <w:b/>
                <w:sz w:val="16"/>
                <w:szCs w:val="16"/>
                <w:lang w:val="eu-ES"/>
              </w:rPr>
            </w:pPr>
            <w:r w:rsidRPr="001E2F6E">
              <w:rPr>
                <w:b/>
                <w:sz w:val="16"/>
                <w:szCs w:val="16"/>
                <w:lang w:val="eu-ES"/>
              </w:rPr>
              <w:t>6 enplegu baino gutxiago</w:t>
            </w:r>
          </w:p>
          <w:p w:rsidR="00195BE7" w:rsidRPr="001E2F6E" w:rsidRDefault="00195BE7" w:rsidP="00195BE7">
            <w:pPr>
              <w:spacing w:line="240" w:lineRule="exact"/>
              <w:jc w:val="center"/>
              <w:rPr>
                <w:b/>
                <w:sz w:val="16"/>
                <w:szCs w:val="16"/>
                <w:lang w:val="eu-ES"/>
              </w:rPr>
            </w:pPr>
            <w:r w:rsidRPr="001E2F6E">
              <w:rPr>
                <w:b/>
                <w:sz w:val="16"/>
                <w:szCs w:val="16"/>
                <w:lang w:val="es-ES_tradnl"/>
              </w:rPr>
              <w:t>%</w:t>
            </w:r>
          </w:p>
        </w:tc>
        <w:tc>
          <w:tcPr>
            <w:tcW w:w="428" w:type="pct"/>
            <w:tcBorders>
              <w:top w:val="single" w:sz="4" w:space="0" w:color="BFBFBF" w:themeColor="background1" w:themeShade="BF"/>
              <w:left w:val="single" w:sz="4" w:space="0" w:color="BFBFBF" w:themeColor="background1" w:themeShade="BF"/>
              <w:right w:val="single" w:sz="4" w:space="0" w:color="BFBFBF" w:themeColor="background1" w:themeShade="BF"/>
            </w:tcBorders>
            <w:shd w:val="clear" w:color="auto" w:fill="DBE5F1" w:themeFill="accent1" w:themeFillTint="33"/>
            <w:vAlign w:val="bottom"/>
          </w:tcPr>
          <w:p w:rsidR="00195BE7" w:rsidRPr="001E2F6E" w:rsidRDefault="00195BE7" w:rsidP="00195BE7">
            <w:pPr>
              <w:spacing w:line="240" w:lineRule="auto"/>
              <w:jc w:val="center"/>
              <w:rPr>
                <w:b/>
                <w:sz w:val="16"/>
                <w:szCs w:val="16"/>
                <w:lang w:val="eu-ES"/>
              </w:rPr>
            </w:pPr>
            <w:r w:rsidRPr="001E2F6E">
              <w:rPr>
                <w:b/>
                <w:bCs/>
                <w:sz w:val="16"/>
                <w:szCs w:val="16"/>
                <w:lang w:val="eu-ES"/>
              </w:rPr>
              <w:t>6 - 15</w:t>
            </w:r>
          </w:p>
          <w:p w:rsidR="00195BE7" w:rsidRPr="001E2F6E" w:rsidRDefault="00195BE7" w:rsidP="00195BE7">
            <w:pPr>
              <w:spacing w:line="240" w:lineRule="exact"/>
              <w:jc w:val="center"/>
              <w:rPr>
                <w:b/>
                <w:sz w:val="16"/>
                <w:szCs w:val="16"/>
                <w:lang w:val="eu-ES"/>
              </w:rPr>
            </w:pPr>
            <w:r w:rsidRPr="001E2F6E">
              <w:rPr>
                <w:b/>
                <w:sz w:val="16"/>
                <w:szCs w:val="16"/>
                <w:lang w:val="es-ES_tradnl"/>
              </w:rPr>
              <w:t>%</w:t>
            </w:r>
          </w:p>
        </w:tc>
        <w:tc>
          <w:tcPr>
            <w:tcW w:w="430" w:type="pct"/>
            <w:tcBorders>
              <w:top w:val="single" w:sz="4" w:space="0" w:color="BFBFBF" w:themeColor="background1" w:themeShade="BF"/>
              <w:left w:val="single" w:sz="4" w:space="0" w:color="BFBFBF" w:themeColor="background1" w:themeShade="BF"/>
              <w:right w:val="single" w:sz="4" w:space="0" w:color="BFBFBF" w:themeColor="background1" w:themeShade="BF"/>
            </w:tcBorders>
            <w:shd w:val="clear" w:color="auto" w:fill="DBE5F1" w:themeFill="accent1" w:themeFillTint="33"/>
            <w:vAlign w:val="bottom"/>
          </w:tcPr>
          <w:p w:rsidR="00195BE7" w:rsidRPr="001E2F6E" w:rsidRDefault="00195BE7" w:rsidP="00195BE7">
            <w:pPr>
              <w:spacing w:line="240" w:lineRule="auto"/>
              <w:jc w:val="center"/>
              <w:rPr>
                <w:b/>
                <w:sz w:val="16"/>
                <w:szCs w:val="16"/>
                <w:lang w:val="eu-ES"/>
              </w:rPr>
            </w:pPr>
            <w:r w:rsidRPr="001E2F6E">
              <w:rPr>
                <w:b/>
                <w:bCs/>
                <w:sz w:val="16"/>
                <w:szCs w:val="16"/>
                <w:lang w:val="eu-ES"/>
              </w:rPr>
              <w:t>16  - 50</w:t>
            </w:r>
          </w:p>
          <w:p w:rsidR="00195BE7" w:rsidRPr="001E2F6E" w:rsidRDefault="00195BE7" w:rsidP="00195BE7">
            <w:pPr>
              <w:spacing w:line="240" w:lineRule="exact"/>
              <w:jc w:val="center"/>
              <w:rPr>
                <w:b/>
                <w:sz w:val="16"/>
                <w:szCs w:val="16"/>
                <w:lang w:val="eu-ES"/>
              </w:rPr>
            </w:pPr>
            <w:r w:rsidRPr="001E2F6E">
              <w:rPr>
                <w:b/>
                <w:sz w:val="16"/>
                <w:szCs w:val="16"/>
                <w:lang w:val="es-ES_tradnl"/>
              </w:rPr>
              <w:t>%</w:t>
            </w:r>
          </w:p>
        </w:tc>
        <w:tc>
          <w:tcPr>
            <w:tcW w:w="428" w:type="pct"/>
            <w:tcBorders>
              <w:top w:val="single" w:sz="4" w:space="0" w:color="BFBFBF" w:themeColor="background1" w:themeShade="BF"/>
              <w:left w:val="single" w:sz="4" w:space="0" w:color="BFBFBF" w:themeColor="background1" w:themeShade="BF"/>
              <w:right w:val="single" w:sz="4" w:space="0" w:color="BFBFBF" w:themeColor="background1" w:themeShade="BF"/>
            </w:tcBorders>
            <w:shd w:val="clear" w:color="auto" w:fill="DBE5F1" w:themeFill="accent1" w:themeFillTint="33"/>
            <w:vAlign w:val="bottom"/>
          </w:tcPr>
          <w:p w:rsidR="00195BE7" w:rsidRPr="001E2F6E" w:rsidRDefault="00195BE7" w:rsidP="00195BE7">
            <w:pPr>
              <w:spacing w:line="240" w:lineRule="auto"/>
              <w:jc w:val="center"/>
              <w:rPr>
                <w:b/>
                <w:sz w:val="16"/>
                <w:szCs w:val="16"/>
                <w:lang w:val="eu-ES"/>
              </w:rPr>
            </w:pPr>
            <w:r w:rsidRPr="001E2F6E">
              <w:rPr>
                <w:b/>
                <w:bCs/>
                <w:sz w:val="16"/>
                <w:szCs w:val="16"/>
                <w:lang w:val="eu-ES"/>
              </w:rPr>
              <w:t>51 - 100</w:t>
            </w:r>
          </w:p>
          <w:p w:rsidR="00195BE7" w:rsidRPr="001E2F6E" w:rsidRDefault="00195BE7" w:rsidP="00195BE7">
            <w:pPr>
              <w:spacing w:line="240" w:lineRule="exact"/>
              <w:jc w:val="center"/>
              <w:rPr>
                <w:b/>
                <w:sz w:val="16"/>
                <w:szCs w:val="16"/>
                <w:lang w:val="eu-ES"/>
              </w:rPr>
            </w:pPr>
            <w:r w:rsidRPr="001E2F6E">
              <w:rPr>
                <w:b/>
                <w:sz w:val="16"/>
                <w:szCs w:val="16"/>
                <w:lang w:val="es-ES_tradnl"/>
              </w:rPr>
              <w:t>%</w:t>
            </w:r>
          </w:p>
        </w:tc>
        <w:tc>
          <w:tcPr>
            <w:tcW w:w="428" w:type="pct"/>
            <w:tcBorders>
              <w:top w:val="single" w:sz="4" w:space="0" w:color="BFBFBF" w:themeColor="background1" w:themeShade="BF"/>
              <w:left w:val="single" w:sz="4" w:space="0" w:color="BFBFBF" w:themeColor="background1" w:themeShade="BF"/>
              <w:right w:val="single" w:sz="4" w:space="0" w:color="BFBFBF" w:themeColor="background1" w:themeShade="BF"/>
            </w:tcBorders>
            <w:shd w:val="clear" w:color="auto" w:fill="DBE5F1" w:themeFill="accent1" w:themeFillTint="33"/>
            <w:vAlign w:val="bottom"/>
          </w:tcPr>
          <w:p w:rsidR="00195BE7" w:rsidRPr="001E2F6E" w:rsidRDefault="00195BE7" w:rsidP="00195BE7">
            <w:pPr>
              <w:spacing w:line="240" w:lineRule="auto"/>
              <w:jc w:val="center"/>
              <w:rPr>
                <w:b/>
                <w:sz w:val="16"/>
                <w:szCs w:val="16"/>
                <w:lang w:val="eu-ES"/>
              </w:rPr>
            </w:pPr>
            <w:r w:rsidRPr="001E2F6E">
              <w:rPr>
                <w:b/>
                <w:bCs/>
                <w:sz w:val="16"/>
                <w:szCs w:val="16"/>
                <w:lang w:val="eu-ES"/>
              </w:rPr>
              <w:t>101 - 200</w:t>
            </w:r>
          </w:p>
          <w:p w:rsidR="00195BE7" w:rsidRPr="001E2F6E" w:rsidRDefault="00195BE7" w:rsidP="00195BE7">
            <w:pPr>
              <w:spacing w:line="240" w:lineRule="exact"/>
              <w:jc w:val="center"/>
              <w:rPr>
                <w:b/>
                <w:sz w:val="16"/>
                <w:szCs w:val="16"/>
                <w:lang w:val="eu-ES"/>
              </w:rPr>
            </w:pPr>
            <w:r w:rsidRPr="001E2F6E">
              <w:rPr>
                <w:b/>
                <w:sz w:val="16"/>
                <w:szCs w:val="16"/>
                <w:lang w:val="es-ES_tradnl"/>
              </w:rPr>
              <w:t>%</w:t>
            </w:r>
          </w:p>
        </w:tc>
        <w:tc>
          <w:tcPr>
            <w:tcW w:w="428" w:type="pct"/>
            <w:tcBorders>
              <w:top w:val="single" w:sz="4" w:space="0" w:color="BFBFBF" w:themeColor="background1" w:themeShade="BF"/>
              <w:left w:val="single" w:sz="4" w:space="0" w:color="BFBFBF" w:themeColor="background1" w:themeShade="BF"/>
              <w:right w:val="single" w:sz="4" w:space="0" w:color="BFBFBF" w:themeColor="background1" w:themeShade="BF"/>
            </w:tcBorders>
            <w:shd w:val="clear" w:color="auto" w:fill="DBE5F1" w:themeFill="accent1" w:themeFillTint="33"/>
            <w:vAlign w:val="bottom"/>
          </w:tcPr>
          <w:p w:rsidR="00195BE7" w:rsidRPr="001E2F6E" w:rsidRDefault="00195BE7" w:rsidP="00195BE7">
            <w:pPr>
              <w:spacing w:line="240" w:lineRule="auto"/>
              <w:jc w:val="center"/>
              <w:rPr>
                <w:b/>
                <w:sz w:val="16"/>
                <w:szCs w:val="16"/>
                <w:lang w:val="eu-ES"/>
              </w:rPr>
            </w:pPr>
            <w:r w:rsidRPr="001E2F6E">
              <w:rPr>
                <w:b/>
                <w:bCs/>
                <w:sz w:val="16"/>
                <w:szCs w:val="16"/>
                <w:lang w:val="eu-ES"/>
              </w:rPr>
              <w:t>201  500</w:t>
            </w:r>
          </w:p>
          <w:p w:rsidR="00195BE7" w:rsidRPr="001E2F6E" w:rsidRDefault="00195BE7" w:rsidP="00195BE7">
            <w:pPr>
              <w:spacing w:line="240" w:lineRule="exact"/>
              <w:jc w:val="center"/>
              <w:rPr>
                <w:b/>
                <w:sz w:val="16"/>
                <w:szCs w:val="16"/>
                <w:lang w:val="eu-ES"/>
              </w:rPr>
            </w:pPr>
            <w:r w:rsidRPr="001E2F6E">
              <w:rPr>
                <w:b/>
                <w:sz w:val="16"/>
                <w:szCs w:val="16"/>
                <w:lang w:val="es-ES_tradnl"/>
              </w:rPr>
              <w:t>%</w:t>
            </w:r>
          </w:p>
        </w:tc>
        <w:tc>
          <w:tcPr>
            <w:tcW w:w="507" w:type="pct"/>
            <w:tcBorders>
              <w:top w:val="single" w:sz="4" w:space="0" w:color="BFBFBF" w:themeColor="background1" w:themeShade="BF"/>
              <w:left w:val="single" w:sz="4" w:space="0" w:color="BFBFBF" w:themeColor="background1" w:themeShade="BF"/>
            </w:tcBorders>
            <w:shd w:val="clear" w:color="auto" w:fill="DBE5F1" w:themeFill="accent1" w:themeFillTint="33"/>
            <w:vAlign w:val="bottom"/>
          </w:tcPr>
          <w:p w:rsidR="00195BE7" w:rsidRPr="001E2F6E" w:rsidRDefault="00195BE7" w:rsidP="00195BE7">
            <w:pPr>
              <w:spacing w:line="240" w:lineRule="auto"/>
              <w:jc w:val="center"/>
              <w:rPr>
                <w:b/>
                <w:sz w:val="16"/>
                <w:szCs w:val="16"/>
                <w:lang w:val="eu-ES"/>
              </w:rPr>
            </w:pPr>
            <w:r w:rsidRPr="001E2F6E">
              <w:rPr>
                <w:b/>
                <w:bCs/>
                <w:sz w:val="16"/>
                <w:szCs w:val="16"/>
                <w:lang w:val="eu-ES"/>
              </w:rPr>
              <w:t>500 enplegutik gora</w:t>
            </w:r>
          </w:p>
          <w:p w:rsidR="00195BE7" w:rsidRPr="001E2F6E" w:rsidRDefault="00195BE7" w:rsidP="00195BE7">
            <w:pPr>
              <w:spacing w:line="240" w:lineRule="exact"/>
              <w:jc w:val="center"/>
              <w:rPr>
                <w:b/>
                <w:sz w:val="16"/>
                <w:szCs w:val="16"/>
                <w:lang w:val="eu-ES"/>
              </w:rPr>
            </w:pPr>
            <w:r w:rsidRPr="001E2F6E">
              <w:rPr>
                <w:b/>
                <w:sz w:val="16"/>
                <w:szCs w:val="16"/>
                <w:lang w:val="es-ES_tradnl"/>
              </w:rPr>
              <w:t>%</w:t>
            </w:r>
          </w:p>
        </w:tc>
      </w:tr>
      <w:tr w:rsidR="00195BE7" w:rsidRPr="001E2F6E" w:rsidTr="00195BE7">
        <w:trPr>
          <w:jc w:val="center"/>
        </w:trPr>
        <w:tc>
          <w:tcPr>
            <w:tcW w:w="1301" w:type="pct"/>
            <w:tcBorders>
              <w:top w:val="single" w:sz="4" w:space="0" w:color="BFBFBF" w:themeColor="background1" w:themeShade="BF"/>
              <w:right w:val="single" w:sz="4" w:space="0" w:color="BFBFBF" w:themeColor="background1" w:themeShade="BF"/>
            </w:tcBorders>
          </w:tcPr>
          <w:p w:rsidR="00195BE7" w:rsidRPr="001E2F6E" w:rsidRDefault="00195BE7" w:rsidP="00195BE7">
            <w:pPr>
              <w:spacing w:line="240" w:lineRule="exact"/>
              <w:jc w:val="left"/>
              <w:rPr>
                <w:sz w:val="16"/>
                <w:szCs w:val="16"/>
                <w:lang w:val="eu-ES"/>
              </w:rPr>
            </w:pPr>
            <w:r w:rsidRPr="001E2F6E">
              <w:rPr>
                <w:sz w:val="16"/>
                <w:szCs w:val="16"/>
                <w:lang w:val="eu-ES"/>
              </w:rPr>
              <w:t>Barne-Erregimeneko Araudia</w:t>
            </w:r>
          </w:p>
        </w:tc>
        <w:tc>
          <w:tcPr>
            <w:tcW w:w="505" w:type="pct"/>
            <w:tcBorders>
              <w:top w:val="single" w:sz="4" w:space="0" w:color="BFBFBF" w:themeColor="background1" w:themeShade="BF"/>
              <w:left w:val="single" w:sz="4" w:space="0" w:color="BFBFBF" w:themeColor="background1" w:themeShade="BF"/>
              <w:right w:val="single" w:sz="4" w:space="0" w:color="BFBFBF" w:themeColor="background1" w:themeShade="BF"/>
            </w:tcBorders>
            <w:vAlign w:val="center"/>
          </w:tcPr>
          <w:p w:rsidR="00195BE7" w:rsidRPr="001E2F6E" w:rsidRDefault="00195BE7" w:rsidP="00195BE7">
            <w:pPr>
              <w:spacing w:line="240" w:lineRule="exact"/>
              <w:ind w:right="170"/>
              <w:jc w:val="right"/>
              <w:rPr>
                <w:bCs/>
                <w:sz w:val="16"/>
                <w:szCs w:val="16"/>
              </w:rPr>
            </w:pPr>
            <w:r w:rsidRPr="001E2F6E">
              <w:rPr>
                <w:bCs/>
                <w:sz w:val="16"/>
                <w:szCs w:val="16"/>
              </w:rPr>
              <w:t>15,6</w:t>
            </w:r>
          </w:p>
        </w:tc>
        <w:tc>
          <w:tcPr>
            <w:tcW w:w="545" w:type="pct"/>
            <w:tcBorders>
              <w:top w:val="single" w:sz="4" w:space="0" w:color="BFBFBF" w:themeColor="background1" w:themeShade="BF"/>
              <w:left w:val="single" w:sz="4" w:space="0" w:color="BFBFBF" w:themeColor="background1" w:themeShade="BF"/>
              <w:right w:val="single" w:sz="4" w:space="0" w:color="BFBFBF" w:themeColor="background1" w:themeShade="BF"/>
            </w:tcBorders>
            <w:vAlign w:val="center"/>
          </w:tcPr>
          <w:p w:rsidR="00195BE7" w:rsidRPr="001E2F6E" w:rsidRDefault="00195BE7" w:rsidP="00195BE7">
            <w:pPr>
              <w:spacing w:line="240" w:lineRule="exact"/>
              <w:ind w:right="170"/>
              <w:jc w:val="right"/>
              <w:rPr>
                <w:sz w:val="16"/>
                <w:szCs w:val="16"/>
              </w:rPr>
            </w:pPr>
            <w:r w:rsidRPr="001E2F6E">
              <w:rPr>
                <w:sz w:val="16"/>
                <w:szCs w:val="16"/>
              </w:rPr>
              <w:t>4,9</w:t>
            </w:r>
          </w:p>
        </w:tc>
        <w:tc>
          <w:tcPr>
            <w:tcW w:w="428" w:type="pct"/>
            <w:tcBorders>
              <w:top w:val="single" w:sz="4" w:space="0" w:color="BFBFBF" w:themeColor="background1" w:themeShade="BF"/>
              <w:left w:val="single" w:sz="4" w:space="0" w:color="BFBFBF" w:themeColor="background1" w:themeShade="BF"/>
              <w:right w:val="single" w:sz="4" w:space="0" w:color="BFBFBF" w:themeColor="background1" w:themeShade="BF"/>
            </w:tcBorders>
            <w:vAlign w:val="center"/>
          </w:tcPr>
          <w:p w:rsidR="00195BE7" w:rsidRPr="001E2F6E" w:rsidRDefault="00195BE7" w:rsidP="00195BE7">
            <w:pPr>
              <w:spacing w:line="240" w:lineRule="exact"/>
              <w:ind w:right="170"/>
              <w:jc w:val="right"/>
              <w:rPr>
                <w:sz w:val="16"/>
                <w:szCs w:val="16"/>
              </w:rPr>
            </w:pPr>
            <w:r w:rsidRPr="001E2F6E">
              <w:rPr>
                <w:sz w:val="16"/>
                <w:szCs w:val="16"/>
              </w:rPr>
              <w:t>27,4</w:t>
            </w:r>
          </w:p>
        </w:tc>
        <w:tc>
          <w:tcPr>
            <w:tcW w:w="430" w:type="pct"/>
            <w:tcBorders>
              <w:top w:val="single" w:sz="4" w:space="0" w:color="BFBFBF" w:themeColor="background1" w:themeShade="BF"/>
              <w:left w:val="single" w:sz="4" w:space="0" w:color="BFBFBF" w:themeColor="background1" w:themeShade="BF"/>
              <w:right w:val="single" w:sz="4" w:space="0" w:color="BFBFBF" w:themeColor="background1" w:themeShade="BF"/>
            </w:tcBorders>
            <w:vAlign w:val="center"/>
          </w:tcPr>
          <w:p w:rsidR="00195BE7" w:rsidRPr="001E2F6E" w:rsidRDefault="00195BE7" w:rsidP="00195BE7">
            <w:pPr>
              <w:spacing w:line="240" w:lineRule="exact"/>
              <w:ind w:right="170"/>
              <w:jc w:val="right"/>
              <w:rPr>
                <w:sz w:val="16"/>
                <w:szCs w:val="16"/>
              </w:rPr>
            </w:pPr>
            <w:r w:rsidRPr="001E2F6E">
              <w:rPr>
                <w:sz w:val="16"/>
                <w:szCs w:val="16"/>
              </w:rPr>
              <w:t>17,0</w:t>
            </w:r>
          </w:p>
        </w:tc>
        <w:tc>
          <w:tcPr>
            <w:tcW w:w="428" w:type="pct"/>
            <w:tcBorders>
              <w:top w:val="single" w:sz="4" w:space="0" w:color="BFBFBF" w:themeColor="background1" w:themeShade="BF"/>
              <w:left w:val="single" w:sz="4" w:space="0" w:color="BFBFBF" w:themeColor="background1" w:themeShade="BF"/>
              <w:right w:val="single" w:sz="4" w:space="0" w:color="BFBFBF" w:themeColor="background1" w:themeShade="BF"/>
            </w:tcBorders>
            <w:vAlign w:val="center"/>
          </w:tcPr>
          <w:p w:rsidR="00195BE7" w:rsidRPr="001E2F6E" w:rsidRDefault="00195BE7" w:rsidP="00195BE7">
            <w:pPr>
              <w:spacing w:line="240" w:lineRule="exact"/>
              <w:ind w:right="170"/>
              <w:jc w:val="right"/>
              <w:rPr>
                <w:sz w:val="16"/>
                <w:szCs w:val="16"/>
              </w:rPr>
            </w:pPr>
            <w:r w:rsidRPr="001E2F6E">
              <w:rPr>
                <w:sz w:val="16"/>
                <w:szCs w:val="16"/>
              </w:rPr>
              <w:t>47,3</w:t>
            </w:r>
          </w:p>
        </w:tc>
        <w:tc>
          <w:tcPr>
            <w:tcW w:w="428" w:type="pct"/>
            <w:tcBorders>
              <w:top w:val="single" w:sz="4" w:space="0" w:color="BFBFBF" w:themeColor="background1" w:themeShade="BF"/>
              <w:left w:val="single" w:sz="4" w:space="0" w:color="BFBFBF" w:themeColor="background1" w:themeShade="BF"/>
              <w:right w:val="single" w:sz="4" w:space="0" w:color="BFBFBF" w:themeColor="background1" w:themeShade="BF"/>
            </w:tcBorders>
            <w:vAlign w:val="center"/>
          </w:tcPr>
          <w:p w:rsidR="00195BE7" w:rsidRPr="001E2F6E" w:rsidRDefault="00195BE7" w:rsidP="00195BE7">
            <w:pPr>
              <w:spacing w:line="240" w:lineRule="exact"/>
              <w:ind w:right="170"/>
              <w:jc w:val="right"/>
              <w:rPr>
                <w:sz w:val="16"/>
                <w:szCs w:val="16"/>
              </w:rPr>
            </w:pPr>
            <w:r w:rsidRPr="001E2F6E">
              <w:rPr>
                <w:sz w:val="16"/>
                <w:szCs w:val="16"/>
              </w:rPr>
              <w:t>0,0</w:t>
            </w:r>
          </w:p>
        </w:tc>
        <w:tc>
          <w:tcPr>
            <w:tcW w:w="428" w:type="pct"/>
            <w:tcBorders>
              <w:top w:val="single" w:sz="4" w:space="0" w:color="BFBFBF" w:themeColor="background1" w:themeShade="BF"/>
              <w:left w:val="single" w:sz="4" w:space="0" w:color="BFBFBF" w:themeColor="background1" w:themeShade="BF"/>
              <w:right w:val="single" w:sz="4" w:space="0" w:color="BFBFBF" w:themeColor="background1" w:themeShade="BF"/>
            </w:tcBorders>
            <w:vAlign w:val="center"/>
          </w:tcPr>
          <w:p w:rsidR="00195BE7" w:rsidRPr="001E2F6E" w:rsidRDefault="00195BE7" w:rsidP="00195BE7">
            <w:pPr>
              <w:spacing w:line="240" w:lineRule="exact"/>
              <w:ind w:right="170"/>
              <w:jc w:val="right"/>
              <w:rPr>
                <w:sz w:val="16"/>
                <w:szCs w:val="16"/>
              </w:rPr>
            </w:pPr>
            <w:r w:rsidRPr="001E2F6E">
              <w:rPr>
                <w:sz w:val="16"/>
                <w:szCs w:val="16"/>
              </w:rPr>
              <w:t>0,0</w:t>
            </w:r>
          </w:p>
        </w:tc>
        <w:tc>
          <w:tcPr>
            <w:tcW w:w="507" w:type="pct"/>
            <w:tcBorders>
              <w:top w:val="single" w:sz="4" w:space="0" w:color="BFBFBF" w:themeColor="background1" w:themeShade="BF"/>
              <w:left w:val="single" w:sz="4" w:space="0" w:color="BFBFBF" w:themeColor="background1" w:themeShade="BF"/>
            </w:tcBorders>
            <w:vAlign w:val="center"/>
          </w:tcPr>
          <w:p w:rsidR="00195BE7" w:rsidRPr="001E2F6E" w:rsidRDefault="00195BE7" w:rsidP="00195BE7">
            <w:pPr>
              <w:spacing w:line="240" w:lineRule="exact"/>
              <w:ind w:right="170"/>
              <w:jc w:val="right"/>
              <w:rPr>
                <w:sz w:val="16"/>
                <w:szCs w:val="16"/>
              </w:rPr>
            </w:pPr>
            <w:r w:rsidRPr="001E2F6E">
              <w:rPr>
                <w:sz w:val="16"/>
                <w:szCs w:val="16"/>
              </w:rPr>
              <w:t>100,0</w:t>
            </w:r>
          </w:p>
        </w:tc>
      </w:tr>
      <w:tr w:rsidR="00195BE7" w:rsidRPr="001E2F6E" w:rsidTr="00195BE7">
        <w:trPr>
          <w:jc w:val="center"/>
        </w:trPr>
        <w:tc>
          <w:tcPr>
            <w:tcW w:w="1301" w:type="pct"/>
            <w:tcBorders>
              <w:right w:val="single" w:sz="4" w:space="0" w:color="BFBFBF" w:themeColor="background1" w:themeShade="BF"/>
            </w:tcBorders>
          </w:tcPr>
          <w:p w:rsidR="00195BE7" w:rsidRPr="001E2F6E" w:rsidRDefault="00195BE7" w:rsidP="00195BE7">
            <w:pPr>
              <w:spacing w:line="240" w:lineRule="exact"/>
              <w:jc w:val="left"/>
              <w:rPr>
                <w:sz w:val="16"/>
                <w:szCs w:val="16"/>
                <w:lang w:val="eu-ES"/>
              </w:rPr>
            </w:pPr>
            <w:r w:rsidRPr="001E2F6E">
              <w:rPr>
                <w:sz w:val="16"/>
                <w:szCs w:val="16"/>
                <w:lang w:val="eu-ES"/>
              </w:rPr>
              <w:t>Kudeaketa-Plana</w:t>
            </w:r>
          </w:p>
        </w:tc>
        <w:tc>
          <w:tcPr>
            <w:tcW w:w="505" w:type="pct"/>
            <w:tcBorders>
              <w:left w:val="single" w:sz="4" w:space="0" w:color="BFBFBF" w:themeColor="background1" w:themeShade="BF"/>
              <w:right w:val="single" w:sz="4" w:space="0" w:color="BFBFBF" w:themeColor="background1" w:themeShade="BF"/>
            </w:tcBorders>
            <w:vAlign w:val="center"/>
          </w:tcPr>
          <w:p w:rsidR="00195BE7" w:rsidRPr="001E2F6E" w:rsidRDefault="00195BE7" w:rsidP="00195BE7">
            <w:pPr>
              <w:spacing w:line="240" w:lineRule="exact"/>
              <w:ind w:right="170"/>
              <w:jc w:val="right"/>
              <w:rPr>
                <w:bCs/>
                <w:sz w:val="16"/>
                <w:szCs w:val="16"/>
              </w:rPr>
            </w:pPr>
            <w:r w:rsidRPr="001E2F6E">
              <w:rPr>
                <w:bCs/>
                <w:sz w:val="16"/>
                <w:szCs w:val="16"/>
              </w:rPr>
              <w:t>50,1</w:t>
            </w:r>
          </w:p>
        </w:tc>
        <w:tc>
          <w:tcPr>
            <w:tcW w:w="545" w:type="pct"/>
            <w:tcBorders>
              <w:left w:val="single" w:sz="4" w:space="0" w:color="BFBFBF" w:themeColor="background1" w:themeShade="BF"/>
              <w:right w:val="single" w:sz="4" w:space="0" w:color="BFBFBF" w:themeColor="background1" w:themeShade="BF"/>
            </w:tcBorders>
            <w:vAlign w:val="center"/>
          </w:tcPr>
          <w:p w:rsidR="00195BE7" w:rsidRPr="001E2F6E" w:rsidRDefault="00195BE7" w:rsidP="00195BE7">
            <w:pPr>
              <w:spacing w:line="240" w:lineRule="exact"/>
              <w:ind w:right="170"/>
              <w:jc w:val="right"/>
              <w:rPr>
                <w:sz w:val="16"/>
                <w:szCs w:val="16"/>
              </w:rPr>
            </w:pPr>
            <w:r w:rsidRPr="001E2F6E">
              <w:rPr>
                <w:sz w:val="16"/>
                <w:szCs w:val="16"/>
              </w:rPr>
              <w:t>62,2</w:t>
            </w:r>
          </w:p>
        </w:tc>
        <w:tc>
          <w:tcPr>
            <w:tcW w:w="428" w:type="pct"/>
            <w:tcBorders>
              <w:left w:val="single" w:sz="4" w:space="0" w:color="BFBFBF" w:themeColor="background1" w:themeShade="BF"/>
              <w:right w:val="single" w:sz="4" w:space="0" w:color="BFBFBF" w:themeColor="background1" w:themeShade="BF"/>
            </w:tcBorders>
            <w:vAlign w:val="center"/>
          </w:tcPr>
          <w:p w:rsidR="00195BE7" w:rsidRPr="001E2F6E" w:rsidRDefault="00195BE7" w:rsidP="00195BE7">
            <w:pPr>
              <w:spacing w:line="240" w:lineRule="exact"/>
              <w:ind w:right="170"/>
              <w:jc w:val="right"/>
              <w:rPr>
                <w:sz w:val="16"/>
                <w:szCs w:val="16"/>
              </w:rPr>
            </w:pPr>
            <w:r w:rsidRPr="001E2F6E">
              <w:rPr>
                <w:sz w:val="16"/>
                <w:szCs w:val="16"/>
              </w:rPr>
              <w:t>34,7</w:t>
            </w:r>
          </w:p>
        </w:tc>
        <w:tc>
          <w:tcPr>
            <w:tcW w:w="430" w:type="pct"/>
            <w:tcBorders>
              <w:left w:val="single" w:sz="4" w:space="0" w:color="BFBFBF" w:themeColor="background1" w:themeShade="BF"/>
              <w:right w:val="single" w:sz="4" w:space="0" w:color="BFBFBF" w:themeColor="background1" w:themeShade="BF"/>
            </w:tcBorders>
            <w:vAlign w:val="center"/>
          </w:tcPr>
          <w:p w:rsidR="00195BE7" w:rsidRPr="001E2F6E" w:rsidRDefault="00195BE7" w:rsidP="00195BE7">
            <w:pPr>
              <w:spacing w:line="240" w:lineRule="exact"/>
              <w:ind w:right="170"/>
              <w:jc w:val="right"/>
              <w:rPr>
                <w:sz w:val="16"/>
                <w:szCs w:val="16"/>
              </w:rPr>
            </w:pPr>
            <w:r w:rsidRPr="001E2F6E">
              <w:rPr>
                <w:sz w:val="16"/>
                <w:szCs w:val="16"/>
              </w:rPr>
              <w:t>45,3</w:t>
            </w:r>
          </w:p>
        </w:tc>
        <w:tc>
          <w:tcPr>
            <w:tcW w:w="428" w:type="pct"/>
            <w:tcBorders>
              <w:left w:val="single" w:sz="4" w:space="0" w:color="BFBFBF" w:themeColor="background1" w:themeShade="BF"/>
              <w:right w:val="single" w:sz="4" w:space="0" w:color="BFBFBF" w:themeColor="background1" w:themeShade="BF"/>
            </w:tcBorders>
            <w:vAlign w:val="center"/>
          </w:tcPr>
          <w:p w:rsidR="00195BE7" w:rsidRPr="001E2F6E" w:rsidRDefault="00195BE7" w:rsidP="00195BE7">
            <w:pPr>
              <w:spacing w:line="240" w:lineRule="exact"/>
              <w:ind w:right="170"/>
              <w:jc w:val="right"/>
              <w:rPr>
                <w:sz w:val="16"/>
                <w:szCs w:val="16"/>
              </w:rPr>
            </w:pPr>
            <w:r w:rsidRPr="001E2F6E">
              <w:rPr>
                <w:sz w:val="16"/>
                <w:szCs w:val="16"/>
              </w:rPr>
              <w:t>26,4</w:t>
            </w:r>
          </w:p>
        </w:tc>
        <w:tc>
          <w:tcPr>
            <w:tcW w:w="428" w:type="pct"/>
            <w:tcBorders>
              <w:left w:val="single" w:sz="4" w:space="0" w:color="BFBFBF" w:themeColor="background1" w:themeShade="BF"/>
              <w:right w:val="single" w:sz="4" w:space="0" w:color="BFBFBF" w:themeColor="background1" w:themeShade="BF"/>
            </w:tcBorders>
            <w:vAlign w:val="center"/>
          </w:tcPr>
          <w:p w:rsidR="00195BE7" w:rsidRPr="001E2F6E" w:rsidRDefault="00195BE7" w:rsidP="00195BE7">
            <w:pPr>
              <w:spacing w:line="240" w:lineRule="exact"/>
              <w:ind w:right="170"/>
              <w:jc w:val="right"/>
              <w:rPr>
                <w:sz w:val="16"/>
                <w:szCs w:val="16"/>
              </w:rPr>
            </w:pPr>
            <w:r w:rsidRPr="001E2F6E">
              <w:rPr>
                <w:sz w:val="16"/>
                <w:szCs w:val="16"/>
              </w:rPr>
              <w:t>50,0</w:t>
            </w:r>
          </w:p>
        </w:tc>
        <w:tc>
          <w:tcPr>
            <w:tcW w:w="428" w:type="pct"/>
            <w:tcBorders>
              <w:left w:val="single" w:sz="4" w:space="0" w:color="BFBFBF" w:themeColor="background1" w:themeShade="BF"/>
              <w:right w:val="single" w:sz="4" w:space="0" w:color="BFBFBF" w:themeColor="background1" w:themeShade="BF"/>
            </w:tcBorders>
            <w:vAlign w:val="center"/>
          </w:tcPr>
          <w:p w:rsidR="00195BE7" w:rsidRPr="001E2F6E" w:rsidRDefault="00195BE7" w:rsidP="00195BE7">
            <w:pPr>
              <w:spacing w:line="240" w:lineRule="exact"/>
              <w:ind w:right="170"/>
              <w:jc w:val="right"/>
              <w:rPr>
                <w:sz w:val="16"/>
                <w:szCs w:val="16"/>
              </w:rPr>
            </w:pPr>
            <w:r w:rsidRPr="001E2F6E">
              <w:rPr>
                <w:sz w:val="16"/>
                <w:szCs w:val="16"/>
              </w:rPr>
              <w:t>46,8</w:t>
            </w:r>
          </w:p>
        </w:tc>
        <w:tc>
          <w:tcPr>
            <w:tcW w:w="507" w:type="pct"/>
            <w:tcBorders>
              <w:left w:val="single" w:sz="4" w:space="0" w:color="BFBFBF" w:themeColor="background1" w:themeShade="BF"/>
            </w:tcBorders>
            <w:vAlign w:val="center"/>
          </w:tcPr>
          <w:p w:rsidR="00195BE7" w:rsidRPr="001E2F6E" w:rsidRDefault="00195BE7" w:rsidP="00195BE7">
            <w:pPr>
              <w:spacing w:line="240" w:lineRule="exact"/>
              <w:ind w:right="170"/>
              <w:jc w:val="right"/>
              <w:rPr>
                <w:sz w:val="16"/>
                <w:szCs w:val="16"/>
              </w:rPr>
            </w:pPr>
            <w:r w:rsidRPr="001E2F6E">
              <w:rPr>
                <w:sz w:val="16"/>
                <w:szCs w:val="16"/>
              </w:rPr>
              <w:t>100,0</w:t>
            </w:r>
          </w:p>
        </w:tc>
      </w:tr>
      <w:tr w:rsidR="00195BE7" w:rsidRPr="001E2F6E" w:rsidTr="00195BE7">
        <w:trPr>
          <w:jc w:val="center"/>
        </w:trPr>
        <w:tc>
          <w:tcPr>
            <w:tcW w:w="1301" w:type="pct"/>
            <w:tcBorders>
              <w:right w:val="single" w:sz="4" w:space="0" w:color="BFBFBF" w:themeColor="background1" w:themeShade="BF"/>
            </w:tcBorders>
          </w:tcPr>
          <w:p w:rsidR="00195BE7" w:rsidRPr="001E2F6E" w:rsidRDefault="00195BE7" w:rsidP="00195BE7">
            <w:pPr>
              <w:spacing w:line="240" w:lineRule="exact"/>
              <w:jc w:val="left"/>
              <w:rPr>
                <w:sz w:val="16"/>
                <w:szCs w:val="16"/>
                <w:lang w:val="eu-ES"/>
              </w:rPr>
            </w:pPr>
            <w:r w:rsidRPr="001E2F6E">
              <w:rPr>
                <w:sz w:val="16"/>
                <w:szCs w:val="16"/>
                <w:lang w:val="eu-ES"/>
              </w:rPr>
              <w:t>Prestakuntza-Plana</w:t>
            </w:r>
          </w:p>
        </w:tc>
        <w:tc>
          <w:tcPr>
            <w:tcW w:w="505" w:type="pct"/>
            <w:tcBorders>
              <w:left w:val="single" w:sz="4" w:space="0" w:color="BFBFBF" w:themeColor="background1" w:themeShade="BF"/>
              <w:right w:val="single" w:sz="4" w:space="0" w:color="BFBFBF" w:themeColor="background1" w:themeShade="BF"/>
            </w:tcBorders>
            <w:vAlign w:val="center"/>
          </w:tcPr>
          <w:p w:rsidR="00195BE7" w:rsidRPr="001E2F6E" w:rsidRDefault="00195BE7" w:rsidP="00195BE7">
            <w:pPr>
              <w:spacing w:line="240" w:lineRule="exact"/>
              <w:ind w:right="170"/>
              <w:jc w:val="right"/>
              <w:rPr>
                <w:bCs/>
                <w:sz w:val="16"/>
                <w:szCs w:val="16"/>
              </w:rPr>
            </w:pPr>
            <w:r w:rsidRPr="001E2F6E">
              <w:rPr>
                <w:bCs/>
                <w:sz w:val="16"/>
                <w:szCs w:val="16"/>
              </w:rPr>
              <w:t>30,0</w:t>
            </w:r>
          </w:p>
        </w:tc>
        <w:tc>
          <w:tcPr>
            <w:tcW w:w="545" w:type="pct"/>
            <w:tcBorders>
              <w:left w:val="single" w:sz="4" w:space="0" w:color="BFBFBF" w:themeColor="background1" w:themeShade="BF"/>
              <w:right w:val="single" w:sz="4" w:space="0" w:color="BFBFBF" w:themeColor="background1" w:themeShade="BF"/>
            </w:tcBorders>
            <w:vAlign w:val="center"/>
          </w:tcPr>
          <w:p w:rsidR="00195BE7" w:rsidRPr="001E2F6E" w:rsidRDefault="00195BE7" w:rsidP="00195BE7">
            <w:pPr>
              <w:spacing w:line="240" w:lineRule="exact"/>
              <w:ind w:right="170"/>
              <w:jc w:val="right"/>
              <w:rPr>
                <w:sz w:val="16"/>
                <w:szCs w:val="16"/>
              </w:rPr>
            </w:pPr>
            <w:r w:rsidRPr="001E2F6E">
              <w:rPr>
                <w:sz w:val="16"/>
                <w:szCs w:val="16"/>
              </w:rPr>
              <w:t>26,5</w:t>
            </w:r>
          </w:p>
        </w:tc>
        <w:tc>
          <w:tcPr>
            <w:tcW w:w="428" w:type="pct"/>
            <w:tcBorders>
              <w:left w:val="single" w:sz="4" w:space="0" w:color="BFBFBF" w:themeColor="background1" w:themeShade="BF"/>
              <w:right w:val="single" w:sz="4" w:space="0" w:color="BFBFBF" w:themeColor="background1" w:themeShade="BF"/>
            </w:tcBorders>
            <w:vAlign w:val="center"/>
          </w:tcPr>
          <w:p w:rsidR="00195BE7" w:rsidRPr="001E2F6E" w:rsidRDefault="00195BE7" w:rsidP="00195BE7">
            <w:pPr>
              <w:spacing w:line="240" w:lineRule="exact"/>
              <w:ind w:right="170"/>
              <w:jc w:val="right"/>
              <w:rPr>
                <w:sz w:val="16"/>
                <w:szCs w:val="16"/>
              </w:rPr>
            </w:pPr>
            <w:r w:rsidRPr="001E2F6E">
              <w:rPr>
                <w:sz w:val="16"/>
                <w:szCs w:val="16"/>
              </w:rPr>
              <w:t>27,8</w:t>
            </w:r>
          </w:p>
        </w:tc>
        <w:tc>
          <w:tcPr>
            <w:tcW w:w="430" w:type="pct"/>
            <w:tcBorders>
              <w:left w:val="single" w:sz="4" w:space="0" w:color="BFBFBF" w:themeColor="background1" w:themeShade="BF"/>
              <w:right w:val="single" w:sz="4" w:space="0" w:color="BFBFBF" w:themeColor="background1" w:themeShade="BF"/>
            </w:tcBorders>
            <w:vAlign w:val="center"/>
          </w:tcPr>
          <w:p w:rsidR="00195BE7" w:rsidRPr="001E2F6E" w:rsidRDefault="00195BE7" w:rsidP="00195BE7">
            <w:pPr>
              <w:spacing w:line="240" w:lineRule="exact"/>
              <w:ind w:right="170"/>
              <w:jc w:val="right"/>
              <w:rPr>
                <w:sz w:val="16"/>
                <w:szCs w:val="16"/>
              </w:rPr>
            </w:pPr>
            <w:r w:rsidRPr="001E2F6E">
              <w:rPr>
                <w:sz w:val="16"/>
                <w:szCs w:val="16"/>
              </w:rPr>
              <w:t>41,4</w:t>
            </w:r>
          </w:p>
        </w:tc>
        <w:tc>
          <w:tcPr>
            <w:tcW w:w="428" w:type="pct"/>
            <w:tcBorders>
              <w:left w:val="single" w:sz="4" w:space="0" w:color="BFBFBF" w:themeColor="background1" w:themeShade="BF"/>
              <w:right w:val="single" w:sz="4" w:space="0" w:color="BFBFBF" w:themeColor="background1" w:themeShade="BF"/>
            </w:tcBorders>
            <w:vAlign w:val="center"/>
          </w:tcPr>
          <w:p w:rsidR="00195BE7" w:rsidRPr="001E2F6E" w:rsidRDefault="00195BE7" w:rsidP="00195BE7">
            <w:pPr>
              <w:spacing w:line="240" w:lineRule="exact"/>
              <w:ind w:right="170"/>
              <w:jc w:val="right"/>
              <w:rPr>
                <w:sz w:val="16"/>
                <w:szCs w:val="16"/>
              </w:rPr>
            </w:pPr>
            <w:r w:rsidRPr="001E2F6E">
              <w:rPr>
                <w:sz w:val="16"/>
                <w:szCs w:val="16"/>
              </w:rPr>
              <w:t>26,3</w:t>
            </w:r>
          </w:p>
        </w:tc>
        <w:tc>
          <w:tcPr>
            <w:tcW w:w="428" w:type="pct"/>
            <w:tcBorders>
              <w:left w:val="single" w:sz="4" w:space="0" w:color="BFBFBF" w:themeColor="background1" w:themeShade="BF"/>
              <w:right w:val="single" w:sz="4" w:space="0" w:color="BFBFBF" w:themeColor="background1" w:themeShade="BF"/>
            </w:tcBorders>
            <w:vAlign w:val="center"/>
          </w:tcPr>
          <w:p w:rsidR="00195BE7" w:rsidRPr="001E2F6E" w:rsidRDefault="00195BE7" w:rsidP="00195BE7">
            <w:pPr>
              <w:spacing w:line="240" w:lineRule="exact"/>
              <w:ind w:right="170"/>
              <w:jc w:val="right"/>
              <w:rPr>
                <w:sz w:val="16"/>
                <w:szCs w:val="16"/>
              </w:rPr>
            </w:pPr>
            <w:r w:rsidRPr="001E2F6E">
              <w:rPr>
                <w:sz w:val="16"/>
                <w:szCs w:val="16"/>
              </w:rPr>
              <w:t>0,0</w:t>
            </w:r>
          </w:p>
        </w:tc>
        <w:tc>
          <w:tcPr>
            <w:tcW w:w="428" w:type="pct"/>
            <w:tcBorders>
              <w:left w:val="single" w:sz="4" w:space="0" w:color="BFBFBF" w:themeColor="background1" w:themeShade="BF"/>
              <w:right w:val="single" w:sz="4" w:space="0" w:color="BFBFBF" w:themeColor="background1" w:themeShade="BF"/>
            </w:tcBorders>
            <w:vAlign w:val="center"/>
          </w:tcPr>
          <w:p w:rsidR="00195BE7" w:rsidRPr="001E2F6E" w:rsidRDefault="00195BE7" w:rsidP="00195BE7">
            <w:pPr>
              <w:spacing w:line="240" w:lineRule="exact"/>
              <w:ind w:right="170"/>
              <w:jc w:val="right"/>
              <w:rPr>
                <w:sz w:val="16"/>
                <w:szCs w:val="16"/>
              </w:rPr>
            </w:pPr>
            <w:r w:rsidRPr="001E2F6E">
              <w:rPr>
                <w:sz w:val="16"/>
                <w:szCs w:val="16"/>
              </w:rPr>
              <w:t>46,8</w:t>
            </w:r>
          </w:p>
        </w:tc>
        <w:tc>
          <w:tcPr>
            <w:tcW w:w="507" w:type="pct"/>
            <w:tcBorders>
              <w:left w:val="single" w:sz="4" w:space="0" w:color="BFBFBF" w:themeColor="background1" w:themeShade="BF"/>
            </w:tcBorders>
            <w:vAlign w:val="center"/>
          </w:tcPr>
          <w:p w:rsidR="00195BE7" w:rsidRPr="001E2F6E" w:rsidRDefault="00195BE7" w:rsidP="00195BE7">
            <w:pPr>
              <w:spacing w:line="240" w:lineRule="exact"/>
              <w:ind w:right="170"/>
              <w:jc w:val="right"/>
              <w:rPr>
                <w:sz w:val="16"/>
                <w:szCs w:val="16"/>
              </w:rPr>
            </w:pPr>
            <w:r w:rsidRPr="001E2F6E">
              <w:rPr>
                <w:sz w:val="16"/>
                <w:szCs w:val="16"/>
              </w:rPr>
              <w:t>100,0</w:t>
            </w:r>
          </w:p>
        </w:tc>
      </w:tr>
      <w:tr w:rsidR="00195BE7" w:rsidRPr="001E2F6E" w:rsidTr="00195BE7">
        <w:trPr>
          <w:jc w:val="center"/>
        </w:trPr>
        <w:tc>
          <w:tcPr>
            <w:tcW w:w="1301" w:type="pct"/>
            <w:tcBorders>
              <w:right w:val="single" w:sz="4" w:space="0" w:color="BFBFBF" w:themeColor="background1" w:themeShade="BF"/>
            </w:tcBorders>
          </w:tcPr>
          <w:p w:rsidR="00195BE7" w:rsidRPr="001E2F6E" w:rsidRDefault="00195BE7" w:rsidP="00195BE7">
            <w:pPr>
              <w:spacing w:line="240" w:lineRule="exact"/>
              <w:jc w:val="left"/>
              <w:rPr>
                <w:sz w:val="16"/>
                <w:szCs w:val="16"/>
                <w:lang w:val="eu-ES"/>
              </w:rPr>
            </w:pPr>
            <w:r w:rsidRPr="001E2F6E">
              <w:rPr>
                <w:sz w:val="16"/>
                <w:szCs w:val="16"/>
                <w:lang w:val="eu-ES"/>
              </w:rPr>
              <w:t xml:space="preserve">Plan Estrategikoa </w:t>
            </w:r>
          </w:p>
        </w:tc>
        <w:tc>
          <w:tcPr>
            <w:tcW w:w="505" w:type="pct"/>
            <w:tcBorders>
              <w:left w:val="single" w:sz="4" w:space="0" w:color="BFBFBF" w:themeColor="background1" w:themeShade="BF"/>
              <w:right w:val="single" w:sz="4" w:space="0" w:color="BFBFBF" w:themeColor="background1" w:themeShade="BF"/>
            </w:tcBorders>
            <w:vAlign w:val="center"/>
          </w:tcPr>
          <w:p w:rsidR="00195BE7" w:rsidRPr="001E2F6E" w:rsidRDefault="00195BE7" w:rsidP="00195BE7">
            <w:pPr>
              <w:spacing w:line="240" w:lineRule="exact"/>
              <w:ind w:right="170"/>
              <w:jc w:val="right"/>
              <w:rPr>
                <w:bCs/>
                <w:sz w:val="16"/>
                <w:szCs w:val="16"/>
              </w:rPr>
            </w:pPr>
            <w:r w:rsidRPr="001E2F6E">
              <w:rPr>
                <w:bCs/>
                <w:sz w:val="16"/>
                <w:szCs w:val="16"/>
              </w:rPr>
              <w:t>44,8</w:t>
            </w:r>
          </w:p>
        </w:tc>
        <w:tc>
          <w:tcPr>
            <w:tcW w:w="545" w:type="pct"/>
            <w:tcBorders>
              <w:left w:val="single" w:sz="4" w:space="0" w:color="BFBFBF" w:themeColor="background1" w:themeShade="BF"/>
              <w:right w:val="single" w:sz="4" w:space="0" w:color="BFBFBF" w:themeColor="background1" w:themeShade="BF"/>
            </w:tcBorders>
            <w:vAlign w:val="center"/>
          </w:tcPr>
          <w:p w:rsidR="00195BE7" w:rsidRPr="001E2F6E" w:rsidRDefault="00195BE7" w:rsidP="00195BE7">
            <w:pPr>
              <w:spacing w:line="240" w:lineRule="exact"/>
              <w:ind w:right="170"/>
              <w:jc w:val="right"/>
              <w:rPr>
                <w:sz w:val="16"/>
                <w:szCs w:val="16"/>
              </w:rPr>
            </w:pPr>
            <w:r w:rsidRPr="001E2F6E">
              <w:rPr>
                <w:sz w:val="16"/>
                <w:szCs w:val="16"/>
              </w:rPr>
              <w:t>43,8</w:t>
            </w:r>
          </w:p>
        </w:tc>
        <w:tc>
          <w:tcPr>
            <w:tcW w:w="428" w:type="pct"/>
            <w:tcBorders>
              <w:left w:val="single" w:sz="4" w:space="0" w:color="BFBFBF" w:themeColor="background1" w:themeShade="BF"/>
              <w:right w:val="single" w:sz="4" w:space="0" w:color="BFBFBF" w:themeColor="background1" w:themeShade="BF"/>
            </w:tcBorders>
            <w:vAlign w:val="center"/>
          </w:tcPr>
          <w:p w:rsidR="00195BE7" w:rsidRPr="001E2F6E" w:rsidRDefault="00195BE7" w:rsidP="00195BE7">
            <w:pPr>
              <w:spacing w:line="240" w:lineRule="exact"/>
              <w:ind w:right="170"/>
              <w:jc w:val="right"/>
              <w:rPr>
                <w:sz w:val="16"/>
                <w:szCs w:val="16"/>
              </w:rPr>
            </w:pPr>
            <w:r w:rsidRPr="001E2F6E">
              <w:rPr>
                <w:sz w:val="16"/>
                <w:szCs w:val="16"/>
              </w:rPr>
              <w:t>49,1</w:t>
            </w:r>
          </w:p>
        </w:tc>
        <w:tc>
          <w:tcPr>
            <w:tcW w:w="430" w:type="pct"/>
            <w:tcBorders>
              <w:left w:val="single" w:sz="4" w:space="0" w:color="BFBFBF" w:themeColor="background1" w:themeShade="BF"/>
              <w:right w:val="single" w:sz="4" w:space="0" w:color="BFBFBF" w:themeColor="background1" w:themeShade="BF"/>
            </w:tcBorders>
            <w:vAlign w:val="center"/>
          </w:tcPr>
          <w:p w:rsidR="00195BE7" w:rsidRPr="001E2F6E" w:rsidRDefault="00195BE7" w:rsidP="00195BE7">
            <w:pPr>
              <w:spacing w:line="240" w:lineRule="exact"/>
              <w:ind w:right="170"/>
              <w:jc w:val="right"/>
              <w:rPr>
                <w:sz w:val="16"/>
                <w:szCs w:val="16"/>
              </w:rPr>
            </w:pPr>
            <w:r w:rsidRPr="001E2F6E">
              <w:rPr>
                <w:sz w:val="16"/>
                <w:szCs w:val="16"/>
              </w:rPr>
              <w:t>44,1</w:t>
            </w:r>
          </w:p>
        </w:tc>
        <w:tc>
          <w:tcPr>
            <w:tcW w:w="428" w:type="pct"/>
            <w:tcBorders>
              <w:left w:val="single" w:sz="4" w:space="0" w:color="BFBFBF" w:themeColor="background1" w:themeShade="BF"/>
              <w:right w:val="single" w:sz="4" w:space="0" w:color="BFBFBF" w:themeColor="background1" w:themeShade="BF"/>
            </w:tcBorders>
            <w:vAlign w:val="center"/>
          </w:tcPr>
          <w:p w:rsidR="00195BE7" w:rsidRPr="001E2F6E" w:rsidRDefault="00195BE7" w:rsidP="00195BE7">
            <w:pPr>
              <w:spacing w:line="240" w:lineRule="exact"/>
              <w:ind w:right="170"/>
              <w:jc w:val="right"/>
              <w:rPr>
                <w:sz w:val="16"/>
                <w:szCs w:val="16"/>
              </w:rPr>
            </w:pPr>
            <w:r w:rsidRPr="001E2F6E">
              <w:rPr>
                <w:sz w:val="16"/>
                <w:szCs w:val="16"/>
              </w:rPr>
              <w:t>26,4</w:t>
            </w:r>
          </w:p>
        </w:tc>
        <w:tc>
          <w:tcPr>
            <w:tcW w:w="428" w:type="pct"/>
            <w:tcBorders>
              <w:left w:val="single" w:sz="4" w:space="0" w:color="BFBFBF" w:themeColor="background1" w:themeShade="BF"/>
              <w:right w:val="single" w:sz="4" w:space="0" w:color="BFBFBF" w:themeColor="background1" w:themeShade="BF"/>
            </w:tcBorders>
            <w:vAlign w:val="center"/>
          </w:tcPr>
          <w:p w:rsidR="00195BE7" w:rsidRPr="001E2F6E" w:rsidRDefault="00195BE7" w:rsidP="00195BE7">
            <w:pPr>
              <w:spacing w:line="240" w:lineRule="exact"/>
              <w:ind w:right="170"/>
              <w:jc w:val="right"/>
              <w:rPr>
                <w:sz w:val="16"/>
                <w:szCs w:val="16"/>
              </w:rPr>
            </w:pPr>
            <w:r w:rsidRPr="001E2F6E">
              <w:rPr>
                <w:sz w:val="16"/>
                <w:szCs w:val="16"/>
              </w:rPr>
              <w:t>50,0</w:t>
            </w:r>
          </w:p>
        </w:tc>
        <w:tc>
          <w:tcPr>
            <w:tcW w:w="428" w:type="pct"/>
            <w:tcBorders>
              <w:left w:val="single" w:sz="4" w:space="0" w:color="BFBFBF" w:themeColor="background1" w:themeShade="BF"/>
              <w:right w:val="single" w:sz="4" w:space="0" w:color="BFBFBF" w:themeColor="background1" w:themeShade="BF"/>
            </w:tcBorders>
            <w:vAlign w:val="center"/>
          </w:tcPr>
          <w:p w:rsidR="00195BE7" w:rsidRPr="001E2F6E" w:rsidRDefault="00195BE7" w:rsidP="00195BE7">
            <w:pPr>
              <w:spacing w:line="240" w:lineRule="exact"/>
              <w:ind w:right="170"/>
              <w:jc w:val="right"/>
              <w:rPr>
                <w:sz w:val="16"/>
                <w:szCs w:val="16"/>
              </w:rPr>
            </w:pPr>
            <w:r w:rsidRPr="001E2F6E">
              <w:rPr>
                <w:sz w:val="16"/>
                <w:szCs w:val="16"/>
              </w:rPr>
              <w:t>0,0</w:t>
            </w:r>
          </w:p>
        </w:tc>
        <w:tc>
          <w:tcPr>
            <w:tcW w:w="507" w:type="pct"/>
            <w:tcBorders>
              <w:left w:val="single" w:sz="4" w:space="0" w:color="BFBFBF" w:themeColor="background1" w:themeShade="BF"/>
            </w:tcBorders>
            <w:vAlign w:val="center"/>
          </w:tcPr>
          <w:p w:rsidR="00195BE7" w:rsidRPr="001E2F6E" w:rsidRDefault="00195BE7" w:rsidP="00195BE7">
            <w:pPr>
              <w:spacing w:line="240" w:lineRule="exact"/>
              <w:ind w:right="170"/>
              <w:jc w:val="right"/>
              <w:rPr>
                <w:sz w:val="16"/>
                <w:szCs w:val="16"/>
              </w:rPr>
            </w:pPr>
            <w:r w:rsidRPr="001E2F6E">
              <w:rPr>
                <w:sz w:val="16"/>
                <w:szCs w:val="16"/>
              </w:rPr>
              <w:t>100,0</w:t>
            </w:r>
          </w:p>
        </w:tc>
      </w:tr>
      <w:tr w:rsidR="00195BE7" w:rsidRPr="001E2F6E" w:rsidTr="00195BE7">
        <w:trPr>
          <w:jc w:val="center"/>
        </w:trPr>
        <w:tc>
          <w:tcPr>
            <w:tcW w:w="1301" w:type="pct"/>
            <w:tcBorders>
              <w:bottom w:val="single" w:sz="4" w:space="0" w:color="BFBFBF" w:themeColor="background1" w:themeShade="BF"/>
              <w:right w:val="single" w:sz="4" w:space="0" w:color="BFBFBF" w:themeColor="background1" w:themeShade="BF"/>
            </w:tcBorders>
          </w:tcPr>
          <w:p w:rsidR="00195BE7" w:rsidRPr="001E2F6E" w:rsidRDefault="00195BE7" w:rsidP="00195BE7">
            <w:pPr>
              <w:spacing w:line="240" w:lineRule="exact"/>
              <w:jc w:val="left"/>
              <w:rPr>
                <w:sz w:val="16"/>
                <w:szCs w:val="16"/>
                <w:lang w:val="eu-ES"/>
              </w:rPr>
            </w:pPr>
            <w:r w:rsidRPr="001E2F6E">
              <w:rPr>
                <w:sz w:val="16"/>
                <w:szCs w:val="16"/>
                <w:lang w:val="eu-ES"/>
              </w:rPr>
              <w:t>Lanpostuen Baloraziorako Eskuliburua</w:t>
            </w:r>
          </w:p>
        </w:tc>
        <w:tc>
          <w:tcPr>
            <w:tcW w:w="505" w:type="pct"/>
            <w:tcBorders>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195BE7" w:rsidRPr="001E2F6E" w:rsidRDefault="00195BE7" w:rsidP="00195BE7">
            <w:pPr>
              <w:spacing w:line="240" w:lineRule="exact"/>
              <w:ind w:right="170"/>
              <w:jc w:val="right"/>
              <w:rPr>
                <w:bCs/>
                <w:sz w:val="16"/>
                <w:szCs w:val="16"/>
              </w:rPr>
            </w:pPr>
            <w:r w:rsidRPr="001E2F6E">
              <w:rPr>
                <w:bCs/>
                <w:sz w:val="16"/>
                <w:szCs w:val="16"/>
              </w:rPr>
              <w:t>22,1</w:t>
            </w:r>
          </w:p>
        </w:tc>
        <w:tc>
          <w:tcPr>
            <w:tcW w:w="545" w:type="pct"/>
            <w:tcBorders>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195BE7" w:rsidRPr="001E2F6E" w:rsidRDefault="00195BE7" w:rsidP="00195BE7">
            <w:pPr>
              <w:spacing w:line="240" w:lineRule="exact"/>
              <w:ind w:right="170"/>
              <w:jc w:val="right"/>
              <w:rPr>
                <w:sz w:val="16"/>
                <w:szCs w:val="16"/>
              </w:rPr>
            </w:pPr>
            <w:r w:rsidRPr="001E2F6E">
              <w:rPr>
                <w:sz w:val="16"/>
                <w:szCs w:val="16"/>
              </w:rPr>
              <w:t>11,0</w:t>
            </w:r>
          </w:p>
        </w:tc>
        <w:tc>
          <w:tcPr>
            <w:tcW w:w="428" w:type="pct"/>
            <w:tcBorders>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195BE7" w:rsidRPr="001E2F6E" w:rsidRDefault="00195BE7" w:rsidP="00195BE7">
            <w:pPr>
              <w:spacing w:line="240" w:lineRule="exact"/>
              <w:ind w:right="170"/>
              <w:jc w:val="right"/>
              <w:rPr>
                <w:sz w:val="16"/>
                <w:szCs w:val="16"/>
              </w:rPr>
            </w:pPr>
            <w:r w:rsidRPr="001E2F6E">
              <w:rPr>
                <w:sz w:val="16"/>
                <w:szCs w:val="16"/>
              </w:rPr>
              <w:t>21,2</w:t>
            </w:r>
          </w:p>
        </w:tc>
        <w:tc>
          <w:tcPr>
            <w:tcW w:w="430" w:type="pct"/>
            <w:tcBorders>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195BE7" w:rsidRPr="001E2F6E" w:rsidRDefault="00195BE7" w:rsidP="00195BE7">
            <w:pPr>
              <w:spacing w:line="240" w:lineRule="exact"/>
              <w:ind w:right="170"/>
              <w:jc w:val="right"/>
              <w:rPr>
                <w:sz w:val="16"/>
                <w:szCs w:val="16"/>
              </w:rPr>
            </w:pPr>
            <w:r w:rsidRPr="001E2F6E">
              <w:rPr>
                <w:sz w:val="16"/>
                <w:szCs w:val="16"/>
              </w:rPr>
              <w:t>48,7</w:t>
            </w:r>
          </w:p>
        </w:tc>
        <w:tc>
          <w:tcPr>
            <w:tcW w:w="428" w:type="pct"/>
            <w:tcBorders>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195BE7" w:rsidRPr="001E2F6E" w:rsidRDefault="00195BE7" w:rsidP="00195BE7">
            <w:pPr>
              <w:spacing w:line="240" w:lineRule="exact"/>
              <w:ind w:right="170"/>
              <w:jc w:val="right"/>
              <w:rPr>
                <w:sz w:val="16"/>
                <w:szCs w:val="16"/>
              </w:rPr>
            </w:pPr>
            <w:r w:rsidRPr="001E2F6E">
              <w:rPr>
                <w:sz w:val="16"/>
                <w:szCs w:val="16"/>
              </w:rPr>
              <w:t>26,3</w:t>
            </w:r>
          </w:p>
        </w:tc>
        <w:tc>
          <w:tcPr>
            <w:tcW w:w="428" w:type="pct"/>
            <w:tcBorders>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195BE7" w:rsidRPr="001E2F6E" w:rsidRDefault="00195BE7" w:rsidP="00195BE7">
            <w:pPr>
              <w:spacing w:line="240" w:lineRule="exact"/>
              <w:ind w:right="170"/>
              <w:jc w:val="right"/>
              <w:rPr>
                <w:sz w:val="16"/>
                <w:szCs w:val="16"/>
              </w:rPr>
            </w:pPr>
            <w:r w:rsidRPr="001E2F6E">
              <w:rPr>
                <w:sz w:val="16"/>
                <w:szCs w:val="16"/>
              </w:rPr>
              <w:t>0,0</w:t>
            </w:r>
          </w:p>
        </w:tc>
        <w:tc>
          <w:tcPr>
            <w:tcW w:w="428" w:type="pct"/>
            <w:tcBorders>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195BE7" w:rsidRPr="001E2F6E" w:rsidRDefault="00195BE7" w:rsidP="00195BE7">
            <w:pPr>
              <w:spacing w:line="240" w:lineRule="exact"/>
              <w:ind w:right="170"/>
              <w:jc w:val="right"/>
              <w:rPr>
                <w:sz w:val="16"/>
                <w:szCs w:val="16"/>
              </w:rPr>
            </w:pPr>
            <w:r w:rsidRPr="001E2F6E">
              <w:rPr>
                <w:sz w:val="16"/>
                <w:szCs w:val="16"/>
              </w:rPr>
              <w:t>53,2</w:t>
            </w:r>
          </w:p>
        </w:tc>
        <w:tc>
          <w:tcPr>
            <w:tcW w:w="507" w:type="pct"/>
            <w:tcBorders>
              <w:left w:val="single" w:sz="4" w:space="0" w:color="BFBFBF" w:themeColor="background1" w:themeShade="BF"/>
              <w:bottom w:val="single" w:sz="4" w:space="0" w:color="BFBFBF" w:themeColor="background1" w:themeShade="BF"/>
            </w:tcBorders>
            <w:vAlign w:val="center"/>
          </w:tcPr>
          <w:p w:rsidR="00195BE7" w:rsidRPr="001E2F6E" w:rsidRDefault="00195BE7" w:rsidP="00195BE7">
            <w:pPr>
              <w:spacing w:line="240" w:lineRule="exact"/>
              <w:ind w:right="170"/>
              <w:jc w:val="right"/>
              <w:rPr>
                <w:sz w:val="16"/>
                <w:szCs w:val="16"/>
              </w:rPr>
            </w:pPr>
            <w:r w:rsidRPr="001E2F6E">
              <w:rPr>
                <w:sz w:val="16"/>
                <w:szCs w:val="16"/>
              </w:rPr>
              <w:t>100,0</w:t>
            </w:r>
          </w:p>
        </w:tc>
      </w:tr>
    </w:tbl>
    <w:p w:rsidR="00195BE7" w:rsidRPr="001E2F6E" w:rsidRDefault="00195BE7" w:rsidP="00195BE7">
      <w:pPr>
        <w:spacing w:line="240" w:lineRule="auto"/>
        <w:ind w:left="709" w:hanging="709"/>
        <w:rPr>
          <w:sz w:val="16"/>
          <w:szCs w:val="16"/>
        </w:rPr>
      </w:pPr>
      <w:r w:rsidRPr="001E2F6E">
        <w:rPr>
          <w:sz w:val="16"/>
          <w:szCs w:val="16"/>
        </w:rPr>
        <w:t>Oinarria:</w:t>
      </w:r>
      <w:r w:rsidRPr="001E2F6E">
        <w:rPr>
          <w:sz w:val="16"/>
          <w:szCs w:val="16"/>
        </w:rPr>
        <w:tab/>
        <w:t xml:space="preserve"> horrelako tresnarik ez duten enpresak, baina datozen bi urteotan agiriak/tresnak erabiltzea aurreikusita dutenak</w:t>
      </w:r>
    </w:p>
    <w:p w:rsidR="00195BE7" w:rsidRPr="001E2F6E" w:rsidRDefault="00195BE7" w:rsidP="00195BE7">
      <w:pPr>
        <w:spacing w:line="240" w:lineRule="auto"/>
        <w:ind w:left="142" w:hanging="568"/>
        <w:rPr>
          <w:sz w:val="16"/>
          <w:szCs w:val="16"/>
        </w:rPr>
      </w:pPr>
    </w:p>
    <w:p w:rsidR="00195BE7" w:rsidRPr="001E2F6E" w:rsidRDefault="00195BE7" w:rsidP="00195BE7"/>
    <w:p w:rsidR="00195BE7" w:rsidRPr="001E2F6E" w:rsidRDefault="00195BE7" w:rsidP="00195BE7">
      <w:pPr>
        <w:spacing w:line="240" w:lineRule="auto"/>
        <w:jc w:val="left"/>
        <w:rPr>
          <w:b/>
          <w:color w:val="1F497D" w:themeColor="text2"/>
          <w:szCs w:val="26"/>
        </w:rPr>
      </w:pPr>
    </w:p>
    <w:p w:rsidR="00195BE7" w:rsidRPr="001E2F6E" w:rsidRDefault="00195BE7" w:rsidP="00195BE7">
      <w:pPr>
        <w:spacing w:line="240" w:lineRule="auto"/>
        <w:jc w:val="left"/>
        <w:rPr>
          <w:b/>
          <w:color w:val="1F497D" w:themeColor="text2"/>
          <w:szCs w:val="26"/>
        </w:rPr>
      </w:pPr>
      <w:r w:rsidRPr="001E2F6E">
        <w:rPr>
          <w:b/>
          <w:color w:val="1F497D" w:themeColor="text2"/>
          <w:szCs w:val="26"/>
        </w:rPr>
        <w:br w:type="page"/>
      </w:r>
    </w:p>
    <w:p w:rsidR="00195BE7" w:rsidRPr="001E2F6E" w:rsidRDefault="00195BE7" w:rsidP="00195BE7">
      <w:pPr>
        <w:pStyle w:val="Ttulo1"/>
        <w:ind w:left="708" w:hanging="708"/>
        <w:rPr>
          <w:color w:val="1F497D" w:themeColor="text2"/>
          <w:sz w:val="26"/>
          <w:szCs w:val="26"/>
        </w:rPr>
      </w:pPr>
      <w:bookmarkStart w:id="302" w:name="_Toc391989032"/>
      <w:bookmarkStart w:id="303" w:name="_Toc392585695"/>
      <w:r w:rsidRPr="001E2F6E">
        <w:rPr>
          <w:color w:val="1F497D" w:themeColor="text2"/>
          <w:sz w:val="26"/>
          <w:szCs w:val="26"/>
        </w:rPr>
        <w:lastRenderedPageBreak/>
        <w:t xml:space="preserve">3.- </w:t>
      </w:r>
      <w:r w:rsidRPr="001E2F6E">
        <w:rPr>
          <w:color w:val="1F497D" w:themeColor="text2"/>
          <w:sz w:val="26"/>
          <w:szCs w:val="26"/>
        </w:rPr>
        <w:tab/>
        <w:t>KUDEAKETARI LOTUTAKO BESTE JARDUERA BATZUK</w:t>
      </w:r>
      <w:bookmarkEnd w:id="302"/>
      <w:bookmarkEnd w:id="303"/>
    </w:p>
    <w:p w:rsidR="00195BE7" w:rsidRPr="001E2F6E" w:rsidRDefault="00195BE7" w:rsidP="00195BE7"/>
    <w:p w:rsidR="00195BE7" w:rsidRPr="001E2F6E" w:rsidRDefault="00195BE7" w:rsidP="00195BE7">
      <w:pPr>
        <w:spacing w:line="240" w:lineRule="auto"/>
        <w:jc w:val="center"/>
        <w:rPr>
          <w:b/>
          <w:snapToGrid w:val="0"/>
          <w:color w:val="1F497D" w:themeColor="text2"/>
          <w:sz w:val="18"/>
          <w:szCs w:val="18"/>
          <w:lang w:val="es-ES_tradnl"/>
        </w:rPr>
      </w:pPr>
      <w:bookmarkStart w:id="304" w:name="_Toc391989209"/>
      <w:bookmarkStart w:id="305" w:name="_Toc392585839"/>
      <w:r w:rsidRPr="001E2F6E">
        <w:rPr>
          <w:b/>
          <w:snapToGrid w:val="0"/>
          <w:color w:val="1F497D" w:themeColor="text2"/>
          <w:sz w:val="18"/>
          <w:szCs w:val="18"/>
          <w:lang w:val="es-ES_tradnl"/>
        </w:rPr>
        <w:t>3.</w:t>
      </w:r>
      <w:r w:rsidR="00EB6BA6" w:rsidRPr="001E2F6E">
        <w:rPr>
          <w:b/>
          <w:snapToGrid w:val="0"/>
          <w:color w:val="1F497D" w:themeColor="text2"/>
          <w:sz w:val="18"/>
          <w:szCs w:val="18"/>
          <w:lang w:val="es-ES_tradnl"/>
        </w:rPr>
        <w:fldChar w:fldCharType="begin"/>
      </w:r>
      <w:r w:rsidRPr="001E2F6E">
        <w:rPr>
          <w:b/>
          <w:snapToGrid w:val="0"/>
          <w:color w:val="1F497D" w:themeColor="text2"/>
          <w:sz w:val="18"/>
          <w:szCs w:val="18"/>
          <w:lang w:val="es-ES_tradnl"/>
        </w:rPr>
        <w:instrText xml:space="preserve"> SEQ Cuadro_3. \* ARABIC </w:instrText>
      </w:r>
      <w:r w:rsidR="00EB6BA6" w:rsidRPr="001E2F6E">
        <w:rPr>
          <w:b/>
          <w:snapToGrid w:val="0"/>
          <w:color w:val="1F497D" w:themeColor="text2"/>
          <w:sz w:val="18"/>
          <w:szCs w:val="18"/>
          <w:lang w:val="es-ES_tradnl"/>
        </w:rPr>
        <w:fldChar w:fldCharType="separate"/>
      </w:r>
      <w:r w:rsidR="00A327D4">
        <w:rPr>
          <w:b/>
          <w:noProof/>
          <w:snapToGrid w:val="0"/>
          <w:color w:val="1F497D" w:themeColor="text2"/>
          <w:sz w:val="18"/>
          <w:szCs w:val="18"/>
          <w:lang w:val="es-ES_tradnl"/>
        </w:rPr>
        <w:t>5</w:t>
      </w:r>
      <w:r w:rsidR="00EB6BA6" w:rsidRPr="001E2F6E">
        <w:rPr>
          <w:b/>
          <w:snapToGrid w:val="0"/>
          <w:color w:val="1F497D" w:themeColor="text2"/>
          <w:sz w:val="18"/>
          <w:szCs w:val="18"/>
          <w:lang w:val="es-ES_tradnl"/>
        </w:rPr>
        <w:fldChar w:fldCharType="end"/>
      </w:r>
      <w:r w:rsidRPr="001E2F6E">
        <w:rPr>
          <w:b/>
          <w:snapToGrid w:val="0"/>
          <w:color w:val="1F497D" w:themeColor="text2"/>
          <w:sz w:val="18"/>
          <w:szCs w:val="18"/>
          <w:lang w:val="es-ES_tradnl"/>
        </w:rPr>
        <w:t xml:space="preserve"> Taula LANEKO ARRISKUEI AURRE EGITEKO SISTEMEN EZARPENA, JARDUERA-SEKTOREAREN ARABERA. 2012</w:t>
      </w:r>
      <w:bookmarkEnd w:id="304"/>
      <w:bookmarkEnd w:id="305"/>
    </w:p>
    <w:tbl>
      <w:tblPr>
        <w:tblW w:w="5000" w:type="pct"/>
        <w:tblBorders>
          <w:top w:val="single" w:sz="4" w:space="0" w:color="BFBFBF" w:themeColor="background1" w:themeShade="BF"/>
          <w:bottom w:val="single" w:sz="4" w:space="0" w:color="BFBFBF" w:themeColor="background1" w:themeShade="BF"/>
        </w:tblBorders>
        <w:tblLook w:val="04A0" w:firstRow="1" w:lastRow="0" w:firstColumn="1" w:lastColumn="0" w:noHBand="0" w:noVBand="1"/>
      </w:tblPr>
      <w:tblGrid>
        <w:gridCol w:w="4182"/>
        <w:gridCol w:w="929"/>
        <w:gridCol w:w="875"/>
        <w:gridCol w:w="892"/>
        <w:gridCol w:w="1109"/>
        <w:gridCol w:w="1017"/>
      </w:tblGrid>
      <w:tr w:rsidR="00195BE7" w:rsidRPr="001E2F6E" w:rsidTr="00195BE7">
        <w:trPr>
          <w:trHeight w:val="608"/>
        </w:trPr>
        <w:tc>
          <w:tcPr>
            <w:tcW w:w="2322"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tcPr>
          <w:p w:rsidR="00195BE7" w:rsidRPr="001E2F6E" w:rsidRDefault="00195BE7" w:rsidP="00195BE7">
            <w:pPr>
              <w:spacing w:line="240" w:lineRule="exact"/>
              <w:jc w:val="center"/>
              <w:rPr>
                <w:b/>
                <w:bCs/>
                <w:sz w:val="16"/>
                <w:szCs w:val="16"/>
              </w:rPr>
            </w:pPr>
          </w:p>
        </w:tc>
        <w:tc>
          <w:tcPr>
            <w:tcW w:w="516" w:type="pct"/>
            <w:tcBorders>
              <w:top w:val="single" w:sz="4" w:space="0" w:color="BFBFBF" w:themeColor="background1" w:themeShade="BF"/>
              <w:left w:val="single" w:sz="4" w:space="0" w:color="BFBFBF" w:themeColor="background1" w:themeShade="BF"/>
              <w:right w:val="single" w:sz="4" w:space="0" w:color="BFBFBF" w:themeColor="background1" w:themeShade="BF"/>
            </w:tcBorders>
            <w:shd w:val="clear" w:color="auto" w:fill="DBE5F1" w:themeFill="accent1" w:themeFillTint="33"/>
            <w:vAlign w:val="bottom"/>
          </w:tcPr>
          <w:p w:rsidR="00195BE7" w:rsidRPr="001E2F6E" w:rsidRDefault="00195BE7" w:rsidP="00195BE7">
            <w:pPr>
              <w:spacing w:line="240" w:lineRule="exact"/>
              <w:jc w:val="center"/>
              <w:rPr>
                <w:b/>
                <w:sz w:val="16"/>
                <w:szCs w:val="16"/>
              </w:rPr>
            </w:pPr>
            <w:r w:rsidRPr="001E2F6E">
              <w:rPr>
                <w:b/>
                <w:sz w:val="16"/>
                <w:szCs w:val="16"/>
                <w:lang w:val="es-ES_tradnl"/>
              </w:rPr>
              <w:t>GUZTIRA</w:t>
            </w:r>
          </w:p>
          <w:p w:rsidR="00195BE7" w:rsidRPr="001E2F6E" w:rsidRDefault="00195BE7" w:rsidP="00195BE7">
            <w:pPr>
              <w:spacing w:line="240" w:lineRule="exact"/>
              <w:jc w:val="center"/>
              <w:rPr>
                <w:b/>
                <w:sz w:val="16"/>
                <w:szCs w:val="16"/>
              </w:rPr>
            </w:pPr>
            <w:r w:rsidRPr="001E2F6E">
              <w:rPr>
                <w:b/>
                <w:sz w:val="16"/>
                <w:szCs w:val="16"/>
                <w:lang w:val="es-ES_tradnl"/>
              </w:rPr>
              <w:t>%</w:t>
            </w:r>
          </w:p>
        </w:tc>
        <w:tc>
          <w:tcPr>
            <w:tcW w:w="486" w:type="pct"/>
            <w:tcBorders>
              <w:top w:val="single" w:sz="4" w:space="0" w:color="BFBFBF" w:themeColor="background1" w:themeShade="BF"/>
              <w:left w:val="single" w:sz="4" w:space="0" w:color="BFBFBF" w:themeColor="background1" w:themeShade="BF"/>
              <w:right w:val="single" w:sz="4" w:space="0" w:color="BFBFBF" w:themeColor="background1" w:themeShade="BF"/>
            </w:tcBorders>
            <w:shd w:val="clear" w:color="auto" w:fill="DBE5F1" w:themeFill="accent1" w:themeFillTint="33"/>
            <w:vAlign w:val="bottom"/>
          </w:tcPr>
          <w:p w:rsidR="00195BE7" w:rsidRPr="001E2F6E" w:rsidRDefault="00195BE7" w:rsidP="00195BE7">
            <w:pPr>
              <w:spacing w:line="240" w:lineRule="auto"/>
              <w:jc w:val="center"/>
              <w:rPr>
                <w:b/>
                <w:sz w:val="16"/>
                <w:szCs w:val="16"/>
                <w:lang w:val="eu-ES"/>
              </w:rPr>
            </w:pPr>
            <w:r w:rsidRPr="001E2F6E">
              <w:rPr>
                <w:b/>
                <w:sz w:val="16"/>
                <w:szCs w:val="16"/>
                <w:lang w:val="eu-ES"/>
              </w:rPr>
              <w:t>Lehen sektorea</w:t>
            </w:r>
          </w:p>
          <w:p w:rsidR="00195BE7" w:rsidRPr="001E2F6E" w:rsidRDefault="00195BE7" w:rsidP="00195BE7">
            <w:pPr>
              <w:spacing w:line="240" w:lineRule="exact"/>
              <w:jc w:val="center"/>
              <w:rPr>
                <w:b/>
                <w:sz w:val="16"/>
                <w:szCs w:val="16"/>
                <w:lang w:val="eu-ES"/>
              </w:rPr>
            </w:pPr>
            <w:r w:rsidRPr="001E2F6E">
              <w:rPr>
                <w:b/>
                <w:sz w:val="16"/>
                <w:szCs w:val="16"/>
                <w:lang w:val="es-ES_tradnl"/>
              </w:rPr>
              <w:t>%</w:t>
            </w:r>
          </w:p>
        </w:tc>
        <w:tc>
          <w:tcPr>
            <w:tcW w:w="495" w:type="pct"/>
            <w:tcBorders>
              <w:top w:val="single" w:sz="4" w:space="0" w:color="BFBFBF" w:themeColor="background1" w:themeShade="BF"/>
              <w:left w:val="single" w:sz="4" w:space="0" w:color="BFBFBF" w:themeColor="background1" w:themeShade="BF"/>
              <w:right w:val="single" w:sz="4" w:space="0" w:color="BFBFBF" w:themeColor="background1" w:themeShade="BF"/>
            </w:tcBorders>
            <w:shd w:val="clear" w:color="auto" w:fill="DBE5F1" w:themeFill="accent1" w:themeFillTint="33"/>
            <w:vAlign w:val="bottom"/>
          </w:tcPr>
          <w:p w:rsidR="00195BE7" w:rsidRPr="001E2F6E" w:rsidRDefault="00195BE7" w:rsidP="00195BE7">
            <w:pPr>
              <w:spacing w:line="240" w:lineRule="auto"/>
              <w:jc w:val="center"/>
              <w:rPr>
                <w:b/>
                <w:sz w:val="16"/>
                <w:szCs w:val="16"/>
                <w:lang w:val="eu-ES"/>
              </w:rPr>
            </w:pPr>
            <w:r w:rsidRPr="001E2F6E">
              <w:rPr>
                <w:b/>
                <w:sz w:val="16"/>
                <w:szCs w:val="16"/>
                <w:lang w:val="eu-ES"/>
              </w:rPr>
              <w:t>Industria</w:t>
            </w:r>
          </w:p>
          <w:p w:rsidR="00195BE7" w:rsidRPr="001E2F6E" w:rsidRDefault="00195BE7" w:rsidP="00195BE7">
            <w:pPr>
              <w:spacing w:line="240" w:lineRule="exact"/>
              <w:jc w:val="center"/>
              <w:rPr>
                <w:b/>
                <w:sz w:val="16"/>
                <w:szCs w:val="16"/>
                <w:lang w:val="eu-ES"/>
              </w:rPr>
            </w:pPr>
            <w:r w:rsidRPr="001E2F6E">
              <w:rPr>
                <w:b/>
                <w:sz w:val="16"/>
                <w:szCs w:val="16"/>
                <w:lang w:val="es-ES_tradnl"/>
              </w:rPr>
              <w:t>%</w:t>
            </w:r>
          </w:p>
        </w:tc>
        <w:tc>
          <w:tcPr>
            <w:tcW w:w="616" w:type="pct"/>
            <w:tcBorders>
              <w:top w:val="single" w:sz="4" w:space="0" w:color="BFBFBF" w:themeColor="background1" w:themeShade="BF"/>
              <w:left w:val="single" w:sz="4" w:space="0" w:color="BFBFBF" w:themeColor="background1" w:themeShade="BF"/>
              <w:right w:val="single" w:sz="4" w:space="0" w:color="BFBFBF" w:themeColor="background1" w:themeShade="BF"/>
            </w:tcBorders>
            <w:shd w:val="clear" w:color="auto" w:fill="DBE5F1" w:themeFill="accent1" w:themeFillTint="33"/>
            <w:vAlign w:val="bottom"/>
          </w:tcPr>
          <w:p w:rsidR="00195BE7" w:rsidRPr="001E2F6E" w:rsidRDefault="00195BE7" w:rsidP="00195BE7">
            <w:pPr>
              <w:spacing w:line="240" w:lineRule="auto"/>
              <w:jc w:val="center"/>
              <w:rPr>
                <w:b/>
                <w:sz w:val="16"/>
                <w:szCs w:val="16"/>
                <w:lang w:val="eu-ES"/>
              </w:rPr>
            </w:pPr>
            <w:r w:rsidRPr="001E2F6E">
              <w:rPr>
                <w:b/>
                <w:sz w:val="16"/>
                <w:szCs w:val="16"/>
                <w:lang w:val="eu-ES"/>
              </w:rPr>
              <w:t>Eraikuntza</w:t>
            </w:r>
          </w:p>
          <w:p w:rsidR="00195BE7" w:rsidRPr="001E2F6E" w:rsidRDefault="00195BE7" w:rsidP="00195BE7">
            <w:pPr>
              <w:spacing w:line="240" w:lineRule="exact"/>
              <w:jc w:val="center"/>
              <w:rPr>
                <w:b/>
                <w:sz w:val="16"/>
                <w:szCs w:val="16"/>
                <w:lang w:val="eu-ES"/>
              </w:rPr>
            </w:pPr>
            <w:r w:rsidRPr="001E2F6E">
              <w:rPr>
                <w:b/>
                <w:sz w:val="16"/>
                <w:szCs w:val="16"/>
                <w:lang w:val="es-ES_tradnl"/>
              </w:rPr>
              <w:t>%</w:t>
            </w:r>
          </w:p>
        </w:tc>
        <w:tc>
          <w:tcPr>
            <w:tcW w:w="565" w:type="pct"/>
            <w:tcBorders>
              <w:top w:val="single" w:sz="4" w:space="0" w:color="BFBFBF" w:themeColor="background1" w:themeShade="BF"/>
              <w:left w:val="single" w:sz="4" w:space="0" w:color="BFBFBF" w:themeColor="background1" w:themeShade="BF"/>
            </w:tcBorders>
            <w:shd w:val="clear" w:color="auto" w:fill="DBE5F1" w:themeFill="accent1" w:themeFillTint="33"/>
            <w:vAlign w:val="bottom"/>
          </w:tcPr>
          <w:p w:rsidR="00195BE7" w:rsidRPr="001E2F6E" w:rsidRDefault="00195BE7" w:rsidP="00195BE7">
            <w:pPr>
              <w:spacing w:line="240" w:lineRule="auto"/>
              <w:jc w:val="center"/>
              <w:rPr>
                <w:b/>
                <w:sz w:val="16"/>
                <w:szCs w:val="16"/>
                <w:lang w:val="eu-ES"/>
              </w:rPr>
            </w:pPr>
            <w:r w:rsidRPr="001E2F6E">
              <w:rPr>
                <w:b/>
                <w:sz w:val="16"/>
                <w:szCs w:val="16"/>
                <w:lang w:val="eu-ES"/>
              </w:rPr>
              <w:t>Zerbitzuak</w:t>
            </w:r>
          </w:p>
          <w:p w:rsidR="00195BE7" w:rsidRPr="001E2F6E" w:rsidRDefault="00195BE7" w:rsidP="00195BE7">
            <w:pPr>
              <w:spacing w:line="240" w:lineRule="exact"/>
              <w:jc w:val="center"/>
              <w:rPr>
                <w:b/>
                <w:sz w:val="16"/>
                <w:szCs w:val="16"/>
                <w:lang w:val="eu-ES"/>
              </w:rPr>
            </w:pPr>
            <w:r w:rsidRPr="001E2F6E">
              <w:rPr>
                <w:b/>
                <w:sz w:val="16"/>
                <w:szCs w:val="16"/>
                <w:lang w:val="es-ES_tradnl"/>
              </w:rPr>
              <w:t>%</w:t>
            </w:r>
          </w:p>
        </w:tc>
      </w:tr>
      <w:tr w:rsidR="00195BE7" w:rsidRPr="001E2F6E" w:rsidTr="00195BE7">
        <w:tc>
          <w:tcPr>
            <w:tcW w:w="2322" w:type="pct"/>
            <w:tcBorders>
              <w:top w:val="single" w:sz="4" w:space="0" w:color="BFBFBF" w:themeColor="background1" w:themeShade="BF"/>
              <w:bottom w:val="single" w:sz="4" w:space="0" w:color="BFBFBF" w:themeColor="background1" w:themeShade="BF"/>
              <w:right w:val="single" w:sz="4" w:space="0" w:color="BFBFBF" w:themeColor="background1" w:themeShade="BF"/>
            </w:tcBorders>
          </w:tcPr>
          <w:p w:rsidR="00195BE7" w:rsidRPr="001E2F6E" w:rsidRDefault="00195BE7" w:rsidP="00195BE7">
            <w:pPr>
              <w:spacing w:line="240" w:lineRule="exact"/>
              <w:jc w:val="left"/>
              <w:rPr>
                <w:sz w:val="16"/>
                <w:szCs w:val="16"/>
              </w:rPr>
            </w:pPr>
            <w:r w:rsidRPr="001E2F6E">
              <w:rPr>
                <w:sz w:val="16"/>
                <w:szCs w:val="16"/>
                <w:lang w:val="eu-ES"/>
              </w:rPr>
              <w:t>Laneko arriskuei aurre egiteko sistemen erabilera</w:t>
            </w:r>
          </w:p>
        </w:tc>
        <w:tc>
          <w:tcPr>
            <w:tcW w:w="51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195BE7" w:rsidRPr="001E2F6E" w:rsidRDefault="00195BE7" w:rsidP="00195BE7">
            <w:pPr>
              <w:spacing w:line="240" w:lineRule="exact"/>
              <w:ind w:right="170"/>
              <w:jc w:val="right"/>
              <w:rPr>
                <w:bCs/>
                <w:sz w:val="16"/>
                <w:szCs w:val="16"/>
              </w:rPr>
            </w:pPr>
            <w:r w:rsidRPr="001E2F6E">
              <w:rPr>
                <w:bCs/>
                <w:sz w:val="16"/>
                <w:szCs w:val="16"/>
              </w:rPr>
              <w:t>85,8</w:t>
            </w:r>
          </w:p>
        </w:tc>
        <w:tc>
          <w:tcPr>
            <w:tcW w:w="48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195BE7" w:rsidRPr="001E2F6E" w:rsidRDefault="00195BE7" w:rsidP="00195BE7">
            <w:pPr>
              <w:spacing w:line="240" w:lineRule="exact"/>
              <w:ind w:right="170"/>
              <w:jc w:val="right"/>
              <w:rPr>
                <w:sz w:val="16"/>
                <w:szCs w:val="16"/>
              </w:rPr>
            </w:pPr>
            <w:r w:rsidRPr="001E2F6E">
              <w:rPr>
                <w:sz w:val="16"/>
                <w:szCs w:val="16"/>
              </w:rPr>
              <w:t>66,4</w:t>
            </w:r>
          </w:p>
        </w:tc>
        <w:tc>
          <w:tcPr>
            <w:tcW w:w="49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195BE7" w:rsidRPr="001E2F6E" w:rsidRDefault="00195BE7" w:rsidP="00195BE7">
            <w:pPr>
              <w:spacing w:line="240" w:lineRule="exact"/>
              <w:ind w:right="170"/>
              <w:jc w:val="right"/>
              <w:rPr>
                <w:sz w:val="16"/>
                <w:szCs w:val="16"/>
              </w:rPr>
            </w:pPr>
            <w:r w:rsidRPr="001E2F6E">
              <w:rPr>
                <w:sz w:val="16"/>
                <w:szCs w:val="16"/>
              </w:rPr>
              <w:t>90,3</w:t>
            </w:r>
          </w:p>
        </w:tc>
        <w:tc>
          <w:tcPr>
            <w:tcW w:w="61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195BE7" w:rsidRPr="001E2F6E" w:rsidRDefault="00195BE7" w:rsidP="00195BE7">
            <w:pPr>
              <w:spacing w:line="240" w:lineRule="exact"/>
              <w:ind w:right="170"/>
              <w:jc w:val="right"/>
              <w:rPr>
                <w:sz w:val="16"/>
                <w:szCs w:val="16"/>
              </w:rPr>
            </w:pPr>
            <w:r w:rsidRPr="001E2F6E">
              <w:rPr>
                <w:sz w:val="16"/>
                <w:szCs w:val="16"/>
              </w:rPr>
              <w:t>87,0</w:t>
            </w:r>
          </w:p>
        </w:tc>
        <w:tc>
          <w:tcPr>
            <w:tcW w:w="565" w:type="pct"/>
            <w:tcBorders>
              <w:top w:val="single" w:sz="4" w:space="0" w:color="BFBFBF" w:themeColor="background1" w:themeShade="BF"/>
              <w:left w:val="single" w:sz="4" w:space="0" w:color="BFBFBF" w:themeColor="background1" w:themeShade="BF"/>
              <w:bottom w:val="single" w:sz="4" w:space="0" w:color="BFBFBF" w:themeColor="background1" w:themeShade="BF"/>
            </w:tcBorders>
            <w:vAlign w:val="center"/>
          </w:tcPr>
          <w:p w:rsidR="00195BE7" w:rsidRPr="001E2F6E" w:rsidRDefault="00195BE7" w:rsidP="00195BE7">
            <w:pPr>
              <w:spacing w:line="240" w:lineRule="exact"/>
              <w:ind w:right="170"/>
              <w:jc w:val="right"/>
              <w:rPr>
                <w:sz w:val="16"/>
                <w:szCs w:val="16"/>
              </w:rPr>
            </w:pPr>
            <w:r w:rsidRPr="001E2F6E">
              <w:rPr>
                <w:sz w:val="16"/>
                <w:szCs w:val="16"/>
              </w:rPr>
              <w:t>83,5</w:t>
            </w:r>
          </w:p>
        </w:tc>
      </w:tr>
    </w:tbl>
    <w:p w:rsidR="00195BE7" w:rsidRPr="001E2F6E" w:rsidRDefault="00195BE7" w:rsidP="00195BE7">
      <w:pPr>
        <w:rPr>
          <w:b/>
          <w:snapToGrid w:val="0"/>
          <w:color w:val="1F497D" w:themeColor="text2"/>
          <w:sz w:val="18"/>
          <w:szCs w:val="18"/>
          <w:lang w:val="es-ES_tradnl"/>
        </w:rPr>
      </w:pPr>
    </w:p>
    <w:p w:rsidR="00195BE7" w:rsidRPr="001E2F6E" w:rsidRDefault="00195BE7" w:rsidP="00195BE7">
      <w:pPr>
        <w:spacing w:line="240" w:lineRule="auto"/>
        <w:jc w:val="center"/>
        <w:rPr>
          <w:b/>
          <w:snapToGrid w:val="0"/>
          <w:color w:val="1F497D" w:themeColor="text2"/>
          <w:sz w:val="18"/>
          <w:szCs w:val="18"/>
          <w:lang w:val="es-ES_tradnl"/>
        </w:rPr>
      </w:pPr>
      <w:bookmarkStart w:id="306" w:name="_Toc391989210"/>
      <w:bookmarkStart w:id="307" w:name="_Toc392585840"/>
      <w:r w:rsidRPr="001E2F6E">
        <w:rPr>
          <w:b/>
          <w:snapToGrid w:val="0"/>
          <w:color w:val="1F497D" w:themeColor="text2"/>
          <w:sz w:val="18"/>
          <w:szCs w:val="18"/>
          <w:lang w:val="es-ES_tradnl"/>
        </w:rPr>
        <w:t>3.</w:t>
      </w:r>
      <w:r w:rsidR="00EB6BA6" w:rsidRPr="001E2F6E">
        <w:rPr>
          <w:b/>
          <w:snapToGrid w:val="0"/>
          <w:color w:val="1F497D" w:themeColor="text2"/>
          <w:sz w:val="18"/>
          <w:szCs w:val="18"/>
          <w:lang w:val="es-ES_tradnl"/>
        </w:rPr>
        <w:fldChar w:fldCharType="begin"/>
      </w:r>
      <w:r w:rsidRPr="001E2F6E">
        <w:rPr>
          <w:b/>
          <w:snapToGrid w:val="0"/>
          <w:color w:val="1F497D" w:themeColor="text2"/>
          <w:sz w:val="18"/>
          <w:szCs w:val="18"/>
          <w:lang w:val="es-ES_tradnl"/>
        </w:rPr>
        <w:instrText xml:space="preserve"> SEQ Cuadro_3. \* ARABIC </w:instrText>
      </w:r>
      <w:r w:rsidR="00EB6BA6" w:rsidRPr="001E2F6E">
        <w:rPr>
          <w:b/>
          <w:snapToGrid w:val="0"/>
          <w:color w:val="1F497D" w:themeColor="text2"/>
          <w:sz w:val="18"/>
          <w:szCs w:val="18"/>
          <w:lang w:val="es-ES_tradnl"/>
        </w:rPr>
        <w:fldChar w:fldCharType="separate"/>
      </w:r>
      <w:r w:rsidR="00A327D4">
        <w:rPr>
          <w:b/>
          <w:noProof/>
          <w:snapToGrid w:val="0"/>
          <w:color w:val="1F497D" w:themeColor="text2"/>
          <w:sz w:val="18"/>
          <w:szCs w:val="18"/>
          <w:lang w:val="es-ES_tradnl"/>
        </w:rPr>
        <w:t>6</w:t>
      </w:r>
      <w:r w:rsidR="00EB6BA6" w:rsidRPr="001E2F6E">
        <w:rPr>
          <w:b/>
          <w:snapToGrid w:val="0"/>
          <w:color w:val="1F497D" w:themeColor="text2"/>
          <w:sz w:val="18"/>
          <w:szCs w:val="18"/>
          <w:lang w:val="es-ES_tradnl"/>
        </w:rPr>
        <w:fldChar w:fldCharType="end"/>
      </w:r>
      <w:r w:rsidRPr="001E2F6E">
        <w:rPr>
          <w:b/>
          <w:snapToGrid w:val="0"/>
          <w:color w:val="1F497D" w:themeColor="text2"/>
          <w:sz w:val="18"/>
          <w:szCs w:val="18"/>
          <w:lang w:val="es-ES_tradnl"/>
        </w:rPr>
        <w:t xml:space="preserve"> Taula LANEKO ARRISKUEI AURRE EGITEKO SISTEMEN EZARPENA, ENPRESAREN TAMAINAREN ARABERA. 2012</w:t>
      </w:r>
      <w:bookmarkEnd w:id="306"/>
      <w:bookmarkEnd w:id="307"/>
    </w:p>
    <w:tbl>
      <w:tblPr>
        <w:tblW w:w="5626" w:type="pct"/>
        <w:jc w:val="center"/>
        <w:tblInd w:w="-332" w:type="dxa"/>
        <w:tblBorders>
          <w:bottom w:val="single" w:sz="4" w:space="0" w:color="BFBFBF" w:themeColor="background1" w:themeShade="BF"/>
        </w:tblBorders>
        <w:tblLayout w:type="fixed"/>
        <w:tblLook w:val="04A0" w:firstRow="1" w:lastRow="0" w:firstColumn="1" w:lastColumn="0" w:noHBand="0" w:noVBand="1"/>
      </w:tblPr>
      <w:tblGrid>
        <w:gridCol w:w="2637"/>
        <w:gridCol w:w="1024"/>
        <w:gridCol w:w="1104"/>
        <w:gridCol w:w="867"/>
        <w:gridCol w:w="871"/>
        <w:gridCol w:w="867"/>
        <w:gridCol w:w="867"/>
        <w:gridCol w:w="867"/>
        <w:gridCol w:w="1027"/>
      </w:tblGrid>
      <w:tr w:rsidR="00195BE7" w:rsidRPr="001E2F6E" w:rsidTr="00195BE7">
        <w:trPr>
          <w:trHeight w:val="736"/>
          <w:jc w:val="center"/>
        </w:trPr>
        <w:tc>
          <w:tcPr>
            <w:tcW w:w="1301"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tcPr>
          <w:p w:rsidR="00195BE7" w:rsidRPr="001E2F6E" w:rsidRDefault="00195BE7" w:rsidP="00195BE7">
            <w:pPr>
              <w:spacing w:line="240" w:lineRule="exact"/>
              <w:jc w:val="center"/>
              <w:rPr>
                <w:b/>
                <w:bCs/>
                <w:sz w:val="16"/>
                <w:szCs w:val="16"/>
              </w:rPr>
            </w:pPr>
            <w:r w:rsidRPr="001E2F6E">
              <w:rPr>
                <w:b/>
                <w:bCs/>
                <w:sz w:val="16"/>
                <w:szCs w:val="16"/>
              </w:rPr>
              <w:t> </w:t>
            </w:r>
          </w:p>
        </w:tc>
        <w:tc>
          <w:tcPr>
            <w:tcW w:w="50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bottom"/>
          </w:tcPr>
          <w:p w:rsidR="00195BE7" w:rsidRPr="001E2F6E" w:rsidRDefault="00195BE7" w:rsidP="00195BE7">
            <w:pPr>
              <w:spacing w:line="240" w:lineRule="auto"/>
              <w:jc w:val="center"/>
              <w:rPr>
                <w:b/>
                <w:bCs/>
                <w:sz w:val="16"/>
                <w:szCs w:val="16"/>
              </w:rPr>
            </w:pPr>
            <w:r w:rsidRPr="001E2F6E">
              <w:rPr>
                <w:b/>
                <w:bCs/>
                <w:sz w:val="16"/>
                <w:szCs w:val="16"/>
              </w:rPr>
              <w:t>GUZTIRA</w:t>
            </w:r>
          </w:p>
          <w:p w:rsidR="00195BE7" w:rsidRPr="001E2F6E" w:rsidRDefault="00195BE7" w:rsidP="00195BE7">
            <w:pPr>
              <w:spacing w:line="240" w:lineRule="auto"/>
              <w:jc w:val="center"/>
              <w:rPr>
                <w:b/>
                <w:bCs/>
                <w:sz w:val="16"/>
                <w:szCs w:val="16"/>
              </w:rPr>
            </w:pPr>
            <w:r w:rsidRPr="001E2F6E">
              <w:rPr>
                <w:b/>
                <w:sz w:val="16"/>
                <w:szCs w:val="16"/>
                <w:lang w:val="es-ES_tradnl"/>
              </w:rPr>
              <w:t>%</w:t>
            </w:r>
          </w:p>
        </w:tc>
        <w:tc>
          <w:tcPr>
            <w:tcW w:w="54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bottom"/>
          </w:tcPr>
          <w:p w:rsidR="00195BE7" w:rsidRPr="001E2F6E" w:rsidRDefault="00195BE7" w:rsidP="00195BE7">
            <w:pPr>
              <w:spacing w:line="240" w:lineRule="auto"/>
              <w:jc w:val="center"/>
              <w:rPr>
                <w:b/>
                <w:sz w:val="16"/>
                <w:szCs w:val="16"/>
                <w:lang w:val="eu-ES"/>
              </w:rPr>
            </w:pPr>
            <w:r w:rsidRPr="001E2F6E">
              <w:rPr>
                <w:b/>
                <w:sz w:val="16"/>
                <w:szCs w:val="16"/>
                <w:lang w:val="eu-ES"/>
              </w:rPr>
              <w:t>6 enplegu baino gutxiago</w:t>
            </w:r>
          </w:p>
          <w:p w:rsidR="00195BE7" w:rsidRPr="001E2F6E" w:rsidRDefault="00195BE7" w:rsidP="00195BE7">
            <w:pPr>
              <w:spacing w:line="240" w:lineRule="auto"/>
              <w:jc w:val="center"/>
              <w:rPr>
                <w:b/>
                <w:sz w:val="16"/>
                <w:szCs w:val="16"/>
                <w:lang w:val="eu-ES"/>
              </w:rPr>
            </w:pPr>
            <w:r w:rsidRPr="001E2F6E">
              <w:rPr>
                <w:b/>
                <w:sz w:val="16"/>
                <w:szCs w:val="16"/>
                <w:lang w:val="es-ES_tradnl"/>
              </w:rPr>
              <w:t>%</w:t>
            </w:r>
          </w:p>
        </w:tc>
        <w:tc>
          <w:tcPr>
            <w:tcW w:w="42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bottom"/>
          </w:tcPr>
          <w:p w:rsidR="00195BE7" w:rsidRPr="001E2F6E" w:rsidRDefault="00195BE7" w:rsidP="00195BE7">
            <w:pPr>
              <w:spacing w:line="240" w:lineRule="auto"/>
              <w:jc w:val="center"/>
              <w:rPr>
                <w:b/>
                <w:bCs/>
                <w:sz w:val="16"/>
                <w:szCs w:val="16"/>
                <w:lang w:val="eu-ES"/>
              </w:rPr>
            </w:pPr>
            <w:r w:rsidRPr="001E2F6E">
              <w:rPr>
                <w:b/>
                <w:bCs/>
                <w:sz w:val="16"/>
                <w:szCs w:val="16"/>
                <w:lang w:val="eu-ES"/>
              </w:rPr>
              <w:t>6 - 15</w:t>
            </w:r>
          </w:p>
          <w:p w:rsidR="00195BE7" w:rsidRPr="001E2F6E" w:rsidRDefault="00195BE7" w:rsidP="00195BE7">
            <w:pPr>
              <w:spacing w:line="240" w:lineRule="auto"/>
              <w:jc w:val="center"/>
              <w:rPr>
                <w:b/>
                <w:bCs/>
                <w:sz w:val="16"/>
                <w:szCs w:val="16"/>
                <w:lang w:val="eu-ES"/>
              </w:rPr>
            </w:pPr>
            <w:r w:rsidRPr="001E2F6E">
              <w:rPr>
                <w:b/>
                <w:sz w:val="16"/>
                <w:szCs w:val="16"/>
                <w:lang w:val="es-ES_tradnl"/>
              </w:rPr>
              <w:t>%</w:t>
            </w:r>
          </w:p>
        </w:tc>
        <w:tc>
          <w:tcPr>
            <w:tcW w:w="43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bottom"/>
          </w:tcPr>
          <w:p w:rsidR="00195BE7" w:rsidRPr="001E2F6E" w:rsidRDefault="00195BE7" w:rsidP="00195BE7">
            <w:pPr>
              <w:spacing w:line="240" w:lineRule="auto"/>
              <w:jc w:val="center"/>
              <w:rPr>
                <w:b/>
                <w:bCs/>
                <w:sz w:val="16"/>
                <w:szCs w:val="16"/>
                <w:lang w:val="eu-ES"/>
              </w:rPr>
            </w:pPr>
            <w:r w:rsidRPr="001E2F6E">
              <w:rPr>
                <w:b/>
                <w:bCs/>
                <w:sz w:val="16"/>
                <w:szCs w:val="16"/>
                <w:lang w:val="eu-ES"/>
              </w:rPr>
              <w:t>16  - 50</w:t>
            </w:r>
          </w:p>
          <w:p w:rsidR="00195BE7" w:rsidRPr="001E2F6E" w:rsidRDefault="00195BE7" w:rsidP="00195BE7">
            <w:pPr>
              <w:spacing w:line="240" w:lineRule="auto"/>
              <w:jc w:val="center"/>
              <w:rPr>
                <w:b/>
                <w:bCs/>
                <w:sz w:val="16"/>
                <w:szCs w:val="16"/>
                <w:lang w:val="eu-ES"/>
              </w:rPr>
            </w:pPr>
            <w:r w:rsidRPr="001E2F6E">
              <w:rPr>
                <w:b/>
                <w:sz w:val="16"/>
                <w:szCs w:val="16"/>
                <w:lang w:val="es-ES_tradnl"/>
              </w:rPr>
              <w:t>%</w:t>
            </w:r>
          </w:p>
        </w:tc>
        <w:tc>
          <w:tcPr>
            <w:tcW w:w="42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bottom"/>
          </w:tcPr>
          <w:p w:rsidR="00195BE7" w:rsidRPr="001E2F6E" w:rsidRDefault="00195BE7" w:rsidP="00195BE7">
            <w:pPr>
              <w:spacing w:line="240" w:lineRule="auto"/>
              <w:jc w:val="center"/>
              <w:rPr>
                <w:b/>
                <w:bCs/>
                <w:sz w:val="16"/>
                <w:szCs w:val="16"/>
                <w:lang w:val="eu-ES"/>
              </w:rPr>
            </w:pPr>
            <w:r w:rsidRPr="001E2F6E">
              <w:rPr>
                <w:b/>
                <w:bCs/>
                <w:sz w:val="16"/>
                <w:szCs w:val="16"/>
                <w:lang w:val="eu-ES"/>
              </w:rPr>
              <w:t>51 - 100</w:t>
            </w:r>
          </w:p>
          <w:p w:rsidR="00195BE7" w:rsidRPr="001E2F6E" w:rsidRDefault="00195BE7" w:rsidP="00195BE7">
            <w:pPr>
              <w:spacing w:line="240" w:lineRule="auto"/>
              <w:jc w:val="center"/>
              <w:rPr>
                <w:b/>
                <w:bCs/>
                <w:sz w:val="16"/>
                <w:szCs w:val="16"/>
                <w:lang w:val="eu-ES"/>
              </w:rPr>
            </w:pPr>
            <w:r w:rsidRPr="001E2F6E">
              <w:rPr>
                <w:b/>
                <w:sz w:val="16"/>
                <w:szCs w:val="16"/>
                <w:lang w:val="es-ES_tradnl"/>
              </w:rPr>
              <w:t>%</w:t>
            </w:r>
          </w:p>
        </w:tc>
        <w:tc>
          <w:tcPr>
            <w:tcW w:w="42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bottom"/>
          </w:tcPr>
          <w:p w:rsidR="00195BE7" w:rsidRPr="001E2F6E" w:rsidRDefault="00195BE7" w:rsidP="00195BE7">
            <w:pPr>
              <w:spacing w:line="240" w:lineRule="auto"/>
              <w:jc w:val="center"/>
              <w:rPr>
                <w:b/>
                <w:bCs/>
                <w:sz w:val="16"/>
                <w:szCs w:val="16"/>
                <w:lang w:val="eu-ES"/>
              </w:rPr>
            </w:pPr>
            <w:r w:rsidRPr="001E2F6E">
              <w:rPr>
                <w:b/>
                <w:bCs/>
                <w:sz w:val="16"/>
                <w:szCs w:val="16"/>
                <w:lang w:val="eu-ES"/>
              </w:rPr>
              <w:t>101 - 200</w:t>
            </w:r>
          </w:p>
          <w:p w:rsidR="00195BE7" w:rsidRPr="001E2F6E" w:rsidRDefault="00195BE7" w:rsidP="00195BE7">
            <w:pPr>
              <w:spacing w:line="240" w:lineRule="auto"/>
              <w:jc w:val="center"/>
              <w:rPr>
                <w:b/>
                <w:bCs/>
                <w:sz w:val="16"/>
                <w:szCs w:val="16"/>
                <w:lang w:val="eu-ES"/>
              </w:rPr>
            </w:pPr>
            <w:r w:rsidRPr="001E2F6E">
              <w:rPr>
                <w:b/>
                <w:sz w:val="16"/>
                <w:szCs w:val="16"/>
                <w:lang w:val="es-ES_tradnl"/>
              </w:rPr>
              <w:t>%</w:t>
            </w:r>
          </w:p>
        </w:tc>
        <w:tc>
          <w:tcPr>
            <w:tcW w:w="42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bottom"/>
          </w:tcPr>
          <w:p w:rsidR="00195BE7" w:rsidRPr="001E2F6E" w:rsidRDefault="00195BE7" w:rsidP="00195BE7">
            <w:pPr>
              <w:spacing w:line="240" w:lineRule="auto"/>
              <w:jc w:val="center"/>
              <w:rPr>
                <w:b/>
                <w:bCs/>
                <w:sz w:val="16"/>
                <w:szCs w:val="16"/>
                <w:lang w:val="eu-ES"/>
              </w:rPr>
            </w:pPr>
            <w:r w:rsidRPr="001E2F6E">
              <w:rPr>
                <w:b/>
                <w:bCs/>
                <w:sz w:val="16"/>
                <w:szCs w:val="16"/>
                <w:lang w:val="eu-ES"/>
              </w:rPr>
              <w:t>201  500</w:t>
            </w:r>
          </w:p>
          <w:p w:rsidR="00195BE7" w:rsidRPr="001E2F6E" w:rsidRDefault="00195BE7" w:rsidP="00195BE7">
            <w:pPr>
              <w:spacing w:line="240" w:lineRule="auto"/>
              <w:jc w:val="center"/>
              <w:rPr>
                <w:b/>
                <w:bCs/>
                <w:sz w:val="16"/>
                <w:szCs w:val="16"/>
                <w:lang w:val="eu-ES"/>
              </w:rPr>
            </w:pPr>
            <w:r w:rsidRPr="001E2F6E">
              <w:rPr>
                <w:b/>
                <w:sz w:val="16"/>
                <w:szCs w:val="16"/>
                <w:lang w:val="es-ES_tradnl"/>
              </w:rPr>
              <w:t>%</w:t>
            </w:r>
          </w:p>
        </w:tc>
        <w:tc>
          <w:tcPr>
            <w:tcW w:w="507"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vAlign w:val="bottom"/>
          </w:tcPr>
          <w:p w:rsidR="00195BE7" w:rsidRPr="001E2F6E" w:rsidRDefault="00195BE7" w:rsidP="00195BE7">
            <w:pPr>
              <w:spacing w:line="240" w:lineRule="auto"/>
              <w:jc w:val="center"/>
              <w:rPr>
                <w:b/>
                <w:bCs/>
                <w:sz w:val="16"/>
                <w:szCs w:val="16"/>
                <w:lang w:val="eu-ES"/>
              </w:rPr>
            </w:pPr>
            <w:r w:rsidRPr="001E2F6E">
              <w:rPr>
                <w:b/>
                <w:bCs/>
                <w:sz w:val="16"/>
                <w:szCs w:val="16"/>
                <w:lang w:val="eu-ES"/>
              </w:rPr>
              <w:t>500 enplegutik gora</w:t>
            </w:r>
          </w:p>
          <w:p w:rsidR="00195BE7" w:rsidRPr="001E2F6E" w:rsidRDefault="00195BE7" w:rsidP="00195BE7">
            <w:pPr>
              <w:spacing w:line="240" w:lineRule="auto"/>
              <w:jc w:val="center"/>
              <w:rPr>
                <w:b/>
                <w:bCs/>
                <w:sz w:val="16"/>
                <w:szCs w:val="16"/>
                <w:lang w:val="eu-ES"/>
              </w:rPr>
            </w:pPr>
            <w:r w:rsidRPr="001E2F6E">
              <w:rPr>
                <w:b/>
                <w:sz w:val="16"/>
                <w:szCs w:val="16"/>
                <w:lang w:val="es-ES_tradnl"/>
              </w:rPr>
              <w:t>%</w:t>
            </w:r>
          </w:p>
        </w:tc>
      </w:tr>
      <w:tr w:rsidR="00195BE7" w:rsidRPr="001E2F6E" w:rsidTr="00195BE7">
        <w:trPr>
          <w:jc w:val="center"/>
        </w:trPr>
        <w:tc>
          <w:tcPr>
            <w:tcW w:w="1301" w:type="pct"/>
            <w:tcBorders>
              <w:bottom w:val="single" w:sz="4" w:space="0" w:color="BFBFBF" w:themeColor="background1" w:themeShade="BF"/>
              <w:right w:val="single" w:sz="4" w:space="0" w:color="BFBFBF" w:themeColor="background1" w:themeShade="BF"/>
            </w:tcBorders>
          </w:tcPr>
          <w:p w:rsidR="00195BE7" w:rsidRPr="001E2F6E" w:rsidRDefault="00195BE7" w:rsidP="00195BE7">
            <w:pPr>
              <w:spacing w:line="240" w:lineRule="exact"/>
              <w:jc w:val="left"/>
              <w:rPr>
                <w:sz w:val="16"/>
                <w:szCs w:val="16"/>
              </w:rPr>
            </w:pPr>
            <w:r w:rsidRPr="001E2F6E">
              <w:rPr>
                <w:sz w:val="16"/>
                <w:szCs w:val="16"/>
                <w:lang w:val="eu-ES"/>
              </w:rPr>
              <w:t>Laneko arriskuei aurre egiteko sistemen erabilera</w:t>
            </w:r>
          </w:p>
        </w:tc>
        <w:tc>
          <w:tcPr>
            <w:tcW w:w="50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195BE7" w:rsidRPr="001E2F6E" w:rsidRDefault="00195BE7" w:rsidP="00195BE7">
            <w:pPr>
              <w:spacing w:line="240" w:lineRule="exact"/>
              <w:ind w:right="170"/>
              <w:jc w:val="right"/>
              <w:rPr>
                <w:bCs/>
                <w:sz w:val="16"/>
                <w:szCs w:val="16"/>
              </w:rPr>
            </w:pPr>
            <w:r w:rsidRPr="001E2F6E">
              <w:rPr>
                <w:bCs/>
                <w:sz w:val="16"/>
                <w:szCs w:val="16"/>
              </w:rPr>
              <w:t>85,8</w:t>
            </w:r>
          </w:p>
        </w:tc>
        <w:tc>
          <w:tcPr>
            <w:tcW w:w="54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195BE7" w:rsidRPr="001E2F6E" w:rsidRDefault="00195BE7" w:rsidP="00195BE7">
            <w:pPr>
              <w:spacing w:line="240" w:lineRule="exact"/>
              <w:ind w:right="170"/>
              <w:jc w:val="right"/>
              <w:rPr>
                <w:sz w:val="16"/>
                <w:szCs w:val="16"/>
              </w:rPr>
            </w:pPr>
            <w:r w:rsidRPr="001E2F6E">
              <w:rPr>
                <w:sz w:val="16"/>
                <w:szCs w:val="16"/>
              </w:rPr>
              <w:t>77,9</w:t>
            </w:r>
          </w:p>
        </w:tc>
        <w:tc>
          <w:tcPr>
            <w:tcW w:w="42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195BE7" w:rsidRPr="001E2F6E" w:rsidRDefault="00195BE7" w:rsidP="00195BE7">
            <w:pPr>
              <w:spacing w:line="240" w:lineRule="exact"/>
              <w:ind w:right="170"/>
              <w:jc w:val="right"/>
              <w:rPr>
                <w:sz w:val="16"/>
                <w:szCs w:val="16"/>
              </w:rPr>
            </w:pPr>
            <w:r w:rsidRPr="001E2F6E">
              <w:rPr>
                <w:sz w:val="16"/>
                <w:szCs w:val="16"/>
              </w:rPr>
              <w:t>96,8</w:t>
            </w:r>
          </w:p>
        </w:tc>
        <w:tc>
          <w:tcPr>
            <w:tcW w:w="43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195BE7" w:rsidRPr="001E2F6E" w:rsidRDefault="00195BE7" w:rsidP="00195BE7">
            <w:pPr>
              <w:spacing w:line="240" w:lineRule="exact"/>
              <w:ind w:right="170"/>
              <w:jc w:val="right"/>
              <w:rPr>
                <w:sz w:val="16"/>
                <w:szCs w:val="16"/>
              </w:rPr>
            </w:pPr>
            <w:r w:rsidRPr="001E2F6E">
              <w:rPr>
                <w:sz w:val="16"/>
                <w:szCs w:val="16"/>
              </w:rPr>
              <w:t>97,1</w:t>
            </w:r>
          </w:p>
        </w:tc>
        <w:tc>
          <w:tcPr>
            <w:tcW w:w="42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195BE7" w:rsidRPr="001E2F6E" w:rsidRDefault="00195BE7" w:rsidP="00195BE7">
            <w:pPr>
              <w:spacing w:line="240" w:lineRule="exact"/>
              <w:ind w:right="170"/>
              <w:jc w:val="right"/>
              <w:rPr>
                <w:sz w:val="16"/>
                <w:szCs w:val="16"/>
              </w:rPr>
            </w:pPr>
            <w:r w:rsidRPr="001E2F6E">
              <w:rPr>
                <w:sz w:val="16"/>
                <w:szCs w:val="16"/>
              </w:rPr>
              <w:t>98,3</w:t>
            </w:r>
          </w:p>
        </w:tc>
        <w:tc>
          <w:tcPr>
            <w:tcW w:w="42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195BE7" w:rsidRPr="001E2F6E" w:rsidRDefault="00195BE7" w:rsidP="00195BE7">
            <w:pPr>
              <w:spacing w:line="240" w:lineRule="exact"/>
              <w:ind w:right="170"/>
              <w:jc w:val="right"/>
              <w:rPr>
                <w:sz w:val="16"/>
                <w:szCs w:val="16"/>
              </w:rPr>
            </w:pPr>
            <w:r w:rsidRPr="001E2F6E">
              <w:rPr>
                <w:sz w:val="16"/>
                <w:szCs w:val="16"/>
              </w:rPr>
              <w:t>100</w:t>
            </w:r>
          </w:p>
        </w:tc>
        <w:tc>
          <w:tcPr>
            <w:tcW w:w="42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195BE7" w:rsidRPr="001E2F6E" w:rsidRDefault="00195BE7" w:rsidP="00195BE7">
            <w:pPr>
              <w:spacing w:line="240" w:lineRule="exact"/>
              <w:ind w:right="170"/>
              <w:jc w:val="right"/>
              <w:rPr>
                <w:sz w:val="16"/>
                <w:szCs w:val="16"/>
              </w:rPr>
            </w:pPr>
            <w:r w:rsidRPr="001E2F6E">
              <w:rPr>
                <w:sz w:val="16"/>
                <w:szCs w:val="16"/>
              </w:rPr>
              <w:t>100</w:t>
            </w:r>
          </w:p>
        </w:tc>
        <w:tc>
          <w:tcPr>
            <w:tcW w:w="507" w:type="pct"/>
            <w:tcBorders>
              <w:top w:val="single" w:sz="4" w:space="0" w:color="BFBFBF" w:themeColor="background1" w:themeShade="BF"/>
              <w:left w:val="single" w:sz="4" w:space="0" w:color="BFBFBF" w:themeColor="background1" w:themeShade="BF"/>
              <w:bottom w:val="single" w:sz="4" w:space="0" w:color="BFBFBF" w:themeColor="background1" w:themeShade="BF"/>
            </w:tcBorders>
            <w:vAlign w:val="center"/>
          </w:tcPr>
          <w:p w:rsidR="00195BE7" w:rsidRPr="001E2F6E" w:rsidRDefault="00195BE7" w:rsidP="00195BE7">
            <w:pPr>
              <w:spacing w:line="240" w:lineRule="exact"/>
              <w:ind w:right="170"/>
              <w:jc w:val="right"/>
              <w:rPr>
                <w:sz w:val="16"/>
                <w:szCs w:val="16"/>
              </w:rPr>
            </w:pPr>
            <w:r w:rsidRPr="001E2F6E">
              <w:rPr>
                <w:sz w:val="16"/>
                <w:szCs w:val="16"/>
              </w:rPr>
              <w:t>100</w:t>
            </w:r>
          </w:p>
        </w:tc>
      </w:tr>
    </w:tbl>
    <w:p w:rsidR="00195BE7" w:rsidRPr="001E2F6E" w:rsidRDefault="00195BE7" w:rsidP="00195BE7"/>
    <w:p w:rsidR="00195BE7" w:rsidRPr="001E2F6E" w:rsidRDefault="00195BE7" w:rsidP="00195BE7">
      <w:pPr>
        <w:spacing w:line="240" w:lineRule="auto"/>
        <w:jc w:val="center"/>
        <w:rPr>
          <w:b/>
          <w:snapToGrid w:val="0"/>
          <w:color w:val="1F497D" w:themeColor="text2"/>
          <w:sz w:val="18"/>
          <w:szCs w:val="18"/>
          <w:lang w:val="es-ES_tradnl"/>
        </w:rPr>
      </w:pPr>
      <w:bookmarkStart w:id="308" w:name="_Toc391989199"/>
      <w:bookmarkStart w:id="309" w:name="_Toc392585848"/>
      <w:r w:rsidRPr="001E2F6E">
        <w:rPr>
          <w:b/>
          <w:snapToGrid w:val="0"/>
          <w:color w:val="1F497D" w:themeColor="text2"/>
          <w:sz w:val="18"/>
          <w:szCs w:val="18"/>
          <w:lang w:val="es-ES_tradnl"/>
        </w:rPr>
        <w:t>3.</w:t>
      </w:r>
      <w:r w:rsidR="00EB6BA6" w:rsidRPr="001E2F6E">
        <w:rPr>
          <w:b/>
          <w:snapToGrid w:val="0"/>
          <w:color w:val="1F497D" w:themeColor="text2"/>
          <w:sz w:val="18"/>
          <w:szCs w:val="18"/>
          <w:lang w:val="es-ES_tradnl"/>
        </w:rPr>
        <w:fldChar w:fldCharType="begin"/>
      </w:r>
      <w:r w:rsidRPr="001E2F6E">
        <w:rPr>
          <w:b/>
          <w:snapToGrid w:val="0"/>
          <w:color w:val="1F497D" w:themeColor="text2"/>
          <w:sz w:val="18"/>
          <w:szCs w:val="18"/>
          <w:lang w:val="es-ES_tradnl"/>
        </w:rPr>
        <w:instrText xml:space="preserve"> SEQ Gráfico_3. \* ARABIC </w:instrText>
      </w:r>
      <w:r w:rsidR="00EB6BA6" w:rsidRPr="001E2F6E">
        <w:rPr>
          <w:b/>
          <w:snapToGrid w:val="0"/>
          <w:color w:val="1F497D" w:themeColor="text2"/>
          <w:sz w:val="18"/>
          <w:szCs w:val="18"/>
          <w:lang w:val="es-ES_tradnl"/>
        </w:rPr>
        <w:fldChar w:fldCharType="separate"/>
      </w:r>
      <w:r w:rsidR="00A327D4">
        <w:rPr>
          <w:b/>
          <w:noProof/>
          <w:snapToGrid w:val="0"/>
          <w:color w:val="1F497D" w:themeColor="text2"/>
          <w:sz w:val="18"/>
          <w:szCs w:val="18"/>
          <w:lang w:val="es-ES_tradnl"/>
        </w:rPr>
        <w:t>5</w:t>
      </w:r>
      <w:r w:rsidR="00EB6BA6" w:rsidRPr="001E2F6E">
        <w:rPr>
          <w:b/>
          <w:snapToGrid w:val="0"/>
          <w:color w:val="1F497D" w:themeColor="text2"/>
          <w:sz w:val="18"/>
          <w:szCs w:val="18"/>
          <w:lang w:val="es-ES_tradnl"/>
        </w:rPr>
        <w:fldChar w:fldCharType="end"/>
      </w:r>
      <w:r w:rsidRPr="001E2F6E">
        <w:rPr>
          <w:b/>
          <w:snapToGrid w:val="0"/>
          <w:color w:val="1F497D" w:themeColor="text2"/>
          <w:sz w:val="18"/>
          <w:szCs w:val="18"/>
          <w:lang w:val="es-ES_tradnl"/>
        </w:rPr>
        <w:t xml:space="preserve"> Irudia INGURUMENAREKIN LOTUTAKO JARDUERAREN BAT BURUTZEN DUTEN ENPRESEN PORTZENTAJEA, ENPLEGU-MAILAREN ARABERA 2012 (maila guztietako enpresa guztien %)</w:t>
      </w:r>
      <w:bookmarkEnd w:id="308"/>
      <w:bookmarkEnd w:id="309"/>
    </w:p>
    <w:p w:rsidR="00195BE7" w:rsidRPr="001E2F6E" w:rsidRDefault="00195BE7" w:rsidP="00195BE7">
      <w:pPr>
        <w:spacing w:line="240" w:lineRule="auto"/>
        <w:jc w:val="center"/>
        <w:rPr>
          <w:b/>
          <w:color w:val="000080"/>
          <w:sz w:val="16"/>
          <w:szCs w:val="16"/>
        </w:rPr>
      </w:pPr>
    </w:p>
    <w:p w:rsidR="00195BE7" w:rsidRPr="001E2F6E" w:rsidRDefault="00195BE7" w:rsidP="00195BE7">
      <w:pPr>
        <w:spacing w:line="240" w:lineRule="auto"/>
        <w:jc w:val="center"/>
        <w:rPr>
          <w:b/>
          <w:color w:val="000080"/>
          <w:sz w:val="16"/>
          <w:szCs w:val="16"/>
        </w:rPr>
      </w:pPr>
      <w:r w:rsidRPr="001E2F6E">
        <w:rPr>
          <w:b/>
          <w:noProof/>
          <w:color w:val="000080"/>
          <w:sz w:val="16"/>
          <w:szCs w:val="16"/>
          <w:lang w:eastAsia="es-ES"/>
        </w:rPr>
        <w:drawing>
          <wp:anchor distT="0" distB="0" distL="114300" distR="114300" simplePos="0" relativeHeight="251708416" behindDoc="0" locked="0" layoutInCell="1" allowOverlap="1" wp14:anchorId="66EF330C" wp14:editId="01863931">
            <wp:simplePos x="0" y="0"/>
            <wp:positionH relativeFrom="column">
              <wp:posOffset>34290</wp:posOffset>
            </wp:positionH>
            <wp:positionV relativeFrom="paragraph">
              <wp:posOffset>-1270</wp:posOffset>
            </wp:positionV>
            <wp:extent cx="5324475" cy="1695450"/>
            <wp:effectExtent l="0" t="0" r="0" b="0"/>
            <wp:wrapNone/>
            <wp:docPr id="473"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anchor>
        </w:drawing>
      </w:r>
    </w:p>
    <w:p w:rsidR="00195BE7" w:rsidRPr="001E2F6E" w:rsidRDefault="00195BE7" w:rsidP="00195BE7">
      <w:pPr>
        <w:spacing w:line="240" w:lineRule="auto"/>
        <w:jc w:val="center"/>
        <w:rPr>
          <w:b/>
          <w:color w:val="000080"/>
          <w:sz w:val="16"/>
          <w:szCs w:val="16"/>
        </w:rPr>
      </w:pPr>
    </w:p>
    <w:p w:rsidR="00195BE7" w:rsidRPr="001E2F6E" w:rsidRDefault="00195BE7" w:rsidP="00195BE7">
      <w:pPr>
        <w:spacing w:line="240" w:lineRule="auto"/>
        <w:jc w:val="center"/>
        <w:rPr>
          <w:b/>
          <w:color w:val="000080"/>
          <w:sz w:val="16"/>
          <w:szCs w:val="16"/>
        </w:rPr>
      </w:pPr>
    </w:p>
    <w:p w:rsidR="00195BE7" w:rsidRPr="001E2F6E" w:rsidRDefault="00195BE7" w:rsidP="00195BE7">
      <w:pPr>
        <w:spacing w:line="240" w:lineRule="auto"/>
        <w:jc w:val="center"/>
        <w:rPr>
          <w:b/>
          <w:color w:val="000080"/>
          <w:sz w:val="16"/>
          <w:szCs w:val="16"/>
        </w:rPr>
      </w:pPr>
    </w:p>
    <w:p w:rsidR="00195BE7" w:rsidRPr="001E2F6E" w:rsidRDefault="00195BE7" w:rsidP="00195BE7">
      <w:pPr>
        <w:spacing w:line="240" w:lineRule="auto"/>
        <w:jc w:val="center"/>
        <w:rPr>
          <w:b/>
          <w:color w:val="000080"/>
          <w:sz w:val="16"/>
          <w:szCs w:val="16"/>
        </w:rPr>
      </w:pPr>
    </w:p>
    <w:p w:rsidR="00195BE7" w:rsidRPr="001E2F6E" w:rsidRDefault="00195BE7" w:rsidP="00195BE7">
      <w:pPr>
        <w:spacing w:line="240" w:lineRule="auto"/>
        <w:jc w:val="center"/>
        <w:rPr>
          <w:b/>
          <w:color w:val="000080"/>
          <w:sz w:val="16"/>
          <w:szCs w:val="16"/>
        </w:rPr>
      </w:pPr>
    </w:p>
    <w:p w:rsidR="00195BE7" w:rsidRPr="001E2F6E" w:rsidRDefault="00195BE7" w:rsidP="00195BE7">
      <w:pPr>
        <w:spacing w:line="240" w:lineRule="auto"/>
        <w:jc w:val="center"/>
        <w:rPr>
          <w:b/>
          <w:color w:val="000080"/>
          <w:sz w:val="16"/>
          <w:szCs w:val="16"/>
        </w:rPr>
      </w:pPr>
    </w:p>
    <w:p w:rsidR="00195BE7" w:rsidRPr="001E2F6E" w:rsidRDefault="00195BE7" w:rsidP="00195BE7">
      <w:pPr>
        <w:spacing w:line="240" w:lineRule="auto"/>
        <w:jc w:val="center"/>
        <w:rPr>
          <w:b/>
          <w:color w:val="000080"/>
          <w:sz w:val="16"/>
          <w:szCs w:val="16"/>
        </w:rPr>
      </w:pPr>
    </w:p>
    <w:p w:rsidR="00195BE7" w:rsidRPr="001E2F6E" w:rsidRDefault="00195BE7" w:rsidP="00195BE7">
      <w:pPr>
        <w:spacing w:line="240" w:lineRule="auto"/>
        <w:jc w:val="center"/>
        <w:rPr>
          <w:b/>
          <w:color w:val="000080"/>
          <w:sz w:val="16"/>
          <w:szCs w:val="16"/>
        </w:rPr>
      </w:pPr>
    </w:p>
    <w:p w:rsidR="00195BE7" w:rsidRPr="001E2F6E" w:rsidRDefault="00195BE7" w:rsidP="00195BE7">
      <w:pPr>
        <w:spacing w:line="240" w:lineRule="auto"/>
        <w:jc w:val="center"/>
        <w:rPr>
          <w:b/>
          <w:color w:val="000080"/>
          <w:sz w:val="16"/>
          <w:szCs w:val="16"/>
        </w:rPr>
      </w:pPr>
    </w:p>
    <w:p w:rsidR="00195BE7" w:rsidRPr="001E2F6E" w:rsidRDefault="00195BE7" w:rsidP="00195BE7">
      <w:pPr>
        <w:spacing w:line="240" w:lineRule="auto"/>
        <w:jc w:val="center"/>
        <w:rPr>
          <w:b/>
          <w:color w:val="000080"/>
          <w:sz w:val="16"/>
          <w:szCs w:val="16"/>
        </w:rPr>
      </w:pPr>
    </w:p>
    <w:p w:rsidR="00195BE7" w:rsidRPr="001E2F6E" w:rsidRDefault="00195BE7" w:rsidP="00195BE7">
      <w:pPr>
        <w:spacing w:line="240" w:lineRule="auto"/>
        <w:jc w:val="center"/>
        <w:rPr>
          <w:b/>
          <w:color w:val="000080"/>
          <w:sz w:val="16"/>
          <w:szCs w:val="16"/>
        </w:rPr>
      </w:pPr>
    </w:p>
    <w:p w:rsidR="00195BE7" w:rsidRPr="001E2F6E" w:rsidRDefault="00195BE7" w:rsidP="00195BE7">
      <w:pPr>
        <w:spacing w:line="240" w:lineRule="auto"/>
        <w:jc w:val="center"/>
        <w:rPr>
          <w:b/>
          <w:color w:val="000080"/>
          <w:sz w:val="16"/>
          <w:szCs w:val="16"/>
        </w:rPr>
      </w:pPr>
    </w:p>
    <w:p w:rsidR="00195BE7" w:rsidRPr="001E2F6E" w:rsidRDefault="00195BE7" w:rsidP="00195BE7">
      <w:pPr>
        <w:spacing w:line="240" w:lineRule="auto"/>
        <w:jc w:val="center"/>
        <w:rPr>
          <w:b/>
          <w:color w:val="000080"/>
          <w:sz w:val="16"/>
          <w:szCs w:val="16"/>
        </w:rPr>
      </w:pPr>
    </w:p>
    <w:p w:rsidR="00195BE7" w:rsidRPr="001E2F6E" w:rsidRDefault="00195BE7" w:rsidP="00195BE7">
      <w:pPr>
        <w:spacing w:line="240" w:lineRule="auto"/>
        <w:jc w:val="center"/>
        <w:rPr>
          <w:b/>
          <w:color w:val="000080"/>
          <w:sz w:val="16"/>
          <w:szCs w:val="16"/>
        </w:rPr>
      </w:pPr>
    </w:p>
    <w:p w:rsidR="00195BE7" w:rsidRPr="001E2F6E" w:rsidRDefault="00195BE7" w:rsidP="00195BE7"/>
    <w:p w:rsidR="00195BE7" w:rsidRPr="001E2F6E" w:rsidRDefault="00195BE7" w:rsidP="00195BE7">
      <w:pPr>
        <w:spacing w:line="240" w:lineRule="auto"/>
        <w:jc w:val="center"/>
        <w:rPr>
          <w:b/>
          <w:snapToGrid w:val="0"/>
          <w:color w:val="1F497D" w:themeColor="text2"/>
          <w:sz w:val="18"/>
          <w:szCs w:val="18"/>
          <w:lang w:val="es-ES_tradnl"/>
        </w:rPr>
      </w:pPr>
      <w:bookmarkStart w:id="310" w:name="_Toc391989200"/>
      <w:bookmarkStart w:id="311" w:name="_Toc392585849"/>
      <w:r w:rsidRPr="001E2F6E">
        <w:rPr>
          <w:b/>
          <w:snapToGrid w:val="0"/>
          <w:color w:val="1F497D" w:themeColor="text2"/>
          <w:sz w:val="18"/>
          <w:szCs w:val="18"/>
          <w:lang w:val="es-ES_tradnl"/>
        </w:rPr>
        <w:t>3.</w:t>
      </w:r>
      <w:r w:rsidR="00EB6BA6" w:rsidRPr="001E2F6E">
        <w:rPr>
          <w:b/>
          <w:snapToGrid w:val="0"/>
          <w:color w:val="1F497D" w:themeColor="text2"/>
          <w:sz w:val="18"/>
          <w:szCs w:val="18"/>
          <w:lang w:val="es-ES_tradnl"/>
        </w:rPr>
        <w:fldChar w:fldCharType="begin"/>
      </w:r>
      <w:r w:rsidRPr="001E2F6E">
        <w:rPr>
          <w:b/>
          <w:snapToGrid w:val="0"/>
          <w:color w:val="1F497D" w:themeColor="text2"/>
          <w:sz w:val="18"/>
          <w:szCs w:val="18"/>
          <w:lang w:val="es-ES_tradnl"/>
        </w:rPr>
        <w:instrText xml:space="preserve"> SEQ Gráfico_3. \* ARABIC </w:instrText>
      </w:r>
      <w:r w:rsidR="00EB6BA6" w:rsidRPr="001E2F6E">
        <w:rPr>
          <w:b/>
          <w:snapToGrid w:val="0"/>
          <w:color w:val="1F497D" w:themeColor="text2"/>
          <w:sz w:val="18"/>
          <w:szCs w:val="18"/>
          <w:lang w:val="es-ES_tradnl"/>
        </w:rPr>
        <w:fldChar w:fldCharType="separate"/>
      </w:r>
      <w:r w:rsidR="00A327D4">
        <w:rPr>
          <w:b/>
          <w:noProof/>
          <w:snapToGrid w:val="0"/>
          <w:color w:val="1F497D" w:themeColor="text2"/>
          <w:sz w:val="18"/>
          <w:szCs w:val="18"/>
          <w:lang w:val="es-ES_tradnl"/>
        </w:rPr>
        <w:t>6</w:t>
      </w:r>
      <w:r w:rsidR="00EB6BA6" w:rsidRPr="001E2F6E">
        <w:rPr>
          <w:b/>
          <w:snapToGrid w:val="0"/>
          <w:color w:val="1F497D" w:themeColor="text2"/>
          <w:sz w:val="18"/>
          <w:szCs w:val="18"/>
          <w:lang w:val="es-ES_tradnl"/>
        </w:rPr>
        <w:fldChar w:fldCharType="end"/>
      </w:r>
      <w:r w:rsidRPr="001E2F6E">
        <w:rPr>
          <w:b/>
          <w:snapToGrid w:val="0"/>
          <w:color w:val="1F497D" w:themeColor="text2"/>
          <w:sz w:val="18"/>
          <w:szCs w:val="18"/>
          <w:lang w:val="es-ES_tradnl"/>
        </w:rPr>
        <w:t xml:space="preserve"> Irudia PRESTAKUNTZA KOOPERATIBA ETA SOZIETATE LABORALEN ALORREKOA, ENPRESAREN TAMAINAREN ARABERA (alor honetan jarduerak burutzen dituzten enpresen %, enplegu-mailaren arabera). 2012</w:t>
      </w:r>
      <w:bookmarkEnd w:id="310"/>
      <w:bookmarkEnd w:id="311"/>
    </w:p>
    <w:p w:rsidR="00195BE7" w:rsidRPr="001E2F6E" w:rsidRDefault="00195BE7" w:rsidP="00195BE7">
      <w:pPr>
        <w:spacing w:line="240" w:lineRule="auto"/>
        <w:jc w:val="center"/>
        <w:rPr>
          <w:b/>
          <w:snapToGrid w:val="0"/>
          <w:color w:val="1F497D" w:themeColor="text2"/>
          <w:sz w:val="18"/>
          <w:szCs w:val="18"/>
          <w:lang w:val="es-ES_tradnl"/>
        </w:rPr>
      </w:pPr>
      <w:r w:rsidRPr="001E2F6E">
        <w:rPr>
          <w:b/>
          <w:noProof/>
          <w:snapToGrid w:val="0"/>
          <w:color w:val="1F497D" w:themeColor="text2"/>
          <w:sz w:val="18"/>
          <w:szCs w:val="18"/>
          <w:lang w:eastAsia="es-ES"/>
        </w:rPr>
        <w:drawing>
          <wp:anchor distT="0" distB="0" distL="114300" distR="114300" simplePos="0" relativeHeight="251709440" behindDoc="0" locked="0" layoutInCell="1" allowOverlap="1" wp14:anchorId="154CBA83" wp14:editId="3B9BDF6D">
            <wp:simplePos x="0" y="0"/>
            <wp:positionH relativeFrom="column">
              <wp:posOffset>234315</wp:posOffset>
            </wp:positionH>
            <wp:positionV relativeFrom="paragraph">
              <wp:posOffset>1905</wp:posOffset>
            </wp:positionV>
            <wp:extent cx="4924425" cy="1514475"/>
            <wp:effectExtent l="0" t="0" r="0" b="0"/>
            <wp:wrapNone/>
            <wp:docPr id="474"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anchor>
        </w:drawing>
      </w:r>
    </w:p>
    <w:p w:rsidR="00195BE7" w:rsidRPr="001E2F6E" w:rsidRDefault="00195BE7" w:rsidP="00195BE7">
      <w:pPr>
        <w:pStyle w:val="Encabezado"/>
        <w:tabs>
          <w:tab w:val="clear" w:pos="4252"/>
          <w:tab w:val="clear" w:pos="8504"/>
        </w:tabs>
        <w:jc w:val="center"/>
        <w:rPr>
          <w:rFonts w:ascii="Tahoma" w:hAnsi="Tahoma"/>
          <w:sz w:val="16"/>
          <w:szCs w:val="16"/>
          <w:lang w:val="es-ES_tradnl"/>
        </w:rPr>
      </w:pPr>
    </w:p>
    <w:p w:rsidR="00195BE7" w:rsidRPr="001E2F6E" w:rsidRDefault="00195BE7" w:rsidP="00195BE7">
      <w:pPr>
        <w:spacing w:line="240" w:lineRule="auto"/>
        <w:jc w:val="center"/>
        <w:rPr>
          <w:b/>
          <w:color w:val="000080"/>
          <w:sz w:val="16"/>
          <w:szCs w:val="16"/>
        </w:rPr>
      </w:pPr>
    </w:p>
    <w:p w:rsidR="00195BE7" w:rsidRPr="001E2F6E" w:rsidRDefault="00195BE7" w:rsidP="00195BE7">
      <w:pPr>
        <w:spacing w:line="240" w:lineRule="auto"/>
        <w:jc w:val="center"/>
        <w:rPr>
          <w:b/>
          <w:color w:val="000080"/>
          <w:sz w:val="16"/>
          <w:szCs w:val="16"/>
        </w:rPr>
      </w:pPr>
    </w:p>
    <w:p w:rsidR="00195BE7" w:rsidRPr="001E2F6E" w:rsidRDefault="00195BE7" w:rsidP="00195BE7">
      <w:pPr>
        <w:spacing w:line="240" w:lineRule="auto"/>
        <w:jc w:val="center"/>
        <w:rPr>
          <w:b/>
          <w:color w:val="000080"/>
          <w:sz w:val="16"/>
          <w:szCs w:val="16"/>
        </w:rPr>
      </w:pPr>
    </w:p>
    <w:p w:rsidR="00195BE7" w:rsidRPr="001E2F6E" w:rsidRDefault="00195BE7" w:rsidP="00195BE7">
      <w:pPr>
        <w:spacing w:line="240" w:lineRule="auto"/>
        <w:jc w:val="center"/>
        <w:rPr>
          <w:b/>
          <w:color w:val="000080"/>
          <w:sz w:val="16"/>
          <w:szCs w:val="16"/>
        </w:rPr>
      </w:pPr>
    </w:p>
    <w:p w:rsidR="00195BE7" w:rsidRPr="001E2F6E" w:rsidRDefault="00195BE7" w:rsidP="00195BE7">
      <w:pPr>
        <w:spacing w:line="240" w:lineRule="auto"/>
        <w:jc w:val="center"/>
        <w:rPr>
          <w:b/>
          <w:color w:val="000080"/>
          <w:sz w:val="16"/>
          <w:szCs w:val="16"/>
        </w:rPr>
      </w:pPr>
    </w:p>
    <w:p w:rsidR="00195BE7" w:rsidRPr="001E2F6E" w:rsidRDefault="00195BE7" w:rsidP="00195BE7">
      <w:pPr>
        <w:spacing w:line="240" w:lineRule="auto"/>
        <w:jc w:val="center"/>
        <w:rPr>
          <w:b/>
          <w:color w:val="000080"/>
          <w:sz w:val="16"/>
          <w:szCs w:val="16"/>
        </w:rPr>
      </w:pPr>
    </w:p>
    <w:p w:rsidR="00195BE7" w:rsidRPr="001E2F6E" w:rsidRDefault="00195BE7" w:rsidP="00195BE7">
      <w:pPr>
        <w:spacing w:line="240" w:lineRule="auto"/>
        <w:jc w:val="center"/>
        <w:rPr>
          <w:b/>
          <w:color w:val="000080"/>
          <w:sz w:val="16"/>
          <w:szCs w:val="16"/>
        </w:rPr>
      </w:pPr>
    </w:p>
    <w:p w:rsidR="00195BE7" w:rsidRPr="001E2F6E" w:rsidRDefault="00195BE7" w:rsidP="00195BE7">
      <w:pPr>
        <w:spacing w:line="240" w:lineRule="auto"/>
        <w:jc w:val="center"/>
        <w:rPr>
          <w:b/>
          <w:color w:val="000080"/>
          <w:sz w:val="16"/>
          <w:szCs w:val="16"/>
        </w:rPr>
      </w:pPr>
    </w:p>
    <w:p w:rsidR="00195BE7" w:rsidRPr="001E2F6E" w:rsidRDefault="00195BE7" w:rsidP="00195BE7">
      <w:pPr>
        <w:spacing w:line="240" w:lineRule="auto"/>
        <w:jc w:val="center"/>
        <w:rPr>
          <w:b/>
          <w:color w:val="000080"/>
          <w:sz w:val="16"/>
          <w:szCs w:val="16"/>
        </w:rPr>
      </w:pPr>
    </w:p>
    <w:p w:rsidR="00195BE7" w:rsidRPr="001E2F6E" w:rsidRDefault="00195BE7" w:rsidP="00195BE7">
      <w:pPr>
        <w:spacing w:line="240" w:lineRule="auto"/>
        <w:jc w:val="center"/>
        <w:rPr>
          <w:b/>
          <w:color w:val="000080"/>
          <w:sz w:val="16"/>
          <w:szCs w:val="16"/>
        </w:rPr>
      </w:pPr>
    </w:p>
    <w:p w:rsidR="00195BE7" w:rsidRPr="001E2F6E" w:rsidRDefault="00195BE7" w:rsidP="00195BE7">
      <w:pPr>
        <w:spacing w:line="240" w:lineRule="auto"/>
        <w:jc w:val="center"/>
        <w:rPr>
          <w:b/>
          <w:color w:val="000080"/>
          <w:sz w:val="16"/>
          <w:szCs w:val="16"/>
        </w:rPr>
      </w:pPr>
    </w:p>
    <w:p w:rsidR="00195BE7" w:rsidRPr="001E2F6E" w:rsidRDefault="00195BE7" w:rsidP="00195BE7">
      <w:pPr>
        <w:spacing w:after="200" w:line="276" w:lineRule="auto"/>
        <w:jc w:val="left"/>
        <w:rPr>
          <w:b/>
          <w:snapToGrid w:val="0"/>
          <w:color w:val="1F497D" w:themeColor="text2"/>
          <w:sz w:val="18"/>
          <w:szCs w:val="18"/>
          <w:lang w:val="es-ES_tradnl"/>
        </w:rPr>
      </w:pPr>
    </w:p>
    <w:p w:rsidR="00195BE7" w:rsidRPr="001E2F6E" w:rsidRDefault="00195BE7" w:rsidP="00195BE7">
      <w:pPr>
        <w:spacing w:line="240" w:lineRule="auto"/>
        <w:jc w:val="center"/>
        <w:rPr>
          <w:b/>
          <w:snapToGrid w:val="0"/>
          <w:color w:val="1F497D" w:themeColor="text2"/>
          <w:sz w:val="18"/>
          <w:szCs w:val="18"/>
          <w:lang w:val="es-ES_tradnl"/>
        </w:rPr>
      </w:pPr>
      <w:bookmarkStart w:id="312" w:name="_Toc391989201"/>
      <w:bookmarkStart w:id="313" w:name="_Toc392585850"/>
      <w:r w:rsidRPr="001E2F6E">
        <w:rPr>
          <w:b/>
          <w:snapToGrid w:val="0"/>
          <w:color w:val="1F497D" w:themeColor="text2"/>
          <w:sz w:val="18"/>
          <w:szCs w:val="18"/>
          <w:lang w:val="es-ES_tradnl"/>
        </w:rPr>
        <w:t>3.</w:t>
      </w:r>
      <w:r w:rsidR="00EB6BA6" w:rsidRPr="001E2F6E">
        <w:rPr>
          <w:b/>
          <w:snapToGrid w:val="0"/>
          <w:color w:val="1F497D" w:themeColor="text2"/>
          <w:sz w:val="18"/>
          <w:szCs w:val="18"/>
          <w:lang w:val="es-ES_tradnl"/>
        </w:rPr>
        <w:fldChar w:fldCharType="begin"/>
      </w:r>
      <w:r w:rsidRPr="001E2F6E">
        <w:rPr>
          <w:b/>
          <w:snapToGrid w:val="0"/>
          <w:color w:val="1F497D" w:themeColor="text2"/>
          <w:sz w:val="18"/>
          <w:szCs w:val="18"/>
          <w:lang w:val="es-ES_tradnl"/>
        </w:rPr>
        <w:instrText xml:space="preserve"> SEQ Gráfico_3. \* ARABIC </w:instrText>
      </w:r>
      <w:r w:rsidR="00EB6BA6" w:rsidRPr="001E2F6E">
        <w:rPr>
          <w:b/>
          <w:snapToGrid w:val="0"/>
          <w:color w:val="1F497D" w:themeColor="text2"/>
          <w:sz w:val="18"/>
          <w:szCs w:val="18"/>
          <w:lang w:val="es-ES_tradnl"/>
        </w:rPr>
        <w:fldChar w:fldCharType="separate"/>
      </w:r>
      <w:r w:rsidR="00A327D4">
        <w:rPr>
          <w:b/>
          <w:noProof/>
          <w:snapToGrid w:val="0"/>
          <w:color w:val="1F497D" w:themeColor="text2"/>
          <w:sz w:val="18"/>
          <w:szCs w:val="18"/>
          <w:lang w:val="es-ES_tradnl"/>
        </w:rPr>
        <w:t>7</w:t>
      </w:r>
      <w:r w:rsidR="00EB6BA6" w:rsidRPr="001E2F6E">
        <w:rPr>
          <w:b/>
          <w:snapToGrid w:val="0"/>
          <w:color w:val="1F497D" w:themeColor="text2"/>
          <w:sz w:val="18"/>
          <w:szCs w:val="18"/>
          <w:lang w:val="es-ES_tradnl"/>
        </w:rPr>
        <w:fldChar w:fldCharType="end"/>
      </w:r>
      <w:r w:rsidRPr="001E2F6E">
        <w:rPr>
          <w:b/>
          <w:snapToGrid w:val="0"/>
          <w:color w:val="1F497D" w:themeColor="text2"/>
          <w:sz w:val="18"/>
          <w:szCs w:val="18"/>
          <w:lang w:val="es-ES_tradnl"/>
        </w:rPr>
        <w:t xml:space="preserve"> Irudia PRESTAKUNTZA KOOPERATIBOA ETA SOZIETATE LABORALEN INGURUKOA. Prestakuntza jaso dutenak 2012</w:t>
      </w:r>
      <w:bookmarkEnd w:id="312"/>
      <w:bookmarkEnd w:id="313"/>
    </w:p>
    <w:p w:rsidR="00195BE7" w:rsidRPr="001E2F6E" w:rsidRDefault="00195BE7" w:rsidP="00195BE7">
      <w:pPr>
        <w:spacing w:line="240" w:lineRule="auto"/>
        <w:jc w:val="center"/>
        <w:rPr>
          <w:b/>
          <w:color w:val="000080"/>
          <w:sz w:val="16"/>
          <w:szCs w:val="16"/>
        </w:rPr>
      </w:pPr>
      <w:r w:rsidRPr="001E2F6E">
        <w:rPr>
          <w:b/>
          <w:noProof/>
          <w:color w:val="000080"/>
          <w:sz w:val="16"/>
          <w:szCs w:val="16"/>
          <w:lang w:eastAsia="es-ES"/>
        </w:rPr>
        <w:drawing>
          <wp:anchor distT="0" distB="0" distL="114300" distR="114300" simplePos="0" relativeHeight="251710464" behindDoc="0" locked="0" layoutInCell="1" allowOverlap="1" wp14:anchorId="65D7218A" wp14:editId="092E9190">
            <wp:simplePos x="0" y="0"/>
            <wp:positionH relativeFrom="column">
              <wp:posOffset>34290</wp:posOffset>
            </wp:positionH>
            <wp:positionV relativeFrom="paragraph">
              <wp:posOffset>26035</wp:posOffset>
            </wp:positionV>
            <wp:extent cx="5400675" cy="1485900"/>
            <wp:effectExtent l="0" t="0" r="0" b="0"/>
            <wp:wrapNone/>
            <wp:docPr id="475"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anchor>
        </w:drawing>
      </w:r>
    </w:p>
    <w:p w:rsidR="00195BE7" w:rsidRPr="001E2F6E" w:rsidRDefault="00195BE7" w:rsidP="00195BE7">
      <w:pPr>
        <w:pStyle w:val="Encabezado"/>
        <w:tabs>
          <w:tab w:val="clear" w:pos="4252"/>
          <w:tab w:val="clear" w:pos="8504"/>
        </w:tabs>
        <w:ind w:left="708" w:hanging="708"/>
        <w:rPr>
          <w:b/>
          <w:color w:val="000080"/>
          <w:sz w:val="22"/>
        </w:rPr>
      </w:pPr>
    </w:p>
    <w:p w:rsidR="00195BE7" w:rsidRPr="001E2F6E" w:rsidRDefault="00195BE7" w:rsidP="00195BE7">
      <w:pPr>
        <w:pStyle w:val="Encabezado"/>
        <w:tabs>
          <w:tab w:val="clear" w:pos="4252"/>
          <w:tab w:val="clear" w:pos="8504"/>
        </w:tabs>
        <w:ind w:left="708" w:hanging="708"/>
        <w:rPr>
          <w:b/>
          <w:color w:val="000080"/>
          <w:sz w:val="22"/>
        </w:rPr>
      </w:pPr>
    </w:p>
    <w:p w:rsidR="00195BE7" w:rsidRPr="001E2F6E" w:rsidRDefault="00195BE7" w:rsidP="00195BE7">
      <w:pPr>
        <w:pStyle w:val="Encabezado"/>
        <w:tabs>
          <w:tab w:val="clear" w:pos="4252"/>
          <w:tab w:val="clear" w:pos="8504"/>
        </w:tabs>
        <w:ind w:left="708" w:hanging="708"/>
        <w:jc w:val="center"/>
        <w:rPr>
          <w:b/>
          <w:color w:val="000080"/>
          <w:sz w:val="22"/>
        </w:rPr>
      </w:pPr>
    </w:p>
    <w:p w:rsidR="00195BE7" w:rsidRPr="001E2F6E" w:rsidRDefault="00195BE7" w:rsidP="00195BE7">
      <w:pPr>
        <w:pStyle w:val="Encabezado"/>
        <w:tabs>
          <w:tab w:val="clear" w:pos="4252"/>
          <w:tab w:val="clear" w:pos="8504"/>
        </w:tabs>
        <w:ind w:left="708" w:hanging="708"/>
        <w:rPr>
          <w:rFonts w:ascii="Tahoma" w:hAnsi="Tahoma"/>
          <w:b/>
          <w:color w:val="000080"/>
          <w:sz w:val="22"/>
        </w:rPr>
      </w:pPr>
    </w:p>
    <w:p w:rsidR="00195BE7" w:rsidRPr="001E2F6E" w:rsidRDefault="00195BE7" w:rsidP="00195BE7">
      <w:pPr>
        <w:pStyle w:val="Encabezado"/>
        <w:tabs>
          <w:tab w:val="clear" w:pos="4252"/>
          <w:tab w:val="clear" w:pos="8504"/>
        </w:tabs>
        <w:ind w:left="708" w:hanging="708"/>
        <w:rPr>
          <w:rFonts w:ascii="Tahoma" w:hAnsi="Tahoma"/>
          <w:b/>
          <w:color w:val="000080"/>
          <w:sz w:val="22"/>
        </w:rPr>
      </w:pPr>
    </w:p>
    <w:p w:rsidR="00195BE7" w:rsidRPr="001E2F6E" w:rsidRDefault="00195BE7" w:rsidP="00195BE7">
      <w:pPr>
        <w:pStyle w:val="Encabezado"/>
        <w:tabs>
          <w:tab w:val="clear" w:pos="4252"/>
          <w:tab w:val="clear" w:pos="8504"/>
        </w:tabs>
        <w:ind w:left="708" w:hanging="708"/>
        <w:rPr>
          <w:rFonts w:ascii="Tahoma" w:hAnsi="Tahoma"/>
          <w:b/>
          <w:color w:val="000080"/>
          <w:sz w:val="22"/>
        </w:rPr>
      </w:pPr>
    </w:p>
    <w:p w:rsidR="00195BE7" w:rsidRPr="001E2F6E" w:rsidRDefault="00195BE7" w:rsidP="00195BE7">
      <w:pPr>
        <w:pStyle w:val="Encabezado"/>
        <w:tabs>
          <w:tab w:val="clear" w:pos="4252"/>
          <w:tab w:val="clear" w:pos="8504"/>
        </w:tabs>
        <w:ind w:left="708" w:hanging="708"/>
        <w:rPr>
          <w:rFonts w:ascii="Tahoma" w:hAnsi="Tahoma"/>
          <w:b/>
          <w:color w:val="000080"/>
          <w:sz w:val="22"/>
        </w:rPr>
      </w:pPr>
    </w:p>
    <w:p w:rsidR="00195BE7" w:rsidRPr="001E2F6E" w:rsidRDefault="00195BE7" w:rsidP="00195BE7">
      <w:pPr>
        <w:pStyle w:val="Ttulo1"/>
        <w:ind w:left="708" w:hanging="708"/>
        <w:rPr>
          <w:color w:val="1F497D" w:themeColor="text2"/>
          <w:sz w:val="26"/>
          <w:szCs w:val="26"/>
        </w:rPr>
      </w:pPr>
      <w:bookmarkStart w:id="314" w:name="_Toc391989033"/>
      <w:bookmarkStart w:id="315" w:name="_Toc392585696"/>
      <w:r w:rsidRPr="001E2F6E">
        <w:rPr>
          <w:color w:val="1F497D" w:themeColor="text2"/>
          <w:sz w:val="26"/>
          <w:szCs w:val="26"/>
        </w:rPr>
        <w:lastRenderedPageBreak/>
        <w:t>4.-</w:t>
      </w:r>
      <w:r w:rsidRPr="001E2F6E">
        <w:rPr>
          <w:color w:val="1F497D" w:themeColor="text2"/>
          <w:sz w:val="26"/>
          <w:szCs w:val="26"/>
        </w:rPr>
        <w:tab/>
        <w:t>ENPRESEN ARTEKO LANKIDETZA</w:t>
      </w:r>
      <w:bookmarkEnd w:id="314"/>
      <w:bookmarkEnd w:id="315"/>
    </w:p>
    <w:p w:rsidR="00195BE7" w:rsidRPr="001E2F6E" w:rsidRDefault="00195BE7" w:rsidP="00195BE7">
      <w:pPr>
        <w:rPr>
          <w:color w:val="000000"/>
        </w:rPr>
      </w:pPr>
    </w:p>
    <w:p w:rsidR="00195BE7" w:rsidRPr="001E2F6E" w:rsidRDefault="00195BE7" w:rsidP="00195BE7">
      <w:pPr>
        <w:rPr>
          <w:color w:val="000000"/>
        </w:rPr>
      </w:pPr>
    </w:p>
    <w:p w:rsidR="00195BE7" w:rsidRPr="001E2F6E" w:rsidRDefault="00195BE7" w:rsidP="00195BE7">
      <w:pPr>
        <w:spacing w:line="240" w:lineRule="auto"/>
        <w:jc w:val="center"/>
        <w:rPr>
          <w:b/>
          <w:snapToGrid w:val="0"/>
          <w:color w:val="1F497D" w:themeColor="text2"/>
          <w:sz w:val="18"/>
          <w:szCs w:val="18"/>
          <w:lang w:val="es-ES_tradnl"/>
        </w:rPr>
      </w:pPr>
      <w:bookmarkStart w:id="316" w:name="_Toc391989211"/>
      <w:bookmarkStart w:id="317" w:name="_Toc392585841"/>
      <w:r w:rsidRPr="001E2F6E">
        <w:rPr>
          <w:b/>
          <w:snapToGrid w:val="0"/>
          <w:color w:val="1F497D" w:themeColor="text2"/>
          <w:sz w:val="18"/>
          <w:szCs w:val="18"/>
          <w:lang w:val="es-ES_tradnl"/>
        </w:rPr>
        <w:t>3.</w:t>
      </w:r>
      <w:r w:rsidR="00EB6BA6" w:rsidRPr="001E2F6E">
        <w:rPr>
          <w:b/>
          <w:snapToGrid w:val="0"/>
          <w:color w:val="1F497D" w:themeColor="text2"/>
          <w:sz w:val="18"/>
          <w:szCs w:val="18"/>
          <w:lang w:val="es-ES_tradnl"/>
        </w:rPr>
        <w:fldChar w:fldCharType="begin"/>
      </w:r>
      <w:r w:rsidRPr="001E2F6E">
        <w:rPr>
          <w:b/>
          <w:snapToGrid w:val="0"/>
          <w:color w:val="1F497D" w:themeColor="text2"/>
          <w:sz w:val="18"/>
          <w:szCs w:val="18"/>
          <w:lang w:val="es-ES_tradnl"/>
        </w:rPr>
        <w:instrText xml:space="preserve"> SEQ Cuadro_3. \* ARABIC </w:instrText>
      </w:r>
      <w:r w:rsidR="00EB6BA6" w:rsidRPr="001E2F6E">
        <w:rPr>
          <w:b/>
          <w:snapToGrid w:val="0"/>
          <w:color w:val="1F497D" w:themeColor="text2"/>
          <w:sz w:val="18"/>
          <w:szCs w:val="18"/>
          <w:lang w:val="es-ES_tradnl"/>
        </w:rPr>
        <w:fldChar w:fldCharType="separate"/>
      </w:r>
      <w:r w:rsidR="00A327D4">
        <w:rPr>
          <w:b/>
          <w:noProof/>
          <w:snapToGrid w:val="0"/>
          <w:color w:val="1F497D" w:themeColor="text2"/>
          <w:sz w:val="18"/>
          <w:szCs w:val="18"/>
          <w:lang w:val="es-ES_tradnl"/>
        </w:rPr>
        <w:t>7</w:t>
      </w:r>
      <w:r w:rsidR="00EB6BA6" w:rsidRPr="001E2F6E">
        <w:rPr>
          <w:b/>
          <w:snapToGrid w:val="0"/>
          <w:color w:val="1F497D" w:themeColor="text2"/>
          <w:sz w:val="18"/>
          <w:szCs w:val="18"/>
          <w:lang w:val="es-ES_tradnl"/>
        </w:rPr>
        <w:fldChar w:fldCharType="end"/>
      </w:r>
      <w:r w:rsidRPr="001E2F6E">
        <w:rPr>
          <w:b/>
          <w:snapToGrid w:val="0"/>
          <w:color w:val="1F497D" w:themeColor="text2"/>
          <w:sz w:val="18"/>
          <w:szCs w:val="18"/>
          <w:lang w:val="es-ES_tradnl"/>
        </w:rPr>
        <w:t xml:space="preserve"> Taula GIZARTE-EKONOMIAREN ALORREKO ENPRESEN LANKIDETZA-HARREMANAK, FORMA JURIDIKOAREN ARABERA. 2012</w:t>
      </w:r>
      <w:bookmarkEnd w:id="316"/>
      <w:bookmarkEnd w:id="317"/>
    </w:p>
    <w:tbl>
      <w:tblPr>
        <w:tblW w:w="5000" w:type="pct"/>
        <w:jc w:val="center"/>
        <w:tblBorders>
          <w:top w:val="single" w:sz="4" w:space="0" w:color="BFBFBF" w:themeColor="background1" w:themeShade="BF"/>
          <w:bottom w:val="single" w:sz="4" w:space="0" w:color="BFBFBF" w:themeColor="background1" w:themeShade="BF"/>
        </w:tblBorders>
        <w:tblLook w:val="04A0" w:firstRow="1" w:lastRow="0" w:firstColumn="1" w:lastColumn="0" w:noHBand="0" w:noVBand="1"/>
      </w:tblPr>
      <w:tblGrid>
        <w:gridCol w:w="3528"/>
        <w:gridCol w:w="1369"/>
        <w:gridCol w:w="1369"/>
        <w:gridCol w:w="1369"/>
        <w:gridCol w:w="1369"/>
      </w:tblGrid>
      <w:tr w:rsidR="00195BE7" w:rsidRPr="001E2F6E" w:rsidTr="00195BE7">
        <w:trPr>
          <w:jc w:val="center"/>
        </w:trPr>
        <w:tc>
          <w:tcPr>
            <w:tcW w:w="1959"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noWrap/>
          </w:tcPr>
          <w:p w:rsidR="00195BE7" w:rsidRPr="001E2F6E" w:rsidRDefault="00195BE7" w:rsidP="00195BE7">
            <w:pPr>
              <w:spacing w:line="240" w:lineRule="exact"/>
              <w:rPr>
                <w:b/>
                <w:bCs/>
                <w:sz w:val="16"/>
                <w:szCs w:val="16"/>
              </w:rPr>
            </w:pPr>
          </w:p>
        </w:tc>
        <w:tc>
          <w:tcPr>
            <w:tcW w:w="760"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tcPr>
          <w:p w:rsidR="00195BE7" w:rsidRPr="001E2F6E" w:rsidRDefault="00195BE7" w:rsidP="00195BE7">
            <w:pPr>
              <w:spacing w:line="240" w:lineRule="exact"/>
              <w:jc w:val="center"/>
              <w:rPr>
                <w:b/>
                <w:bCs/>
                <w:sz w:val="16"/>
                <w:szCs w:val="16"/>
                <w:lang w:val="en-GB"/>
              </w:rPr>
            </w:pPr>
            <w:r w:rsidRPr="001E2F6E">
              <w:rPr>
                <w:b/>
                <w:bCs/>
                <w:sz w:val="16"/>
                <w:szCs w:val="16"/>
                <w:lang w:val="en-GB"/>
              </w:rPr>
              <w:t>Guztira</w:t>
            </w:r>
          </w:p>
          <w:p w:rsidR="00195BE7" w:rsidRPr="001E2F6E" w:rsidRDefault="00195BE7" w:rsidP="00195BE7">
            <w:pPr>
              <w:spacing w:line="240" w:lineRule="exact"/>
              <w:jc w:val="center"/>
              <w:rPr>
                <w:b/>
                <w:bCs/>
                <w:sz w:val="16"/>
                <w:szCs w:val="16"/>
                <w:lang w:val="en-GB"/>
              </w:rPr>
            </w:pPr>
            <w:r w:rsidRPr="001E2F6E">
              <w:rPr>
                <w:b/>
                <w:bCs/>
                <w:sz w:val="16"/>
                <w:szCs w:val="16"/>
                <w:lang w:val="en-GB"/>
              </w:rPr>
              <w:t>%</w:t>
            </w:r>
          </w:p>
        </w:tc>
        <w:tc>
          <w:tcPr>
            <w:tcW w:w="76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noWrap/>
          </w:tcPr>
          <w:p w:rsidR="00195BE7" w:rsidRPr="001E2F6E" w:rsidRDefault="00195BE7" w:rsidP="00195BE7">
            <w:pPr>
              <w:spacing w:line="240" w:lineRule="exact"/>
              <w:jc w:val="center"/>
              <w:rPr>
                <w:b/>
                <w:bCs/>
                <w:sz w:val="16"/>
                <w:szCs w:val="16"/>
                <w:lang w:val="en-GB"/>
              </w:rPr>
            </w:pPr>
            <w:r w:rsidRPr="001E2F6E">
              <w:rPr>
                <w:b/>
                <w:bCs/>
                <w:sz w:val="16"/>
                <w:szCs w:val="16"/>
                <w:lang w:val="en-GB"/>
              </w:rPr>
              <w:t>Koop.</w:t>
            </w:r>
          </w:p>
          <w:p w:rsidR="00195BE7" w:rsidRPr="001E2F6E" w:rsidRDefault="00195BE7" w:rsidP="00195BE7">
            <w:pPr>
              <w:spacing w:line="240" w:lineRule="exact"/>
              <w:jc w:val="center"/>
              <w:rPr>
                <w:b/>
                <w:bCs/>
                <w:sz w:val="16"/>
                <w:szCs w:val="16"/>
              </w:rPr>
            </w:pPr>
            <w:r w:rsidRPr="001E2F6E">
              <w:rPr>
                <w:b/>
                <w:bCs/>
                <w:sz w:val="16"/>
                <w:szCs w:val="16"/>
                <w:lang w:val="en-GB"/>
              </w:rPr>
              <w:t>%</w:t>
            </w:r>
          </w:p>
        </w:tc>
        <w:tc>
          <w:tcPr>
            <w:tcW w:w="76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tcPr>
          <w:p w:rsidR="00195BE7" w:rsidRPr="001E2F6E" w:rsidRDefault="00195BE7" w:rsidP="00195BE7">
            <w:pPr>
              <w:spacing w:line="240" w:lineRule="exact"/>
              <w:jc w:val="center"/>
              <w:rPr>
                <w:b/>
                <w:bCs/>
                <w:sz w:val="16"/>
                <w:szCs w:val="16"/>
                <w:lang w:val="en-GB"/>
              </w:rPr>
            </w:pPr>
            <w:r w:rsidRPr="001E2F6E">
              <w:rPr>
                <w:b/>
                <w:bCs/>
                <w:sz w:val="16"/>
                <w:szCs w:val="16"/>
                <w:lang w:val="en-GB"/>
              </w:rPr>
              <w:t>LSA</w:t>
            </w:r>
          </w:p>
          <w:p w:rsidR="00195BE7" w:rsidRPr="001E2F6E" w:rsidRDefault="00195BE7" w:rsidP="00195BE7">
            <w:pPr>
              <w:spacing w:line="240" w:lineRule="exact"/>
              <w:jc w:val="center"/>
              <w:rPr>
                <w:b/>
                <w:bCs/>
                <w:sz w:val="16"/>
                <w:szCs w:val="16"/>
              </w:rPr>
            </w:pPr>
            <w:r w:rsidRPr="001E2F6E">
              <w:rPr>
                <w:b/>
                <w:bCs/>
                <w:sz w:val="16"/>
                <w:szCs w:val="16"/>
                <w:lang w:val="en-GB"/>
              </w:rPr>
              <w:t>%</w:t>
            </w:r>
          </w:p>
        </w:tc>
        <w:tc>
          <w:tcPr>
            <w:tcW w:w="760"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tcPr>
          <w:p w:rsidR="00195BE7" w:rsidRPr="001E2F6E" w:rsidRDefault="00195BE7" w:rsidP="00195BE7">
            <w:pPr>
              <w:spacing w:line="240" w:lineRule="exact"/>
              <w:jc w:val="center"/>
              <w:rPr>
                <w:b/>
                <w:bCs/>
                <w:sz w:val="16"/>
                <w:szCs w:val="16"/>
                <w:lang w:val="en-GB"/>
              </w:rPr>
            </w:pPr>
            <w:r w:rsidRPr="001E2F6E">
              <w:rPr>
                <w:b/>
                <w:bCs/>
                <w:sz w:val="16"/>
                <w:szCs w:val="16"/>
                <w:lang w:val="en-GB"/>
              </w:rPr>
              <w:t>LSM</w:t>
            </w:r>
          </w:p>
          <w:p w:rsidR="00195BE7" w:rsidRPr="001E2F6E" w:rsidRDefault="00195BE7" w:rsidP="00195BE7">
            <w:pPr>
              <w:spacing w:line="240" w:lineRule="exact"/>
              <w:jc w:val="center"/>
              <w:rPr>
                <w:b/>
                <w:bCs/>
                <w:sz w:val="16"/>
                <w:szCs w:val="16"/>
              </w:rPr>
            </w:pPr>
            <w:r w:rsidRPr="001E2F6E">
              <w:rPr>
                <w:b/>
                <w:bCs/>
                <w:sz w:val="16"/>
                <w:szCs w:val="16"/>
                <w:lang w:val="en-GB"/>
              </w:rPr>
              <w:t>%</w:t>
            </w:r>
          </w:p>
        </w:tc>
      </w:tr>
      <w:tr w:rsidR="00195BE7" w:rsidRPr="001E2F6E" w:rsidTr="00195BE7">
        <w:trPr>
          <w:trHeight w:val="108"/>
          <w:jc w:val="center"/>
        </w:trPr>
        <w:tc>
          <w:tcPr>
            <w:tcW w:w="1959" w:type="pct"/>
            <w:tcBorders>
              <w:right w:val="single" w:sz="4" w:space="0" w:color="BFBFBF" w:themeColor="background1" w:themeShade="BF"/>
            </w:tcBorders>
            <w:noWrap/>
            <w:vAlign w:val="bottom"/>
          </w:tcPr>
          <w:p w:rsidR="00195BE7" w:rsidRPr="001E2F6E" w:rsidRDefault="00195BE7" w:rsidP="00195BE7">
            <w:pPr>
              <w:spacing w:line="240" w:lineRule="exact"/>
              <w:jc w:val="left"/>
              <w:rPr>
                <w:sz w:val="16"/>
                <w:szCs w:val="16"/>
              </w:rPr>
            </w:pPr>
            <w:r w:rsidRPr="001E2F6E">
              <w:rPr>
                <w:sz w:val="16"/>
                <w:szCs w:val="16"/>
                <w:lang w:val="eu-ES"/>
              </w:rPr>
              <w:t>Lankidetza harremanak dituzte</w:t>
            </w:r>
          </w:p>
        </w:tc>
        <w:tc>
          <w:tcPr>
            <w:tcW w:w="760" w:type="pct"/>
            <w:tcBorders>
              <w:right w:val="single" w:sz="4" w:space="0" w:color="BFBFBF" w:themeColor="background1" w:themeShade="BF"/>
            </w:tcBorders>
            <w:vAlign w:val="center"/>
          </w:tcPr>
          <w:p w:rsidR="00195BE7" w:rsidRPr="001E2F6E" w:rsidRDefault="00195BE7" w:rsidP="00195BE7">
            <w:pPr>
              <w:spacing w:line="240" w:lineRule="exact"/>
              <w:ind w:right="170"/>
              <w:jc w:val="center"/>
              <w:rPr>
                <w:bCs/>
                <w:sz w:val="16"/>
                <w:szCs w:val="16"/>
              </w:rPr>
            </w:pPr>
            <w:r w:rsidRPr="001E2F6E">
              <w:rPr>
                <w:bCs/>
                <w:sz w:val="16"/>
                <w:szCs w:val="16"/>
              </w:rPr>
              <w:t>30,5</w:t>
            </w:r>
          </w:p>
        </w:tc>
        <w:tc>
          <w:tcPr>
            <w:tcW w:w="760" w:type="pct"/>
            <w:tcBorders>
              <w:left w:val="single" w:sz="4" w:space="0" w:color="BFBFBF" w:themeColor="background1" w:themeShade="BF"/>
              <w:right w:val="single" w:sz="4" w:space="0" w:color="BFBFBF" w:themeColor="background1" w:themeShade="BF"/>
            </w:tcBorders>
            <w:vAlign w:val="center"/>
          </w:tcPr>
          <w:p w:rsidR="00195BE7" w:rsidRPr="001E2F6E" w:rsidRDefault="00195BE7" w:rsidP="00195BE7">
            <w:pPr>
              <w:spacing w:line="240" w:lineRule="exact"/>
              <w:ind w:right="170"/>
              <w:jc w:val="center"/>
              <w:rPr>
                <w:sz w:val="16"/>
                <w:szCs w:val="16"/>
              </w:rPr>
            </w:pPr>
            <w:r w:rsidRPr="001E2F6E">
              <w:rPr>
                <w:sz w:val="16"/>
                <w:szCs w:val="16"/>
              </w:rPr>
              <w:t>38,9</w:t>
            </w:r>
          </w:p>
        </w:tc>
        <w:tc>
          <w:tcPr>
            <w:tcW w:w="760" w:type="pct"/>
            <w:tcBorders>
              <w:left w:val="single" w:sz="4" w:space="0" w:color="BFBFBF" w:themeColor="background1" w:themeShade="BF"/>
              <w:right w:val="single" w:sz="4" w:space="0" w:color="BFBFBF" w:themeColor="background1" w:themeShade="BF"/>
            </w:tcBorders>
            <w:vAlign w:val="center"/>
          </w:tcPr>
          <w:p w:rsidR="00195BE7" w:rsidRPr="001E2F6E" w:rsidRDefault="00195BE7" w:rsidP="00195BE7">
            <w:pPr>
              <w:spacing w:line="240" w:lineRule="exact"/>
              <w:ind w:right="170"/>
              <w:jc w:val="center"/>
              <w:rPr>
                <w:sz w:val="16"/>
                <w:szCs w:val="16"/>
              </w:rPr>
            </w:pPr>
            <w:r w:rsidRPr="001E2F6E">
              <w:rPr>
                <w:sz w:val="16"/>
                <w:szCs w:val="16"/>
              </w:rPr>
              <w:t>9,8</w:t>
            </w:r>
          </w:p>
        </w:tc>
        <w:tc>
          <w:tcPr>
            <w:tcW w:w="760" w:type="pct"/>
            <w:tcBorders>
              <w:left w:val="single" w:sz="4" w:space="0" w:color="BFBFBF" w:themeColor="background1" w:themeShade="BF"/>
            </w:tcBorders>
            <w:vAlign w:val="center"/>
          </w:tcPr>
          <w:p w:rsidR="00195BE7" w:rsidRPr="001E2F6E" w:rsidRDefault="00195BE7" w:rsidP="00195BE7">
            <w:pPr>
              <w:spacing w:line="240" w:lineRule="exact"/>
              <w:ind w:right="170"/>
              <w:jc w:val="center"/>
              <w:rPr>
                <w:sz w:val="16"/>
                <w:szCs w:val="16"/>
              </w:rPr>
            </w:pPr>
            <w:r w:rsidRPr="001E2F6E">
              <w:rPr>
                <w:sz w:val="16"/>
                <w:szCs w:val="16"/>
              </w:rPr>
              <w:t>18,4</w:t>
            </w:r>
          </w:p>
        </w:tc>
      </w:tr>
    </w:tbl>
    <w:p w:rsidR="00195BE7" w:rsidRPr="001E2F6E" w:rsidRDefault="00195BE7" w:rsidP="00195BE7">
      <w:pPr>
        <w:rPr>
          <w:snapToGrid w:val="0"/>
          <w:lang w:val="es-ES_tradnl"/>
        </w:rPr>
      </w:pPr>
    </w:p>
    <w:p w:rsidR="00195BE7" w:rsidRPr="001E2F6E" w:rsidRDefault="00195BE7" w:rsidP="00195BE7"/>
    <w:p w:rsidR="00195BE7" w:rsidRPr="001E2F6E" w:rsidRDefault="00195BE7" w:rsidP="00195BE7">
      <w:pPr>
        <w:spacing w:line="240" w:lineRule="auto"/>
        <w:jc w:val="center"/>
        <w:rPr>
          <w:b/>
          <w:snapToGrid w:val="0"/>
          <w:color w:val="1F497D" w:themeColor="text2"/>
          <w:sz w:val="18"/>
          <w:szCs w:val="18"/>
          <w:lang w:val="es-ES_tradnl"/>
        </w:rPr>
      </w:pPr>
      <w:bookmarkStart w:id="318" w:name="_Toc391989202"/>
      <w:bookmarkStart w:id="319" w:name="_Toc392585851"/>
      <w:r w:rsidRPr="001E2F6E">
        <w:rPr>
          <w:b/>
          <w:snapToGrid w:val="0"/>
          <w:color w:val="1F497D" w:themeColor="text2"/>
          <w:sz w:val="18"/>
          <w:szCs w:val="18"/>
          <w:lang w:val="es-ES_tradnl"/>
        </w:rPr>
        <w:t>3.</w:t>
      </w:r>
      <w:r w:rsidR="00EB6BA6" w:rsidRPr="001E2F6E">
        <w:rPr>
          <w:b/>
          <w:snapToGrid w:val="0"/>
          <w:color w:val="1F497D" w:themeColor="text2"/>
          <w:sz w:val="18"/>
          <w:szCs w:val="18"/>
          <w:lang w:val="es-ES_tradnl"/>
        </w:rPr>
        <w:fldChar w:fldCharType="begin"/>
      </w:r>
      <w:r w:rsidRPr="001E2F6E">
        <w:rPr>
          <w:b/>
          <w:snapToGrid w:val="0"/>
          <w:color w:val="1F497D" w:themeColor="text2"/>
          <w:sz w:val="18"/>
          <w:szCs w:val="18"/>
          <w:lang w:val="es-ES_tradnl"/>
        </w:rPr>
        <w:instrText xml:space="preserve"> SEQ Gráfico_3. \* ARABIC </w:instrText>
      </w:r>
      <w:r w:rsidR="00EB6BA6" w:rsidRPr="001E2F6E">
        <w:rPr>
          <w:b/>
          <w:snapToGrid w:val="0"/>
          <w:color w:val="1F497D" w:themeColor="text2"/>
          <w:sz w:val="18"/>
          <w:szCs w:val="18"/>
          <w:lang w:val="es-ES_tradnl"/>
        </w:rPr>
        <w:fldChar w:fldCharType="separate"/>
      </w:r>
      <w:r w:rsidR="00A327D4">
        <w:rPr>
          <w:b/>
          <w:noProof/>
          <w:snapToGrid w:val="0"/>
          <w:color w:val="1F497D" w:themeColor="text2"/>
          <w:sz w:val="18"/>
          <w:szCs w:val="18"/>
          <w:lang w:val="es-ES_tradnl"/>
        </w:rPr>
        <w:t>8</w:t>
      </w:r>
      <w:r w:rsidR="00EB6BA6" w:rsidRPr="001E2F6E">
        <w:rPr>
          <w:b/>
          <w:snapToGrid w:val="0"/>
          <w:color w:val="1F497D" w:themeColor="text2"/>
          <w:sz w:val="18"/>
          <w:szCs w:val="18"/>
          <w:lang w:val="es-ES_tradnl"/>
        </w:rPr>
        <w:fldChar w:fldCharType="end"/>
      </w:r>
      <w:r w:rsidRPr="001E2F6E">
        <w:rPr>
          <w:b/>
          <w:snapToGrid w:val="0"/>
          <w:color w:val="1F497D" w:themeColor="text2"/>
          <w:sz w:val="18"/>
          <w:szCs w:val="18"/>
          <w:lang w:val="es-ES_tradnl"/>
        </w:rPr>
        <w:t xml:space="preserve"> Irudia GIZARTE-EKONOMIAREN ALORREKO ENPRESEN ARTEKO LANKIDETZA-HARREMANEN IZAERA. 2010 (enpresa -ehunekoa kopuru osoarekiko)</w:t>
      </w:r>
      <w:bookmarkEnd w:id="318"/>
      <w:bookmarkEnd w:id="319"/>
      <w:r w:rsidRPr="001E2F6E">
        <w:rPr>
          <w:b/>
          <w:snapToGrid w:val="0"/>
          <w:color w:val="1F497D" w:themeColor="text2"/>
          <w:sz w:val="18"/>
          <w:szCs w:val="18"/>
          <w:lang w:val="es-ES_tradnl"/>
        </w:rPr>
        <w:t xml:space="preserve">  </w:t>
      </w:r>
    </w:p>
    <w:p w:rsidR="00195BE7" w:rsidRPr="001E2F6E" w:rsidRDefault="00195BE7" w:rsidP="00195BE7">
      <w:pPr>
        <w:spacing w:line="240" w:lineRule="auto"/>
        <w:jc w:val="center"/>
        <w:rPr>
          <w:b/>
          <w:snapToGrid w:val="0"/>
          <w:color w:val="1F497D" w:themeColor="text2"/>
          <w:sz w:val="18"/>
          <w:szCs w:val="18"/>
          <w:lang w:val="es-ES_tradnl"/>
        </w:rPr>
      </w:pPr>
    </w:p>
    <w:p w:rsidR="00195BE7" w:rsidRPr="001E2F6E" w:rsidRDefault="00195BE7" w:rsidP="00195BE7">
      <w:pPr>
        <w:spacing w:line="240" w:lineRule="auto"/>
        <w:jc w:val="center"/>
        <w:rPr>
          <w:b/>
          <w:snapToGrid w:val="0"/>
          <w:color w:val="1F497D" w:themeColor="text2"/>
          <w:sz w:val="18"/>
          <w:szCs w:val="18"/>
          <w:lang w:val="es-ES_tradnl"/>
        </w:rPr>
      </w:pPr>
      <w:r w:rsidRPr="001E2F6E">
        <w:rPr>
          <w:b/>
          <w:noProof/>
          <w:snapToGrid w:val="0"/>
          <w:color w:val="1F497D" w:themeColor="text2"/>
          <w:sz w:val="18"/>
          <w:szCs w:val="18"/>
          <w:lang w:eastAsia="es-ES"/>
        </w:rPr>
        <w:drawing>
          <wp:anchor distT="0" distB="0" distL="114300" distR="114300" simplePos="0" relativeHeight="251711488" behindDoc="0" locked="0" layoutInCell="1" allowOverlap="1" wp14:anchorId="5A930067" wp14:editId="54834702">
            <wp:simplePos x="0" y="0"/>
            <wp:positionH relativeFrom="column">
              <wp:posOffset>520065</wp:posOffset>
            </wp:positionH>
            <wp:positionV relativeFrom="paragraph">
              <wp:posOffset>4445</wp:posOffset>
            </wp:positionV>
            <wp:extent cx="4352925" cy="1790700"/>
            <wp:effectExtent l="0" t="0" r="0" b="0"/>
            <wp:wrapNone/>
            <wp:docPr id="11"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anchor>
        </w:drawing>
      </w:r>
    </w:p>
    <w:p w:rsidR="00195BE7" w:rsidRPr="001E2F6E" w:rsidRDefault="00195BE7" w:rsidP="00195BE7">
      <w:pPr>
        <w:spacing w:line="240" w:lineRule="auto"/>
        <w:jc w:val="center"/>
        <w:rPr>
          <w:b/>
          <w:snapToGrid w:val="0"/>
          <w:color w:val="1F497D" w:themeColor="text2"/>
          <w:sz w:val="18"/>
          <w:szCs w:val="18"/>
          <w:lang w:val="es-ES_tradnl"/>
        </w:rPr>
      </w:pPr>
    </w:p>
    <w:p w:rsidR="00195BE7" w:rsidRPr="001E2F6E" w:rsidRDefault="00195BE7" w:rsidP="00195BE7">
      <w:pPr>
        <w:spacing w:line="240" w:lineRule="auto"/>
        <w:jc w:val="center"/>
        <w:rPr>
          <w:b/>
          <w:snapToGrid w:val="0"/>
          <w:color w:val="1F497D" w:themeColor="text2"/>
          <w:sz w:val="18"/>
          <w:szCs w:val="18"/>
          <w:lang w:val="es-ES_tradnl"/>
        </w:rPr>
      </w:pPr>
    </w:p>
    <w:p w:rsidR="00195BE7" w:rsidRPr="001E2F6E" w:rsidRDefault="00195BE7" w:rsidP="00195BE7">
      <w:pPr>
        <w:spacing w:line="240" w:lineRule="auto"/>
        <w:jc w:val="center"/>
        <w:rPr>
          <w:b/>
          <w:snapToGrid w:val="0"/>
          <w:color w:val="1F497D" w:themeColor="text2"/>
          <w:sz w:val="18"/>
          <w:szCs w:val="18"/>
          <w:lang w:val="es-ES_tradnl"/>
        </w:rPr>
      </w:pPr>
    </w:p>
    <w:p w:rsidR="00195BE7" w:rsidRPr="001E2F6E" w:rsidRDefault="00195BE7" w:rsidP="00195BE7">
      <w:pPr>
        <w:spacing w:line="240" w:lineRule="auto"/>
        <w:jc w:val="center"/>
        <w:rPr>
          <w:b/>
          <w:snapToGrid w:val="0"/>
          <w:color w:val="1F497D" w:themeColor="text2"/>
          <w:sz w:val="18"/>
          <w:szCs w:val="18"/>
          <w:lang w:val="es-ES_tradnl"/>
        </w:rPr>
      </w:pPr>
    </w:p>
    <w:p w:rsidR="00195BE7" w:rsidRPr="001E2F6E" w:rsidRDefault="00195BE7" w:rsidP="00195BE7">
      <w:pPr>
        <w:spacing w:line="240" w:lineRule="auto"/>
        <w:jc w:val="center"/>
        <w:rPr>
          <w:b/>
          <w:snapToGrid w:val="0"/>
          <w:color w:val="1F497D" w:themeColor="text2"/>
          <w:sz w:val="18"/>
          <w:szCs w:val="18"/>
          <w:lang w:val="es-ES_tradnl"/>
        </w:rPr>
      </w:pPr>
    </w:p>
    <w:p w:rsidR="00195BE7" w:rsidRPr="001E2F6E" w:rsidRDefault="00195BE7" w:rsidP="00195BE7">
      <w:pPr>
        <w:spacing w:line="240" w:lineRule="auto"/>
        <w:jc w:val="center"/>
        <w:rPr>
          <w:b/>
          <w:snapToGrid w:val="0"/>
          <w:color w:val="1F497D" w:themeColor="text2"/>
          <w:sz w:val="18"/>
          <w:szCs w:val="18"/>
          <w:lang w:val="es-ES_tradnl"/>
        </w:rPr>
      </w:pPr>
    </w:p>
    <w:p w:rsidR="00195BE7" w:rsidRPr="001E2F6E" w:rsidRDefault="00195BE7" w:rsidP="00195BE7">
      <w:pPr>
        <w:spacing w:line="240" w:lineRule="auto"/>
        <w:jc w:val="center"/>
        <w:rPr>
          <w:b/>
          <w:snapToGrid w:val="0"/>
          <w:color w:val="1F497D" w:themeColor="text2"/>
          <w:sz w:val="18"/>
          <w:szCs w:val="18"/>
          <w:lang w:val="es-ES_tradnl"/>
        </w:rPr>
      </w:pPr>
    </w:p>
    <w:p w:rsidR="00195BE7" w:rsidRPr="001E2F6E" w:rsidRDefault="00195BE7" w:rsidP="00195BE7">
      <w:pPr>
        <w:spacing w:line="240" w:lineRule="auto"/>
        <w:jc w:val="center"/>
        <w:rPr>
          <w:b/>
          <w:snapToGrid w:val="0"/>
          <w:color w:val="1F497D" w:themeColor="text2"/>
          <w:sz w:val="18"/>
          <w:szCs w:val="18"/>
          <w:lang w:val="es-ES_tradnl"/>
        </w:rPr>
      </w:pPr>
    </w:p>
    <w:p w:rsidR="00195BE7" w:rsidRPr="001E2F6E" w:rsidRDefault="00195BE7" w:rsidP="00195BE7">
      <w:pPr>
        <w:spacing w:line="240" w:lineRule="auto"/>
        <w:jc w:val="center"/>
        <w:rPr>
          <w:b/>
          <w:snapToGrid w:val="0"/>
          <w:color w:val="1F497D" w:themeColor="text2"/>
          <w:sz w:val="18"/>
          <w:szCs w:val="18"/>
          <w:lang w:val="es-ES_tradnl"/>
        </w:rPr>
      </w:pPr>
    </w:p>
    <w:p w:rsidR="00195BE7" w:rsidRPr="001E2F6E" w:rsidRDefault="00195BE7" w:rsidP="00195BE7">
      <w:pPr>
        <w:spacing w:line="240" w:lineRule="auto"/>
        <w:jc w:val="center"/>
        <w:rPr>
          <w:b/>
          <w:snapToGrid w:val="0"/>
          <w:color w:val="1F497D" w:themeColor="text2"/>
          <w:sz w:val="18"/>
          <w:szCs w:val="18"/>
          <w:lang w:val="es-ES_tradnl"/>
        </w:rPr>
      </w:pPr>
    </w:p>
    <w:p w:rsidR="00195BE7" w:rsidRPr="001E2F6E" w:rsidRDefault="00195BE7" w:rsidP="00195BE7">
      <w:pPr>
        <w:spacing w:line="240" w:lineRule="auto"/>
        <w:jc w:val="center"/>
        <w:rPr>
          <w:b/>
          <w:snapToGrid w:val="0"/>
          <w:color w:val="1F497D" w:themeColor="text2"/>
          <w:sz w:val="18"/>
          <w:szCs w:val="18"/>
          <w:lang w:val="es-ES_tradnl"/>
        </w:rPr>
      </w:pPr>
    </w:p>
    <w:p w:rsidR="00195BE7" w:rsidRPr="001E2F6E" w:rsidRDefault="00195BE7" w:rsidP="00195BE7">
      <w:pPr>
        <w:spacing w:line="240" w:lineRule="auto"/>
        <w:jc w:val="center"/>
        <w:rPr>
          <w:b/>
          <w:snapToGrid w:val="0"/>
          <w:color w:val="1F497D" w:themeColor="text2"/>
          <w:sz w:val="18"/>
          <w:szCs w:val="18"/>
          <w:lang w:val="es-ES_tradnl"/>
        </w:rPr>
      </w:pPr>
    </w:p>
    <w:p w:rsidR="00195BE7" w:rsidRPr="001E2F6E" w:rsidRDefault="00195BE7" w:rsidP="00195BE7">
      <w:pPr>
        <w:spacing w:line="240" w:lineRule="auto"/>
        <w:jc w:val="center"/>
        <w:rPr>
          <w:b/>
          <w:snapToGrid w:val="0"/>
          <w:color w:val="1F497D" w:themeColor="text2"/>
          <w:sz w:val="18"/>
          <w:szCs w:val="18"/>
          <w:lang w:val="es-ES_tradnl"/>
        </w:rPr>
      </w:pPr>
    </w:p>
    <w:p w:rsidR="00195BE7" w:rsidRPr="001E2F6E" w:rsidRDefault="00195BE7" w:rsidP="00195BE7">
      <w:pPr>
        <w:spacing w:line="240" w:lineRule="auto"/>
        <w:jc w:val="center"/>
        <w:rPr>
          <w:b/>
          <w:snapToGrid w:val="0"/>
          <w:color w:val="1F497D" w:themeColor="text2"/>
          <w:sz w:val="18"/>
          <w:szCs w:val="18"/>
          <w:lang w:val="es-ES_tradnl"/>
        </w:rPr>
      </w:pPr>
    </w:p>
    <w:p w:rsidR="00195BE7" w:rsidRPr="001E2F6E" w:rsidRDefault="00195BE7" w:rsidP="00195BE7">
      <w:pPr>
        <w:rPr>
          <w:snapToGrid w:val="0"/>
          <w:lang w:val="es-ES_tradnl"/>
        </w:rPr>
      </w:pPr>
    </w:p>
    <w:p w:rsidR="00195BE7" w:rsidRPr="001E2F6E" w:rsidRDefault="00195BE7" w:rsidP="00195BE7">
      <w:pPr>
        <w:spacing w:line="240" w:lineRule="auto"/>
        <w:jc w:val="center"/>
        <w:rPr>
          <w:b/>
          <w:snapToGrid w:val="0"/>
          <w:color w:val="1F497D" w:themeColor="text2"/>
          <w:sz w:val="18"/>
          <w:szCs w:val="18"/>
          <w:lang w:val="es-ES_tradnl"/>
        </w:rPr>
      </w:pPr>
      <w:bookmarkStart w:id="320" w:name="_Toc391989212"/>
      <w:bookmarkStart w:id="321" w:name="_Toc392585842"/>
      <w:r w:rsidRPr="001E2F6E">
        <w:rPr>
          <w:b/>
          <w:snapToGrid w:val="0"/>
          <w:color w:val="1F497D" w:themeColor="text2"/>
          <w:sz w:val="18"/>
          <w:szCs w:val="18"/>
          <w:lang w:val="es-ES_tradnl"/>
        </w:rPr>
        <w:t>3.</w:t>
      </w:r>
      <w:r w:rsidR="00EB6BA6" w:rsidRPr="001E2F6E">
        <w:rPr>
          <w:b/>
          <w:snapToGrid w:val="0"/>
          <w:color w:val="1F497D" w:themeColor="text2"/>
          <w:sz w:val="18"/>
          <w:szCs w:val="18"/>
          <w:lang w:val="es-ES_tradnl"/>
        </w:rPr>
        <w:fldChar w:fldCharType="begin"/>
      </w:r>
      <w:r w:rsidRPr="001E2F6E">
        <w:rPr>
          <w:b/>
          <w:snapToGrid w:val="0"/>
          <w:color w:val="1F497D" w:themeColor="text2"/>
          <w:sz w:val="18"/>
          <w:szCs w:val="18"/>
          <w:lang w:val="es-ES_tradnl"/>
        </w:rPr>
        <w:instrText xml:space="preserve"> SEQ Cuadro_3. \* ARABIC </w:instrText>
      </w:r>
      <w:r w:rsidR="00EB6BA6" w:rsidRPr="001E2F6E">
        <w:rPr>
          <w:b/>
          <w:snapToGrid w:val="0"/>
          <w:color w:val="1F497D" w:themeColor="text2"/>
          <w:sz w:val="18"/>
          <w:szCs w:val="18"/>
          <w:lang w:val="es-ES_tradnl"/>
        </w:rPr>
        <w:fldChar w:fldCharType="separate"/>
      </w:r>
      <w:r w:rsidR="00A327D4">
        <w:rPr>
          <w:b/>
          <w:noProof/>
          <w:snapToGrid w:val="0"/>
          <w:color w:val="1F497D" w:themeColor="text2"/>
          <w:sz w:val="18"/>
          <w:szCs w:val="18"/>
          <w:lang w:val="es-ES_tradnl"/>
        </w:rPr>
        <w:t>8</w:t>
      </w:r>
      <w:r w:rsidR="00EB6BA6" w:rsidRPr="001E2F6E">
        <w:rPr>
          <w:b/>
          <w:snapToGrid w:val="0"/>
          <w:color w:val="1F497D" w:themeColor="text2"/>
          <w:sz w:val="18"/>
          <w:szCs w:val="18"/>
          <w:lang w:val="es-ES_tradnl"/>
        </w:rPr>
        <w:fldChar w:fldCharType="end"/>
      </w:r>
      <w:r w:rsidRPr="001E2F6E">
        <w:rPr>
          <w:b/>
          <w:snapToGrid w:val="0"/>
          <w:color w:val="1F497D" w:themeColor="text2"/>
          <w:sz w:val="18"/>
          <w:szCs w:val="18"/>
          <w:lang w:val="es-ES_tradnl"/>
        </w:rPr>
        <w:t xml:space="preserve"> Taula LANKIDETZA-HARREMANAK IZATEKO AUKERATZEN DIREN ENPRESEN FORMA JURIDIKOA, FORMA JURIDIKOAREN ARABERA. 2012</w:t>
      </w:r>
      <w:bookmarkEnd w:id="320"/>
      <w:bookmarkEnd w:id="321"/>
    </w:p>
    <w:tbl>
      <w:tblPr>
        <w:tblW w:w="5000" w:type="pct"/>
        <w:jc w:val="center"/>
        <w:tblBorders>
          <w:top w:val="single" w:sz="4" w:space="0" w:color="BFBFBF" w:themeColor="background1" w:themeShade="BF"/>
          <w:bottom w:val="single" w:sz="4" w:space="0" w:color="BFBFBF" w:themeColor="background1" w:themeShade="BF"/>
        </w:tblBorders>
        <w:tblLook w:val="04A0" w:firstRow="1" w:lastRow="0" w:firstColumn="1" w:lastColumn="0" w:noHBand="0" w:noVBand="1"/>
      </w:tblPr>
      <w:tblGrid>
        <w:gridCol w:w="2672"/>
        <w:gridCol w:w="1583"/>
        <w:gridCol w:w="1583"/>
        <w:gridCol w:w="1583"/>
        <w:gridCol w:w="1583"/>
      </w:tblGrid>
      <w:tr w:rsidR="00195BE7" w:rsidRPr="001E2F6E" w:rsidTr="00195BE7">
        <w:trPr>
          <w:jc w:val="center"/>
        </w:trPr>
        <w:tc>
          <w:tcPr>
            <w:tcW w:w="1484"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noWrap/>
          </w:tcPr>
          <w:p w:rsidR="00195BE7" w:rsidRPr="001E2F6E" w:rsidRDefault="00195BE7" w:rsidP="00195BE7">
            <w:pPr>
              <w:spacing w:line="240" w:lineRule="exact"/>
              <w:rPr>
                <w:b/>
                <w:bCs/>
                <w:sz w:val="16"/>
                <w:szCs w:val="16"/>
              </w:rPr>
            </w:pPr>
          </w:p>
        </w:tc>
        <w:tc>
          <w:tcPr>
            <w:tcW w:w="879"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tcPr>
          <w:p w:rsidR="00195BE7" w:rsidRPr="001E2F6E" w:rsidRDefault="00195BE7" w:rsidP="00195BE7">
            <w:pPr>
              <w:spacing w:line="240" w:lineRule="exact"/>
              <w:jc w:val="center"/>
              <w:rPr>
                <w:b/>
                <w:bCs/>
                <w:sz w:val="16"/>
                <w:szCs w:val="16"/>
                <w:lang w:val="en-GB"/>
              </w:rPr>
            </w:pPr>
            <w:r w:rsidRPr="001E2F6E">
              <w:rPr>
                <w:b/>
                <w:bCs/>
                <w:sz w:val="16"/>
                <w:szCs w:val="16"/>
                <w:lang w:val="en-GB"/>
              </w:rPr>
              <w:t>GUZTIRA</w:t>
            </w:r>
          </w:p>
          <w:p w:rsidR="00195BE7" w:rsidRPr="001E2F6E" w:rsidRDefault="00195BE7" w:rsidP="00195BE7">
            <w:pPr>
              <w:spacing w:line="240" w:lineRule="exact"/>
              <w:jc w:val="center"/>
              <w:rPr>
                <w:b/>
                <w:bCs/>
                <w:sz w:val="16"/>
                <w:szCs w:val="16"/>
                <w:lang w:val="en-GB"/>
              </w:rPr>
            </w:pPr>
            <w:r w:rsidRPr="001E2F6E">
              <w:rPr>
                <w:b/>
                <w:bCs/>
                <w:sz w:val="16"/>
                <w:szCs w:val="16"/>
                <w:lang w:val="en-GB"/>
              </w:rPr>
              <w:t>%</w:t>
            </w:r>
          </w:p>
        </w:tc>
        <w:tc>
          <w:tcPr>
            <w:tcW w:w="87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noWrap/>
          </w:tcPr>
          <w:p w:rsidR="00195BE7" w:rsidRPr="001E2F6E" w:rsidRDefault="00195BE7" w:rsidP="00195BE7">
            <w:pPr>
              <w:spacing w:line="240" w:lineRule="exact"/>
              <w:jc w:val="center"/>
              <w:rPr>
                <w:b/>
                <w:bCs/>
                <w:sz w:val="16"/>
                <w:szCs w:val="16"/>
                <w:lang w:val="en-GB"/>
              </w:rPr>
            </w:pPr>
            <w:r w:rsidRPr="001E2F6E">
              <w:rPr>
                <w:b/>
                <w:bCs/>
                <w:sz w:val="16"/>
                <w:szCs w:val="16"/>
                <w:lang w:val="en-GB"/>
              </w:rPr>
              <w:t>Koop.</w:t>
            </w:r>
          </w:p>
          <w:p w:rsidR="00195BE7" w:rsidRPr="001E2F6E" w:rsidRDefault="00195BE7" w:rsidP="00195BE7">
            <w:pPr>
              <w:spacing w:line="240" w:lineRule="exact"/>
              <w:jc w:val="center"/>
              <w:rPr>
                <w:b/>
                <w:bCs/>
                <w:sz w:val="16"/>
                <w:szCs w:val="16"/>
              </w:rPr>
            </w:pPr>
            <w:r w:rsidRPr="001E2F6E">
              <w:rPr>
                <w:b/>
                <w:bCs/>
                <w:sz w:val="16"/>
                <w:szCs w:val="16"/>
                <w:lang w:val="en-GB"/>
              </w:rPr>
              <w:t>%</w:t>
            </w:r>
          </w:p>
        </w:tc>
        <w:tc>
          <w:tcPr>
            <w:tcW w:w="87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tcPr>
          <w:p w:rsidR="00195BE7" w:rsidRPr="001E2F6E" w:rsidRDefault="00195BE7" w:rsidP="00195BE7">
            <w:pPr>
              <w:spacing w:line="240" w:lineRule="exact"/>
              <w:jc w:val="center"/>
              <w:rPr>
                <w:b/>
                <w:bCs/>
                <w:sz w:val="16"/>
                <w:szCs w:val="16"/>
                <w:lang w:val="en-GB"/>
              </w:rPr>
            </w:pPr>
            <w:r w:rsidRPr="001E2F6E">
              <w:rPr>
                <w:b/>
                <w:bCs/>
                <w:sz w:val="16"/>
                <w:szCs w:val="16"/>
                <w:lang w:val="en-GB"/>
              </w:rPr>
              <w:t>LSA</w:t>
            </w:r>
          </w:p>
          <w:p w:rsidR="00195BE7" w:rsidRPr="001E2F6E" w:rsidRDefault="00195BE7" w:rsidP="00195BE7">
            <w:pPr>
              <w:spacing w:line="240" w:lineRule="exact"/>
              <w:jc w:val="center"/>
              <w:rPr>
                <w:b/>
                <w:bCs/>
                <w:sz w:val="16"/>
                <w:szCs w:val="16"/>
              </w:rPr>
            </w:pPr>
            <w:r w:rsidRPr="001E2F6E">
              <w:rPr>
                <w:b/>
                <w:bCs/>
                <w:sz w:val="16"/>
                <w:szCs w:val="16"/>
                <w:lang w:val="en-GB"/>
              </w:rPr>
              <w:t>%</w:t>
            </w:r>
          </w:p>
        </w:tc>
        <w:tc>
          <w:tcPr>
            <w:tcW w:w="879"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tcPr>
          <w:p w:rsidR="00195BE7" w:rsidRPr="001E2F6E" w:rsidRDefault="00195BE7" w:rsidP="00195BE7">
            <w:pPr>
              <w:spacing w:line="240" w:lineRule="exact"/>
              <w:jc w:val="center"/>
              <w:rPr>
                <w:b/>
                <w:bCs/>
                <w:sz w:val="16"/>
                <w:szCs w:val="16"/>
                <w:lang w:val="en-GB"/>
              </w:rPr>
            </w:pPr>
            <w:r w:rsidRPr="001E2F6E">
              <w:rPr>
                <w:b/>
                <w:bCs/>
                <w:sz w:val="16"/>
                <w:szCs w:val="16"/>
                <w:lang w:val="en-GB"/>
              </w:rPr>
              <w:t>LSM</w:t>
            </w:r>
          </w:p>
          <w:p w:rsidR="00195BE7" w:rsidRPr="001E2F6E" w:rsidRDefault="00195BE7" w:rsidP="00195BE7">
            <w:pPr>
              <w:spacing w:line="240" w:lineRule="exact"/>
              <w:jc w:val="center"/>
              <w:rPr>
                <w:b/>
                <w:bCs/>
                <w:sz w:val="16"/>
                <w:szCs w:val="16"/>
              </w:rPr>
            </w:pPr>
            <w:r w:rsidRPr="001E2F6E">
              <w:rPr>
                <w:b/>
                <w:bCs/>
                <w:sz w:val="16"/>
                <w:szCs w:val="16"/>
                <w:lang w:val="en-GB"/>
              </w:rPr>
              <w:t>%</w:t>
            </w:r>
          </w:p>
        </w:tc>
      </w:tr>
      <w:tr w:rsidR="00195BE7" w:rsidRPr="001E2F6E" w:rsidTr="00195BE7">
        <w:trPr>
          <w:trHeight w:val="108"/>
          <w:jc w:val="center"/>
        </w:trPr>
        <w:tc>
          <w:tcPr>
            <w:tcW w:w="1484" w:type="pct"/>
            <w:tcBorders>
              <w:right w:val="single" w:sz="4" w:space="0" w:color="BFBFBF" w:themeColor="background1" w:themeShade="BF"/>
            </w:tcBorders>
            <w:noWrap/>
          </w:tcPr>
          <w:p w:rsidR="00195BE7" w:rsidRPr="001E2F6E" w:rsidRDefault="00195BE7" w:rsidP="00195BE7">
            <w:pPr>
              <w:spacing w:line="240" w:lineRule="exact"/>
              <w:jc w:val="left"/>
              <w:rPr>
                <w:sz w:val="16"/>
                <w:szCs w:val="16"/>
                <w:lang w:val="eu-ES"/>
              </w:rPr>
            </w:pPr>
            <w:r w:rsidRPr="001E2F6E">
              <w:rPr>
                <w:sz w:val="16"/>
                <w:szCs w:val="16"/>
                <w:lang w:val="eu-ES"/>
              </w:rPr>
              <w:t xml:space="preserve">Kooperatibak </w:t>
            </w:r>
          </w:p>
        </w:tc>
        <w:tc>
          <w:tcPr>
            <w:tcW w:w="879" w:type="pct"/>
            <w:tcBorders>
              <w:right w:val="single" w:sz="4" w:space="0" w:color="BFBFBF" w:themeColor="background1" w:themeShade="BF"/>
            </w:tcBorders>
            <w:vAlign w:val="bottom"/>
          </w:tcPr>
          <w:p w:rsidR="00195BE7" w:rsidRPr="001E2F6E" w:rsidRDefault="00195BE7" w:rsidP="00195BE7">
            <w:pPr>
              <w:spacing w:line="240" w:lineRule="exact"/>
              <w:ind w:right="170"/>
              <w:jc w:val="right"/>
              <w:rPr>
                <w:bCs/>
                <w:sz w:val="16"/>
                <w:szCs w:val="16"/>
              </w:rPr>
            </w:pPr>
            <w:r w:rsidRPr="001E2F6E">
              <w:rPr>
                <w:bCs/>
                <w:sz w:val="16"/>
                <w:szCs w:val="16"/>
              </w:rPr>
              <w:t>74,0</w:t>
            </w:r>
          </w:p>
        </w:tc>
        <w:tc>
          <w:tcPr>
            <w:tcW w:w="879" w:type="pct"/>
            <w:tcBorders>
              <w:left w:val="single" w:sz="4" w:space="0" w:color="BFBFBF" w:themeColor="background1" w:themeShade="BF"/>
              <w:right w:val="single" w:sz="4" w:space="0" w:color="BFBFBF" w:themeColor="background1" w:themeShade="BF"/>
            </w:tcBorders>
            <w:vAlign w:val="bottom"/>
          </w:tcPr>
          <w:p w:rsidR="00195BE7" w:rsidRPr="001E2F6E" w:rsidRDefault="00195BE7" w:rsidP="00195BE7">
            <w:pPr>
              <w:spacing w:line="240" w:lineRule="exact"/>
              <w:ind w:right="170"/>
              <w:jc w:val="right"/>
              <w:rPr>
                <w:sz w:val="16"/>
                <w:szCs w:val="16"/>
              </w:rPr>
            </w:pPr>
            <w:r w:rsidRPr="001E2F6E">
              <w:rPr>
                <w:sz w:val="16"/>
                <w:szCs w:val="16"/>
              </w:rPr>
              <w:t>83,8</w:t>
            </w:r>
          </w:p>
        </w:tc>
        <w:tc>
          <w:tcPr>
            <w:tcW w:w="879" w:type="pct"/>
            <w:tcBorders>
              <w:left w:val="single" w:sz="4" w:space="0" w:color="BFBFBF" w:themeColor="background1" w:themeShade="BF"/>
              <w:right w:val="single" w:sz="4" w:space="0" w:color="BFBFBF" w:themeColor="background1" w:themeShade="BF"/>
            </w:tcBorders>
            <w:vAlign w:val="bottom"/>
          </w:tcPr>
          <w:p w:rsidR="00195BE7" w:rsidRPr="001E2F6E" w:rsidRDefault="00195BE7" w:rsidP="00195BE7">
            <w:pPr>
              <w:spacing w:line="240" w:lineRule="exact"/>
              <w:ind w:right="170"/>
              <w:jc w:val="right"/>
              <w:rPr>
                <w:sz w:val="16"/>
                <w:szCs w:val="16"/>
              </w:rPr>
            </w:pPr>
            <w:r w:rsidRPr="001E2F6E">
              <w:rPr>
                <w:sz w:val="16"/>
                <w:szCs w:val="16"/>
              </w:rPr>
              <w:t>42,6</w:t>
            </w:r>
          </w:p>
        </w:tc>
        <w:tc>
          <w:tcPr>
            <w:tcW w:w="879" w:type="pct"/>
            <w:tcBorders>
              <w:left w:val="single" w:sz="4" w:space="0" w:color="BFBFBF" w:themeColor="background1" w:themeShade="BF"/>
            </w:tcBorders>
            <w:vAlign w:val="bottom"/>
          </w:tcPr>
          <w:p w:rsidR="00195BE7" w:rsidRPr="001E2F6E" w:rsidRDefault="00195BE7" w:rsidP="00195BE7">
            <w:pPr>
              <w:spacing w:line="240" w:lineRule="exact"/>
              <w:ind w:right="170"/>
              <w:jc w:val="right"/>
              <w:rPr>
                <w:sz w:val="16"/>
                <w:szCs w:val="16"/>
              </w:rPr>
            </w:pPr>
            <w:r w:rsidRPr="001E2F6E">
              <w:rPr>
                <w:sz w:val="16"/>
                <w:szCs w:val="16"/>
              </w:rPr>
              <w:t>28,3</w:t>
            </w:r>
          </w:p>
        </w:tc>
      </w:tr>
      <w:tr w:rsidR="00195BE7" w:rsidRPr="001E2F6E" w:rsidTr="00195BE7">
        <w:trPr>
          <w:trHeight w:val="108"/>
          <w:jc w:val="center"/>
        </w:trPr>
        <w:tc>
          <w:tcPr>
            <w:tcW w:w="1484" w:type="pct"/>
            <w:tcBorders>
              <w:right w:val="single" w:sz="4" w:space="0" w:color="BFBFBF" w:themeColor="background1" w:themeShade="BF"/>
            </w:tcBorders>
            <w:noWrap/>
          </w:tcPr>
          <w:p w:rsidR="00195BE7" w:rsidRPr="001E2F6E" w:rsidRDefault="00195BE7" w:rsidP="00195BE7">
            <w:pPr>
              <w:spacing w:line="240" w:lineRule="exact"/>
              <w:jc w:val="left"/>
              <w:rPr>
                <w:sz w:val="16"/>
                <w:szCs w:val="16"/>
                <w:lang w:val="eu-ES"/>
              </w:rPr>
            </w:pPr>
            <w:r w:rsidRPr="001E2F6E">
              <w:rPr>
                <w:sz w:val="16"/>
                <w:szCs w:val="16"/>
                <w:lang w:val="eu-ES"/>
              </w:rPr>
              <w:t>LSA/LSM</w:t>
            </w:r>
          </w:p>
        </w:tc>
        <w:tc>
          <w:tcPr>
            <w:tcW w:w="879" w:type="pct"/>
            <w:tcBorders>
              <w:right w:val="single" w:sz="4" w:space="0" w:color="BFBFBF" w:themeColor="background1" w:themeShade="BF"/>
            </w:tcBorders>
            <w:vAlign w:val="bottom"/>
          </w:tcPr>
          <w:p w:rsidR="00195BE7" w:rsidRPr="001E2F6E" w:rsidRDefault="00195BE7" w:rsidP="00195BE7">
            <w:pPr>
              <w:spacing w:line="240" w:lineRule="exact"/>
              <w:ind w:right="170"/>
              <w:jc w:val="right"/>
              <w:rPr>
                <w:bCs/>
                <w:sz w:val="16"/>
                <w:szCs w:val="16"/>
              </w:rPr>
            </w:pPr>
            <w:r w:rsidRPr="001E2F6E">
              <w:rPr>
                <w:bCs/>
                <w:sz w:val="16"/>
                <w:szCs w:val="16"/>
              </w:rPr>
              <w:t>33,9</w:t>
            </w:r>
          </w:p>
        </w:tc>
        <w:tc>
          <w:tcPr>
            <w:tcW w:w="879" w:type="pct"/>
            <w:tcBorders>
              <w:left w:val="single" w:sz="4" w:space="0" w:color="BFBFBF" w:themeColor="background1" w:themeShade="BF"/>
              <w:right w:val="single" w:sz="4" w:space="0" w:color="BFBFBF" w:themeColor="background1" w:themeShade="BF"/>
            </w:tcBorders>
            <w:vAlign w:val="bottom"/>
          </w:tcPr>
          <w:p w:rsidR="00195BE7" w:rsidRPr="001E2F6E" w:rsidRDefault="00195BE7" w:rsidP="00195BE7">
            <w:pPr>
              <w:spacing w:line="240" w:lineRule="exact"/>
              <w:ind w:right="170"/>
              <w:jc w:val="right"/>
              <w:rPr>
                <w:sz w:val="16"/>
                <w:szCs w:val="16"/>
              </w:rPr>
            </w:pPr>
            <w:r w:rsidRPr="001E2F6E">
              <w:rPr>
                <w:sz w:val="16"/>
                <w:szCs w:val="16"/>
              </w:rPr>
              <w:t>30,5</w:t>
            </w:r>
          </w:p>
        </w:tc>
        <w:tc>
          <w:tcPr>
            <w:tcW w:w="879" w:type="pct"/>
            <w:tcBorders>
              <w:left w:val="single" w:sz="4" w:space="0" w:color="BFBFBF" w:themeColor="background1" w:themeShade="BF"/>
              <w:right w:val="single" w:sz="4" w:space="0" w:color="BFBFBF" w:themeColor="background1" w:themeShade="BF"/>
            </w:tcBorders>
            <w:vAlign w:val="bottom"/>
          </w:tcPr>
          <w:p w:rsidR="00195BE7" w:rsidRPr="001E2F6E" w:rsidRDefault="00195BE7" w:rsidP="00195BE7">
            <w:pPr>
              <w:spacing w:line="240" w:lineRule="exact"/>
              <w:ind w:right="170"/>
              <w:jc w:val="right"/>
              <w:rPr>
                <w:sz w:val="16"/>
                <w:szCs w:val="16"/>
              </w:rPr>
            </w:pPr>
            <w:r w:rsidRPr="001E2F6E">
              <w:rPr>
                <w:sz w:val="16"/>
                <w:szCs w:val="16"/>
              </w:rPr>
              <w:t>41,3</w:t>
            </w:r>
          </w:p>
        </w:tc>
        <w:tc>
          <w:tcPr>
            <w:tcW w:w="879" w:type="pct"/>
            <w:tcBorders>
              <w:left w:val="single" w:sz="4" w:space="0" w:color="BFBFBF" w:themeColor="background1" w:themeShade="BF"/>
            </w:tcBorders>
            <w:vAlign w:val="bottom"/>
          </w:tcPr>
          <w:p w:rsidR="00195BE7" w:rsidRPr="001E2F6E" w:rsidRDefault="00195BE7" w:rsidP="00195BE7">
            <w:pPr>
              <w:spacing w:line="240" w:lineRule="exact"/>
              <w:ind w:right="170"/>
              <w:jc w:val="right"/>
              <w:rPr>
                <w:sz w:val="16"/>
                <w:szCs w:val="16"/>
              </w:rPr>
            </w:pPr>
            <w:r w:rsidRPr="001E2F6E">
              <w:rPr>
                <w:sz w:val="16"/>
                <w:szCs w:val="16"/>
              </w:rPr>
              <w:t>50,3</w:t>
            </w:r>
          </w:p>
        </w:tc>
      </w:tr>
      <w:tr w:rsidR="00195BE7" w:rsidRPr="001E2F6E" w:rsidTr="00195BE7">
        <w:trPr>
          <w:trHeight w:val="108"/>
          <w:jc w:val="center"/>
        </w:trPr>
        <w:tc>
          <w:tcPr>
            <w:tcW w:w="1484" w:type="pct"/>
            <w:tcBorders>
              <w:right w:val="single" w:sz="4" w:space="0" w:color="BFBFBF" w:themeColor="background1" w:themeShade="BF"/>
            </w:tcBorders>
            <w:noWrap/>
          </w:tcPr>
          <w:p w:rsidR="00195BE7" w:rsidRPr="001E2F6E" w:rsidRDefault="00195BE7" w:rsidP="00195BE7">
            <w:pPr>
              <w:spacing w:line="240" w:lineRule="exact"/>
              <w:jc w:val="left"/>
              <w:rPr>
                <w:sz w:val="16"/>
                <w:szCs w:val="16"/>
                <w:lang w:val="eu-ES"/>
              </w:rPr>
            </w:pPr>
            <w:r w:rsidRPr="001E2F6E">
              <w:rPr>
                <w:sz w:val="16"/>
                <w:szCs w:val="16"/>
                <w:lang w:val="eu-ES"/>
              </w:rPr>
              <w:t>Merkataritza-Sozietateak</w:t>
            </w:r>
          </w:p>
        </w:tc>
        <w:tc>
          <w:tcPr>
            <w:tcW w:w="879" w:type="pct"/>
            <w:tcBorders>
              <w:right w:val="single" w:sz="4" w:space="0" w:color="BFBFBF" w:themeColor="background1" w:themeShade="BF"/>
            </w:tcBorders>
            <w:vAlign w:val="bottom"/>
          </w:tcPr>
          <w:p w:rsidR="00195BE7" w:rsidRPr="001E2F6E" w:rsidRDefault="00195BE7" w:rsidP="00195BE7">
            <w:pPr>
              <w:spacing w:line="240" w:lineRule="exact"/>
              <w:ind w:right="170"/>
              <w:jc w:val="right"/>
              <w:rPr>
                <w:bCs/>
                <w:sz w:val="16"/>
                <w:szCs w:val="16"/>
              </w:rPr>
            </w:pPr>
            <w:r w:rsidRPr="001E2F6E">
              <w:rPr>
                <w:bCs/>
                <w:sz w:val="16"/>
                <w:szCs w:val="16"/>
              </w:rPr>
              <w:t>49,6</w:t>
            </w:r>
          </w:p>
        </w:tc>
        <w:tc>
          <w:tcPr>
            <w:tcW w:w="879" w:type="pct"/>
            <w:tcBorders>
              <w:left w:val="single" w:sz="4" w:space="0" w:color="BFBFBF" w:themeColor="background1" w:themeShade="BF"/>
              <w:right w:val="single" w:sz="4" w:space="0" w:color="BFBFBF" w:themeColor="background1" w:themeShade="BF"/>
            </w:tcBorders>
            <w:vAlign w:val="bottom"/>
          </w:tcPr>
          <w:p w:rsidR="00195BE7" w:rsidRPr="001E2F6E" w:rsidRDefault="00195BE7" w:rsidP="00195BE7">
            <w:pPr>
              <w:spacing w:line="240" w:lineRule="exact"/>
              <w:ind w:right="170"/>
              <w:jc w:val="right"/>
              <w:rPr>
                <w:sz w:val="16"/>
                <w:szCs w:val="16"/>
              </w:rPr>
            </w:pPr>
            <w:r w:rsidRPr="001E2F6E">
              <w:rPr>
                <w:sz w:val="16"/>
                <w:szCs w:val="16"/>
              </w:rPr>
              <w:t>46,0</w:t>
            </w:r>
          </w:p>
        </w:tc>
        <w:tc>
          <w:tcPr>
            <w:tcW w:w="879" w:type="pct"/>
            <w:tcBorders>
              <w:left w:val="single" w:sz="4" w:space="0" w:color="BFBFBF" w:themeColor="background1" w:themeShade="BF"/>
              <w:right w:val="single" w:sz="4" w:space="0" w:color="BFBFBF" w:themeColor="background1" w:themeShade="BF"/>
            </w:tcBorders>
            <w:vAlign w:val="bottom"/>
          </w:tcPr>
          <w:p w:rsidR="00195BE7" w:rsidRPr="001E2F6E" w:rsidRDefault="00195BE7" w:rsidP="00195BE7">
            <w:pPr>
              <w:spacing w:line="240" w:lineRule="exact"/>
              <w:ind w:right="170"/>
              <w:jc w:val="right"/>
              <w:rPr>
                <w:sz w:val="16"/>
                <w:szCs w:val="16"/>
              </w:rPr>
            </w:pPr>
            <w:r w:rsidRPr="001E2F6E">
              <w:rPr>
                <w:sz w:val="16"/>
                <w:szCs w:val="16"/>
              </w:rPr>
              <w:t>59,8</w:t>
            </w:r>
          </w:p>
        </w:tc>
        <w:tc>
          <w:tcPr>
            <w:tcW w:w="879" w:type="pct"/>
            <w:tcBorders>
              <w:left w:val="single" w:sz="4" w:space="0" w:color="BFBFBF" w:themeColor="background1" w:themeShade="BF"/>
            </w:tcBorders>
            <w:vAlign w:val="bottom"/>
          </w:tcPr>
          <w:p w:rsidR="00195BE7" w:rsidRPr="001E2F6E" w:rsidRDefault="00195BE7" w:rsidP="00195BE7">
            <w:pPr>
              <w:spacing w:line="240" w:lineRule="exact"/>
              <w:ind w:right="170"/>
              <w:jc w:val="right"/>
              <w:rPr>
                <w:sz w:val="16"/>
                <w:szCs w:val="16"/>
              </w:rPr>
            </w:pPr>
            <w:r w:rsidRPr="001E2F6E">
              <w:rPr>
                <w:sz w:val="16"/>
                <w:szCs w:val="16"/>
              </w:rPr>
              <w:t>67,1</w:t>
            </w:r>
          </w:p>
        </w:tc>
      </w:tr>
      <w:tr w:rsidR="00195BE7" w:rsidRPr="001E2F6E" w:rsidTr="00195BE7">
        <w:trPr>
          <w:trHeight w:val="108"/>
          <w:jc w:val="center"/>
        </w:trPr>
        <w:tc>
          <w:tcPr>
            <w:tcW w:w="1484" w:type="pct"/>
            <w:tcBorders>
              <w:right w:val="single" w:sz="4" w:space="0" w:color="BFBFBF" w:themeColor="background1" w:themeShade="BF"/>
            </w:tcBorders>
            <w:noWrap/>
          </w:tcPr>
          <w:p w:rsidR="00195BE7" w:rsidRPr="001E2F6E" w:rsidRDefault="00195BE7" w:rsidP="00195BE7">
            <w:pPr>
              <w:spacing w:line="240" w:lineRule="exact"/>
              <w:jc w:val="left"/>
              <w:rPr>
                <w:sz w:val="16"/>
                <w:szCs w:val="16"/>
                <w:lang w:val="eu-ES"/>
              </w:rPr>
            </w:pPr>
            <w:r w:rsidRPr="001E2F6E">
              <w:rPr>
                <w:sz w:val="16"/>
                <w:szCs w:val="16"/>
                <w:lang w:val="eu-ES"/>
              </w:rPr>
              <w:t>Bestelako Sozietateak</w:t>
            </w:r>
          </w:p>
        </w:tc>
        <w:tc>
          <w:tcPr>
            <w:tcW w:w="879" w:type="pct"/>
            <w:tcBorders>
              <w:right w:val="single" w:sz="4" w:space="0" w:color="BFBFBF" w:themeColor="background1" w:themeShade="BF"/>
            </w:tcBorders>
            <w:vAlign w:val="bottom"/>
          </w:tcPr>
          <w:p w:rsidR="00195BE7" w:rsidRPr="001E2F6E" w:rsidRDefault="00195BE7" w:rsidP="00195BE7">
            <w:pPr>
              <w:spacing w:line="240" w:lineRule="exact"/>
              <w:ind w:right="170"/>
              <w:jc w:val="right"/>
              <w:rPr>
                <w:bCs/>
                <w:sz w:val="16"/>
                <w:szCs w:val="16"/>
              </w:rPr>
            </w:pPr>
            <w:r w:rsidRPr="001E2F6E">
              <w:rPr>
                <w:bCs/>
                <w:sz w:val="16"/>
                <w:szCs w:val="16"/>
              </w:rPr>
              <w:t>35,9</w:t>
            </w:r>
          </w:p>
        </w:tc>
        <w:tc>
          <w:tcPr>
            <w:tcW w:w="879" w:type="pct"/>
            <w:tcBorders>
              <w:left w:val="single" w:sz="4" w:space="0" w:color="BFBFBF" w:themeColor="background1" w:themeShade="BF"/>
              <w:right w:val="single" w:sz="4" w:space="0" w:color="BFBFBF" w:themeColor="background1" w:themeShade="BF"/>
            </w:tcBorders>
            <w:vAlign w:val="bottom"/>
          </w:tcPr>
          <w:p w:rsidR="00195BE7" w:rsidRPr="001E2F6E" w:rsidRDefault="00195BE7" w:rsidP="00195BE7">
            <w:pPr>
              <w:spacing w:line="240" w:lineRule="exact"/>
              <w:ind w:right="170"/>
              <w:jc w:val="right"/>
              <w:rPr>
                <w:sz w:val="16"/>
                <w:szCs w:val="16"/>
              </w:rPr>
            </w:pPr>
            <w:r w:rsidRPr="001E2F6E">
              <w:rPr>
                <w:sz w:val="16"/>
                <w:szCs w:val="16"/>
              </w:rPr>
              <w:t>35,9</w:t>
            </w:r>
          </w:p>
        </w:tc>
        <w:tc>
          <w:tcPr>
            <w:tcW w:w="879" w:type="pct"/>
            <w:tcBorders>
              <w:left w:val="single" w:sz="4" w:space="0" w:color="BFBFBF" w:themeColor="background1" w:themeShade="BF"/>
              <w:right w:val="single" w:sz="4" w:space="0" w:color="BFBFBF" w:themeColor="background1" w:themeShade="BF"/>
            </w:tcBorders>
            <w:vAlign w:val="bottom"/>
          </w:tcPr>
          <w:p w:rsidR="00195BE7" w:rsidRPr="001E2F6E" w:rsidRDefault="00195BE7" w:rsidP="00195BE7">
            <w:pPr>
              <w:spacing w:line="240" w:lineRule="exact"/>
              <w:ind w:right="170"/>
              <w:jc w:val="right"/>
              <w:rPr>
                <w:sz w:val="16"/>
                <w:szCs w:val="16"/>
              </w:rPr>
            </w:pPr>
            <w:r w:rsidRPr="001E2F6E">
              <w:rPr>
                <w:sz w:val="16"/>
                <w:szCs w:val="16"/>
              </w:rPr>
              <w:t>34,6</w:t>
            </w:r>
          </w:p>
        </w:tc>
        <w:tc>
          <w:tcPr>
            <w:tcW w:w="879" w:type="pct"/>
            <w:tcBorders>
              <w:left w:val="single" w:sz="4" w:space="0" w:color="BFBFBF" w:themeColor="background1" w:themeShade="BF"/>
            </w:tcBorders>
            <w:vAlign w:val="bottom"/>
          </w:tcPr>
          <w:p w:rsidR="00195BE7" w:rsidRPr="001E2F6E" w:rsidRDefault="00195BE7" w:rsidP="00195BE7">
            <w:pPr>
              <w:spacing w:line="240" w:lineRule="exact"/>
              <w:ind w:right="170"/>
              <w:jc w:val="right"/>
              <w:rPr>
                <w:sz w:val="16"/>
                <w:szCs w:val="16"/>
              </w:rPr>
            </w:pPr>
            <w:r w:rsidRPr="001E2F6E">
              <w:rPr>
                <w:sz w:val="16"/>
                <w:szCs w:val="16"/>
              </w:rPr>
              <w:t>36,5</w:t>
            </w:r>
          </w:p>
        </w:tc>
      </w:tr>
    </w:tbl>
    <w:p w:rsidR="00195BE7" w:rsidRPr="001E2F6E" w:rsidRDefault="00195BE7" w:rsidP="00195BE7">
      <w:pPr>
        <w:rPr>
          <w:color w:val="000080"/>
        </w:rPr>
      </w:pPr>
    </w:p>
    <w:p w:rsidR="00195BE7" w:rsidRPr="001E2F6E" w:rsidRDefault="00195BE7" w:rsidP="00195BE7">
      <w:pPr>
        <w:spacing w:line="240" w:lineRule="auto"/>
        <w:jc w:val="center"/>
        <w:rPr>
          <w:b/>
          <w:snapToGrid w:val="0"/>
          <w:color w:val="1F497D" w:themeColor="text2"/>
          <w:sz w:val="18"/>
          <w:szCs w:val="18"/>
          <w:lang w:val="es-ES_tradnl"/>
        </w:rPr>
      </w:pPr>
      <w:bookmarkStart w:id="322" w:name="_Toc391989203"/>
      <w:bookmarkStart w:id="323" w:name="_Toc392585852"/>
      <w:r w:rsidRPr="001E2F6E">
        <w:rPr>
          <w:b/>
          <w:snapToGrid w:val="0"/>
          <w:color w:val="1F497D" w:themeColor="text2"/>
          <w:sz w:val="18"/>
          <w:szCs w:val="18"/>
          <w:lang w:val="es-ES_tradnl"/>
        </w:rPr>
        <w:t>3.</w:t>
      </w:r>
      <w:r w:rsidR="00EB6BA6" w:rsidRPr="001E2F6E">
        <w:rPr>
          <w:b/>
          <w:snapToGrid w:val="0"/>
          <w:color w:val="1F497D" w:themeColor="text2"/>
          <w:sz w:val="18"/>
          <w:szCs w:val="18"/>
          <w:lang w:val="es-ES_tradnl"/>
        </w:rPr>
        <w:fldChar w:fldCharType="begin"/>
      </w:r>
      <w:r w:rsidRPr="001E2F6E">
        <w:rPr>
          <w:b/>
          <w:snapToGrid w:val="0"/>
          <w:color w:val="1F497D" w:themeColor="text2"/>
          <w:sz w:val="18"/>
          <w:szCs w:val="18"/>
          <w:lang w:val="es-ES_tradnl"/>
        </w:rPr>
        <w:instrText xml:space="preserve"> SEQ Gráfico_3. \* ARABIC </w:instrText>
      </w:r>
      <w:r w:rsidR="00EB6BA6" w:rsidRPr="001E2F6E">
        <w:rPr>
          <w:b/>
          <w:snapToGrid w:val="0"/>
          <w:color w:val="1F497D" w:themeColor="text2"/>
          <w:sz w:val="18"/>
          <w:szCs w:val="18"/>
          <w:lang w:val="es-ES_tradnl"/>
        </w:rPr>
        <w:fldChar w:fldCharType="separate"/>
      </w:r>
      <w:r w:rsidR="00A327D4">
        <w:rPr>
          <w:b/>
          <w:noProof/>
          <w:snapToGrid w:val="0"/>
          <w:color w:val="1F497D" w:themeColor="text2"/>
          <w:sz w:val="18"/>
          <w:szCs w:val="18"/>
          <w:lang w:val="es-ES_tradnl"/>
        </w:rPr>
        <w:t>9</w:t>
      </w:r>
      <w:r w:rsidR="00EB6BA6" w:rsidRPr="001E2F6E">
        <w:rPr>
          <w:b/>
          <w:snapToGrid w:val="0"/>
          <w:color w:val="1F497D" w:themeColor="text2"/>
          <w:sz w:val="18"/>
          <w:szCs w:val="18"/>
          <w:lang w:val="es-ES_tradnl"/>
        </w:rPr>
        <w:fldChar w:fldCharType="end"/>
      </w:r>
      <w:r w:rsidRPr="001E2F6E">
        <w:rPr>
          <w:b/>
          <w:snapToGrid w:val="0"/>
          <w:color w:val="1F497D" w:themeColor="text2"/>
          <w:sz w:val="18"/>
          <w:szCs w:val="18"/>
          <w:lang w:val="es-ES_tradnl"/>
        </w:rPr>
        <w:t xml:space="preserve"> Irudia ENPRESEN ARTEKO LANKIDETZA, ESTABLEZIMENDUAREN TAMAINAREN ARABERA. 2012 (enpresa portzentajea kopuru osoarekiko)</w:t>
      </w:r>
      <w:bookmarkEnd w:id="322"/>
      <w:bookmarkEnd w:id="323"/>
    </w:p>
    <w:p w:rsidR="00195BE7" w:rsidRPr="001E2F6E" w:rsidRDefault="00195BE7" w:rsidP="00195BE7">
      <w:pPr>
        <w:spacing w:line="240" w:lineRule="auto"/>
        <w:jc w:val="center"/>
        <w:rPr>
          <w:rFonts w:ascii="Tahoma" w:hAnsi="Tahoma"/>
          <w:b/>
          <w:i/>
          <w:sz w:val="16"/>
          <w:szCs w:val="16"/>
        </w:rPr>
      </w:pPr>
    </w:p>
    <w:p w:rsidR="00195BE7" w:rsidRPr="001E2F6E" w:rsidRDefault="00195BE7" w:rsidP="00195BE7">
      <w:r w:rsidRPr="001E2F6E">
        <w:rPr>
          <w:noProof/>
          <w:lang w:eastAsia="es-ES"/>
        </w:rPr>
        <w:drawing>
          <wp:anchor distT="0" distB="0" distL="114300" distR="114300" simplePos="0" relativeHeight="251712512" behindDoc="0" locked="0" layoutInCell="1" allowOverlap="1" wp14:anchorId="4B47FE87" wp14:editId="23FC62FA">
            <wp:simplePos x="0" y="0"/>
            <wp:positionH relativeFrom="column">
              <wp:posOffset>203835</wp:posOffset>
            </wp:positionH>
            <wp:positionV relativeFrom="paragraph">
              <wp:posOffset>45720</wp:posOffset>
            </wp:positionV>
            <wp:extent cx="5010150" cy="1590675"/>
            <wp:effectExtent l="0" t="0" r="0" b="0"/>
            <wp:wrapNone/>
            <wp:docPr id="12"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anchor>
        </w:drawing>
      </w:r>
    </w:p>
    <w:p w:rsidR="00195BE7" w:rsidRPr="001E2F6E" w:rsidRDefault="00195BE7" w:rsidP="00195BE7"/>
    <w:p w:rsidR="00195BE7" w:rsidRPr="001E2F6E" w:rsidRDefault="00195BE7" w:rsidP="00195BE7"/>
    <w:p w:rsidR="00195BE7" w:rsidRPr="001E2F6E" w:rsidRDefault="00195BE7" w:rsidP="00195BE7"/>
    <w:p w:rsidR="00195BE7" w:rsidRPr="001E2F6E" w:rsidRDefault="00195BE7" w:rsidP="00195BE7"/>
    <w:p w:rsidR="00195BE7" w:rsidRPr="001E2F6E" w:rsidRDefault="00195BE7" w:rsidP="00195BE7"/>
    <w:p w:rsidR="00195BE7" w:rsidRPr="001E2F6E" w:rsidRDefault="00195BE7" w:rsidP="00195BE7"/>
    <w:p w:rsidR="00195BE7" w:rsidRPr="001E2F6E" w:rsidRDefault="00195BE7" w:rsidP="00195BE7"/>
    <w:p w:rsidR="00195BE7" w:rsidRPr="001E2F6E" w:rsidRDefault="00195BE7" w:rsidP="00195BE7"/>
    <w:p w:rsidR="00195BE7" w:rsidRPr="001E2F6E" w:rsidRDefault="00195BE7" w:rsidP="00195BE7"/>
    <w:p w:rsidR="00195BE7" w:rsidRPr="001E2F6E" w:rsidRDefault="00195BE7" w:rsidP="00195BE7">
      <w:pPr>
        <w:spacing w:line="240" w:lineRule="auto"/>
        <w:jc w:val="left"/>
        <w:rPr>
          <w:b/>
          <w:snapToGrid w:val="0"/>
          <w:color w:val="1F497D" w:themeColor="text2"/>
          <w:sz w:val="18"/>
          <w:szCs w:val="18"/>
          <w:lang w:val="es-ES_tradnl"/>
        </w:rPr>
      </w:pPr>
      <w:r w:rsidRPr="001E2F6E">
        <w:rPr>
          <w:b/>
          <w:snapToGrid w:val="0"/>
          <w:color w:val="1F497D" w:themeColor="text2"/>
          <w:sz w:val="18"/>
          <w:szCs w:val="18"/>
          <w:lang w:val="es-ES_tradnl"/>
        </w:rPr>
        <w:br w:type="page"/>
      </w:r>
    </w:p>
    <w:p w:rsidR="00195BE7" w:rsidRPr="001E2F6E" w:rsidRDefault="00195BE7" w:rsidP="00195BE7">
      <w:pPr>
        <w:spacing w:line="240" w:lineRule="auto"/>
        <w:jc w:val="center"/>
        <w:rPr>
          <w:b/>
          <w:snapToGrid w:val="0"/>
          <w:color w:val="1F497D" w:themeColor="text2"/>
          <w:sz w:val="18"/>
          <w:szCs w:val="18"/>
          <w:lang w:val="es-ES_tradnl"/>
        </w:rPr>
      </w:pPr>
      <w:bookmarkStart w:id="324" w:name="_Toc391989213"/>
      <w:bookmarkStart w:id="325" w:name="_Toc392585843"/>
      <w:r w:rsidRPr="001E2F6E">
        <w:rPr>
          <w:b/>
          <w:snapToGrid w:val="0"/>
          <w:color w:val="1F497D" w:themeColor="text2"/>
          <w:sz w:val="18"/>
          <w:szCs w:val="18"/>
          <w:lang w:val="es-ES_tradnl"/>
        </w:rPr>
        <w:lastRenderedPageBreak/>
        <w:t>3.</w:t>
      </w:r>
      <w:r w:rsidR="00EB6BA6" w:rsidRPr="001E2F6E">
        <w:rPr>
          <w:b/>
          <w:snapToGrid w:val="0"/>
          <w:color w:val="1F497D" w:themeColor="text2"/>
          <w:sz w:val="18"/>
          <w:szCs w:val="18"/>
          <w:lang w:val="es-ES_tradnl"/>
        </w:rPr>
        <w:fldChar w:fldCharType="begin"/>
      </w:r>
      <w:r w:rsidRPr="001E2F6E">
        <w:rPr>
          <w:b/>
          <w:snapToGrid w:val="0"/>
          <w:color w:val="1F497D" w:themeColor="text2"/>
          <w:sz w:val="18"/>
          <w:szCs w:val="18"/>
          <w:lang w:val="es-ES_tradnl"/>
        </w:rPr>
        <w:instrText xml:space="preserve"> SEQ Cuadro_3. \* ARABIC </w:instrText>
      </w:r>
      <w:r w:rsidR="00EB6BA6" w:rsidRPr="001E2F6E">
        <w:rPr>
          <w:b/>
          <w:snapToGrid w:val="0"/>
          <w:color w:val="1F497D" w:themeColor="text2"/>
          <w:sz w:val="18"/>
          <w:szCs w:val="18"/>
          <w:lang w:val="es-ES_tradnl"/>
        </w:rPr>
        <w:fldChar w:fldCharType="separate"/>
      </w:r>
      <w:r w:rsidR="00A327D4">
        <w:rPr>
          <w:b/>
          <w:noProof/>
          <w:snapToGrid w:val="0"/>
          <w:color w:val="1F497D" w:themeColor="text2"/>
          <w:sz w:val="18"/>
          <w:szCs w:val="18"/>
          <w:lang w:val="es-ES_tradnl"/>
        </w:rPr>
        <w:t>9</w:t>
      </w:r>
      <w:r w:rsidR="00EB6BA6" w:rsidRPr="001E2F6E">
        <w:rPr>
          <w:b/>
          <w:snapToGrid w:val="0"/>
          <w:color w:val="1F497D" w:themeColor="text2"/>
          <w:sz w:val="18"/>
          <w:szCs w:val="18"/>
          <w:lang w:val="es-ES_tradnl"/>
        </w:rPr>
        <w:fldChar w:fldCharType="end"/>
      </w:r>
      <w:r w:rsidRPr="001E2F6E">
        <w:rPr>
          <w:b/>
          <w:snapToGrid w:val="0"/>
          <w:color w:val="1F497D" w:themeColor="text2"/>
          <w:sz w:val="18"/>
          <w:szCs w:val="18"/>
          <w:lang w:val="es-ES_tradnl"/>
        </w:rPr>
        <w:t xml:space="preserve"> Taula ENPRESEN KOKAPEN GEOGRAFIKOA, FORMA JURIDIKOAREN ARABERA. 2012</w:t>
      </w:r>
      <w:bookmarkEnd w:id="324"/>
      <w:bookmarkEnd w:id="325"/>
    </w:p>
    <w:tbl>
      <w:tblPr>
        <w:tblW w:w="5000" w:type="pct"/>
        <w:jc w:val="center"/>
        <w:tblBorders>
          <w:top w:val="single" w:sz="4" w:space="0" w:color="BFBFBF" w:themeColor="background1" w:themeShade="BF"/>
          <w:bottom w:val="single" w:sz="4" w:space="0" w:color="BFBFBF" w:themeColor="background1" w:themeShade="BF"/>
        </w:tblBorders>
        <w:tblLook w:val="04A0" w:firstRow="1" w:lastRow="0" w:firstColumn="1" w:lastColumn="0" w:noHBand="0" w:noVBand="1"/>
      </w:tblPr>
      <w:tblGrid>
        <w:gridCol w:w="2736"/>
        <w:gridCol w:w="1569"/>
        <w:gridCol w:w="1568"/>
        <w:gridCol w:w="1568"/>
        <w:gridCol w:w="1563"/>
      </w:tblGrid>
      <w:tr w:rsidR="00195BE7" w:rsidRPr="001E2F6E" w:rsidTr="00195BE7">
        <w:trPr>
          <w:jc w:val="center"/>
        </w:trPr>
        <w:tc>
          <w:tcPr>
            <w:tcW w:w="1519"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noWrap/>
          </w:tcPr>
          <w:p w:rsidR="00195BE7" w:rsidRPr="001E2F6E" w:rsidRDefault="00195BE7" w:rsidP="00195BE7">
            <w:pPr>
              <w:spacing w:line="240" w:lineRule="exact"/>
              <w:rPr>
                <w:b/>
                <w:bCs/>
                <w:sz w:val="16"/>
                <w:szCs w:val="16"/>
              </w:rPr>
            </w:pPr>
          </w:p>
        </w:tc>
        <w:tc>
          <w:tcPr>
            <w:tcW w:w="871"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tcPr>
          <w:p w:rsidR="00195BE7" w:rsidRPr="001E2F6E" w:rsidRDefault="00195BE7" w:rsidP="00195BE7">
            <w:pPr>
              <w:spacing w:line="240" w:lineRule="exact"/>
              <w:jc w:val="center"/>
              <w:rPr>
                <w:b/>
                <w:bCs/>
                <w:sz w:val="16"/>
                <w:szCs w:val="16"/>
                <w:lang w:val="en-GB"/>
              </w:rPr>
            </w:pPr>
            <w:r w:rsidRPr="001E2F6E">
              <w:rPr>
                <w:b/>
                <w:bCs/>
                <w:sz w:val="16"/>
                <w:szCs w:val="16"/>
                <w:lang w:val="en-GB"/>
              </w:rPr>
              <w:t>GUZTIRA</w:t>
            </w:r>
          </w:p>
          <w:p w:rsidR="00195BE7" w:rsidRPr="001E2F6E" w:rsidRDefault="00195BE7" w:rsidP="00195BE7">
            <w:pPr>
              <w:spacing w:line="240" w:lineRule="exact"/>
              <w:jc w:val="center"/>
              <w:rPr>
                <w:b/>
                <w:bCs/>
                <w:sz w:val="16"/>
                <w:szCs w:val="16"/>
                <w:lang w:val="en-GB"/>
              </w:rPr>
            </w:pPr>
            <w:r w:rsidRPr="001E2F6E">
              <w:rPr>
                <w:b/>
                <w:bCs/>
                <w:sz w:val="16"/>
                <w:szCs w:val="16"/>
                <w:lang w:val="en-GB"/>
              </w:rPr>
              <w:t>%</w:t>
            </w:r>
          </w:p>
        </w:tc>
        <w:tc>
          <w:tcPr>
            <w:tcW w:w="87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noWrap/>
          </w:tcPr>
          <w:p w:rsidR="00195BE7" w:rsidRPr="001E2F6E" w:rsidRDefault="00195BE7" w:rsidP="00195BE7">
            <w:pPr>
              <w:spacing w:line="240" w:lineRule="exact"/>
              <w:jc w:val="center"/>
              <w:rPr>
                <w:b/>
                <w:bCs/>
                <w:sz w:val="16"/>
                <w:szCs w:val="16"/>
                <w:lang w:val="en-GB"/>
              </w:rPr>
            </w:pPr>
            <w:r w:rsidRPr="001E2F6E">
              <w:rPr>
                <w:b/>
                <w:bCs/>
                <w:sz w:val="16"/>
                <w:szCs w:val="16"/>
                <w:lang w:val="en-GB"/>
              </w:rPr>
              <w:t>Koop.</w:t>
            </w:r>
          </w:p>
          <w:p w:rsidR="00195BE7" w:rsidRPr="001E2F6E" w:rsidRDefault="00195BE7" w:rsidP="00195BE7">
            <w:pPr>
              <w:spacing w:line="240" w:lineRule="exact"/>
              <w:jc w:val="center"/>
              <w:rPr>
                <w:b/>
                <w:bCs/>
                <w:sz w:val="16"/>
                <w:szCs w:val="16"/>
              </w:rPr>
            </w:pPr>
            <w:r w:rsidRPr="001E2F6E">
              <w:rPr>
                <w:b/>
                <w:bCs/>
                <w:sz w:val="16"/>
                <w:szCs w:val="16"/>
                <w:lang w:val="en-GB"/>
              </w:rPr>
              <w:t>%</w:t>
            </w:r>
          </w:p>
        </w:tc>
        <w:tc>
          <w:tcPr>
            <w:tcW w:w="87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tcPr>
          <w:p w:rsidR="00195BE7" w:rsidRPr="001E2F6E" w:rsidRDefault="00195BE7" w:rsidP="00195BE7">
            <w:pPr>
              <w:spacing w:line="240" w:lineRule="exact"/>
              <w:jc w:val="center"/>
              <w:rPr>
                <w:b/>
                <w:bCs/>
                <w:sz w:val="16"/>
                <w:szCs w:val="16"/>
                <w:lang w:val="en-GB"/>
              </w:rPr>
            </w:pPr>
            <w:r w:rsidRPr="001E2F6E">
              <w:rPr>
                <w:b/>
                <w:bCs/>
                <w:sz w:val="16"/>
                <w:szCs w:val="16"/>
                <w:lang w:val="en-GB"/>
              </w:rPr>
              <w:t>LSA</w:t>
            </w:r>
          </w:p>
          <w:p w:rsidR="00195BE7" w:rsidRPr="001E2F6E" w:rsidRDefault="00195BE7" w:rsidP="00195BE7">
            <w:pPr>
              <w:spacing w:line="240" w:lineRule="exact"/>
              <w:jc w:val="center"/>
              <w:rPr>
                <w:b/>
                <w:bCs/>
                <w:sz w:val="16"/>
                <w:szCs w:val="16"/>
              </w:rPr>
            </w:pPr>
            <w:r w:rsidRPr="001E2F6E">
              <w:rPr>
                <w:b/>
                <w:bCs/>
                <w:sz w:val="16"/>
                <w:szCs w:val="16"/>
                <w:lang w:val="en-GB"/>
              </w:rPr>
              <w:t>%</w:t>
            </w:r>
          </w:p>
        </w:tc>
        <w:tc>
          <w:tcPr>
            <w:tcW w:w="869"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tcPr>
          <w:p w:rsidR="00195BE7" w:rsidRPr="001E2F6E" w:rsidRDefault="00195BE7" w:rsidP="00195BE7">
            <w:pPr>
              <w:spacing w:line="240" w:lineRule="exact"/>
              <w:jc w:val="center"/>
              <w:rPr>
                <w:b/>
                <w:bCs/>
                <w:sz w:val="16"/>
                <w:szCs w:val="16"/>
                <w:lang w:val="en-GB"/>
              </w:rPr>
            </w:pPr>
            <w:r w:rsidRPr="001E2F6E">
              <w:rPr>
                <w:b/>
                <w:bCs/>
                <w:sz w:val="16"/>
                <w:szCs w:val="16"/>
                <w:lang w:val="en-GB"/>
              </w:rPr>
              <w:t>LSM</w:t>
            </w:r>
          </w:p>
          <w:p w:rsidR="00195BE7" w:rsidRPr="001E2F6E" w:rsidRDefault="00195BE7" w:rsidP="00195BE7">
            <w:pPr>
              <w:spacing w:line="240" w:lineRule="exact"/>
              <w:jc w:val="center"/>
              <w:rPr>
                <w:b/>
                <w:bCs/>
                <w:sz w:val="16"/>
                <w:szCs w:val="16"/>
              </w:rPr>
            </w:pPr>
            <w:r w:rsidRPr="001E2F6E">
              <w:rPr>
                <w:b/>
                <w:bCs/>
                <w:sz w:val="16"/>
                <w:szCs w:val="16"/>
                <w:lang w:val="en-GB"/>
              </w:rPr>
              <w:t>%</w:t>
            </w:r>
          </w:p>
        </w:tc>
      </w:tr>
      <w:tr w:rsidR="00195BE7" w:rsidRPr="001E2F6E" w:rsidTr="00195BE7">
        <w:trPr>
          <w:jc w:val="center"/>
        </w:trPr>
        <w:tc>
          <w:tcPr>
            <w:tcW w:w="1519" w:type="pct"/>
            <w:tcBorders>
              <w:right w:val="single" w:sz="4" w:space="0" w:color="BFBFBF" w:themeColor="background1" w:themeShade="BF"/>
            </w:tcBorders>
            <w:noWrap/>
          </w:tcPr>
          <w:p w:rsidR="00195BE7" w:rsidRPr="001E2F6E" w:rsidRDefault="00195BE7" w:rsidP="00195BE7">
            <w:pPr>
              <w:spacing w:line="240" w:lineRule="exact"/>
              <w:jc w:val="left"/>
              <w:rPr>
                <w:sz w:val="16"/>
                <w:szCs w:val="16"/>
                <w:lang w:val="eu-ES"/>
              </w:rPr>
            </w:pPr>
            <w:r w:rsidRPr="001E2F6E">
              <w:rPr>
                <w:rFonts w:ascii="Tahoma" w:hAnsi="Tahoma"/>
                <w:sz w:val="16"/>
                <w:szCs w:val="16"/>
                <w:lang w:val="eu-ES"/>
              </w:rPr>
              <w:t>EAE</w:t>
            </w:r>
          </w:p>
        </w:tc>
        <w:tc>
          <w:tcPr>
            <w:tcW w:w="871" w:type="pct"/>
            <w:tcBorders>
              <w:right w:val="single" w:sz="4" w:space="0" w:color="BFBFBF" w:themeColor="background1" w:themeShade="BF"/>
            </w:tcBorders>
            <w:vAlign w:val="bottom"/>
          </w:tcPr>
          <w:p w:rsidR="00195BE7" w:rsidRPr="001E2F6E" w:rsidRDefault="00195BE7" w:rsidP="00195BE7">
            <w:pPr>
              <w:spacing w:line="240" w:lineRule="exact"/>
              <w:ind w:right="170"/>
              <w:jc w:val="right"/>
              <w:rPr>
                <w:bCs/>
                <w:sz w:val="16"/>
                <w:szCs w:val="16"/>
              </w:rPr>
            </w:pPr>
            <w:r w:rsidRPr="001E2F6E">
              <w:rPr>
                <w:bCs/>
                <w:sz w:val="16"/>
                <w:szCs w:val="16"/>
              </w:rPr>
              <w:t>92,3</w:t>
            </w:r>
          </w:p>
        </w:tc>
        <w:tc>
          <w:tcPr>
            <w:tcW w:w="871" w:type="pct"/>
            <w:tcBorders>
              <w:left w:val="single" w:sz="4" w:space="0" w:color="BFBFBF" w:themeColor="background1" w:themeShade="BF"/>
              <w:right w:val="single" w:sz="4" w:space="0" w:color="BFBFBF" w:themeColor="background1" w:themeShade="BF"/>
            </w:tcBorders>
            <w:vAlign w:val="bottom"/>
          </w:tcPr>
          <w:p w:rsidR="00195BE7" w:rsidRPr="001E2F6E" w:rsidRDefault="00195BE7" w:rsidP="00195BE7">
            <w:pPr>
              <w:spacing w:line="240" w:lineRule="exact"/>
              <w:ind w:right="170"/>
              <w:jc w:val="right"/>
              <w:rPr>
                <w:sz w:val="16"/>
                <w:szCs w:val="16"/>
              </w:rPr>
            </w:pPr>
            <w:r w:rsidRPr="001E2F6E">
              <w:rPr>
                <w:sz w:val="16"/>
                <w:szCs w:val="16"/>
              </w:rPr>
              <w:t>94,0</w:t>
            </w:r>
          </w:p>
        </w:tc>
        <w:tc>
          <w:tcPr>
            <w:tcW w:w="871" w:type="pct"/>
            <w:tcBorders>
              <w:left w:val="single" w:sz="4" w:space="0" w:color="BFBFBF" w:themeColor="background1" w:themeShade="BF"/>
              <w:right w:val="single" w:sz="4" w:space="0" w:color="BFBFBF" w:themeColor="background1" w:themeShade="BF"/>
            </w:tcBorders>
            <w:vAlign w:val="bottom"/>
          </w:tcPr>
          <w:p w:rsidR="00195BE7" w:rsidRPr="001E2F6E" w:rsidRDefault="00195BE7" w:rsidP="00195BE7">
            <w:pPr>
              <w:spacing w:line="240" w:lineRule="exact"/>
              <w:ind w:right="170"/>
              <w:jc w:val="right"/>
              <w:rPr>
                <w:sz w:val="16"/>
                <w:szCs w:val="16"/>
              </w:rPr>
            </w:pPr>
            <w:r w:rsidRPr="001E2F6E">
              <w:rPr>
                <w:sz w:val="16"/>
                <w:szCs w:val="16"/>
              </w:rPr>
              <w:t>88,6</w:t>
            </w:r>
          </w:p>
        </w:tc>
        <w:tc>
          <w:tcPr>
            <w:tcW w:w="869" w:type="pct"/>
            <w:tcBorders>
              <w:left w:val="single" w:sz="4" w:space="0" w:color="BFBFBF" w:themeColor="background1" w:themeShade="BF"/>
            </w:tcBorders>
            <w:vAlign w:val="bottom"/>
          </w:tcPr>
          <w:p w:rsidR="00195BE7" w:rsidRPr="001E2F6E" w:rsidRDefault="00195BE7" w:rsidP="00195BE7">
            <w:pPr>
              <w:spacing w:line="240" w:lineRule="exact"/>
              <w:ind w:right="170"/>
              <w:jc w:val="right"/>
              <w:rPr>
                <w:sz w:val="16"/>
                <w:szCs w:val="16"/>
              </w:rPr>
            </w:pPr>
            <w:r w:rsidRPr="001E2F6E">
              <w:rPr>
                <w:sz w:val="16"/>
                <w:szCs w:val="16"/>
              </w:rPr>
              <w:t>84,4</w:t>
            </w:r>
          </w:p>
        </w:tc>
      </w:tr>
      <w:tr w:rsidR="00195BE7" w:rsidRPr="001E2F6E" w:rsidTr="00195BE7">
        <w:trPr>
          <w:jc w:val="center"/>
        </w:trPr>
        <w:tc>
          <w:tcPr>
            <w:tcW w:w="1519" w:type="pct"/>
            <w:tcBorders>
              <w:right w:val="single" w:sz="4" w:space="0" w:color="BFBFBF" w:themeColor="background1" w:themeShade="BF"/>
            </w:tcBorders>
            <w:noWrap/>
          </w:tcPr>
          <w:p w:rsidR="00195BE7" w:rsidRPr="001E2F6E" w:rsidRDefault="00195BE7" w:rsidP="00195BE7">
            <w:pPr>
              <w:spacing w:line="240" w:lineRule="exact"/>
              <w:jc w:val="left"/>
              <w:rPr>
                <w:sz w:val="16"/>
                <w:szCs w:val="16"/>
                <w:lang w:val="eu-ES"/>
              </w:rPr>
            </w:pPr>
            <w:r w:rsidRPr="001E2F6E">
              <w:rPr>
                <w:rFonts w:ascii="Tahoma" w:hAnsi="Tahoma"/>
                <w:sz w:val="16"/>
                <w:szCs w:val="16"/>
                <w:lang w:val="eu-ES"/>
              </w:rPr>
              <w:t>Espainia</w:t>
            </w:r>
          </w:p>
        </w:tc>
        <w:tc>
          <w:tcPr>
            <w:tcW w:w="871" w:type="pct"/>
            <w:tcBorders>
              <w:right w:val="single" w:sz="4" w:space="0" w:color="BFBFBF" w:themeColor="background1" w:themeShade="BF"/>
            </w:tcBorders>
            <w:vAlign w:val="bottom"/>
          </w:tcPr>
          <w:p w:rsidR="00195BE7" w:rsidRPr="001E2F6E" w:rsidRDefault="00195BE7" w:rsidP="00195BE7">
            <w:pPr>
              <w:spacing w:line="240" w:lineRule="exact"/>
              <w:ind w:right="170"/>
              <w:jc w:val="right"/>
              <w:rPr>
                <w:bCs/>
                <w:sz w:val="16"/>
                <w:szCs w:val="16"/>
              </w:rPr>
            </w:pPr>
            <w:r w:rsidRPr="001E2F6E">
              <w:rPr>
                <w:bCs/>
                <w:sz w:val="16"/>
                <w:szCs w:val="16"/>
              </w:rPr>
              <w:t>19,8</w:t>
            </w:r>
          </w:p>
        </w:tc>
        <w:tc>
          <w:tcPr>
            <w:tcW w:w="871" w:type="pct"/>
            <w:tcBorders>
              <w:left w:val="single" w:sz="4" w:space="0" w:color="BFBFBF" w:themeColor="background1" w:themeShade="BF"/>
              <w:right w:val="single" w:sz="4" w:space="0" w:color="BFBFBF" w:themeColor="background1" w:themeShade="BF"/>
            </w:tcBorders>
            <w:vAlign w:val="bottom"/>
          </w:tcPr>
          <w:p w:rsidR="00195BE7" w:rsidRPr="001E2F6E" w:rsidRDefault="00195BE7" w:rsidP="00195BE7">
            <w:pPr>
              <w:spacing w:line="240" w:lineRule="exact"/>
              <w:ind w:right="170"/>
              <w:jc w:val="right"/>
              <w:rPr>
                <w:sz w:val="16"/>
                <w:szCs w:val="16"/>
              </w:rPr>
            </w:pPr>
            <w:r w:rsidRPr="001E2F6E">
              <w:rPr>
                <w:sz w:val="16"/>
                <w:szCs w:val="16"/>
              </w:rPr>
              <w:t>17,7</w:t>
            </w:r>
          </w:p>
        </w:tc>
        <w:tc>
          <w:tcPr>
            <w:tcW w:w="871" w:type="pct"/>
            <w:tcBorders>
              <w:left w:val="single" w:sz="4" w:space="0" w:color="BFBFBF" w:themeColor="background1" w:themeShade="BF"/>
              <w:right w:val="single" w:sz="4" w:space="0" w:color="BFBFBF" w:themeColor="background1" w:themeShade="BF"/>
            </w:tcBorders>
            <w:vAlign w:val="bottom"/>
          </w:tcPr>
          <w:p w:rsidR="00195BE7" w:rsidRPr="001E2F6E" w:rsidRDefault="00195BE7" w:rsidP="00195BE7">
            <w:pPr>
              <w:spacing w:line="240" w:lineRule="exact"/>
              <w:ind w:right="170"/>
              <w:jc w:val="right"/>
              <w:rPr>
                <w:sz w:val="16"/>
                <w:szCs w:val="16"/>
              </w:rPr>
            </w:pPr>
            <w:r w:rsidRPr="001E2F6E">
              <w:rPr>
                <w:sz w:val="16"/>
                <w:szCs w:val="16"/>
              </w:rPr>
              <w:t>20,7</w:t>
            </w:r>
          </w:p>
        </w:tc>
        <w:tc>
          <w:tcPr>
            <w:tcW w:w="869" w:type="pct"/>
            <w:tcBorders>
              <w:left w:val="single" w:sz="4" w:space="0" w:color="BFBFBF" w:themeColor="background1" w:themeShade="BF"/>
            </w:tcBorders>
            <w:vAlign w:val="bottom"/>
          </w:tcPr>
          <w:p w:rsidR="00195BE7" w:rsidRPr="001E2F6E" w:rsidRDefault="00195BE7" w:rsidP="00195BE7">
            <w:pPr>
              <w:spacing w:line="240" w:lineRule="exact"/>
              <w:ind w:right="170"/>
              <w:jc w:val="right"/>
              <w:rPr>
                <w:sz w:val="16"/>
                <w:szCs w:val="16"/>
              </w:rPr>
            </w:pPr>
            <w:r w:rsidRPr="001E2F6E">
              <w:rPr>
                <w:sz w:val="16"/>
                <w:szCs w:val="16"/>
              </w:rPr>
              <w:t>3,2</w:t>
            </w:r>
          </w:p>
        </w:tc>
      </w:tr>
      <w:tr w:rsidR="00195BE7" w:rsidRPr="001E2F6E" w:rsidTr="00195BE7">
        <w:trPr>
          <w:jc w:val="center"/>
        </w:trPr>
        <w:tc>
          <w:tcPr>
            <w:tcW w:w="1519" w:type="pct"/>
            <w:tcBorders>
              <w:right w:val="single" w:sz="4" w:space="0" w:color="BFBFBF" w:themeColor="background1" w:themeShade="BF"/>
            </w:tcBorders>
            <w:noWrap/>
          </w:tcPr>
          <w:p w:rsidR="00195BE7" w:rsidRPr="001E2F6E" w:rsidRDefault="00195BE7" w:rsidP="00195BE7">
            <w:pPr>
              <w:spacing w:line="240" w:lineRule="exact"/>
              <w:jc w:val="left"/>
              <w:rPr>
                <w:sz w:val="16"/>
                <w:szCs w:val="16"/>
                <w:lang w:val="eu-ES"/>
              </w:rPr>
            </w:pPr>
            <w:r w:rsidRPr="001E2F6E">
              <w:rPr>
                <w:rFonts w:ascii="Tahoma" w:hAnsi="Tahoma"/>
                <w:sz w:val="16"/>
                <w:szCs w:val="16"/>
                <w:lang w:val="eu-ES"/>
              </w:rPr>
              <w:t>Europar Batasuna</w:t>
            </w:r>
          </w:p>
        </w:tc>
        <w:tc>
          <w:tcPr>
            <w:tcW w:w="871" w:type="pct"/>
            <w:tcBorders>
              <w:right w:val="single" w:sz="4" w:space="0" w:color="BFBFBF" w:themeColor="background1" w:themeShade="BF"/>
            </w:tcBorders>
            <w:vAlign w:val="bottom"/>
          </w:tcPr>
          <w:p w:rsidR="00195BE7" w:rsidRPr="001E2F6E" w:rsidRDefault="00195BE7" w:rsidP="00195BE7">
            <w:pPr>
              <w:spacing w:line="240" w:lineRule="exact"/>
              <w:ind w:right="170"/>
              <w:jc w:val="right"/>
              <w:rPr>
                <w:bCs/>
                <w:sz w:val="16"/>
                <w:szCs w:val="16"/>
              </w:rPr>
            </w:pPr>
            <w:r w:rsidRPr="001E2F6E">
              <w:rPr>
                <w:bCs/>
                <w:sz w:val="16"/>
                <w:szCs w:val="16"/>
              </w:rPr>
              <w:t>11,2</w:t>
            </w:r>
          </w:p>
        </w:tc>
        <w:tc>
          <w:tcPr>
            <w:tcW w:w="871" w:type="pct"/>
            <w:tcBorders>
              <w:left w:val="single" w:sz="4" w:space="0" w:color="BFBFBF" w:themeColor="background1" w:themeShade="BF"/>
              <w:right w:val="single" w:sz="4" w:space="0" w:color="BFBFBF" w:themeColor="background1" w:themeShade="BF"/>
            </w:tcBorders>
            <w:vAlign w:val="bottom"/>
          </w:tcPr>
          <w:p w:rsidR="00195BE7" w:rsidRPr="001E2F6E" w:rsidRDefault="00195BE7" w:rsidP="00195BE7">
            <w:pPr>
              <w:spacing w:line="240" w:lineRule="exact"/>
              <w:ind w:right="170"/>
              <w:jc w:val="right"/>
              <w:rPr>
                <w:sz w:val="16"/>
                <w:szCs w:val="16"/>
              </w:rPr>
            </w:pPr>
            <w:r w:rsidRPr="001E2F6E">
              <w:rPr>
                <w:sz w:val="16"/>
                <w:szCs w:val="16"/>
              </w:rPr>
              <w:t>12,2</w:t>
            </w:r>
          </w:p>
        </w:tc>
        <w:tc>
          <w:tcPr>
            <w:tcW w:w="871" w:type="pct"/>
            <w:tcBorders>
              <w:left w:val="single" w:sz="4" w:space="0" w:color="BFBFBF" w:themeColor="background1" w:themeShade="BF"/>
              <w:right w:val="single" w:sz="4" w:space="0" w:color="BFBFBF" w:themeColor="background1" w:themeShade="BF"/>
            </w:tcBorders>
            <w:vAlign w:val="bottom"/>
          </w:tcPr>
          <w:p w:rsidR="00195BE7" w:rsidRPr="001E2F6E" w:rsidRDefault="00195BE7" w:rsidP="00195BE7">
            <w:pPr>
              <w:spacing w:line="240" w:lineRule="exact"/>
              <w:ind w:right="170"/>
              <w:jc w:val="right"/>
              <w:rPr>
                <w:sz w:val="16"/>
                <w:szCs w:val="16"/>
              </w:rPr>
            </w:pPr>
            <w:r w:rsidRPr="001E2F6E">
              <w:rPr>
                <w:sz w:val="16"/>
                <w:szCs w:val="16"/>
              </w:rPr>
              <w:t>9,3</w:t>
            </w:r>
          </w:p>
        </w:tc>
        <w:tc>
          <w:tcPr>
            <w:tcW w:w="869" w:type="pct"/>
            <w:tcBorders>
              <w:left w:val="single" w:sz="4" w:space="0" w:color="BFBFBF" w:themeColor="background1" w:themeShade="BF"/>
            </w:tcBorders>
            <w:vAlign w:val="bottom"/>
          </w:tcPr>
          <w:p w:rsidR="00195BE7" w:rsidRPr="001E2F6E" w:rsidRDefault="00195BE7" w:rsidP="00195BE7">
            <w:pPr>
              <w:spacing w:line="240" w:lineRule="exact"/>
              <w:ind w:right="170"/>
              <w:jc w:val="right"/>
              <w:rPr>
                <w:sz w:val="16"/>
                <w:szCs w:val="16"/>
              </w:rPr>
            </w:pPr>
            <w:r w:rsidRPr="001E2F6E">
              <w:rPr>
                <w:sz w:val="16"/>
                <w:szCs w:val="16"/>
              </w:rPr>
              <w:t>5,9</w:t>
            </w:r>
          </w:p>
        </w:tc>
      </w:tr>
      <w:tr w:rsidR="00195BE7" w:rsidRPr="001E2F6E" w:rsidTr="00195BE7">
        <w:trPr>
          <w:jc w:val="center"/>
        </w:trPr>
        <w:tc>
          <w:tcPr>
            <w:tcW w:w="1519" w:type="pct"/>
            <w:tcBorders>
              <w:right w:val="single" w:sz="4" w:space="0" w:color="BFBFBF" w:themeColor="background1" w:themeShade="BF"/>
            </w:tcBorders>
            <w:noWrap/>
          </w:tcPr>
          <w:p w:rsidR="00195BE7" w:rsidRPr="001E2F6E" w:rsidRDefault="00195BE7" w:rsidP="00195BE7">
            <w:pPr>
              <w:spacing w:line="240" w:lineRule="exact"/>
              <w:jc w:val="left"/>
              <w:rPr>
                <w:sz w:val="16"/>
                <w:szCs w:val="16"/>
                <w:lang w:val="eu-ES"/>
              </w:rPr>
            </w:pPr>
            <w:r w:rsidRPr="001E2F6E">
              <w:rPr>
                <w:rFonts w:ascii="Tahoma" w:hAnsi="Tahoma"/>
                <w:sz w:val="16"/>
                <w:szCs w:val="16"/>
                <w:lang w:val="eu-ES"/>
              </w:rPr>
              <w:t>Gainerako herrialdeak</w:t>
            </w:r>
          </w:p>
        </w:tc>
        <w:tc>
          <w:tcPr>
            <w:tcW w:w="871" w:type="pct"/>
            <w:tcBorders>
              <w:right w:val="single" w:sz="4" w:space="0" w:color="BFBFBF" w:themeColor="background1" w:themeShade="BF"/>
            </w:tcBorders>
            <w:vAlign w:val="bottom"/>
          </w:tcPr>
          <w:p w:rsidR="00195BE7" w:rsidRPr="001E2F6E" w:rsidRDefault="00195BE7" w:rsidP="00195BE7">
            <w:pPr>
              <w:spacing w:line="240" w:lineRule="exact"/>
              <w:ind w:right="170"/>
              <w:jc w:val="right"/>
              <w:rPr>
                <w:bCs/>
                <w:sz w:val="16"/>
                <w:szCs w:val="16"/>
              </w:rPr>
            </w:pPr>
            <w:r w:rsidRPr="001E2F6E">
              <w:rPr>
                <w:bCs/>
                <w:sz w:val="16"/>
                <w:szCs w:val="16"/>
              </w:rPr>
              <w:t>3,5</w:t>
            </w:r>
          </w:p>
        </w:tc>
        <w:tc>
          <w:tcPr>
            <w:tcW w:w="871" w:type="pct"/>
            <w:tcBorders>
              <w:left w:val="single" w:sz="4" w:space="0" w:color="BFBFBF" w:themeColor="background1" w:themeShade="BF"/>
              <w:right w:val="single" w:sz="4" w:space="0" w:color="BFBFBF" w:themeColor="background1" w:themeShade="BF"/>
            </w:tcBorders>
            <w:vAlign w:val="bottom"/>
          </w:tcPr>
          <w:p w:rsidR="00195BE7" w:rsidRPr="001E2F6E" w:rsidRDefault="00195BE7" w:rsidP="00195BE7">
            <w:pPr>
              <w:spacing w:line="240" w:lineRule="exact"/>
              <w:ind w:right="170"/>
              <w:jc w:val="right"/>
              <w:rPr>
                <w:sz w:val="16"/>
                <w:szCs w:val="16"/>
              </w:rPr>
            </w:pPr>
            <w:r w:rsidRPr="001E2F6E">
              <w:rPr>
                <w:sz w:val="16"/>
                <w:szCs w:val="16"/>
              </w:rPr>
              <w:t>4,3</w:t>
            </w:r>
          </w:p>
        </w:tc>
        <w:tc>
          <w:tcPr>
            <w:tcW w:w="871" w:type="pct"/>
            <w:tcBorders>
              <w:left w:val="single" w:sz="4" w:space="0" w:color="BFBFBF" w:themeColor="background1" w:themeShade="BF"/>
              <w:right w:val="single" w:sz="4" w:space="0" w:color="BFBFBF" w:themeColor="background1" w:themeShade="BF"/>
            </w:tcBorders>
            <w:vAlign w:val="bottom"/>
          </w:tcPr>
          <w:p w:rsidR="00195BE7" w:rsidRPr="001E2F6E" w:rsidRDefault="00195BE7" w:rsidP="00195BE7">
            <w:pPr>
              <w:spacing w:line="240" w:lineRule="exact"/>
              <w:ind w:right="170"/>
              <w:jc w:val="right"/>
              <w:rPr>
                <w:sz w:val="16"/>
                <w:szCs w:val="16"/>
              </w:rPr>
            </w:pPr>
            <w:r w:rsidRPr="001E2F6E">
              <w:rPr>
                <w:sz w:val="16"/>
                <w:szCs w:val="16"/>
              </w:rPr>
              <w:t>0,0</w:t>
            </w:r>
          </w:p>
        </w:tc>
        <w:tc>
          <w:tcPr>
            <w:tcW w:w="869" w:type="pct"/>
            <w:tcBorders>
              <w:left w:val="single" w:sz="4" w:space="0" w:color="BFBFBF" w:themeColor="background1" w:themeShade="BF"/>
            </w:tcBorders>
            <w:vAlign w:val="bottom"/>
          </w:tcPr>
          <w:p w:rsidR="00195BE7" w:rsidRPr="001E2F6E" w:rsidRDefault="00195BE7" w:rsidP="00195BE7">
            <w:pPr>
              <w:spacing w:line="240" w:lineRule="exact"/>
              <w:ind w:right="170"/>
              <w:jc w:val="right"/>
              <w:rPr>
                <w:sz w:val="16"/>
                <w:szCs w:val="16"/>
              </w:rPr>
            </w:pPr>
            <w:r w:rsidRPr="001E2F6E">
              <w:rPr>
                <w:sz w:val="16"/>
                <w:szCs w:val="16"/>
              </w:rPr>
              <w:t>0,0</w:t>
            </w:r>
          </w:p>
        </w:tc>
      </w:tr>
    </w:tbl>
    <w:p w:rsidR="00195BE7" w:rsidRPr="001E2F6E" w:rsidRDefault="00195BE7" w:rsidP="00195BE7"/>
    <w:p w:rsidR="00195BE7" w:rsidRPr="001E2F6E" w:rsidRDefault="00195BE7" w:rsidP="00195BE7"/>
    <w:p w:rsidR="00195BE7" w:rsidRPr="001E2F6E" w:rsidRDefault="00195BE7" w:rsidP="00195BE7">
      <w:pPr>
        <w:spacing w:line="240" w:lineRule="auto"/>
        <w:jc w:val="center"/>
        <w:rPr>
          <w:b/>
          <w:snapToGrid w:val="0"/>
          <w:color w:val="1F497D" w:themeColor="text2"/>
          <w:sz w:val="18"/>
          <w:szCs w:val="18"/>
          <w:lang w:val="es-ES_tradnl"/>
        </w:rPr>
      </w:pPr>
      <w:bookmarkStart w:id="326" w:name="_Toc391989204"/>
      <w:bookmarkStart w:id="327" w:name="_Toc392585853"/>
      <w:r w:rsidRPr="001E2F6E">
        <w:rPr>
          <w:b/>
          <w:snapToGrid w:val="0"/>
          <w:color w:val="1F497D" w:themeColor="text2"/>
          <w:sz w:val="18"/>
          <w:szCs w:val="18"/>
          <w:lang w:val="es-ES_tradnl"/>
        </w:rPr>
        <w:t>3.</w:t>
      </w:r>
      <w:r w:rsidR="00EB6BA6" w:rsidRPr="001E2F6E">
        <w:rPr>
          <w:b/>
          <w:snapToGrid w:val="0"/>
          <w:color w:val="1F497D" w:themeColor="text2"/>
          <w:sz w:val="18"/>
          <w:szCs w:val="18"/>
          <w:lang w:val="es-ES_tradnl"/>
        </w:rPr>
        <w:fldChar w:fldCharType="begin"/>
      </w:r>
      <w:r w:rsidRPr="001E2F6E">
        <w:rPr>
          <w:b/>
          <w:snapToGrid w:val="0"/>
          <w:color w:val="1F497D" w:themeColor="text2"/>
          <w:sz w:val="18"/>
          <w:szCs w:val="18"/>
          <w:lang w:val="es-ES_tradnl"/>
        </w:rPr>
        <w:instrText xml:space="preserve"> SEQ Gráfico_3. \* ARABIC </w:instrText>
      </w:r>
      <w:r w:rsidR="00EB6BA6" w:rsidRPr="001E2F6E">
        <w:rPr>
          <w:b/>
          <w:snapToGrid w:val="0"/>
          <w:color w:val="1F497D" w:themeColor="text2"/>
          <w:sz w:val="18"/>
          <w:szCs w:val="18"/>
          <w:lang w:val="es-ES_tradnl"/>
        </w:rPr>
        <w:fldChar w:fldCharType="separate"/>
      </w:r>
      <w:r w:rsidR="00A327D4">
        <w:rPr>
          <w:b/>
          <w:noProof/>
          <w:snapToGrid w:val="0"/>
          <w:color w:val="1F497D" w:themeColor="text2"/>
          <w:sz w:val="18"/>
          <w:szCs w:val="18"/>
          <w:lang w:val="es-ES_tradnl"/>
        </w:rPr>
        <w:t>10</w:t>
      </w:r>
      <w:r w:rsidR="00EB6BA6" w:rsidRPr="001E2F6E">
        <w:rPr>
          <w:b/>
          <w:snapToGrid w:val="0"/>
          <w:color w:val="1F497D" w:themeColor="text2"/>
          <w:sz w:val="18"/>
          <w:szCs w:val="18"/>
          <w:lang w:val="es-ES_tradnl"/>
        </w:rPr>
        <w:fldChar w:fldCharType="end"/>
      </w:r>
      <w:r w:rsidRPr="001E2F6E">
        <w:rPr>
          <w:b/>
          <w:snapToGrid w:val="0"/>
          <w:color w:val="1F497D" w:themeColor="text2"/>
          <w:sz w:val="18"/>
          <w:szCs w:val="18"/>
          <w:lang w:val="es-ES_tradnl"/>
        </w:rPr>
        <w:t xml:space="preserve"> Irudia ENPRESA-ELKARTEREN BATEKO KIDE DEN ENPRESEN EHUNEKOA, FORMA JURIDIKO ETA TAMAINAREN ARABERA 2012</w:t>
      </w:r>
      <w:bookmarkEnd w:id="326"/>
      <w:bookmarkEnd w:id="327"/>
    </w:p>
    <w:p w:rsidR="00195BE7" w:rsidRPr="001E2F6E" w:rsidRDefault="00195BE7" w:rsidP="00195BE7">
      <w:pPr>
        <w:pStyle w:val="Textoindependiente"/>
        <w:rPr>
          <w:rFonts w:ascii="Tahoma" w:hAnsi="Tahoma" w:cs="Arial"/>
          <w:b/>
          <w:i/>
          <w:sz w:val="16"/>
          <w:szCs w:val="16"/>
        </w:rPr>
      </w:pPr>
    </w:p>
    <w:p w:rsidR="00195BE7" w:rsidRPr="001E2F6E" w:rsidRDefault="00195BE7" w:rsidP="00195BE7">
      <w:pPr>
        <w:jc w:val="center"/>
      </w:pPr>
      <w:r w:rsidRPr="001E2F6E">
        <w:rPr>
          <w:noProof/>
          <w:lang w:eastAsia="es-ES"/>
        </w:rPr>
        <w:drawing>
          <wp:anchor distT="0" distB="0" distL="114300" distR="114300" simplePos="0" relativeHeight="251714560" behindDoc="0" locked="0" layoutInCell="1" allowOverlap="1" wp14:anchorId="246DD3CF" wp14:editId="24636E83">
            <wp:simplePos x="0" y="0"/>
            <wp:positionH relativeFrom="column">
              <wp:posOffset>2253615</wp:posOffset>
            </wp:positionH>
            <wp:positionV relativeFrom="paragraph">
              <wp:posOffset>228600</wp:posOffset>
            </wp:positionV>
            <wp:extent cx="4038600" cy="2028825"/>
            <wp:effectExtent l="0" t="0" r="0" b="0"/>
            <wp:wrapNone/>
            <wp:docPr id="13"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anchor>
        </w:drawing>
      </w:r>
      <w:r w:rsidRPr="001E2F6E">
        <w:rPr>
          <w:noProof/>
          <w:lang w:eastAsia="es-ES"/>
        </w:rPr>
        <w:drawing>
          <wp:anchor distT="0" distB="0" distL="114300" distR="114300" simplePos="0" relativeHeight="251713536" behindDoc="0" locked="0" layoutInCell="1" allowOverlap="1" wp14:anchorId="159367EA" wp14:editId="53064B0E">
            <wp:simplePos x="0" y="0"/>
            <wp:positionH relativeFrom="column">
              <wp:posOffset>-508635</wp:posOffset>
            </wp:positionH>
            <wp:positionV relativeFrom="paragraph">
              <wp:posOffset>142875</wp:posOffset>
            </wp:positionV>
            <wp:extent cx="2981325" cy="1809750"/>
            <wp:effectExtent l="0" t="0" r="0" b="0"/>
            <wp:wrapNone/>
            <wp:docPr id="14"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anchor>
        </w:drawing>
      </w:r>
    </w:p>
    <w:p w:rsidR="00195BE7" w:rsidRPr="001E2F6E" w:rsidRDefault="00195BE7" w:rsidP="00195BE7">
      <w:pPr>
        <w:jc w:val="center"/>
      </w:pPr>
    </w:p>
    <w:p w:rsidR="00195BE7" w:rsidRPr="001E2F6E" w:rsidRDefault="00195BE7" w:rsidP="00195BE7">
      <w:pPr>
        <w:jc w:val="center"/>
      </w:pPr>
    </w:p>
    <w:p w:rsidR="00195BE7" w:rsidRPr="001E2F6E" w:rsidRDefault="00195BE7" w:rsidP="00195BE7">
      <w:pPr>
        <w:pStyle w:val="Textoindependiente"/>
        <w:rPr>
          <w:rFonts w:ascii="Tahoma" w:hAnsi="Tahoma" w:cs="Arial"/>
          <w:b/>
          <w:i/>
          <w:sz w:val="16"/>
          <w:szCs w:val="16"/>
        </w:rPr>
      </w:pPr>
    </w:p>
    <w:p w:rsidR="00195BE7" w:rsidRPr="001E2F6E" w:rsidRDefault="00195BE7" w:rsidP="00195BE7">
      <w:pPr>
        <w:pStyle w:val="Textoindependiente"/>
        <w:rPr>
          <w:rFonts w:ascii="Tahoma" w:hAnsi="Tahoma" w:cs="Arial"/>
          <w:b/>
          <w:i/>
          <w:sz w:val="16"/>
          <w:szCs w:val="16"/>
        </w:rPr>
      </w:pPr>
    </w:p>
    <w:p w:rsidR="00195BE7" w:rsidRPr="001E2F6E" w:rsidRDefault="00195BE7" w:rsidP="00195BE7">
      <w:pPr>
        <w:pStyle w:val="Textoindependiente"/>
        <w:rPr>
          <w:rFonts w:ascii="Tahoma" w:hAnsi="Tahoma" w:cs="Arial"/>
          <w:b/>
          <w:i/>
          <w:sz w:val="16"/>
          <w:szCs w:val="16"/>
        </w:rPr>
      </w:pPr>
    </w:p>
    <w:p w:rsidR="00195BE7" w:rsidRPr="001E2F6E" w:rsidRDefault="00195BE7" w:rsidP="00195BE7">
      <w:pPr>
        <w:pStyle w:val="Textoindependiente"/>
        <w:rPr>
          <w:rFonts w:ascii="Tahoma" w:hAnsi="Tahoma" w:cs="Arial"/>
          <w:b/>
          <w:i/>
          <w:sz w:val="16"/>
          <w:szCs w:val="16"/>
        </w:rPr>
      </w:pPr>
    </w:p>
    <w:p w:rsidR="00195BE7" w:rsidRPr="001E2F6E" w:rsidRDefault="00195BE7" w:rsidP="00195BE7">
      <w:pPr>
        <w:pStyle w:val="Textoindependiente"/>
        <w:rPr>
          <w:rFonts w:ascii="Tahoma" w:hAnsi="Tahoma" w:cs="Arial"/>
          <w:b/>
          <w:i/>
          <w:sz w:val="16"/>
          <w:szCs w:val="16"/>
        </w:rPr>
      </w:pPr>
    </w:p>
    <w:p w:rsidR="00195BE7" w:rsidRPr="001E2F6E" w:rsidRDefault="00195BE7" w:rsidP="00195BE7">
      <w:pPr>
        <w:pStyle w:val="Textoindependiente"/>
        <w:rPr>
          <w:rFonts w:ascii="Tahoma" w:hAnsi="Tahoma" w:cs="Arial"/>
          <w:b/>
          <w:i/>
          <w:sz w:val="16"/>
          <w:szCs w:val="16"/>
        </w:rPr>
      </w:pPr>
    </w:p>
    <w:p w:rsidR="00195BE7" w:rsidRPr="001E2F6E" w:rsidRDefault="00195BE7" w:rsidP="00195BE7">
      <w:pPr>
        <w:spacing w:line="240" w:lineRule="auto"/>
        <w:rPr>
          <w:rFonts w:ascii="Tahoma" w:hAnsi="Tahoma"/>
          <w:b/>
          <w:i/>
          <w:sz w:val="16"/>
          <w:szCs w:val="16"/>
        </w:rPr>
      </w:pPr>
    </w:p>
    <w:p w:rsidR="00195BE7" w:rsidRPr="001E2F6E" w:rsidRDefault="00195BE7" w:rsidP="00195BE7">
      <w:pPr>
        <w:spacing w:line="240" w:lineRule="auto"/>
        <w:rPr>
          <w:rFonts w:ascii="Tahoma" w:hAnsi="Tahoma"/>
          <w:b/>
          <w:i/>
          <w:sz w:val="16"/>
          <w:szCs w:val="16"/>
        </w:rPr>
      </w:pPr>
    </w:p>
    <w:p w:rsidR="00195BE7" w:rsidRPr="001E2F6E" w:rsidRDefault="00195BE7" w:rsidP="00195BE7"/>
    <w:p w:rsidR="00195BE7" w:rsidRPr="001E2F6E" w:rsidRDefault="00195BE7" w:rsidP="00195BE7"/>
    <w:p w:rsidR="00195BE7" w:rsidRPr="001E2F6E" w:rsidRDefault="00195BE7" w:rsidP="00195BE7">
      <w:pPr>
        <w:spacing w:line="240" w:lineRule="auto"/>
        <w:jc w:val="left"/>
        <w:rPr>
          <w:b/>
          <w:snapToGrid w:val="0"/>
          <w:color w:val="1F497D" w:themeColor="text2"/>
          <w:sz w:val="18"/>
          <w:szCs w:val="18"/>
        </w:rPr>
      </w:pPr>
    </w:p>
    <w:p w:rsidR="00195BE7" w:rsidRPr="001E2F6E" w:rsidRDefault="00195BE7" w:rsidP="00195BE7">
      <w:pPr>
        <w:pStyle w:val="Textoindependiente"/>
        <w:rPr>
          <w:rFonts w:ascii="Tahoma" w:hAnsi="Tahoma" w:cs="Arial"/>
          <w:b/>
          <w:i/>
          <w:sz w:val="16"/>
          <w:szCs w:val="16"/>
        </w:rPr>
      </w:pPr>
    </w:p>
    <w:p w:rsidR="00195BE7" w:rsidRPr="001E2F6E" w:rsidRDefault="00195BE7" w:rsidP="00195BE7">
      <w:pPr>
        <w:spacing w:after="200" w:line="276" w:lineRule="auto"/>
        <w:jc w:val="left"/>
        <w:rPr>
          <w:rFonts w:eastAsia="Times New Roman" w:cs="Times New Roman"/>
          <w:b/>
          <w:snapToGrid w:val="0"/>
          <w:color w:val="1F497D" w:themeColor="text2"/>
          <w:sz w:val="28"/>
          <w:szCs w:val="28"/>
          <w:lang w:eastAsia="es-ES"/>
        </w:rPr>
      </w:pPr>
      <w:r w:rsidRPr="001E2F6E">
        <w:rPr>
          <w:color w:val="1F497D" w:themeColor="text2"/>
          <w:szCs w:val="28"/>
        </w:rPr>
        <w:br w:type="page"/>
      </w:r>
    </w:p>
    <w:p w:rsidR="00195BE7" w:rsidRPr="001E2F6E" w:rsidRDefault="00195BE7" w:rsidP="00195BE7">
      <w:pPr>
        <w:pStyle w:val="Ttulo1"/>
        <w:ind w:left="708" w:hanging="708"/>
        <w:rPr>
          <w:color w:val="1F497D" w:themeColor="text2"/>
        </w:rPr>
      </w:pPr>
      <w:bookmarkStart w:id="328" w:name="_Toc391989034"/>
      <w:bookmarkStart w:id="329" w:name="_Toc392585697"/>
      <w:r w:rsidRPr="001E2F6E">
        <w:rPr>
          <w:color w:val="1F497D" w:themeColor="text2"/>
        </w:rPr>
        <w:lastRenderedPageBreak/>
        <w:t xml:space="preserve">IV.- </w:t>
      </w:r>
      <w:r w:rsidRPr="001E2F6E">
        <w:rPr>
          <w:color w:val="1F497D" w:themeColor="text2"/>
        </w:rPr>
        <w:tab/>
        <w:t>GIZARTE EKONOMIAREN FORMA BERRIAK (GEFB)</w:t>
      </w:r>
      <w:bookmarkEnd w:id="328"/>
      <w:bookmarkEnd w:id="329"/>
    </w:p>
    <w:p w:rsidR="00195BE7" w:rsidRPr="001E2F6E" w:rsidRDefault="00195BE7" w:rsidP="00195BE7">
      <w:pPr>
        <w:rPr>
          <w:noProof/>
        </w:rPr>
      </w:pPr>
    </w:p>
    <w:p w:rsidR="00195BE7" w:rsidRPr="001E2F6E" w:rsidRDefault="00195BE7" w:rsidP="00195BE7">
      <w:pPr>
        <w:pStyle w:val="Ttulo1"/>
        <w:ind w:left="708" w:hanging="708"/>
        <w:rPr>
          <w:color w:val="1F497D" w:themeColor="text2"/>
          <w:sz w:val="26"/>
          <w:szCs w:val="26"/>
        </w:rPr>
      </w:pPr>
      <w:bookmarkStart w:id="330" w:name="_Toc391989035"/>
      <w:bookmarkStart w:id="331" w:name="_Toc392585698"/>
      <w:r w:rsidRPr="001E2F6E">
        <w:rPr>
          <w:color w:val="1F497D" w:themeColor="text2"/>
          <w:sz w:val="26"/>
          <w:szCs w:val="26"/>
        </w:rPr>
        <w:t xml:space="preserve">1.- </w:t>
      </w:r>
      <w:r w:rsidRPr="001E2F6E">
        <w:rPr>
          <w:color w:val="1F497D" w:themeColor="text2"/>
          <w:sz w:val="26"/>
          <w:szCs w:val="26"/>
        </w:rPr>
        <w:tab/>
        <w:t>FUNDAZIOAK ETA ELKARTEAK</w:t>
      </w:r>
      <w:bookmarkEnd w:id="330"/>
      <w:bookmarkEnd w:id="331"/>
    </w:p>
    <w:p w:rsidR="00195BE7" w:rsidRPr="001E2F6E" w:rsidRDefault="00195BE7" w:rsidP="00195BE7">
      <w:pPr>
        <w:rPr>
          <w:noProof/>
        </w:rPr>
      </w:pPr>
    </w:p>
    <w:p w:rsidR="00195BE7" w:rsidRPr="001E2F6E" w:rsidRDefault="00195BE7" w:rsidP="00195BE7">
      <w:pPr>
        <w:pStyle w:val="Ttulo1"/>
        <w:ind w:left="708" w:hanging="708"/>
        <w:rPr>
          <w:color w:val="1F497D" w:themeColor="text2"/>
          <w:sz w:val="22"/>
          <w:szCs w:val="22"/>
        </w:rPr>
      </w:pPr>
      <w:bookmarkStart w:id="332" w:name="_Toc391989036"/>
      <w:bookmarkStart w:id="333" w:name="_Toc392585699"/>
      <w:r w:rsidRPr="001E2F6E">
        <w:rPr>
          <w:color w:val="1F497D" w:themeColor="text2"/>
          <w:sz w:val="22"/>
          <w:szCs w:val="22"/>
        </w:rPr>
        <w:t xml:space="preserve">1.1.- </w:t>
      </w:r>
      <w:r w:rsidRPr="001E2F6E">
        <w:rPr>
          <w:color w:val="1F497D" w:themeColor="text2"/>
          <w:sz w:val="22"/>
          <w:szCs w:val="22"/>
        </w:rPr>
        <w:tab/>
      </w:r>
      <w:r w:rsidRPr="001E2F6E">
        <w:rPr>
          <w:color w:val="1F497D" w:themeColor="text2"/>
          <w:sz w:val="22"/>
          <w:szCs w:val="22"/>
          <w:lang w:val="eu-ES"/>
        </w:rPr>
        <w:t>ERAGILEEN KUANTIFIKAZIOA: FUNDAZIOAK ETA ELKARTEAK</w:t>
      </w:r>
      <w:bookmarkEnd w:id="332"/>
      <w:bookmarkEnd w:id="333"/>
    </w:p>
    <w:p w:rsidR="00195BE7" w:rsidRPr="001E2F6E" w:rsidRDefault="00195BE7" w:rsidP="00195BE7">
      <w:pPr>
        <w:rPr>
          <w:b/>
          <w:color w:val="000080"/>
          <w:sz w:val="16"/>
          <w:szCs w:val="16"/>
        </w:rPr>
      </w:pPr>
    </w:p>
    <w:p w:rsidR="00195BE7" w:rsidRPr="001E2F6E" w:rsidRDefault="00195BE7" w:rsidP="00195BE7">
      <w:pPr>
        <w:rPr>
          <w:lang w:val="eu-ES"/>
        </w:rPr>
      </w:pPr>
      <w:r w:rsidRPr="001E2F6E">
        <w:rPr>
          <w:lang w:val="eu-ES"/>
        </w:rPr>
        <w:t xml:space="preserve">EAE-an </w:t>
      </w:r>
      <w:r w:rsidRPr="00FC24CA">
        <w:rPr>
          <w:rFonts w:eastAsiaTheme="minorHAnsi"/>
          <w:b/>
          <w:color w:val="1F497D" w:themeColor="text2"/>
          <w:szCs w:val="22"/>
        </w:rPr>
        <w:t>615 Fundazio</w:t>
      </w:r>
      <w:r w:rsidRPr="00FC24CA">
        <w:t xml:space="preserve"> eta </w:t>
      </w:r>
      <w:r w:rsidRPr="00FC24CA">
        <w:rPr>
          <w:rFonts w:eastAsiaTheme="minorHAnsi"/>
          <w:b/>
          <w:color w:val="1F497D" w:themeColor="text2"/>
          <w:szCs w:val="22"/>
        </w:rPr>
        <w:t>Onura Publikoko 189 Elkarte</w:t>
      </w:r>
      <w:r w:rsidRPr="001E2F6E">
        <w:rPr>
          <w:b/>
          <w:lang w:val="eu-ES"/>
        </w:rPr>
        <w:t xml:space="preserve"> </w:t>
      </w:r>
      <w:r w:rsidRPr="001E2F6E">
        <w:rPr>
          <w:lang w:val="eu-ES"/>
        </w:rPr>
        <w:t>daude.</w:t>
      </w:r>
    </w:p>
    <w:p w:rsidR="00195BE7" w:rsidRPr="001E2F6E" w:rsidRDefault="00195BE7" w:rsidP="00195BE7">
      <w:pPr>
        <w:rPr>
          <w:b/>
          <w:color w:val="000080"/>
          <w:sz w:val="16"/>
          <w:szCs w:val="16"/>
        </w:rPr>
      </w:pPr>
    </w:p>
    <w:p w:rsidR="00195BE7" w:rsidRPr="001E2F6E" w:rsidRDefault="00195BE7" w:rsidP="00195BE7">
      <w:pPr>
        <w:spacing w:line="240" w:lineRule="auto"/>
        <w:jc w:val="center"/>
        <w:rPr>
          <w:b/>
          <w:noProof/>
          <w:color w:val="1F497D" w:themeColor="text2"/>
          <w:sz w:val="18"/>
          <w:szCs w:val="18"/>
        </w:rPr>
      </w:pPr>
      <w:bookmarkStart w:id="334" w:name="_Toc391989168"/>
      <w:bookmarkStart w:id="335" w:name="_Toc392585875"/>
      <w:r w:rsidRPr="001E2F6E">
        <w:rPr>
          <w:b/>
          <w:noProof/>
          <w:color w:val="1F497D" w:themeColor="text2"/>
          <w:sz w:val="18"/>
          <w:szCs w:val="18"/>
        </w:rPr>
        <w:t>4.</w:t>
      </w:r>
      <w:r w:rsidR="00EB6BA6" w:rsidRPr="001E2F6E">
        <w:rPr>
          <w:b/>
          <w:noProof/>
          <w:color w:val="1F497D" w:themeColor="text2"/>
          <w:sz w:val="18"/>
          <w:szCs w:val="18"/>
        </w:rPr>
        <w:fldChar w:fldCharType="begin"/>
      </w:r>
      <w:r w:rsidRPr="001E2F6E">
        <w:rPr>
          <w:b/>
          <w:noProof/>
          <w:color w:val="1F497D" w:themeColor="text2"/>
          <w:sz w:val="18"/>
          <w:szCs w:val="18"/>
        </w:rPr>
        <w:instrText xml:space="preserve"> SEQ Gráfico_4. \* ARABIC </w:instrText>
      </w:r>
      <w:r w:rsidR="00EB6BA6" w:rsidRPr="001E2F6E">
        <w:rPr>
          <w:b/>
          <w:noProof/>
          <w:color w:val="1F497D" w:themeColor="text2"/>
          <w:sz w:val="18"/>
          <w:szCs w:val="18"/>
        </w:rPr>
        <w:fldChar w:fldCharType="separate"/>
      </w:r>
      <w:r w:rsidR="00A327D4">
        <w:rPr>
          <w:b/>
          <w:noProof/>
          <w:color w:val="1F497D" w:themeColor="text2"/>
          <w:sz w:val="18"/>
          <w:szCs w:val="18"/>
        </w:rPr>
        <w:t>1</w:t>
      </w:r>
      <w:r w:rsidR="00EB6BA6" w:rsidRPr="001E2F6E">
        <w:rPr>
          <w:b/>
          <w:noProof/>
          <w:color w:val="1F497D" w:themeColor="text2"/>
          <w:sz w:val="18"/>
          <w:szCs w:val="18"/>
        </w:rPr>
        <w:fldChar w:fldCharType="end"/>
      </w:r>
      <w:r w:rsidRPr="001E2F6E">
        <w:rPr>
          <w:b/>
          <w:noProof/>
          <w:color w:val="1F497D" w:themeColor="text2"/>
          <w:sz w:val="18"/>
          <w:szCs w:val="18"/>
        </w:rPr>
        <w:t xml:space="preserve"> Irudia FUNDAZIO ETA ONURA PUBLIKOKO ELKARTEEN KOPURUA 2012 (zifra absolutuak)</w:t>
      </w:r>
      <w:bookmarkEnd w:id="334"/>
      <w:bookmarkEnd w:id="335"/>
    </w:p>
    <w:p w:rsidR="00195BE7" w:rsidRPr="001E2F6E" w:rsidRDefault="00195BE7" w:rsidP="00195BE7">
      <w:r w:rsidRPr="001E2F6E">
        <w:rPr>
          <w:noProof/>
          <w:lang w:eastAsia="es-ES"/>
        </w:rPr>
        <w:drawing>
          <wp:anchor distT="0" distB="0" distL="114300" distR="114300" simplePos="0" relativeHeight="251715584" behindDoc="0" locked="0" layoutInCell="1" allowOverlap="1" wp14:anchorId="337A4A21" wp14:editId="757A98FF">
            <wp:simplePos x="0" y="0"/>
            <wp:positionH relativeFrom="column">
              <wp:posOffset>778510</wp:posOffset>
            </wp:positionH>
            <wp:positionV relativeFrom="paragraph">
              <wp:posOffset>26670</wp:posOffset>
            </wp:positionV>
            <wp:extent cx="4152900" cy="1885950"/>
            <wp:effectExtent l="0" t="0" r="0" b="0"/>
            <wp:wrapNone/>
            <wp:docPr id="15" name="Objeto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anchor>
        </w:drawing>
      </w:r>
    </w:p>
    <w:p w:rsidR="00195BE7" w:rsidRPr="001E2F6E" w:rsidRDefault="00195BE7" w:rsidP="00195BE7"/>
    <w:p w:rsidR="00195BE7" w:rsidRPr="001E2F6E" w:rsidRDefault="00195BE7" w:rsidP="00195BE7"/>
    <w:p w:rsidR="00195BE7" w:rsidRPr="001E2F6E" w:rsidRDefault="00195BE7" w:rsidP="00195BE7"/>
    <w:p w:rsidR="00195BE7" w:rsidRPr="001E2F6E" w:rsidRDefault="00195BE7" w:rsidP="00195BE7"/>
    <w:p w:rsidR="00195BE7" w:rsidRPr="001E2F6E" w:rsidRDefault="00195BE7" w:rsidP="00195BE7"/>
    <w:p w:rsidR="00195BE7" w:rsidRPr="001E2F6E" w:rsidRDefault="00195BE7" w:rsidP="00195BE7"/>
    <w:p w:rsidR="00195BE7" w:rsidRPr="001E2F6E" w:rsidRDefault="00195BE7" w:rsidP="00195BE7"/>
    <w:p w:rsidR="00195BE7" w:rsidRPr="001E2F6E" w:rsidRDefault="00195BE7" w:rsidP="00195BE7"/>
    <w:p w:rsidR="00195BE7" w:rsidRPr="001E2F6E" w:rsidRDefault="00195BE7" w:rsidP="00195BE7">
      <w:pPr>
        <w:pStyle w:val="Ttulo6"/>
        <w:keepNext w:val="0"/>
        <w:widowControl w:val="0"/>
        <w:jc w:val="center"/>
        <w:rPr>
          <w:rFonts w:ascii="Arial" w:hAnsi="Arial" w:cs="Arial"/>
          <w:b w:val="0"/>
          <w:i/>
          <w:sz w:val="16"/>
          <w:lang w:val="eu-ES"/>
        </w:rPr>
      </w:pPr>
      <w:r w:rsidRPr="001E2F6E">
        <w:rPr>
          <w:rFonts w:ascii="Arial" w:hAnsi="Arial" w:cs="Arial"/>
          <w:b w:val="0"/>
          <w:i/>
          <w:sz w:val="16"/>
          <w:lang w:val="eu-ES"/>
        </w:rPr>
        <w:t>Iturria: Eusko Jaurlaritzako Herri-administrazio eta Justizia Saila</w:t>
      </w:r>
    </w:p>
    <w:p w:rsidR="00195BE7" w:rsidRPr="001E2F6E" w:rsidRDefault="00195BE7" w:rsidP="00195BE7"/>
    <w:p w:rsidR="00195BE7" w:rsidRPr="001E2F6E" w:rsidRDefault="00195BE7" w:rsidP="00195BE7"/>
    <w:p w:rsidR="00195BE7" w:rsidRPr="001E2F6E" w:rsidRDefault="00195BE7" w:rsidP="00195BE7">
      <w:pPr>
        <w:pStyle w:val="Ttulo1"/>
        <w:ind w:left="708" w:hanging="708"/>
        <w:rPr>
          <w:color w:val="1F497D" w:themeColor="text2"/>
          <w:sz w:val="22"/>
          <w:szCs w:val="22"/>
        </w:rPr>
      </w:pPr>
      <w:bookmarkStart w:id="336" w:name="_Toc391989037"/>
      <w:bookmarkStart w:id="337" w:name="_Toc392585700"/>
      <w:r w:rsidRPr="001E2F6E">
        <w:rPr>
          <w:color w:val="1F497D" w:themeColor="text2"/>
          <w:sz w:val="22"/>
          <w:szCs w:val="22"/>
        </w:rPr>
        <w:t xml:space="preserve">1.2.- </w:t>
      </w:r>
      <w:r w:rsidRPr="001E2F6E">
        <w:rPr>
          <w:color w:val="1F497D" w:themeColor="text2"/>
          <w:sz w:val="22"/>
          <w:szCs w:val="22"/>
          <w:lang w:val="eu-ES"/>
        </w:rPr>
        <w:t>ENPLEGUA FUNDAZIOETAN ETA ONURA PUBLIKOKO ELKARTEETAN</w:t>
      </w:r>
      <w:bookmarkEnd w:id="336"/>
      <w:bookmarkEnd w:id="337"/>
    </w:p>
    <w:p w:rsidR="00195BE7" w:rsidRPr="00FC24CA" w:rsidRDefault="00195BE7" w:rsidP="00195BE7">
      <w:pPr>
        <w:jc w:val="center"/>
        <w:rPr>
          <w:rFonts w:eastAsiaTheme="minorHAnsi"/>
          <w:b/>
          <w:color w:val="1F497D" w:themeColor="text2"/>
          <w:szCs w:val="22"/>
        </w:rPr>
      </w:pPr>
    </w:p>
    <w:p w:rsidR="00195BE7" w:rsidRPr="001E2F6E" w:rsidRDefault="00195BE7" w:rsidP="00195BE7">
      <w:pPr>
        <w:rPr>
          <w:lang w:val="eu-ES"/>
        </w:rPr>
      </w:pPr>
      <w:r w:rsidRPr="00FC24CA">
        <w:rPr>
          <w:rFonts w:eastAsiaTheme="minorHAnsi"/>
          <w:b/>
          <w:color w:val="1F497D" w:themeColor="text2"/>
          <w:szCs w:val="22"/>
        </w:rPr>
        <w:t>Fundazioetan</w:t>
      </w:r>
      <w:r w:rsidRPr="001E2F6E">
        <w:rPr>
          <w:lang w:val="eu-ES"/>
        </w:rPr>
        <w:t xml:space="preserve"> zenbatetsitako enplegua </w:t>
      </w:r>
      <w:r w:rsidRPr="00FC24CA">
        <w:rPr>
          <w:rFonts w:eastAsiaTheme="minorHAnsi"/>
          <w:b/>
          <w:color w:val="1F497D" w:themeColor="text2"/>
          <w:szCs w:val="22"/>
        </w:rPr>
        <w:t>12.315</w:t>
      </w:r>
      <w:r w:rsidRPr="001E2F6E">
        <w:rPr>
          <w:lang w:val="eu-ES"/>
        </w:rPr>
        <w:t xml:space="preserve"> langilekoa da, </w:t>
      </w:r>
      <w:r w:rsidRPr="00FC24CA">
        <w:rPr>
          <w:rFonts w:eastAsiaTheme="minorHAnsi"/>
          <w:b/>
          <w:color w:val="1F497D" w:themeColor="text2"/>
          <w:szCs w:val="22"/>
        </w:rPr>
        <w:t>Onura Publikoko Elkarteetan</w:t>
      </w:r>
      <w:r w:rsidRPr="001E2F6E">
        <w:rPr>
          <w:lang w:val="eu-ES"/>
        </w:rPr>
        <w:t xml:space="preserve"> berriz </w:t>
      </w:r>
      <w:r w:rsidRPr="00FC24CA">
        <w:rPr>
          <w:rFonts w:eastAsiaTheme="minorHAnsi"/>
          <w:b/>
          <w:color w:val="1F497D" w:themeColor="text2"/>
          <w:szCs w:val="22"/>
        </w:rPr>
        <w:t xml:space="preserve">3.075 lanpostu </w:t>
      </w:r>
      <w:r w:rsidRPr="001E2F6E">
        <w:rPr>
          <w:lang w:val="eu-ES"/>
        </w:rPr>
        <w:t>daude.</w:t>
      </w:r>
    </w:p>
    <w:p w:rsidR="00195BE7" w:rsidRPr="001E2F6E" w:rsidRDefault="00195BE7" w:rsidP="00195BE7"/>
    <w:p w:rsidR="00195BE7" w:rsidRPr="001E2F6E" w:rsidRDefault="00195BE7" w:rsidP="00195BE7">
      <w:pPr>
        <w:jc w:val="center"/>
        <w:rPr>
          <w:b/>
          <w:color w:val="1F497D" w:themeColor="text2"/>
          <w:sz w:val="18"/>
          <w:szCs w:val="18"/>
        </w:rPr>
      </w:pPr>
      <w:bookmarkStart w:id="338" w:name="_Toc391989169"/>
      <w:bookmarkStart w:id="339" w:name="_Toc392585876"/>
      <w:r w:rsidRPr="001E2F6E">
        <w:rPr>
          <w:b/>
          <w:noProof/>
          <w:color w:val="1F497D" w:themeColor="text2"/>
          <w:sz w:val="18"/>
          <w:szCs w:val="18"/>
        </w:rPr>
        <w:t>4.</w:t>
      </w:r>
      <w:r w:rsidR="00EB6BA6" w:rsidRPr="001E2F6E">
        <w:rPr>
          <w:b/>
          <w:noProof/>
          <w:color w:val="1F497D" w:themeColor="text2"/>
          <w:sz w:val="18"/>
          <w:szCs w:val="18"/>
        </w:rPr>
        <w:fldChar w:fldCharType="begin"/>
      </w:r>
      <w:r w:rsidRPr="001E2F6E">
        <w:rPr>
          <w:b/>
          <w:noProof/>
          <w:color w:val="1F497D" w:themeColor="text2"/>
          <w:sz w:val="18"/>
          <w:szCs w:val="18"/>
        </w:rPr>
        <w:instrText xml:space="preserve"> SEQ Gráfico_4. \* ARABIC </w:instrText>
      </w:r>
      <w:r w:rsidR="00EB6BA6" w:rsidRPr="001E2F6E">
        <w:rPr>
          <w:b/>
          <w:noProof/>
          <w:color w:val="1F497D" w:themeColor="text2"/>
          <w:sz w:val="18"/>
          <w:szCs w:val="18"/>
        </w:rPr>
        <w:fldChar w:fldCharType="separate"/>
      </w:r>
      <w:r w:rsidR="00A327D4">
        <w:rPr>
          <w:b/>
          <w:noProof/>
          <w:color w:val="1F497D" w:themeColor="text2"/>
          <w:sz w:val="18"/>
          <w:szCs w:val="18"/>
        </w:rPr>
        <w:t>2</w:t>
      </w:r>
      <w:r w:rsidR="00EB6BA6" w:rsidRPr="001E2F6E">
        <w:rPr>
          <w:b/>
          <w:noProof/>
          <w:color w:val="1F497D" w:themeColor="text2"/>
          <w:sz w:val="18"/>
          <w:szCs w:val="18"/>
        </w:rPr>
        <w:fldChar w:fldCharType="end"/>
      </w:r>
      <w:r w:rsidRPr="001E2F6E">
        <w:rPr>
          <w:b/>
          <w:noProof/>
          <w:color w:val="1F497D" w:themeColor="text2"/>
          <w:sz w:val="18"/>
          <w:szCs w:val="18"/>
        </w:rPr>
        <w:t xml:space="preserve"> Irudia </w:t>
      </w:r>
      <w:r w:rsidRPr="001E2F6E">
        <w:rPr>
          <w:b/>
          <w:color w:val="1F497D" w:themeColor="text2"/>
          <w:sz w:val="18"/>
          <w:szCs w:val="18"/>
        </w:rPr>
        <w:t>FUNDAZIOEN ETA ONURA PUBLIKOKO ELKARTEEN ENPLEGU-BANAKETA 2012 (</w:t>
      </w:r>
      <w:r w:rsidR="00462130" w:rsidRPr="001E2F6E">
        <w:rPr>
          <w:b/>
          <w:color w:val="1F497D" w:themeColor="text2"/>
          <w:sz w:val="18"/>
          <w:szCs w:val="18"/>
        </w:rPr>
        <w:t>zifra absolutuak</w:t>
      </w:r>
      <w:r w:rsidRPr="001E2F6E">
        <w:rPr>
          <w:b/>
          <w:color w:val="1F497D" w:themeColor="text2"/>
          <w:sz w:val="18"/>
          <w:szCs w:val="18"/>
        </w:rPr>
        <w:t>)</w:t>
      </w:r>
      <w:bookmarkEnd w:id="338"/>
      <w:bookmarkEnd w:id="339"/>
    </w:p>
    <w:p w:rsidR="00195BE7" w:rsidRPr="001E2F6E" w:rsidRDefault="00195BE7" w:rsidP="00195BE7">
      <w:pPr>
        <w:jc w:val="center"/>
        <w:rPr>
          <w:b/>
          <w:color w:val="1F497D" w:themeColor="text2"/>
          <w:sz w:val="18"/>
          <w:szCs w:val="18"/>
        </w:rPr>
      </w:pPr>
      <w:r w:rsidRPr="001E2F6E">
        <w:rPr>
          <w:b/>
          <w:noProof/>
          <w:color w:val="1F497D" w:themeColor="text2"/>
          <w:sz w:val="18"/>
          <w:szCs w:val="18"/>
          <w:lang w:eastAsia="es-ES"/>
        </w:rPr>
        <w:drawing>
          <wp:anchor distT="0" distB="0" distL="114300" distR="114300" simplePos="0" relativeHeight="251716608" behindDoc="0" locked="0" layoutInCell="1" allowOverlap="1" wp14:anchorId="7B4C53A3" wp14:editId="3A318EB9">
            <wp:simplePos x="0" y="0"/>
            <wp:positionH relativeFrom="column">
              <wp:posOffset>607060</wp:posOffset>
            </wp:positionH>
            <wp:positionV relativeFrom="paragraph">
              <wp:posOffset>184150</wp:posOffset>
            </wp:positionV>
            <wp:extent cx="4219575" cy="1924050"/>
            <wp:effectExtent l="0" t="0" r="0" b="0"/>
            <wp:wrapNone/>
            <wp:docPr id="16" name="Objeto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anchor>
        </w:drawing>
      </w:r>
    </w:p>
    <w:p w:rsidR="00195BE7" w:rsidRPr="001E2F6E" w:rsidRDefault="00195BE7" w:rsidP="00195BE7">
      <w:pPr>
        <w:jc w:val="center"/>
        <w:rPr>
          <w:b/>
          <w:color w:val="1F497D" w:themeColor="text2"/>
          <w:sz w:val="18"/>
          <w:szCs w:val="18"/>
        </w:rPr>
      </w:pPr>
    </w:p>
    <w:p w:rsidR="00195BE7" w:rsidRPr="001E2F6E" w:rsidRDefault="00195BE7" w:rsidP="00195BE7">
      <w:pPr>
        <w:jc w:val="center"/>
        <w:rPr>
          <w:b/>
          <w:color w:val="1F497D" w:themeColor="text2"/>
          <w:sz w:val="18"/>
          <w:szCs w:val="18"/>
        </w:rPr>
      </w:pPr>
    </w:p>
    <w:p w:rsidR="00195BE7" w:rsidRPr="001E2F6E" w:rsidRDefault="00195BE7" w:rsidP="00195BE7">
      <w:pPr>
        <w:jc w:val="center"/>
        <w:rPr>
          <w:b/>
          <w:color w:val="1F497D" w:themeColor="text2"/>
          <w:sz w:val="18"/>
          <w:szCs w:val="18"/>
        </w:rPr>
      </w:pPr>
    </w:p>
    <w:p w:rsidR="00195BE7" w:rsidRPr="001E2F6E" w:rsidRDefault="00195BE7" w:rsidP="00195BE7"/>
    <w:p w:rsidR="00195BE7" w:rsidRPr="001E2F6E" w:rsidRDefault="00195BE7" w:rsidP="00195BE7"/>
    <w:p w:rsidR="00195BE7" w:rsidRPr="001E2F6E" w:rsidRDefault="00195BE7" w:rsidP="00195BE7"/>
    <w:p w:rsidR="00195BE7" w:rsidRPr="001E2F6E" w:rsidRDefault="00195BE7" w:rsidP="00195BE7"/>
    <w:p w:rsidR="00195BE7" w:rsidRPr="001E2F6E" w:rsidRDefault="00195BE7" w:rsidP="00195BE7"/>
    <w:p w:rsidR="00195BE7" w:rsidRPr="001E2F6E" w:rsidRDefault="00195BE7" w:rsidP="00195BE7"/>
    <w:p w:rsidR="00195BE7" w:rsidRPr="001E2F6E" w:rsidRDefault="00195BE7" w:rsidP="00195BE7">
      <w:pPr>
        <w:pStyle w:val="Ttulo6"/>
        <w:keepNext w:val="0"/>
        <w:widowControl w:val="0"/>
        <w:jc w:val="center"/>
        <w:rPr>
          <w:rFonts w:ascii="Arial" w:hAnsi="Arial" w:cs="Arial"/>
          <w:b w:val="0"/>
          <w:i/>
          <w:sz w:val="16"/>
          <w:lang w:val="eu-ES"/>
        </w:rPr>
      </w:pPr>
      <w:r w:rsidRPr="001E2F6E">
        <w:rPr>
          <w:rFonts w:ascii="Arial" w:hAnsi="Arial" w:cs="Arial"/>
          <w:b w:val="0"/>
          <w:i/>
          <w:sz w:val="16"/>
          <w:lang w:val="eu-ES"/>
        </w:rPr>
        <w:t>Iturria: Eusko Jaurlaritzako Herri-administrazio eta Justizia Saila</w:t>
      </w:r>
    </w:p>
    <w:p w:rsidR="00195BE7" w:rsidRPr="001E2F6E" w:rsidRDefault="00195BE7" w:rsidP="00195BE7">
      <w:pPr>
        <w:pStyle w:val="Ttulo6"/>
        <w:keepNext w:val="0"/>
        <w:widowControl w:val="0"/>
        <w:jc w:val="center"/>
        <w:rPr>
          <w:rFonts w:ascii="Arial" w:hAnsi="Arial" w:cs="Arial"/>
          <w:b w:val="0"/>
          <w:i/>
          <w:sz w:val="16"/>
          <w:lang w:val="eu-ES"/>
        </w:rPr>
      </w:pPr>
    </w:p>
    <w:p w:rsidR="00195BE7" w:rsidRPr="001E2F6E" w:rsidRDefault="00195BE7" w:rsidP="00195BE7">
      <w:pPr>
        <w:spacing w:after="200" w:line="276" w:lineRule="auto"/>
        <w:jc w:val="left"/>
      </w:pPr>
      <w:r w:rsidRPr="001E2F6E">
        <w:br w:type="page"/>
      </w:r>
    </w:p>
    <w:p w:rsidR="00195BE7" w:rsidRPr="001E2F6E" w:rsidRDefault="00195BE7" w:rsidP="00195BE7">
      <w:pPr>
        <w:jc w:val="center"/>
      </w:pPr>
    </w:p>
    <w:p w:rsidR="00195BE7" w:rsidRPr="001E2F6E" w:rsidRDefault="00195BE7" w:rsidP="00195BE7">
      <w:pPr>
        <w:pStyle w:val="Ttulo1"/>
        <w:ind w:left="708" w:hanging="708"/>
        <w:rPr>
          <w:color w:val="1F497D" w:themeColor="text2"/>
          <w:sz w:val="22"/>
          <w:szCs w:val="22"/>
        </w:rPr>
      </w:pPr>
      <w:bookmarkStart w:id="340" w:name="_Toc391989038"/>
      <w:bookmarkStart w:id="341" w:name="_Toc392585701"/>
      <w:r w:rsidRPr="001E2F6E">
        <w:rPr>
          <w:color w:val="1F497D" w:themeColor="text2"/>
          <w:sz w:val="22"/>
          <w:szCs w:val="22"/>
        </w:rPr>
        <w:t xml:space="preserve">1.3.- </w:t>
      </w:r>
      <w:r w:rsidRPr="001E2F6E">
        <w:rPr>
          <w:color w:val="1F497D" w:themeColor="text2"/>
          <w:sz w:val="22"/>
          <w:szCs w:val="22"/>
        </w:rPr>
        <w:tab/>
        <w:t>MAGNITUDE EKONOMIKO NAGUSIAK: FUNDAZIOAK ETA ONURA PUBLIKOKO ELKARTEAK</w:t>
      </w:r>
      <w:bookmarkEnd w:id="340"/>
      <w:bookmarkEnd w:id="341"/>
    </w:p>
    <w:p w:rsidR="00195BE7" w:rsidRPr="001E2F6E" w:rsidRDefault="00195BE7" w:rsidP="00195BE7"/>
    <w:p w:rsidR="00195BE7" w:rsidRPr="001E2F6E" w:rsidRDefault="00195BE7" w:rsidP="00195BE7">
      <w:pPr>
        <w:pStyle w:val="Ttulo1"/>
        <w:ind w:left="708" w:hanging="708"/>
        <w:rPr>
          <w:color w:val="1F497D" w:themeColor="text2"/>
          <w:sz w:val="22"/>
          <w:szCs w:val="22"/>
        </w:rPr>
      </w:pPr>
      <w:bookmarkStart w:id="342" w:name="_Toc391565529"/>
      <w:bookmarkStart w:id="343" w:name="_Toc391989039"/>
      <w:bookmarkStart w:id="344" w:name="_Toc392585702"/>
      <w:r w:rsidRPr="001E2F6E">
        <w:rPr>
          <w:color w:val="1F497D" w:themeColor="text2"/>
          <w:sz w:val="22"/>
          <w:szCs w:val="22"/>
        </w:rPr>
        <w:t xml:space="preserve">1.3.1.- </w:t>
      </w:r>
      <w:r w:rsidRPr="001E2F6E">
        <w:rPr>
          <w:color w:val="1F497D" w:themeColor="text2"/>
          <w:sz w:val="22"/>
          <w:szCs w:val="22"/>
        </w:rPr>
        <w:tab/>
      </w:r>
      <w:bookmarkEnd w:id="342"/>
      <w:r w:rsidRPr="001E2F6E">
        <w:rPr>
          <w:color w:val="1F497D" w:themeColor="text2"/>
          <w:sz w:val="22"/>
          <w:szCs w:val="22"/>
        </w:rPr>
        <w:t>Fundazioen eta Onura Publikoko Elkarteen Diru-Sarrerak</w:t>
      </w:r>
      <w:bookmarkEnd w:id="343"/>
      <w:bookmarkEnd w:id="344"/>
    </w:p>
    <w:p w:rsidR="00195BE7" w:rsidRPr="001E2F6E" w:rsidRDefault="00195BE7" w:rsidP="00195BE7"/>
    <w:p w:rsidR="00195BE7" w:rsidRPr="001E2F6E" w:rsidRDefault="00195BE7" w:rsidP="00195BE7">
      <w:pPr>
        <w:pStyle w:val="Epgrafe"/>
        <w:jc w:val="center"/>
        <w:rPr>
          <w:rFonts w:ascii="Arial" w:eastAsiaTheme="minorHAnsi" w:hAnsi="Arial" w:cs="Arial"/>
          <w:bCs w:val="0"/>
          <w:color w:val="1F497D" w:themeColor="text2"/>
          <w:sz w:val="18"/>
          <w:szCs w:val="18"/>
          <w:lang w:eastAsia="en-US"/>
        </w:rPr>
      </w:pPr>
      <w:bookmarkStart w:id="345" w:name="_Toc391989174"/>
      <w:bookmarkStart w:id="346" w:name="_Toc392585854"/>
      <w:r w:rsidRPr="001E2F6E">
        <w:rPr>
          <w:rFonts w:ascii="Arial" w:eastAsiaTheme="minorHAnsi" w:hAnsi="Arial" w:cs="Arial"/>
          <w:bCs w:val="0"/>
          <w:color w:val="1F497D" w:themeColor="text2"/>
          <w:sz w:val="18"/>
          <w:szCs w:val="18"/>
          <w:lang w:eastAsia="en-US"/>
        </w:rPr>
        <w:t>4.</w:t>
      </w:r>
      <w:r w:rsidR="00EB6BA6" w:rsidRPr="001E2F6E">
        <w:rPr>
          <w:rFonts w:ascii="Arial" w:eastAsiaTheme="minorHAnsi" w:hAnsi="Arial" w:cs="Arial"/>
          <w:bCs w:val="0"/>
          <w:color w:val="1F497D" w:themeColor="text2"/>
          <w:sz w:val="18"/>
          <w:szCs w:val="18"/>
          <w:lang w:eastAsia="en-US"/>
        </w:rPr>
        <w:fldChar w:fldCharType="begin"/>
      </w:r>
      <w:r w:rsidRPr="001E2F6E">
        <w:rPr>
          <w:rFonts w:ascii="Arial" w:eastAsiaTheme="minorHAnsi" w:hAnsi="Arial" w:cs="Arial"/>
          <w:bCs w:val="0"/>
          <w:color w:val="1F497D" w:themeColor="text2"/>
          <w:sz w:val="18"/>
          <w:szCs w:val="18"/>
          <w:lang w:eastAsia="en-US"/>
        </w:rPr>
        <w:instrText xml:space="preserve"> SEQ Cuadro_4. \* ARABIC </w:instrText>
      </w:r>
      <w:r w:rsidR="00EB6BA6" w:rsidRPr="001E2F6E">
        <w:rPr>
          <w:rFonts w:ascii="Arial" w:eastAsiaTheme="minorHAnsi" w:hAnsi="Arial" w:cs="Arial"/>
          <w:bCs w:val="0"/>
          <w:color w:val="1F497D" w:themeColor="text2"/>
          <w:sz w:val="18"/>
          <w:szCs w:val="18"/>
          <w:lang w:eastAsia="en-US"/>
        </w:rPr>
        <w:fldChar w:fldCharType="separate"/>
      </w:r>
      <w:r w:rsidR="00A327D4">
        <w:rPr>
          <w:rFonts w:ascii="Arial" w:eastAsiaTheme="minorHAnsi" w:hAnsi="Arial" w:cs="Arial"/>
          <w:bCs w:val="0"/>
          <w:noProof/>
          <w:color w:val="1F497D" w:themeColor="text2"/>
          <w:sz w:val="18"/>
          <w:szCs w:val="18"/>
          <w:lang w:eastAsia="en-US"/>
        </w:rPr>
        <w:t>1</w:t>
      </w:r>
      <w:r w:rsidR="00EB6BA6" w:rsidRPr="001E2F6E">
        <w:rPr>
          <w:rFonts w:ascii="Arial" w:eastAsiaTheme="minorHAnsi" w:hAnsi="Arial" w:cs="Arial"/>
          <w:bCs w:val="0"/>
          <w:color w:val="1F497D" w:themeColor="text2"/>
          <w:sz w:val="18"/>
          <w:szCs w:val="18"/>
          <w:lang w:eastAsia="en-US"/>
        </w:rPr>
        <w:fldChar w:fldCharType="end"/>
      </w:r>
      <w:r w:rsidRPr="001E2F6E">
        <w:rPr>
          <w:rFonts w:ascii="Arial" w:eastAsiaTheme="minorHAnsi" w:hAnsi="Arial" w:cs="Arial"/>
          <w:bCs w:val="0"/>
          <w:color w:val="1F497D" w:themeColor="text2"/>
          <w:sz w:val="18"/>
          <w:szCs w:val="18"/>
          <w:lang w:eastAsia="en-US"/>
        </w:rPr>
        <w:t xml:space="preserve"> Taula </w:t>
      </w:r>
      <w:r w:rsidRPr="001E2F6E">
        <w:rPr>
          <w:rFonts w:ascii="Arial" w:hAnsi="Arial" w:cs="Arial"/>
          <w:color w:val="1F497D" w:themeColor="text2"/>
          <w:sz w:val="18"/>
          <w:szCs w:val="18"/>
        </w:rPr>
        <w:t>USTIAPEN- ETA FINANTZA-SARREREN BANAKETA FUNDAZIOETAN 2012 (</w:t>
      </w:r>
      <w:r w:rsidR="00462130" w:rsidRPr="001E2F6E">
        <w:rPr>
          <w:rFonts w:ascii="Arial" w:hAnsi="Arial" w:cs="Arial"/>
          <w:color w:val="1F497D" w:themeColor="text2"/>
          <w:sz w:val="18"/>
          <w:szCs w:val="18"/>
        </w:rPr>
        <w:t>zifra absolutuak</w:t>
      </w:r>
      <w:r w:rsidR="00462130" w:rsidRPr="001E2F6E">
        <w:rPr>
          <w:b w:val="0"/>
          <w:color w:val="1F497D" w:themeColor="text2"/>
          <w:sz w:val="18"/>
          <w:szCs w:val="18"/>
        </w:rPr>
        <w:t xml:space="preserve"> </w:t>
      </w:r>
      <w:r w:rsidRPr="001E2F6E">
        <w:rPr>
          <w:rFonts w:ascii="Arial" w:hAnsi="Arial" w:cs="Arial"/>
          <w:color w:val="1F497D" w:themeColor="text2"/>
          <w:sz w:val="18"/>
          <w:szCs w:val="18"/>
        </w:rPr>
        <w:t>eta % bertikalak)</w:t>
      </w:r>
      <w:bookmarkEnd w:id="345"/>
      <w:bookmarkEnd w:id="346"/>
    </w:p>
    <w:tbl>
      <w:tblPr>
        <w:tblW w:w="5000" w:type="pct"/>
        <w:jc w:val="center"/>
        <w:tblLook w:val="04A0" w:firstRow="1" w:lastRow="0" w:firstColumn="1" w:lastColumn="0" w:noHBand="0" w:noVBand="1"/>
      </w:tblPr>
      <w:tblGrid>
        <w:gridCol w:w="4695"/>
        <w:gridCol w:w="2370"/>
        <w:gridCol w:w="1939"/>
      </w:tblGrid>
      <w:tr w:rsidR="00195BE7" w:rsidRPr="001E2F6E" w:rsidTr="00195BE7">
        <w:trPr>
          <w:jc w:val="center"/>
        </w:trPr>
        <w:tc>
          <w:tcPr>
            <w:tcW w:w="2607" w:type="pct"/>
            <w:tcBorders>
              <w:top w:val="single" w:sz="4" w:space="0" w:color="BFBFBF" w:themeColor="background1" w:themeShade="BF"/>
              <w:right w:val="single" w:sz="4" w:space="0" w:color="BFBFBF" w:themeColor="background1" w:themeShade="BF"/>
            </w:tcBorders>
            <w:shd w:val="clear" w:color="auto" w:fill="DBE5F1" w:themeFill="accent1" w:themeFillTint="33"/>
            <w:hideMark/>
          </w:tcPr>
          <w:p w:rsidR="00195BE7" w:rsidRPr="001E2F6E" w:rsidRDefault="00195BE7" w:rsidP="00195BE7">
            <w:pPr>
              <w:spacing w:line="240" w:lineRule="exact"/>
              <w:rPr>
                <w:sz w:val="16"/>
                <w:szCs w:val="16"/>
              </w:rPr>
            </w:pPr>
          </w:p>
        </w:tc>
        <w:tc>
          <w:tcPr>
            <w:tcW w:w="2393" w:type="pct"/>
            <w:gridSpan w:val="2"/>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hideMark/>
          </w:tcPr>
          <w:p w:rsidR="00195BE7" w:rsidRPr="001E2F6E" w:rsidRDefault="00195BE7" w:rsidP="00195BE7">
            <w:pPr>
              <w:spacing w:line="240" w:lineRule="exact"/>
              <w:jc w:val="center"/>
              <w:rPr>
                <w:b/>
                <w:bCs/>
                <w:sz w:val="16"/>
                <w:szCs w:val="16"/>
              </w:rPr>
            </w:pPr>
            <w:r w:rsidRPr="001E2F6E">
              <w:rPr>
                <w:b/>
                <w:bCs/>
                <w:sz w:val="16"/>
                <w:szCs w:val="16"/>
              </w:rPr>
              <w:t>2012</w:t>
            </w:r>
          </w:p>
        </w:tc>
      </w:tr>
      <w:tr w:rsidR="00195BE7" w:rsidRPr="001E2F6E" w:rsidTr="00195BE7">
        <w:trPr>
          <w:jc w:val="center"/>
        </w:trPr>
        <w:tc>
          <w:tcPr>
            <w:tcW w:w="2607" w:type="pct"/>
            <w:tcBorders>
              <w:bottom w:val="single" w:sz="4" w:space="0" w:color="BFBFBF" w:themeColor="background1" w:themeShade="BF"/>
              <w:right w:val="single" w:sz="4" w:space="0" w:color="BFBFBF" w:themeColor="background1" w:themeShade="BF"/>
            </w:tcBorders>
            <w:shd w:val="clear" w:color="auto" w:fill="DBE5F1" w:themeFill="accent1" w:themeFillTint="33"/>
            <w:hideMark/>
          </w:tcPr>
          <w:p w:rsidR="00195BE7" w:rsidRPr="001E2F6E" w:rsidRDefault="00195BE7" w:rsidP="00195BE7">
            <w:pPr>
              <w:spacing w:line="240" w:lineRule="exact"/>
              <w:rPr>
                <w:sz w:val="16"/>
                <w:szCs w:val="16"/>
              </w:rPr>
            </w:pPr>
          </w:p>
        </w:tc>
        <w:tc>
          <w:tcPr>
            <w:tcW w:w="131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hideMark/>
          </w:tcPr>
          <w:p w:rsidR="00195BE7" w:rsidRPr="001E2F6E" w:rsidRDefault="00195BE7" w:rsidP="00195BE7">
            <w:pPr>
              <w:spacing w:line="240" w:lineRule="exact"/>
              <w:jc w:val="center"/>
              <w:rPr>
                <w:b/>
                <w:bCs/>
                <w:sz w:val="16"/>
                <w:szCs w:val="16"/>
              </w:rPr>
            </w:pPr>
            <w:r w:rsidRPr="001E2F6E">
              <w:rPr>
                <w:b/>
                <w:bCs/>
                <w:sz w:val="16"/>
                <w:szCs w:val="16"/>
              </w:rPr>
              <w:t>Euroak</w:t>
            </w:r>
          </w:p>
        </w:tc>
        <w:tc>
          <w:tcPr>
            <w:tcW w:w="1077"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hideMark/>
          </w:tcPr>
          <w:p w:rsidR="00195BE7" w:rsidRPr="001E2F6E" w:rsidRDefault="00195BE7" w:rsidP="00195BE7">
            <w:pPr>
              <w:spacing w:line="240" w:lineRule="exact"/>
              <w:jc w:val="center"/>
              <w:rPr>
                <w:b/>
                <w:bCs/>
                <w:sz w:val="16"/>
                <w:szCs w:val="16"/>
              </w:rPr>
            </w:pPr>
            <w:r w:rsidRPr="001E2F6E">
              <w:rPr>
                <w:b/>
                <w:bCs/>
                <w:sz w:val="16"/>
                <w:szCs w:val="16"/>
              </w:rPr>
              <w:t>%ber.</w:t>
            </w:r>
          </w:p>
        </w:tc>
      </w:tr>
      <w:tr w:rsidR="00195BE7" w:rsidRPr="001E2F6E" w:rsidTr="00195BE7">
        <w:trPr>
          <w:jc w:val="center"/>
        </w:trPr>
        <w:tc>
          <w:tcPr>
            <w:tcW w:w="2607" w:type="pct"/>
            <w:tcBorders>
              <w:top w:val="single" w:sz="4" w:space="0" w:color="BFBFBF" w:themeColor="background1" w:themeShade="BF"/>
              <w:right w:val="single" w:sz="4" w:space="0" w:color="BFBFBF" w:themeColor="background1" w:themeShade="BF"/>
            </w:tcBorders>
            <w:vAlign w:val="bottom"/>
            <w:hideMark/>
          </w:tcPr>
          <w:p w:rsidR="00195BE7" w:rsidRPr="001E2F6E" w:rsidRDefault="00195BE7" w:rsidP="00195BE7">
            <w:pPr>
              <w:spacing w:line="240" w:lineRule="exact"/>
              <w:rPr>
                <w:color w:val="000000"/>
                <w:sz w:val="16"/>
                <w:szCs w:val="16"/>
              </w:rPr>
            </w:pPr>
            <w:r w:rsidRPr="001E2F6E">
              <w:rPr>
                <w:color w:val="000000"/>
                <w:sz w:val="16"/>
                <w:szCs w:val="16"/>
              </w:rPr>
              <w:t>Salmentak</w:t>
            </w:r>
          </w:p>
        </w:tc>
        <w:tc>
          <w:tcPr>
            <w:tcW w:w="1316" w:type="pct"/>
            <w:tcBorders>
              <w:top w:val="single" w:sz="4" w:space="0" w:color="BFBFBF" w:themeColor="background1" w:themeShade="BF"/>
              <w:left w:val="single" w:sz="4" w:space="0" w:color="BFBFBF" w:themeColor="background1" w:themeShade="BF"/>
              <w:right w:val="single" w:sz="4" w:space="0" w:color="BFBFBF" w:themeColor="background1" w:themeShade="BF"/>
            </w:tcBorders>
            <w:noWrap/>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609.981.974</w:t>
            </w:r>
          </w:p>
        </w:tc>
        <w:tc>
          <w:tcPr>
            <w:tcW w:w="1077" w:type="pct"/>
            <w:tcBorders>
              <w:top w:val="single" w:sz="4" w:space="0" w:color="BFBFBF" w:themeColor="background1" w:themeShade="BF"/>
              <w:left w:val="single" w:sz="4" w:space="0" w:color="BFBFBF" w:themeColor="background1" w:themeShade="BF"/>
            </w:tcBorders>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74,2</w:t>
            </w:r>
          </w:p>
        </w:tc>
      </w:tr>
      <w:tr w:rsidR="00195BE7" w:rsidRPr="001E2F6E" w:rsidTr="00195BE7">
        <w:trPr>
          <w:jc w:val="center"/>
        </w:trPr>
        <w:tc>
          <w:tcPr>
            <w:tcW w:w="2607" w:type="pct"/>
            <w:tcBorders>
              <w:right w:val="single" w:sz="4" w:space="0" w:color="BFBFBF" w:themeColor="background1" w:themeShade="BF"/>
            </w:tcBorders>
            <w:noWrap/>
            <w:vAlign w:val="bottom"/>
            <w:hideMark/>
          </w:tcPr>
          <w:p w:rsidR="00195BE7" w:rsidRPr="001E2F6E" w:rsidRDefault="00195BE7" w:rsidP="00195BE7">
            <w:pPr>
              <w:spacing w:line="240" w:lineRule="exact"/>
              <w:rPr>
                <w:color w:val="000000"/>
                <w:sz w:val="16"/>
                <w:szCs w:val="16"/>
              </w:rPr>
            </w:pPr>
            <w:r w:rsidRPr="001E2F6E">
              <w:rPr>
                <w:color w:val="000000"/>
                <w:sz w:val="16"/>
                <w:szCs w:val="16"/>
                <w:lang w:val="eu-ES"/>
              </w:rPr>
              <w:t>Dirulaguntza, dohaintza eta legatuak</w:t>
            </w:r>
            <w:r w:rsidRPr="001E2F6E">
              <w:rPr>
                <w:color w:val="000000"/>
                <w:sz w:val="16"/>
                <w:szCs w:val="16"/>
              </w:rPr>
              <w:t xml:space="preserve"> </w:t>
            </w:r>
          </w:p>
        </w:tc>
        <w:tc>
          <w:tcPr>
            <w:tcW w:w="1316" w:type="pct"/>
            <w:tcBorders>
              <w:left w:val="single" w:sz="4" w:space="0" w:color="BFBFBF" w:themeColor="background1" w:themeShade="BF"/>
              <w:right w:val="single" w:sz="4" w:space="0" w:color="BFBFBF" w:themeColor="background1" w:themeShade="BF"/>
            </w:tcBorders>
            <w:noWrap/>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38.209.563</w:t>
            </w:r>
          </w:p>
        </w:tc>
        <w:tc>
          <w:tcPr>
            <w:tcW w:w="1077" w:type="pct"/>
            <w:tcBorders>
              <w:left w:val="single" w:sz="4" w:space="0" w:color="BFBFBF" w:themeColor="background1" w:themeShade="BF"/>
            </w:tcBorders>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4,6</w:t>
            </w:r>
          </w:p>
        </w:tc>
      </w:tr>
      <w:tr w:rsidR="00195BE7" w:rsidRPr="001E2F6E" w:rsidTr="00195BE7">
        <w:trPr>
          <w:jc w:val="center"/>
        </w:trPr>
        <w:tc>
          <w:tcPr>
            <w:tcW w:w="2607" w:type="pct"/>
            <w:tcBorders>
              <w:right w:val="single" w:sz="4" w:space="0" w:color="BFBFBF" w:themeColor="background1" w:themeShade="BF"/>
            </w:tcBorders>
            <w:vAlign w:val="bottom"/>
            <w:hideMark/>
          </w:tcPr>
          <w:p w:rsidR="00195BE7" w:rsidRPr="001E2F6E" w:rsidRDefault="00195BE7" w:rsidP="00195BE7">
            <w:pPr>
              <w:spacing w:line="240" w:lineRule="exact"/>
              <w:rPr>
                <w:color w:val="000000"/>
                <w:sz w:val="16"/>
                <w:szCs w:val="16"/>
              </w:rPr>
            </w:pPr>
            <w:r w:rsidRPr="001E2F6E">
              <w:rPr>
                <w:color w:val="000000"/>
                <w:sz w:val="16"/>
                <w:szCs w:val="16"/>
              </w:rPr>
              <w:t xml:space="preserve">Beste ustiapen-sarrera batzuk </w:t>
            </w:r>
          </w:p>
        </w:tc>
        <w:tc>
          <w:tcPr>
            <w:tcW w:w="1316" w:type="pct"/>
            <w:tcBorders>
              <w:left w:val="single" w:sz="4" w:space="0" w:color="BFBFBF" w:themeColor="background1" w:themeShade="BF"/>
              <w:right w:val="single" w:sz="4" w:space="0" w:color="BFBFBF" w:themeColor="background1" w:themeShade="BF"/>
            </w:tcBorders>
            <w:noWrap/>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151.739.260</w:t>
            </w:r>
          </w:p>
        </w:tc>
        <w:tc>
          <w:tcPr>
            <w:tcW w:w="1077" w:type="pct"/>
            <w:tcBorders>
              <w:left w:val="single" w:sz="4" w:space="0" w:color="BFBFBF" w:themeColor="background1" w:themeShade="BF"/>
            </w:tcBorders>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18,5</w:t>
            </w:r>
          </w:p>
        </w:tc>
      </w:tr>
      <w:tr w:rsidR="00195BE7" w:rsidRPr="001E2F6E" w:rsidTr="00195BE7">
        <w:trPr>
          <w:jc w:val="center"/>
        </w:trPr>
        <w:tc>
          <w:tcPr>
            <w:tcW w:w="2607" w:type="pct"/>
            <w:tcBorders>
              <w:bottom w:val="single" w:sz="4" w:space="0" w:color="BFBFBF" w:themeColor="background1" w:themeShade="BF"/>
              <w:right w:val="single" w:sz="4" w:space="0" w:color="BFBFBF" w:themeColor="background1" w:themeShade="BF"/>
            </w:tcBorders>
            <w:vAlign w:val="bottom"/>
            <w:hideMark/>
          </w:tcPr>
          <w:p w:rsidR="00195BE7" w:rsidRPr="001E2F6E" w:rsidRDefault="00195BE7" w:rsidP="00195BE7">
            <w:pPr>
              <w:spacing w:line="240" w:lineRule="exact"/>
              <w:rPr>
                <w:color w:val="000000"/>
                <w:sz w:val="16"/>
                <w:szCs w:val="16"/>
              </w:rPr>
            </w:pPr>
            <w:r w:rsidRPr="001E2F6E">
              <w:rPr>
                <w:color w:val="000000"/>
                <w:sz w:val="16"/>
                <w:szCs w:val="16"/>
              </w:rPr>
              <w:t xml:space="preserve">Finantza-sarrerak </w:t>
            </w:r>
          </w:p>
        </w:tc>
        <w:tc>
          <w:tcPr>
            <w:tcW w:w="1316" w:type="pct"/>
            <w:tcBorders>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22.315.317</w:t>
            </w:r>
          </w:p>
        </w:tc>
        <w:tc>
          <w:tcPr>
            <w:tcW w:w="1077" w:type="pct"/>
            <w:tcBorders>
              <w:left w:val="single" w:sz="4" w:space="0" w:color="BFBFBF" w:themeColor="background1" w:themeShade="BF"/>
              <w:bottom w:val="single" w:sz="4" w:space="0" w:color="BFBFBF" w:themeColor="background1" w:themeShade="BF"/>
            </w:tcBorders>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2,7</w:t>
            </w:r>
          </w:p>
        </w:tc>
      </w:tr>
      <w:tr w:rsidR="00195BE7" w:rsidRPr="001E2F6E" w:rsidTr="00195BE7">
        <w:trPr>
          <w:jc w:val="center"/>
        </w:trPr>
        <w:tc>
          <w:tcPr>
            <w:tcW w:w="2607" w:type="pct"/>
            <w:tcBorders>
              <w:top w:val="single" w:sz="4" w:space="0" w:color="BFBFBF" w:themeColor="background1" w:themeShade="BF"/>
              <w:bottom w:val="single" w:sz="4" w:space="0" w:color="BFBFBF" w:themeColor="background1" w:themeShade="BF"/>
              <w:right w:val="single" w:sz="4" w:space="0" w:color="BFBFBF" w:themeColor="background1" w:themeShade="BF"/>
            </w:tcBorders>
            <w:hideMark/>
          </w:tcPr>
          <w:p w:rsidR="00195BE7" w:rsidRPr="001E2F6E" w:rsidRDefault="00195BE7" w:rsidP="00195BE7">
            <w:pPr>
              <w:spacing w:line="240" w:lineRule="exact"/>
              <w:rPr>
                <w:b/>
                <w:bCs/>
                <w:color w:val="000000"/>
                <w:sz w:val="16"/>
                <w:szCs w:val="16"/>
              </w:rPr>
            </w:pPr>
            <w:r w:rsidRPr="001E2F6E">
              <w:rPr>
                <w:b/>
                <w:bCs/>
                <w:color w:val="000000"/>
                <w:sz w:val="16"/>
                <w:szCs w:val="16"/>
              </w:rPr>
              <w:t>GUZTIRA</w:t>
            </w:r>
          </w:p>
        </w:tc>
        <w:tc>
          <w:tcPr>
            <w:tcW w:w="131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195BE7" w:rsidRPr="001E2F6E" w:rsidRDefault="00195BE7" w:rsidP="00195BE7">
            <w:pPr>
              <w:spacing w:line="240" w:lineRule="exact"/>
              <w:ind w:right="170"/>
              <w:jc w:val="right"/>
              <w:rPr>
                <w:b/>
                <w:bCs/>
                <w:color w:val="000000"/>
                <w:sz w:val="16"/>
                <w:szCs w:val="16"/>
              </w:rPr>
            </w:pPr>
            <w:r w:rsidRPr="001E2F6E">
              <w:rPr>
                <w:b/>
                <w:bCs/>
                <w:color w:val="000000"/>
                <w:sz w:val="16"/>
                <w:szCs w:val="16"/>
              </w:rPr>
              <w:t>822.246.114</w:t>
            </w:r>
          </w:p>
        </w:tc>
        <w:tc>
          <w:tcPr>
            <w:tcW w:w="1077" w:type="pct"/>
            <w:tcBorders>
              <w:top w:val="single" w:sz="4" w:space="0" w:color="BFBFBF" w:themeColor="background1" w:themeShade="BF"/>
              <w:left w:val="single" w:sz="4" w:space="0" w:color="BFBFBF" w:themeColor="background1" w:themeShade="BF"/>
              <w:bottom w:val="single" w:sz="4" w:space="0" w:color="BFBFBF" w:themeColor="background1" w:themeShade="BF"/>
            </w:tcBorders>
            <w:hideMark/>
          </w:tcPr>
          <w:p w:rsidR="00195BE7" w:rsidRPr="001E2F6E" w:rsidRDefault="00195BE7" w:rsidP="00195BE7">
            <w:pPr>
              <w:spacing w:line="240" w:lineRule="exact"/>
              <w:ind w:right="170"/>
              <w:jc w:val="right"/>
              <w:rPr>
                <w:b/>
                <w:bCs/>
                <w:color w:val="000000"/>
                <w:sz w:val="16"/>
                <w:szCs w:val="16"/>
              </w:rPr>
            </w:pPr>
            <w:r w:rsidRPr="001E2F6E">
              <w:rPr>
                <w:b/>
                <w:bCs/>
                <w:color w:val="000000"/>
                <w:sz w:val="16"/>
                <w:szCs w:val="16"/>
              </w:rPr>
              <w:t>100,0</w:t>
            </w:r>
          </w:p>
        </w:tc>
      </w:tr>
    </w:tbl>
    <w:p w:rsidR="00195BE7" w:rsidRPr="001E2F6E" w:rsidRDefault="00195BE7" w:rsidP="00195BE7">
      <w:pPr>
        <w:pStyle w:val="Ttulo6"/>
        <w:keepNext w:val="0"/>
        <w:widowControl w:val="0"/>
        <w:jc w:val="center"/>
        <w:rPr>
          <w:rFonts w:ascii="Arial" w:hAnsi="Arial" w:cs="Arial"/>
          <w:b w:val="0"/>
          <w:i/>
          <w:sz w:val="16"/>
        </w:rPr>
      </w:pPr>
      <w:r w:rsidRPr="001E2F6E">
        <w:rPr>
          <w:rFonts w:ascii="Arial" w:hAnsi="Arial" w:cs="Arial"/>
          <w:b w:val="0"/>
          <w:i/>
          <w:sz w:val="16"/>
        </w:rPr>
        <w:t xml:space="preserve">Iturria: </w:t>
      </w:r>
      <w:r w:rsidRPr="001E2F6E">
        <w:rPr>
          <w:rFonts w:ascii="Arial" w:hAnsi="Arial" w:cs="Arial"/>
          <w:b w:val="0"/>
          <w:i/>
          <w:sz w:val="16"/>
          <w:lang w:val="eu-ES"/>
        </w:rPr>
        <w:t>Eusko Jaurlaritzako Herri-administrazio eta Justizia Sailaren datuak oinarri harturik egina</w:t>
      </w:r>
    </w:p>
    <w:p w:rsidR="00195BE7" w:rsidRPr="001E2F6E" w:rsidRDefault="00195BE7" w:rsidP="00195BE7"/>
    <w:p w:rsidR="00195BE7" w:rsidRPr="001E2F6E" w:rsidRDefault="00195BE7" w:rsidP="00195BE7">
      <w:pPr>
        <w:spacing w:line="240" w:lineRule="auto"/>
        <w:jc w:val="center"/>
        <w:rPr>
          <w:b/>
          <w:color w:val="1F497D" w:themeColor="text2"/>
          <w:sz w:val="18"/>
          <w:szCs w:val="18"/>
        </w:rPr>
      </w:pPr>
      <w:bookmarkStart w:id="347" w:name="_Toc392585855"/>
      <w:bookmarkStart w:id="348" w:name="_Toc391989175"/>
      <w:r w:rsidRPr="001E2F6E">
        <w:rPr>
          <w:b/>
          <w:bCs/>
          <w:color w:val="1F497D" w:themeColor="text2"/>
          <w:sz w:val="18"/>
          <w:szCs w:val="18"/>
        </w:rPr>
        <w:t>4.</w:t>
      </w:r>
      <w:r w:rsidR="00EB6BA6" w:rsidRPr="001E2F6E">
        <w:rPr>
          <w:b/>
          <w:bCs/>
          <w:color w:val="1F497D" w:themeColor="text2"/>
          <w:sz w:val="18"/>
          <w:szCs w:val="18"/>
        </w:rPr>
        <w:fldChar w:fldCharType="begin"/>
      </w:r>
      <w:r w:rsidRPr="001E2F6E">
        <w:rPr>
          <w:b/>
          <w:bCs/>
          <w:color w:val="1F497D" w:themeColor="text2"/>
          <w:sz w:val="18"/>
          <w:szCs w:val="18"/>
        </w:rPr>
        <w:instrText xml:space="preserve"> SEQ Cuadro_4. \* ARABIC </w:instrText>
      </w:r>
      <w:r w:rsidR="00EB6BA6" w:rsidRPr="001E2F6E">
        <w:rPr>
          <w:b/>
          <w:bCs/>
          <w:color w:val="1F497D" w:themeColor="text2"/>
          <w:sz w:val="18"/>
          <w:szCs w:val="18"/>
        </w:rPr>
        <w:fldChar w:fldCharType="separate"/>
      </w:r>
      <w:r w:rsidR="00A327D4">
        <w:rPr>
          <w:b/>
          <w:bCs/>
          <w:noProof/>
          <w:color w:val="1F497D" w:themeColor="text2"/>
          <w:sz w:val="18"/>
          <w:szCs w:val="18"/>
        </w:rPr>
        <w:t>2</w:t>
      </w:r>
      <w:r w:rsidR="00EB6BA6" w:rsidRPr="001E2F6E">
        <w:rPr>
          <w:b/>
          <w:bCs/>
          <w:color w:val="1F497D" w:themeColor="text2"/>
          <w:sz w:val="18"/>
          <w:szCs w:val="18"/>
        </w:rPr>
        <w:fldChar w:fldCharType="end"/>
      </w:r>
      <w:r w:rsidRPr="001E2F6E">
        <w:rPr>
          <w:b/>
          <w:bCs/>
          <w:color w:val="1F497D" w:themeColor="text2"/>
          <w:sz w:val="18"/>
          <w:szCs w:val="18"/>
        </w:rPr>
        <w:t xml:space="preserve"> Taula </w:t>
      </w:r>
      <w:r w:rsidRPr="001E2F6E">
        <w:rPr>
          <w:b/>
          <w:color w:val="1F497D" w:themeColor="text2"/>
          <w:sz w:val="18"/>
          <w:szCs w:val="18"/>
        </w:rPr>
        <w:t>USTIAPEN- ETA FINANTZA-SARREREN BANAKETA ELKARTEETAN 2012</w:t>
      </w:r>
      <w:bookmarkEnd w:id="347"/>
      <w:r w:rsidRPr="001E2F6E">
        <w:rPr>
          <w:b/>
          <w:color w:val="1F497D" w:themeColor="text2"/>
          <w:sz w:val="18"/>
          <w:szCs w:val="18"/>
        </w:rPr>
        <w:t xml:space="preserve"> </w:t>
      </w:r>
    </w:p>
    <w:p w:rsidR="00195BE7" w:rsidRPr="001E2F6E" w:rsidRDefault="00195BE7" w:rsidP="00195BE7">
      <w:pPr>
        <w:spacing w:line="240" w:lineRule="auto"/>
        <w:jc w:val="center"/>
        <w:rPr>
          <w:b/>
          <w:color w:val="1F497D" w:themeColor="text2"/>
          <w:sz w:val="18"/>
          <w:szCs w:val="18"/>
        </w:rPr>
      </w:pPr>
      <w:r w:rsidRPr="001E2F6E">
        <w:rPr>
          <w:b/>
          <w:color w:val="1F497D" w:themeColor="text2"/>
          <w:sz w:val="18"/>
          <w:szCs w:val="18"/>
        </w:rPr>
        <w:t>(</w:t>
      </w:r>
      <w:r w:rsidR="00462130" w:rsidRPr="001E2F6E">
        <w:rPr>
          <w:b/>
          <w:color w:val="1F497D" w:themeColor="text2"/>
          <w:sz w:val="18"/>
          <w:szCs w:val="18"/>
        </w:rPr>
        <w:t xml:space="preserve">zifra absolutuak </w:t>
      </w:r>
      <w:r w:rsidRPr="001E2F6E">
        <w:rPr>
          <w:b/>
          <w:color w:val="1F497D" w:themeColor="text2"/>
          <w:sz w:val="18"/>
          <w:szCs w:val="18"/>
        </w:rPr>
        <w:t>eta % bertikalak)</w:t>
      </w:r>
      <w:bookmarkEnd w:id="348"/>
    </w:p>
    <w:tbl>
      <w:tblPr>
        <w:tblW w:w="5000" w:type="pct"/>
        <w:jc w:val="center"/>
        <w:tblLook w:val="04A0" w:firstRow="1" w:lastRow="0" w:firstColumn="1" w:lastColumn="0" w:noHBand="0" w:noVBand="1"/>
      </w:tblPr>
      <w:tblGrid>
        <w:gridCol w:w="4824"/>
        <w:gridCol w:w="2300"/>
        <w:gridCol w:w="1880"/>
      </w:tblGrid>
      <w:tr w:rsidR="00195BE7" w:rsidRPr="001E2F6E" w:rsidTr="00195BE7">
        <w:trPr>
          <w:jc w:val="center"/>
        </w:trPr>
        <w:tc>
          <w:tcPr>
            <w:tcW w:w="2679" w:type="pct"/>
            <w:tcBorders>
              <w:top w:val="single" w:sz="4" w:space="0" w:color="BFBFBF" w:themeColor="background1" w:themeShade="BF"/>
              <w:right w:val="single" w:sz="4" w:space="0" w:color="BFBFBF" w:themeColor="background1" w:themeShade="BF"/>
            </w:tcBorders>
            <w:shd w:val="clear" w:color="auto" w:fill="DBE5F1" w:themeFill="accent1" w:themeFillTint="33"/>
            <w:hideMark/>
          </w:tcPr>
          <w:p w:rsidR="00195BE7" w:rsidRPr="001E2F6E" w:rsidRDefault="00195BE7" w:rsidP="00195BE7">
            <w:pPr>
              <w:spacing w:line="240" w:lineRule="exact"/>
              <w:rPr>
                <w:sz w:val="16"/>
                <w:szCs w:val="16"/>
              </w:rPr>
            </w:pPr>
          </w:p>
        </w:tc>
        <w:tc>
          <w:tcPr>
            <w:tcW w:w="2321" w:type="pct"/>
            <w:gridSpan w:val="2"/>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hideMark/>
          </w:tcPr>
          <w:p w:rsidR="00195BE7" w:rsidRPr="001E2F6E" w:rsidRDefault="00195BE7" w:rsidP="00195BE7">
            <w:pPr>
              <w:spacing w:line="240" w:lineRule="exact"/>
              <w:jc w:val="center"/>
              <w:rPr>
                <w:b/>
                <w:bCs/>
                <w:sz w:val="16"/>
                <w:szCs w:val="16"/>
              </w:rPr>
            </w:pPr>
            <w:r w:rsidRPr="001E2F6E">
              <w:rPr>
                <w:b/>
                <w:bCs/>
                <w:sz w:val="16"/>
                <w:szCs w:val="16"/>
              </w:rPr>
              <w:t>2012</w:t>
            </w:r>
          </w:p>
        </w:tc>
      </w:tr>
      <w:tr w:rsidR="00195BE7" w:rsidRPr="001E2F6E" w:rsidTr="00195BE7">
        <w:trPr>
          <w:jc w:val="center"/>
        </w:trPr>
        <w:tc>
          <w:tcPr>
            <w:tcW w:w="2679" w:type="pct"/>
            <w:tcBorders>
              <w:bottom w:val="single" w:sz="4" w:space="0" w:color="BFBFBF" w:themeColor="background1" w:themeShade="BF"/>
              <w:right w:val="single" w:sz="4" w:space="0" w:color="BFBFBF" w:themeColor="background1" w:themeShade="BF"/>
            </w:tcBorders>
            <w:shd w:val="clear" w:color="auto" w:fill="DBE5F1" w:themeFill="accent1" w:themeFillTint="33"/>
            <w:hideMark/>
          </w:tcPr>
          <w:p w:rsidR="00195BE7" w:rsidRPr="001E2F6E" w:rsidRDefault="00195BE7" w:rsidP="00195BE7">
            <w:pPr>
              <w:spacing w:line="240" w:lineRule="exact"/>
              <w:rPr>
                <w:sz w:val="16"/>
                <w:szCs w:val="16"/>
              </w:rPr>
            </w:pPr>
          </w:p>
        </w:tc>
        <w:tc>
          <w:tcPr>
            <w:tcW w:w="127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hideMark/>
          </w:tcPr>
          <w:p w:rsidR="00195BE7" w:rsidRPr="001E2F6E" w:rsidRDefault="00195BE7" w:rsidP="00195BE7">
            <w:pPr>
              <w:spacing w:line="240" w:lineRule="exact"/>
              <w:jc w:val="center"/>
              <w:rPr>
                <w:b/>
                <w:bCs/>
                <w:sz w:val="16"/>
                <w:szCs w:val="16"/>
              </w:rPr>
            </w:pPr>
            <w:r w:rsidRPr="001E2F6E">
              <w:rPr>
                <w:b/>
                <w:bCs/>
                <w:sz w:val="16"/>
                <w:szCs w:val="16"/>
              </w:rPr>
              <w:t>Euroak</w:t>
            </w:r>
          </w:p>
        </w:tc>
        <w:tc>
          <w:tcPr>
            <w:tcW w:w="1044"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hideMark/>
          </w:tcPr>
          <w:p w:rsidR="00195BE7" w:rsidRPr="001E2F6E" w:rsidRDefault="00195BE7" w:rsidP="00195BE7">
            <w:pPr>
              <w:spacing w:line="240" w:lineRule="exact"/>
              <w:jc w:val="center"/>
              <w:rPr>
                <w:b/>
                <w:bCs/>
                <w:sz w:val="16"/>
                <w:szCs w:val="16"/>
              </w:rPr>
            </w:pPr>
            <w:r w:rsidRPr="001E2F6E">
              <w:rPr>
                <w:b/>
                <w:bCs/>
                <w:sz w:val="16"/>
                <w:szCs w:val="16"/>
              </w:rPr>
              <w:t>%ber.</w:t>
            </w:r>
          </w:p>
        </w:tc>
      </w:tr>
      <w:tr w:rsidR="00195BE7" w:rsidRPr="001E2F6E" w:rsidTr="00195BE7">
        <w:trPr>
          <w:jc w:val="center"/>
        </w:trPr>
        <w:tc>
          <w:tcPr>
            <w:tcW w:w="2679" w:type="pct"/>
            <w:tcBorders>
              <w:top w:val="single" w:sz="4" w:space="0" w:color="BFBFBF" w:themeColor="background1" w:themeShade="BF"/>
              <w:right w:val="single" w:sz="4" w:space="0" w:color="BFBFBF" w:themeColor="background1" w:themeShade="BF"/>
            </w:tcBorders>
            <w:vAlign w:val="bottom"/>
            <w:hideMark/>
          </w:tcPr>
          <w:p w:rsidR="00195BE7" w:rsidRPr="001E2F6E" w:rsidRDefault="00195BE7" w:rsidP="00195BE7">
            <w:pPr>
              <w:spacing w:line="240" w:lineRule="exact"/>
              <w:rPr>
                <w:color w:val="000000"/>
                <w:sz w:val="16"/>
                <w:szCs w:val="16"/>
              </w:rPr>
            </w:pPr>
            <w:r w:rsidRPr="001E2F6E">
              <w:rPr>
                <w:color w:val="000000"/>
                <w:sz w:val="16"/>
                <w:szCs w:val="16"/>
              </w:rPr>
              <w:t>Salmentak</w:t>
            </w:r>
          </w:p>
        </w:tc>
        <w:tc>
          <w:tcPr>
            <w:tcW w:w="1277" w:type="pct"/>
            <w:tcBorders>
              <w:top w:val="single" w:sz="4" w:space="0" w:color="BFBFBF" w:themeColor="background1" w:themeShade="BF"/>
              <w:left w:val="single" w:sz="4" w:space="0" w:color="BFBFBF" w:themeColor="background1" w:themeShade="BF"/>
              <w:right w:val="single" w:sz="4" w:space="0" w:color="BFBFBF" w:themeColor="background1" w:themeShade="BF"/>
            </w:tcBorders>
            <w:noWrap/>
            <w:vAlign w:val="bottom"/>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171.161.456</w:t>
            </w:r>
          </w:p>
        </w:tc>
        <w:tc>
          <w:tcPr>
            <w:tcW w:w="1044" w:type="pct"/>
            <w:tcBorders>
              <w:top w:val="single" w:sz="4" w:space="0" w:color="BFBFBF" w:themeColor="background1" w:themeShade="BF"/>
              <w:left w:val="single" w:sz="4" w:space="0" w:color="BFBFBF" w:themeColor="background1" w:themeShade="BF"/>
            </w:tcBorders>
            <w:vAlign w:val="bottom"/>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81,8</w:t>
            </w:r>
          </w:p>
        </w:tc>
      </w:tr>
      <w:tr w:rsidR="00195BE7" w:rsidRPr="001E2F6E" w:rsidTr="00195BE7">
        <w:trPr>
          <w:jc w:val="center"/>
        </w:trPr>
        <w:tc>
          <w:tcPr>
            <w:tcW w:w="2679" w:type="pct"/>
            <w:tcBorders>
              <w:right w:val="single" w:sz="4" w:space="0" w:color="BFBFBF" w:themeColor="background1" w:themeShade="BF"/>
            </w:tcBorders>
            <w:noWrap/>
            <w:vAlign w:val="bottom"/>
            <w:hideMark/>
          </w:tcPr>
          <w:p w:rsidR="00195BE7" w:rsidRPr="001E2F6E" w:rsidRDefault="00195BE7" w:rsidP="00195BE7">
            <w:pPr>
              <w:spacing w:line="240" w:lineRule="exact"/>
              <w:rPr>
                <w:color w:val="000000"/>
                <w:sz w:val="16"/>
                <w:szCs w:val="16"/>
              </w:rPr>
            </w:pPr>
            <w:r w:rsidRPr="001E2F6E">
              <w:rPr>
                <w:color w:val="000000"/>
                <w:sz w:val="16"/>
                <w:szCs w:val="16"/>
                <w:lang w:val="eu-ES"/>
              </w:rPr>
              <w:t>Dirulaguntza, dohaintza eta legatuak</w:t>
            </w:r>
            <w:r w:rsidRPr="001E2F6E">
              <w:rPr>
                <w:color w:val="000000"/>
                <w:sz w:val="16"/>
                <w:szCs w:val="16"/>
              </w:rPr>
              <w:t xml:space="preserve"> </w:t>
            </w:r>
          </w:p>
        </w:tc>
        <w:tc>
          <w:tcPr>
            <w:tcW w:w="1277" w:type="pct"/>
            <w:tcBorders>
              <w:left w:val="single" w:sz="4" w:space="0" w:color="BFBFBF" w:themeColor="background1" w:themeShade="BF"/>
              <w:right w:val="single" w:sz="4" w:space="0" w:color="BFBFBF" w:themeColor="background1" w:themeShade="BF"/>
            </w:tcBorders>
            <w:noWrap/>
            <w:vAlign w:val="bottom"/>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4.418.835</w:t>
            </w:r>
          </w:p>
        </w:tc>
        <w:tc>
          <w:tcPr>
            <w:tcW w:w="1044" w:type="pct"/>
            <w:tcBorders>
              <w:left w:val="single" w:sz="4" w:space="0" w:color="BFBFBF" w:themeColor="background1" w:themeShade="BF"/>
            </w:tcBorders>
            <w:vAlign w:val="bottom"/>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2,1</w:t>
            </w:r>
          </w:p>
        </w:tc>
      </w:tr>
      <w:tr w:rsidR="00195BE7" w:rsidRPr="001E2F6E" w:rsidTr="00195BE7">
        <w:trPr>
          <w:jc w:val="center"/>
        </w:trPr>
        <w:tc>
          <w:tcPr>
            <w:tcW w:w="2679" w:type="pct"/>
            <w:tcBorders>
              <w:right w:val="single" w:sz="4" w:space="0" w:color="BFBFBF" w:themeColor="background1" w:themeShade="BF"/>
            </w:tcBorders>
            <w:vAlign w:val="bottom"/>
            <w:hideMark/>
          </w:tcPr>
          <w:p w:rsidR="00195BE7" w:rsidRPr="001E2F6E" w:rsidRDefault="00195BE7" w:rsidP="00195BE7">
            <w:pPr>
              <w:spacing w:line="240" w:lineRule="exact"/>
              <w:rPr>
                <w:color w:val="000000"/>
                <w:sz w:val="16"/>
                <w:szCs w:val="16"/>
              </w:rPr>
            </w:pPr>
            <w:r w:rsidRPr="001E2F6E">
              <w:rPr>
                <w:color w:val="000000"/>
                <w:sz w:val="16"/>
                <w:szCs w:val="16"/>
              </w:rPr>
              <w:t xml:space="preserve">Beste ustiapen-sarrera batzuk </w:t>
            </w:r>
          </w:p>
        </w:tc>
        <w:tc>
          <w:tcPr>
            <w:tcW w:w="1277" w:type="pct"/>
            <w:tcBorders>
              <w:left w:val="single" w:sz="4" w:space="0" w:color="BFBFBF" w:themeColor="background1" w:themeShade="BF"/>
              <w:right w:val="single" w:sz="4" w:space="0" w:color="BFBFBF" w:themeColor="background1" w:themeShade="BF"/>
            </w:tcBorders>
            <w:noWrap/>
            <w:vAlign w:val="bottom"/>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32.198.849</w:t>
            </w:r>
          </w:p>
        </w:tc>
        <w:tc>
          <w:tcPr>
            <w:tcW w:w="1044" w:type="pct"/>
            <w:tcBorders>
              <w:left w:val="single" w:sz="4" w:space="0" w:color="BFBFBF" w:themeColor="background1" w:themeShade="BF"/>
            </w:tcBorders>
            <w:vAlign w:val="bottom"/>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15,4</w:t>
            </w:r>
          </w:p>
        </w:tc>
      </w:tr>
      <w:tr w:rsidR="00195BE7" w:rsidRPr="001E2F6E" w:rsidTr="00195BE7">
        <w:trPr>
          <w:jc w:val="center"/>
        </w:trPr>
        <w:tc>
          <w:tcPr>
            <w:tcW w:w="2679" w:type="pct"/>
            <w:tcBorders>
              <w:bottom w:val="single" w:sz="4" w:space="0" w:color="BFBFBF" w:themeColor="background1" w:themeShade="BF"/>
              <w:right w:val="single" w:sz="4" w:space="0" w:color="BFBFBF" w:themeColor="background1" w:themeShade="BF"/>
            </w:tcBorders>
            <w:vAlign w:val="bottom"/>
            <w:hideMark/>
          </w:tcPr>
          <w:p w:rsidR="00195BE7" w:rsidRPr="001E2F6E" w:rsidRDefault="00195BE7" w:rsidP="00195BE7">
            <w:pPr>
              <w:spacing w:line="240" w:lineRule="exact"/>
              <w:rPr>
                <w:color w:val="000000"/>
                <w:sz w:val="16"/>
                <w:szCs w:val="16"/>
              </w:rPr>
            </w:pPr>
            <w:r w:rsidRPr="001E2F6E">
              <w:rPr>
                <w:color w:val="000000"/>
                <w:sz w:val="16"/>
                <w:szCs w:val="16"/>
              </w:rPr>
              <w:t xml:space="preserve">Finantza-sarrerak </w:t>
            </w:r>
          </w:p>
        </w:tc>
        <w:tc>
          <w:tcPr>
            <w:tcW w:w="1277" w:type="pct"/>
            <w:tcBorders>
              <w:left w:val="single" w:sz="4" w:space="0" w:color="BFBFBF" w:themeColor="background1" w:themeShade="BF"/>
              <w:bottom w:val="single" w:sz="4" w:space="0" w:color="BFBFBF" w:themeColor="background1" w:themeShade="BF"/>
              <w:right w:val="single" w:sz="4" w:space="0" w:color="BFBFBF" w:themeColor="background1" w:themeShade="BF"/>
            </w:tcBorders>
            <w:noWrap/>
            <w:vAlign w:val="bottom"/>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1.538.868</w:t>
            </w:r>
          </w:p>
        </w:tc>
        <w:tc>
          <w:tcPr>
            <w:tcW w:w="1044" w:type="pct"/>
            <w:tcBorders>
              <w:left w:val="single" w:sz="4" w:space="0" w:color="BFBFBF" w:themeColor="background1" w:themeShade="BF"/>
              <w:bottom w:val="single" w:sz="4" w:space="0" w:color="BFBFBF" w:themeColor="background1" w:themeShade="BF"/>
            </w:tcBorders>
            <w:vAlign w:val="bottom"/>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0,7</w:t>
            </w:r>
          </w:p>
        </w:tc>
      </w:tr>
      <w:tr w:rsidR="00195BE7" w:rsidRPr="001E2F6E" w:rsidTr="00195BE7">
        <w:trPr>
          <w:jc w:val="center"/>
        </w:trPr>
        <w:tc>
          <w:tcPr>
            <w:tcW w:w="2679" w:type="pct"/>
            <w:tcBorders>
              <w:top w:val="single" w:sz="4" w:space="0" w:color="BFBFBF" w:themeColor="background1" w:themeShade="BF"/>
              <w:bottom w:val="single" w:sz="4" w:space="0" w:color="BFBFBF" w:themeColor="background1" w:themeShade="BF"/>
              <w:right w:val="single" w:sz="4" w:space="0" w:color="BFBFBF" w:themeColor="background1" w:themeShade="BF"/>
            </w:tcBorders>
            <w:hideMark/>
          </w:tcPr>
          <w:p w:rsidR="00195BE7" w:rsidRPr="001E2F6E" w:rsidRDefault="00195BE7" w:rsidP="00195BE7">
            <w:pPr>
              <w:spacing w:line="240" w:lineRule="exact"/>
              <w:rPr>
                <w:b/>
                <w:bCs/>
                <w:color w:val="000000"/>
                <w:sz w:val="16"/>
                <w:szCs w:val="16"/>
              </w:rPr>
            </w:pPr>
            <w:r w:rsidRPr="001E2F6E">
              <w:rPr>
                <w:b/>
                <w:bCs/>
                <w:color w:val="000000"/>
                <w:sz w:val="16"/>
                <w:szCs w:val="16"/>
              </w:rPr>
              <w:t>GUZTIRA</w:t>
            </w:r>
          </w:p>
        </w:tc>
        <w:tc>
          <w:tcPr>
            <w:tcW w:w="127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bottom"/>
            <w:hideMark/>
          </w:tcPr>
          <w:p w:rsidR="00195BE7" w:rsidRPr="001E2F6E" w:rsidRDefault="00195BE7" w:rsidP="00195BE7">
            <w:pPr>
              <w:spacing w:line="240" w:lineRule="exact"/>
              <w:ind w:right="170"/>
              <w:jc w:val="right"/>
              <w:rPr>
                <w:b/>
                <w:bCs/>
                <w:color w:val="000000"/>
                <w:sz w:val="16"/>
                <w:szCs w:val="16"/>
              </w:rPr>
            </w:pPr>
            <w:r w:rsidRPr="001E2F6E">
              <w:rPr>
                <w:b/>
                <w:bCs/>
                <w:color w:val="000000"/>
                <w:sz w:val="16"/>
                <w:szCs w:val="16"/>
              </w:rPr>
              <w:t>209.318.008</w:t>
            </w:r>
          </w:p>
        </w:tc>
        <w:tc>
          <w:tcPr>
            <w:tcW w:w="1044" w:type="pct"/>
            <w:tcBorders>
              <w:top w:val="single" w:sz="4" w:space="0" w:color="BFBFBF" w:themeColor="background1" w:themeShade="BF"/>
              <w:left w:val="single" w:sz="4" w:space="0" w:color="BFBFBF" w:themeColor="background1" w:themeShade="BF"/>
              <w:bottom w:val="single" w:sz="4" w:space="0" w:color="BFBFBF" w:themeColor="background1" w:themeShade="BF"/>
            </w:tcBorders>
            <w:vAlign w:val="bottom"/>
            <w:hideMark/>
          </w:tcPr>
          <w:p w:rsidR="00195BE7" w:rsidRPr="001E2F6E" w:rsidRDefault="00195BE7" w:rsidP="00195BE7">
            <w:pPr>
              <w:spacing w:line="240" w:lineRule="exact"/>
              <w:ind w:right="170"/>
              <w:jc w:val="right"/>
              <w:rPr>
                <w:b/>
                <w:bCs/>
                <w:color w:val="000000"/>
                <w:sz w:val="16"/>
                <w:szCs w:val="16"/>
              </w:rPr>
            </w:pPr>
            <w:r w:rsidRPr="001E2F6E">
              <w:rPr>
                <w:b/>
                <w:bCs/>
                <w:color w:val="000000"/>
                <w:sz w:val="16"/>
                <w:szCs w:val="16"/>
              </w:rPr>
              <w:t>100,0</w:t>
            </w:r>
          </w:p>
        </w:tc>
      </w:tr>
    </w:tbl>
    <w:p w:rsidR="00195BE7" w:rsidRPr="001E2F6E" w:rsidRDefault="00195BE7" w:rsidP="00195BE7">
      <w:pPr>
        <w:pStyle w:val="Ttulo6"/>
        <w:keepNext w:val="0"/>
        <w:widowControl w:val="0"/>
        <w:jc w:val="center"/>
        <w:rPr>
          <w:rFonts w:ascii="Arial" w:hAnsi="Arial" w:cs="Arial"/>
          <w:b w:val="0"/>
          <w:i/>
          <w:sz w:val="16"/>
        </w:rPr>
      </w:pPr>
      <w:r w:rsidRPr="001E2F6E">
        <w:rPr>
          <w:rFonts w:ascii="Arial" w:hAnsi="Arial" w:cs="Arial"/>
          <w:b w:val="0"/>
          <w:i/>
          <w:sz w:val="16"/>
        </w:rPr>
        <w:t xml:space="preserve">Iturria: </w:t>
      </w:r>
      <w:r w:rsidRPr="001E2F6E">
        <w:rPr>
          <w:rFonts w:ascii="Arial" w:hAnsi="Arial" w:cs="Arial"/>
          <w:b w:val="0"/>
          <w:i/>
          <w:sz w:val="16"/>
          <w:lang w:val="eu-ES"/>
        </w:rPr>
        <w:t>Eusko Jaurlaritzako Herri-administrazio eta Justizia Sailaren datuak oinarri harturik egina</w:t>
      </w:r>
    </w:p>
    <w:p w:rsidR="00195BE7" w:rsidRPr="001E2F6E" w:rsidRDefault="00195BE7" w:rsidP="00195BE7">
      <w:pPr>
        <w:jc w:val="left"/>
      </w:pPr>
    </w:p>
    <w:p w:rsidR="00195BE7" w:rsidRPr="001E2F6E" w:rsidRDefault="00195BE7" w:rsidP="00195BE7">
      <w:pPr>
        <w:pStyle w:val="Ttulo1"/>
        <w:ind w:left="708" w:hanging="708"/>
        <w:rPr>
          <w:color w:val="1F497D" w:themeColor="text2"/>
          <w:sz w:val="22"/>
          <w:szCs w:val="22"/>
        </w:rPr>
      </w:pPr>
      <w:bookmarkStart w:id="349" w:name="_Toc391565530"/>
      <w:bookmarkStart w:id="350" w:name="_Toc391989040"/>
      <w:bookmarkStart w:id="351" w:name="_Toc392585703"/>
      <w:r w:rsidRPr="001E2F6E">
        <w:rPr>
          <w:color w:val="1F497D" w:themeColor="text2"/>
          <w:sz w:val="22"/>
          <w:szCs w:val="22"/>
        </w:rPr>
        <w:t xml:space="preserve">1.3.2.- </w:t>
      </w:r>
      <w:r w:rsidRPr="001E2F6E">
        <w:rPr>
          <w:color w:val="1F497D" w:themeColor="text2"/>
          <w:sz w:val="22"/>
          <w:szCs w:val="22"/>
        </w:rPr>
        <w:tab/>
      </w:r>
      <w:bookmarkEnd w:id="349"/>
      <w:r w:rsidRPr="001E2F6E">
        <w:rPr>
          <w:color w:val="1F497D" w:themeColor="text2"/>
          <w:sz w:val="22"/>
          <w:szCs w:val="22"/>
        </w:rPr>
        <w:t>Fundazioen eta Onura Publikoko Elkarteen BEGd-a</w:t>
      </w:r>
      <w:bookmarkEnd w:id="350"/>
      <w:bookmarkEnd w:id="351"/>
    </w:p>
    <w:p w:rsidR="00195BE7" w:rsidRPr="001E2F6E" w:rsidRDefault="00195BE7" w:rsidP="00195BE7"/>
    <w:p w:rsidR="00195BE7" w:rsidRPr="001E2F6E" w:rsidRDefault="00195BE7" w:rsidP="00195BE7"/>
    <w:p w:rsidR="00195BE7" w:rsidRPr="001E2F6E" w:rsidRDefault="00195BE7" w:rsidP="00195BE7">
      <w:pPr>
        <w:spacing w:line="240" w:lineRule="auto"/>
        <w:jc w:val="center"/>
        <w:rPr>
          <w:b/>
          <w:color w:val="1F497D" w:themeColor="text2"/>
          <w:sz w:val="18"/>
          <w:szCs w:val="18"/>
        </w:rPr>
      </w:pPr>
      <w:bookmarkStart w:id="352" w:name="_Toc391989176"/>
      <w:bookmarkStart w:id="353" w:name="_Toc392585856"/>
      <w:r w:rsidRPr="001E2F6E">
        <w:rPr>
          <w:b/>
          <w:bCs/>
          <w:color w:val="1F497D" w:themeColor="text2"/>
          <w:sz w:val="18"/>
          <w:szCs w:val="18"/>
        </w:rPr>
        <w:t>4.</w:t>
      </w:r>
      <w:r w:rsidR="00EB6BA6" w:rsidRPr="001E2F6E">
        <w:rPr>
          <w:b/>
          <w:bCs/>
          <w:color w:val="1F497D" w:themeColor="text2"/>
          <w:sz w:val="18"/>
          <w:szCs w:val="18"/>
        </w:rPr>
        <w:fldChar w:fldCharType="begin"/>
      </w:r>
      <w:r w:rsidRPr="001E2F6E">
        <w:rPr>
          <w:b/>
          <w:bCs/>
          <w:color w:val="1F497D" w:themeColor="text2"/>
          <w:sz w:val="18"/>
          <w:szCs w:val="18"/>
        </w:rPr>
        <w:instrText xml:space="preserve"> SEQ Cuadro_4. \* ARABIC </w:instrText>
      </w:r>
      <w:r w:rsidR="00EB6BA6" w:rsidRPr="001E2F6E">
        <w:rPr>
          <w:b/>
          <w:bCs/>
          <w:color w:val="1F497D" w:themeColor="text2"/>
          <w:sz w:val="18"/>
          <w:szCs w:val="18"/>
        </w:rPr>
        <w:fldChar w:fldCharType="separate"/>
      </w:r>
      <w:r w:rsidR="00A327D4">
        <w:rPr>
          <w:b/>
          <w:bCs/>
          <w:noProof/>
          <w:color w:val="1F497D" w:themeColor="text2"/>
          <w:sz w:val="18"/>
          <w:szCs w:val="18"/>
        </w:rPr>
        <w:t>3</w:t>
      </w:r>
      <w:r w:rsidR="00EB6BA6" w:rsidRPr="001E2F6E">
        <w:rPr>
          <w:b/>
          <w:bCs/>
          <w:color w:val="1F497D" w:themeColor="text2"/>
          <w:sz w:val="18"/>
          <w:szCs w:val="18"/>
        </w:rPr>
        <w:fldChar w:fldCharType="end"/>
      </w:r>
      <w:r w:rsidRPr="001E2F6E">
        <w:rPr>
          <w:b/>
          <w:bCs/>
          <w:color w:val="1F497D" w:themeColor="text2"/>
          <w:sz w:val="18"/>
          <w:szCs w:val="18"/>
        </w:rPr>
        <w:t xml:space="preserve"> Taula FUNDAZIO ETA ONURA PUBLIKOKO ELKARTEEN BEGd-aren BANAKETA</w:t>
      </w:r>
      <w:r w:rsidRPr="001E2F6E">
        <w:rPr>
          <w:b/>
          <w:color w:val="1F497D" w:themeColor="text2"/>
          <w:sz w:val="18"/>
          <w:szCs w:val="18"/>
        </w:rPr>
        <w:t xml:space="preserve"> 2012 (zifra absolutuak eta % bertikalak)</w:t>
      </w:r>
      <w:bookmarkEnd w:id="352"/>
      <w:bookmarkEnd w:id="353"/>
    </w:p>
    <w:tbl>
      <w:tblPr>
        <w:tblW w:w="5000" w:type="pct"/>
        <w:tblLook w:val="04A0" w:firstRow="1" w:lastRow="0" w:firstColumn="1" w:lastColumn="0" w:noHBand="0" w:noVBand="1"/>
      </w:tblPr>
      <w:tblGrid>
        <w:gridCol w:w="2758"/>
        <w:gridCol w:w="1276"/>
        <w:gridCol w:w="830"/>
        <w:gridCol w:w="1277"/>
        <w:gridCol w:w="787"/>
        <w:gridCol w:w="1289"/>
        <w:gridCol w:w="787"/>
      </w:tblGrid>
      <w:tr w:rsidR="00195BE7" w:rsidRPr="001E2F6E" w:rsidTr="00195BE7">
        <w:tc>
          <w:tcPr>
            <w:tcW w:w="1532" w:type="pct"/>
            <w:tcBorders>
              <w:top w:val="single" w:sz="4" w:space="0" w:color="BFBFBF" w:themeColor="background1" w:themeShade="BF"/>
              <w:right w:val="single" w:sz="4" w:space="0" w:color="BFBFBF" w:themeColor="background1" w:themeShade="BF"/>
            </w:tcBorders>
            <w:shd w:val="clear" w:color="auto" w:fill="DBE5F1" w:themeFill="accent1" w:themeFillTint="33"/>
            <w:hideMark/>
          </w:tcPr>
          <w:p w:rsidR="00195BE7" w:rsidRPr="001E2F6E" w:rsidRDefault="00195BE7" w:rsidP="00195BE7">
            <w:pPr>
              <w:spacing w:line="240" w:lineRule="exact"/>
              <w:rPr>
                <w:sz w:val="16"/>
                <w:szCs w:val="16"/>
              </w:rPr>
            </w:pPr>
          </w:p>
        </w:tc>
        <w:tc>
          <w:tcPr>
            <w:tcW w:w="1169"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hideMark/>
          </w:tcPr>
          <w:p w:rsidR="00195BE7" w:rsidRPr="001E2F6E" w:rsidRDefault="00195BE7" w:rsidP="00195BE7">
            <w:pPr>
              <w:spacing w:line="240" w:lineRule="exact"/>
              <w:jc w:val="center"/>
              <w:rPr>
                <w:b/>
                <w:bCs/>
                <w:sz w:val="16"/>
                <w:szCs w:val="16"/>
              </w:rPr>
            </w:pPr>
            <w:r w:rsidRPr="001E2F6E">
              <w:rPr>
                <w:b/>
                <w:bCs/>
                <w:sz w:val="16"/>
                <w:szCs w:val="16"/>
              </w:rPr>
              <w:t>Fundazioak</w:t>
            </w:r>
          </w:p>
        </w:tc>
        <w:tc>
          <w:tcPr>
            <w:tcW w:w="1146"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hideMark/>
          </w:tcPr>
          <w:p w:rsidR="00195BE7" w:rsidRPr="001E2F6E" w:rsidRDefault="00195BE7" w:rsidP="00195BE7">
            <w:pPr>
              <w:spacing w:line="240" w:lineRule="exact"/>
              <w:jc w:val="center"/>
              <w:rPr>
                <w:b/>
                <w:bCs/>
                <w:sz w:val="16"/>
                <w:szCs w:val="16"/>
              </w:rPr>
            </w:pPr>
            <w:r w:rsidRPr="001E2F6E">
              <w:rPr>
                <w:b/>
                <w:bCs/>
                <w:sz w:val="16"/>
                <w:szCs w:val="16"/>
              </w:rPr>
              <w:t>Elkarteak</w:t>
            </w:r>
          </w:p>
        </w:tc>
        <w:tc>
          <w:tcPr>
            <w:tcW w:w="1153" w:type="pct"/>
            <w:gridSpan w:val="2"/>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hideMark/>
          </w:tcPr>
          <w:p w:rsidR="00195BE7" w:rsidRPr="001E2F6E" w:rsidRDefault="00195BE7" w:rsidP="00195BE7">
            <w:pPr>
              <w:spacing w:line="240" w:lineRule="exact"/>
              <w:jc w:val="center"/>
              <w:rPr>
                <w:b/>
                <w:bCs/>
                <w:sz w:val="16"/>
                <w:szCs w:val="16"/>
              </w:rPr>
            </w:pPr>
            <w:r w:rsidRPr="001E2F6E">
              <w:rPr>
                <w:b/>
                <w:bCs/>
                <w:sz w:val="16"/>
                <w:szCs w:val="16"/>
              </w:rPr>
              <w:t>Guztira</w:t>
            </w:r>
          </w:p>
        </w:tc>
      </w:tr>
      <w:tr w:rsidR="00195BE7" w:rsidRPr="001E2F6E" w:rsidTr="00195BE7">
        <w:tc>
          <w:tcPr>
            <w:tcW w:w="1532" w:type="pct"/>
            <w:tcBorders>
              <w:bottom w:val="single" w:sz="4" w:space="0" w:color="BFBFBF" w:themeColor="background1" w:themeShade="BF"/>
              <w:right w:val="single" w:sz="4" w:space="0" w:color="BFBFBF" w:themeColor="background1" w:themeShade="BF"/>
            </w:tcBorders>
            <w:shd w:val="clear" w:color="auto" w:fill="DBE5F1" w:themeFill="accent1" w:themeFillTint="33"/>
            <w:hideMark/>
          </w:tcPr>
          <w:p w:rsidR="00195BE7" w:rsidRPr="001E2F6E" w:rsidRDefault="00195BE7" w:rsidP="00195BE7">
            <w:pPr>
              <w:spacing w:line="240" w:lineRule="exact"/>
              <w:rPr>
                <w:sz w:val="16"/>
                <w:szCs w:val="16"/>
              </w:rPr>
            </w:pPr>
          </w:p>
        </w:tc>
        <w:tc>
          <w:tcPr>
            <w:tcW w:w="709"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hideMark/>
          </w:tcPr>
          <w:p w:rsidR="00195BE7" w:rsidRPr="001E2F6E" w:rsidRDefault="00195BE7" w:rsidP="00195BE7">
            <w:pPr>
              <w:spacing w:line="240" w:lineRule="exact"/>
              <w:jc w:val="center"/>
              <w:rPr>
                <w:b/>
                <w:bCs/>
                <w:sz w:val="16"/>
                <w:szCs w:val="16"/>
              </w:rPr>
            </w:pPr>
            <w:r w:rsidRPr="001E2F6E">
              <w:rPr>
                <w:b/>
                <w:bCs/>
                <w:sz w:val="16"/>
                <w:szCs w:val="16"/>
              </w:rPr>
              <w:t xml:space="preserve">Euroak </w:t>
            </w:r>
          </w:p>
        </w:tc>
        <w:tc>
          <w:tcPr>
            <w:tcW w:w="461"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hideMark/>
          </w:tcPr>
          <w:p w:rsidR="00195BE7" w:rsidRPr="001E2F6E" w:rsidRDefault="00195BE7" w:rsidP="00195BE7">
            <w:pPr>
              <w:spacing w:line="240" w:lineRule="exact"/>
              <w:jc w:val="center"/>
              <w:rPr>
                <w:b/>
                <w:bCs/>
                <w:sz w:val="16"/>
                <w:szCs w:val="16"/>
              </w:rPr>
            </w:pPr>
            <w:r w:rsidRPr="001E2F6E">
              <w:rPr>
                <w:b/>
                <w:bCs/>
                <w:sz w:val="16"/>
                <w:szCs w:val="16"/>
              </w:rPr>
              <w:t>%ber.</w:t>
            </w:r>
          </w:p>
        </w:tc>
        <w:tc>
          <w:tcPr>
            <w:tcW w:w="709"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hideMark/>
          </w:tcPr>
          <w:p w:rsidR="00195BE7" w:rsidRPr="001E2F6E" w:rsidRDefault="00195BE7" w:rsidP="00195BE7">
            <w:pPr>
              <w:spacing w:line="240" w:lineRule="exact"/>
              <w:jc w:val="center"/>
              <w:rPr>
                <w:b/>
                <w:bCs/>
                <w:sz w:val="16"/>
                <w:szCs w:val="16"/>
              </w:rPr>
            </w:pPr>
            <w:r w:rsidRPr="001E2F6E">
              <w:rPr>
                <w:b/>
                <w:bCs/>
                <w:sz w:val="16"/>
                <w:szCs w:val="16"/>
              </w:rPr>
              <w:t xml:space="preserve">Euroak </w:t>
            </w:r>
          </w:p>
        </w:tc>
        <w:tc>
          <w:tcPr>
            <w:tcW w:w="437"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hideMark/>
          </w:tcPr>
          <w:p w:rsidR="00195BE7" w:rsidRPr="001E2F6E" w:rsidRDefault="00195BE7" w:rsidP="00195BE7">
            <w:pPr>
              <w:spacing w:line="240" w:lineRule="exact"/>
              <w:jc w:val="center"/>
              <w:rPr>
                <w:b/>
                <w:bCs/>
                <w:sz w:val="16"/>
                <w:szCs w:val="16"/>
              </w:rPr>
            </w:pPr>
            <w:r w:rsidRPr="001E2F6E">
              <w:rPr>
                <w:b/>
                <w:bCs/>
                <w:sz w:val="16"/>
                <w:szCs w:val="16"/>
              </w:rPr>
              <w:t>%ber.</w:t>
            </w:r>
          </w:p>
        </w:tc>
        <w:tc>
          <w:tcPr>
            <w:tcW w:w="716"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hideMark/>
          </w:tcPr>
          <w:p w:rsidR="00195BE7" w:rsidRPr="001E2F6E" w:rsidRDefault="00195BE7" w:rsidP="00195BE7">
            <w:pPr>
              <w:spacing w:line="240" w:lineRule="exact"/>
              <w:jc w:val="center"/>
              <w:rPr>
                <w:b/>
                <w:bCs/>
                <w:sz w:val="16"/>
                <w:szCs w:val="16"/>
              </w:rPr>
            </w:pPr>
            <w:r w:rsidRPr="001E2F6E">
              <w:rPr>
                <w:b/>
                <w:bCs/>
                <w:sz w:val="16"/>
                <w:szCs w:val="16"/>
              </w:rPr>
              <w:t xml:space="preserve">Euroak </w:t>
            </w:r>
          </w:p>
        </w:tc>
        <w:tc>
          <w:tcPr>
            <w:tcW w:w="437" w:type="pct"/>
            <w:tcBorders>
              <w:top w:val="single" w:sz="4" w:space="0" w:color="BFBFBF" w:themeColor="background1" w:themeShade="BF"/>
              <w:bottom w:val="single" w:sz="4" w:space="0" w:color="BFBFBF" w:themeColor="background1" w:themeShade="BF"/>
            </w:tcBorders>
            <w:shd w:val="clear" w:color="auto" w:fill="DBE5F1" w:themeFill="accent1" w:themeFillTint="33"/>
            <w:hideMark/>
          </w:tcPr>
          <w:p w:rsidR="00195BE7" w:rsidRPr="001E2F6E" w:rsidRDefault="00195BE7" w:rsidP="00195BE7">
            <w:pPr>
              <w:spacing w:line="240" w:lineRule="exact"/>
              <w:jc w:val="center"/>
              <w:rPr>
                <w:b/>
                <w:bCs/>
                <w:sz w:val="16"/>
                <w:szCs w:val="16"/>
              </w:rPr>
            </w:pPr>
            <w:r w:rsidRPr="001E2F6E">
              <w:rPr>
                <w:b/>
                <w:bCs/>
                <w:sz w:val="16"/>
                <w:szCs w:val="16"/>
              </w:rPr>
              <w:t>%ber.</w:t>
            </w:r>
          </w:p>
        </w:tc>
      </w:tr>
      <w:tr w:rsidR="00195BE7" w:rsidRPr="001E2F6E" w:rsidTr="00195BE7">
        <w:tc>
          <w:tcPr>
            <w:tcW w:w="1532" w:type="pct"/>
            <w:tcBorders>
              <w:top w:val="single" w:sz="4" w:space="0" w:color="BFBFBF" w:themeColor="background1" w:themeShade="BF"/>
              <w:right w:val="single" w:sz="4" w:space="0" w:color="BFBFBF" w:themeColor="background1" w:themeShade="BF"/>
            </w:tcBorders>
            <w:vAlign w:val="bottom"/>
            <w:hideMark/>
          </w:tcPr>
          <w:p w:rsidR="00195BE7" w:rsidRPr="001E2F6E" w:rsidRDefault="00195BE7" w:rsidP="00195BE7">
            <w:pPr>
              <w:spacing w:line="240" w:lineRule="exact"/>
              <w:rPr>
                <w:color w:val="000000"/>
                <w:sz w:val="16"/>
                <w:szCs w:val="16"/>
              </w:rPr>
            </w:pPr>
            <w:r w:rsidRPr="001E2F6E">
              <w:rPr>
                <w:color w:val="000000"/>
                <w:sz w:val="16"/>
                <w:szCs w:val="16"/>
              </w:rPr>
              <w:t>ZMA (Zerga aurreko mozkinak)</w:t>
            </w:r>
          </w:p>
        </w:tc>
        <w:tc>
          <w:tcPr>
            <w:tcW w:w="709" w:type="pct"/>
            <w:tcBorders>
              <w:top w:val="single" w:sz="4" w:space="0" w:color="BFBFBF" w:themeColor="background1" w:themeShade="BF"/>
              <w:left w:val="single" w:sz="4" w:space="0" w:color="BFBFBF" w:themeColor="background1" w:themeShade="BF"/>
            </w:tcBorders>
            <w:noWrap/>
            <w:hideMark/>
          </w:tcPr>
          <w:p w:rsidR="00195BE7" w:rsidRPr="001E2F6E" w:rsidRDefault="00195BE7" w:rsidP="00195BE7">
            <w:pPr>
              <w:spacing w:line="240" w:lineRule="exact"/>
              <w:ind w:right="170"/>
              <w:jc w:val="right"/>
              <w:rPr>
                <w:sz w:val="16"/>
                <w:szCs w:val="16"/>
              </w:rPr>
            </w:pPr>
            <w:r w:rsidRPr="001E2F6E">
              <w:rPr>
                <w:sz w:val="16"/>
                <w:szCs w:val="16"/>
              </w:rPr>
              <w:t>-22.747.918</w:t>
            </w:r>
          </w:p>
        </w:tc>
        <w:tc>
          <w:tcPr>
            <w:tcW w:w="461" w:type="pct"/>
            <w:tcBorders>
              <w:top w:val="single" w:sz="4" w:space="0" w:color="BFBFBF" w:themeColor="background1" w:themeShade="BF"/>
              <w:right w:val="single" w:sz="4" w:space="0" w:color="BFBFBF" w:themeColor="background1" w:themeShade="BF"/>
            </w:tcBorders>
            <w:hideMark/>
          </w:tcPr>
          <w:p w:rsidR="00195BE7" w:rsidRPr="001E2F6E" w:rsidRDefault="00195BE7" w:rsidP="00195BE7">
            <w:pPr>
              <w:spacing w:line="240" w:lineRule="exact"/>
              <w:ind w:right="170"/>
              <w:jc w:val="right"/>
              <w:rPr>
                <w:sz w:val="16"/>
                <w:szCs w:val="16"/>
              </w:rPr>
            </w:pPr>
            <w:r w:rsidRPr="001E2F6E">
              <w:rPr>
                <w:sz w:val="16"/>
                <w:szCs w:val="16"/>
              </w:rPr>
              <w:t>-6,3</w:t>
            </w:r>
          </w:p>
        </w:tc>
        <w:tc>
          <w:tcPr>
            <w:tcW w:w="709" w:type="pct"/>
            <w:tcBorders>
              <w:top w:val="single" w:sz="4" w:space="0" w:color="BFBFBF" w:themeColor="background1" w:themeShade="BF"/>
              <w:left w:val="single" w:sz="4" w:space="0" w:color="BFBFBF" w:themeColor="background1" w:themeShade="BF"/>
            </w:tcBorders>
            <w:hideMark/>
          </w:tcPr>
          <w:p w:rsidR="00195BE7" w:rsidRPr="001E2F6E" w:rsidRDefault="00195BE7" w:rsidP="00195BE7">
            <w:pPr>
              <w:spacing w:line="240" w:lineRule="exact"/>
              <w:ind w:right="170"/>
              <w:jc w:val="right"/>
              <w:rPr>
                <w:sz w:val="16"/>
                <w:szCs w:val="16"/>
              </w:rPr>
            </w:pPr>
            <w:r w:rsidRPr="001E2F6E">
              <w:rPr>
                <w:sz w:val="16"/>
                <w:szCs w:val="16"/>
              </w:rPr>
              <w:t>467.927</w:t>
            </w:r>
          </w:p>
        </w:tc>
        <w:tc>
          <w:tcPr>
            <w:tcW w:w="437" w:type="pct"/>
            <w:tcBorders>
              <w:top w:val="single" w:sz="4" w:space="0" w:color="BFBFBF" w:themeColor="background1" w:themeShade="BF"/>
              <w:right w:val="single" w:sz="4" w:space="0" w:color="BFBFBF" w:themeColor="background1" w:themeShade="BF"/>
            </w:tcBorders>
            <w:hideMark/>
          </w:tcPr>
          <w:p w:rsidR="00195BE7" w:rsidRPr="001E2F6E" w:rsidRDefault="00195BE7" w:rsidP="00195BE7">
            <w:pPr>
              <w:spacing w:line="240" w:lineRule="exact"/>
              <w:ind w:right="170"/>
              <w:jc w:val="right"/>
              <w:rPr>
                <w:sz w:val="16"/>
                <w:szCs w:val="16"/>
              </w:rPr>
            </w:pPr>
            <w:r w:rsidRPr="001E2F6E">
              <w:rPr>
                <w:sz w:val="16"/>
                <w:szCs w:val="16"/>
              </w:rPr>
              <w:t>0,4</w:t>
            </w:r>
          </w:p>
        </w:tc>
        <w:tc>
          <w:tcPr>
            <w:tcW w:w="716" w:type="pct"/>
            <w:tcBorders>
              <w:top w:val="single" w:sz="4" w:space="0" w:color="BFBFBF" w:themeColor="background1" w:themeShade="BF"/>
              <w:left w:val="single" w:sz="4" w:space="0" w:color="BFBFBF" w:themeColor="background1" w:themeShade="BF"/>
            </w:tcBorders>
            <w:hideMark/>
          </w:tcPr>
          <w:p w:rsidR="00195BE7" w:rsidRPr="001E2F6E" w:rsidRDefault="00195BE7" w:rsidP="00195BE7">
            <w:pPr>
              <w:spacing w:line="240" w:lineRule="exact"/>
              <w:ind w:right="170"/>
              <w:jc w:val="right"/>
              <w:rPr>
                <w:sz w:val="16"/>
                <w:szCs w:val="16"/>
              </w:rPr>
            </w:pPr>
            <w:r w:rsidRPr="001E2F6E">
              <w:rPr>
                <w:sz w:val="16"/>
                <w:szCs w:val="16"/>
              </w:rPr>
              <w:t>-22.279.992</w:t>
            </w:r>
          </w:p>
        </w:tc>
        <w:tc>
          <w:tcPr>
            <w:tcW w:w="437" w:type="pct"/>
            <w:tcBorders>
              <w:top w:val="single" w:sz="4" w:space="0" w:color="BFBFBF" w:themeColor="background1" w:themeShade="BF"/>
            </w:tcBorders>
            <w:hideMark/>
          </w:tcPr>
          <w:p w:rsidR="00195BE7" w:rsidRPr="001E2F6E" w:rsidRDefault="00195BE7" w:rsidP="00195BE7">
            <w:pPr>
              <w:spacing w:line="240" w:lineRule="exact"/>
              <w:ind w:right="170"/>
              <w:jc w:val="right"/>
              <w:rPr>
                <w:sz w:val="16"/>
                <w:szCs w:val="16"/>
              </w:rPr>
            </w:pPr>
            <w:r w:rsidRPr="001E2F6E">
              <w:rPr>
                <w:sz w:val="16"/>
                <w:szCs w:val="16"/>
              </w:rPr>
              <w:t>-4,7</w:t>
            </w:r>
          </w:p>
        </w:tc>
      </w:tr>
      <w:tr w:rsidR="00195BE7" w:rsidRPr="001E2F6E" w:rsidTr="00195BE7">
        <w:tc>
          <w:tcPr>
            <w:tcW w:w="1532" w:type="pct"/>
            <w:tcBorders>
              <w:bottom w:val="single" w:sz="4" w:space="0" w:color="BFBFBF" w:themeColor="background1" w:themeShade="BF"/>
              <w:right w:val="single" w:sz="4" w:space="0" w:color="BFBFBF" w:themeColor="background1" w:themeShade="BF"/>
            </w:tcBorders>
            <w:noWrap/>
            <w:vAlign w:val="bottom"/>
            <w:hideMark/>
          </w:tcPr>
          <w:p w:rsidR="00195BE7" w:rsidRPr="001E2F6E" w:rsidRDefault="00195BE7" w:rsidP="00195BE7">
            <w:pPr>
              <w:spacing w:line="240" w:lineRule="exact"/>
              <w:rPr>
                <w:color w:val="000000"/>
                <w:sz w:val="16"/>
                <w:szCs w:val="16"/>
              </w:rPr>
            </w:pPr>
            <w:r w:rsidRPr="001E2F6E">
              <w:rPr>
                <w:color w:val="000000"/>
                <w:sz w:val="16"/>
                <w:szCs w:val="16"/>
              </w:rPr>
              <w:t>Langileen gastuak</w:t>
            </w:r>
          </w:p>
        </w:tc>
        <w:tc>
          <w:tcPr>
            <w:tcW w:w="709" w:type="pct"/>
            <w:tcBorders>
              <w:left w:val="single" w:sz="4" w:space="0" w:color="BFBFBF" w:themeColor="background1" w:themeShade="BF"/>
              <w:bottom w:val="single" w:sz="4" w:space="0" w:color="BFBFBF" w:themeColor="background1" w:themeShade="BF"/>
            </w:tcBorders>
            <w:noWrap/>
            <w:hideMark/>
          </w:tcPr>
          <w:p w:rsidR="00195BE7" w:rsidRPr="001E2F6E" w:rsidRDefault="00195BE7" w:rsidP="00195BE7">
            <w:pPr>
              <w:spacing w:line="240" w:lineRule="exact"/>
              <w:ind w:right="170"/>
              <w:jc w:val="right"/>
              <w:rPr>
                <w:sz w:val="16"/>
                <w:szCs w:val="16"/>
              </w:rPr>
            </w:pPr>
            <w:r w:rsidRPr="001E2F6E">
              <w:rPr>
                <w:sz w:val="16"/>
                <w:szCs w:val="16"/>
              </w:rPr>
              <w:t>383.918.424</w:t>
            </w:r>
          </w:p>
        </w:tc>
        <w:tc>
          <w:tcPr>
            <w:tcW w:w="461" w:type="pct"/>
            <w:tcBorders>
              <w:bottom w:val="single" w:sz="4" w:space="0" w:color="BFBFBF" w:themeColor="background1" w:themeShade="BF"/>
              <w:right w:val="single" w:sz="4" w:space="0" w:color="BFBFBF" w:themeColor="background1" w:themeShade="BF"/>
            </w:tcBorders>
            <w:hideMark/>
          </w:tcPr>
          <w:p w:rsidR="00195BE7" w:rsidRPr="001E2F6E" w:rsidRDefault="00195BE7" w:rsidP="00195BE7">
            <w:pPr>
              <w:spacing w:line="240" w:lineRule="exact"/>
              <w:ind w:right="170"/>
              <w:jc w:val="right"/>
              <w:rPr>
                <w:sz w:val="16"/>
                <w:szCs w:val="16"/>
              </w:rPr>
            </w:pPr>
            <w:r w:rsidRPr="001E2F6E">
              <w:rPr>
                <w:sz w:val="16"/>
                <w:szCs w:val="16"/>
              </w:rPr>
              <w:t>106,3</w:t>
            </w:r>
          </w:p>
        </w:tc>
        <w:tc>
          <w:tcPr>
            <w:tcW w:w="709" w:type="pct"/>
            <w:tcBorders>
              <w:left w:val="single" w:sz="4" w:space="0" w:color="BFBFBF" w:themeColor="background1" w:themeShade="BF"/>
              <w:bottom w:val="single" w:sz="4" w:space="0" w:color="BFBFBF" w:themeColor="background1" w:themeShade="BF"/>
            </w:tcBorders>
            <w:hideMark/>
          </w:tcPr>
          <w:p w:rsidR="00195BE7" w:rsidRPr="001E2F6E" w:rsidRDefault="00195BE7" w:rsidP="00195BE7">
            <w:pPr>
              <w:spacing w:line="240" w:lineRule="exact"/>
              <w:ind w:right="170"/>
              <w:jc w:val="right"/>
              <w:rPr>
                <w:sz w:val="16"/>
                <w:szCs w:val="16"/>
              </w:rPr>
            </w:pPr>
            <w:r w:rsidRPr="001E2F6E">
              <w:rPr>
                <w:sz w:val="16"/>
                <w:szCs w:val="16"/>
              </w:rPr>
              <w:t>113.781.008</w:t>
            </w:r>
          </w:p>
        </w:tc>
        <w:tc>
          <w:tcPr>
            <w:tcW w:w="437" w:type="pct"/>
            <w:tcBorders>
              <w:bottom w:val="single" w:sz="4" w:space="0" w:color="BFBFBF" w:themeColor="background1" w:themeShade="BF"/>
              <w:right w:val="single" w:sz="4" w:space="0" w:color="BFBFBF" w:themeColor="background1" w:themeShade="BF"/>
            </w:tcBorders>
            <w:hideMark/>
          </w:tcPr>
          <w:p w:rsidR="00195BE7" w:rsidRPr="001E2F6E" w:rsidRDefault="00195BE7" w:rsidP="00195BE7">
            <w:pPr>
              <w:spacing w:line="240" w:lineRule="exact"/>
              <w:ind w:right="170"/>
              <w:jc w:val="right"/>
              <w:rPr>
                <w:sz w:val="16"/>
                <w:szCs w:val="16"/>
              </w:rPr>
            </w:pPr>
            <w:r w:rsidRPr="001E2F6E">
              <w:rPr>
                <w:sz w:val="16"/>
                <w:szCs w:val="16"/>
              </w:rPr>
              <w:t>99,6</w:t>
            </w:r>
          </w:p>
        </w:tc>
        <w:tc>
          <w:tcPr>
            <w:tcW w:w="716" w:type="pct"/>
            <w:tcBorders>
              <w:left w:val="single" w:sz="4" w:space="0" w:color="BFBFBF" w:themeColor="background1" w:themeShade="BF"/>
              <w:bottom w:val="single" w:sz="4" w:space="0" w:color="BFBFBF" w:themeColor="background1" w:themeShade="BF"/>
            </w:tcBorders>
            <w:hideMark/>
          </w:tcPr>
          <w:p w:rsidR="00195BE7" w:rsidRPr="001E2F6E" w:rsidRDefault="00195BE7" w:rsidP="00195BE7">
            <w:pPr>
              <w:spacing w:line="240" w:lineRule="exact"/>
              <w:ind w:right="170"/>
              <w:jc w:val="right"/>
              <w:rPr>
                <w:sz w:val="16"/>
                <w:szCs w:val="16"/>
              </w:rPr>
            </w:pPr>
            <w:r w:rsidRPr="001E2F6E">
              <w:rPr>
                <w:sz w:val="16"/>
                <w:szCs w:val="16"/>
              </w:rPr>
              <w:t>497.699.433</w:t>
            </w:r>
          </w:p>
        </w:tc>
        <w:tc>
          <w:tcPr>
            <w:tcW w:w="437" w:type="pct"/>
            <w:tcBorders>
              <w:bottom w:val="single" w:sz="4" w:space="0" w:color="BFBFBF" w:themeColor="background1" w:themeShade="BF"/>
            </w:tcBorders>
            <w:hideMark/>
          </w:tcPr>
          <w:p w:rsidR="00195BE7" w:rsidRPr="001E2F6E" w:rsidRDefault="00195BE7" w:rsidP="00195BE7">
            <w:pPr>
              <w:spacing w:line="240" w:lineRule="exact"/>
              <w:ind w:right="170"/>
              <w:jc w:val="right"/>
              <w:rPr>
                <w:sz w:val="16"/>
                <w:szCs w:val="16"/>
              </w:rPr>
            </w:pPr>
            <w:r w:rsidRPr="001E2F6E">
              <w:rPr>
                <w:sz w:val="16"/>
                <w:szCs w:val="16"/>
              </w:rPr>
              <w:t>104,7</w:t>
            </w:r>
          </w:p>
        </w:tc>
      </w:tr>
      <w:tr w:rsidR="00195BE7" w:rsidRPr="001E2F6E" w:rsidTr="00195BE7">
        <w:tc>
          <w:tcPr>
            <w:tcW w:w="1532" w:type="pct"/>
            <w:tcBorders>
              <w:top w:val="single" w:sz="4" w:space="0" w:color="BFBFBF" w:themeColor="background1" w:themeShade="BF"/>
              <w:bottom w:val="single" w:sz="4" w:space="0" w:color="BFBFBF" w:themeColor="background1" w:themeShade="BF"/>
              <w:right w:val="single" w:sz="4" w:space="0" w:color="BFBFBF" w:themeColor="background1" w:themeShade="BF"/>
            </w:tcBorders>
            <w:hideMark/>
          </w:tcPr>
          <w:p w:rsidR="00195BE7" w:rsidRPr="001E2F6E" w:rsidRDefault="00195BE7" w:rsidP="00195BE7">
            <w:pPr>
              <w:spacing w:line="240" w:lineRule="exact"/>
              <w:rPr>
                <w:b/>
                <w:bCs/>
                <w:color w:val="000000"/>
                <w:sz w:val="16"/>
                <w:szCs w:val="16"/>
              </w:rPr>
            </w:pPr>
            <w:r w:rsidRPr="001E2F6E">
              <w:rPr>
                <w:b/>
                <w:bCs/>
                <w:color w:val="000000"/>
                <w:sz w:val="16"/>
                <w:szCs w:val="16"/>
              </w:rPr>
              <w:t>BEGd</w:t>
            </w:r>
          </w:p>
        </w:tc>
        <w:tc>
          <w:tcPr>
            <w:tcW w:w="709" w:type="pct"/>
            <w:tcBorders>
              <w:top w:val="single" w:sz="4" w:space="0" w:color="BFBFBF" w:themeColor="background1" w:themeShade="BF"/>
              <w:left w:val="single" w:sz="4" w:space="0" w:color="BFBFBF" w:themeColor="background1" w:themeShade="BF"/>
              <w:bottom w:val="single" w:sz="4" w:space="0" w:color="BFBFBF" w:themeColor="background1" w:themeShade="BF"/>
            </w:tcBorders>
            <w:hideMark/>
          </w:tcPr>
          <w:p w:rsidR="00195BE7" w:rsidRPr="001E2F6E" w:rsidRDefault="00195BE7" w:rsidP="00195BE7">
            <w:pPr>
              <w:spacing w:line="240" w:lineRule="exact"/>
              <w:ind w:right="170"/>
              <w:jc w:val="right"/>
              <w:rPr>
                <w:b/>
                <w:bCs/>
                <w:sz w:val="16"/>
                <w:szCs w:val="16"/>
              </w:rPr>
            </w:pPr>
            <w:r w:rsidRPr="001E2F6E">
              <w:rPr>
                <w:b/>
                <w:bCs/>
                <w:sz w:val="16"/>
                <w:szCs w:val="16"/>
              </w:rPr>
              <w:t>361.170.506</w:t>
            </w:r>
          </w:p>
        </w:tc>
        <w:tc>
          <w:tcPr>
            <w:tcW w:w="461" w:type="pct"/>
            <w:tcBorders>
              <w:top w:val="single" w:sz="4" w:space="0" w:color="BFBFBF" w:themeColor="background1" w:themeShade="BF"/>
              <w:bottom w:val="single" w:sz="4" w:space="0" w:color="BFBFBF" w:themeColor="background1" w:themeShade="BF"/>
              <w:right w:val="single" w:sz="4" w:space="0" w:color="BFBFBF" w:themeColor="background1" w:themeShade="BF"/>
            </w:tcBorders>
            <w:hideMark/>
          </w:tcPr>
          <w:p w:rsidR="00195BE7" w:rsidRPr="001E2F6E" w:rsidRDefault="00195BE7" w:rsidP="00195BE7">
            <w:pPr>
              <w:spacing w:line="240" w:lineRule="exact"/>
              <w:ind w:right="170"/>
              <w:jc w:val="right"/>
              <w:rPr>
                <w:b/>
                <w:bCs/>
                <w:sz w:val="16"/>
                <w:szCs w:val="16"/>
              </w:rPr>
            </w:pPr>
            <w:r w:rsidRPr="001E2F6E">
              <w:rPr>
                <w:b/>
                <w:bCs/>
                <w:sz w:val="16"/>
                <w:szCs w:val="16"/>
              </w:rPr>
              <w:t>100,0</w:t>
            </w:r>
          </w:p>
        </w:tc>
        <w:tc>
          <w:tcPr>
            <w:tcW w:w="709" w:type="pct"/>
            <w:tcBorders>
              <w:top w:val="single" w:sz="4" w:space="0" w:color="BFBFBF" w:themeColor="background1" w:themeShade="BF"/>
              <w:left w:val="single" w:sz="4" w:space="0" w:color="BFBFBF" w:themeColor="background1" w:themeShade="BF"/>
              <w:bottom w:val="single" w:sz="4" w:space="0" w:color="BFBFBF" w:themeColor="background1" w:themeShade="BF"/>
            </w:tcBorders>
            <w:hideMark/>
          </w:tcPr>
          <w:p w:rsidR="00195BE7" w:rsidRPr="001E2F6E" w:rsidRDefault="00195BE7" w:rsidP="00195BE7">
            <w:pPr>
              <w:spacing w:line="240" w:lineRule="exact"/>
              <w:ind w:right="170"/>
              <w:jc w:val="right"/>
              <w:rPr>
                <w:b/>
                <w:bCs/>
                <w:sz w:val="16"/>
                <w:szCs w:val="16"/>
              </w:rPr>
            </w:pPr>
            <w:r w:rsidRPr="001E2F6E">
              <w:rPr>
                <w:b/>
                <w:bCs/>
                <w:sz w:val="16"/>
                <w:szCs w:val="16"/>
              </w:rPr>
              <w:t>114.248.935</w:t>
            </w:r>
          </w:p>
        </w:tc>
        <w:tc>
          <w:tcPr>
            <w:tcW w:w="437" w:type="pct"/>
            <w:tcBorders>
              <w:top w:val="single" w:sz="4" w:space="0" w:color="BFBFBF" w:themeColor="background1" w:themeShade="BF"/>
              <w:bottom w:val="single" w:sz="4" w:space="0" w:color="BFBFBF" w:themeColor="background1" w:themeShade="BF"/>
              <w:right w:val="single" w:sz="4" w:space="0" w:color="BFBFBF" w:themeColor="background1" w:themeShade="BF"/>
            </w:tcBorders>
            <w:hideMark/>
          </w:tcPr>
          <w:p w:rsidR="00195BE7" w:rsidRPr="001E2F6E" w:rsidRDefault="00195BE7" w:rsidP="00195BE7">
            <w:pPr>
              <w:spacing w:line="240" w:lineRule="exact"/>
              <w:ind w:right="170"/>
              <w:jc w:val="right"/>
              <w:rPr>
                <w:b/>
                <w:bCs/>
                <w:sz w:val="16"/>
                <w:szCs w:val="16"/>
              </w:rPr>
            </w:pPr>
            <w:r w:rsidRPr="001E2F6E">
              <w:rPr>
                <w:b/>
                <w:bCs/>
                <w:sz w:val="16"/>
                <w:szCs w:val="16"/>
              </w:rPr>
              <w:t>100,0</w:t>
            </w:r>
          </w:p>
        </w:tc>
        <w:tc>
          <w:tcPr>
            <w:tcW w:w="716" w:type="pct"/>
            <w:tcBorders>
              <w:top w:val="single" w:sz="4" w:space="0" w:color="BFBFBF" w:themeColor="background1" w:themeShade="BF"/>
              <w:left w:val="single" w:sz="4" w:space="0" w:color="BFBFBF" w:themeColor="background1" w:themeShade="BF"/>
              <w:bottom w:val="single" w:sz="4" w:space="0" w:color="BFBFBF" w:themeColor="background1" w:themeShade="BF"/>
            </w:tcBorders>
            <w:hideMark/>
          </w:tcPr>
          <w:p w:rsidR="00195BE7" w:rsidRPr="001E2F6E" w:rsidRDefault="00195BE7" w:rsidP="00195BE7">
            <w:pPr>
              <w:spacing w:line="240" w:lineRule="exact"/>
              <w:ind w:right="170"/>
              <w:jc w:val="right"/>
              <w:rPr>
                <w:b/>
                <w:bCs/>
                <w:sz w:val="16"/>
                <w:szCs w:val="16"/>
              </w:rPr>
            </w:pPr>
            <w:r w:rsidRPr="001E2F6E">
              <w:rPr>
                <w:b/>
                <w:bCs/>
                <w:sz w:val="16"/>
                <w:szCs w:val="16"/>
              </w:rPr>
              <w:t>475.419.441</w:t>
            </w:r>
          </w:p>
        </w:tc>
        <w:tc>
          <w:tcPr>
            <w:tcW w:w="437" w:type="pct"/>
            <w:tcBorders>
              <w:top w:val="single" w:sz="4" w:space="0" w:color="BFBFBF" w:themeColor="background1" w:themeShade="BF"/>
              <w:bottom w:val="single" w:sz="4" w:space="0" w:color="BFBFBF" w:themeColor="background1" w:themeShade="BF"/>
            </w:tcBorders>
            <w:hideMark/>
          </w:tcPr>
          <w:p w:rsidR="00195BE7" w:rsidRPr="001E2F6E" w:rsidRDefault="00195BE7" w:rsidP="00195BE7">
            <w:pPr>
              <w:spacing w:line="240" w:lineRule="exact"/>
              <w:ind w:right="170"/>
              <w:jc w:val="right"/>
              <w:rPr>
                <w:b/>
                <w:bCs/>
                <w:sz w:val="16"/>
                <w:szCs w:val="16"/>
              </w:rPr>
            </w:pPr>
            <w:r w:rsidRPr="001E2F6E">
              <w:rPr>
                <w:b/>
                <w:bCs/>
                <w:sz w:val="16"/>
                <w:szCs w:val="16"/>
              </w:rPr>
              <w:t>100,0</w:t>
            </w:r>
          </w:p>
        </w:tc>
      </w:tr>
    </w:tbl>
    <w:p w:rsidR="00195BE7" w:rsidRPr="001E2F6E" w:rsidRDefault="00195BE7" w:rsidP="00195BE7">
      <w:pPr>
        <w:pStyle w:val="Ttulo6"/>
        <w:keepNext w:val="0"/>
        <w:widowControl w:val="0"/>
        <w:jc w:val="center"/>
        <w:rPr>
          <w:rFonts w:ascii="Arial" w:hAnsi="Arial" w:cs="Arial"/>
          <w:b w:val="0"/>
          <w:i/>
          <w:sz w:val="16"/>
        </w:rPr>
      </w:pPr>
      <w:r w:rsidRPr="001E2F6E">
        <w:rPr>
          <w:rFonts w:ascii="Arial" w:hAnsi="Arial" w:cs="Arial"/>
          <w:b w:val="0"/>
          <w:i/>
          <w:sz w:val="16"/>
        </w:rPr>
        <w:t xml:space="preserve">Iturria: </w:t>
      </w:r>
      <w:r w:rsidRPr="001E2F6E">
        <w:rPr>
          <w:rFonts w:ascii="Arial" w:hAnsi="Arial" w:cs="Arial"/>
          <w:b w:val="0"/>
          <w:i/>
          <w:sz w:val="16"/>
          <w:lang w:val="eu-ES"/>
        </w:rPr>
        <w:t>Eusko Jaurlaritzako Herri-administrazio eta Justizia Sailaren datuak oinarri harturik egina</w:t>
      </w:r>
    </w:p>
    <w:p w:rsidR="00195BE7" w:rsidRPr="001E2F6E" w:rsidRDefault="00195BE7" w:rsidP="00195BE7">
      <w:pPr>
        <w:jc w:val="left"/>
        <w:rPr>
          <w:b/>
          <w:color w:val="000080"/>
          <w:sz w:val="24"/>
          <w:szCs w:val="24"/>
        </w:rPr>
      </w:pPr>
      <w:r w:rsidRPr="001E2F6E">
        <w:rPr>
          <w:b/>
          <w:color w:val="000080"/>
          <w:sz w:val="24"/>
          <w:szCs w:val="24"/>
        </w:rPr>
        <w:br w:type="page"/>
      </w:r>
    </w:p>
    <w:p w:rsidR="00195BE7" w:rsidRPr="001E2F6E" w:rsidRDefault="00195BE7" w:rsidP="00195BE7">
      <w:pPr>
        <w:pStyle w:val="Ttulo1"/>
        <w:ind w:left="708" w:hanging="708"/>
        <w:rPr>
          <w:color w:val="1F497D" w:themeColor="text2"/>
          <w:sz w:val="26"/>
          <w:szCs w:val="26"/>
        </w:rPr>
      </w:pPr>
      <w:bookmarkStart w:id="354" w:name="_Toc391989041"/>
      <w:bookmarkStart w:id="355" w:name="_Toc392585704"/>
      <w:r w:rsidRPr="001E2F6E">
        <w:rPr>
          <w:color w:val="1F497D" w:themeColor="text2"/>
          <w:sz w:val="26"/>
          <w:szCs w:val="26"/>
        </w:rPr>
        <w:lastRenderedPageBreak/>
        <w:t xml:space="preserve">2.- </w:t>
      </w:r>
      <w:r w:rsidRPr="001E2F6E">
        <w:rPr>
          <w:color w:val="1F497D" w:themeColor="text2"/>
          <w:sz w:val="26"/>
          <w:szCs w:val="26"/>
        </w:rPr>
        <w:tab/>
        <w:t>ENPLEGU-ZENTRO BEREZIAK</w:t>
      </w:r>
      <w:bookmarkEnd w:id="354"/>
      <w:bookmarkEnd w:id="355"/>
    </w:p>
    <w:p w:rsidR="00195BE7" w:rsidRPr="001E2F6E" w:rsidRDefault="00195BE7" w:rsidP="00195BE7">
      <w:pPr>
        <w:pStyle w:val="Prrafodelista"/>
        <w:ind w:left="360"/>
        <w:rPr>
          <w:rFonts w:ascii="Arial" w:hAnsi="Arial" w:cs="Arial"/>
          <w:b/>
          <w:color w:val="000080"/>
          <w:lang w:val="eu-ES"/>
        </w:rPr>
      </w:pPr>
    </w:p>
    <w:p w:rsidR="00195BE7" w:rsidRPr="001E2F6E" w:rsidRDefault="00195BE7" w:rsidP="00195BE7">
      <w:pPr>
        <w:pStyle w:val="Ttulo1"/>
        <w:ind w:left="708" w:hanging="708"/>
        <w:rPr>
          <w:color w:val="1F497D" w:themeColor="text2"/>
          <w:sz w:val="22"/>
          <w:szCs w:val="22"/>
        </w:rPr>
      </w:pPr>
      <w:bookmarkStart w:id="356" w:name="_Toc391989042"/>
      <w:bookmarkStart w:id="357" w:name="_Toc392585705"/>
      <w:r w:rsidRPr="001E2F6E">
        <w:rPr>
          <w:color w:val="1F497D" w:themeColor="text2"/>
          <w:sz w:val="22"/>
          <w:szCs w:val="22"/>
        </w:rPr>
        <w:t xml:space="preserve">2.1.- </w:t>
      </w:r>
      <w:r w:rsidRPr="001E2F6E">
        <w:rPr>
          <w:color w:val="1F497D" w:themeColor="text2"/>
          <w:sz w:val="22"/>
          <w:szCs w:val="22"/>
        </w:rPr>
        <w:tab/>
        <w:t>ERAGILEEN KUANTIFIKAZIOA: ENPLEGU-ZENTRO BEREZIAK</w:t>
      </w:r>
      <w:bookmarkEnd w:id="356"/>
      <w:bookmarkEnd w:id="357"/>
    </w:p>
    <w:p w:rsidR="00195BE7" w:rsidRPr="001E2F6E" w:rsidRDefault="00195BE7" w:rsidP="00195BE7"/>
    <w:p w:rsidR="00195BE7" w:rsidRPr="001E2F6E" w:rsidRDefault="00195BE7" w:rsidP="00195BE7">
      <w:pPr>
        <w:rPr>
          <w:lang w:val="eu-ES"/>
        </w:rPr>
      </w:pPr>
      <w:r w:rsidRPr="001E2F6E">
        <w:rPr>
          <w:lang w:val="eu-ES"/>
        </w:rPr>
        <w:t xml:space="preserve">EAE-an </w:t>
      </w:r>
      <w:r w:rsidRPr="001E2F6E">
        <w:rPr>
          <w:b/>
          <w:lang w:val="eu-ES"/>
        </w:rPr>
        <w:t xml:space="preserve">42 Enplegu Zentro Berezi </w:t>
      </w:r>
      <w:r w:rsidRPr="001E2F6E">
        <w:rPr>
          <w:lang w:val="eu-ES"/>
        </w:rPr>
        <w:t>daude.</w:t>
      </w:r>
    </w:p>
    <w:p w:rsidR="00195BE7" w:rsidRPr="00A105C6" w:rsidRDefault="00195BE7" w:rsidP="00195BE7">
      <w:pPr>
        <w:rPr>
          <w:lang w:val="de-DE"/>
        </w:rPr>
      </w:pPr>
    </w:p>
    <w:p w:rsidR="00195BE7" w:rsidRPr="001E2F6E" w:rsidRDefault="00195BE7" w:rsidP="00195BE7">
      <w:pPr>
        <w:spacing w:line="240" w:lineRule="auto"/>
        <w:jc w:val="center"/>
        <w:rPr>
          <w:b/>
          <w:color w:val="1F497D" w:themeColor="text2"/>
          <w:sz w:val="18"/>
          <w:szCs w:val="18"/>
        </w:rPr>
      </w:pPr>
      <w:bookmarkStart w:id="358" w:name="_Toc391989170"/>
      <w:bookmarkStart w:id="359" w:name="_Toc392585877"/>
      <w:r w:rsidRPr="001E2F6E">
        <w:rPr>
          <w:b/>
          <w:noProof/>
          <w:color w:val="1F497D" w:themeColor="text2"/>
          <w:sz w:val="18"/>
          <w:szCs w:val="18"/>
        </w:rPr>
        <w:t>4.</w:t>
      </w:r>
      <w:r w:rsidR="00EB6BA6" w:rsidRPr="001E2F6E">
        <w:rPr>
          <w:b/>
          <w:noProof/>
          <w:color w:val="1F497D" w:themeColor="text2"/>
          <w:sz w:val="18"/>
          <w:szCs w:val="18"/>
        </w:rPr>
        <w:fldChar w:fldCharType="begin"/>
      </w:r>
      <w:r w:rsidRPr="001E2F6E">
        <w:rPr>
          <w:b/>
          <w:noProof/>
          <w:color w:val="1F497D" w:themeColor="text2"/>
          <w:sz w:val="18"/>
          <w:szCs w:val="18"/>
        </w:rPr>
        <w:instrText xml:space="preserve"> SEQ Gráfico_4. \* ARABIC </w:instrText>
      </w:r>
      <w:r w:rsidR="00EB6BA6" w:rsidRPr="001E2F6E">
        <w:rPr>
          <w:b/>
          <w:noProof/>
          <w:color w:val="1F497D" w:themeColor="text2"/>
          <w:sz w:val="18"/>
          <w:szCs w:val="18"/>
        </w:rPr>
        <w:fldChar w:fldCharType="separate"/>
      </w:r>
      <w:r w:rsidR="00A327D4">
        <w:rPr>
          <w:b/>
          <w:noProof/>
          <w:color w:val="1F497D" w:themeColor="text2"/>
          <w:sz w:val="18"/>
          <w:szCs w:val="18"/>
        </w:rPr>
        <w:t>3</w:t>
      </w:r>
      <w:r w:rsidR="00EB6BA6" w:rsidRPr="001E2F6E">
        <w:rPr>
          <w:b/>
          <w:noProof/>
          <w:color w:val="1F497D" w:themeColor="text2"/>
          <w:sz w:val="18"/>
          <w:szCs w:val="18"/>
        </w:rPr>
        <w:fldChar w:fldCharType="end"/>
      </w:r>
      <w:r w:rsidRPr="001E2F6E">
        <w:rPr>
          <w:b/>
          <w:noProof/>
          <w:color w:val="1F497D" w:themeColor="text2"/>
          <w:sz w:val="18"/>
          <w:szCs w:val="18"/>
        </w:rPr>
        <w:t xml:space="preserve"> Irudia </w:t>
      </w:r>
      <w:r w:rsidRPr="001E2F6E">
        <w:rPr>
          <w:b/>
          <w:color w:val="1F497D" w:themeColor="text2"/>
          <w:sz w:val="18"/>
          <w:szCs w:val="18"/>
        </w:rPr>
        <w:t>ENPLEGU-ZENTRO BEREZIEN ARLOKO ENPRESA-ERAKUNDEEN LURRALDE-BANAKETA. 2012 (</w:t>
      </w:r>
      <w:r w:rsidR="00462130" w:rsidRPr="001E2F6E">
        <w:rPr>
          <w:b/>
          <w:color w:val="1F497D" w:themeColor="text2"/>
          <w:sz w:val="18"/>
          <w:szCs w:val="18"/>
        </w:rPr>
        <w:t xml:space="preserve">zifra absolutuak </w:t>
      </w:r>
      <w:r w:rsidRPr="001E2F6E">
        <w:rPr>
          <w:b/>
          <w:color w:val="1F497D" w:themeColor="text2"/>
          <w:sz w:val="18"/>
          <w:szCs w:val="18"/>
        </w:rPr>
        <w:t>eta %)</w:t>
      </w:r>
      <w:bookmarkEnd w:id="358"/>
      <w:bookmarkEnd w:id="359"/>
    </w:p>
    <w:p w:rsidR="00195BE7" w:rsidRPr="001E2F6E" w:rsidRDefault="00195BE7" w:rsidP="00195BE7">
      <w:pPr>
        <w:spacing w:line="240" w:lineRule="auto"/>
        <w:jc w:val="center"/>
        <w:rPr>
          <w:b/>
          <w:color w:val="1F497D" w:themeColor="text2"/>
          <w:sz w:val="18"/>
          <w:szCs w:val="18"/>
        </w:rPr>
      </w:pPr>
      <w:r w:rsidRPr="001E2F6E">
        <w:rPr>
          <w:b/>
          <w:noProof/>
          <w:color w:val="1F497D" w:themeColor="text2"/>
          <w:sz w:val="18"/>
          <w:szCs w:val="18"/>
          <w:lang w:eastAsia="es-ES"/>
        </w:rPr>
        <w:drawing>
          <wp:anchor distT="0" distB="0" distL="114300" distR="114300" simplePos="0" relativeHeight="251717632" behindDoc="0" locked="0" layoutInCell="1" allowOverlap="1" wp14:anchorId="1A3D2873" wp14:editId="37458411">
            <wp:simplePos x="0" y="0"/>
            <wp:positionH relativeFrom="column">
              <wp:posOffset>988060</wp:posOffset>
            </wp:positionH>
            <wp:positionV relativeFrom="paragraph">
              <wp:posOffset>46990</wp:posOffset>
            </wp:positionV>
            <wp:extent cx="3609975" cy="1885950"/>
            <wp:effectExtent l="0" t="0" r="0" b="0"/>
            <wp:wrapNone/>
            <wp:docPr id="17"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anchor>
        </w:drawing>
      </w:r>
    </w:p>
    <w:p w:rsidR="00195BE7" w:rsidRPr="001E2F6E" w:rsidRDefault="00195BE7" w:rsidP="00195BE7">
      <w:pPr>
        <w:spacing w:line="240" w:lineRule="auto"/>
        <w:jc w:val="center"/>
        <w:rPr>
          <w:b/>
          <w:color w:val="1F497D" w:themeColor="text2"/>
          <w:sz w:val="18"/>
          <w:szCs w:val="18"/>
        </w:rPr>
      </w:pPr>
    </w:p>
    <w:p w:rsidR="00195BE7" w:rsidRPr="001E2F6E" w:rsidRDefault="00195BE7" w:rsidP="00195BE7">
      <w:pPr>
        <w:spacing w:line="240" w:lineRule="auto"/>
        <w:jc w:val="center"/>
        <w:rPr>
          <w:b/>
          <w:color w:val="1F497D" w:themeColor="text2"/>
          <w:sz w:val="18"/>
          <w:szCs w:val="18"/>
        </w:rPr>
      </w:pPr>
    </w:p>
    <w:p w:rsidR="00195BE7" w:rsidRPr="001E2F6E" w:rsidRDefault="00195BE7" w:rsidP="00195BE7">
      <w:pPr>
        <w:spacing w:line="240" w:lineRule="auto"/>
        <w:jc w:val="center"/>
        <w:rPr>
          <w:b/>
          <w:color w:val="1F497D" w:themeColor="text2"/>
          <w:sz w:val="18"/>
          <w:szCs w:val="18"/>
        </w:rPr>
      </w:pPr>
    </w:p>
    <w:p w:rsidR="00195BE7" w:rsidRPr="001E2F6E" w:rsidRDefault="00195BE7" w:rsidP="00195BE7">
      <w:pPr>
        <w:spacing w:line="240" w:lineRule="auto"/>
        <w:jc w:val="center"/>
        <w:rPr>
          <w:b/>
          <w:color w:val="1F497D" w:themeColor="text2"/>
          <w:sz w:val="18"/>
          <w:szCs w:val="18"/>
        </w:rPr>
      </w:pPr>
    </w:p>
    <w:p w:rsidR="00195BE7" w:rsidRPr="001E2F6E" w:rsidRDefault="00195BE7" w:rsidP="00195BE7">
      <w:pPr>
        <w:spacing w:line="240" w:lineRule="auto"/>
        <w:jc w:val="center"/>
        <w:rPr>
          <w:b/>
          <w:color w:val="1F497D" w:themeColor="text2"/>
          <w:sz w:val="18"/>
          <w:szCs w:val="18"/>
        </w:rPr>
      </w:pPr>
    </w:p>
    <w:p w:rsidR="00195BE7" w:rsidRPr="001E2F6E" w:rsidRDefault="00195BE7" w:rsidP="00195BE7">
      <w:pPr>
        <w:spacing w:line="240" w:lineRule="auto"/>
        <w:jc w:val="center"/>
        <w:rPr>
          <w:b/>
          <w:color w:val="1F497D" w:themeColor="text2"/>
          <w:sz w:val="18"/>
          <w:szCs w:val="18"/>
        </w:rPr>
      </w:pPr>
    </w:p>
    <w:p w:rsidR="00195BE7" w:rsidRPr="001E2F6E" w:rsidRDefault="00195BE7" w:rsidP="00195BE7">
      <w:pPr>
        <w:spacing w:line="240" w:lineRule="auto"/>
        <w:jc w:val="center"/>
        <w:rPr>
          <w:b/>
          <w:color w:val="1F497D" w:themeColor="text2"/>
          <w:sz w:val="18"/>
          <w:szCs w:val="18"/>
        </w:rPr>
      </w:pPr>
    </w:p>
    <w:p w:rsidR="00195BE7" w:rsidRPr="001E2F6E" w:rsidRDefault="00195BE7" w:rsidP="00195BE7">
      <w:pPr>
        <w:spacing w:line="240" w:lineRule="auto"/>
        <w:jc w:val="center"/>
        <w:rPr>
          <w:b/>
          <w:color w:val="1F497D" w:themeColor="text2"/>
          <w:sz w:val="18"/>
          <w:szCs w:val="18"/>
        </w:rPr>
      </w:pPr>
    </w:p>
    <w:p w:rsidR="00195BE7" w:rsidRPr="001E2F6E" w:rsidRDefault="00195BE7" w:rsidP="00195BE7">
      <w:pPr>
        <w:spacing w:line="240" w:lineRule="auto"/>
        <w:jc w:val="center"/>
        <w:rPr>
          <w:b/>
          <w:color w:val="1F497D" w:themeColor="text2"/>
          <w:sz w:val="18"/>
          <w:szCs w:val="18"/>
        </w:rPr>
      </w:pPr>
    </w:p>
    <w:p w:rsidR="00195BE7" w:rsidRPr="001E2F6E" w:rsidRDefault="00195BE7" w:rsidP="00195BE7">
      <w:pPr>
        <w:spacing w:line="240" w:lineRule="auto"/>
        <w:jc w:val="center"/>
        <w:rPr>
          <w:b/>
          <w:color w:val="1F497D" w:themeColor="text2"/>
          <w:sz w:val="18"/>
          <w:szCs w:val="18"/>
        </w:rPr>
      </w:pPr>
    </w:p>
    <w:p w:rsidR="00195BE7" w:rsidRPr="001E2F6E" w:rsidRDefault="00195BE7" w:rsidP="00195BE7">
      <w:pPr>
        <w:spacing w:line="240" w:lineRule="auto"/>
        <w:jc w:val="center"/>
        <w:rPr>
          <w:b/>
          <w:color w:val="1F497D" w:themeColor="text2"/>
          <w:sz w:val="18"/>
          <w:szCs w:val="18"/>
        </w:rPr>
      </w:pPr>
    </w:p>
    <w:p w:rsidR="00195BE7" w:rsidRPr="001E2F6E" w:rsidRDefault="00195BE7" w:rsidP="00195BE7">
      <w:pPr>
        <w:spacing w:line="240" w:lineRule="auto"/>
        <w:jc w:val="center"/>
        <w:rPr>
          <w:b/>
          <w:color w:val="1F497D" w:themeColor="text2"/>
          <w:sz w:val="18"/>
          <w:szCs w:val="18"/>
        </w:rPr>
      </w:pPr>
    </w:p>
    <w:p w:rsidR="00195BE7" w:rsidRPr="001E2F6E" w:rsidRDefault="00195BE7" w:rsidP="00195BE7">
      <w:pPr>
        <w:spacing w:line="240" w:lineRule="auto"/>
        <w:jc w:val="center"/>
        <w:rPr>
          <w:b/>
          <w:color w:val="1F497D" w:themeColor="text2"/>
          <w:sz w:val="18"/>
          <w:szCs w:val="18"/>
        </w:rPr>
      </w:pPr>
    </w:p>
    <w:p w:rsidR="00195BE7" w:rsidRPr="001E2F6E" w:rsidRDefault="00195BE7" w:rsidP="00195BE7">
      <w:pPr>
        <w:spacing w:line="240" w:lineRule="auto"/>
        <w:jc w:val="center"/>
        <w:rPr>
          <w:b/>
          <w:color w:val="1F497D" w:themeColor="text2"/>
          <w:sz w:val="18"/>
          <w:szCs w:val="18"/>
        </w:rPr>
      </w:pPr>
    </w:p>
    <w:p w:rsidR="00195BE7" w:rsidRPr="001E2F6E" w:rsidRDefault="00195BE7" w:rsidP="00195BE7">
      <w:pPr>
        <w:jc w:val="center"/>
        <w:rPr>
          <w:b/>
          <w:color w:val="000080"/>
          <w:sz w:val="16"/>
          <w:szCs w:val="16"/>
        </w:rPr>
      </w:pPr>
    </w:p>
    <w:p w:rsidR="00195BE7" w:rsidRPr="001E2F6E" w:rsidRDefault="00195BE7" w:rsidP="00195BE7">
      <w:pPr>
        <w:pStyle w:val="Ttulo6"/>
        <w:keepNext w:val="0"/>
        <w:widowControl w:val="0"/>
        <w:jc w:val="center"/>
        <w:rPr>
          <w:rFonts w:ascii="Arial" w:hAnsi="Arial" w:cs="Arial"/>
          <w:b w:val="0"/>
          <w:i/>
          <w:sz w:val="16"/>
        </w:rPr>
      </w:pPr>
      <w:r w:rsidRPr="001E2F6E">
        <w:rPr>
          <w:rFonts w:ascii="Arial" w:hAnsi="Arial" w:cs="Arial"/>
          <w:b w:val="0"/>
          <w:i/>
          <w:sz w:val="16"/>
        </w:rPr>
        <w:t xml:space="preserve">Iturria: EHLABE eta CONACEE </w:t>
      </w:r>
    </w:p>
    <w:p w:rsidR="00195BE7" w:rsidRPr="001E2F6E" w:rsidRDefault="00195BE7" w:rsidP="00195BE7"/>
    <w:p w:rsidR="00195BE7" w:rsidRPr="001E2F6E" w:rsidRDefault="00195BE7" w:rsidP="00195BE7"/>
    <w:p w:rsidR="00195BE7" w:rsidRPr="001E2F6E" w:rsidRDefault="00195BE7" w:rsidP="00195BE7">
      <w:pPr>
        <w:pStyle w:val="Ttulo1"/>
        <w:ind w:left="708" w:hanging="708"/>
        <w:rPr>
          <w:color w:val="1F497D" w:themeColor="text2"/>
          <w:sz w:val="22"/>
          <w:szCs w:val="22"/>
        </w:rPr>
      </w:pPr>
      <w:bookmarkStart w:id="360" w:name="_Toc391989043"/>
      <w:bookmarkStart w:id="361" w:name="_Toc392585706"/>
      <w:r w:rsidRPr="001E2F6E">
        <w:rPr>
          <w:color w:val="1F497D" w:themeColor="text2"/>
          <w:sz w:val="22"/>
          <w:szCs w:val="22"/>
        </w:rPr>
        <w:t xml:space="preserve">2.2.- </w:t>
      </w:r>
      <w:r w:rsidRPr="001E2F6E">
        <w:rPr>
          <w:color w:val="1F497D" w:themeColor="text2"/>
          <w:sz w:val="22"/>
          <w:szCs w:val="22"/>
        </w:rPr>
        <w:tab/>
        <w:t>ENPLEGU-ZENTRO BEREZIETAKO ENPLEGUA</w:t>
      </w:r>
      <w:bookmarkEnd w:id="360"/>
      <w:bookmarkEnd w:id="361"/>
    </w:p>
    <w:p w:rsidR="00195BE7" w:rsidRPr="001E2F6E" w:rsidRDefault="00195BE7" w:rsidP="00195BE7"/>
    <w:p w:rsidR="00195BE7" w:rsidRPr="001E2F6E" w:rsidRDefault="00195BE7" w:rsidP="00195BE7">
      <w:pPr>
        <w:rPr>
          <w:b/>
          <w:lang w:val="eu-ES"/>
        </w:rPr>
      </w:pPr>
      <w:r w:rsidRPr="001E2F6E">
        <w:rPr>
          <w:lang w:val="eu-ES"/>
        </w:rPr>
        <w:t xml:space="preserve">Enplegu Zentro Berezietako Enplegua </w:t>
      </w:r>
      <w:r w:rsidRPr="00F203B2">
        <w:rPr>
          <w:rFonts w:eastAsiaTheme="minorHAnsi"/>
          <w:b/>
          <w:color w:val="1F497D" w:themeColor="text2"/>
          <w:szCs w:val="22"/>
          <w:lang w:val="de-DE"/>
        </w:rPr>
        <w:t>9.368 langiletan</w:t>
      </w:r>
      <w:r w:rsidRPr="001E2F6E">
        <w:rPr>
          <w:b/>
          <w:lang w:val="eu-ES"/>
        </w:rPr>
        <w:t xml:space="preserve"> </w:t>
      </w:r>
      <w:r w:rsidRPr="001E2F6E">
        <w:rPr>
          <w:lang w:val="eu-ES"/>
        </w:rPr>
        <w:t>zenbatesten da.</w:t>
      </w:r>
    </w:p>
    <w:p w:rsidR="00195BE7" w:rsidRPr="00A105C6" w:rsidRDefault="00195BE7" w:rsidP="00195BE7">
      <w:pPr>
        <w:rPr>
          <w:lang w:val="de-DE"/>
        </w:rPr>
      </w:pPr>
    </w:p>
    <w:p w:rsidR="00195BE7" w:rsidRPr="001E2F6E" w:rsidRDefault="00195BE7" w:rsidP="00195BE7">
      <w:pPr>
        <w:spacing w:line="240" w:lineRule="auto"/>
        <w:jc w:val="center"/>
        <w:rPr>
          <w:b/>
          <w:color w:val="1F497D" w:themeColor="text2"/>
          <w:sz w:val="18"/>
          <w:szCs w:val="18"/>
        </w:rPr>
      </w:pPr>
      <w:bookmarkStart w:id="362" w:name="_Toc391989171"/>
      <w:bookmarkStart w:id="363" w:name="_Toc392585878"/>
      <w:r w:rsidRPr="001E2F6E">
        <w:rPr>
          <w:b/>
          <w:noProof/>
          <w:color w:val="1F497D" w:themeColor="text2"/>
          <w:sz w:val="18"/>
          <w:szCs w:val="18"/>
        </w:rPr>
        <w:t>4.</w:t>
      </w:r>
      <w:r w:rsidR="00EB6BA6" w:rsidRPr="001E2F6E">
        <w:rPr>
          <w:b/>
          <w:noProof/>
          <w:color w:val="1F497D" w:themeColor="text2"/>
          <w:sz w:val="18"/>
          <w:szCs w:val="18"/>
        </w:rPr>
        <w:fldChar w:fldCharType="begin"/>
      </w:r>
      <w:r w:rsidRPr="001E2F6E">
        <w:rPr>
          <w:b/>
          <w:noProof/>
          <w:color w:val="1F497D" w:themeColor="text2"/>
          <w:sz w:val="18"/>
          <w:szCs w:val="18"/>
        </w:rPr>
        <w:instrText xml:space="preserve"> SEQ Gráfico_4. \* ARABIC </w:instrText>
      </w:r>
      <w:r w:rsidR="00EB6BA6" w:rsidRPr="001E2F6E">
        <w:rPr>
          <w:b/>
          <w:noProof/>
          <w:color w:val="1F497D" w:themeColor="text2"/>
          <w:sz w:val="18"/>
          <w:szCs w:val="18"/>
        </w:rPr>
        <w:fldChar w:fldCharType="separate"/>
      </w:r>
      <w:r w:rsidR="00A327D4">
        <w:rPr>
          <w:b/>
          <w:noProof/>
          <w:color w:val="1F497D" w:themeColor="text2"/>
          <w:sz w:val="18"/>
          <w:szCs w:val="18"/>
        </w:rPr>
        <w:t>4</w:t>
      </w:r>
      <w:r w:rsidR="00EB6BA6" w:rsidRPr="001E2F6E">
        <w:rPr>
          <w:b/>
          <w:noProof/>
          <w:color w:val="1F497D" w:themeColor="text2"/>
          <w:sz w:val="18"/>
          <w:szCs w:val="18"/>
        </w:rPr>
        <w:fldChar w:fldCharType="end"/>
      </w:r>
      <w:r w:rsidRPr="001E2F6E">
        <w:rPr>
          <w:b/>
          <w:noProof/>
          <w:color w:val="1F497D" w:themeColor="text2"/>
          <w:sz w:val="18"/>
          <w:szCs w:val="18"/>
        </w:rPr>
        <w:t xml:space="preserve"> Irudia </w:t>
      </w:r>
      <w:r w:rsidRPr="001E2F6E">
        <w:rPr>
          <w:b/>
          <w:color w:val="1F497D" w:themeColor="text2"/>
          <w:sz w:val="18"/>
          <w:szCs w:val="18"/>
        </w:rPr>
        <w:t>ENPLEGU-ZENTRO BEREZIEN ENPLEGUAREN LURRALDE-BANAKETA. 2012 (</w:t>
      </w:r>
      <w:r w:rsidR="00462130" w:rsidRPr="001E2F6E">
        <w:rPr>
          <w:b/>
          <w:color w:val="1F497D" w:themeColor="text2"/>
          <w:sz w:val="18"/>
          <w:szCs w:val="18"/>
        </w:rPr>
        <w:t xml:space="preserve">zifra absolutuak </w:t>
      </w:r>
      <w:r w:rsidRPr="001E2F6E">
        <w:rPr>
          <w:b/>
          <w:color w:val="1F497D" w:themeColor="text2"/>
          <w:sz w:val="18"/>
          <w:szCs w:val="18"/>
        </w:rPr>
        <w:t>eta %)</w:t>
      </w:r>
      <w:bookmarkEnd w:id="362"/>
      <w:bookmarkEnd w:id="363"/>
    </w:p>
    <w:p w:rsidR="00195BE7" w:rsidRPr="001E2F6E" w:rsidRDefault="00195BE7" w:rsidP="00195BE7">
      <w:pPr>
        <w:jc w:val="center"/>
        <w:rPr>
          <w:b/>
          <w:color w:val="000080"/>
          <w:sz w:val="16"/>
          <w:szCs w:val="16"/>
        </w:rPr>
      </w:pPr>
      <w:r w:rsidRPr="001E2F6E">
        <w:rPr>
          <w:b/>
          <w:noProof/>
          <w:color w:val="000080"/>
          <w:sz w:val="16"/>
          <w:szCs w:val="16"/>
          <w:lang w:eastAsia="es-ES"/>
        </w:rPr>
        <w:drawing>
          <wp:anchor distT="0" distB="0" distL="114300" distR="114300" simplePos="0" relativeHeight="251718656" behindDoc="0" locked="0" layoutInCell="1" allowOverlap="1" wp14:anchorId="00E8542D" wp14:editId="6BF1E736">
            <wp:simplePos x="0" y="0"/>
            <wp:positionH relativeFrom="column">
              <wp:posOffset>727710</wp:posOffset>
            </wp:positionH>
            <wp:positionV relativeFrom="paragraph">
              <wp:posOffset>166370</wp:posOffset>
            </wp:positionV>
            <wp:extent cx="3943350" cy="2066925"/>
            <wp:effectExtent l="0" t="0" r="0" b="0"/>
            <wp:wrapNone/>
            <wp:docPr id="25"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anchor>
        </w:drawing>
      </w:r>
    </w:p>
    <w:p w:rsidR="00195BE7" w:rsidRPr="001E2F6E" w:rsidRDefault="00195BE7" w:rsidP="00195BE7">
      <w:pPr>
        <w:spacing w:line="240" w:lineRule="auto"/>
        <w:jc w:val="center"/>
        <w:rPr>
          <w:b/>
          <w:color w:val="1F497D" w:themeColor="text2"/>
          <w:sz w:val="18"/>
          <w:szCs w:val="18"/>
        </w:rPr>
      </w:pPr>
    </w:p>
    <w:p w:rsidR="00195BE7" w:rsidRPr="001E2F6E" w:rsidRDefault="00195BE7" w:rsidP="00195BE7">
      <w:pPr>
        <w:spacing w:line="240" w:lineRule="auto"/>
        <w:jc w:val="center"/>
        <w:rPr>
          <w:b/>
          <w:color w:val="1F497D" w:themeColor="text2"/>
          <w:sz w:val="18"/>
          <w:szCs w:val="18"/>
        </w:rPr>
      </w:pPr>
    </w:p>
    <w:p w:rsidR="00195BE7" w:rsidRPr="001E2F6E" w:rsidRDefault="00195BE7" w:rsidP="00195BE7">
      <w:pPr>
        <w:jc w:val="center"/>
        <w:rPr>
          <w:b/>
          <w:color w:val="000080"/>
          <w:sz w:val="16"/>
          <w:szCs w:val="16"/>
        </w:rPr>
      </w:pPr>
    </w:p>
    <w:p w:rsidR="00195BE7" w:rsidRPr="001E2F6E" w:rsidRDefault="00195BE7" w:rsidP="00195BE7">
      <w:pPr>
        <w:jc w:val="center"/>
        <w:rPr>
          <w:b/>
          <w:color w:val="000080"/>
          <w:sz w:val="16"/>
          <w:szCs w:val="16"/>
        </w:rPr>
      </w:pPr>
    </w:p>
    <w:p w:rsidR="00195BE7" w:rsidRPr="001E2F6E" w:rsidRDefault="00195BE7" w:rsidP="00195BE7">
      <w:pPr>
        <w:jc w:val="center"/>
        <w:rPr>
          <w:b/>
          <w:color w:val="000080"/>
          <w:sz w:val="16"/>
          <w:szCs w:val="16"/>
        </w:rPr>
      </w:pPr>
    </w:p>
    <w:p w:rsidR="00195BE7" w:rsidRPr="001E2F6E" w:rsidRDefault="00195BE7" w:rsidP="00195BE7">
      <w:pPr>
        <w:jc w:val="center"/>
        <w:rPr>
          <w:b/>
          <w:color w:val="000080"/>
          <w:sz w:val="16"/>
          <w:szCs w:val="16"/>
        </w:rPr>
      </w:pPr>
    </w:p>
    <w:p w:rsidR="00195BE7" w:rsidRPr="001E2F6E" w:rsidRDefault="00195BE7" w:rsidP="00195BE7">
      <w:pPr>
        <w:jc w:val="center"/>
        <w:rPr>
          <w:b/>
          <w:color w:val="000080"/>
          <w:sz w:val="16"/>
          <w:szCs w:val="16"/>
        </w:rPr>
      </w:pPr>
    </w:p>
    <w:p w:rsidR="00195BE7" w:rsidRPr="001E2F6E" w:rsidRDefault="00195BE7" w:rsidP="00195BE7">
      <w:pPr>
        <w:jc w:val="center"/>
        <w:rPr>
          <w:b/>
          <w:color w:val="000080"/>
          <w:sz w:val="16"/>
          <w:szCs w:val="16"/>
        </w:rPr>
      </w:pPr>
    </w:p>
    <w:p w:rsidR="00195BE7" w:rsidRPr="001E2F6E" w:rsidRDefault="00195BE7" w:rsidP="00195BE7">
      <w:pPr>
        <w:jc w:val="center"/>
        <w:rPr>
          <w:b/>
          <w:color w:val="000080"/>
          <w:sz w:val="16"/>
          <w:szCs w:val="16"/>
        </w:rPr>
      </w:pPr>
    </w:p>
    <w:p w:rsidR="00195BE7" w:rsidRPr="001E2F6E" w:rsidRDefault="00195BE7" w:rsidP="00195BE7">
      <w:pPr>
        <w:jc w:val="center"/>
        <w:rPr>
          <w:b/>
          <w:color w:val="000080"/>
          <w:sz w:val="16"/>
          <w:szCs w:val="16"/>
        </w:rPr>
      </w:pPr>
    </w:p>
    <w:p w:rsidR="00195BE7" w:rsidRPr="001E2F6E" w:rsidRDefault="00195BE7" w:rsidP="00195BE7">
      <w:pPr>
        <w:jc w:val="center"/>
        <w:rPr>
          <w:b/>
          <w:color w:val="000080"/>
          <w:sz w:val="16"/>
          <w:szCs w:val="16"/>
        </w:rPr>
      </w:pPr>
    </w:p>
    <w:p w:rsidR="00195BE7" w:rsidRPr="001E2F6E" w:rsidRDefault="00195BE7" w:rsidP="00195BE7">
      <w:pPr>
        <w:jc w:val="center"/>
        <w:rPr>
          <w:b/>
          <w:color w:val="000080"/>
          <w:sz w:val="16"/>
          <w:szCs w:val="16"/>
        </w:rPr>
      </w:pPr>
    </w:p>
    <w:p w:rsidR="00195BE7" w:rsidRPr="001E2F6E" w:rsidRDefault="00195BE7" w:rsidP="00195BE7">
      <w:pPr>
        <w:jc w:val="center"/>
        <w:rPr>
          <w:b/>
          <w:color w:val="000080"/>
          <w:sz w:val="16"/>
          <w:szCs w:val="16"/>
        </w:rPr>
      </w:pPr>
    </w:p>
    <w:p w:rsidR="00195BE7" w:rsidRPr="001E2F6E" w:rsidRDefault="00195BE7" w:rsidP="00195BE7">
      <w:pPr>
        <w:jc w:val="center"/>
        <w:rPr>
          <w:b/>
          <w:color w:val="000080"/>
          <w:sz w:val="16"/>
          <w:szCs w:val="16"/>
        </w:rPr>
      </w:pPr>
    </w:p>
    <w:p w:rsidR="00195BE7" w:rsidRPr="001E2F6E" w:rsidRDefault="00195BE7" w:rsidP="00195BE7">
      <w:pPr>
        <w:pStyle w:val="Ttulo6"/>
        <w:keepNext w:val="0"/>
        <w:widowControl w:val="0"/>
        <w:jc w:val="center"/>
        <w:rPr>
          <w:rFonts w:ascii="Arial" w:hAnsi="Arial" w:cs="Arial"/>
          <w:b w:val="0"/>
          <w:i/>
          <w:sz w:val="16"/>
        </w:rPr>
      </w:pPr>
      <w:r w:rsidRPr="001E2F6E">
        <w:rPr>
          <w:rFonts w:ascii="Arial" w:hAnsi="Arial" w:cs="Arial"/>
          <w:b w:val="0"/>
          <w:i/>
          <w:sz w:val="16"/>
        </w:rPr>
        <w:t>Iturria: EHLABE eta CONACEE</w:t>
      </w:r>
    </w:p>
    <w:p w:rsidR="00195BE7" w:rsidRPr="001E2F6E" w:rsidRDefault="00195BE7" w:rsidP="00195BE7">
      <w:pPr>
        <w:jc w:val="left"/>
      </w:pPr>
      <w:r w:rsidRPr="001E2F6E">
        <w:br w:type="page"/>
      </w:r>
    </w:p>
    <w:p w:rsidR="00195BE7" w:rsidRPr="001E2F6E" w:rsidRDefault="00195BE7" w:rsidP="00195BE7">
      <w:pPr>
        <w:pStyle w:val="Ttulo1"/>
        <w:ind w:left="708" w:hanging="708"/>
        <w:rPr>
          <w:color w:val="1F497D" w:themeColor="text2"/>
          <w:sz w:val="22"/>
          <w:szCs w:val="22"/>
        </w:rPr>
      </w:pPr>
      <w:bookmarkStart w:id="364" w:name="_Toc391989044"/>
      <w:bookmarkStart w:id="365" w:name="_Toc392585707"/>
      <w:r w:rsidRPr="001E2F6E">
        <w:rPr>
          <w:color w:val="1F497D" w:themeColor="text2"/>
          <w:sz w:val="22"/>
          <w:szCs w:val="22"/>
        </w:rPr>
        <w:lastRenderedPageBreak/>
        <w:t xml:space="preserve">2.3.- </w:t>
      </w:r>
      <w:r w:rsidRPr="001E2F6E">
        <w:rPr>
          <w:color w:val="1F497D" w:themeColor="text2"/>
          <w:sz w:val="22"/>
          <w:szCs w:val="22"/>
        </w:rPr>
        <w:tab/>
        <w:t>MAGNITUDE EKONOMIKO NAGUSIAK: ENPLEGU-ZENTRO BEREZIAK</w:t>
      </w:r>
      <w:bookmarkEnd w:id="364"/>
      <w:bookmarkEnd w:id="365"/>
    </w:p>
    <w:p w:rsidR="00195BE7" w:rsidRPr="001E2F6E" w:rsidRDefault="00195BE7" w:rsidP="00195BE7"/>
    <w:p w:rsidR="00195BE7" w:rsidRPr="001E2F6E" w:rsidRDefault="00195BE7" w:rsidP="00195BE7"/>
    <w:p w:rsidR="00195BE7" w:rsidRPr="00A105C6" w:rsidRDefault="00195BE7" w:rsidP="00195BE7">
      <w:pPr>
        <w:pStyle w:val="Ttulo1"/>
        <w:ind w:left="708" w:hanging="708"/>
        <w:rPr>
          <w:lang w:val="de-DE"/>
        </w:rPr>
      </w:pPr>
      <w:bookmarkStart w:id="366" w:name="_Toc391565535"/>
      <w:bookmarkStart w:id="367" w:name="_Toc391989045"/>
      <w:bookmarkStart w:id="368" w:name="_Toc392585708"/>
      <w:r w:rsidRPr="00A105C6">
        <w:rPr>
          <w:color w:val="1F497D" w:themeColor="text2"/>
          <w:sz w:val="22"/>
          <w:szCs w:val="22"/>
          <w:lang w:val="de-DE"/>
        </w:rPr>
        <w:t xml:space="preserve">2.3.1.- </w:t>
      </w:r>
      <w:bookmarkEnd w:id="366"/>
      <w:r w:rsidRPr="00A105C6">
        <w:rPr>
          <w:color w:val="1F497D" w:themeColor="text2"/>
          <w:sz w:val="22"/>
          <w:szCs w:val="22"/>
          <w:lang w:val="de-DE"/>
        </w:rPr>
        <w:t>Enplegu-Zentro Berezien Diru-Sarrerak</w:t>
      </w:r>
      <w:bookmarkEnd w:id="367"/>
      <w:bookmarkEnd w:id="368"/>
    </w:p>
    <w:p w:rsidR="00195BE7" w:rsidRPr="00A105C6" w:rsidRDefault="00195BE7" w:rsidP="00195BE7">
      <w:pPr>
        <w:rPr>
          <w:lang w:val="de-DE"/>
        </w:rPr>
      </w:pPr>
    </w:p>
    <w:p w:rsidR="00195BE7" w:rsidRPr="001E2F6E" w:rsidRDefault="00195BE7" w:rsidP="00195BE7">
      <w:pPr>
        <w:spacing w:line="240" w:lineRule="auto"/>
        <w:jc w:val="center"/>
        <w:rPr>
          <w:b/>
          <w:color w:val="1F497D" w:themeColor="text2"/>
          <w:sz w:val="18"/>
          <w:szCs w:val="18"/>
        </w:rPr>
      </w:pPr>
      <w:bookmarkStart w:id="369" w:name="_Toc391989177"/>
      <w:bookmarkStart w:id="370" w:name="_Toc392585857"/>
      <w:r w:rsidRPr="00A105C6">
        <w:rPr>
          <w:b/>
          <w:bCs/>
          <w:color w:val="1F497D" w:themeColor="text2"/>
          <w:sz w:val="18"/>
          <w:szCs w:val="18"/>
          <w:lang w:val="de-DE"/>
        </w:rPr>
        <w:t>4.</w:t>
      </w:r>
      <w:r w:rsidR="00EB6BA6" w:rsidRPr="001E2F6E">
        <w:rPr>
          <w:b/>
          <w:bCs/>
          <w:color w:val="1F497D" w:themeColor="text2"/>
          <w:sz w:val="18"/>
          <w:szCs w:val="18"/>
        </w:rPr>
        <w:fldChar w:fldCharType="begin"/>
      </w:r>
      <w:r w:rsidRPr="00A105C6">
        <w:rPr>
          <w:b/>
          <w:bCs/>
          <w:color w:val="1F497D" w:themeColor="text2"/>
          <w:sz w:val="18"/>
          <w:szCs w:val="18"/>
          <w:lang w:val="de-DE"/>
        </w:rPr>
        <w:instrText xml:space="preserve"> SEQ Cuadro_4. \* ARABIC </w:instrText>
      </w:r>
      <w:r w:rsidR="00EB6BA6" w:rsidRPr="001E2F6E">
        <w:rPr>
          <w:b/>
          <w:bCs/>
          <w:color w:val="1F497D" w:themeColor="text2"/>
          <w:sz w:val="18"/>
          <w:szCs w:val="18"/>
        </w:rPr>
        <w:fldChar w:fldCharType="separate"/>
      </w:r>
      <w:r w:rsidR="00A327D4">
        <w:rPr>
          <w:b/>
          <w:bCs/>
          <w:noProof/>
          <w:color w:val="1F497D" w:themeColor="text2"/>
          <w:sz w:val="18"/>
          <w:szCs w:val="18"/>
          <w:lang w:val="de-DE"/>
        </w:rPr>
        <w:t>4</w:t>
      </w:r>
      <w:r w:rsidR="00EB6BA6" w:rsidRPr="001E2F6E">
        <w:rPr>
          <w:b/>
          <w:bCs/>
          <w:color w:val="1F497D" w:themeColor="text2"/>
          <w:sz w:val="18"/>
          <w:szCs w:val="18"/>
        </w:rPr>
        <w:fldChar w:fldCharType="end"/>
      </w:r>
      <w:r w:rsidRPr="001E2F6E">
        <w:rPr>
          <w:b/>
          <w:bCs/>
          <w:color w:val="1F497D" w:themeColor="text2"/>
          <w:sz w:val="18"/>
          <w:szCs w:val="18"/>
        </w:rPr>
        <w:t xml:space="preserve"> Taula </w:t>
      </w:r>
      <w:r w:rsidRPr="001E2F6E">
        <w:rPr>
          <w:b/>
          <w:color w:val="1F497D" w:themeColor="text2"/>
          <w:sz w:val="18"/>
          <w:szCs w:val="18"/>
        </w:rPr>
        <w:t>USTIAPEN- ETA FINANTZA-SARREREN BANAKETA ENPLEGU-ZENTRO BEREZIETAN 2012. (</w:t>
      </w:r>
      <w:r w:rsidR="00462130" w:rsidRPr="001E2F6E">
        <w:rPr>
          <w:b/>
          <w:color w:val="1F497D" w:themeColor="text2"/>
          <w:sz w:val="18"/>
          <w:szCs w:val="18"/>
        </w:rPr>
        <w:t xml:space="preserve">zifra absolutuak </w:t>
      </w:r>
      <w:r w:rsidRPr="001E2F6E">
        <w:rPr>
          <w:b/>
          <w:color w:val="1F497D" w:themeColor="text2"/>
          <w:sz w:val="18"/>
          <w:szCs w:val="18"/>
        </w:rPr>
        <w:t>eta %bertikalak)</w:t>
      </w:r>
      <w:bookmarkEnd w:id="369"/>
      <w:bookmarkEnd w:id="370"/>
    </w:p>
    <w:tbl>
      <w:tblPr>
        <w:tblW w:w="5000" w:type="pct"/>
        <w:jc w:val="center"/>
        <w:tblLook w:val="04A0" w:firstRow="1" w:lastRow="0" w:firstColumn="1" w:lastColumn="0" w:noHBand="0" w:noVBand="1"/>
      </w:tblPr>
      <w:tblGrid>
        <w:gridCol w:w="4824"/>
        <w:gridCol w:w="2300"/>
        <w:gridCol w:w="1880"/>
      </w:tblGrid>
      <w:tr w:rsidR="00195BE7" w:rsidRPr="001E2F6E" w:rsidTr="00195BE7">
        <w:trPr>
          <w:jc w:val="center"/>
        </w:trPr>
        <w:tc>
          <w:tcPr>
            <w:tcW w:w="2679" w:type="pct"/>
            <w:tcBorders>
              <w:top w:val="single" w:sz="4" w:space="0" w:color="BFBFBF" w:themeColor="background1" w:themeShade="BF"/>
              <w:right w:val="single" w:sz="4" w:space="0" w:color="BFBFBF" w:themeColor="background1" w:themeShade="BF"/>
            </w:tcBorders>
            <w:shd w:val="clear" w:color="auto" w:fill="DBE5F1" w:themeFill="accent1" w:themeFillTint="33"/>
            <w:vAlign w:val="bottom"/>
            <w:hideMark/>
          </w:tcPr>
          <w:p w:rsidR="00195BE7" w:rsidRPr="001E2F6E" w:rsidRDefault="00195BE7" w:rsidP="00195BE7">
            <w:pPr>
              <w:spacing w:line="240" w:lineRule="exact"/>
              <w:rPr>
                <w:sz w:val="16"/>
                <w:szCs w:val="16"/>
              </w:rPr>
            </w:pPr>
          </w:p>
        </w:tc>
        <w:tc>
          <w:tcPr>
            <w:tcW w:w="2321" w:type="pct"/>
            <w:gridSpan w:val="2"/>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vAlign w:val="bottom"/>
            <w:hideMark/>
          </w:tcPr>
          <w:p w:rsidR="00195BE7" w:rsidRPr="001E2F6E" w:rsidRDefault="00195BE7" w:rsidP="00195BE7">
            <w:pPr>
              <w:spacing w:line="240" w:lineRule="exact"/>
              <w:jc w:val="center"/>
              <w:rPr>
                <w:b/>
                <w:bCs/>
                <w:sz w:val="16"/>
                <w:szCs w:val="16"/>
              </w:rPr>
            </w:pPr>
            <w:r w:rsidRPr="001E2F6E">
              <w:rPr>
                <w:b/>
                <w:bCs/>
                <w:sz w:val="16"/>
                <w:szCs w:val="16"/>
              </w:rPr>
              <w:t>2012</w:t>
            </w:r>
          </w:p>
        </w:tc>
      </w:tr>
      <w:tr w:rsidR="00195BE7" w:rsidRPr="001E2F6E" w:rsidTr="00195BE7">
        <w:trPr>
          <w:jc w:val="center"/>
        </w:trPr>
        <w:tc>
          <w:tcPr>
            <w:tcW w:w="2679" w:type="pct"/>
            <w:tcBorders>
              <w:bottom w:val="single" w:sz="4" w:space="0" w:color="BFBFBF" w:themeColor="background1" w:themeShade="BF"/>
              <w:right w:val="single" w:sz="4" w:space="0" w:color="BFBFBF" w:themeColor="background1" w:themeShade="BF"/>
            </w:tcBorders>
            <w:shd w:val="clear" w:color="auto" w:fill="DBE5F1" w:themeFill="accent1" w:themeFillTint="33"/>
            <w:vAlign w:val="bottom"/>
            <w:hideMark/>
          </w:tcPr>
          <w:p w:rsidR="00195BE7" w:rsidRPr="001E2F6E" w:rsidRDefault="00195BE7" w:rsidP="00195BE7">
            <w:pPr>
              <w:spacing w:line="240" w:lineRule="exact"/>
              <w:rPr>
                <w:sz w:val="16"/>
                <w:szCs w:val="16"/>
              </w:rPr>
            </w:pPr>
          </w:p>
        </w:tc>
        <w:tc>
          <w:tcPr>
            <w:tcW w:w="127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hideMark/>
          </w:tcPr>
          <w:p w:rsidR="00195BE7" w:rsidRPr="001E2F6E" w:rsidRDefault="00195BE7" w:rsidP="00195BE7">
            <w:pPr>
              <w:spacing w:line="240" w:lineRule="exact"/>
              <w:jc w:val="center"/>
              <w:rPr>
                <w:b/>
                <w:bCs/>
                <w:sz w:val="16"/>
                <w:szCs w:val="16"/>
              </w:rPr>
            </w:pPr>
            <w:r w:rsidRPr="001E2F6E">
              <w:rPr>
                <w:b/>
                <w:bCs/>
                <w:sz w:val="16"/>
                <w:szCs w:val="16"/>
              </w:rPr>
              <w:t xml:space="preserve">Euroak </w:t>
            </w:r>
          </w:p>
        </w:tc>
        <w:tc>
          <w:tcPr>
            <w:tcW w:w="1044"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hideMark/>
          </w:tcPr>
          <w:p w:rsidR="00195BE7" w:rsidRPr="001E2F6E" w:rsidRDefault="00195BE7" w:rsidP="00195BE7">
            <w:pPr>
              <w:spacing w:line="240" w:lineRule="exact"/>
              <w:jc w:val="center"/>
              <w:rPr>
                <w:b/>
                <w:bCs/>
                <w:sz w:val="16"/>
                <w:szCs w:val="16"/>
              </w:rPr>
            </w:pPr>
            <w:r w:rsidRPr="001E2F6E">
              <w:rPr>
                <w:b/>
                <w:bCs/>
                <w:sz w:val="16"/>
                <w:szCs w:val="16"/>
              </w:rPr>
              <w:t>%ber.</w:t>
            </w:r>
          </w:p>
        </w:tc>
      </w:tr>
      <w:tr w:rsidR="00195BE7" w:rsidRPr="001E2F6E" w:rsidTr="00195BE7">
        <w:trPr>
          <w:jc w:val="center"/>
        </w:trPr>
        <w:tc>
          <w:tcPr>
            <w:tcW w:w="2679" w:type="pct"/>
            <w:tcBorders>
              <w:top w:val="single" w:sz="4" w:space="0" w:color="BFBFBF" w:themeColor="background1" w:themeShade="BF"/>
              <w:right w:val="single" w:sz="4" w:space="0" w:color="BFBFBF" w:themeColor="background1" w:themeShade="BF"/>
            </w:tcBorders>
            <w:vAlign w:val="bottom"/>
            <w:hideMark/>
          </w:tcPr>
          <w:p w:rsidR="00195BE7" w:rsidRPr="001E2F6E" w:rsidRDefault="00195BE7" w:rsidP="00195BE7">
            <w:pPr>
              <w:spacing w:line="240" w:lineRule="exact"/>
              <w:rPr>
                <w:color w:val="000000"/>
                <w:sz w:val="16"/>
                <w:szCs w:val="16"/>
              </w:rPr>
            </w:pPr>
            <w:r w:rsidRPr="001E2F6E">
              <w:rPr>
                <w:color w:val="000000"/>
                <w:sz w:val="16"/>
                <w:szCs w:val="16"/>
              </w:rPr>
              <w:t>Salmentak</w:t>
            </w:r>
          </w:p>
        </w:tc>
        <w:tc>
          <w:tcPr>
            <w:tcW w:w="1277" w:type="pct"/>
            <w:tcBorders>
              <w:top w:val="single" w:sz="4" w:space="0" w:color="BFBFBF" w:themeColor="background1" w:themeShade="BF"/>
              <w:left w:val="single" w:sz="4" w:space="0" w:color="BFBFBF" w:themeColor="background1" w:themeShade="BF"/>
              <w:right w:val="single" w:sz="4" w:space="0" w:color="BFBFBF" w:themeColor="background1" w:themeShade="BF"/>
            </w:tcBorders>
            <w:noWrap/>
            <w:vAlign w:val="bottom"/>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175.567.575</w:t>
            </w:r>
          </w:p>
        </w:tc>
        <w:tc>
          <w:tcPr>
            <w:tcW w:w="1044" w:type="pct"/>
            <w:tcBorders>
              <w:top w:val="single" w:sz="4" w:space="0" w:color="BFBFBF" w:themeColor="background1" w:themeShade="BF"/>
              <w:left w:val="single" w:sz="4" w:space="0" w:color="BFBFBF" w:themeColor="background1" w:themeShade="BF"/>
            </w:tcBorders>
            <w:vAlign w:val="bottom"/>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75,8</w:t>
            </w:r>
          </w:p>
        </w:tc>
      </w:tr>
      <w:tr w:rsidR="00195BE7" w:rsidRPr="001E2F6E" w:rsidTr="00195BE7">
        <w:trPr>
          <w:jc w:val="center"/>
        </w:trPr>
        <w:tc>
          <w:tcPr>
            <w:tcW w:w="2679" w:type="pct"/>
            <w:tcBorders>
              <w:right w:val="single" w:sz="4" w:space="0" w:color="BFBFBF" w:themeColor="background1" w:themeShade="BF"/>
            </w:tcBorders>
            <w:noWrap/>
            <w:vAlign w:val="bottom"/>
            <w:hideMark/>
          </w:tcPr>
          <w:p w:rsidR="00195BE7" w:rsidRPr="001E2F6E" w:rsidRDefault="00195BE7" w:rsidP="00195BE7">
            <w:pPr>
              <w:spacing w:line="240" w:lineRule="exact"/>
              <w:rPr>
                <w:color w:val="000000"/>
                <w:sz w:val="16"/>
                <w:szCs w:val="16"/>
              </w:rPr>
            </w:pPr>
            <w:r w:rsidRPr="001E2F6E">
              <w:rPr>
                <w:color w:val="000000"/>
                <w:sz w:val="16"/>
                <w:szCs w:val="16"/>
                <w:lang w:val="eu-ES"/>
              </w:rPr>
              <w:t>Dirulaguntza, dohaintza eta legatuak</w:t>
            </w:r>
            <w:r w:rsidRPr="001E2F6E">
              <w:rPr>
                <w:color w:val="000000"/>
                <w:sz w:val="16"/>
                <w:szCs w:val="16"/>
              </w:rPr>
              <w:t xml:space="preserve"> </w:t>
            </w:r>
          </w:p>
        </w:tc>
        <w:tc>
          <w:tcPr>
            <w:tcW w:w="1277" w:type="pct"/>
            <w:tcBorders>
              <w:left w:val="single" w:sz="4" w:space="0" w:color="BFBFBF" w:themeColor="background1" w:themeShade="BF"/>
              <w:right w:val="single" w:sz="4" w:space="0" w:color="BFBFBF" w:themeColor="background1" w:themeShade="BF"/>
            </w:tcBorders>
            <w:noWrap/>
            <w:vAlign w:val="bottom"/>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46.152.192</w:t>
            </w:r>
          </w:p>
        </w:tc>
        <w:tc>
          <w:tcPr>
            <w:tcW w:w="1044" w:type="pct"/>
            <w:tcBorders>
              <w:left w:val="single" w:sz="4" w:space="0" w:color="BFBFBF" w:themeColor="background1" w:themeShade="BF"/>
            </w:tcBorders>
            <w:vAlign w:val="bottom"/>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19,9</w:t>
            </w:r>
          </w:p>
        </w:tc>
      </w:tr>
      <w:tr w:rsidR="00195BE7" w:rsidRPr="001E2F6E" w:rsidTr="00195BE7">
        <w:trPr>
          <w:jc w:val="center"/>
        </w:trPr>
        <w:tc>
          <w:tcPr>
            <w:tcW w:w="2679" w:type="pct"/>
            <w:tcBorders>
              <w:right w:val="single" w:sz="4" w:space="0" w:color="BFBFBF" w:themeColor="background1" w:themeShade="BF"/>
            </w:tcBorders>
            <w:vAlign w:val="bottom"/>
            <w:hideMark/>
          </w:tcPr>
          <w:p w:rsidR="00195BE7" w:rsidRPr="001E2F6E" w:rsidRDefault="00195BE7" w:rsidP="00195BE7">
            <w:pPr>
              <w:spacing w:line="240" w:lineRule="exact"/>
              <w:rPr>
                <w:color w:val="000000"/>
                <w:sz w:val="16"/>
                <w:szCs w:val="16"/>
              </w:rPr>
            </w:pPr>
            <w:r w:rsidRPr="001E2F6E">
              <w:rPr>
                <w:color w:val="000000"/>
                <w:sz w:val="16"/>
                <w:szCs w:val="16"/>
              </w:rPr>
              <w:t xml:space="preserve">Beste ustiapen-sarrera batzuk </w:t>
            </w:r>
          </w:p>
        </w:tc>
        <w:tc>
          <w:tcPr>
            <w:tcW w:w="1277" w:type="pct"/>
            <w:tcBorders>
              <w:left w:val="single" w:sz="4" w:space="0" w:color="BFBFBF" w:themeColor="background1" w:themeShade="BF"/>
              <w:right w:val="single" w:sz="4" w:space="0" w:color="BFBFBF" w:themeColor="background1" w:themeShade="BF"/>
            </w:tcBorders>
            <w:noWrap/>
            <w:vAlign w:val="bottom"/>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9.600.456</w:t>
            </w:r>
          </w:p>
        </w:tc>
        <w:tc>
          <w:tcPr>
            <w:tcW w:w="1044" w:type="pct"/>
            <w:tcBorders>
              <w:left w:val="single" w:sz="4" w:space="0" w:color="BFBFBF" w:themeColor="background1" w:themeShade="BF"/>
            </w:tcBorders>
            <w:vAlign w:val="bottom"/>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4,1</w:t>
            </w:r>
          </w:p>
        </w:tc>
      </w:tr>
      <w:tr w:rsidR="00195BE7" w:rsidRPr="001E2F6E" w:rsidTr="00195BE7">
        <w:trPr>
          <w:jc w:val="center"/>
        </w:trPr>
        <w:tc>
          <w:tcPr>
            <w:tcW w:w="2679" w:type="pct"/>
            <w:tcBorders>
              <w:bottom w:val="single" w:sz="4" w:space="0" w:color="BFBFBF" w:themeColor="background1" w:themeShade="BF"/>
              <w:right w:val="single" w:sz="4" w:space="0" w:color="BFBFBF" w:themeColor="background1" w:themeShade="BF"/>
            </w:tcBorders>
            <w:vAlign w:val="bottom"/>
            <w:hideMark/>
          </w:tcPr>
          <w:p w:rsidR="00195BE7" w:rsidRPr="001E2F6E" w:rsidRDefault="00195BE7" w:rsidP="00195BE7">
            <w:pPr>
              <w:spacing w:line="240" w:lineRule="exact"/>
              <w:rPr>
                <w:color w:val="000000"/>
                <w:sz w:val="16"/>
                <w:szCs w:val="16"/>
              </w:rPr>
            </w:pPr>
            <w:r w:rsidRPr="001E2F6E">
              <w:rPr>
                <w:color w:val="000000"/>
                <w:sz w:val="16"/>
                <w:szCs w:val="16"/>
              </w:rPr>
              <w:t xml:space="preserve">Finantza-sarrerak </w:t>
            </w:r>
          </w:p>
        </w:tc>
        <w:tc>
          <w:tcPr>
            <w:tcW w:w="1277" w:type="pct"/>
            <w:tcBorders>
              <w:left w:val="single" w:sz="4" w:space="0" w:color="BFBFBF" w:themeColor="background1" w:themeShade="BF"/>
              <w:bottom w:val="single" w:sz="4" w:space="0" w:color="BFBFBF" w:themeColor="background1" w:themeShade="BF"/>
              <w:right w:val="single" w:sz="4" w:space="0" w:color="BFBFBF" w:themeColor="background1" w:themeShade="BF"/>
            </w:tcBorders>
            <w:noWrap/>
            <w:vAlign w:val="bottom"/>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273.380</w:t>
            </w:r>
          </w:p>
        </w:tc>
        <w:tc>
          <w:tcPr>
            <w:tcW w:w="1044" w:type="pct"/>
            <w:tcBorders>
              <w:left w:val="single" w:sz="4" w:space="0" w:color="BFBFBF" w:themeColor="background1" w:themeShade="BF"/>
              <w:bottom w:val="single" w:sz="4" w:space="0" w:color="BFBFBF" w:themeColor="background1" w:themeShade="BF"/>
            </w:tcBorders>
            <w:vAlign w:val="bottom"/>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0,1</w:t>
            </w:r>
          </w:p>
        </w:tc>
      </w:tr>
      <w:tr w:rsidR="00195BE7" w:rsidRPr="001E2F6E" w:rsidTr="00195BE7">
        <w:trPr>
          <w:jc w:val="center"/>
        </w:trPr>
        <w:tc>
          <w:tcPr>
            <w:tcW w:w="2679" w:type="pct"/>
            <w:tcBorders>
              <w:top w:val="single" w:sz="4" w:space="0" w:color="BFBFBF" w:themeColor="background1" w:themeShade="BF"/>
              <w:bottom w:val="single" w:sz="4" w:space="0" w:color="BFBFBF" w:themeColor="background1" w:themeShade="BF"/>
              <w:right w:val="single" w:sz="4" w:space="0" w:color="BFBFBF" w:themeColor="background1" w:themeShade="BF"/>
            </w:tcBorders>
            <w:vAlign w:val="bottom"/>
            <w:hideMark/>
          </w:tcPr>
          <w:p w:rsidR="00195BE7" w:rsidRPr="001E2F6E" w:rsidRDefault="00195BE7" w:rsidP="00195BE7">
            <w:pPr>
              <w:spacing w:line="240" w:lineRule="exact"/>
              <w:ind w:right="170"/>
              <w:rPr>
                <w:b/>
                <w:bCs/>
                <w:color w:val="000000"/>
                <w:sz w:val="16"/>
                <w:szCs w:val="16"/>
              </w:rPr>
            </w:pPr>
            <w:r w:rsidRPr="001E2F6E">
              <w:rPr>
                <w:b/>
                <w:bCs/>
                <w:color w:val="000000"/>
                <w:sz w:val="16"/>
                <w:szCs w:val="16"/>
              </w:rPr>
              <w:t>GUZTIRA</w:t>
            </w:r>
          </w:p>
        </w:tc>
        <w:tc>
          <w:tcPr>
            <w:tcW w:w="127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bottom"/>
            <w:hideMark/>
          </w:tcPr>
          <w:p w:rsidR="00195BE7" w:rsidRPr="001E2F6E" w:rsidRDefault="00195BE7" w:rsidP="00195BE7">
            <w:pPr>
              <w:spacing w:line="240" w:lineRule="exact"/>
              <w:ind w:right="170"/>
              <w:jc w:val="right"/>
              <w:rPr>
                <w:b/>
                <w:bCs/>
                <w:color w:val="000000"/>
                <w:sz w:val="16"/>
                <w:szCs w:val="16"/>
              </w:rPr>
            </w:pPr>
            <w:r w:rsidRPr="001E2F6E">
              <w:rPr>
                <w:b/>
                <w:bCs/>
                <w:color w:val="000000"/>
                <w:sz w:val="16"/>
                <w:szCs w:val="16"/>
              </w:rPr>
              <w:t>231.593.603</w:t>
            </w:r>
          </w:p>
        </w:tc>
        <w:tc>
          <w:tcPr>
            <w:tcW w:w="1044" w:type="pct"/>
            <w:tcBorders>
              <w:top w:val="single" w:sz="4" w:space="0" w:color="BFBFBF" w:themeColor="background1" w:themeShade="BF"/>
              <w:left w:val="single" w:sz="4" w:space="0" w:color="BFBFBF" w:themeColor="background1" w:themeShade="BF"/>
              <w:bottom w:val="single" w:sz="4" w:space="0" w:color="BFBFBF" w:themeColor="background1" w:themeShade="BF"/>
            </w:tcBorders>
            <w:vAlign w:val="bottom"/>
            <w:hideMark/>
          </w:tcPr>
          <w:p w:rsidR="00195BE7" w:rsidRPr="001E2F6E" w:rsidRDefault="00195BE7" w:rsidP="00195BE7">
            <w:pPr>
              <w:spacing w:line="240" w:lineRule="exact"/>
              <w:ind w:right="170"/>
              <w:jc w:val="right"/>
              <w:rPr>
                <w:b/>
                <w:bCs/>
                <w:color w:val="000000"/>
                <w:sz w:val="16"/>
                <w:szCs w:val="16"/>
              </w:rPr>
            </w:pPr>
            <w:r w:rsidRPr="001E2F6E">
              <w:rPr>
                <w:b/>
                <w:bCs/>
                <w:color w:val="000000"/>
                <w:sz w:val="16"/>
                <w:szCs w:val="16"/>
              </w:rPr>
              <w:t>100,0%</w:t>
            </w:r>
          </w:p>
        </w:tc>
      </w:tr>
    </w:tbl>
    <w:p w:rsidR="00195BE7" w:rsidRPr="001E2F6E" w:rsidRDefault="00195BE7" w:rsidP="00195BE7">
      <w:pPr>
        <w:pStyle w:val="Ttulo6"/>
        <w:keepNext w:val="0"/>
        <w:widowControl w:val="0"/>
        <w:jc w:val="center"/>
        <w:rPr>
          <w:rFonts w:ascii="Arial" w:hAnsi="Arial" w:cs="Arial"/>
          <w:b w:val="0"/>
          <w:i/>
          <w:sz w:val="16"/>
        </w:rPr>
      </w:pPr>
      <w:r w:rsidRPr="001E2F6E">
        <w:rPr>
          <w:rFonts w:ascii="Arial" w:hAnsi="Arial" w:cs="Arial"/>
          <w:b w:val="0"/>
          <w:i/>
          <w:sz w:val="16"/>
        </w:rPr>
        <w:t>Iturria: EHLABE eta Merkataritza Erregistroko datuak oinarri harturik egina</w:t>
      </w:r>
    </w:p>
    <w:p w:rsidR="00195BE7" w:rsidRPr="001E2F6E" w:rsidRDefault="00195BE7" w:rsidP="00195BE7">
      <w:pPr>
        <w:rPr>
          <w:lang w:val="es-ES_tradnl"/>
        </w:rPr>
      </w:pPr>
    </w:p>
    <w:p w:rsidR="00195BE7" w:rsidRPr="001E2F6E" w:rsidRDefault="00195BE7" w:rsidP="00195BE7"/>
    <w:p w:rsidR="00195BE7" w:rsidRPr="001E2F6E" w:rsidRDefault="00195BE7" w:rsidP="00195BE7">
      <w:pPr>
        <w:pStyle w:val="Ttulo1"/>
        <w:ind w:left="708" w:hanging="708"/>
        <w:rPr>
          <w:color w:val="1F497D" w:themeColor="text2"/>
          <w:sz w:val="22"/>
          <w:szCs w:val="22"/>
        </w:rPr>
      </w:pPr>
      <w:bookmarkStart w:id="371" w:name="_Toc391565536"/>
      <w:bookmarkStart w:id="372" w:name="_Toc391989046"/>
      <w:bookmarkStart w:id="373" w:name="_Toc392585709"/>
      <w:r w:rsidRPr="001E2F6E">
        <w:rPr>
          <w:color w:val="1F497D" w:themeColor="text2"/>
          <w:sz w:val="22"/>
          <w:szCs w:val="22"/>
        </w:rPr>
        <w:t xml:space="preserve">2.3.2.- </w:t>
      </w:r>
      <w:r w:rsidRPr="001E2F6E">
        <w:rPr>
          <w:color w:val="1F497D" w:themeColor="text2"/>
          <w:sz w:val="22"/>
          <w:szCs w:val="22"/>
        </w:rPr>
        <w:tab/>
      </w:r>
      <w:bookmarkEnd w:id="371"/>
      <w:r w:rsidRPr="001E2F6E">
        <w:rPr>
          <w:color w:val="1F497D" w:themeColor="text2"/>
          <w:sz w:val="22"/>
          <w:szCs w:val="22"/>
        </w:rPr>
        <w:t>Enplegu-Zentro Berezien BEGd-a</w:t>
      </w:r>
      <w:bookmarkEnd w:id="372"/>
      <w:bookmarkEnd w:id="373"/>
    </w:p>
    <w:p w:rsidR="00195BE7" w:rsidRPr="001E2F6E" w:rsidRDefault="00195BE7" w:rsidP="00195BE7"/>
    <w:p w:rsidR="00195BE7" w:rsidRPr="00A105C6" w:rsidRDefault="00195BE7" w:rsidP="00195BE7">
      <w:pPr>
        <w:spacing w:line="240" w:lineRule="auto"/>
        <w:jc w:val="center"/>
        <w:rPr>
          <w:b/>
          <w:color w:val="1F497D" w:themeColor="text2"/>
          <w:sz w:val="18"/>
          <w:szCs w:val="18"/>
          <w:lang w:val="de-DE"/>
        </w:rPr>
      </w:pPr>
      <w:bookmarkStart w:id="374" w:name="_Toc391989178"/>
      <w:bookmarkStart w:id="375" w:name="_Toc392585858"/>
      <w:r w:rsidRPr="00A105C6">
        <w:rPr>
          <w:b/>
          <w:bCs/>
          <w:color w:val="1F497D" w:themeColor="text2"/>
          <w:sz w:val="18"/>
          <w:szCs w:val="18"/>
          <w:lang w:val="de-DE"/>
        </w:rPr>
        <w:t>4.</w:t>
      </w:r>
      <w:r w:rsidR="00EB6BA6" w:rsidRPr="001E2F6E">
        <w:rPr>
          <w:b/>
          <w:bCs/>
          <w:color w:val="1F497D" w:themeColor="text2"/>
          <w:sz w:val="18"/>
          <w:szCs w:val="18"/>
        </w:rPr>
        <w:fldChar w:fldCharType="begin"/>
      </w:r>
      <w:r w:rsidRPr="00A105C6">
        <w:rPr>
          <w:b/>
          <w:bCs/>
          <w:color w:val="1F497D" w:themeColor="text2"/>
          <w:sz w:val="18"/>
          <w:szCs w:val="18"/>
          <w:lang w:val="de-DE"/>
        </w:rPr>
        <w:instrText xml:space="preserve"> SEQ Cuadro_4. \* ARABIC </w:instrText>
      </w:r>
      <w:r w:rsidR="00EB6BA6" w:rsidRPr="001E2F6E">
        <w:rPr>
          <w:b/>
          <w:bCs/>
          <w:color w:val="1F497D" w:themeColor="text2"/>
          <w:sz w:val="18"/>
          <w:szCs w:val="18"/>
        </w:rPr>
        <w:fldChar w:fldCharType="separate"/>
      </w:r>
      <w:r w:rsidR="00A327D4">
        <w:rPr>
          <w:b/>
          <w:bCs/>
          <w:noProof/>
          <w:color w:val="1F497D" w:themeColor="text2"/>
          <w:sz w:val="18"/>
          <w:szCs w:val="18"/>
          <w:lang w:val="de-DE"/>
        </w:rPr>
        <w:t>5</w:t>
      </w:r>
      <w:r w:rsidR="00EB6BA6" w:rsidRPr="001E2F6E">
        <w:rPr>
          <w:b/>
          <w:bCs/>
          <w:color w:val="1F497D" w:themeColor="text2"/>
          <w:sz w:val="18"/>
          <w:szCs w:val="18"/>
        </w:rPr>
        <w:fldChar w:fldCharType="end"/>
      </w:r>
      <w:r w:rsidRPr="00A105C6">
        <w:rPr>
          <w:b/>
          <w:bCs/>
          <w:color w:val="1F497D" w:themeColor="text2"/>
          <w:sz w:val="18"/>
          <w:szCs w:val="18"/>
          <w:lang w:val="de-DE"/>
        </w:rPr>
        <w:t xml:space="preserve"> Taula </w:t>
      </w:r>
      <w:r w:rsidRPr="00A105C6">
        <w:rPr>
          <w:b/>
          <w:color w:val="1F497D" w:themeColor="text2"/>
          <w:sz w:val="18"/>
          <w:szCs w:val="18"/>
          <w:lang w:val="de-DE"/>
        </w:rPr>
        <w:t>ENPLEGU-ZENTRO BEREZIEN BEGd-aren BANAKETA 2012 (</w:t>
      </w:r>
      <w:r w:rsidR="00462130" w:rsidRPr="00A105C6">
        <w:rPr>
          <w:b/>
          <w:color w:val="1F497D" w:themeColor="text2"/>
          <w:sz w:val="18"/>
          <w:szCs w:val="18"/>
          <w:lang w:val="de-DE"/>
        </w:rPr>
        <w:t xml:space="preserve">zifra absolutuak </w:t>
      </w:r>
      <w:r w:rsidRPr="00A105C6">
        <w:rPr>
          <w:b/>
          <w:color w:val="1F497D" w:themeColor="text2"/>
          <w:sz w:val="18"/>
          <w:szCs w:val="18"/>
          <w:lang w:val="de-DE"/>
        </w:rPr>
        <w:t>eta % bertikalak)</w:t>
      </w:r>
      <w:bookmarkEnd w:id="374"/>
      <w:bookmarkEnd w:id="375"/>
    </w:p>
    <w:tbl>
      <w:tblPr>
        <w:tblW w:w="5000" w:type="pct"/>
        <w:jc w:val="center"/>
        <w:tblLook w:val="04A0" w:firstRow="1" w:lastRow="0" w:firstColumn="1" w:lastColumn="0" w:noHBand="0" w:noVBand="1"/>
      </w:tblPr>
      <w:tblGrid>
        <w:gridCol w:w="4679"/>
        <w:gridCol w:w="2503"/>
        <w:gridCol w:w="1822"/>
      </w:tblGrid>
      <w:tr w:rsidR="00195BE7" w:rsidRPr="001E2F6E" w:rsidTr="00195BE7">
        <w:trPr>
          <w:jc w:val="center"/>
        </w:trPr>
        <w:tc>
          <w:tcPr>
            <w:tcW w:w="2598" w:type="pct"/>
            <w:tcBorders>
              <w:top w:val="single" w:sz="4" w:space="0" w:color="BFBFBF" w:themeColor="background1" w:themeShade="BF"/>
              <w:right w:val="single" w:sz="4" w:space="0" w:color="BFBFBF" w:themeColor="background1" w:themeShade="BF"/>
            </w:tcBorders>
            <w:shd w:val="clear" w:color="auto" w:fill="DBE5F1" w:themeFill="accent1" w:themeFillTint="33"/>
            <w:vAlign w:val="bottom"/>
            <w:hideMark/>
          </w:tcPr>
          <w:p w:rsidR="00195BE7" w:rsidRPr="00A105C6" w:rsidRDefault="00195BE7" w:rsidP="00195BE7">
            <w:pPr>
              <w:spacing w:line="240" w:lineRule="exact"/>
              <w:rPr>
                <w:b/>
                <w:bCs/>
                <w:sz w:val="16"/>
                <w:szCs w:val="16"/>
                <w:lang w:val="de-DE"/>
              </w:rPr>
            </w:pPr>
          </w:p>
        </w:tc>
        <w:tc>
          <w:tcPr>
            <w:tcW w:w="2402" w:type="pct"/>
            <w:gridSpan w:val="2"/>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hideMark/>
          </w:tcPr>
          <w:p w:rsidR="00195BE7" w:rsidRPr="001E2F6E" w:rsidRDefault="00195BE7" w:rsidP="00195BE7">
            <w:pPr>
              <w:spacing w:line="240" w:lineRule="exact"/>
              <w:jc w:val="center"/>
              <w:rPr>
                <w:b/>
                <w:bCs/>
                <w:sz w:val="16"/>
                <w:szCs w:val="16"/>
              </w:rPr>
            </w:pPr>
            <w:r w:rsidRPr="001E2F6E">
              <w:rPr>
                <w:b/>
                <w:bCs/>
                <w:sz w:val="16"/>
                <w:szCs w:val="16"/>
              </w:rPr>
              <w:t>Enplegu-zentro bereziak</w:t>
            </w:r>
          </w:p>
        </w:tc>
      </w:tr>
      <w:tr w:rsidR="00195BE7" w:rsidRPr="001E2F6E" w:rsidTr="00195BE7">
        <w:trPr>
          <w:jc w:val="center"/>
        </w:trPr>
        <w:tc>
          <w:tcPr>
            <w:tcW w:w="2598" w:type="pct"/>
            <w:tcBorders>
              <w:bottom w:val="single" w:sz="4" w:space="0" w:color="BFBFBF" w:themeColor="background1" w:themeShade="BF"/>
              <w:right w:val="single" w:sz="4" w:space="0" w:color="BFBFBF" w:themeColor="background1" w:themeShade="BF"/>
            </w:tcBorders>
            <w:shd w:val="clear" w:color="auto" w:fill="DBE5F1" w:themeFill="accent1" w:themeFillTint="33"/>
            <w:vAlign w:val="bottom"/>
            <w:hideMark/>
          </w:tcPr>
          <w:p w:rsidR="00195BE7" w:rsidRPr="001E2F6E" w:rsidRDefault="00195BE7" w:rsidP="00195BE7">
            <w:pPr>
              <w:spacing w:line="240" w:lineRule="exact"/>
              <w:rPr>
                <w:b/>
                <w:bCs/>
                <w:sz w:val="16"/>
                <w:szCs w:val="16"/>
              </w:rPr>
            </w:pPr>
          </w:p>
        </w:tc>
        <w:tc>
          <w:tcPr>
            <w:tcW w:w="139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hideMark/>
          </w:tcPr>
          <w:p w:rsidR="00195BE7" w:rsidRPr="001E2F6E" w:rsidRDefault="00195BE7" w:rsidP="00195BE7">
            <w:pPr>
              <w:spacing w:line="240" w:lineRule="exact"/>
              <w:jc w:val="center"/>
              <w:rPr>
                <w:b/>
                <w:bCs/>
                <w:sz w:val="16"/>
                <w:szCs w:val="16"/>
              </w:rPr>
            </w:pPr>
            <w:r w:rsidRPr="001E2F6E">
              <w:rPr>
                <w:b/>
                <w:bCs/>
                <w:sz w:val="16"/>
                <w:szCs w:val="16"/>
              </w:rPr>
              <w:t>Euroak</w:t>
            </w:r>
          </w:p>
        </w:tc>
        <w:tc>
          <w:tcPr>
            <w:tcW w:w="1012"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hideMark/>
          </w:tcPr>
          <w:p w:rsidR="00195BE7" w:rsidRPr="001E2F6E" w:rsidRDefault="00195BE7" w:rsidP="00195BE7">
            <w:pPr>
              <w:spacing w:line="240" w:lineRule="exact"/>
              <w:jc w:val="center"/>
              <w:rPr>
                <w:b/>
                <w:bCs/>
                <w:sz w:val="16"/>
                <w:szCs w:val="16"/>
              </w:rPr>
            </w:pPr>
            <w:r w:rsidRPr="001E2F6E">
              <w:rPr>
                <w:b/>
                <w:bCs/>
                <w:sz w:val="16"/>
                <w:szCs w:val="16"/>
              </w:rPr>
              <w:t>%ber.</w:t>
            </w:r>
          </w:p>
        </w:tc>
      </w:tr>
      <w:tr w:rsidR="00195BE7" w:rsidRPr="001E2F6E" w:rsidTr="00195BE7">
        <w:trPr>
          <w:jc w:val="center"/>
        </w:trPr>
        <w:tc>
          <w:tcPr>
            <w:tcW w:w="2598" w:type="pct"/>
            <w:tcBorders>
              <w:top w:val="single" w:sz="4" w:space="0" w:color="BFBFBF" w:themeColor="background1" w:themeShade="BF"/>
              <w:right w:val="single" w:sz="4" w:space="0" w:color="BFBFBF" w:themeColor="background1" w:themeShade="BF"/>
            </w:tcBorders>
            <w:vAlign w:val="bottom"/>
            <w:hideMark/>
          </w:tcPr>
          <w:p w:rsidR="00195BE7" w:rsidRPr="001E2F6E" w:rsidRDefault="00195BE7" w:rsidP="00195BE7">
            <w:pPr>
              <w:spacing w:line="240" w:lineRule="exact"/>
              <w:rPr>
                <w:color w:val="000000"/>
                <w:sz w:val="16"/>
                <w:szCs w:val="16"/>
              </w:rPr>
            </w:pPr>
            <w:r w:rsidRPr="001E2F6E">
              <w:rPr>
                <w:color w:val="000000"/>
                <w:sz w:val="16"/>
                <w:szCs w:val="16"/>
              </w:rPr>
              <w:t>ZMA (Zerga aurreko mozkinak)</w:t>
            </w:r>
          </w:p>
        </w:tc>
        <w:tc>
          <w:tcPr>
            <w:tcW w:w="1390" w:type="pct"/>
            <w:tcBorders>
              <w:top w:val="single" w:sz="4" w:space="0" w:color="BFBFBF" w:themeColor="background1" w:themeShade="BF"/>
              <w:left w:val="single" w:sz="4" w:space="0" w:color="BFBFBF" w:themeColor="background1" w:themeShade="BF"/>
              <w:right w:val="single" w:sz="4" w:space="0" w:color="BFBFBF" w:themeColor="background1" w:themeShade="BF"/>
            </w:tcBorders>
            <w:noWrap/>
            <w:vAlign w:val="bottom"/>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605.419</w:t>
            </w:r>
          </w:p>
        </w:tc>
        <w:tc>
          <w:tcPr>
            <w:tcW w:w="1012" w:type="pct"/>
            <w:tcBorders>
              <w:top w:val="single" w:sz="4" w:space="0" w:color="BFBFBF" w:themeColor="background1" w:themeShade="BF"/>
              <w:left w:val="single" w:sz="4" w:space="0" w:color="BFBFBF" w:themeColor="background1" w:themeShade="BF"/>
            </w:tcBorders>
            <w:vAlign w:val="bottom"/>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0,4</w:t>
            </w:r>
          </w:p>
        </w:tc>
      </w:tr>
      <w:tr w:rsidR="00195BE7" w:rsidRPr="001E2F6E" w:rsidTr="00195BE7">
        <w:trPr>
          <w:jc w:val="center"/>
        </w:trPr>
        <w:tc>
          <w:tcPr>
            <w:tcW w:w="2598" w:type="pct"/>
            <w:tcBorders>
              <w:bottom w:val="single" w:sz="4" w:space="0" w:color="BFBFBF" w:themeColor="background1" w:themeShade="BF"/>
              <w:right w:val="single" w:sz="4" w:space="0" w:color="BFBFBF" w:themeColor="background1" w:themeShade="BF"/>
            </w:tcBorders>
            <w:noWrap/>
            <w:vAlign w:val="bottom"/>
            <w:hideMark/>
          </w:tcPr>
          <w:p w:rsidR="00195BE7" w:rsidRPr="001E2F6E" w:rsidRDefault="00195BE7" w:rsidP="00195BE7">
            <w:pPr>
              <w:spacing w:line="240" w:lineRule="exact"/>
              <w:rPr>
                <w:color w:val="000000"/>
                <w:sz w:val="16"/>
                <w:szCs w:val="16"/>
              </w:rPr>
            </w:pPr>
            <w:r w:rsidRPr="001E2F6E">
              <w:rPr>
                <w:color w:val="000000"/>
                <w:sz w:val="16"/>
                <w:szCs w:val="16"/>
              </w:rPr>
              <w:t>Langileen gastuak</w:t>
            </w:r>
          </w:p>
        </w:tc>
        <w:tc>
          <w:tcPr>
            <w:tcW w:w="1390" w:type="pct"/>
            <w:tcBorders>
              <w:left w:val="single" w:sz="4" w:space="0" w:color="BFBFBF" w:themeColor="background1" w:themeShade="BF"/>
              <w:bottom w:val="single" w:sz="4" w:space="0" w:color="BFBFBF" w:themeColor="background1" w:themeShade="BF"/>
              <w:right w:val="single" w:sz="4" w:space="0" w:color="BFBFBF" w:themeColor="background1" w:themeShade="BF"/>
            </w:tcBorders>
            <w:noWrap/>
            <w:vAlign w:val="bottom"/>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135.122.040</w:t>
            </w:r>
          </w:p>
        </w:tc>
        <w:tc>
          <w:tcPr>
            <w:tcW w:w="1012" w:type="pct"/>
            <w:tcBorders>
              <w:left w:val="single" w:sz="4" w:space="0" w:color="BFBFBF" w:themeColor="background1" w:themeShade="BF"/>
              <w:bottom w:val="single" w:sz="4" w:space="0" w:color="BFBFBF" w:themeColor="background1" w:themeShade="BF"/>
            </w:tcBorders>
            <w:vAlign w:val="bottom"/>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99,6</w:t>
            </w:r>
          </w:p>
        </w:tc>
      </w:tr>
      <w:tr w:rsidR="00195BE7" w:rsidRPr="001E2F6E" w:rsidTr="00195BE7">
        <w:trPr>
          <w:jc w:val="center"/>
        </w:trPr>
        <w:tc>
          <w:tcPr>
            <w:tcW w:w="2598" w:type="pct"/>
            <w:tcBorders>
              <w:top w:val="single" w:sz="4" w:space="0" w:color="BFBFBF" w:themeColor="background1" w:themeShade="BF"/>
              <w:bottom w:val="single" w:sz="4" w:space="0" w:color="BFBFBF" w:themeColor="background1" w:themeShade="BF"/>
              <w:right w:val="single" w:sz="4" w:space="0" w:color="BFBFBF" w:themeColor="background1" w:themeShade="BF"/>
            </w:tcBorders>
            <w:hideMark/>
          </w:tcPr>
          <w:p w:rsidR="00195BE7" w:rsidRPr="001E2F6E" w:rsidRDefault="00195BE7" w:rsidP="00195BE7">
            <w:pPr>
              <w:spacing w:line="240" w:lineRule="exact"/>
              <w:rPr>
                <w:b/>
                <w:bCs/>
                <w:color w:val="000000"/>
                <w:sz w:val="16"/>
                <w:szCs w:val="16"/>
              </w:rPr>
            </w:pPr>
            <w:r w:rsidRPr="001E2F6E">
              <w:rPr>
                <w:b/>
                <w:bCs/>
                <w:color w:val="000000"/>
                <w:sz w:val="16"/>
                <w:szCs w:val="16"/>
              </w:rPr>
              <w:t>BEGd</w:t>
            </w:r>
          </w:p>
        </w:tc>
        <w:tc>
          <w:tcPr>
            <w:tcW w:w="139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bottom"/>
            <w:hideMark/>
          </w:tcPr>
          <w:p w:rsidR="00195BE7" w:rsidRPr="001E2F6E" w:rsidRDefault="00195BE7" w:rsidP="00195BE7">
            <w:pPr>
              <w:spacing w:line="240" w:lineRule="exact"/>
              <w:ind w:right="170"/>
              <w:jc w:val="right"/>
              <w:rPr>
                <w:b/>
                <w:bCs/>
                <w:color w:val="000000"/>
                <w:sz w:val="16"/>
                <w:szCs w:val="16"/>
              </w:rPr>
            </w:pPr>
            <w:r w:rsidRPr="001E2F6E">
              <w:rPr>
                <w:b/>
                <w:bCs/>
                <w:color w:val="000000"/>
                <w:sz w:val="16"/>
                <w:szCs w:val="16"/>
              </w:rPr>
              <w:t>135.727.460</w:t>
            </w:r>
          </w:p>
        </w:tc>
        <w:tc>
          <w:tcPr>
            <w:tcW w:w="1012" w:type="pct"/>
            <w:tcBorders>
              <w:top w:val="single" w:sz="4" w:space="0" w:color="BFBFBF" w:themeColor="background1" w:themeShade="BF"/>
              <w:left w:val="single" w:sz="4" w:space="0" w:color="BFBFBF" w:themeColor="background1" w:themeShade="BF"/>
              <w:bottom w:val="single" w:sz="4" w:space="0" w:color="BFBFBF" w:themeColor="background1" w:themeShade="BF"/>
            </w:tcBorders>
            <w:vAlign w:val="bottom"/>
            <w:hideMark/>
          </w:tcPr>
          <w:p w:rsidR="00195BE7" w:rsidRPr="001E2F6E" w:rsidRDefault="00195BE7" w:rsidP="00195BE7">
            <w:pPr>
              <w:spacing w:line="240" w:lineRule="exact"/>
              <w:ind w:right="170"/>
              <w:jc w:val="right"/>
              <w:rPr>
                <w:b/>
                <w:bCs/>
                <w:color w:val="000000"/>
                <w:sz w:val="16"/>
                <w:szCs w:val="16"/>
              </w:rPr>
            </w:pPr>
            <w:r w:rsidRPr="001E2F6E">
              <w:rPr>
                <w:b/>
                <w:bCs/>
                <w:color w:val="000000"/>
                <w:sz w:val="16"/>
                <w:szCs w:val="16"/>
              </w:rPr>
              <w:t>%100,0</w:t>
            </w:r>
          </w:p>
        </w:tc>
      </w:tr>
    </w:tbl>
    <w:p w:rsidR="00195BE7" w:rsidRPr="001E2F6E" w:rsidRDefault="00195BE7" w:rsidP="00195BE7">
      <w:pPr>
        <w:pStyle w:val="Ttulo6"/>
        <w:keepNext w:val="0"/>
        <w:widowControl w:val="0"/>
        <w:jc w:val="center"/>
        <w:rPr>
          <w:rFonts w:ascii="Arial" w:hAnsi="Arial" w:cs="Arial"/>
          <w:b w:val="0"/>
          <w:i/>
          <w:sz w:val="16"/>
        </w:rPr>
      </w:pPr>
      <w:r w:rsidRPr="001E2F6E">
        <w:rPr>
          <w:rFonts w:ascii="Arial" w:hAnsi="Arial" w:cs="Arial"/>
          <w:b w:val="0"/>
          <w:i/>
          <w:sz w:val="16"/>
        </w:rPr>
        <w:t>Iturria: EHLABE eta Merkataritza Erregistroko datuak oinarri harturik egina</w:t>
      </w:r>
    </w:p>
    <w:p w:rsidR="00195BE7" w:rsidRPr="001E2F6E" w:rsidRDefault="00195BE7" w:rsidP="00195BE7"/>
    <w:p w:rsidR="00195BE7" w:rsidRPr="001E2F6E" w:rsidRDefault="00195BE7" w:rsidP="00195BE7">
      <w:pPr>
        <w:jc w:val="left"/>
        <w:rPr>
          <w:b/>
          <w:color w:val="000080"/>
          <w:sz w:val="24"/>
          <w:szCs w:val="24"/>
        </w:rPr>
      </w:pPr>
      <w:r w:rsidRPr="001E2F6E">
        <w:rPr>
          <w:b/>
          <w:color w:val="000080"/>
          <w:sz w:val="24"/>
          <w:szCs w:val="24"/>
        </w:rPr>
        <w:br w:type="page"/>
      </w:r>
    </w:p>
    <w:p w:rsidR="00195BE7" w:rsidRPr="001E2F6E" w:rsidRDefault="00195BE7" w:rsidP="00195BE7">
      <w:pPr>
        <w:pStyle w:val="Ttulo1"/>
        <w:ind w:left="708" w:hanging="708"/>
        <w:rPr>
          <w:color w:val="1F497D" w:themeColor="text2"/>
          <w:sz w:val="26"/>
          <w:szCs w:val="26"/>
        </w:rPr>
      </w:pPr>
      <w:bookmarkStart w:id="376" w:name="_Toc391989047"/>
      <w:bookmarkStart w:id="377" w:name="_Toc392585710"/>
      <w:r w:rsidRPr="001E2F6E">
        <w:rPr>
          <w:color w:val="1F497D" w:themeColor="text2"/>
          <w:sz w:val="26"/>
          <w:szCs w:val="26"/>
        </w:rPr>
        <w:lastRenderedPageBreak/>
        <w:t xml:space="preserve">3.- </w:t>
      </w:r>
      <w:r w:rsidRPr="001E2F6E">
        <w:rPr>
          <w:color w:val="1F497D" w:themeColor="text2"/>
          <w:sz w:val="26"/>
          <w:szCs w:val="26"/>
        </w:rPr>
        <w:tab/>
        <w:t>LANERATZEKO ENPRESAK</w:t>
      </w:r>
      <w:bookmarkEnd w:id="376"/>
      <w:bookmarkEnd w:id="377"/>
    </w:p>
    <w:p w:rsidR="00195BE7" w:rsidRPr="001E2F6E" w:rsidRDefault="00195BE7" w:rsidP="00195BE7"/>
    <w:p w:rsidR="00195BE7" w:rsidRPr="001E2F6E" w:rsidRDefault="00195BE7" w:rsidP="00195BE7"/>
    <w:p w:rsidR="00195BE7" w:rsidRPr="001E2F6E" w:rsidRDefault="00195BE7" w:rsidP="00195BE7">
      <w:pPr>
        <w:pStyle w:val="Ttulo1"/>
        <w:ind w:left="708" w:hanging="708"/>
        <w:rPr>
          <w:color w:val="1F497D" w:themeColor="text2"/>
          <w:sz w:val="22"/>
          <w:szCs w:val="22"/>
        </w:rPr>
      </w:pPr>
      <w:bookmarkStart w:id="378" w:name="_Toc391989048"/>
      <w:bookmarkStart w:id="379" w:name="_Toc392585711"/>
      <w:r w:rsidRPr="001E2F6E">
        <w:rPr>
          <w:color w:val="1F497D" w:themeColor="text2"/>
          <w:sz w:val="22"/>
          <w:szCs w:val="22"/>
        </w:rPr>
        <w:t xml:space="preserve">3.1.- </w:t>
      </w:r>
      <w:r w:rsidRPr="001E2F6E">
        <w:rPr>
          <w:color w:val="1F497D" w:themeColor="text2"/>
          <w:sz w:val="22"/>
          <w:szCs w:val="22"/>
        </w:rPr>
        <w:tab/>
        <w:t>ERAGILEEN KUANTIFIKAZIOA: LANERATZEKO ENPRESAK</w:t>
      </w:r>
      <w:bookmarkEnd w:id="378"/>
      <w:bookmarkEnd w:id="379"/>
    </w:p>
    <w:p w:rsidR="00195BE7" w:rsidRPr="001E2F6E" w:rsidRDefault="00195BE7" w:rsidP="00195BE7"/>
    <w:p w:rsidR="00195BE7" w:rsidRPr="00A105C6" w:rsidRDefault="00195BE7" w:rsidP="00195BE7">
      <w:pPr>
        <w:rPr>
          <w:b/>
          <w:lang w:val="de-DE"/>
        </w:rPr>
      </w:pPr>
      <w:r w:rsidRPr="00A105C6">
        <w:rPr>
          <w:lang w:val="de-DE"/>
        </w:rPr>
        <w:t xml:space="preserve">EAE-an </w:t>
      </w:r>
      <w:r w:rsidRPr="00F203B2">
        <w:rPr>
          <w:rFonts w:eastAsiaTheme="minorHAnsi"/>
          <w:b/>
          <w:color w:val="1F497D" w:themeColor="text2"/>
          <w:szCs w:val="22"/>
          <w:lang w:val="de-DE"/>
        </w:rPr>
        <w:t>Laneratzeko Enpresak 78</w:t>
      </w:r>
      <w:r w:rsidRPr="00A105C6">
        <w:rPr>
          <w:lang w:val="de-DE"/>
        </w:rPr>
        <w:t xml:space="preserve"> dira.</w:t>
      </w:r>
    </w:p>
    <w:p w:rsidR="00195BE7" w:rsidRPr="00A105C6" w:rsidRDefault="00195BE7" w:rsidP="00195BE7">
      <w:pPr>
        <w:rPr>
          <w:b/>
          <w:lang w:val="de-DE"/>
        </w:rPr>
      </w:pPr>
    </w:p>
    <w:p w:rsidR="00195BE7" w:rsidRPr="001E2F6E" w:rsidRDefault="00195BE7" w:rsidP="00195BE7">
      <w:pPr>
        <w:spacing w:line="240" w:lineRule="auto"/>
        <w:jc w:val="center"/>
        <w:rPr>
          <w:b/>
          <w:color w:val="1F497D" w:themeColor="text2"/>
          <w:sz w:val="18"/>
          <w:szCs w:val="18"/>
        </w:rPr>
      </w:pPr>
      <w:bookmarkStart w:id="380" w:name="_Toc391989172"/>
      <w:bookmarkStart w:id="381" w:name="_Toc392585879"/>
      <w:r w:rsidRPr="001E2F6E">
        <w:rPr>
          <w:b/>
          <w:noProof/>
          <w:color w:val="1F497D" w:themeColor="text2"/>
          <w:sz w:val="18"/>
          <w:szCs w:val="18"/>
        </w:rPr>
        <w:t>4.</w:t>
      </w:r>
      <w:r w:rsidR="00EB6BA6" w:rsidRPr="001E2F6E">
        <w:rPr>
          <w:b/>
          <w:noProof/>
          <w:color w:val="1F497D" w:themeColor="text2"/>
          <w:sz w:val="18"/>
          <w:szCs w:val="18"/>
        </w:rPr>
        <w:fldChar w:fldCharType="begin"/>
      </w:r>
      <w:r w:rsidRPr="001E2F6E">
        <w:rPr>
          <w:b/>
          <w:noProof/>
          <w:color w:val="1F497D" w:themeColor="text2"/>
          <w:sz w:val="18"/>
          <w:szCs w:val="18"/>
        </w:rPr>
        <w:instrText xml:space="preserve"> SEQ Gráfico_4. \* ARABIC </w:instrText>
      </w:r>
      <w:r w:rsidR="00EB6BA6" w:rsidRPr="001E2F6E">
        <w:rPr>
          <w:b/>
          <w:noProof/>
          <w:color w:val="1F497D" w:themeColor="text2"/>
          <w:sz w:val="18"/>
          <w:szCs w:val="18"/>
        </w:rPr>
        <w:fldChar w:fldCharType="separate"/>
      </w:r>
      <w:r w:rsidR="00A327D4">
        <w:rPr>
          <w:b/>
          <w:noProof/>
          <w:color w:val="1F497D" w:themeColor="text2"/>
          <w:sz w:val="18"/>
          <w:szCs w:val="18"/>
        </w:rPr>
        <w:t>5</w:t>
      </w:r>
      <w:r w:rsidR="00EB6BA6" w:rsidRPr="001E2F6E">
        <w:rPr>
          <w:b/>
          <w:noProof/>
          <w:color w:val="1F497D" w:themeColor="text2"/>
          <w:sz w:val="18"/>
          <w:szCs w:val="18"/>
        </w:rPr>
        <w:fldChar w:fldCharType="end"/>
      </w:r>
      <w:r w:rsidRPr="001E2F6E">
        <w:rPr>
          <w:b/>
          <w:noProof/>
          <w:color w:val="1F497D" w:themeColor="text2"/>
          <w:sz w:val="18"/>
          <w:szCs w:val="18"/>
        </w:rPr>
        <w:t xml:space="preserve"> Irudia </w:t>
      </w:r>
      <w:r w:rsidRPr="001E2F6E">
        <w:rPr>
          <w:b/>
          <w:color w:val="1F497D" w:themeColor="text2"/>
          <w:sz w:val="18"/>
          <w:szCs w:val="18"/>
        </w:rPr>
        <w:t>LANERATZEKO ENPRESEN LURRALDE-BANAKETA 2012 (</w:t>
      </w:r>
      <w:r w:rsidR="00462130" w:rsidRPr="001E2F6E">
        <w:rPr>
          <w:b/>
          <w:color w:val="1F497D" w:themeColor="text2"/>
          <w:sz w:val="18"/>
          <w:szCs w:val="18"/>
        </w:rPr>
        <w:t xml:space="preserve">zifra absolutuak </w:t>
      </w:r>
      <w:r w:rsidRPr="001E2F6E">
        <w:rPr>
          <w:b/>
          <w:color w:val="1F497D" w:themeColor="text2"/>
          <w:sz w:val="18"/>
          <w:szCs w:val="18"/>
        </w:rPr>
        <w:t>eta %)</w:t>
      </w:r>
      <w:bookmarkEnd w:id="380"/>
      <w:bookmarkEnd w:id="381"/>
    </w:p>
    <w:p w:rsidR="00195BE7" w:rsidRPr="001E2F6E" w:rsidRDefault="00195BE7" w:rsidP="00195BE7">
      <w:pPr>
        <w:pStyle w:val="Ttulo6"/>
        <w:keepNext w:val="0"/>
        <w:widowControl w:val="0"/>
        <w:jc w:val="center"/>
        <w:rPr>
          <w:rFonts w:ascii="Arial" w:hAnsi="Arial" w:cs="Arial"/>
          <w:b w:val="0"/>
          <w:i/>
          <w:sz w:val="16"/>
        </w:rPr>
      </w:pPr>
    </w:p>
    <w:p w:rsidR="00195BE7" w:rsidRPr="001E2F6E" w:rsidRDefault="00195BE7" w:rsidP="00195BE7">
      <w:pPr>
        <w:pStyle w:val="Ttulo6"/>
        <w:keepNext w:val="0"/>
        <w:widowControl w:val="0"/>
        <w:jc w:val="center"/>
        <w:rPr>
          <w:rFonts w:ascii="Arial" w:hAnsi="Arial" w:cs="Arial"/>
          <w:b w:val="0"/>
          <w:i/>
          <w:sz w:val="16"/>
        </w:rPr>
      </w:pPr>
      <w:r w:rsidRPr="001E2F6E">
        <w:rPr>
          <w:rFonts w:ascii="Arial" w:hAnsi="Arial" w:cs="Arial"/>
          <w:b w:val="0"/>
          <w:i/>
          <w:noProof/>
          <w:sz w:val="16"/>
          <w:lang w:val="es-ES"/>
        </w:rPr>
        <w:drawing>
          <wp:inline distT="0" distB="0" distL="0" distR="0" wp14:anchorId="3A3FEA8B" wp14:editId="4115B954">
            <wp:extent cx="3667125" cy="2076450"/>
            <wp:effectExtent l="0" t="0" r="0" b="0"/>
            <wp:docPr id="18"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rsidR="00195BE7" w:rsidRPr="001E2F6E" w:rsidRDefault="00195BE7" w:rsidP="00195BE7"/>
    <w:p w:rsidR="00195BE7" w:rsidRPr="001E2F6E" w:rsidRDefault="00195BE7" w:rsidP="00195BE7">
      <w:pPr>
        <w:pStyle w:val="Ttulo6"/>
        <w:keepNext w:val="0"/>
        <w:widowControl w:val="0"/>
        <w:jc w:val="center"/>
        <w:rPr>
          <w:rFonts w:ascii="Arial" w:hAnsi="Arial" w:cs="Arial"/>
          <w:b w:val="0"/>
          <w:i/>
          <w:sz w:val="16"/>
          <w:lang w:val="eu-ES"/>
        </w:rPr>
      </w:pPr>
      <w:r w:rsidRPr="001E2F6E">
        <w:rPr>
          <w:rFonts w:ascii="Arial" w:hAnsi="Arial" w:cs="Arial"/>
          <w:b w:val="0"/>
          <w:i/>
          <w:sz w:val="16"/>
          <w:lang w:val="eu-ES"/>
        </w:rPr>
        <w:t>Iturria: Gizatea eta Euskal Autonomia Erkidegoko Laneratzeko enpresa eta enpresa solidarioen katalogoa</w:t>
      </w:r>
    </w:p>
    <w:p w:rsidR="00195BE7" w:rsidRPr="001E2F6E" w:rsidRDefault="00195BE7" w:rsidP="00195BE7">
      <w:pPr>
        <w:rPr>
          <w:lang w:val="es-ES_tradnl"/>
        </w:rPr>
      </w:pPr>
    </w:p>
    <w:p w:rsidR="00195BE7" w:rsidRPr="001E2F6E" w:rsidRDefault="00195BE7" w:rsidP="00195BE7">
      <w:pPr>
        <w:pStyle w:val="Ttulo1"/>
        <w:ind w:left="708" w:hanging="708"/>
        <w:rPr>
          <w:color w:val="1F497D" w:themeColor="text2"/>
          <w:sz w:val="22"/>
          <w:szCs w:val="22"/>
        </w:rPr>
      </w:pPr>
      <w:bookmarkStart w:id="382" w:name="_Toc391989049"/>
      <w:bookmarkStart w:id="383" w:name="_Toc392585712"/>
      <w:r w:rsidRPr="001E2F6E">
        <w:rPr>
          <w:color w:val="1F497D" w:themeColor="text2"/>
          <w:sz w:val="22"/>
          <w:szCs w:val="22"/>
        </w:rPr>
        <w:t xml:space="preserve">3.2.- </w:t>
      </w:r>
      <w:r w:rsidRPr="001E2F6E">
        <w:rPr>
          <w:color w:val="1F497D" w:themeColor="text2"/>
          <w:sz w:val="22"/>
          <w:szCs w:val="22"/>
        </w:rPr>
        <w:tab/>
        <w:t>ENPLEGUA LANERATZEKO ENPRESETAN</w:t>
      </w:r>
      <w:bookmarkEnd w:id="382"/>
      <w:bookmarkEnd w:id="383"/>
    </w:p>
    <w:p w:rsidR="00195BE7" w:rsidRPr="001E2F6E" w:rsidRDefault="00195BE7" w:rsidP="00195BE7"/>
    <w:p w:rsidR="00195BE7" w:rsidRPr="001E2F6E" w:rsidRDefault="00195BE7" w:rsidP="00195BE7">
      <w:r w:rsidRPr="001E2F6E">
        <w:t xml:space="preserve">Laneratzeko enpresek guztira sortutako zenbatetsitako enplegua </w:t>
      </w:r>
      <w:r w:rsidRPr="00FC24CA">
        <w:rPr>
          <w:rFonts w:eastAsiaTheme="minorHAnsi"/>
          <w:b/>
          <w:color w:val="1F497D" w:themeColor="text2"/>
          <w:szCs w:val="22"/>
        </w:rPr>
        <w:t>1.252 pertsonakoa</w:t>
      </w:r>
      <w:r w:rsidRPr="001E2F6E">
        <w:rPr>
          <w:b/>
        </w:rPr>
        <w:t xml:space="preserve"> </w:t>
      </w:r>
      <w:r w:rsidRPr="001E2F6E">
        <w:t>da.</w:t>
      </w:r>
    </w:p>
    <w:p w:rsidR="00195BE7" w:rsidRPr="001E2F6E" w:rsidRDefault="00195BE7" w:rsidP="00195BE7"/>
    <w:p w:rsidR="00195BE7" w:rsidRPr="001E2F6E" w:rsidRDefault="00195BE7" w:rsidP="00195BE7"/>
    <w:p w:rsidR="00195BE7" w:rsidRPr="001E2F6E" w:rsidRDefault="00195BE7" w:rsidP="00195BE7">
      <w:pPr>
        <w:pStyle w:val="Ttulo1"/>
        <w:ind w:left="708" w:hanging="708"/>
        <w:rPr>
          <w:color w:val="1F497D" w:themeColor="text2"/>
          <w:sz w:val="22"/>
          <w:szCs w:val="22"/>
        </w:rPr>
      </w:pPr>
      <w:bookmarkStart w:id="384" w:name="_Toc391989050"/>
      <w:bookmarkStart w:id="385" w:name="_Toc392585713"/>
      <w:r w:rsidRPr="001E2F6E">
        <w:rPr>
          <w:color w:val="1F497D" w:themeColor="text2"/>
          <w:sz w:val="22"/>
          <w:szCs w:val="22"/>
        </w:rPr>
        <w:t xml:space="preserve">3.3.- </w:t>
      </w:r>
      <w:r w:rsidRPr="001E2F6E">
        <w:rPr>
          <w:color w:val="1F497D" w:themeColor="text2"/>
          <w:sz w:val="22"/>
          <w:szCs w:val="22"/>
        </w:rPr>
        <w:tab/>
        <w:t>MAGNITUDE EKONOMIKO NAGUSIAK: LANERATZEKO ENPRESAK</w:t>
      </w:r>
      <w:bookmarkEnd w:id="384"/>
      <w:bookmarkEnd w:id="385"/>
    </w:p>
    <w:p w:rsidR="00195BE7" w:rsidRPr="001E2F6E" w:rsidRDefault="00195BE7" w:rsidP="00195BE7"/>
    <w:p w:rsidR="00195BE7" w:rsidRPr="001E2F6E" w:rsidRDefault="00195BE7" w:rsidP="00195BE7">
      <w:pPr>
        <w:pStyle w:val="Ttulo1"/>
        <w:ind w:left="708" w:hanging="708"/>
        <w:rPr>
          <w:color w:val="1F497D" w:themeColor="text2"/>
          <w:sz w:val="22"/>
          <w:szCs w:val="22"/>
        </w:rPr>
      </w:pPr>
      <w:bookmarkStart w:id="386" w:name="_Toc391565541"/>
      <w:bookmarkStart w:id="387" w:name="_Toc391989051"/>
      <w:bookmarkStart w:id="388" w:name="_Toc392585714"/>
      <w:r w:rsidRPr="001E2F6E">
        <w:rPr>
          <w:color w:val="1F497D" w:themeColor="text2"/>
          <w:sz w:val="22"/>
          <w:szCs w:val="22"/>
        </w:rPr>
        <w:t xml:space="preserve">3.3.1.- </w:t>
      </w:r>
      <w:bookmarkEnd w:id="386"/>
      <w:r w:rsidRPr="001E2F6E">
        <w:rPr>
          <w:color w:val="1F497D" w:themeColor="text2"/>
          <w:sz w:val="22"/>
          <w:szCs w:val="22"/>
        </w:rPr>
        <w:t>Laneratzeko Enpresen Diru-Sarrerak</w:t>
      </w:r>
      <w:bookmarkEnd w:id="387"/>
      <w:bookmarkEnd w:id="388"/>
    </w:p>
    <w:p w:rsidR="00195BE7" w:rsidRPr="001E2F6E" w:rsidRDefault="00195BE7" w:rsidP="00195BE7"/>
    <w:p w:rsidR="00195BE7" w:rsidRPr="001E2F6E" w:rsidRDefault="00195BE7" w:rsidP="00195BE7">
      <w:pPr>
        <w:spacing w:line="240" w:lineRule="auto"/>
        <w:jc w:val="center"/>
        <w:rPr>
          <w:b/>
          <w:color w:val="1F497D" w:themeColor="text2"/>
          <w:sz w:val="18"/>
          <w:szCs w:val="18"/>
        </w:rPr>
      </w:pPr>
      <w:bookmarkStart w:id="389" w:name="_Toc391989179"/>
      <w:bookmarkStart w:id="390" w:name="_Toc392585859"/>
      <w:r w:rsidRPr="001E2F6E">
        <w:rPr>
          <w:b/>
          <w:bCs/>
          <w:color w:val="1F497D" w:themeColor="text2"/>
          <w:sz w:val="18"/>
          <w:szCs w:val="18"/>
        </w:rPr>
        <w:t>4.</w:t>
      </w:r>
      <w:r w:rsidR="00EB6BA6" w:rsidRPr="001E2F6E">
        <w:rPr>
          <w:b/>
          <w:bCs/>
          <w:color w:val="1F497D" w:themeColor="text2"/>
          <w:sz w:val="18"/>
          <w:szCs w:val="18"/>
        </w:rPr>
        <w:fldChar w:fldCharType="begin"/>
      </w:r>
      <w:r w:rsidRPr="001E2F6E">
        <w:rPr>
          <w:b/>
          <w:bCs/>
          <w:color w:val="1F497D" w:themeColor="text2"/>
          <w:sz w:val="18"/>
          <w:szCs w:val="18"/>
        </w:rPr>
        <w:instrText xml:space="preserve"> SEQ Cuadro_4. \* ARABIC </w:instrText>
      </w:r>
      <w:r w:rsidR="00EB6BA6" w:rsidRPr="001E2F6E">
        <w:rPr>
          <w:b/>
          <w:bCs/>
          <w:color w:val="1F497D" w:themeColor="text2"/>
          <w:sz w:val="18"/>
          <w:szCs w:val="18"/>
        </w:rPr>
        <w:fldChar w:fldCharType="separate"/>
      </w:r>
      <w:r w:rsidR="00A327D4">
        <w:rPr>
          <w:b/>
          <w:bCs/>
          <w:noProof/>
          <w:color w:val="1F497D" w:themeColor="text2"/>
          <w:sz w:val="18"/>
          <w:szCs w:val="18"/>
        </w:rPr>
        <w:t>6</w:t>
      </w:r>
      <w:r w:rsidR="00EB6BA6" w:rsidRPr="001E2F6E">
        <w:rPr>
          <w:b/>
          <w:bCs/>
          <w:color w:val="1F497D" w:themeColor="text2"/>
          <w:sz w:val="18"/>
          <w:szCs w:val="18"/>
        </w:rPr>
        <w:fldChar w:fldCharType="end"/>
      </w:r>
      <w:r w:rsidRPr="001E2F6E">
        <w:rPr>
          <w:b/>
          <w:bCs/>
          <w:color w:val="1F497D" w:themeColor="text2"/>
          <w:sz w:val="18"/>
          <w:szCs w:val="18"/>
        </w:rPr>
        <w:t xml:space="preserve"> Taula </w:t>
      </w:r>
      <w:r w:rsidRPr="001E2F6E">
        <w:rPr>
          <w:b/>
          <w:color w:val="1F497D" w:themeColor="text2"/>
          <w:sz w:val="18"/>
          <w:szCs w:val="18"/>
        </w:rPr>
        <w:t>USTIAPEN-SARREREN BANAKETA LANERATZEKO ENPRESATAN 2012  (</w:t>
      </w:r>
      <w:r w:rsidR="00462130" w:rsidRPr="001E2F6E">
        <w:rPr>
          <w:b/>
          <w:color w:val="1F497D" w:themeColor="text2"/>
          <w:sz w:val="18"/>
          <w:szCs w:val="18"/>
        </w:rPr>
        <w:t xml:space="preserve">zifra absolutuak </w:t>
      </w:r>
      <w:r w:rsidRPr="001E2F6E">
        <w:rPr>
          <w:b/>
          <w:color w:val="1F497D" w:themeColor="text2"/>
          <w:sz w:val="18"/>
          <w:szCs w:val="18"/>
        </w:rPr>
        <w:t>eta % bertikalak)</w:t>
      </w:r>
      <w:bookmarkEnd w:id="389"/>
      <w:bookmarkEnd w:id="390"/>
    </w:p>
    <w:tbl>
      <w:tblPr>
        <w:tblW w:w="5000" w:type="pct"/>
        <w:jc w:val="center"/>
        <w:tblLook w:val="04A0" w:firstRow="1" w:lastRow="0" w:firstColumn="1" w:lastColumn="0" w:noHBand="0" w:noVBand="1"/>
      </w:tblPr>
      <w:tblGrid>
        <w:gridCol w:w="4601"/>
        <w:gridCol w:w="2422"/>
        <w:gridCol w:w="1981"/>
      </w:tblGrid>
      <w:tr w:rsidR="00195BE7" w:rsidRPr="001E2F6E" w:rsidTr="00195BE7">
        <w:trPr>
          <w:jc w:val="center"/>
        </w:trPr>
        <w:tc>
          <w:tcPr>
            <w:tcW w:w="2555" w:type="pct"/>
            <w:tcBorders>
              <w:top w:val="single" w:sz="4" w:space="0" w:color="BFBFBF" w:themeColor="background1" w:themeShade="BF"/>
              <w:right w:val="single" w:sz="4" w:space="0" w:color="BFBFBF" w:themeColor="background1" w:themeShade="BF"/>
            </w:tcBorders>
            <w:shd w:val="clear" w:color="auto" w:fill="DBE5F1" w:themeFill="accent1" w:themeFillTint="33"/>
            <w:hideMark/>
          </w:tcPr>
          <w:p w:rsidR="00195BE7" w:rsidRPr="001E2F6E" w:rsidRDefault="00195BE7" w:rsidP="00195BE7">
            <w:pPr>
              <w:spacing w:line="240" w:lineRule="exact"/>
              <w:rPr>
                <w:sz w:val="16"/>
                <w:szCs w:val="16"/>
              </w:rPr>
            </w:pPr>
          </w:p>
        </w:tc>
        <w:tc>
          <w:tcPr>
            <w:tcW w:w="2445" w:type="pct"/>
            <w:gridSpan w:val="2"/>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hideMark/>
          </w:tcPr>
          <w:p w:rsidR="00195BE7" w:rsidRPr="001E2F6E" w:rsidRDefault="00195BE7" w:rsidP="00195BE7">
            <w:pPr>
              <w:spacing w:line="240" w:lineRule="exact"/>
              <w:jc w:val="center"/>
              <w:rPr>
                <w:b/>
                <w:bCs/>
                <w:sz w:val="16"/>
                <w:szCs w:val="16"/>
              </w:rPr>
            </w:pPr>
            <w:r w:rsidRPr="001E2F6E">
              <w:rPr>
                <w:b/>
                <w:bCs/>
                <w:sz w:val="16"/>
                <w:szCs w:val="16"/>
              </w:rPr>
              <w:t>2012</w:t>
            </w:r>
          </w:p>
        </w:tc>
      </w:tr>
      <w:tr w:rsidR="00195BE7" w:rsidRPr="001E2F6E" w:rsidTr="00195BE7">
        <w:trPr>
          <w:jc w:val="center"/>
        </w:trPr>
        <w:tc>
          <w:tcPr>
            <w:tcW w:w="2555" w:type="pct"/>
            <w:tcBorders>
              <w:bottom w:val="single" w:sz="4" w:space="0" w:color="BFBFBF" w:themeColor="background1" w:themeShade="BF"/>
              <w:right w:val="single" w:sz="4" w:space="0" w:color="BFBFBF" w:themeColor="background1" w:themeShade="BF"/>
            </w:tcBorders>
            <w:shd w:val="clear" w:color="auto" w:fill="DBE5F1" w:themeFill="accent1" w:themeFillTint="33"/>
            <w:hideMark/>
          </w:tcPr>
          <w:p w:rsidR="00195BE7" w:rsidRPr="001E2F6E" w:rsidRDefault="00195BE7" w:rsidP="00195BE7">
            <w:pPr>
              <w:spacing w:line="240" w:lineRule="exact"/>
              <w:rPr>
                <w:sz w:val="16"/>
                <w:szCs w:val="16"/>
              </w:rPr>
            </w:pPr>
          </w:p>
        </w:tc>
        <w:tc>
          <w:tcPr>
            <w:tcW w:w="134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hideMark/>
          </w:tcPr>
          <w:p w:rsidR="00195BE7" w:rsidRPr="001E2F6E" w:rsidRDefault="00195BE7" w:rsidP="00195BE7">
            <w:pPr>
              <w:spacing w:line="240" w:lineRule="exact"/>
              <w:jc w:val="center"/>
              <w:rPr>
                <w:b/>
                <w:bCs/>
                <w:sz w:val="16"/>
                <w:szCs w:val="16"/>
              </w:rPr>
            </w:pPr>
            <w:r w:rsidRPr="001E2F6E">
              <w:rPr>
                <w:b/>
                <w:bCs/>
                <w:sz w:val="16"/>
                <w:szCs w:val="16"/>
              </w:rPr>
              <w:t xml:space="preserve">Euroak </w:t>
            </w:r>
          </w:p>
        </w:tc>
        <w:tc>
          <w:tcPr>
            <w:tcW w:w="1100"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hideMark/>
          </w:tcPr>
          <w:p w:rsidR="00195BE7" w:rsidRPr="001E2F6E" w:rsidRDefault="00195BE7" w:rsidP="00195BE7">
            <w:pPr>
              <w:spacing w:line="240" w:lineRule="exact"/>
              <w:jc w:val="center"/>
              <w:rPr>
                <w:b/>
                <w:bCs/>
                <w:sz w:val="16"/>
                <w:szCs w:val="16"/>
              </w:rPr>
            </w:pPr>
            <w:r w:rsidRPr="001E2F6E">
              <w:rPr>
                <w:b/>
                <w:bCs/>
                <w:sz w:val="16"/>
                <w:szCs w:val="16"/>
              </w:rPr>
              <w:t>%ber.</w:t>
            </w:r>
          </w:p>
        </w:tc>
      </w:tr>
      <w:tr w:rsidR="00195BE7" w:rsidRPr="001E2F6E" w:rsidTr="00195BE7">
        <w:trPr>
          <w:jc w:val="center"/>
        </w:trPr>
        <w:tc>
          <w:tcPr>
            <w:tcW w:w="2555" w:type="pct"/>
            <w:tcBorders>
              <w:top w:val="single" w:sz="4" w:space="0" w:color="BFBFBF" w:themeColor="background1" w:themeShade="BF"/>
              <w:right w:val="single" w:sz="4" w:space="0" w:color="BFBFBF" w:themeColor="background1" w:themeShade="BF"/>
            </w:tcBorders>
            <w:vAlign w:val="bottom"/>
            <w:hideMark/>
          </w:tcPr>
          <w:p w:rsidR="00195BE7" w:rsidRPr="001E2F6E" w:rsidRDefault="00195BE7" w:rsidP="00195BE7">
            <w:pPr>
              <w:spacing w:line="240" w:lineRule="exact"/>
              <w:rPr>
                <w:color w:val="000000"/>
                <w:sz w:val="16"/>
                <w:szCs w:val="16"/>
              </w:rPr>
            </w:pPr>
            <w:r w:rsidRPr="001E2F6E">
              <w:rPr>
                <w:color w:val="000000"/>
                <w:sz w:val="16"/>
                <w:szCs w:val="16"/>
              </w:rPr>
              <w:t>Salmentak</w:t>
            </w:r>
          </w:p>
        </w:tc>
        <w:tc>
          <w:tcPr>
            <w:tcW w:w="1345" w:type="pct"/>
            <w:tcBorders>
              <w:top w:val="single" w:sz="4" w:space="0" w:color="BFBFBF" w:themeColor="background1" w:themeShade="BF"/>
              <w:left w:val="single" w:sz="4" w:space="0" w:color="BFBFBF" w:themeColor="background1" w:themeShade="BF"/>
              <w:right w:val="single" w:sz="4" w:space="0" w:color="BFBFBF" w:themeColor="background1" w:themeShade="BF"/>
            </w:tcBorders>
            <w:noWrap/>
            <w:vAlign w:val="bottom"/>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25.534.006</w:t>
            </w:r>
          </w:p>
        </w:tc>
        <w:tc>
          <w:tcPr>
            <w:tcW w:w="1100" w:type="pct"/>
            <w:tcBorders>
              <w:top w:val="single" w:sz="4" w:space="0" w:color="BFBFBF" w:themeColor="background1" w:themeShade="BF"/>
              <w:left w:val="single" w:sz="4" w:space="0" w:color="BFBFBF" w:themeColor="background1" w:themeShade="BF"/>
            </w:tcBorders>
            <w:vAlign w:val="bottom"/>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67,9</w:t>
            </w:r>
          </w:p>
        </w:tc>
      </w:tr>
      <w:tr w:rsidR="00195BE7" w:rsidRPr="001E2F6E" w:rsidTr="00195BE7">
        <w:trPr>
          <w:jc w:val="center"/>
        </w:trPr>
        <w:tc>
          <w:tcPr>
            <w:tcW w:w="2555" w:type="pct"/>
            <w:tcBorders>
              <w:right w:val="single" w:sz="4" w:space="0" w:color="BFBFBF" w:themeColor="background1" w:themeShade="BF"/>
            </w:tcBorders>
            <w:noWrap/>
            <w:vAlign w:val="bottom"/>
            <w:hideMark/>
          </w:tcPr>
          <w:p w:rsidR="00195BE7" w:rsidRPr="001E2F6E" w:rsidRDefault="00195BE7" w:rsidP="00195BE7">
            <w:pPr>
              <w:spacing w:line="240" w:lineRule="exact"/>
              <w:rPr>
                <w:color w:val="000000"/>
                <w:sz w:val="16"/>
                <w:szCs w:val="16"/>
              </w:rPr>
            </w:pPr>
            <w:r w:rsidRPr="001E2F6E">
              <w:rPr>
                <w:color w:val="000000"/>
                <w:sz w:val="16"/>
                <w:szCs w:val="16"/>
              </w:rPr>
              <w:t>Dirulaguntza publikoak</w:t>
            </w:r>
          </w:p>
        </w:tc>
        <w:tc>
          <w:tcPr>
            <w:tcW w:w="1345" w:type="pct"/>
            <w:tcBorders>
              <w:left w:val="single" w:sz="4" w:space="0" w:color="BFBFBF" w:themeColor="background1" w:themeShade="BF"/>
              <w:right w:val="single" w:sz="4" w:space="0" w:color="BFBFBF" w:themeColor="background1" w:themeShade="BF"/>
            </w:tcBorders>
            <w:noWrap/>
            <w:vAlign w:val="bottom"/>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8.952.262</w:t>
            </w:r>
          </w:p>
        </w:tc>
        <w:tc>
          <w:tcPr>
            <w:tcW w:w="1100" w:type="pct"/>
            <w:tcBorders>
              <w:left w:val="single" w:sz="4" w:space="0" w:color="BFBFBF" w:themeColor="background1" w:themeShade="BF"/>
            </w:tcBorders>
            <w:vAlign w:val="bottom"/>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23,8</w:t>
            </w:r>
          </w:p>
        </w:tc>
      </w:tr>
      <w:tr w:rsidR="00195BE7" w:rsidRPr="001E2F6E" w:rsidTr="00195BE7">
        <w:trPr>
          <w:jc w:val="center"/>
        </w:trPr>
        <w:tc>
          <w:tcPr>
            <w:tcW w:w="2555" w:type="pct"/>
            <w:tcBorders>
              <w:right w:val="single" w:sz="4" w:space="0" w:color="BFBFBF" w:themeColor="background1" w:themeShade="BF"/>
            </w:tcBorders>
            <w:vAlign w:val="bottom"/>
            <w:hideMark/>
          </w:tcPr>
          <w:p w:rsidR="00195BE7" w:rsidRPr="001E2F6E" w:rsidRDefault="00195BE7" w:rsidP="00195BE7">
            <w:pPr>
              <w:spacing w:line="240" w:lineRule="exact"/>
              <w:rPr>
                <w:color w:val="000000"/>
                <w:sz w:val="16"/>
                <w:szCs w:val="16"/>
              </w:rPr>
            </w:pPr>
            <w:r w:rsidRPr="001E2F6E">
              <w:rPr>
                <w:color w:val="000000"/>
                <w:sz w:val="16"/>
                <w:szCs w:val="16"/>
              </w:rPr>
              <w:t>Dirulaguntza pribatuak</w:t>
            </w:r>
          </w:p>
        </w:tc>
        <w:tc>
          <w:tcPr>
            <w:tcW w:w="1345" w:type="pct"/>
            <w:tcBorders>
              <w:left w:val="single" w:sz="4" w:space="0" w:color="BFBFBF" w:themeColor="background1" w:themeShade="BF"/>
              <w:right w:val="single" w:sz="4" w:space="0" w:color="BFBFBF" w:themeColor="background1" w:themeShade="BF"/>
            </w:tcBorders>
            <w:noWrap/>
            <w:vAlign w:val="bottom"/>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359.891</w:t>
            </w:r>
          </w:p>
        </w:tc>
        <w:tc>
          <w:tcPr>
            <w:tcW w:w="1100" w:type="pct"/>
            <w:tcBorders>
              <w:left w:val="single" w:sz="4" w:space="0" w:color="BFBFBF" w:themeColor="background1" w:themeShade="BF"/>
            </w:tcBorders>
            <w:vAlign w:val="bottom"/>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1,0</w:t>
            </w:r>
          </w:p>
        </w:tc>
      </w:tr>
      <w:tr w:rsidR="00195BE7" w:rsidRPr="001E2F6E" w:rsidTr="00195BE7">
        <w:trPr>
          <w:jc w:val="center"/>
        </w:trPr>
        <w:tc>
          <w:tcPr>
            <w:tcW w:w="2555" w:type="pct"/>
            <w:tcBorders>
              <w:bottom w:val="single" w:sz="4" w:space="0" w:color="BFBFBF" w:themeColor="background1" w:themeShade="BF"/>
              <w:right w:val="single" w:sz="4" w:space="0" w:color="BFBFBF" w:themeColor="background1" w:themeShade="BF"/>
            </w:tcBorders>
            <w:vAlign w:val="bottom"/>
            <w:hideMark/>
          </w:tcPr>
          <w:p w:rsidR="00195BE7" w:rsidRPr="001E2F6E" w:rsidRDefault="00195BE7" w:rsidP="00195BE7">
            <w:pPr>
              <w:spacing w:line="240" w:lineRule="exact"/>
              <w:rPr>
                <w:color w:val="000000"/>
                <w:sz w:val="16"/>
                <w:szCs w:val="16"/>
              </w:rPr>
            </w:pPr>
            <w:r w:rsidRPr="001E2F6E">
              <w:rPr>
                <w:color w:val="000000"/>
                <w:sz w:val="16"/>
                <w:szCs w:val="16"/>
              </w:rPr>
              <w:t xml:space="preserve">Beste sarrera batzuk </w:t>
            </w:r>
          </w:p>
        </w:tc>
        <w:tc>
          <w:tcPr>
            <w:tcW w:w="1345" w:type="pct"/>
            <w:tcBorders>
              <w:left w:val="single" w:sz="4" w:space="0" w:color="BFBFBF" w:themeColor="background1" w:themeShade="BF"/>
              <w:bottom w:val="single" w:sz="4" w:space="0" w:color="BFBFBF" w:themeColor="background1" w:themeShade="BF"/>
              <w:right w:val="single" w:sz="4" w:space="0" w:color="BFBFBF" w:themeColor="background1" w:themeShade="BF"/>
            </w:tcBorders>
            <w:noWrap/>
            <w:vAlign w:val="bottom"/>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2.735.579</w:t>
            </w:r>
          </w:p>
        </w:tc>
        <w:tc>
          <w:tcPr>
            <w:tcW w:w="1100" w:type="pct"/>
            <w:tcBorders>
              <w:left w:val="single" w:sz="4" w:space="0" w:color="BFBFBF" w:themeColor="background1" w:themeShade="BF"/>
              <w:bottom w:val="single" w:sz="4" w:space="0" w:color="BFBFBF" w:themeColor="background1" w:themeShade="BF"/>
            </w:tcBorders>
            <w:vAlign w:val="bottom"/>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7,3</w:t>
            </w:r>
          </w:p>
        </w:tc>
      </w:tr>
      <w:tr w:rsidR="00195BE7" w:rsidRPr="001E2F6E" w:rsidTr="00195BE7">
        <w:trPr>
          <w:jc w:val="center"/>
        </w:trPr>
        <w:tc>
          <w:tcPr>
            <w:tcW w:w="2555" w:type="pct"/>
            <w:tcBorders>
              <w:top w:val="single" w:sz="4" w:space="0" w:color="BFBFBF" w:themeColor="background1" w:themeShade="BF"/>
              <w:bottom w:val="single" w:sz="4" w:space="0" w:color="BFBFBF" w:themeColor="background1" w:themeShade="BF"/>
              <w:right w:val="single" w:sz="4" w:space="0" w:color="BFBFBF" w:themeColor="background1" w:themeShade="BF"/>
            </w:tcBorders>
            <w:hideMark/>
          </w:tcPr>
          <w:p w:rsidR="00195BE7" w:rsidRPr="001E2F6E" w:rsidRDefault="00195BE7" w:rsidP="00195BE7">
            <w:pPr>
              <w:spacing w:line="240" w:lineRule="exact"/>
              <w:rPr>
                <w:b/>
                <w:bCs/>
                <w:color w:val="000000"/>
                <w:sz w:val="16"/>
                <w:szCs w:val="16"/>
              </w:rPr>
            </w:pPr>
            <w:r w:rsidRPr="001E2F6E">
              <w:rPr>
                <w:b/>
                <w:bCs/>
                <w:color w:val="000000"/>
                <w:sz w:val="16"/>
                <w:szCs w:val="16"/>
              </w:rPr>
              <w:t>GUZTIRA</w:t>
            </w:r>
          </w:p>
        </w:tc>
        <w:tc>
          <w:tcPr>
            <w:tcW w:w="134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bottom"/>
            <w:hideMark/>
          </w:tcPr>
          <w:p w:rsidR="00195BE7" w:rsidRPr="001E2F6E" w:rsidRDefault="00195BE7" w:rsidP="00195BE7">
            <w:pPr>
              <w:spacing w:line="240" w:lineRule="exact"/>
              <w:ind w:right="170"/>
              <w:jc w:val="right"/>
              <w:rPr>
                <w:b/>
                <w:bCs/>
                <w:color w:val="000000"/>
                <w:sz w:val="16"/>
                <w:szCs w:val="16"/>
              </w:rPr>
            </w:pPr>
            <w:r w:rsidRPr="001E2F6E">
              <w:rPr>
                <w:b/>
                <w:bCs/>
                <w:color w:val="000000"/>
                <w:sz w:val="16"/>
                <w:szCs w:val="16"/>
              </w:rPr>
              <w:t>37.581.738</w:t>
            </w:r>
          </w:p>
        </w:tc>
        <w:tc>
          <w:tcPr>
            <w:tcW w:w="1100" w:type="pct"/>
            <w:tcBorders>
              <w:top w:val="single" w:sz="4" w:space="0" w:color="BFBFBF" w:themeColor="background1" w:themeShade="BF"/>
              <w:left w:val="single" w:sz="4" w:space="0" w:color="BFBFBF" w:themeColor="background1" w:themeShade="BF"/>
              <w:bottom w:val="single" w:sz="4" w:space="0" w:color="BFBFBF" w:themeColor="background1" w:themeShade="BF"/>
            </w:tcBorders>
            <w:vAlign w:val="bottom"/>
            <w:hideMark/>
          </w:tcPr>
          <w:p w:rsidR="00195BE7" w:rsidRPr="001E2F6E" w:rsidRDefault="00195BE7" w:rsidP="00195BE7">
            <w:pPr>
              <w:spacing w:line="240" w:lineRule="exact"/>
              <w:ind w:right="170"/>
              <w:jc w:val="right"/>
              <w:rPr>
                <w:b/>
                <w:bCs/>
                <w:color w:val="000000"/>
                <w:sz w:val="16"/>
                <w:szCs w:val="16"/>
              </w:rPr>
            </w:pPr>
            <w:r w:rsidRPr="001E2F6E">
              <w:rPr>
                <w:b/>
                <w:bCs/>
                <w:color w:val="000000"/>
                <w:sz w:val="16"/>
                <w:szCs w:val="16"/>
              </w:rPr>
              <w:t>100,0</w:t>
            </w:r>
          </w:p>
        </w:tc>
      </w:tr>
    </w:tbl>
    <w:p w:rsidR="00195BE7" w:rsidRPr="001E2F6E" w:rsidRDefault="00195BE7" w:rsidP="00195BE7">
      <w:pPr>
        <w:pStyle w:val="Ttulo6"/>
        <w:keepNext w:val="0"/>
        <w:widowControl w:val="0"/>
        <w:jc w:val="center"/>
        <w:rPr>
          <w:rFonts w:ascii="Arial" w:hAnsi="Arial" w:cs="Arial"/>
          <w:b w:val="0"/>
          <w:i/>
          <w:sz w:val="16"/>
        </w:rPr>
      </w:pPr>
      <w:r w:rsidRPr="001E2F6E">
        <w:rPr>
          <w:rFonts w:ascii="Arial" w:hAnsi="Arial" w:cs="Arial"/>
          <w:b w:val="0"/>
          <w:i/>
          <w:sz w:val="16"/>
        </w:rPr>
        <w:t>Iturria: Gizatea eta Merkataritza Erregistroko datuak oinarri harturik egina</w:t>
      </w:r>
    </w:p>
    <w:p w:rsidR="00195BE7" w:rsidRPr="001E2F6E" w:rsidRDefault="00195BE7" w:rsidP="00195BE7">
      <w:pPr>
        <w:pStyle w:val="Ttulo6"/>
        <w:keepNext w:val="0"/>
        <w:widowControl w:val="0"/>
        <w:jc w:val="center"/>
        <w:rPr>
          <w:rFonts w:ascii="Arial" w:hAnsi="Arial" w:cs="Arial"/>
          <w:b w:val="0"/>
          <w:i/>
          <w:sz w:val="16"/>
        </w:rPr>
      </w:pPr>
    </w:p>
    <w:p w:rsidR="00195BE7" w:rsidRPr="001E2F6E" w:rsidRDefault="00195BE7" w:rsidP="00195BE7"/>
    <w:p w:rsidR="00195BE7" w:rsidRPr="001E2F6E" w:rsidRDefault="00195BE7" w:rsidP="00195BE7">
      <w:pPr>
        <w:spacing w:after="200" w:line="276" w:lineRule="auto"/>
        <w:jc w:val="left"/>
        <w:rPr>
          <w:rFonts w:eastAsia="Times New Roman" w:cs="Times New Roman"/>
          <w:b/>
          <w:snapToGrid w:val="0"/>
          <w:color w:val="1F497D" w:themeColor="text2"/>
          <w:sz w:val="22"/>
          <w:lang w:eastAsia="es-ES"/>
        </w:rPr>
      </w:pPr>
      <w:r w:rsidRPr="001E2F6E">
        <w:rPr>
          <w:color w:val="1F497D" w:themeColor="text2"/>
          <w:sz w:val="22"/>
        </w:rPr>
        <w:br w:type="page"/>
      </w:r>
    </w:p>
    <w:p w:rsidR="00195BE7" w:rsidRPr="001E2F6E" w:rsidRDefault="00195BE7" w:rsidP="00195BE7">
      <w:pPr>
        <w:pStyle w:val="Ttulo1"/>
        <w:ind w:left="708" w:hanging="708"/>
        <w:rPr>
          <w:color w:val="1F497D" w:themeColor="text2"/>
          <w:sz w:val="22"/>
          <w:szCs w:val="22"/>
        </w:rPr>
      </w:pPr>
      <w:bookmarkStart w:id="391" w:name="_Toc391565542"/>
      <w:bookmarkStart w:id="392" w:name="_Toc391989052"/>
      <w:bookmarkStart w:id="393" w:name="_Toc392585715"/>
      <w:r w:rsidRPr="001E2F6E">
        <w:rPr>
          <w:color w:val="1F497D" w:themeColor="text2"/>
          <w:sz w:val="22"/>
          <w:szCs w:val="22"/>
        </w:rPr>
        <w:lastRenderedPageBreak/>
        <w:t xml:space="preserve">3.3.2.- </w:t>
      </w:r>
      <w:bookmarkEnd w:id="391"/>
      <w:r w:rsidRPr="001E2F6E">
        <w:rPr>
          <w:color w:val="1F497D" w:themeColor="text2"/>
          <w:sz w:val="22"/>
          <w:szCs w:val="22"/>
        </w:rPr>
        <w:t>Laneratzeko Enpresen BEGd-a</w:t>
      </w:r>
      <w:bookmarkEnd w:id="392"/>
      <w:bookmarkEnd w:id="393"/>
    </w:p>
    <w:p w:rsidR="00195BE7" w:rsidRPr="001E2F6E" w:rsidRDefault="00195BE7" w:rsidP="00195BE7"/>
    <w:p w:rsidR="00195BE7" w:rsidRPr="001E2F6E" w:rsidRDefault="00195BE7" w:rsidP="00195BE7">
      <w:pPr>
        <w:spacing w:line="240" w:lineRule="auto"/>
        <w:jc w:val="center"/>
        <w:rPr>
          <w:b/>
          <w:color w:val="1F497D" w:themeColor="text2"/>
          <w:sz w:val="18"/>
          <w:szCs w:val="18"/>
        </w:rPr>
      </w:pPr>
      <w:bookmarkStart w:id="394" w:name="_Toc391989180"/>
      <w:bookmarkStart w:id="395" w:name="_Toc392585860"/>
      <w:r w:rsidRPr="001E2F6E">
        <w:rPr>
          <w:b/>
          <w:bCs/>
          <w:color w:val="1F497D" w:themeColor="text2"/>
          <w:sz w:val="18"/>
          <w:szCs w:val="18"/>
        </w:rPr>
        <w:t>4.</w:t>
      </w:r>
      <w:r w:rsidR="00EB6BA6" w:rsidRPr="001E2F6E">
        <w:rPr>
          <w:b/>
          <w:bCs/>
          <w:color w:val="1F497D" w:themeColor="text2"/>
          <w:sz w:val="18"/>
          <w:szCs w:val="18"/>
        </w:rPr>
        <w:fldChar w:fldCharType="begin"/>
      </w:r>
      <w:r w:rsidRPr="001E2F6E">
        <w:rPr>
          <w:b/>
          <w:bCs/>
          <w:color w:val="1F497D" w:themeColor="text2"/>
          <w:sz w:val="18"/>
          <w:szCs w:val="18"/>
        </w:rPr>
        <w:instrText xml:space="preserve"> SEQ Cuadro_4. \* ARABIC </w:instrText>
      </w:r>
      <w:r w:rsidR="00EB6BA6" w:rsidRPr="001E2F6E">
        <w:rPr>
          <w:b/>
          <w:bCs/>
          <w:color w:val="1F497D" w:themeColor="text2"/>
          <w:sz w:val="18"/>
          <w:szCs w:val="18"/>
        </w:rPr>
        <w:fldChar w:fldCharType="separate"/>
      </w:r>
      <w:r w:rsidR="00A327D4">
        <w:rPr>
          <w:b/>
          <w:bCs/>
          <w:noProof/>
          <w:color w:val="1F497D" w:themeColor="text2"/>
          <w:sz w:val="18"/>
          <w:szCs w:val="18"/>
        </w:rPr>
        <w:t>7</w:t>
      </w:r>
      <w:r w:rsidR="00EB6BA6" w:rsidRPr="001E2F6E">
        <w:rPr>
          <w:b/>
          <w:bCs/>
          <w:color w:val="1F497D" w:themeColor="text2"/>
          <w:sz w:val="18"/>
          <w:szCs w:val="18"/>
        </w:rPr>
        <w:fldChar w:fldCharType="end"/>
      </w:r>
      <w:r w:rsidRPr="001E2F6E">
        <w:rPr>
          <w:b/>
          <w:bCs/>
          <w:color w:val="1F497D" w:themeColor="text2"/>
          <w:sz w:val="18"/>
          <w:szCs w:val="18"/>
        </w:rPr>
        <w:t xml:space="preserve"> Taula </w:t>
      </w:r>
      <w:r w:rsidRPr="001E2F6E">
        <w:rPr>
          <w:b/>
          <w:color w:val="1F497D" w:themeColor="text2"/>
          <w:sz w:val="18"/>
          <w:szCs w:val="18"/>
        </w:rPr>
        <w:t>BEGd-aren BANAKETA LANERATZEKO ENPRESATAN 2012 (z.a. eta %bertikalak.)</w:t>
      </w:r>
      <w:bookmarkEnd w:id="394"/>
      <w:bookmarkEnd w:id="395"/>
    </w:p>
    <w:tbl>
      <w:tblPr>
        <w:tblW w:w="5000" w:type="pct"/>
        <w:jc w:val="center"/>
        <w:tblLook w:val="04A0" w:firstRow="1" w:lastRow="0" w:firstColumn="1" w:lastColumn="0" w:noHBand="0" w:noVBand="1"/>
      </w:tblPr>
      <w:tblGrid>
        <w:gridCol w:w="4894"/>
        <w:gridCol w:w="2217"/>
        <w:gridCol w:w="1893"/>
      </w:tblGrid>
      <w:tr w:rsidR="00195BE7" w:rsidRPr="001E2F6E" w:rsidTr="00195BE7">
        <w:trPr>
          <w:jc w:val="center"/>
        </w:trPr>
        <w:tc>
          <w:tcPr>
            <w:tcW w:w="2718" w:type="pct"/>
            <w:tcBorders>
              <w:top w:val="single" w:sz="4" w:space="0" w:color="BFBFBF" w:themeColor="background1" w:themeShade="BF"/>
              <w:right w:val="single" w:sz="4" w:space="0" w:color="BFBFBF" w:themeColor="background1" w:themeShade="BF"/>
            </w:tcBorders>
            <w:shd w:val="clear" w:color="auto" w:fill="DBE5F1" w:themeFill="accent1" w:themeFillTint="33"/>
            <w:vAlign w:val="bottom"/>
            <w:hideMark/>
          </w:tcPr>
          <w:p w:rsidR="00195BE7" w:rsidRPr="001E2F6E" w:rsidRDefault="00195BE7" w:rsidP="00195BE7">
            <w:pPr>
              <w:spacing w:line="240" w:lineRule="exact"/>
              <w:rPr>
                <w:b/>
                <w:bCs/>
                <w:sz w:val="16"/>
                <w:szCs w:val="16"/>
              </w:rPr>
            </w:pPr>
          </w:p>
        </w:tc>
        <w:tc>
          <w:tcPr>
            <w:tcW w:w="2282" w:type="pct"/>
            <w:gridSpan w:val="2"/>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hideMark/>
          </w:tcPr>
          <w:p w:rsidR="00195BE7" w:rsidRPr="001E2F6E" w:rsidRDefault="00195BE7" w:rsidP="00195BE7">
            <w:pPr>
              <w:spacing w:line="240" w:lineRule="exact"/>
              <w:jc w:val="center"/>
              <w:rPr>
                <w:b/>
                <w:bCs/>
                <w:sz w:val="16"/>
                <w:szCs w:val="16"/>
              </w:rPr>
            </w:pPr>
            <w:r w:rsidRPr="001E2F6E">
              <w:rPr>
                <w:b/>
                <w:sz w:val="16"/>
                <w:szCs w:val="16"/>
              </w:rPr>
              <w:t>Laneratzeko enpresak</w:t>
            </w:r>
          </w:p>
        </w:tc>
      </w:tr>
      <w:tr w:rsidR="00195BE7" w:rsidRPr="001E2F6E" w:rsidTr="00195BE7">
        <w:trPr>
          <w:jc w:val="center"/>
        </w:trPr>
        <w:tc>
          <w:tcPr>
            <w:tcW w:w="2718" w:type="pct"/>
            <w:tcBorders>
              <w:bottom w:val="single" w:sz="4" w:space="0" w:color="BFBFBF" w:themeColor="background1" w:themeShade="BF"/>
              <w:right w:val="single" w:sz="4" w:space="0" w:color="BFBFBF" w:themeColor="background1" w:themeShade="BF"/>
            </w:tcBorders>
            <w:shd w:val="clear" w:color="auto" w:fill="DBE5F1" w:themeFill="accent1" w:themeFillTint="33"/>
            <w:vAlign w:val="bottom"/>
            <w:hideMark/>
          </w:tcPr>
          <w:p w:rsidR="00195BE7" w:rsidRPr="001E2F6E" w:rsidRDefault="00195BE7" w:rsidP="00195BE7">
            <w:pPr>
              <w:spacing w:line="240" w:lineRule="exact"/>
              <w:rPr>
                <w:b/>
                <w:bCs/>
                <w:sz w:val="16"/>
                <w:szCs w:val="16"/>
              </w:rPr>
            </w:pPr>
          </w:p>
        </w:tc>
        <w:tc>
          <w:tcPr>
            <w:tcW w:w="123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hideMark/>
          </w:tcPr>
          <w:p w:rsidR="00195BE7" w:rsidRPr="001E2F6E" w:rsidRDefault="00195BE7" w:rsidP="00195BE7">
            <w:pPr>
              <w:spacing w:line="240" w:lineRule="exact"/>
              <w:jc w:val="center"/>
              <w:rPr>
                <w:b/>
                <w:bCs/>
                <w:sz w:val="16"/>
                <w:szCs w:val="16"/>
              </w:rPr>
            </w:pPr>
            <w:r w:rsidRPr="001E2F6E">
              <w:rPr>
                <w:b/>
                <w:bCs/>
                <w:sz w:val="16"/>
                <w:szCs w:val="16"/>
              </w:rPr>
              <w:t>Euroak</w:t>
            </w:r>
          </w:p>
        </w:tc>
        <w:tc>
          <w:tcPr>
            <w:tcW w:w="1051"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hideMark/>
          </w:tcPr>
          <w:p w:rsidR="00195BE7" w:rsidRPr="001E2F6E" w:rsidRDefault="00195BE7" w:rsidP="00195BE7">
            <w:pPr>
              <w:spacing w:line="240" w:lineRule="exact"/>
              <w:jc w:val="center"/>
              <w:rPr>
                <w:b/>
                <w:bCs/>
                <w:sz w:val="16"/>
                <w:szCs w:val="16"/>
              </w:rPr>
            </w:pPr>
            <w:r w:rsidRPr="001E2F6E">
              <w:rPr>
                <w:b/>
                <w:bCs/>
                <w:sz w:val="16"/>
                <w:szCs w:val="16"/>
              </w:rPr>
              <w:t>%ber.</w:t>
            </w:r>
          </w:p>
        </w:tc>
      </w:tr>
      <w:tr w:rsidR="00195BE7" w:rsidRPr="001E2F6E" w:rsidTr="00195BE7">
        <w:trPr>
          <w:jc w:val="center"/>
        </w:trPr>
        <w:tc>
          <w:tcPr>
            <w:tcW w:w="2718" w:type="pct"/>
            <w:tcBorders>
              <w:top w:val="single" w:sz="4" w:space="0" w:color="BFBFBF" w:themeColor="background1" w:themeShade="BF"/>
              <w:right w:val="single" w:sz="4" w:space="0" w:color="BFBFBF" w:themeColor="background1" w:themeShade="BF"/>
            </w:tcBorders>
            <w:vAlign w:val="bottom"/>
            <w:hideMark/>
          </w:tcPr>
          <w:p w:rsidR="00195BE7" w:rsidRPr="001E2F6E" w:rsidRDefault="00195BE7" w:rsidP="00195BE7">
            <w:pPr>
              <w:spacing w:line="240" w:lineRule="exact"/>
              <w:rPr>
                <w:color w:val="000000"/>
                <w:sz w:val="16"/>
                <w:szCs w:val="16"/>
              </w:rPr>
            </w:pPr>
            <w:r w:rsidRPr="001E2F6E">
              <w:rPr>
                <w:color w:val="000000"/>
                <w:sz w:val="16"/>
                <w:szCs w:val="16"/>
              </w:rPr>
              <w:t>ZAM  (Zerga aurreko mozkinak)</w:t>
            </w:r>
          </w:p>
        </w:tc>
        <w:tc>
          <w:tcPr>
            <w:tcW w:w="1231" w:type="pct"/>
            <w:tcBorders>
              <w:top w:val="single" w:sz="4" w:space="0" w:color="BFBFBF" w:themeColor="background1" w:themeShade="BF"/>
              <w:left w:val="single" w:sz="4" w:space="0" w:color="BFBFBF" w:themeColor="background1" w:themeShade="BF"/>
              <w:right w:val="single" w:sz="4" w:space="0" w:color="BFBFBF" w:themeColor="background1" w:themeShade="BF"/>
            </w:tcBorders>
            <w:noWrap/>
            <w:vAlign w:val="bottom"/>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3.852.197</w:t>
            </w:r>
          </w:p>
        </w:tc>
        <w:tc>
          <w:tcPr>
            <w:tcW w:w="1051" w:type="pct"/>
            <w:tcBorders>
              <w:top w:val="single" w:sz="4" w:space="0" w:color="BFBFBF" w:themeColor="background1" w:themeShade="BF"/>
              <w:left w:val="single" w:sz="4" w:space="0" w:color="BFBFBF" w:themeColor="background1" w:themeShade="BF"/>
            </w:tcBorders>
            <w:vAlign w:val="bottom"/>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15,9</w:t>
            </w:r>
          </w:p>
        </w:tc>
      </w:tr>
      <w:tr w:rsidR="00195BE7" w:rsidRPr="001E2F6E" w:rsidTr="00195BE7">
        <w:trPr>
          <w:jc w:val="center"/>
        </w:trPr>
        <w:tc>
          <w:tcPr>
            <w:tcW w:w="2718" w:type="pct"/>
            <w:tcBorders>
              <w:bottom w:val="single" w:sz="4" w:space="0" w:color="BFBFBF" w:themeColor="background1" w:themeShade="BF"/>
              <w:right w:val="single" w:sz="4" w:space="0" w:color="BFBFBF" w:themeColor="background1" w:themeShade="BF"/>
            </w:tcBorders>
            <w:noWrap/>
            <w:vAlign w:val="bottom"/>
            <w:hideMark/>
          </w:tcPr>
          <w:p w:rsidR="00195BE7" w:rsidRPr="001E2F6E" w:rsidRDefault="00195BE7" w:rsidP="00195BE7">
            <w:pPr>
              <w:spacing w:line="240" w:lineRule="exact"/>
              <w:rPr>
                <w:color w:val="000000"/>
                <w:sz w:val="16"/>
                <w:szCs w:val="16"/>
              </w:rPr>
            </w:pPr>
            <w:r w:rsidRPr="001E2F6E">
              <w:rPr>
                <w:color w:val="000000"/>
                <w:sz w:val="16"/>
                <w:szCs w:val="16"/>
              </w:rPr>
              <w:t>Langileen gastuak</w:t>
            </w:r>
          </w:p>
        </w:tc>
        <w:tc>
          <w:tcPr>
            <w:tcW w:w="1231" w:type="pct"/>
            <w:tcBorders>
              <w:left w:val="single" w:sz="4" w:space="0" w:color="BFBFBF" w:themeColor="background1" w:themeShade="BF"/>
              <w:bottom w:val="single" w:sz="4" w:space="0" w:color="BFBFBF" w:themeColor="background1" w:themeShade="BF"/>
              <w:right w:val="single" w:sz="4" w:space="0" w:color="BFBFBF" w:themeColor="background1" w:themeShade="BF"/>
            </w:tcBorders>
            <w:noWrap/>
            <w:vAlign w:val="bottom"/>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20.344.845</w:t>
            </w:r>
          </w:p>
        </w:tc>
        <w:tc>
          <w:tcPr>
            <w:tcW w:w="1051" w:type="pct"/>
            <w:tcBorders>
              <w:left w:val="single" w:sz="4" w:space="0" w:color="BFBFBF" w:themeColor="background1" w:themeShade="BF"/>
              <w:bottom w:val="single" w:sz="4" w:space="0" w:color="BFBFBF" w:themeColor="background1" w:themeShade="BF"/>
            </w:tcBorders>
            <w:vAlign w:val="bottom"/>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84,1</w:t>
            </w:r>
          </w:p>
        </w:tc>
      </w:tr>
      <w:tr w:rsidR="00195BE7" w:rsidRPr="001E2F6E" w:rsidTr="00195BE7">
        <w:trPr>
          <w:jc w:val="center"/>
        </w:trPr>
        <w:tc>
          <w:tcPr>
            <w:tcW w:w="2718" w:type="pct"/>
            <w:tcBorders>
              <w:top w:val="single" w:sz="4" w:space="0" w:color="BFBFBF" w:themeColor="background1" w:themeShade="BF"/>
              <w:bottom w:val="single" w:sz="4" w:space="0" w:color="BFBFBF" w:themeColor="background1" w:themeShade="BF"/>
              <w:right w:val="single" w:sz="4" w:space="0" w:color="BFBFBF" w:themeColor="background1" w:themeShade="BF"/>
            </w:tcBorders>
            <w:hideMark/>
          </w:tcPr>
          <w:p w:rsidR="00195BE7" w:rsidRPr="001E2F6E" w:rsidRDefault="00195BE7" w:rsidP="00195BE7">
            <w:pPr>
              <w:spacing w:line="240" w:lineRule="exact"/>
              <w:rPr>
                <w:b/>
                <w:bCs/>
                <w:color w:val="000000"/>
                <w:sz w:val="16"/>
                <w:szCs w:val="16"/>
              </w:rPr>
            </w:pPr>
            <w:r w:rsidRPr="001E2F6E">
              <w:rPr>
                <w:b/>
                <w:bCs/>
                <w:color w:val="000000"/>
                <w:sz w:val="16"/>
                <w:szCs w:val="16"/>
              </w:rPr>
              <w:t>BEGd</w:t>
            </w:r>
          </w:p>
        </w:tc>
        <w:tc>
          <w:tcPr>
            <w:tcW w:w="123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bottom"/>
            <w:hideMark/>
          </w:tcPr>
          <w:p w:rsidR="00195BE7" w:rsidRPr="001E2F6E" w:rsidRDefault="00195BE7" w:rsidP="00195BE7">
            <w:pPr>
              <w:spacing w:line="240" w:lineRule="exact"/>
              <w:ind w:right="170"/>
              <w:jc w:val="right"/>
              <w:rPr>
                <w:b/>
                <w:bCs/>
                <w:color w:val="000000"/>
                <w:sz w:val="16"/>
                <w:szCs w:val="16"/>
              </w:rPr>
            </w:pPr>
            <w:r w:rsidRPr="001E2F6E">
              <w:rPr>
                <w:b/>
                <w:bCs/>
                <w:color w:val="000000"/>
                <w:sz w:val="16"/>
                <w:szCs w:val="16"/>
              </w:rPr>
              <w:t>24.197.042</w:t>
            </w:r>
          </w:p>
        </w:tc>
        <w:tc>
          <w:tcPr>
            <w:tcW w:w="1051" w:type="pct"/>
            <w:tcBorders>
              <w:top w:val="single" w:sz="4" w:space="0" w:color="BFBFBF" w:themeColor="background1" w:themeShade="BF"/>
              <w:left w:val="single" w:sz="4" w:space="0" w:color="BFBFBF" w:themeColor="background1" w:themeShade="BF"/>
              <w:bottom w:val="single" w:sz="4" w:space="0" w:color="BFBFBF" w:themeColor="background1" w:themeShade="BF"/>
            </w:tcBorders>
            <w:vAlign w:val="bottom"/>
            <w:hideMark/>
          </w:tcPr>
          <w:p w:rsidR="00195BE7" w:rsidRPr="001E2F6E" w:rsidRDefault="00195BE7" w:rsidP="00195BE7">
            <w:pPr>
              <w:spacing w:line="240" w:lineRule="exact"/>
              <w:ind w:right="170"/>
              <w:jc w:val="right"/>
              <w:rPr>
                <w:b/>
                <w:bCs/>
                <w:color w:val="000000"/>
                <w:sz w:val="16"/>
                <w:szCs w:val="16"/>
              </w:rPr>
            </w:pPr>
            <w:r w:rsidRPr="001E2F6E">
              <w:rPr>
                <w:b/>
                <w:bCs/>
                <w:color w:val="000000"/>
                <w:sz w:val="16"/>
                <w:szCs w:val="16"/>
              </w:rPr>
              <w:t>100,0</w:t>
            </w:r>
          </w:p>
        </w:tc>
      </w:tr>
    </w:tbl>
    <w:p w:rsidR="00195BE7" w:rsidRPr="001E2F6E" w:rsidRDefault="00195BE7" w:rsidP="00195BE7">
      <w:pPr>
        <w:pStyle w:val="Ttulo6"/>
        <w:keepNext w:val="0"/>
        <w:widowControl w:val="0"/>
        <w:jc w:val="center"/>
        <w:rPr>
          <w:rFonts w:ascii="Arial" w:hAnsi="Arial" w:cs="Arial"/>
          <w:b w:val="0"/>
          <w:i/>
          <w:sz w:val="16"/>
        </w:rPr>
      </w:pPr>
      <w:r w:rsidRPr="001E2F6E">
        <w:rPr>
          <w:rFonts w:ascii="Arial" w:hAnsi="Arial" w:cs="Arial"/>
          <w:b w:val="0"/>
          <w:i/>
          <w:sz w:val="16"/>
        </w:rPr>
        <w:t>Iturria: Gizatea eta Merkataritza Erregistroko datuak oinarri harturik egina</w:t>
      </w:r>
    </w:p>
    <w:p w:rsidR="00195BE7" w:rsidRPr="001E2F6E" w:rsidRDefault="00195BE7" w:rsidP="00195BE7">
      <w:pPr>
        <w:spacing w:after="200" w:line="276" w:lineRule="auto"/>
        <w:jc w:val="left"/>
        <w:rPr>
          <w:rFonts w:eastAsia="Times New Roman" w:cs="Times New Roman"/>
          <w:b/>
          <w:snapToGrid w:val="0"/>
          <w:color w:val="1F497D" w:themeColor="text2"/>
          <w:sz w:val="26"/>
          <w:szCs w:val="26"/>
          <w:lang w:eastAsia="es-ES"/>
        </w:rPr>
      </w:pPr>
      <w:r w:rsidRPr="001E2F6E">
        <w:rPr>
          <w:color w:val="1F497D" w:themeColor="text2"/>
          <w:sz w:val="26"/>
          <w:szCs w:val="26"/>
        </w:rPr>
        <w:br w:type="page"/>
      </w:r>
    </w:p>
    <w:p w:rsidR="00195BE7" w:rsidRPr="001E2F6E" w:rsidRDefault="00195BE7" w:rsidP="00195BE7">
      <w:pPr>
        <w:pStyle w:val="Ttulo1"/>
        <w:ind w:left="708" w:hanging="708"/>
        <w:jc w:val="left"/>
        <w:rPr>
          <w:color w:val="1F497D" w:themeColor="text2"/>
          <w:sz w:val="26"/>
          <w:szCs w:val="26"/>
        </w:rPr>
      </w:pPr>
      <w:bookmarkStart w:id="396" w:name="_Toc391989053"/>
      <w:bookmarkStart w:id="397" w:name="_Toc392585716"/>
      <w:r w:rsidRPr="001E2F6E">
        <w:rPr>
          <w:color w:val="1F497D" w:themeColor="text2"/>
          <w:sz w:val="26"/>
          <w:szCs w:val="26"/>
        </w:rPr>
        <w:lastRenderedPageBreak/>
        <w:t xml:space="preserve">4.- </w:t>
      </w:r>
      <w:r w:rsidRPr="001E2F6E">
        <w:rPr>
          <w:color w:val="1F497D" w:themeColor="text2"/>
          <w:sz w:val="26"/>
          <w:szCs w:val="26"/>
        </w:rPr>
        <w:tab/>
        <w:t>BORONDATEZKO GIZARTE-AURREIKUSPENEKO ERAKUNDEAK (BGAE)</w:t>
      </w:r>
      <w:bookmarkEnd w:id="396"/>
      <w:bookmarkEnd w:id="397"/>
    </w:p>
    <w:p w:rsidR="00195BE7" w:rsidRPr="001E2F6E" w:rsidRDefault="00195BE7" w:rsidP="00195BE7">
      <w:pPr>
        <w:rPr>
          <w:color w:val="1F497D" w:themeColor="text2"/>
        </w:rPr>
      </w:pPr>
    </w:p>
    <w:p w:rsidR="00195BE7" w:rsidRPr="001E2F6E" w:rsidRDefault="00195BE7" w:rsidP="00195BE7">
      <w:pPr>
        <w:pStyle w:val="Ttulo1"/>
        <w:ind w:left="708" w:hanging="708"/>
        <w:rPr>
          <w:color w:val="1F497D" w:themeColor="text2"/>
          <w:sz w:val="22"/>
          <w:szCs w:val="22"/>
        </w:rPr>
      </w:pPr>
      <w:bookmarkStart w:id="398" w:name="_Toc391989054"/>
      <w:bookmarkStart w:id="399" w:name="_Toc392585717"/>
      <w:r w:rsidRPr="001E2F6E">
        <w:rPr>
          <w:color w:val="1F497D" w:themeColor="text2"/>
          <w:sz w:val="22"/>
          <w:szCs w:val="22"/>
        </w:rPr>
        <w:t xml:space="preserve">4.1.- </w:t>
      </w:r>
      <w:r w:rsidRPr="001E2F6E">
        <w:rPr>
          <w:color w:val="1F497D" w:themeColor="text2"/>
          <w:sz w:val="22"/>
          <w:szCs w:val="22"/>
        </w:rPr>
        <w:tab/>
        <w:t>ERAGILEEN KUANTIFIKAZIOA: BORONDATEZKO GIZARTE-AURREIKUSPENEKO ERAKUNDEAK (BGAE)</w:t>
      </w:r>
      <w:bookmarkEnd w:id="398"/>
      <w:bookmarkEnd w:id="399"/>
    </w:p>
    <w:p w:rsidR="00195BE7" w:rsidRPr="001E2F6E" w:rsidRDefault="00195BE7" w:rsidP="00195BE7">
      <w:pPr>
        <w:rPr>
          <w:color w:val="1F497D" w:themeColor="text2"/>
        </w:rPr>
      </w:pPr>
    </w:p>
    <w:p w:rsidR="00195BE7" w:rsidRPr="001E2F6E" w:rsidRDefault="00195BE7" w:rsidP="00195BE7">
      <w:pPr>
        <w:spacing w:line="240" w:lineRule="auto"/>
        <w:jc w:val="center"/>
        <w:rPr>
          <w:b/>
          <w:color w:val="1F497D" w:themeColor="text2"/>
          <w:sz w:val="18"/>
          <w:szCs w:val="18"/>
        </w:rPr>
      </w:pPr>
      <w:bookmarkStart w:id="400" w:name="_Toc391989181"/>
      <w:bookmarkStart w:id="401" w:name="_Toc392585861"/>
      <w:r w:rsidRPr="001E2F6E">
        <w:rPr>
          <w:b/>
          <w:bCs/>
          <w:color w:val="1F497D" w:themeColor="text2"/>
          <w:sz w:val="18"/>
          <w:szCs w:val="18"/>
        </w:rPr>
        <w:t>4.</w:t>
      </w:r>
      <w:r w:rsidR="00EB6BA6" w:rsidRPr="001E2F6E">
        <w:rPr>
          <w:b/>
          <w:bCs/>
          <w:color w:val="1F497D" w:themeColor="text2"/>
          <w:sz w:val="18"/>
          <w:szCs w:val="18"/>
        </w:rPr>
        <w:fldChar w:fldCharType="begin"/>
      </w:r>
      <w:r w:rsidRPr="001E2F6E">
        <w:rPr>
          <w:b/>
          <w:bCs/>
          <w:color w:val="1F497D" w:themeColor="text2"/>
          <w:sz w:val="18"/>
          <w:szCs w:val="18"/>
        </w:rPr>
        <w:instrText xml:space="preserve"> SEQ Cuadro_4. \* ARABIC </w:instrText>
      </w:r>
      <w:r w:rsidR="00EB6BA6" w:rsidRPr="001E2F6E">
        <w:rPr>
          <w:b/>
          <w:bCs/>
          <w:color w:val="1F497D" w:themeColor="text2"/>
          <w:sz w:val="18"/>
          <w:szCs w:val="18"/>
        </w:rPr>
        <w:fldChar w:fldCharType="separate"/>
      </w:r>
      <w:r w:rsidR="00A327D4">
        <w:rPr>
          <w:b/>
          <w:bCs/>
          <w:noProof/>
          <w:color w:val="1F497D" w:themeColor="text2"/>
          <w:sz w:val="18"/>
          <w:szCs w:val="18"/>
        </w:rPr>
        <w:t>8</w:t>
      </w:r>
      <w:r w:rsidR="00EB6BA6" w:rsidRPr="001E2F6E">
        <w:rPr>
          <w:b/>
          <w:bCs/>
          <w:color w:val="1F497D" w:themeColor="text2"/>
          <w:sz w:val="18"/>
          <w:szCs w:val="18"/>
        </w:rPr>
        <w:fldChar w:fldCharType="end"/>
      </w:r>
      <w:r w:rsidRPr="001E2F6E">
        <w:rPr>
          <w:b/>
          <w:bCs/>
          <w:color w:val="1F497D" w:themeColor="text2"/>
          <w:sz w:val="18"/>
          <w:szCs w:val="18"/>
        </w:rPr>
        <w:t xml:space="preserve"> Taula </w:t>
      </w:r>
      <w:r w:rsidRPr="001E2F6E">
        <w:rPr>
          <w:b/>
          <w:color w:val="1F497D" w:themeColor="text2"/>
          <w:sz w:val="18"/>
          <w:szCs w:val="18"/>
        </w:rPr>
        <w:t>BGAE-MOTEN BANAKETA – KOPURUA ETA ONDASUNA 2012 (</w:t>
      </w:r>
      <w:bookmarkEnd w:id="400"/>
      <w:r w:rsidR="00462130" w:rsidRPr="001E2F6E">
        <w:rPr>
          <w:b/>
          <w:color w:val="1F497D" w:themeColor="text2"/>
          <w:sz w:val="18"/>
          <w:szCs w:val="18"/>
        </w:rPr>
        <w:t>zifra absolutuak)</w:t>
      </w:r>
      <w:bookmarkEnd w:id="401"/>
    </w:p>
    <w:tbl>
      <w:tblPr>
        <w:tblW w:w="5000" w:type="pct"/>
        <w:jc w:val="center"/>
        <w:tblLook w:val="04A0" w:firstRow="1" w:lastRow="0" w:firstColumn="1" w:lastColumn="0" w:noHBand="0" w:noVBand="1"/>
      </w:tblPr>
      <w:tblGrid>
        <w:gridCol w:w="4205"/>
        <w:gridCol w:w="1779"/>
        <w:gridCol w:w="3020"/>
      </w:tblGrid>
      <w:tr w:rsidR="00195BE7" w:rsidRPr="001E2F6E" w:rsidTr="00195BE7">
        <w:trPr>
          <w:jc w:val="center"/>
        </w:trPr>
        <w:tc>
          <w:tcPr>
            <w:tcW w:w="2335" w:type="pct"/>
            <w:tcBorders>
              <w:top w:val="single" w:sz="4" w:space="0" w:color="BFBFBF" w:themeColor="background1" w:themeShade="BF"/>
              <w:right w:val="single" w:sz="4" w:space="0" w:color="BFBFBF" w:themeColor="background1" w:themeShade="BF"/>
            </w:tcBorders>
            <w:shd w:val="clear" w:color="auto" w:fill="DBE5F1" w:themeFill="accent1" w:themeFillTint="33"/>
            <w:hideMark/>
          </w:tcPr>
          <w:p w:rsidR="00195BE7" w:rsidRPr="001E2F6E" w:rsidRDefault="00195BE7" w:rsidP="00195BE7">
            <w:pPr>
              <w:spacing w:line="240" w:lineRule="exact"/>
              <w:rPr>
                <w:b/>
                <w:bCs/>
                <w:sz w:val="16"/>
                <w:szCs w:val="16"/>
              </w:rPr>
            </w:pPr>
          </w:p>
        </w:tc>
        <w:tc>
          <w:tcPr>
            <w:tcW w:w="2665" w:type="pct"/>
            <w:gridSpan w:val="2"/>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hideMark/>
          </w:tcPr>
          <w:p w:rsidR="00195BE7" w:rsidRPr="001E2F6E" w:rsidRDefault="00195BE7" w:rsidP="00195BE7">
            <w:pPr>
              <w:spacing w:line="240" w:lineRule="exact"/>
              <w:jc w:val="center"/>
              <w:rPr>
                <w:b/>
                <w:bCs/>
                <w:sz w:val="16"/>
                <w:szCs w:val="16"/>
              </w:rPr>
            </w:pPr>
            <w:r w:rsidRPr="001E2F6E">
              <w:rPr>
                <w:b/>
                <w:bCs/>
                <w:sz w:val="16"/>
                <w:szCs w:val="16"/>
              </w:rPr>
              <w:t>2012</w:t>
            </w:r>
          </w:p>
        </w:tc>
      </w:tr>
      <w:tr w:rsidR="00195BE7" w:rsidRPr="001E2F6E" w:rsidTr="00195BE7">
        <w:trPr>
          <w:jc w:val="center"/>
        </w:trPr>
        <w:tc>
          <w:tcPr>
            <w:tcW w:w="2335" w:type="pct"/>
            <w:tcBorders>
              <w:bottom w:val="single" w:sz="4" w:space="0" w:color="BFBFBF" w:themeColor="background1" w:themeShade="BF"/>
              <w:right w:val="single" w:sz="4" w:space="0" w:color="BFBFBF" w:themeColor="background1" w:themeShade="BF"/>
            </w:tcBorders>
            <w:shd w:val="clear" w:color="auto" w:fill="DBE5F1" w:themeFill="accent1" w:themeFillTint="33"/>
            <w:hideMark/>
          </w:tcPr>
          <w:p w:rsidR="00195BE7" w:rsidRPr="001E2F6E" w:rsidRDefault="00195BE7" w:rsidP="00195BE7">
            <w:pPr>
              <w:spacing w:line="240" w:lineRule="exact"/>
              <w:rPr>
                <w:b/>
                <w:bCs/>
                <w:sz w:val="16"/>
                <w:szCs w:val="16"/>
              </w:rPr>
            </w:pPr>
          </w:p>
        </w:tc>
        <w:tc>
          <w:tcPr>
            <w:tcW w:w="988"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hideMark/>
          </w:tcPr>
          <w:p w:rsidR="00195BE7" w:rsidRPr="001E2F6E" w:rsidRDefault="00195BE7" w:rsidP="00195BE7">
            <w:pPr>
              <w:spacing w:line="240" w:lineRule="exact"/>
              <w:jc w:val="center"/>
              <w:rPr>
                <w:b/>
                <w:bCs/>
                <w:sz w:val="16"/>
                <w:szCs w:val="16"/>
              </w:rPr>
            </w:pPr>
            <w:r w:rsidRPr="001E2F6E">
              <w:rPr>
                <w:b/>
                <w:bCs/>
                <w:sz w:val="16"/>
                <w:szCs w:val="16"/>
              </w:rPr>
              <w:t>Kopurua</w:t>
            </w:r>
          </w:p>
        </w:tc>
        <w:tc>
          <w:tcPr>
            <w:tcW w:w="1677" w:type="pct"/>
            <w:tcBorders>
              <w:top w:val="single" w:sz="4" w:space="0" w:color="BFBFBF" w:themeColor="background1" w:themeShade="BF"/>
              <w:bottom w:val="single" w:sz="4" w:space="0" w:color="BFBFBF" w:themeColor="background1" w:themeShade="BF"/>
            </w:tcBorders>
            <w:shd w:val="clear" w:color="auto" w:fill="DBE5F1" w:themeFill="accent1" w:themeFillTint="33"/>
            <w:hideMark/>
          </w:tcPr>
          <w:p w:rsidR="00195BE7" w:rsidRPr="001E2F6E" w:rsidRDefault="00195BE7" w:rsidP="00195BE7">
            <w:pPr>
              <w:spacing w:line="240" w:lineRule="exact"/>
              <w:jc w:val="center"/>
              <w:rPr>
                <w:b/>
                <w:bCs/>
                <w:sz w:val="16"/>
                <w:szCs w:val="16"/>
              </w:rPr>
            </w:pPr>
            <w:r w:rsidRPr="001E2F6E">
              <w:rPr>
                <w:b/>
                <w:bCs/>
                <w:sz w:val="16"/>
                <w:szCs w:val="16"/>
              </w:rPr>
              <w:t>Ondasuna</w:t>
            </w:r>
          </w:p>
        </w:tc>
      </w:tr>
      <w:tr w:rsidR="00195BE7" w:rsidRPr="001E2F6E" w:rsidTr="00195BE7">
        <w:trPr>
          <w:jc w:val="center"/>
        </w:trPr>
        <w:tc>
          <w:tcPr>
            <w:tcW w:w="2335" w:type="pct"/>
            <w:tcBorders>
              <w:top w:val="single" w:sz="4" w:space="0" w:color="BFBFBF" w:themeColor="background1" w:themeShade="BF"/>
              <w:right w:val="single" w:sz="4" w:space="0" w:color="BFBFBF" w:themeColor="background1" w:themeShade="BF"/>
            </w:tcBorders>
            <w:vAlign w:val="bottom"/>
            <w:hideMark/>
          </w:tcPr>
          <w:p w:rsidR="00195BE7" w:rsidRPr="001E2F6E" w:rsidRDefault="00195BE7" w:rsidP="00195BE7">
            <w:pPr>
              <w:spacing w:line="240" w:lineRule="exact"/>
              <w:rPr>
                <w:color w:val="000000"/>
                <w:sz w:val="16"/>
                <w:szCs w:val="16"/>
              </w:rPr>
            </w:pPr>
            <w:r w:rsidRPr="001E2F6E">
              <w:rPr>
                <w:bCs/>
                <w:color w:val="000000"/>
                <w:sz w:val="16"/>
                <w:szCs w:val="16"/>
                <w:lang w:val="eu-ES"/>
              </w:rPr>
              <w:t>Enplegu-plangintzako BGAEak</w:t>
            </w:r>
          </w:p>
        </w:tc>
        <w:tc>
          <w:tcPr>
            <w:tcW w:w="988" w:type="pct"/>
            <w:tcBorders>
              <w:top w:val="single" w:sz="4" w:space="0" w:color="BFBFBF" w:themeColor="background1" w:themeShade="BF"/>
              <w:left w:val="single" w:sz="4" w:space="0" w:color="BFBFBF" w:themeColor="background1" w:themeShade="BF"/>
            </w:tcBorders>
            <w:noWrap/>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41</w:t>
            </w:r>
          </w:p>
        </w:tc>
        <w:tc>
          <w:tcPr>
            <w:tcW w:w="1677" w:type="pct"/>
            <w:tcBorders>
              <w:top w:val="single" w:sz="4" w:space="0" w:color="BFBFBF" w:themeColor="background1" w:themeShade="BF"/>
            </w:tcBorders>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10.710.000.000</w:t>
            </w:r>
          </w:p>
        </w:tc>
      </w:tr>
      <w:tr w:rsidR="00195BE7" w:rsidRPr="001E2F6E" w:rsidTr="00195BE7">
        <w:trPr>
          <w:jc w:val="center"/>
        </w:trPr>
        <w:tc>
          <w:tcPr>
            <w:tcW w:w="2335" w:type="pct"/>
            <w:tcBorders>
              <w:right w:val="single" w:sz="4" w:space="0" w:color="BFBFBF" w:themeColor="background1" w:themeShade="BF"/>
            </w:tcBorders>
            <w:noWrap/>
            <w:vAlign w:val="bottom"/>
            <w:hideMark/>
          </w:tcPr>
          <w:p w:rsidR="00195BE7" w:rsidRPr="001E2F6E" w:rsidRDefault="00195BE7" w:rsidP="00195BE7">
            <w:pPr>
              <w:spacing w:line="240" w:lineRule="exact"/>
              <w:rPr>
                <w:color w:val="000000"/>
                <w:sz w:val="16"/>
                <w:szCs w:val="16"/>
              </w:rPr>
            </w:pPr>
            <w:r w:rsidRPr="001E2F6E">
              <w:rPr>
                <w:bCs/>
                <w:color w:val="000000"/>
                <w:sz w:val="16"/>
                <w:szCs w:val="16"/>
                <w:lang w:val="eu-ES"/>
              </w:rPr>
              <w:t>Plangintza elkartuko BGAEak</w:t>
            </w:r>
          </w:p>
        </w:tc>
        <w:tc>
          <w:tcPr>
            <w:tcW w:w="988" w:type="pct"/>
            <w:tcBorders>
              <w:left w:val="single" w:sz="4" w:space="0" w:color="BFBFBF" w:themeColor="background1" w:themeShade="BF"/>
            </w:tcBorders>
            <w:noWrap/>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6</w:t>
            </w:r>
          </w:p>
        </w:tc>
        <w:tc>
          <w:tcPr>
            <w:tcW w:w="1677" w:type="pct"/>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104.000.000</w:t>
            </w:r>
          </w:p>
        </w:tc>
      </w:tr>
      <w:tr w:rsidR="00195BE7" w:rsidRPr="001E2F6E" w:rsidTr="00195BE7">
        <w:trPr>
          <w:jc w:val="center"/>
        </w:trPr>
        <w:tc>
          <w:tcPr>
            <w:tcW w:w="2335" w:type="pct"/>
            <w:tcBorders>
              <w:right w:val="single" w:sz="4" w:space="0" w:color="BFBFBF" w:themeColor="background1" w:themeShade="BF"/>
            </w:tcBorders>
            <w:vAlign w:val="bottom"/>
            <w:hideMark/>
          </w:tcPr>
          <w:p w:rsidR="00195BE7" w:rsidRPr="001E2F6E" w:rsidRDefault="00195BE7" w:rsidP="00195BE7">
            <w:pPr>
              <w:spacing w:line="240" w:lineRule="exact"/>
              <w:rPr>
                <w:color w:val="000000"/>
                <w:sz w:val="16"/>
                <w:szCs w:val="16"/>
              </w:rPr>
            </w:pPr>
            <w:r w:rsidRPr="001E2F6E">
              <w:rPr>
                <w:bCs/>
                <w:color w:val="000000"/>
                <w:sz w:val="16"/>
                <w:szCs w:val="16"/>
                <w:lang w:val="eu-ES"/>
              </w:rPr>
              <w:t>Banakako plangintzako BGAEak</w:t>
            </w:r>
          </w:p>
        </w:tc>
        <w:tc>
          <w:tcPr>
            <w:tcW w:w="988" w:type="pct"/>
            <w:tcBorders>
              <w:left w:val="single" w:sz="4" w:space="0" w:color="BFBFBF" w:themeColor="background1" w:themeShade="BF"/>
            </w:tcBorders>
            <w:noWrap/>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40</w:t>
            </w:r>
          </w:p>
        </w:tc>
        <w:tc>
          <w:tcPr>
            <w:tcW w:w="1677" w:type="pct"/>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9.930.000.000</w:t>
            </w:r>
          </w:p>
        </w:tc>
      </w:tr>
      <w:tr w:rsidR="00195BE7" w:rsidRPr="001E2F6E" w:rsidTr="00195BE7">
        <w:trPr>
          <w:jc w:val="center"/>
        </w:trPr>
        <w:tc>
          <w:tcPr>
            <w:tcW w:w="2335" w:type="pct"/>
            <w:tcBorders>
              <w:bottom w:val="single" w:sz="4" w:space="0" w:color="BFBFBF" w:themeColor="background1" w:themeShade="BF"/>
              <w:right w:val="single" w:sz="4" w:space="0" w:color="BFBFBF" w:themeColor="background1" w:themeShade="BF"/>
            </w:tcBorders>
            <w:vAlign w:val="bottom"/>
            <w:hideMark/>
          </w:tcPr>
          <w:p w:rsidR="00195BE7" w:rsidRPr="001E2F6E" w:rsidRDefault="00195BE7" w:rsidP="00195BE7">
            <w:pPr>
              <w:spacing w:line="240" w:lineRule="exact"/>
              <w:rPr>
                <w:color w:val="000000"/>
                <w:sz w:val="16"/>
                <w:szCs w:val="16"/>
              </w:rPr>
            </w:pPr>
            <w:r w:rsidRPr="001E2F6E">
              <w:rPr>
                <w:color w:val="000000"/>
                <w:sz w:val="16"/>
                <w:szCs w:val="16"/>
              </w:rPr>
              <w:t>Gainerakoak</w:t>
            </w:r>
          </w:p>
        </w:tc>
        <w:tc>
          <w:tcPr>
            <w:tcW w:w="988" w:type="pct"/>
            <w:tcBorders>
              <w:left w:val="single" w:sz="4" w:space="0" w:color="BFBFBF" w:themeColor="background1" w:themeShade="BF"/>
              <w:bottom w:val="single" w:sz="4" w:space="0" w:color="BFBFBF" w:themeColor="background1" w:themeShade="BF"/>
            </w:tcBorders>
            <w:noWrap/>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104</w:t>
            </w:r>
          </w:p>
        </w:tc>
        <w:tc>
          <w:tcPr>
            <w:tcW w:w="1677" w:type="pct"/>
            <w:tcBorders>
              <w:bottom w:val="single" w:sz="4" w:space="0" w:color="BFBFBF" w:themeColor="background1" w:themeShade="BF"/>
            </w:tcBorders>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17.748.389</w:t>
            </w:r>
          </w:p>
        </w:tc>
      </w:tr>
      <w:tr w:rsidR="00195BE7" w:rsidRPr="001E2F6E" w:rsidTr="00195BE7">
        <w:trPr>
          <w:jc w:val="center"/>
        </w:trPr>
        <w:tc>
          <w:tcPr>
            <w:tcW w:w="2335" w:type="pct"/>
            <w:tcBorders>
              <w:top w:val="single" w:sz="4" w:space="0" w:color="BFBFBF" w:themeColor="background1" w:themeShade="BF"/>
              <w:bottom w:val="single" w:sz="4" w:space="0" w:color="BFBFBF" w:themeColor="background1" w:themeShade="BF"/>
              <w:right w:val="single" w:sz="4" w:space="0" w:color="BFBFBF" w:themeColor="background1" w:themeShade="BF"/>
            </w:tcBorders>
            <w:hideMark/>
          </w:tcPr>
          <w:p w:rsidR="00195BE7" w:rsidRPr="001E2F6E" w:rsidRDefault="00195BE7" w:rsidP="00195BE7">
            <w:pPr>
              <w:spacing w:line="240" w:lineRule="exact"/>
              <w:rPr>
                <w:b/>
                <w:bCs/>
                <w:color w:val="000000"/>
                <w:sz w:val="16"/>
                <w:szCs w:val="16"/>
              </w:rPr>
            </w:pPr>
            <w:r w:rsidRPr="001E2F6E">
              <w:rPr>
                <w:b/>
                <w:bCs/>
                <w:color w:val="000000"/>
                <w:sz w:val="16"/>
                <w:szCs w:val="16"/>
              </w:rPr>
              <w:t>GUZTIRA</w:t>
            </w:r>
          </w:p>
        </w:tc>
        <w:tc>
          <w:tcPr>
            <w:tcW w:w="988" w:type="pct"/>
            <w:tcBorders>
              <w:top w:val="single" w:sz="4" w:space="0" w:color="BFBFBF" w:themeColor="background1" w:themeShade="BF"/>
              <w:left w:val="single" w:sz="4" w:space="0" w:color="BFBFBF" w:themeColor="background1" w:themeShade="BF"/>
              <w:bottom w:val="single" w:sz="4" w:space="0" w:color="BFBFBF" w:themeColor="background1" w:themeShade="BF"/>
            </w:tcBorders>
            <w:hideMark/>
          </w:tcPr>
          <w:p w:rsidR="00195BE7" w:rsidRPr="001E2F6E" w:rsidRDefault="00195BE7" w:rsidP="00195BE7">
            <w:pPr>
              <w:spacing w:line="240" w:lineRule="exact"/>
              <w:ind w:right="170"/>
              <w:jc w:val="right"/>
              <w:rPr>
                <w:b/>
                <w:bCs/>
                <w:color w:val="000000"/>
                <w:sz w:val="16"/>
                <w:szCs w:val="16"/>
              </w:rPr>
            </w:pPr>
            <w:r w:rsidRPr="001E2F6E">
              <w:rPr>
                <w:b/>
                <w:bCs/>
                <w:color w:val="000000"/>
                <w:sz w:val="16"/>
                <w:szCs w:val="16"/>
              </w:rPr>
              <w:t>191</w:t>
            </w:r>
          </w:p>
        </w:tc>
        <w:tc>
          <w:tcPr>
            <w:tcW w:w="1677" w:type="pct"/>
            <w:tcBorders>
              <w:top w:val="single" w:sz="4" w:space="0" w:color="BFBFBF" w:themeColor="background1" w:themeShade="BF"/>
              <w:bottom w:val="single" w:sz="4" w:space="0" w:color="BFBFBF" w:themeColor="background1" w:themeShade="BF"/>
            </w:tcBorders>
            <w:hideMark/>
          </w:tcPr>
          <w:p w:rsidR="00195BE7" w:rsidRPr="001E2F6E" w:rsidRDefault="00195BE7" w:rsidP="00195BE7">
            <w:pPr>
              <w:spacing w:line="240" w:lineRule="exact"/>
              <w:ind w:right="170"/>
              <w:jc w:val="right"/>
              <w:rPr>
                <w:b/>
                <w:bCs/>
                <w:color w:val="000000"/>
                <w:sz w:val="16"/>
                <w:szCs w:val="16"/>
              </w:rPr>
            </w:pPr>
            <w:r w:rsidRPr="001E2F6E">
              <w:rPr>
                <w:b/>
                <w:bCs/>
                <w:color w:val="000000"/>
                <w:sz w:val="16"/>
                <w:szCs w:val="16"/>
              </w:rPr>
              <w:t>20.761.748.389</w:t>
            </w:r>
          </w:p>
        </w:tc>
      </w:tr>
    </w:tbl>
    <w:p w:rsidR="00195BE7" w:rsidRPr="001E2F6E" w:rsidRDefault="00195BE7" w:rsidP="00195BE7">
      <w:pPr>
        <w:pStyle w:val="Ttulo6"/>
        <w:keepNext w:val="0"/>
        <w:widowControl w:val="0"/>
        <w:jc w:val="center"/>
        <w:rPr>
          <w:rFonts w:ascii="Arial" w:hAnsi="Arial" w:cs="Arial"/>
          <w:b w:val="0"/>
          <w:i/>
          <w:sz w:val="16"/>
          <w:lang w:val="eu-ES"/>
        </w:rPr>
      </w:pPr>
      <w:r w:rsidRPr="001E2F6E">
        <w:rPr>
          <w:rFonts w:ascii="Arial" w:hAnsi="Arial" w:cs="Arial"/>
          <w:b w:val="0"/>
          <w:i/>
          <w:sz w:val="16"/>
          <w:lang w:val="eu-ES"/>
        </w:rPr>
        <w:t>Iturria: Eusko Jaurlaritzako Finantza Zuzendaritza</w:t>
      </w:r>
    </w:p>
    <w:p w:rsidR="00195BE7" w:rsidRPr="001E2F6E" w:rsidRDefault="00195BE7" w:rsidP="00195BE7"/>
    <w:p w:rsidR="00195BE7" w:rsidRPr="001E2F6E" w:rsidRDefault="00195BE7" w:rsidP="00195BE7">
      <w:pPr>
        <w:pStyle w:val="Ttulo1"/>
        <w:ind w:left="708" w:hanging="708"/>
        <w:rPr>
          <w:color w:val="1F497D" w:themeColor="text2"/>
          <w:sz w:val="22"/>
          <w:szCs w:val="22"/>
        </w:rPr>
      </w:pPr>
      <w:bookmarkStart w:id="402" w:name="_Toc391989055"/>
      <w:bookmarkStart w:id="403" w:name="_Toc392585718"/>
      <w:r w:rsidRPr="001E2F6E">
        <w:rPr>
          <w:color w:val="1F497D" w:themeColor="text2"/>
          <w:sz w:val="22"/>
          <w:szCs w:val="22"/>
        </w:rPr>
        <w:t xml:space="preserve">4.2.- </w:t>
      </w:r>
      <w:r w:rsidRPr="001E2F6E">
        <w:rPr>
          <w:color w:val="1F497D" w:themeColor="text2"/>
          <w:sz w:val="22"/>
          <w:szCs w:val="22"/>
        </w:rPr>
        <w:tab/>
        <w:t>ENPLEGUA BORONDATEZKO GIZARTE-AURREIKUSPENEKO ERAKUNDEETAN</w:t>
      </w:r>
      <w:bookmarkEnd w:id="402"/>
      <w:bookmarkEnd w:id="403"/>
    </w:p>
    <w:p w:rsidR="00195BE7" w:rsidRPr="001E2F6E" w:rsidRDefault="00195BE7" w:rsidP="00195BE7"/>
    <w:p w:rsidR="00195BE7" w:rsidRPr="001E2F6E" w:rsidRDefault="00195BE7" w:rsidP="00D34AE0">
      <w:pPr>
        <w:rPr>
          <w:b/>
          <w:color w:val="1F497D" w:themeColor="text2"/>
        </w:rPr>
      </w:pPr>
      <w:bookmarkStart w:id="404" w:name="_Toc391989056"/>
      <w:bookmarkStart w:id="405" w:name="_Toc392585719"/>
      <w:r w:rsidRPr="001E2F6E">
        <w:rPr>
          <w:b/>
          <w:color w:val="1F497D" w:themeColor="text2"/>
        </w:rPr>
        <w:t>ENPLEGUA BGAEetan</w:t>
      </w:r>
      <w:bookmarkEnd w:id="404"/>
      <w:bookmarkEnd w:id="405"/>
    </w:p>
    <w:p w:rsidR="00195BE7" w:rsidRPr="001E2F6E" w:rsidRDefault="00195BE7" w:rsidP="00195BE7"/>
    <w:p w:rsidR="00195BE7" w:rsidRPr="001E2F6E" w:rsidRDefault="00195BE7" w:rsidP="00195BE7">
      <w:r w:rsidRPr="001E2F6E">
        <w:t xml:space="preserve">EAE-ko Borondatezko Gizarte-Aurreikuspeneko Erakundeetan zenbatetsitako enplegua </w:t>
      </w:r>
      <w:r w:rsidRPr="00FC24CA">
        <w:rPr>
          <w:rFonts w:eastAsiaTheme="minorHAnsi"/>
          <w:b/>
          <w:color w:val="1F497D" w:themeColor="text2"/>
          <w:szCs w:val="22"/>
        </w:rPr>
        <w:t xml:space="preserve">90 eta 100 langile </w:t>
      </w:r>
      <w:r w:rsidRPr="001E2F6E">
        <w:t>artean kokatzen da</w:t>
      </w:r>
      <w:r w:rsidRPr="001E2F6E">
        <w:rPr>
          <w:rStyle w:val="Refdenotaalpie"/>
        </w:rPr>
        <w:footnoteReference w:id="22"/>
      </w:r>
      <w:r w:rsidRPr="001E2F6E">
        <w:t>.</w:t>
      </w:r>
    </w:p>
    <w:p w:rsidR="00195BE7" w:rsidRPr="001E2F6E" w:rsidRDefault="00195BE7" w:rsidP="00195BE7"/>
    <w:p w:rsidR="00195BE7" w:rsidRPr="001E2F6E" w:rsidRDefault="00195BE7" w:rsidP="00195BE7"/>
    <w:p w:rsidR="00195BE7" w:rsidRPr="001E2F6E" w:rsidRDefault="00195BE7" w:rsidP="00195BE7">
      <w:pPr>
        <w:pStyle w:val="Ttulo1"/>
        <w:ind w:left="708" w:hanging="708"/>
        <w:rPr>
          <w:color w:val="1F497D" w:themeColor="text2"/>
          <w:sz w:val="22"/>
          <w:szCs w:val="22"/>
        </w:rPr>
      </w:pPr>
      <w:bookmarkStart w:id="406" w:name="_Toc391989057"/>
      <w:bookmarkStart w:id="407" w:name="_Toc392585720"/>
      <w:r w:rsidRPr="001E2F6E">
        <w:rPr>
          <w:color w:val="1F497D" w:themeColor="text2"/>
          <w:sz w:val="22"/>
          <w:szCs w:val="22"/>
        </w:rPr>
        <w:t xml:space="preserve">4.3.- </w:t>
      </w:r>
      <w:r w:rsidRPr="001E2F6E">
        <w:rPr>
          <w:color w:val="1F497D" w:themeColor="text2"/>
          <w:sz w:val="22"/>
          <w:szCs w:val="22"/>
        </w:rPr>
        <w:tab/>
        <w:t>MAGNITUDE EKONOMIKO NAGUSIAK: GIZARTE-AURREIKUSPENEKO ERAKUNDEAK</w:t>
      </w:r>
      <w:bookmarkEnd w:id="406"/>
      <w:bookmarkEnd w:id="407"/>
    </w:p>
    <w:p w:rsidR="00195BE7" w:rsidRPr="001E2F6E" w:rsidRDefault="00195BE7" w:rsidP="00195BE7"/>
    <w:p w:rsidR="00195BE7" w:rsidRPr="001E2F6E" w:rsidRDefault="00195BE7" w:rsidP="00195BE7">
      <w:pPr>
        <w:pStyle w:val="Ttulo1"/>
        <w:ind w:left="708" w:hanging="708"/>
        <w:rPr>
          <w:color w:val="1F497D" w:themeColor="text2"/>
          <w:sz w:val="22"/>
          <w:szCs w:val="22"/>
        </w:rPr>
      </w:pPr>
      <w:bookmarkStart w:id="408" w:name="_Toc391565547"/>
      <w:bookmarkStart w:id="409" w:name="_Toc391989058"/>
      <w:bookmarkStart w:id="410" w:name="_Toc392585721"/>
      <w:r w:rsidRPr="001E2F6E">
        <w:rPr>
          <w:color w:val="1F497D" w:themeColor="text2"/>
          <w:sz w:val="22"/>
          <w:szCs w:val="22"/>
        </w:rPr>
        <w:t xml:space="preserve">4.3.1.- </w:t>
      </w:r>
      <w:r w:rsidRPr="001E2F6E">
        <w:rPr>
          <w:color w:val="1F497D" w:themeColor="text2"/>
          <w:sz w:val="22"/>
          <w:szCs w:val="22"/>
        </w:rPr>
        <w:tab/>
      </w:r>
      <w:bookmarkEnd w:id="408"/>
      <w:r w:rsidRPr="001E2F6E">
        <w:rPr>
          <w:color w:val="1F497D" w:themeColor="text2"/>
          <w:sz w:val="22"/>
          <w:szCs w:val="22"/>
        </w:rPr>
        <w:t>.- BGAEen Diru-Sarrerak</w:t>
      </w:r>
      <w:bookmarkEnd w:id="409"/>
      <w:bookmarkEnd w:id="410"/>
    </w:p>
    <w:p w:rsidR="00195BE7" w:rsidRPr="001E2F6E" w:rsidRDefault="00195BE7" w:rsidP="00195BE7">
      <w:pPr>
        <w:spacing w:line="240" w:lineRule="auto"/>
        <w:jc w:val="center"/>
        <w:rPr>
          <w:b/>
          <w:color w:val="1F497D" w:themeColor="text2"/>
          <w:sz w:val="18"/>
          <w:szCs w:val="18"/>
        </w:rPr>
      </w:pPr>
    </w:p>
    <w:p w:rsidR="00195BE7" w:rsidRPr="001E2F6E" w:rsidRDefault="00195BE7" w:rsidP="00195BE7">
      <w:pPr>
        <w:spacing w:line="240" w:lineRule="auto"/>
        <w:jc w:val="center"/>
        <w:rPr>
          <w:b/>
          <w:color w:val="1F497D" w:themeColor="text2"/>
          <w:sz w:val="18"/>
          <w:szCs w:val="18"/>
        </w:rPr>
      </w:pPr>
      <w:bookmarkStart w:id="411" w:name="_Toc391989182"/>
      <w:bookmarkStart w:id="412" w:name="_Toc392585862"/>
      <w:r w:rsidRPr="001E2F6E">
        <w:rPr>
          <w:b/>
          <w:bCs/>
          <w:color w:val="1F497D" w:themeColor="text2"/>
          <w:sz w:val="18"/>
          <w:szCs w:val="18"/>
        </w:rPr>
        <w:t>4.</w:t>
      </w:r>
      <w:r w:rsidR="00EB6BA6" w:rsidRPr="001E2F6E">
        <w:rPr>
          <w:b/>
          <w:bCs/>
          <w:color w:val="1F497D" w:themeColor="text2"/>
          <w:sz w:val="18"/>
          <w:szCs w:val="18"/>
        </w:rPr>
        <w:fldChar w:fldCharType="begin"/>
      </w:r>
      <w:r w:rsidRPr="001E2F6E">
        <w:rPr>
          <w:b/>
          <w:bCs/>
          <w:color w:val="1F497D" w:themeColor="text2"/>
          <w:sz w:val="18"/>
          <w:szCs w:val="18"/>
        </w:rPr>
        <w:instrText xml:space="preserve"> SEQ Cuadro_4. \* ARABIC </w:instrText>
      </w:r>
      <w:r w:rsidR="00EB6BA6" w:rsidRPr="001E2F6E">
        <w:rPr>
          <w:b/>
          <w:bCs/>
          <w:color w:val="1F497D" w:themeColor="text2"/>
          <w:sz w:val="18"/>
          <w:szCs w:val="18"/>
        </w:rPr>
        <w:fldChar w:fldCharType="separate"/>
      </w:r>
      <w:r w:rsidR="00A327D4">
        <w:rPr>
          <w:b/>
          <w:bCs/>
          <w:noProof/>
          <w:color w:val="1F497D" w:themeColor="text2"/>
          <w:sz w:val="18"/>
          <w:szCs w:val="18"/>
        </w:rPr>
        <w:t>9</w:t>
      </w:r>
      <w:r w:rsidR="00EB6BA6" w:rsidRPr="001E2F6E">
        <w:rPr>
          <w:b/>
          <w:bCs/>
          <w:color w:val="1F497D" w:themeColor="text2"/>
          <w:sz w:val="18"/>
          <w:szCs w:val="18"/>
        </w:rPr>
        <w:fldChar w:fldCharType="end"/>
      </w:r>
      <w:r w:rsidRPr="001E2F6E">
        <w:rPr>
          <w:b/>
          <w:bCs/>
          <w:color w:val="1F497D" w:themeColor="text2"/>
          <w:sz w:val="18"/>
          <w:szCs w:val="18"/>
        </w:rPr>
        <w:t xml:space="preserve"> Taula </w:t>
      </w:r>
      <w:r w:rsidRPr="001E2F6E">
        <w:rPr>
          <w:b/>
          <w:color w:val="1F497D" w:themeColor="text2"/>
          <w:sz w:val="18"/>
          <w:szCs w:val="18"/>
        </w:rPr>
        <w:t>EKITALDIKO KUOTA-BANAKETA BGAE-MOTEN ARABERA 2012 (</w:t>
      </w:r>
      <w:bookmarkEnd w:id="411"/>
      <w:r w:rsidR="00462130" w:rsidRPr="001E2F6E">
        <w:rPr>
          <w:b/>
          <w:color w:val="1F497D" w:themeColor="text2"/>
          <w:sz w:val="18"/>
          <w:szCs w:val="18"/>
        </w:rPr>
        <w:t>zifra absolutuak</w:t>
      </w:r>
      <w:bookmarkEnd w:id="412"/>
    </w:p>
    <w:tbl>
      <w:tblPr>
        <w:tblW w:w="5000" w:type="pct"/>
        <w:jc w:val="center"/>
        <w:tblLook w:val="04A0" w:firstRow="1" w:lastRow="0" w:firstColumn="1" w:lastColumn="0" w:noHBand="0" w:noVBand="1"/>
      </w:tblPr>
      <w:tblGrid>
        <w:gridCol w:w="4716"/>
        <w:gridCol w:w="4288"/>
      </w:tblGrid>
      <w:tr w:rsidR="00195BE7" w:rsidRPr="001E2F6E" w:rsidTr="00195BE7">
        <w:trPr>
          <w:jc w:val="center"/>
        </w:trPr>
        <w:tc>
          <w:tcPr>
            <w:tcW w:w="2619"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hideMark/>
          </w:tcPr>
          <w:p w:rsidR="00195BE7" w:rsidRPr="001E2F6E" w:rsidRDefault="00195BE7" w:rsidP="00195BE7">
            <w:pPr>
              <w:spacing w:line="240" w:lineRule="exact"/>
              <w:rPr>
                <w:b/>
                <w:bCs/>
                <w:sz w:val="16"/>
                <w:szCs w:val="16"/>
              </w:rPr>
            </w:pPr>
          </w:p>
        </w:tc>
        <w:tc>
          <w:tcPr>
            <w:tcW w:w="2381"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hideMark/>
          </w:tcPr>
          <w:p w:rsidR="00195BE7" w:rsidRPr="001E2F6E" w:rsidRDefault="00195BE7" w:rsidP="00195BE7">
            <w:pPr>
              <w:spacing w:line="240" w:lineRule="exact"/>
              <w:jc w:val="center"/>
              <w:rPr>
                <w:b/>
                <w:bCs/>
                <w:sz w:val="16"/>
                <w:szCs w:val="16"/>
              </w:rPr>
            </w:pPr>
            <w:r w:rsidRPr="001E2F6E">
              <w:rPr>
                <w:b/>
                <w:bCs/>
                <w:sz w:val="16"/>
                <w:szCs w:val="16"/>
              </w:rPr>
              <w:t>2012eko ekitaldiko kuotak</w:t>
            </w:r>
          </w:p>
        </w:tc>
      </w:tr>
      <w:tr w:rsidR="00195BE7" w:rsidRPr="001E2F6E" w:rsidTr="00195BE7">
        <w:trPr>
          <w:jc w:val="center"/>
        </w:trPr>
        <w:tc>
          <w:tcPr>
            <w:tcW w:w="2619" w:type="pct"/>
            <w:tcBorders>
              <w:top w:val="single" w:sz="4" w:space="0" w:color="BFBFBF" w:themeColor="background1" w:themeShade="BF"/>
              <w:right w:val="single" w:sz="4" w:space="0" w:color="BFBFBF" w:themeColor="background1" w:themeShade="BF"/>
            </w:tcBorders>
            <w:vAlign w:val="bottom"/>
            <w:hideMark/>
          </w:tcPr>
          <w:p w:rsidR="00195BE7" w:rsidRPr="001E2F6E" w:rsidRDefault="00195BE7" w:rsidP="00195BE7">
            <w:pPr>
              <w:spacing w:line="240" w:lineRule="exact"/>
              <w:rPr>
                <w:color w:val="000000"/>
                <w:sz w:val="16"/>
                <w:szCs w:val="16"/>
              </w:rPr>
            </w:pPr>
            <w:r w:rsidRPr="001E2F6E">
              <w:rPr>
                <w:bCs/>
                <w:color w:val="000000"/>
                <w:sz w:val="16"/>
                <w:szCs w:val="16"/>
                <w:lang w:val="eu-ES"/>
              </w:rPr>
              <w:t>Enplegu-plangintzako BGAEak</w:t>
            </w:r>
          </w:p>
        </w:tc>
        <w:tc>
          <w:tcPr>
            <w:tcW w:w="2381" w:type="pct"/>
            <w:tcBorders>
              <w:top w:val="single" w:sz="4" w:space="0" w:color="BFBFBF" w:themeColor="background1" w:themeShade="BF"/>
              <w:left w:val="single" w:sz="4" w:space="0" w:color="BFBFBF" w:themeColor="background1" w:themeShade="BF"/>
            </w:tcBorders>
            <w:noWrap/>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347.847.838</w:t>
            </w:r>
          </w:p>
        </w:tc>
      </w:tr>
      <w:tr w:rsidR="00195BE7" w:rsidRPr="001E2F6E" w:rsidTr="00195BE7">
        <w:trPr>
          <w:jc w:val="center"/>
        </w:trPr>
        <w:tc>
          <w:tcPr>
            <w:tcW w:w="2619" w:type="pct"/>
            <w:tcBorders>
              <w:right w:val="single" w:sz="4" w:space="0" w:color="BFBFBF" w:themeColor="background1" w:themeShade="BF"/>
            </w:tcBorders>
            <w:noWrap/>
            <w:vAlign w:val="bottom"/>
            <w:hideMark/>
          </w:tcPr>
          <w:p w:rsidR="00195BE7" w:rsidRPr="001E2F6E" w:rsidRDefault="00195BE7" w:rsidP="00195BE7">
            <w:pPr>
              <w:spacing w:line="240" w:lineRule="exact"/>
              <w:rPr>
                <w:color w:val="000000"/>
                <w:sz w:val="16"/>
                <w:szCs w:val="16"/>
              </w:rPr>
            </w:pPr>
            <w:r w:rsidRPr="001E2F6E">
              <w:rPr>
                <w:bCs/>
                <w:color w:val="000000"/>
                <w:sz w:val="16"/>
                <w:szCs w:val="16"/>
                <w:lang w:val="eu-ES"/>
              </w:rPr>
              <w:t>Plangintza elkartuko BGAEak</w:t>
            </w:r>
          </w:p>
        </w:tc>
        <w:tc>
          <w:tcPr>
            <w:tcW w:w="2381" w:type="pct"/>
            <w:tcBorders>
              <w:left w:val="single" w:sz="4" w:space="0" w:color="BFBFBF" w:themeColor="background1" w:themeShade="BF"/>
            </w:tcBorders>
            <w:noWrap/>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2.412.309</w:t>
            </w:r>
          </w:p>
        </w:tc>
      </w:tr>
      <w:tr w:rsidR="00195BE7" w:rsidRPr="001E2F6E" w:rsidTr="00195BE7">
        <w:trPr>
          <w:jc w:val="center"/>
        </w:trPr>
        <w:tc>
          <w:tcPr>
            <w:tcW w:w="2619" w:type="pct"/>
            <w:tcBorders>
              <w:right w:val="single" w:sz="4" w:space="0" w:color="BFBFBF" w:themeColor="background1" w:themeShade="BF"/>
            </w:tcBorders>
            <w:vAlign w:val="bottom"/>
            <w:hideMark/>
          </w:tcPr>
          <w:p w:rsidR="00195BE7" w:rsidRPr="001E2F6E" w:rsidRDefault="00195BE7" w:rsidP="00195BE7">
            <w:pPr>
              <w:spacing w:line="240" w:lineRule="exact"/>
              <w:rPr>
                <w:color w:val="000000"/>
                <w:sz w:val="16"/>
                <w:szCs w:val="16"/>
              </w:rPr>
            </w:pPr>
            <w:r w:rsidRPr="001E2F6E">
              <w:rPr>
                <w:bCs/>
                <w:color w:val="000000"/>
                <w:sz w:val="16"/>
                <w:szCs w:val="16"/>
                <w:lang w:val="eu-ES"/>
              </w:rPr>
              <w:t>Banakako plangintzako BGAEak</w:t>
            </w:r>
          </w:p>
        </w:tc>
        <w:tc>
          <w:tcPr>
            <w:tcW w:w="2381" w:type="pct"/>
            <w:tcBorders>
              <w:left w:val="single" w:sz="4" w:space="0" w:color="BFBFBF" w:themeColor="background1" w:themeShade="BF"/>
            </w:tcBorders>
            <w:noWrap/>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572.946.781</w:t>
            </w:r>
          </w:p>
        </w:tc>
      </w:tr>
      <w:tr w:rsidR="00195BE7" w:rsidRPr="001E2F6E" w:rsidTr="00195BE7">
        <w:trPr>
          <w:jc w:val="center"/>
        </w:trPr>
        <w:tc>
          <w:tcPr>
            <w:tcW w:w="2619" w:type="pct"/>
            <w:tcBorders>
              <w:bottom w:val="single" w:sz="4" w:space="0" w:color="BFBFBF" w:themeColor="background1" w:themeShade="BF"/>
              <w:right w:val="single" w:sz="4" w:space="0" w:color="BFBFBF" w:themeColor="background1" w:themeShade="BF"/>
            </w:tcBorders>
            <w:vAlign w:val="bottom"/>
            <w:hideMark/>
          </w:tcPr>
          <w:p w:rsidR="00195BE7" w:rsidRPr="001E2F6E" w:rsidRDefault="00195BE7" w:rsidP="00195BE7">
            <w:pPr>
              <w:spacing w:line="240" w:lineRule="exact"/>
              <w:rPr>
                <w:color w:val="000000"/>
                <w:sz w:val="16"/>
                <w:szCs w:val="16"/>
              </w:rPr>
            </w:pPr>
            <w:r w:rsidRPr="001E2F6E">
              <w:rPr>
                <w:color w:val="000000"/>
                <w:sz w:val="16"/>
                <w:szCs w:val="16"/>
              </w:rPr>
              <w:t>Gainerakoak</w:t>
            </w:r>
          </w:p>
        </w:tc>
        <w:tc>
          <w:tcPr>
            <w:tcW w:w="2381" w:type="pct"/>
            <w:tcBorders>
              <w:left w:val="single" w:sz="4" w:space="0" w:color="BFBFBF" w:themeColor="background1" w:themeShade="BF"/>
              <w:bottom w:val="single" w:sz="4" w:space="0" w:color="BFBFBF" w:themeColor="background1" w:themeShade="BF"/>
            </w:tcBorders>
            <w:noWrap/>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543.257</w:t>
            </w:r>
          </w:p>
        </w:tc>
      </w:tr>
      <w:tr w:rsidR="00195BE7" w:rsidRPr="001E2F6E" w:rsidTr="00195BE7">
        <w:trPr>
          <w:jc w:val="center"/>
        </w:trPr>
        <w:tc>
          <w:tcPr>
            <w:tcW w:w="2619" w:type="pct"/>
            <w:tcBorders>
              <w:top w:val="single" w:sz="4" w:space="0" w:color="BFBFBF" w:themeColor="background1" w:themeShade="BF"/>
              <w:bottom w:val="single" w:sz="4" w:space="0" w:color="BFBFBF" w:themeColor="background1" w:themeShade="BF"/>
              <w:right w:val="single" w:sz="4" w:space="0" w:color="BFBFBF" w:themeColor="background1" w:themeShade="BF"/>
            </w:tcBorders>
            <w:hideMark/>
          </w:tcPr>
          <w:p w:rsidR="00195BE7" w:rsidRPr="001E2F6E" w:rsidRDefault="00195BE7" w:rsidP="00195BE7">
            <w:pPr>
              <w:spacing w:line="240" w:lineRule="exact"/>
              <w:rPr>
                <w:b/>
                <w:bCs/>
                <w:color w:val="000000"/>
                <w:sz w:val="16"/>
                <w:szCs w:val="16"/>
              </w:rPr>
            </w:pPr>
            <w:r w:rsidRPr="001E2F6E">
              <w:rPr>
                <w:b/>
                <w:bCs/>
                <w:color w:val="000000"/>
                <w:sz w:val="16"/>
                <w:szCs w:val="16"/>
              </w:rPr>
              <w:t>GUZTIRA</w:t>
            </w:r>
          </w:p>
        </w:tc>
        <w:tc>
          <w:tcPr>
            <w:tcW w:w="2381" w:type="pct"/>
            <w:tcBorders>
              <w:top w:val="single" w:sz="4" w:space="0" w:color="BFBFBF" w:themeColor="background1" w:themeShade="BF"/>
              <w:left w:val="single" w:sz="4" w:space="0" w:color="BFBFBF" w:themeColor="background1" w:themeShade="BF"/>
              <w:bottom w:val="single" w:sz="4" w:space="0" w:color="BFBFBF" w:themeColor="background1" w:themeShade="BF"/>
            </w:tcBorders>
            <w:hideMark/>
          </w:tcPr>
          <w:p w:rsidR="00195BE7" w:rsidRPr="001E2F6E" w:rsidRDefault="00195BE7" w:rsidP="00195BE7">
            <w:pPr>
              <w:spacing w:line="240" w:lineRule="exact"/>
              <w:ind w:right="170"/>
              <w:jc w:val="right"/>
              <w:rPr>
                <w:b/>
                <w:bCs/>
                <w:color w:val="000000"/>
                <w:sz w:val="16"/>
                <w:szCs w:val="16"/>
              </w:rPr>
            </w:pPr>
            <w:r w:rsidRPr="001E2F6E">
              <w:rPr>
                <w:b/>
                <w:bCs/>
                <w:color w:val="000000"/>
                <w:sz w:val="16"/>
                <w:szCs w:val="16"/>
              </w:rPr>
              <w:t>923.750.186</w:t>
            </w:r>
          </w:p>
        </w:tc>
      </w:tr>
    </w:tbl>
    <w:p w:rsidR="00195BE7" w:rsidRPr="001E2F6E" w:rsidRDefault="00195BE7" w:rsidP="00195BE7">
      <w:pPr>
        <w:pStyle w:val="Ttulo6"/>
        <w:keepNext w:val="0"/>
        <w:widowControl w:val="0"/>
        <w:jc w:val="center"/>
        <w:rPr>
          <w:rFonts w:ascii="Arial" w:hAnsi="Arial" w:cs="Arial"/>
          <w:b w:val="0"/>
          <w:i/>
          <w:sz w:val="16"/>
          <w:lang w:val="es-ES"/>
        </w:rPr>
      </w:pPr>
      <w:r w:rsidRPr="001E2F6E">
        <w:rPr>
          <w:rFonts w:ascii="Arial" w:hAnsi="Arial" w:cs="Arial"/>
          <w:b w:val="0"/>
          <w:i/>
          <w:sz w:val="16"/>
          <w:lang w:val="es-ES"/>
        </w:rPr>
        <w:t>Iturria: Euskadiko Borondatezko Gizarte-Aurreikuspeneko Erakundeen Federazioa</w:t>
      </w:r>
    </w:p>
    <w:p w:rsidR="00195BE7" w:rsidRPr="001E2F6E" w:rsidRDefault="00195BE7" w:rsidP="00195BE7">
      <w:pPr>
        <w:pStyle w:val="Ttulo6"/>
        <w:keepNext w:val="0"/>
        <w:widowControl w:val="0"/>
        <w:jc w:val="center"/>
        <w:rPr>
          <w:rFonts w:ascii="Arial" w:hAnsi="Arial" w:cs="Arial"/>
          <w:b w:val="0"/>
          <w:i/>
          <w:sz w:val="16"/>
          <w:lang w:val="es-ES"/>
        </w:rPr>
      </w:pPr>
    </w:p>
    <w:p w:rsidR="00195BE7" w:rsidRPr="001E2F6E" w:rsidRDefault="00195BE7" w:rsidP="00195BE7"/>
    <w:p w:rsidR="00195BE7" w:rsidRPr="001E2F6E" w:rsidRDefault="00195BE7" w:rsidP="00195BE7">
      <w:pPr>
        <w:pStyle w:val="Ttulo1"/>
        <w:ind w:left="708" w:hanging="708"/>
        <w:rPr>
          <w:color w:val="1F497D" w:themeColor="text2"/>
          <w:sz w:val="22"/>
          <w:szCs w:val="22"/>
        </w:rPr>
      </w:pPr>
      <w:bookmarkStart w:id="413" w:name="_Toc391565548"/>
      <w:bookmarkStart w:id="414" w:name="_Toc391989059"/>
      <w:bookmarkStart w:id="415" w:name="_Toc392585722"/>
      <w:r w:rsidRPr="001E2F6E">
        <w:rPr>
          <w:color w:val="1F497D" w:themeColor="text2"/>
          <w:sz w:val="22"/>
          <w:szCs w:val="22"/>
        </w:rPr>
        <w:t xml:space="preserve">4.3.2.- </w:t>
      </w:r>
      <w:r w:rsidRPr="001E2F6E">
        <w:rPr>
          <w:color w:val="1F497D" w:themeColor="text2"/>
          <w:sz w:val="22"/>
          <w:szCs w:val="22"/>
        </w:rPr>
        <w:tab/>
      </w:r>
      <w:bookmarkEnd w:id="413"/>
      <w:r w:rsidRPr="001E2F6E">
        <w:rPr>
          <w:color w:val="1F497D" w:themeColor="text2"/>
          <w:sz w:val="22"/>
          <w:szCs w:val="22"/>
        </w:rPr>
        <w:t>BGAEen BEGd-a</w:t>
      </w:r>
      <w:bookmarkEnd w:id="414"/>
      <w:bookmarkEnd w:id="415"/>
    </w:p>
    <w:p w:rsidR="00195BE7" w:rsidRPr="001E2F6E" w:rsidRDefault="00195BE7" w:rsidP="00195BE7"/>
    <w:p w:rsidR="00195BE7" w:rsidRPr="001E2F6E" w:rsidRDefault="00195BE7" w:rsidP="00195BE7">
      <w:pPr>
        <w:spacing w:line="240" w:lineRule="auto"/>
        <w:jc w:val="center"/>
        <w:rPr>
          <w:b/>
          <w:color w:val="1F497D" w:themeColor="text2"/>
          <w:sz w:val="18"/>
          <w:szCs w:val="18"/>
        </w:rPr>
      </w:pPr>
      <w:bookmarkStart w:id="416" w:name="_Toc391989183"/>
      <w:bookmarkStart w:id="417" w:name="_Toc392585863"/>
      <w:r w:rsidRPr="001E2F6E">
        <w:rPr>
          <w:b/>
          <w:bCs/>
          <w:color w:val="1F497D" w:themeColor="text2"/>
          <w:sz w:val="18"/>
          <w:szCs w:val="18"/>
        </w:rPr>
        <w:t>4.</w:t>
      </w:r>
      <w:r w:rsidR="00EB6BA6" w:rsidRPr="001E2F6E">
        <w:rPr>
          <w:b/>
          <w:bCs/>
          <w:color w:val="1F497D" w:themeColor="text2"/>
          <w:sz w:val="18"/>
          <w:szCs w:val="18"/>
        </w:rPr>
        <w:fldChar w:fldCharType="begin"/>
      </w:r>
      <w:r w:rsidRPr="001E2F6E">
        <w:rPr>
          <w:b/>
          <w:bCs/>
          <w:color w:val="1F497D" w:themeColor="text2"/>
          <w:sz w:val="18"/>
          <w:szCs w:val="18"/>
        </w:rPr>
        <w:instrText xml:space="preserve"> SEQ Cuadro_4. \* ARABIC </w:instrText>
      </w:r>
      <w:r w:rsidR="00EB6BA6" w:rsidRPr="001E2F6E">
        <w:rPr>
          <w:b/>
          <w:bCs/>
          <w:color w:val="1F497D" w:themeColor="text2"/>
          <w:sz w:val="18"/>
          <w:szCs w:val="18"/>
        </w:rPr>
        <w:fldChar w:fldCharType="separate"/>
      </w:r>
      <w:r w:rsidR="00A327D4">
        <w:rPr>
          <w:b/>
          <w:bCs/>
          <w:noProof/>
          <w:color w:val="1F497D" w:themeColor="text2"/>
          <w:sz w:val="18"/>
          <w:szCs w:val="18"/>
        </w:rPr>
        <w:t>10</w:t>
      </w:r>
      <w:r w:rsidR="00EB6BA6" w:rsidRPr="001E2F6E">
        <w:rPr>
          <w:b/>
          <w:bCs/>
          <w:color w:val="1F497D" w:themeColor="text2"/>
          <w:sz w:val="18"/>
          <w:szCs w:val="18"/>
        </w:rPr>
        <w:fldChar w:fldCharType="end"/>
      </w:r>
      <w:r w:rsidRPr="001E2F6E">
        <w:rPr>
          <w:b/>
          <w:bCs/>
          <w:color w:val="1F497D" w:themeColor="text2"/>
          <w:sz w:val="18"/>
          <w:szCs w:val="18"/>
        </w:rPr>
        <w:t xml:space="preserve"> Taula </w:t>
      </w:r>
      <w:r w:rsidRPr="001E2F6E">
        <w:rPr>
          <w:b/>
          <w:color w:val="1F497D" w:themeColor="text2"/>
          <w:sz w:val="18"/>
          <w:szCs w:val="18"/>
        </w:rPr>
        <w:t>BEGd-</w:t>
      </w:r>
      <w:r w:rsidR="00462130" w:rsidRPr="001E2F6E">
        <w:rPr>
          <w:b/>
          <w:color w:val="1F497D" w:themeColor="text2"/>
          <w:sz w:val="18"/>
          <w:szCs w:val="18"/>
        </w:rPr>
        <w:t xml:space="preserve">aren BANAKETA BGAEak 2012 (zifra absolutuak </w:t>
      </w:r>
      <w:r w:rsidRPr="001E2F6E">
        <w:rPr>
          <w:b/>
          <w:color w:val="1F497D" w:themeColor="text2"/>
          <w:sz w:val="18"/>
          <w:szCs w:val="18"/>
        </w:rPr>
        <w:t>eta %bertikalak)</w:t>
      </w:r>
      <w:bookmarkEnd w:id="416"/>
      <w:bookmarkEnd w:id="417"/>
    </w:p>
    <w:tbl>
      <w:tblPr>
        <w:tblW w:w="5000" w:type="pct"/>
        <w:jc w:val="center"/>
        <w:tblLook w:val="04A0" w:firstRow="1" w:lastRow="0" w:firstColumn="1" w:lastColumn="0" w:noHBand="0" w:noVBand="1"/>
      </w:tblPr>
      <w:tblGrid>
        <w:gridCol w:w="4894"/>
        <w:gridCol w:w="2217"/>
        <w:gridCol w:w="1893"/>
      </w:tblGrid>
      <w:tr w:rsidR="00195BE7" w:rsidRPr="001E2F6E" w:rsidTr="00195BE7">
        <w:trPr>
          <w:jc w:val="center"/>
        </w:trPr>
        <w:tc>
          <w:tcPr>
            <w:tcW w:w="2718" w:type="pct"/>
            <w:tcBorders>
              <w:top w:val="single" w:sz="4" w:space="0" w:color="BFBFBF" w:themeColor="background1" w:themeShade="BF"/>
              <w:right w:val="single" w:sz="4" w:space="0" w:color="BFBFBF" w:themeColor="background1" w:themeShade="BF"/>
            </w:tcBorders>
            <w:shd w:val="clear" w:color="auto" w:fill="DBE5F1" w:themeFill="accent1" w:themeFillTint="33"/>
            <w:hideMark/>
          </w:tcPr>
          <w:p w:rsidR="00195BE7" w:rsidRPr="001E2F6E" w:rsidRDefault="00195BE7" w:rsidP="00195BE7">
            <w:pPr>
              <w:spacing w:line="240" w:lineRule="exact"/>
              <w:rPr>
                <w:b/>
                <w:bCs/>
                <w:sz w:val="16"/>
                <w:szCs w:val="16"/>
              </w:rPr>
            </w:pPr>
          </w:p>
        </w:tc>
        <w:tc>
          <w:tcPr>
            <w:tcW w:w="2282" w:type="pct"/>
            <w:gridSpan w:val="2"/>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hideMark/>
          </w:tcPr>
          <w:p w:rsidR="00195BE7" w:rsidRPr="001E2F6E" w:rsidRDefault="00195BE7" w:rsidP="00195BE7">
            <w:pPr>
              <w:spacing w:line="240" w:lineRule="exact"/>
              <w:jc w:val="center"/>
              <w:rPr>
                <w:b/>
                <w:bCs/>
                <w:sz w:val="16"/>
                <w:szCs w:val="16"/>
              </w:rPr>
            </w:pPr>
            <w:r w:rsidRPr="001E2F6E">
              <w:rPr>
                <w:b/>
                <w:bCs/>
                <w:sz w:val="16"/>
                <w:szCs w:val="16"/>
              </w:rPr>
              <w:t>BEGAE</w:t>
            </w:r>
          </w:p>
        </w:tc>
      </w:tr>
      <w:tr w:rsidR="00195BE7" w:rsidRPr="001E2F6E" w:rsidTr="00195BE7">
        <w:trPr>
          <w:jc w:val="center"/>
        </w:trPr>
        <w:tc>
          <w:tcPr>
            <w:tcW w:w="2718" w:type="pct"/>
            <w:tcBorders>
              <w:bottom w:val="single" w:sz="4" w:space="0" w:color="BFBFBF" w:themeColor="background1" w:themeShade="BF"/>
              <w:right w:val="single" w:sz="4" w:space="0" w:color="BFBFBF" w:themeColor="background1" w:themeShade="BF"/>
            </w:tcBorders>
            <w:shd w:val="clear" w:color="auto" w:fill="DBE5F1" w:themeFill="accent1" w:themeFillTint="33"/>
            <w:hideMark/>
          </w:tcPr>
          <w:p w:rsidR="00195BE7" w:rsidRPr="001E2F6E" w:rsidRDefault="00195BE7" w:rsidP="00195BE7">
            <w:pPr>
              <w:spacing w:line="240" w:lineRule="exact"/>
              <w:rPr>
                <w:b/>
                <w:bCs/>
                <w:sz w:val="16"/>
                <w:szCs w:val="16"/>
              </w:rPr>
            </w:pPr>
          </w:p>
        </w:tc>
        <w:tc>
          <w:tcPr>
            <w:tcW w:w="123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hideMark/>
          </w:tcPr>
          <w:p w:rsidR="00195BE7" w:rsidRPr="001E2F6E" w:rsidRDefault="00195BE7" w:rsidP="00195BE7">
            <w:pPr>
              <w:spacing w:line="240" w:lineRule="exact"/>
              <w:jc w:val="center"/>
              <w:rPr>
                <w:b/>
                <w:bCs/>
                <w:sz w:val="16"/>
                <w:szCs w:val="16"/>
              </w:rPr>
            </w:pPr>
            <w:r w:rsidRPr="001E2F6E">
              <w:rPr>
                <w:b/>
                <w:bCs/>
                <w:sz w:val="16"/>
                <w:szCs w:val="16"/>
              </w:rPr>
              <w:t>Euroak</w:t>
            </w:r>
          </w:p>
        </w:tc>
        <w:tc>
          <w:tcPr>
            <w:tcW w:w="1051"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hideMark/>
          </w:tcPr>
          <w:p w:rsidR="00195BE7" w:rsidRPr="001E2F6E" w:rsidRDefault="00195BE7" w:rsidP="00195BE7">
            <w:pPr>
              <w:spacing w:line="240" w:lineRule="exact"/>
              <w:jc w:val="center"/>
              <w:rPr>
                <w:b/>
                <w:bCs/>
                <w:sz w:val="16"/>
                <w:szCs w:val="16"/>
              </w:rPr>
            </w:pPr>
            <w:r w:rsidRPr="001E2F6E">
              <w:rPr>
                <w:b/>
                <w:bCs/>
                <w:sz w:val="16"/>
                <w:szCs w:val="16"/>
              </w:rPr>
              <w:t>%ber.</w:t>
            </w:r>
          </w:p>
        </w:tc>
      </w:tr>
      <w:tr w:rsidR="00195BE7" w:rsidRPr="001E2F6E" w:rsidTr="00195BE7">
        <w:trPr>
          <w:jc w:val="center"/>
        </w:trPr>
        <w:tc>
          <w:tcPr>
            <w:tcW w:w="2718" w:type="pct"/>
            <w:tcBorders>
              <w:top w:val="single" w:sz="4" w:space="0" w:color="BFBFBF" w:themeColor="background1" w:themeShade="BF"/>
              <w:right w:val="single" w:sz="4" w:space="0" w:color="BFBFBF" w:themeColor="background1" w:themeShade="BF"/>
            </w:tcBorders>
            <w:vAlign w:val="bottom"/>
            <w:hideMark/>
          </w:tcPr>
          <w:p w:rsidR="00195BE7" w:rsidRPr="001E2F6E" w:rsidRDefault="00195BE7" w:rsidP="00195BE7">
            <w:pPr>
              <w:spacing w:line="240" w:lineRule="exact"/>
              <w:rPr>
                <w:color w:val="000000"/>
                <w:sz w:val="16"/>
                <w:szCs w:val="16"/>
              </w:rPr>
            </w:pPr>
            <w:r w:rsidRPr="001E2F6E">
              <w:rPr>
                <w:color w:val="000000"/>
                <w:sz w:val="16"/>
                <w:szCs w:val="16"/>
              </w:rPr>
              <w:t>Zerga aurreko mozkinak (ZAM)</w:t>
            </w:r>
          </w:p>
        </w:tc>
        <w:tc>
          <w:tcPr>
            <w:tcW w:w="1231" w:type="pct"/>
            <w:tcBorders>
              <w:top w:val="single" w:sz="4" w:space="0" w:color="BFBFBF" w:themeColor="background1" w:themeShade="BF"/>
              <w:left w:val="single" w:sz="4" w:space="0" w:color="BFBFBF" w:themeColor="background1" w:themeShade="BF"/>
              <w:right w:val="single" w:sz="4" w:space="0" w:color="BFBFBF" w:themeColor="background1" w:themeShade="BF"/>
            </w:tcBorders>
            <w:noWrap/>
            <w:vAlign w:val="bottom"/>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224.953.396</w:t>
            </w:r>
          </w:p>
        </w:tc>
        <w:tc>
          <w:tcPr>
            <w:tcW w:w="1051" w:type="pct"/>
            <w:tcBorders>
              <w:top w:val="single" w:sz="4" w:space="0" w:color="BFBFBF" w:themeColor="background1" w:themeShade="BF"/>
              <w:left w:val="single" w:sz="4" w:space="0" w:color="BFBFBF" w:themeColor="background1" w:themeShade="BF"/>
            </w:tcBorders>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98,8</w:t>
            </w:r>
          </w:p>
        </w:tc>
      </w:tr>
      <w:tr w:rsidR="00195BE7" w:rsidRPr="001E2F6E" w:rsidTr="00195BE7">
        <w:trPr>
          <w:jc w:val="center"/>
        </w:trPr>
        <w:tc>
          <w:tcPr>
            <w:tcW w:w="2718" w:type="pct"/>
            <w:tcBorders>
              <w:bottom w:val="single" w:sz="4" w:space="0" w:color="BFBFBF" w:themeColor="background1" w:themeShade="BF"/>
              <w:right w:val="single" w:sz="4" w:space="0" w:color="BFBFBF" w:themeColor="background1" w:themeShade="BF"/>
            </w:tcBorders>
            <w:noWrap/>
            <w:vAlign w:val="bottom"/>
            <w:hideMark/>
          </w:tcPr>
          <w:p w:rsidR="00195BE7" w:rsidRPr="001E2F6E" w:rsidRDefault="00195BE7" w:rsidP="00195BE7">
            <w:pPr>
              <w:spacing w:line="240" w:lineRule="exact"/>
              <w:rPr>
                <w:color w:val="000000"/>
                <w:sz w:val="16"/>
                <w:szCs w:val="16"/>
              </w:rPr>
            </w:pPr>
            <w:r w:rsidRPr="001E2F6E">
              <w:rPr>
                <w:color w:val="000000"/>
                <w:sz w:val="16"/>
                <w:szCs w:val="16"/>
              </w:rPr>
              <w:t>Langileen Gastuak</w:t>
            </w:r>
          </w:p>
        </w:tc>
        <w:tc>
          <w:tcPr>
            <w:tcW w:w="1231" w:type="pct"/>
            <w:tcBorders>
              <w:left w:val="single" w:sz="4" w:space="0" w:color="BFBFBF" w:themeColor="background1" w:themeShade="BF"/>
              <w:bottom w:val="single" w:sz="4" w:space="0" w:color="BFBFBF" w:themeColor="background1" w:themeShade="BF"/>
              <w:right w:val="single" w:sz="4" w:space="0" w:color="BFBFBF" w:themeColor="background1" w:themeShade="BF"/>
            </w:tcBorders>
            <w:noWrap/>
            <w:vAlign w:val="bottom"/>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2.785.935</w:t>
            </w:r>
          </w:p>
        </w:tc>
        <w:tc>
          <w:tcPr>
            <w:tcW w:w="1051" w:type="pct"/>
            <w:tcBorders>
              <w:left w:val="single" w:sz="4" w:space="0" w:color="BFBFBF" w:themeColor="background1" w:themeShade="BF"/>
              <w:bottom w:val="single" w:sz="4" w:space="0" w:color="BFBFBF" w:themeColor="background1" w:themeShade="BF"/>
            </w:tcBorders>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1,2</w:t>
            </w:r>
          </w:p>
        </w:tc>
      </w:tr>
      <w:tr w:rsidR="00195BE7" w:rsidRPr="001E2F6E" w:rsidTr="00195BE7">
        <w:trPr>
          <w:jc w:val="center"/>
        </w:trPr>
        <w:tc>
          <w:tcPr>
            <w:tcW w:w="2718" w:type="pct"/>
            <w:tcBorders>
              <w:top w:val="single" w:sz="4" w:space="0" w:color="BFBFBF" w:themeColor="background1" w:themeShade="BF"/>
              <w:bottom w:val="single" w:sz="4" w:space="0" w:color="BFBFBF" w:themeColor="background1" w:themeShade="BF"/>
              <w:right w:val="single" w:sz="4" w:space="0" w:color="BFBFBF" w:themeColor="background1" w:themeShade="BF"/>
            </w:tcBorders>
            <w:hideMark/>
          </w:tcPr>
          <w:p w:rsidR="00195BE7" w:rsidRPr="001E2F6E" w:rsidRDefault="00195BE7" w:rsidP="00195BE7">
            <w:pPr>
              <w:spacing w:line="240" w:lineRule="exact"/>
              <w:rPr>
                <w:b/>
                <w:bCs/>
                <w:color w:val="000000"/>
                <w:sz w:val="16"/>
                <w:szCs w:val="16"/>
              </w:rPr>
            </w:pPr>
            <w:r w:rsidRPr="001E2F6E">
              <w:rPr>
                <w:b/>
                <w:bCs/>
                <w:color w:val="000000"/>
                <w:sz w:val="16"/>
                <w:szCs w:val="16"/>
              </w:rPr>
              <w:t>BEGd</w:t>
            </w:r>
          </w:p>
        </w:tc>
        <w:tc>
          <w:tcPr>
            <w:tcW w:w="123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195BE7" w:rsidRPr="001E2F6E" w:rsidRDefault="00195BE7" w:rsidP="00195BE7">
            <w:pPr>
              <w:spacing w:line="240" w:lineRule="exact"/>
              <w:ind w:right="170"/>
              <w:jc w:val="right"/>
              <w:rPr>
                <w:b/>
                <w:bCs/>
                <w:color w:val="000000"/>
                <w:sz w:val="16"/>
                <w:szCs w:val="16"/>
              </w:rPr>
            </w:pPr>
            <w:r w:rsidRPr="001E2F6E">
              <w:rPr>
                <w:b/>
                <w:bCs/>
                <w:color w:val="000000"/>
                <w:sz w:val="16"/>
                <w:szCs w:val="16"/>
              </w:rPr>
              <w:t>227.739.331</w:t>
            </w:r>
          </w:p>
        </w:tc>
        <w:tc>
          <w:tcPr>
            <w:tcW w:w="1051" w:type="pct"/>
            <w:tcBorders>
              <w:top w:val="single" w:sz="4" w:space="0" w:color="BFBFBF" w:themeColor="background1" w:themeShade="BF"/>
              <w:left w:val="single" w:sz="4" w:space="0" w:color="BFBFBF" w:themeColor="background1" w:themeShade="BF"/>
              <w:bottom w:val="single" w:sz="4" w:space="0" w:color="BFBFBF" w:themeColor="background1" w:themeShade="BF"/>
            </w:tcBorders>
            <w:hideMark/>
          </w:tcPr>
          <w:p w:rsidR="00195BE7" w:rsidRPr="001E2F6E" w:rsidRDefault="00195BE7" w:rsidP="00195BE7">
            <w:pPr>
              <w:spacing w:line="240" w:lineRule="exact"/>
              <w:ind w:right="170"/>
              <w:jc w:val="right"/>
              <w:rPr>
                <w:b/>
                <w:bCs/>
                <w:color w:val="000000"/>
                <w:sz w:val="16"/>
                <w:szCs w:val="16"/>
              </w:rPr>
            </w:pPr>
            <w:r w:rsidRPr="001E2F6E">
              <w:rPr>
                <w:b/>
                <w:bCs/>
                <w:color w:val="000000"/>
                <w:sz w:val="16"/>
                <w:szCs w:val="16"/>
              </w:rPr>
              <w:t>100,0</w:t>
            </w:r>
          </w:p>
        </w:tc>
      </w:tr>
    </w:tbl>
    <w:p w:rsidR="00195BE7" w:rsidRPr="001E2F6E" w:rsidRDefault="00195BE7" w:rsidP="00195BE7">
      <w:pPr>
        <w:pStyle w:val="Ttulo6"/>
        <w:keepNext w:val="0"/>
        <w:widowControl w:val="0"/>
        <w:jc w:val="center"/>
        <w:rPr>
          <w:rFonts w:ascii="Arial" w:hAnsi="Arial" w:cs="Arial"/>
          <w:b w:val="0"/>
          <w:i/>
          <w:sz w:val="16"/>
        </w:rPr>
      </w:pPr>
      <w:r w:rsidRPr="001E2F6E">
        <w:rPr>
          <w:rFonts w:ascii="Arial" w:hAnsi="Arial" w:cs="Arial"/>
          <w:b w:val="0"/>
          <w:i/>
          <w:sz w:val="16"/>
          <w:lang w:val="eu-ES"/>
        </w:rPr>
        <w:t>Iturria: Eusko Jaurlaritzako Finantza Zuzendaritzako datuak oinarri harturik egina</w:t>
      </w:r>
    </w:p>
    <w:p w:rsidR="00195BE7" w:rsidRPr="001E2F6E" w:rsidRDefault="00195BE7" w:rsidP="00195BE7">
      <w:pPr>
        <w:pStyle w:val="Ttulo1"/>
        <w:ind w:left="708" w:hanging="708"/>
        <w:rPr>
          <w:color w:val="1F497D" w:themeColor="text2"/>
          <w:sz w:val="26"/>
          <w:szCs w:val="26"/>
        </w:rPr>
      </w:pPr>
      <w:r w:rsidRPr="001E2F6E">
        <w:rPr>
          <w:b w:val="0"/>
          <w:color w:val="000080"/>
        </w:rPr>
        <w:br w:type="page"/>
      </w:r>
      <w:bookmarkStart w:id="418" w:name="_Toc391989060"/>
      <w:bookmarkStart w:id="419" w:name="_Toc392585723"/>
      <w:r w:rsidRPr="001E2F6E">
        <w:rPr>
          <w:color w:val="1F497D" w:themeColor="text2"/>
          <w:sz w:val="26"/>
          <w:szCs w:val="26"/>
        </w:rPr>
        <w:lastRenderedPageBreak/>
        <w:t xml:space="preserve">5.- </w:t>
      </w:r>
      <w:r w:rsidRPr="001E2F6E">
        <w:rPr>
          <w:color w:val="1F497D" w:themeColor="text2"/>
          <w:sz w:val="26"/>
          <w:szCs w:val="26"/>
        </w:rPr>
        <w:tab/>
        <w:t>ARRANTZALE-KOFRADIAK</w:t>
      </w:r>
      <w:bookmarkEnd w:id="418"/>
      <w:bookmarkEnd w:id="419"/>
    </w:p>
    <w:p w:rsidR="00195BE7" w:rsidRPr="001E2F6E" w:rsidRDefault="00195BE7" w:rsidP="00195BE7"/>
    <w:p w:rsidR="00195BE7" w:rsidRPr="001E2F6E" w:rsidRDefault="00195BE7" w:rsidP="00195BE7"/>
    <w:p w:rsidR="00195BE7" w:rsidRPr="001E2F6E" w:rsidRDefault="00195BE7" w:rsidP="00195BE7">
      <w:pPr>
        <w:pStyle w:val="Ttulo1"/>
        <w:ind w:left="708" w:hanging="708"/>
        <w:rPr>
          <w:color w:val="1F497D" w:themeColor="text2"/>
          <w:sz w:val="22"/>
          <w:szCs w:val="22"/>
        </w:rPr>
      </w:pPr>
      <w:bookmarkStart w:id="420" w:name="_Toc391989061"/>
      <w:bookmarkStart w:id="421" w:name="_Toc392585724"/>
      <w:r w:rsidRPr="001E2F6E">
        <w:rPr>
          <w:color w:val="1F497D" w:themeColor="text2"/>
          <w:sz w:val="22"/>
          <w:szCs w:val="22"/>
        </w:rPr>
        <w:t xml:space="preserve">5.1.- </w:t>
      </w:r>
      <w:r w:rsidRPr="001E2F6E">
        <w:rPr>
          <w:color w:val="1F497D" w:themeColor="text2"/>
          <w:sz w:val="22"/>
          <w:szCs w:val="22"/>
        </w:rPr>
        <w:tab/>
        <w:t>ERAGILEEN KUANTIFIKAZIOA: ARRANTZALE-KOFRADIAK</w:t>
      </w:r>
      <w:bookmarkEnd w:id="420"/>
      <w:bookmarkEnd w:id="421"/>
    </w:p>
    <w:p w:rsidR="00195BE7" w:rsidRPr="001E2F6E" w:rsidRDefault="00195BE7" w:rsidP="00195BE7"/>
    <w:p w:rsidR="00195BE7" w:rsidRPr="001E2F6E" w:rsidRDefault="00195BE7" w:rsidP="00195BE7">
      <w:r w:rsidRPr="00067A2F">
        <w:rPr>
          <w:lang w:val="en-US"/>
        </w:rPr>
        <w:t xml:space="preserve">EAE-an 14 Arrantzale Kofradia daude. </w:t>
      </w:r>
      <w:r w:rsidRPr="001E2F6E">
        <w:t xml:space="preserve">Gainera lurralde bakoitzak –Gipuzkoa eta Bizkaia- bere Arrantzale Kofradien Federazioa du. Beraz, kolektibo honen unibertsoa, </w:t>
      </w:r>
      <w:r w:rsidRPr="00FC24CA">
        <w:rPr>
          <w:rFonts w:eastAsiaTheme="minorHAnsi"/>
          <w:b/>
          <w:color w:val="1F497D" w:themeColor="text2"/>
          <w:szCs w:val="22"/>
        </w:rPr>
        <w:t>16 erakundek</w:t>
      </w:r>
      <w:r w:rsidRPr="001E2F6E">
        <w:t xml:space="preserve"> osatzen dute.</w:t>
      </w:r>
    </w:p>
    <w:p w:rsidR="00195BE7" w:rsidRPr="001E2F6E" w:rsidRDefault="00195BE7" w:rsidP="00195BE7"/>
    <w:p w:rsidR="00195BE7" w:rsidRPr="001E2F6E" w:rsidRDefault="00195BE7" w:rsidP="00195BE7"/>
    <w:p w:rsidR="00195BE7" w:rsidRPr="001E2F6E" w:rsidRDefault="00195BE7" w:rsidP="00195BE7">
      <w:pPr>
        <w:spacing w:line="240" w:lineRule="auto"/>
        <w:jc w:val="center"/>
        <w:rPr>
          <w:b/>
          <w:color w:val="1F497D" w:themeColor="text2"/>
          <w:sz w:val="18"/>
          <w:szCs w:val="18"/>
        </w:rPr>
      </w:pPr>
      <w:bookmarkStart w:id="422" w:name="_Toc391989173"/>
      <w:bookmarkStart w:id="423" w:name="_Toc392585880"/>
      <w:r w:rsidRPr="001E2F6E">
        <w:rPr>
          <w:b/>
          <w:noProof/>
          <w:color w:val="1F497D" w:themeColor="text2"/>
          <w:sz w:val="18"/>
          <w:szCs w:val="18"/>
        </w:rPr>
        <w:t>4.</w:t>
      </w:r>
      <w:r w:rsidR="00EB6BA6" w:rsidRPr="001E2F6E">
        <w:rPr>
          <w:b/>
          <w:noProof/>
          <w:color w:val="1F497D" w:themeColor="text2"/>
          <w:sz w:val="18"/>
          <w:szCs w:val="18"/>
        </w:rPr>
        <w:fldChar w:fldCharType="begin"/>
      </w:r>
      <w:r w:rsidRPr="001E2F6E">
        <w:rPr>
          <w:b/>
          <w:noProof/>
          <w:color w:val="1F497D" w:themeColor="text2"/>
          <w:sz w:val="18"/>
          <w:szCs w:val="18"/>
        </w:rPr>
        <w:instrText xml:space="preserve"> SEQ Gráfico_4. \* ARABIC </w:instrText>
      </w:r>
      <w:r w:rsidR="00EB6BA6" w:rsidRPr="001E2F6E">
        <w:rPr>
          <w:b/>
          <w:noProof/>
          <w:color w:val="1F497D" w:themeColor="text2"/>
          <w:sz w:val="18"/>
          <w:szCs w:val="18"/>
        </w:rPr>
        <w:fldChar w:fldCharType="separate"/>
      </w:r>
      <w:r w:rsidR="00A327D4">
        <w:rPr>
          <w:b/>
          <w:noProof/>
          <w:color w:val="1F497D" w:themeColor="text2"/>
          <w:sz w:val="18"/>
          <w:szCs w:val="18"/>
        </w:rPr>
        <w:t>6</w:t>
      </w:r>
      <w:r w:rsidR="00EB6BA6" w:rsidRPr="001E2F6E">
        <w:rPr>
          <w:b/>
          <w:noProof/>
          <w:color w:val="1F497D" w:themeColor="text2"/>
          <w:sz w:val="18"/>
          <w:szCs w:val="18"/>
        </w:rPr>
        <w:fldChar w:fldCharType="end"/>
      </w:r>
      <w:r w:rsidRPr="001E2F6E">
        <w:rPr>
          <w:b/>
          <w:noProof/>
          <w:color w:val="1F497D" w:themeColor="text2"/>
          <w:sz w:val="18"/>
          <w:szCs w:val="18"/>
        </w:rPr>
        <w:t xml:space="preserve"> Irudia </w:t>
      </w:r>
      <w:r w:rsidRPr="001E2F6E">
        <w:rPr>
          <w:b/>
          <w:color w:val="1F497D" w:themeColor="text2"/>
          <w:sz w:val="18"/>
          <w:szCs w:val="18"/>
        </w:rPr>
        <w:t>ARRANTZALE-KOFRADIEN ETA FEDERAZIOEN LURRALDE-BANAKETA 2012 (</w:t>
      </w:r>
      <w:r w:rsidR="00462130" w:rsidRPr="001E2F6E">
        <w:rPr>
          <w:b/>
          <w:color w:val="1F497D" w:themeColor="text2"/>
          <w:sz w:val="18"/>
          <w:szCs w:val="18"/>
        </w:rPr>
        <w:t>zifra absolutuak eta</w:t>
      </w:r>
      <w:r w:rsidRPr="001E2F6E">
        <w:rPr>
          <w:b/>
          <w:color w:val="1F497D" w:themeColor="text2"/>
          <w:sz w:val="18"/>
          <w:szCs w:val="18"/>
        </w:rPr>
        <w:t>%)</w:t>
      </w:r>
      <w:bookmarkEnd w:id="422"/>
      <w:bookmarkEnd w:id="423"/>
    </w:p>
    <w:p w:rsidR="00195BE7" w:rsidRPr="001E2F6E" w:rsidRDefault="00195BE7" w:rsidP="00195BE7">
      <w:r w:rsidRPr="001E2F6E">
        <w:rPr>
          <w:noProof/>
          <w:lang w:eastAsia="es-ES"/>
        </w:rPr>
        <w:drawing>
          <wp:anchor distT="0" distB="0" distL="114300" distR="114300" simplePos="0" relativeHeight="251719680" behindDoc="0" locked="0" layoutInCell="1" allowOverlap="1" wp14:anchorId="79739564" wp14:editId="62372146">
            <wp:simplePos x="0" y="0"/>
            <wp:positionH relativeFrom="column">
              <wp:posOffset>1413510</wp:posOffset>
            </wp:positionH>
            <wp:positionV relativeFrom="paragraph">
              <wp:posOffset>25400</wp:posOffset>
            </wp:positionV>
            <wp:extent cx="2752725" cy="1771650"/>
            <wp:effectExtent l="0" t="0" r="0" b="0"/>
            <wp:wrapNone/>
            <wp:docPr id="453"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anchor>
        </w:drawing>
      </w:r>
    </w:p>
    <w:p w:rsidR="00195BE7" w:rsidRPr="001E2F6E" w:rsidRDefault="00195BE7" w:rsidP="00195BE7"/>
    <w:p w:rsidR="00195BE7" w:rsidRPr="001E2F6E" w:rsidRDefault="00195BE7" w:rsidP="00195BE7"/>
    <w:p w:rsidR="00195BE7" w:rsidRPr="001E2F6E" w:rsidRDefault="00195BE7" w:rsidP="00195BE7"/>
    <w:p w:rsidR="00195BE7" w:rsidRPr="001E2F6E" w:rsidRDefault="00195BE7" w:rsidP="00195BE7"/>
    <w:p w:rsidR="00195BE7" w:rsidRPr="001E2F6E" w:rsidRDefault="00195BE7" w:rsidP="00195BE7"/>
    <w:p w:rsidR="00195BE7" w:rsidRPr="001E2F6E" w:rsidRDefault="00195BE7" w:rsidP="00195BE7"/>
    <w:p w:rsidR="00195BE7" w:rsidRPr="001E2F6E" w:rsidRDefault="00195BE7" w:rsidP="00195BE7"/>
    <w:p w:rsidR="00195BE7" w:rsidRPr="001E2F6E" w:rsidRDefault="00195BE7" w:rsidP="00195BE7"/>
    <w:p w:rsidR="00195BE7" w:rsidRPr="001E2F6E" w:rsidRDefault="00195BE7" w:rsidP="00195BE7">
      <w:pPr>
        <w:pStyle w:val="Ttulo6"/>
        <w:keepNext w:val="0"/>
        <w:widowControl w:val="0"/>
        <w:jc w:val="center"/>
        <w:rPr>
          <w:rFonts w:ascii="Arial" w:hAnsi="Arial" w:cs="Arial"/>
          <w:b w:val="0"/>
          <w:i/>
          <w:sz w:val="16"/>
        </w:rPr>
      </w:pPr>
      <w:r w:rsidRPr="001E2F6E">
        <w:rPr>
          <w:rFonts w:ascii="Arial" w:hAnsi="Arial" w:cs="Arial"/>
          <w:b w:val="0"/>
          <w:i/>
          <w:sz w:val="16"/>
        </w:rPr>
        <w:t>Iturria: Eusko Jaurlaritzako Arrantza eta Akuikultura Zuzendaritza</w:t>
      </w:r>
    </w:p>
    <w:p w:rsidR="00195BE7" w:rsidRPr="001E2F6E" w:rsidRDefault="00195BE7" w:rsidP="00195BE7"/>
    <w:p w:rsidR="00195BE7" w:rsidRPr="001E2F6E" w:rsidRDefault="00195BE7" w:rsidP="00195BE7"/>
    <w:p w:rsidR="00195BE7" w:rsidRPr="001E2F6E" w:rsidRDefault="00195BE7" w:rsidP="00195BE7">
      <w:pPr>
        <w:pStyle w:val="Ttulo1"/>
        <w:ind w:left="708" w:hanging="708"/>
        <w:rPr>
          <w:color w:val="1F497D" w:themeColor="text2"/>
          <w:sz w:val="22"/>
          <w:szCs w:val="22"/>
        </w:rPr>
      </w:pPr>
      <w:bookmarkStart w:id="424" w:name="_Toc391989062"/>
      <w:bookmarkStart w:id="425" w:name="_Toc392585725"/>
      <w:r w:rsidRPr="001E2F6E">
        <w:rPr>
          <w:color w:val="1F497D" w:themeColor="text2"/>
          <w:sz w:val="22"/>
          <w:szCs w:val="22"/>
        </w:rPr>
        <w:t xml:space="preserve">5.2.- </w:t>
      </w:r>
      <w:r w:rsidRPr="001E2F6E">
        <w:rPr>
          <w:color w:val="1F497D" w:themeColor="text2"/>
          <w:sz w:val="22"/>
          <w:szCs w:val="22"/>
        </w:rPr>
        <w:tab/>
        <w:t>ENPLEGUA ARRANTZALE-KOFRADIETAN</w:t>
      </w:r>
      <w:bookmarkEnd w:id="424"/>
      <w:bookmarkEnd w:id="425"/>
    </w:p>
    <w:p w:rsidR="00195BE7" w:rsidRPr="001E2F6E" w:rsidRDefault="00195BE7" w:rsidP="00195BE7"/>
    <w:p w:rsidR="00195BE7" w:rsidRPr="001E2F6E" w:rsidRDefault="00195BE7" w:rsidP="00195BE7">
      <w:r w:rsidRPr="001E2F6E">
        <w:t xml:space="preserve">Gipuzkoa eta Bizkaiako Arratzale Kofradietan zednbatetsitako enplegua </w:t>
      </w:r>
      <w:r w:rsidRPr="00FC24CA">
        <w:rPr>
          <w:rFonts w:eastAsiaTheme="minorHAnsi"/>
          <w:b/>
          <w:color w:val="1F497D" w:themeColor="text2"/>
          <w:szCs w:val="22"/>
        </w:rPr>
        <w:t>90 langilekoa</w:t>
      </w:r>
      <w:r w:rsidRPr="001E2F6E">
        <w:t xml:space="preserve"> da.  </w:t>
      </w:r>
    </w:p>
    <w:p w:rsidR="00195BE7" w:rsidRPr="001E2F6E" w:rsidRDefault="00195BE7" w:rsidP="00195BE7"/>
    <w:p w:rsidR="00195BE7" w:rsidRPr="001E2F6E" w:rsidRDefault="00195BE7" w:rsidP="00195BE7">
      <w:pPr>
        <w:ind w:left="709" w:hanging="709"/>
        <w:rPr>
          <w:b/>
          <w:color w:val="1F497D" w:themeColor="text2"/>
          <w:sz w:val="22"/>
        </w:rPr>
      </w:pPr>
    </w:p>
    <w:p w:rsidR="00195BE7" w:rsidRPr="001E2F6E" w:rsidRDefault="00195BE7" w:rsidP="00195BE7">
      <w:pPr>
        <w:pStyle w:val="Ttulo1"/>
        <w:ind w:left="708" w:hanging="708"/>
        <w:rPr>
          <w:color w:val="1F497D" w:themeColor="text2"/>
          <w:sz w:val="22"/>
          <w:szCs w:val="22"/>
        </w:rPr>
      </w:pPr>
      <w:bookmarkStart w:id="426" w:name="_Toc391989063"/>
      <w:bookmarkStart w:id="427" w:name="_Toc392585726"/>
      <w:r w:rsidRPr="001E2F6E">
        <w:rPr>
          <w:color w:val="1F497D" w:themeColor="text2"/>
          <w:sz w:val="22"/>
          <w:szCs w:val="22"/>
        </w:rPr>
        <w:t xml:space="preserve">5.3.- </w:t>
      </w:r>
      <w:r w:rsidRPr="001E2F6E">
        <w:rPr>
          <w:color w:val="1F497D" w:themeColor="text2"/>
          <w:sz w:val="22"/>
          <w:szCs w:val="22"/>
        </w:rPr>
        <w:tab/>
        <w:t>MAGNITUDE EKONOMIKO NAGUSIAK: ARRANTZALE-KOFRADIAK</w:t>
      </w:r>
      <w:bookmarkEnd w:id="426"/>
      <w:bookmarkEnd w:id="427"/>
    </w:p>
    <w:p w:rsidR="00195BE7" w:rsidRPr="001E2F6E" w:rsidRDefault="00195BE7" w:rsidP="00195BE7">
      <w:pPr>
        <w:ind w:left="709" w:hanging="709"/>
        <w:rPr>
          <w:b/>
          <w:color w:val="1F497D" w:themeColor="text2"/>
          <w:sz w:val="22"/>
        </w:rPr>
      </w:pPr>
    </w:p>
    <w:p w:rsidR="00195BE7" w:rsidRPr="001E2F6E" w:rsidRDefault="00195BE7" w:rsidP="00195BE7">
      <w:pPr>
        <w:pStyle w:val="Ttulo1"/>
        <w:ind w:left="708" w:hanging="708"/>
        <w:rPr>
          <w:color w:val="1F497D" w:themeColor="text2"/>
          <w:sz w:val="22"/>
          <w:szCs w:val="22"/>
        </w:rPr>
      </w:pPr>
      <w:bookmarkStart w:id="428" w:name="_Toc391989064"/>
      <w:bookmarkStart w:id="429" w:name="_Toc392585727"/>
      <w:r w:rsidRPr="001E2F6E">
        <w:rPr>
          <w:color w:val="1F497D" w:themeColor="text2"/>
          <w:sz w:val="22"/>
          <w:szCs w:val="22"/>
        </w:rPr>
        <w:t>5.3.1.- Arrantzale-Kofradien Diru-Sarrerak</w:t>
      </w:r>
      <w:bookmarkEnd w:id="428"/>
      <w:bookmarkEnd w:id="429"/>
      <w:r w:rsidRPr="001E2F6E">
        <w:rPr>
          <w:color w:val="1F497D" w:themeColor="text2"/>
          <w:sz w:val="22"/>
          <w:szCs w:val="22"/>
        </w:rPr>
        <w:t xml:space="preserve"> </w:t>
      </w:r>
    </w:p>
    <w:p w:rsidR="00195BE7" w:rsidRPr="001E2F6E" w:rsidRDefault="00195BE7" w:rsidP="00195BE7"/>
    <w:p w:rsidR="00195BE7" w:rsidRPr="001E2F6E" w:rsidRDefault="00195BE7" w:rsidP="00195BE7">
      <w:pPr>
        <w:spacing w:line="240" w:lineRule="auto"/>
        <w:jc w:val="center"/>
        <w:rPr>
          <w:b/>
          <w:color w:val="1F497D" w:themeColor="text2"/>
          <w:sz w:val="18"/>
          <w:szCs w:val="18"/>
        </w:rPr>
      </w:pPr>
      <w:bookmarkStart w:id="430" w:name="_Toc391989184"/>
      <w:bookmarkStart w:id="431" w:name="_Toc392585864"/>
      <w:r w:rsidRPr="001E2F6E">
        <w:rPr>
          <w:b/>
          <w:bCs/>
          <w:color w:val="1F497D" w:themeColor="text2"/>
          <w:sz w:val="18"/>
          <w:szCs w:val="18"/>
        </w:rPr>
        <w:t>4.</w:t>
      </w:r>
      <w:r w:rsidR="00EB6BA6" w:rsidRPr="001E2F6E">
        <w:rPr>
          <w:b/>
          <w:bCs/>
          <w:color w:val="1F497D" w:themeColor="text2"/>
          <w:sz w:val="18"/>
          <w:szCs w:val="18"/>
        </w:rPr>
        <w:fldChar w:fldCharType="begin"/>
      </w:r>
      <w:r w:rsidRPr="001E2F6E">
        <w:rPr>
          <w:b/>
          <w:bCs/>
          <w:color w:val="1F497D" w:themeColor="text2"/>
          <w:sz w:val="18"/>
          <w:szCs w:val="18"/>
        </w:rPr>
        <w:instrText xml:space="preserve"> SEQ Cuadro_4. \* ARABIC </w:instrText>
      </w:r>
      <w:r w:rsidR="00EB6BA6" w:rsidRPr="001E2F6E">
        <w:rPr>
          <w:b/>
          <w:bCs/>
          <w:color w:val="1F497D" w:themeColor="text2"/>
          <w:sz w:val="18"/>
          <w:szCs w:val="18"/>
        </w:rPr>
        <w:fldChar w:fldCharType="separate"/>
      </w:r>
      <w:r w:rsidR="00A327D4">
        <w:rPr>
          <w:b/>
          <w:bCs/>
          <w:noProof/>
          <w:color w:val="1F497D" w:themeColor="text2"/>
          <w:sz w:val="18"/>
          <w:szCs w:val="18"/>
        </w:rPr>
        <w:t>11</w:t>
      </w:r>
      <w:r w:rsidR="00EB6BA6" w:rsidRPr="001E2F6E">
        <w:rPr>
          <w:b/>
          <w:bCs/>
          <w:color w:val="1F497D" w:themeColor="text2"/>
          <w:sz w:val="18"/>
          <w:szCs w:val="18"/>
        </w:rPr>
        <w:fldChar w:fldCharType="end"/>
      </w:r>
      <w:r w:rsidRPr="001E2F6E">
        <w:rPr>
          <w:b/>
          <w:bCs/>
          <w:color w:val="1F497D" w:themeColor="text2"/>
          <w:sz w:val="18"/>
          <w:szCs w:val="18"/>
        </w:rPr>
        <w:t xml:space="preserve"> Taula </w:t>
      </w:r>
      <w:r w:rsidRPr="001E2F6E">
        <w:rPr>
          <w:b/>
          <w:color w:val="1F497D" w:themeColor="text2"/>
          <w:sz w:val="18"/>
          <w:szCs w:val="18"/>
        </w:rPr>
        <w:t>USTIAPEN- ETA FINANTZA-SARREREN BANAKETA ARRANTZALE-KOFRADIETAN 2012 (</w:t>
      </w:r>
      <w:r w:rsidR="00462130" w:rsidRPr="001E2F6E">
        <w:rPr>
          <w:b/>
          <w:color w:val="1F497D" w:themeColor="text2"/>
          <w:sz w:val="18"/>
          <w:szCs w:val="18"/>
        </w:rPr>
        <w:t xml:space="preserve">zifra absolutuak </w:t>
      </w:r>
      <w:r w:rsidRPr="001E2F6E">
        <w:rPr>
          <w:b/>
          <w:color w:val="1F497D" w:themeColor="text2"/>
          <w:sz w:val="18"/>
          <w:szCs w:val="18"/>
        </w:rPr>
        <w:t>eta %ber.)</w:t>
      </w:r>
      <w:bookmarkEnd w:id="430"/>
      <w:bookmarkEnd w:id="431"/>
    </w:p>
    <w:tbl>
      <w:tblPr>
        <w:tblW w:w="5000" w:type="pct"/>
        <w:jc w:val="center"/>
        <w:tblLook w:val="04A0" w:firstRow="1" w:lastRow="0" w:firstColumn="1" w:lastColumn="0" w:noHBand="0" w:noVBand="1"/>
      </w:tblPr>
      <w:tblGrid>
        <w:gridCol w:w="5028"/>
        <w:gridCol w:w="2186"/>
        <w:gridCol w:w="1790"/>
      </w:tblGrid>
      <w:tr w:rsidR="00195BE7" w:rsidRPr="001E2F6E" w:rsidTr="00195BE7">
        <w:trPr>
          <w:jc w:val="center"/>
        </w:trPr>
        <w:tc>
          <w:tcPr>
            <w:tcW w:w="2792" w:type="pct"/>
            <w:tcBorders>
              <w:top w:val="single" w:sz="4" w:space="0" w:color="BFBFBF" w:themeColor="background1" w:themeShade="BF"/>
              <w:right w:val="single" w:sz="4" w:space="0" w:color="BFBFBF" w:themeColor="background1" w:themeShade="BF"/>
            </w:tcBorders>
            <w:shd w:val="clear" w:color="auto" w:fill="DBE5F1" w:themeFill="accent1" w:themeFillTint="33"/>
            <w:hideMark/>
          </w:tcPr>
          <w:p w:rsidR="00195BE7" w:rsidRPr="001E2F6E" w:rsidRDefault="00195BE7" w:rsidP="00195BE7">
            <w:pPr>
              <w:spacing w:line="240" w:lineRule="exact"/>
              <w:rPr>
                <w:sz w:val="16"/>
                <w:szCs w:val="16"/>
              </w:rPr>
            </w:pPr>
          </w:p>
        </w:tc>
        <w:tc>
          <w:tcPr>
            <w:tcW w:w="2208" w:type="pct"/>
            <w:gridSpan w:val="2"/>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hideMark/>
          </w:tcPr>
          <w:p w:rsidR="00195BE7" w:rsidRPr="001E2F6E" w:rsidRDefault="00195BE7" w:rsidP="00195BE7">
            <w:pPr>
              <w:spacing w:line="240" w:lineRule="exact"/>
              <w:jc w:val="center"/>
              <w:rPr>
                <w:b/>
                <w:bCs/>
                <w:sz w:val="16"/>
                <w:szCs w:val="16"/>
              </w:rPr>
            </w:pPr>
            <w:r w:rsidRPr="001E2F6E">
              <w:rPr>
                <w:b/>
                <w:bCs/>
                <w:sz w:val="16"/>
                <w:szCs w:val="16"/>
              </w:rPr>
              <w:t>2012</w:t>
            </w:r>
          </w:p>
        </w:tc>
      </w:tr>
      <w:tr w:rsidR="00195BE7" w:rsidRPr="001E2F6E" w:rsidTr="00195BE7">
        <w:trPr>
          <w:jc w:val="center"/>
        </w:trPr>
        <w:tc>
          <w:tcPr>
            <w:tcW w:w="2792" w:type="pct"/>
            <w:tcBorders>
              <w:bottom w:val="single" w:sz="4" w:space="0" w:color="BFBFBF" w:themeColor="background1" w:themeShade="BF"/>
              <w:right w:val="single" w:sz="4" w:space="0" w:color="BFBFBF" w:themeColor="background1" w:themeShade="BF"/>
            </w:tcBorders>
            <w:shd w:val="clear" w:color="auto" w:fill="DBE5F1" w:themeFill="accent1" w:themeFillTint="33"/>
            <w:hideMark/>
          </w:tcPr>
          <w:p w:rsidR="00195BE7" w:rsidRPr="001E2F6E" w:rsidRDefault="00195BE7" w:rsidP="00195BE7">
            <w:pPr>
              <w:spacing w:line="240" w:lineRule="exact"/>
              <w:rPr>
                <w:sz w:val="16"/>
                <w:szCs w:val="16"/>
              </w:rPr>
            </w:pPr>
          </w:p>
        </w:tc>
        <w:tc>
          <w:tcPr>
            <w:tcW w:w="121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hideMark/>
          </w:tcPr>
          <w:p w:rsidR="00195BE7" w:rsidRPr="001E2F6E" w:rsidRDefault="00195BE7" w:rsidP="00195BE7">
            <w:pPr>
              <w:spacing w:line="240" w:lineRule="exact"/>
              <w:jc w:val="center"/>
              <w:rPr>
                <w:b/>
                <w:bCs/>
                <w:sz w:val="16"/>
                <w:szCs w:val="16"/>
              </w:rPr>
            </w:pPr>
            <w:r w:rsidRPr="001E2F6E">
              <w:rPr>
                <w:b/>
                <w:bCs/>
                <w:sz w:val="16"/>
                <w:szCs w:val="16"/>
              </w:rPr>
              <w:t>Euroak</w:t>
            </w:r>
          </w:p>
        </w:tc>
        <w:tc>
          <w:tcPr>
            <w:tcW w:w="994"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hideMark/>
          </w:tcPr>
          <w:p w:rsidR="00195BE7" w:rsidRPr="001E2F6E" w:rsidRDefault="00195BE7" w:rsidP="00195BE7">
            <w:pPr>
              <w:spacing w:line="240" w:lineRule="exact"/>
              <w:jc w:val="center"/>
              <w:rPr>
                <w:b/>
                <w:bCs/>
                <w:sz w:val="16"/>
                <w:szCs w:val="16"/>
              </w:rPr>
            </w:pPr>
            <w:r w:rsidRPr="001E2F6E">
              <w:rPr>
                <w:b/>
                <w:bCs/>
                <w:sz w:val="16"/>
                <w:szCs w:val="16"/>
              </w:rPr>
              <w:t>%ber.</w:t>
            </w:r>
          </w:p>
        </w:tc>
      </w:tr>
      <w:tr w:rsidR="00195BE7" w:rsidRPr="001E2F6E" w:rsidTr="00195BE7">
        <w:trPr>
          <w:jc w:val="center"/>
        </w:trPr>
        <w:tc>
          <w:tcPr>
            <w:tcW w:w="2792" w:type="pct"/>
            <w:tcBorders>
              <w:top w:val="single" w:sz="4" w:space="0" w:color="BFBFBF" w:themeColor="background1" w:themeShade="BF"/>
              <w:right w:val="single" w:sz="4" w:space="0" w:color="BFBFBF" w:themeColor="background1" w:themeShade="BF"/>
            </w:tcBorders>
            <w:vAlign w:val="bottom"/>
            <w:hideMark/>
          </w:tcPr>
          <w:p w:rsidR="00195BE7" w:rsidRPr="001E2F6E" w:rsidRDefault="00195BE7" w:rsidP="00195BE7">
            <w:pPr>
              <w:spacing w:line="240" w:lineRule="exact"/>
              <w:rPr>
                <w:color w:val="000000"/>
                <w:sz w:val="16"/>
                <w:szCs w:val="16"/>
              </w:rPr>
            </w:pPr>
            <w:r w:rsidRPr="001E2F6E">
              <w:rPr>
                <w:color w:val="000000"/>
                <w:sz w:val="16"/>
                <w:szCs w:val="16"/>
              </w:rPr>
              <w:t>Salmentak</w:t>
            </w:r>
          </w:p>
        </w:tc>
        <w:tc>
          <w:tcPr>
            <w:tcW w:w="1214" w:type="pct"/>
            <w:tcBorders>
              <w:top w:val="single" w:sz="4" w:space="0" w:color="BFBFBF" w:themeColor="background1" w:themeShade="BF"/>
              <w:left w:val="single" w:sz="4" w:space="0" w:color="BFBFBF" w:themeColor="background1" w:themeShade="BF"/>
              <w:right w:val="single" w:sz="4" w:space="0" w:color="BFBFBF" w:themeColor="background1" w:themeShade="BF"/>
            </w:tcBorders>
            <w:noWrap/>
            <w:vAlign w:val="bottom"/>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21.751.742</w:t>
            </w:r>
          </w:p>
        </w:tc>
        <w:tc>
          <w:tcPr>
            <w:tcW w:w="994" w:type="pct"/>
            <w:tcBorders>
              <w:top w:val="single" w:sz="4" w:space="0" w:color="BFBFBF" w:themeColor="background1" w:themeShade="BF"/>
              <w:left w:val="single" w:sz="4" w:space="0" w:color="BFBFBF" w:themeColor="background1" w:themeShade="BF"/>
            </w:tcBorders>
            <w:vAlign w:val="bottom"/>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82,2</w:t>
            </w:r>
          </w:p>
        </w:tc>
      </w:tr>
      <w:tr w:rsidR="00195BE7" w:rsidRPr="001E2F6E" w:rsidTr="00195BE7">
        <w:trPr>
          <w:jc w:val="center"/>
        </w:trPr>
        <w:tc>
          <w:tcPr>
            <w:tcW w:w="2792" w:type="pct"/>
            <w:tcBorders>
              <w:right w:val="single" w:sz="4" w:space="0" w:color="BFBFBF" w:themeColor="background1" w:themeShade="BF"/>
            </w:tcBorders>
            <w:noWrap/>
            <w:vAlign w:val="bottom"/>
            <w:hideMark/>
          </w:tcPr>
          <w:p w:rsidR="00195BE7" w:rsidRPr="001E2F6E" w:rsidRDefault="00195BE7" w:rsidP="00195BE7">
            <w:pPr>
              <w:spacing w:line="240" w:lineRule="exact"/>
              <w:rPr>
                <w:color w:val="000000"/>
                <w:sz w:val="16"/>
                <w:szCs w:val="16"/>
              </w:rPr>
            </w:pPr>
            <w:r w:rsidRPr="001E2F6E">
              <w:rPr>
                <w:color w:val="000000"/>
                <w:sz w:val="16"/>
                <w:szCs w:val="16"/>
              </w:rPr>
              <w:t>Alokatze eta Mantentzeak</w:t>
            </w:r>
          </w:p>
        </w:tc>
        <w:tc>
          <w:tcPr>
            <w:tcW w:w="1214" w:type="pct"/>
            <w:tcBorders>
              <w:left w:val="single" w:sz="4" w:space="0" w:color="BFBFBF" w:themeColor="background1" w:themeShade="BF"/>
              <w:right w:val="single" w:sz="4" w:space="0" w:color="BFBFBF" w:themeColor="background1" w:themeShade="BF"/>
            </w:tcBorders>
            <w:noWrap/>
            <w:vAlign w:val="bottom"/>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1.370.041</w:t>
            </w:r>
          </w:p>
        </w:tc>
        <w:tc>
          <w:tcPr>
            <w:tcW w:w="994" w:type="pct"/>
            <w:tcBorders>
              <w:left w:val="single" w:sz="4" w:space="0" w:color="BFBFBF" w:themeColor="background1" w:themeShade="BF"/>
            </w:tcBorders>
            <w:vAlign w:val="bottom"/>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5,2</w:t>
            </w:r>
          </w:p>
        </w:tc>
      </w:tr>
      <w:tr w:rsidR="00195BE7" w:rsidRPr="001E2F6E" w:rsidTr="00195BE7">
        <w:trPr>
          <w:jc w:val="center"/>
        </w:trPr>
        <w:tc>
          <w:tcPr>
            <w:tcW w:w="2792" w:type="pct"/>
            <w:tcBorders>
              <w:right w:val="single" w:sz="4" w:space="0" w:color="BFBFBF" w:themeColor="background1" w:themeShade="BF"/>
            </w:tcBorders>
            <w:vAlign w:val="bottom"/>
            <w:hideMark/>
          </w:tcPr>
          <w:p w:rsidR="00195BE7" w:rsidRPr="001E2F6E" w:rsidRDefault="00195BE7" w:rsidP="00195BE7">
            <w:pPr>
              <w:spacing w:line="240" w:lineRule="exact"/>
              <w:rPr>
                <w:color w:val="000000"/>
                <w:sz w:val="16"/>
                <w:szCs w:val="16"/>
              </w:rPr>
            </w:pPr>
            <w:r w:rsidRPr="001E2F6E">
              <w:rPr>
                <w:color w:val="000000"/>
                <w:sz w:val="16"/>
                <w:szCs w:val="16"/>
              </w:rPr>
              <w:t>Dirulaguntza, dohaintza eta legatuak</w:t>
            </w:r>
          </w:p>
        </w:tc>
        <w:tc>
          <w:tcPr>
            <w:tcW w:w="1214" w:type="pct"/>
            <w:tcBorders>
              <w:left w:val="single" w:sz="4" w:space="0" w:color="BFBFBF" w:themeColor="background1" w:themeShade="BF"/>
              <w:right w:val="single" w:sz="4" w:space="0" w:color="BFBFBF" w:themeColor="background1" w:themeShade="BF"/>
            </w:tcBorders>
            <w:noWrap/>
            <w:vAlign w:val="bottom"/>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1.732.559</w:t>
            </w:r>
          </w:p>
        </w:tc>
        <w:tc>
          <w:tcPr>
            <w:tcW w:w="994" w:type="pct"/>
            <w:tcBorders>
              <w:left w:val="single" w:sz="4" w:space="0" w:color="BFBFBF" w:themeColor="background1" w:themeShade="BF"/>
            </w:tcBorders>
            <w:vAlign w:val="bottom"/>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6,5</w:t>
            </w:r>
          </w:p>
        </w:tc>
      </w:tr>
      <w:tr w:rsidR="00195BE7" w:rsidRPr="001E2F6E" w:rsidTr="00195BE7">
        <w:trPr>
          <w:jc w:val="center"/>
        </w:trPr>
        <w:tc>
          <w:tcPr>
            <w:tcW w:w="2792" w:type="pct"/>
            <w:tcBorders>
              <w:right w:val="single" w:sz="4" w:space="0" w:color="BFBFBF" w:themeColor="background1" w:themeShade="BF"/>
            </w:tcBorders>
            <w:vAlign w:val="bottom"/>
            <w:hideMark/>
          </w:tcPr>
          <w:p w:rsidR="00195BE7" w:rsidRPr="001E2F6E" w:rsidRDefault="00195BE7" w:rsidP="00195BE7">
            <w:pPr>
              <w:spacing w:line="240" w:lineRule="exact"/>
              <w:rPr>
                <w:color w:val="000000"/>
                <w:sz w:val="16"/>
                <w:szCs w:val="16"/>
              </w:rPr>
            </w:pPr>
            <w:r w:rsidRPr="001E2F6E">
              <w:rPr>
                <w:color w:val="000000"/>
                <w:sz w:val="16"/>
                <w:szCs w:val="16"/>
              </w:rPr>
              <w:t>Beste ustiapen-sarrera batzuk</w:t>
            </w:r>
          </w:p>
        </w:tc>
        <w:tc>
          <w:tcPr>
            <w:tcW w:w="1214" w:type="pct"/>
            <w:tcBorders>
              <w:left w:val="single" w:sz="4" w:space="0" w:color="BFBFBF" w:themeColor="background1" w:themeShade="BF"/>
              <w:right w:val="single" w:sz="4" w:space="0" w:color="BFBFBF" w:themeColor="background1" w:themeShade="BF"/>
            </w:tcBorders>
            <w:noWrap/>
            <w:vAlign w:val="bottom"/>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1.253.861</w:t>
            </w:r>
          </w:p>
        </w:tc>
        <w:tc>
          <w:tcPr>
            <w:tcW w:w="994" w:type="pct"/>
            <w:tcBorders>
              <w:left w:val="single" w:sz="4" w:space="0" w:color="BFBFBF" w:themeColor="background1" w:themeShade="BF"/>
            </w:tcBorders>
            <w:vAlign w:val="bottom"/>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4,7</w:t>
            </w:r>
          </w:p>
        </w:tc>
      </w:tr>
      <w:tr w:rsidR="00195BE7" w:rsidRPr="001E2F6E" w:rsidTr="00195BE7">
        <w:trPr>
          <w:jc w:val="center"/>
        </w:trPr>
        <w:tc>
          <w:tcPr>
            <w:tcW w:w="2792" w:type="pct"/>
            <w:tcBorders>
              <w:bottom w:val="single" w:sz="4" w:space="0" w:color="BFBFBF" w:themeColor="background1" w:themeShade="BF"/>
              <w:right w:val="single" w:sz="4" w:space="0" w:color="BFBFBF" w:themeColor="background1" w:themeShade="BF"/>
            </w:tcBorders>
            <w:vAlign w:val="bottom"/>
            <w:hideMark/>
          </w:tcPr>
          <w:p w:rsidR="00195BE7" w:rsidRPr="001E2F6E" w:rsidRDefault="00195BE7" w:rsidP="00195BE7">
            <w:pPr>
              <w:spacing w:line="240" w:lineRule="exact"/>
              <w:rPr>
                <w:color w:val="000000"/>
                <w:sz w:val="16"/>
                <w:szCs w:val="16"/>
              </w:rPr>
            </w:pPr>
            <w:r w:rsidRPr="001E2F6E">
              <w:rPr>
                <w:color w:val="000000"/>
                <w:sz w:val="16"/>
                <w:szCs w:val="16"/>
              </w:rPr>
              <w:t>Finantza-sarrerak</w:t>
            </w:r>
          </w:p>
        </w:tc>
        <w:tc>
          <w:tcPr>
            <w:tcW w:w="1214" w:type="pct"/>
            <w:tcBorders>
              <w:left w:val="single" w:sz="4" w:space="0" w:color="BFBFBF" w:themeColor="background1" w:themeShade="BF"/>
              <w:bottom w:val="single" w:sz="4" w:space="0" w:color="BFBFBF" w:themeColor="background1" w:themeShade="BF"/>
              <w:right w:val="single" w:sz="4" w:space="0" w:color="BFBFBF" w:themeColor="background1" w:themeShade="BF"/>
            </w:tcBorders>
            <w:noWrap/>
            <w:vAlign w:val="bottom"/>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346.116</w:t>
            </w:r>
          </w:p>
        </w:tc>
        <w:tc>
          <w:tcPr>
            <w:tcW w:w="994" w:type="pct"/>
            <w:tcBorders>
              <w:left w:val="single" w:sz="4" w:space="0" w:color="BFBFBF" w:themeColor="background1" w:themeShade="BF"/>
              <w:bottom w:val="single" w:sz="4" w:space="0" w:color="BFBFBF" w:themeColor="background1" w:themeShade="BF"/>
            </w:tcBorders>
            <w:vAlign w:val="bottom"/>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1,3</w:t>
            </w:r>
          </w:p>
        </w:tc>
      </w:tr>
      <w:tr w:rsidR="00195BE7" w:rsidRPr="001E2F6E" w:rsidTr="00195BE7">
        <w:trPr>
          <w:jc w:val="center"/>
        </w:trPr>
        <w:tc>
          <w:tcPr>
            <w:tcW w:w="2792" w:type="pct"/>
            <w:tcBorders>
              <w:top w:val="single" w:sz="4" w:space="0" w:color="BFBFBF" w:themeColor="background1" w:themeShade="BF"/>
              <w:bottom w:val="single" w:sz="4" w:space="0" w:color="BFBFBF" w:themeColor="background1" w:themeShade="BF"/>
              <w:right w:val="single" w:sz="4" w:space="0" w:color="BFBFBF" w:themeColor="background1" w:themeShade="BF"/>
            </w:tcBorders>
            <w:hideMark/>
          </w:tcPr>
          <w:p w:rsidR="00195BE7" w:rsidRPr="001E2F6E" w:rsidRDefault="00195BE7" w:rsidP="00195BE7">
            <w:pPr>
              <w:spacing w:line="240" w:lineRule="exact"/>
              <w:rPr>
                <w:b/>
                <w:bCs/>
                <w:color w:val="000000"/>
                <w:sz w:val="16"/>
                <w:szCs w:val="16"/>
              </w:rPr>
            </w:pPr>
            <w:r w:rsidRPr="001E2F6E">
              <w:rPr>
                <w:b/>
                <w:bCs/>
                <w:color w:val="000000"/>
                <w:sz w:val="16"/>
                <w:szCs w:val="16"/>
              </w:rPr>
              <w:t>GUZTIRA</w:t>
            </w:r>
          </w:p>
        </w:tc>
        <w:tc>
          <w:tcPr>
            <w:tcW w:w="121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bottom"/>
            <w:hideMark/>
          </w:tcPr>
          <w:p w:rsidR="00195BE7" w:rsidRPr="001E2F6E" w:rsidRDefault="00195BE7" w:rsidP="00195BE7">
            <w:pPr>
              <w:spacing w:line="240" w:lineRule="exact"/>
              <w:ind w:right="170"/>
              <w:jc w:val="right"/>
              <w:rPr>
                <w:b/>
                <w:bCs/>
                <w:color w:val="000000"/>
                <w:sz w:val="16"/>
                <w:szCs w:val="16"/>
              </w:rPr>
            </w:pPr>
            <w:r w:rsidRPr="001E2F6E">
              <w:rPr>
                <w:b/>
                <w:bCs/>
                <w:color w:val="000000"/>
                <w:sz w:val="16"/>
                <w:szCs w:val="16"/>
              </w:rPr>
              <w:t>26.454.320</w:t>
            </w:r>
          </w:p>
        </w:tc>
        <w:tc>
          <w:tcPr>
            <w:tcW w:w="994" w:type="pct"/>
            <w:tcBorders>
              <w:top w:val="single" w:sz="4" w:space="0" w:color="BFBFBF" w:themeColor="background1" w:themeShade="BF"/>
              <w:left w:val="single" w:sz="4" w:space="0" w:color="BFBFBF" w:themeColor="background1" w:themeShade="BF"/>
              <w:bottom w:val="single" w:sz="4" w:space="0" w:color="BFBFBF" w:themeColor="background1" w:themeShade="BF"/>
            </w:tcBorders>
            <w:vAlign w:val="bottom"/>
            <w:hideMark/>
          </w:tcPr>
          <w:p w:rsidR="00195BE7" w:rsidRPr="001E2F6E" w:rsidRDefault="00195BE7" w:rsidP="00195BE7">
            <w:pPr>
              <w:spacing w:line="240" w:lineRule="exact"/>
              <w:ind w:right="170"/>
              <w:jc w:val="right"/>
              <w:rPr>
                <w:b/>
                <w:bCs/>
                <w:color w:val="000000"/>
                <w:sz w:val="16"/>
                <w:szCs w:val="16"/>
              </w:rPr>
            </w:pPr>
            <w:r w:rsidRPr="001E2F6E">
              <w:rPr>
                <w:b/>
                <w:bCs/>
                <w:color w:val="000000"/>
                <w:sz w:val="16"/>
                <w:szCs w:val="16"/>
              </w:rPr>
              <w:t>100,0</w:t>
            </w:r>
          </w:p>
        </w:tc>
      </w:tr>
    </w:tbl>
    <w:p w:rsidR="00195BE7" w:rsidRPr="001E2F6E" w:rsidRDefault="00195BE7" w:rsidP="00195BE7">
      <w:pPr>
        <w:pStyle w:val="Ttulo6"/>
        <w:keepNext w:val="0"/>
        <w:widowControl w:val="0"/>
        <w:jc w:val="center"/>
        <w:rPr>
          <w:rFonts w:ascii="Arial" w:hAnsi="Arial" w:cs="Arial"/>
          <w:b w:val="0"/>
          <w:i/>
          <w:sz w:val="16"/>
        </w:rPr>
      </w:pPr>
      <w:r w:rsidRPr="001E2F6E">
        <w:rPr>
          <w:rFonts w:ascii="Arial" w:hAnsi="Arial" w:cs="Arial"/>
          <w:b w:val="0"/>
          <w:i/>
          <w:sz w:val="16"/>
        </w:rPr>
        <w:t>Iturria: Eusko Jaurlaritzako Arrantza eta Akuikultura Zuzendaritzako datuak oinarri harturik egina</w:t>
      </w:r>
    </w:p>
    <w:p w:rsidR="00195BE7" w:rsidRPr="001E2F6E" w:rsidRDefault="00195BE7" w:rsidP="00195BE7">
      <w:pPr>
        <w:spacing w:after="200" w:line="276" w:lineRule="auto"/>
        <w:jc w:val="left"/>
        <w:rPr>
          <w:lang w:val="es-ES_tradnl"/>
        </w:rPr>
      </w:pPr>
      <w:r w:rsidRPr="001E2F6E">
        <w:rPr>
          <w:lang w:val="es-ES_tradnl"/>
        </w:rPr>
        <w:br w:type="page"/>
      </w:r>
    </w:p>
    <w:p w:rsidR="00195BE7" w:rsidRPr="001E2F6E" w:rsidRDefault="00195BE7" w:rsidP="00195BE7">
      <w:pPr>
        <w:rPr>
          <w:lang w:val="es-ES_tradnl"/>
        </w:rPr>
      </w:pPr>
    </w:p>
    <w:p w:rsidR="00195BE7" w:rsidRPr="001E2F6E" w:rsidRDefault="00195BE7" w:rsidP="00195BE7">
      <w:pPr>
        <w:pStyle w:val="Ttulo1"/>
        <w:ind w:left="708" w:hanging="708"/>
        <w:rPr>
          <w:color w:val="1F497D" w:themeColor="text2"/>
          <w:sz w:val="22"/>
          <w:szCs w:val="22"/>
        </w:rPr>
      </w:pPr>
      <w:bookmarkStart w:id="432" w:name="_Toc391565554"/>
      <w:bookmarkStart w:id="433" w:name="_Toc391989065"/>
      <w:bookmarkStart w:id="434" w:name="_Toc392585728"/>
      <w:r w:rsidRPr="001E2F6E">
        <w:rPr>
          <w:color w:val="1F497D" w:themeColor="text2"/>
          <w:sz w:val="22"/>
          <w:szCs w:val="22"/>
        </w:rPr>
        <w:t xml:space="preserve">5.3.2.- </w:t>
      </w:r>
      <w:r w:rsidRPr="001E2F6E">
        <w:rPr>
          <w:color w:val="1F497D" w:themeColor="text2"/>
          <w:sz w:val="22"/>
          <w:szCs w:val="22"/>
        </w:rPr>
        <w:tab/>
      </w:r>
      <w:bookmarkEnd w:id="432"/>
      <w:r w:rsidRPr="001E2F6E">
        <w:rPr>
          <w:color w:val="1F497D" w:themeColor="text2"/>
          <w:sz w:val="22"/>
          <w:szCs w:val="22"/>
        </w:rPr>
        <w:t>Arrantzale-Kofradien BEGd-a</w:t>
      </w:r>
      <w:bookmarkEnd w:id="433"/>
      <w:bookmarkEnd w:id="434"/>
    </w:p>
    <w:p w:rsidR="00195BE7" w:rsidRPr="001E2F6E" w:rsidRDefault="00195BE7" w:rsidP="00195BE7"/>
    <w:p w:rsidR="00195BE7" w:rsidRPr="001E2F6E" w:rsidRDefault="00195BE7" w:rsidP="00195BE7"/>
    <w:p w:rsidR="00195BE7" w:rsidRPr="001E2F6E" w:rsidRDefault="00195BE7" w:rsidP="00195BE7">
      <w:pPr>
        <w:spacing w:line="240" w:lineRule="auto"/>
        <w:jc w:val="center"/>
        <w:rPr>
          <w:b/>
          <w:color w:val="1F497D" w:themeColor="text2"/>
          <w:sz w:val="18"/>
          <w:szCs w:val="18"/>
        </w:rPr>
      </w:pPr>
      <w:bookmarkStart w:id="435" w:name="_Toc391989185"/>
      <w:bookmarkStart w:id="436" w:name="_Toc392585865"/>
      <w:r w:rsidRPr="001E2F6E">
        <w:rPr>
          <w:b/>
          <w:bCs/>
          <w:color w:val="1F497D" w:themeColor="text2"/>
          <w:sz w:val="18"/>
          <w:szCs w:val="18"/>
        </w:rPr>
        <w:t>4.</w:t>
      </w:r>
      <w:r w:rsidR="00EB6BA6" w:rsidRPr="001E2F6E">
        <w:rPr>
          <w:b/>
          <w:bCs/>
          <w:color w:val="1F497D" w:themeColor="text2"/>
          <w:sz w:val="18"/>
          <w:szCs w:val="18"/>
        </w:rPr>
        <w:fldChar w:fldCharType="begin"/>
      </w:r>
      <w:r w:rsidRPr="001E2F6E">
        <w:rPr>
          <w:b/>
          <w:bCs/>
          <w:color w:val="1F497D" w:themeColor="text2"/>
          <w:sz w:val="18"/>
          <w:szCs w:val="18"/>
        </w:rPr>
        <w:instrText xml:space="preserve"> SEQ Cuadro_4. \* ARABIC </w:instrText>
      </w:r>
      <w:r w:rsidR="00EB6BA6" w:rsidRPr="001E2F6E">
        <w:rPr>
          <w:b/>
          <w:bCs/>
          <w:color w:val="1F497D" w:themeColor="text2"/>
          <w:sz w:val="18"/>
          <w:szCs w:val="18"/>
        </w:rPr>
        <w:fldChar w:fldCharType="separate"/>
      </w:r>
      <w:r w:rsidR="00A327D4">
        <w:rPr>
          <w:b/>
          <w:bCs/>
          <w:noProof/>
          <w:color w:val="1F497D" w:themeColor="text2"/>
          <w:sz w:val="18"/>
          <w:szCs w:val="18"/>
        </w:rPr>
        <w:t>12</w:t>
      </w:r>
      <w:r w:rsidR="00EB6BA6" w:rsidRPr="001E2F6E">
        <w:rPr>
          <w:b/>
          <w:bCs/>
          <w:color w:val="1F497D" w:themeColor="text2"/>
          <w:sz w:val="18"/>
          <w:szCs w:val="18"/>
        </w:rPr>
        <w:fldChar w:fldCharType="end"/>
      </w:r>
      <w:r w:rsidRPr="001E2F6E">
        <w:rPr>
          <w:b/>
          <w:bCs/>
          <w:color w:val="1F497D" w:themeColor="text2"/>
          <w:sz w:val="18"/>
          <w:szCs w:val="18"/>
        </w:rPr>
        <w:t xml:space="preserve"> Taula BEGd-ren BANAKETA ARRANTZALE KOFRADIAK </w:t>
      </w:r>
      <w:r w:rsidRPr="001E2F6E">
        <w:rPr>
          <w:b/>
          <w:color w:val="1F497D" w:themeColor="text2"/>
          <w:sz w:val="18"/>
          <w:szCs w:val="18"/>
        </w:rPr>
        <w:t>2012 (zifra absolutuak eta % bertikalak)</w:t>
      </w:r>
      <w:bookmarkEnd w:id="435"/>
      <w:bookmarkEnd w:id="436"/>
    </w:p>
    <w:tbl>
      <w:tblPr>
        <w:tblW w:w="5000" w:type="pct"/>
        <w:jc w:val="center"/>
        <w:tblLook w:val="04A0" w:firstRow="1" w:lastRow="0" w:firstColumn="1" w:lastColumn="0" w:noHBand="0" w:noVBand="1"/>
      </w:tblPr>
      <w:tblGrid>
        <w:gridCol w:w="4894"/>
        <w:gridCol w:w="2217"/>
        <w:gridCol w:w="1893"/>
      </w:tblGrid>
      <w:tr w:rsidR="00195BE7" w:rsidRPr="001E2F6E" w:rsidTr="00195BE7">
        <w:trPr>
          <w:jc w:val="center"/>
        </w:trPr>
        <w:tc>
          <w:tcPr>
            <w:tcW w:w="2718" w:type="pct"/>
            <w:tcBorders>
              <w:top w:val="single" w:sz="4" w:space="0" w:color="BFBFBF" w:themeColor="background1" w:themeShade="BF"/>
              <w:right w:val="single" w:sz="4" w:space="0" w:color="BFBFBF" w:themeColor="background1" w:themeShade="BF"/>
            </w:tcBorders>
            <w:shd w:val="clear" w:color="auto" w:fill="DBE5F1" w:themeFill="accent1" w:themeFillTint="33"/>
            <w:vAlign w:val="bottom"/>
            <w:hideMark/>
          </w:tcPr>
          <w:p w:rsidR="00195BE7" w:rsidRPr="001E2F6E" w:rsidRDefault="00195BE7" w:rsidP="00195BE7">
            <w:pPr>
              <w:spacing w:line="240" w:lineRule="exact"/>
              <w:rPr>
                <w:b/>
                <w:bCs/>
                <w:sz w:val="16"/>
                <w:szCs w:val="16"/>
              </w:rPr>
            </w:pPr>
          </w:p>
        </w:tc>
        <w:tc>
          <w:tcPr>
            <w:tcW w:w="2282" w:type="pct"/>
            <w:gridSpan w:val="2"/>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vAlign w:val="bottom"/>
            <w:hideMark/>
          </w:tcPr>
          <w:p w:rsidR="00195BE7" w:rsidRPr="001E2F6E" w:rsidRDefault="00195BE7" w:rsidP="00195BE7">
            <w:pPr>
              <w:spacing w:line="240" w:lineRule="exact"/>
              <w:jc w:val="center"/>
              <w:rPr>
                <w:b/>
                <w:bCs/>
                <w:sz w:val="16"/>
                <w:szCs w:val="16"/>
              </w:rPr>
            </w:pPr>
            <w:r w:rsidRPr="001E2F6E">
              <w:rPr>
                <w:b/>
                <w:bCs/>
                <w:sz w:val="16"/>
                <w:szCs w:val="16"/>
              </w:rPr>
              <w:t>Arrantzale-Kofradiak</w:t>
            </w:r>
          </w:p>
        </w:tc>
      </w:tr>
      <w:tr w:rsidR="00195BE7" w:rsidRPr="001E2F6E" w:rsidTr="00195BE7">
        <w:trPr>
          <w:jc w:val="center"/>
        </w:trPr>
        <w:tc>
          <w:tcPr>
            <w:tcW w:w="2718" w:type="pct"/>
            <w:tcBorders>
              <w:bottom w:val="single" w:sz="4" w:space="0" w:color="BFBFBF" w:themeColor="background1" w:themeShade="BF"/>
              <w:right w:val="single" w:sz="4" w:space="0" w:color="BFBFBF" w:themeColor="background1" w:themeShade="BF"/>
            </w:tcBorders>
            <w:shd w:val="clear" w:color="auto" w:fill="DBE5F1" w:themeFill="accent1" w:themeFillTint="33"/>
            <w:vAlign w:val="bottom"/>
            <w:hideMark/>
          </w:tcPr>
          <w:p w:rsidR="00195BE7" w:rsidRPr="001E2F6E" w:rsidRDefault="00195BE7" w:rsidP="00195BE7">
            <w:pPr>
              <w:spacing w:line="240" w:lineRule="exact"/>
              <w:rPr>
                <w:b/>
                <w:bCs/>
                <w:sz w:val="16"/>
                <w:szCs w:val="16"/>
              </w:rPr>
            </w:pPr>
          </w:p>
        </w:tc>
        <w:tc>
          <w:tcPr>
            <w:tcW w:w="123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hideMark/>
          </w:tcPr>
          <w:p w:rsidR="00195BE7" w:rsidRPr="001E2F6E" w:rsidRDefault="00195BE7" w:rsidP="00195BE7">
            <w:pPr>
              <w:spacing w:line="240" w:lineRule="exact"/>
              <w:jc w:val="center"/>
              <w:rPr>
                <w:b/>
                <w:bCs/>
                <w:sz w:val="16"/>
                <w:szCs w:val="16"/>
              </w:rPr>
            </w:pPr>
            <w:r w:rsidRPr="001E2F6E">
              <w:rPr>
                <w:b/>
                <w:bCs/>
                <w:sz w:val="16"/>
                <w:szCs w:val="16"/>
              </w:rPr>
              <w:t>Euroak</w:t>
            </w:r>
          </w:p>
        </w:tc>
        <w:tc>
          <w:tcPr>
            <w:tcW w:w="1051"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hideMark/>
          </w:tcPr>
          <w:p w:rsidR="00195BE7" w:rsidRPr="001E2F6E" w:rsidRDefault="00195BE7" w:rsidP="00195BE7">
            <w:pPr>
              <w:spacing w:line="240" w:lineRule="exact"/>
              <w:jc w:val="center"/>
              <w:rPr>
                <w:b/>
                <w:bCs/>
                <w:sz w:val="16"/>
                <w:szCs w:val="16"/>
              </w:rPr>
            </w:pPr>
            <w:r w:rsidRPr="001E2F6E">
              <w:rPr>
                <w:b/>
                <w:bCs/>
                <w:sz w:val="16"/>
                <w:szCs w:val="16"/>
              </w:rPr>
              <w:t>%ber.</w:t>
            </w:r>
          </w:p>
        </w:tc>
      </w:tr>
      <w:tr w:rsidR="00195BE7" w:rsidRPr="001E2F6E" w:rsidTr="00195BE7">
        <w:trPr>
          <w:jc w:val="center"/>
        </w:trPr>
        <w:tc>
          <w:tcPr>
            <w:tcW w:w="2718" w:type="pct"/>
            <w:tcBorders>
              <w:top w:val="single" w:sz="4" w:space="0" w:color="BFBFBF" w:themeColor="background1" w:themeShade="BF"/>
              <w:right w:val="single" w:sz="4" w:space="0" w:color="BFBFBF" w:themeColor="background1" w:themeShade="BF"/>
            </w:tcBorders>
            <w:vAlign w:val="bottom"/>
            <w:hideMark/>
          </w:tcPr>
          <w:p w:rsidR="00195BE7" w:rsidRPr="001E2F6E" w:rsidRDefault="00195BE7" w:rsidP="00195BE7">
            <w:pPr>
              <w:spacing w:line="240" w:lineRule="exact"/>
              <w:rPr>
                <w:color w:val="000000"/>
                <w:sz w:val="16"/>
                <w:szCs w:val="16"/>
              </w:rPr>
            </w:pPr>
            <w:r w:rsidRPr="001E2F6E">
              <w:rPr>
                <w:color w:val="000000"/>
                <w:sz w:val="16"/>
                <w:szCs w:val="16"/>
              </w:rPr>
              <w:t>Zerga aurreko mozkinak (ZAM)</w:t>
            </w:r>
          </w:p>
        </w:tc>
        <w:tc>
          <w:tcPr>
            <w:tcW w:w="1231" w:type="pct"/>
            <w:tcBorders>
              <w:top w:val="single" w:sz="4" w:space="0" w:color="BFBFBF" w:themeColor="background1" w:themeShade="BF"/>
              <w:left w:val="single" w:sz="4" w:space="0" w:color="BFBFBF" w:themeColor="background1" w:themeShade="BF"/>
              <w:right w:val="single" w:sz="4" w:space="0" w:color="BFBFBF" w:themeColor="background1" w:themeShade="BF"/>
            </w:tcBorders>
            <w:noWrap/>
            <w:vAlign w:val="bottom"/>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887.542</w:t>
            </w:r>
          </w:p>
        </w:tc>
        <w:tc>
          <w:tcPr>
            <w:tcW w:w="1051" w:type="pct"/>
            <w:tcBorders>
              <w:top w:val="single" w:sz="4" w:space="0" w:color="BFBFBF" w:themeColor="background1" w:themeShade="BF"/>
              <w:left w:val="single" w:sz="4" w:space="0" w:color="BFBFBF" w:themeColor="background1" w:themeShade="BF"/>
            </w:tcBorders>
            <w:vAlign w:val="bottom"/>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22,1</w:t>
            </w:r>
          </w:p>
        </w:tc>
      </w:tr>
      <w:tr w:rsidR="00195BE7" w:rsidRPr="001E2F6E" w:rsidTr="00195BE7">
        <w:trPr>
          <w:jc w:val="center"/>
        </w:trPr>
        <w:tc>
          <w:tcPr>
            <w:tcW w:w="2718" w:type="pct"/>
            <w:tcBorders>
              <w:bottom w:val="single" w:sz="4" w:space="0" w:color="BFBFBF" w:themeColor="background1" w:themeShade="BF"/>
              <w:right w:val="single" w:sz="4" w:space="0" w:color="BFBFBF" w:themeColor="background1" w:themeShade="BF"/>
            </w:tcBorders>
            <w:noWrap/>
            <w:vAlign w:val="bottom"/>
            <w:hideMark/>
          </w:tcPr>
          <w:p w:rsidR="00195BE7" w:rsidRPr="001E2F6E" w:rsidRDefault="00195BE7" w:rsidP="00195BE7">
            <w:pPr>
              <w:spacing w:line="240" w:lineRule="exact"/>
              <w:rPr>
                <w:color w:val="000000"/>
                <w:sz w:val="16"/>
                <w:szCs w:val="16"/>
              </w:rPr>
            </w:pPr>
            <w:r w:rsidRPr="001E2F6E">
              <w:rPr>
                <w:color w:val="000000"/>
                <w:sz w:val="16"/>
                <w:szCs w:val="16"/>
              </w:rPr>
              <w:t>Langileen Gastuak</w:t>
            </w:r>
          </w:p>
        </w:tc>
        <w:tc>
          <w:tcPr>
            <w:tcW w:w="1231" w:type="pct"/>
            <w:tcBorders>
              <w:left w:val="single" w:sz="4" w:space="0" w:color="BFBFBF" w:themeColor="background1" w:themeShade="BF"/>
              <w:bottom w:val="single" w:sz="4" w:space="0" w:color="BFBFBF" w:themeColor="background1" w:themeShade="BF"/>
              <w:right w:val="single" w:sz="4" w:space="0" w:color="BFBFBF" w:themeColor="background1" w:themeShade="BF"/>
            </w:tcBorders>
            <w:noWrap/>
            <w:vAlign w:val="bottom"/>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3.122.038</w:t>
            </w:r>
          </w:p>
        </w:tc>
        <w:tc>
          <w:tcPr>
            <w:tcW w:w="1051" w:type="pct"/>
            <w:tcBorders>
              <w:left w:val="single" w:sz="4" w:space="0" w:color="BFBFBF" w:themeColor="background1" w:themeShade="BF"/>
              <w:bottom w:val="single" w:sz="4" w:space="0" w:color="BFBFBF" w:themeColor="background1" w:themeShade="BF"/>
            </w:tcBorders>
            <w:vAlign w:val="bottom"/>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77,9</w:t>
            </w:r>
          </w:p>
        </w:tc>
      </w:tr>
      <w:tr w:rsidR="00195BE7" w:rsidRPr="001E2F6E" w:rsidTr="00195BE7">
        <w:trPr>
          <w:jc w:val="center"/>
        </w:trPr>
        <w:tc>
          <w:tcPr>
            <w:tcW w:w="2718" w:type="pct"/>
            <w:tcBorders>
              <w:top w:val="single" w:sz="4" w:space="0" w:color="BFBFBF" w:themeColor="background1" w:themeShade="BF"/>
              <w:bottom w:val="single" w:sz="4" w:space="0" w:color="BFBFBF" w:themeColor="background1" w:themeShade="BF"/>
              <w:right w:val="single" w:sz="4" w:space="0" w:color="BFBFBF" w:themeColor="background1" w:themeShade="BF"/>
            </w:tcBorders>
            <w:hideMark/>
          </w:tcPr>
          <w:p w:rsidR="00195BE7" w:rsidRPr="001E2F6E" w:rsidRDefault="00195BE7" w:rsidP="00195BE7">
            <w:pPr>
              <w:spacing w:line="240" w:lineRule="exact"/>
              <w:rPr>
                <w:b/>
                <w:bCs/>
                <w:color w:val="000000"/>
                <w:sz w:val="16"/>
                <w:szCs w:val="16"/>
              </w:rPr>
            </w:pPr>
            <w:r w:rsidRPr="001E2F6E">
              <w:rPr>
                <w:b/>
                <w:bCs/>
                <w:color w:val="000000"/>
                <w:sz w:val="16"/>
                <w:szCs w:val="16"/>
              </w:rPr>
              <w:t>BEGd</w:t>
            </w:r>
          </w:p>
        </w:tc>
        <w:tc>
          <w:tcPr>
            <w:tcW w:w="123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bottom"/>
            <w:hideMark/>
          </w:tcPr>
          <w:p w:rsidR="00195BE7" w:rsidRPr="001E2F6E" w:rsidRDefault="00195BE7" w:rsidP="00195BE7">
            <w:pPr>
              <w:spacing w:line="240" w:lineRule="exact"/>
              <w:ind w:right="170"/>
              <w:jc w:val="right"/>
              <w:rPr>
                <w:b/>
                <w:bCs/>
                <w:color w:val="000000"/>
                <w:sz w:val="16"/>
                <w:szCs w:val="16"/>
              </w:rPr>
            </w:pPr>
            <w:r w:rsidRPr="001E2F6E">
              <w:rPr>
                <w:b/>
                <w:bCs/>
                <w:color w:val="000000"/>
                <w:sz w:val="16"/>
                <w:szCs w:val="16"/>
              </w:rPr>
              <w:t>4.009.580</w:t>
            </w:r>
          </w:p>
        </w:tc>
        <w:tc>
          <w:tcPr>
            <w:tcW w:w="1051" w:type="pct"/>
            <w:tcBorders>
              <w:top w:val="single" w:sz="4" w:space="0" w:color="BFBFBF" w:themeColor="background1" w:themeShade="BF"/>
              <w:left w:val="single" w:sz="4" w:space="0" w:color="BFBFBF" w:themeColor="background1" w:themeShade="BF"/>
              <w:bottom w:val="single" w:sz="4" w:space="0" w:color="BFBFBF" w:themeColor="background1" w:themeShade="BF"/>
            </w:tcBorders>
            <w:vAlign w:val="bottom"/>
            <w:hideMark/>
          </w:tcPr>
          <w:p w:rsidR="00195BE7" w:rsidRPr="001E2F6E" w:rsidRDefault="00195BE7" w:rsidP="00195BE7">
            <w:pPr>
              <w:spacing w:line="240" w:lineRule="exact"/>
              <w:ind w:right="170"/>
              <w:jc w:val="right"/>
              <w:rPr>
                <w:b/>
                <w:bCs/>
                <w:color w:val="000000"/>
                <w:sz w:val="16"/>
                <w:szCs w:val="16"/>
              </w:rPr>
            </w:pPr>
            <w:r w:rsidRPr="001E2F6E">
              <w:rPr>
                <w:b/>
                <w:bCs/>
                <w:color w:val="000000"/>
                <w:sz w:val="16"/>
                <w:szCs w:val="16"/>
              </w:rPr>
              <w:t>100,0</w:t>
            </w:r>
          </w:p>
        </w:tc>
      </w:tr>
    </w:tbl>
    <w:p w:rsidR="00195BE7" w:rsidRPr="001E2F6E" w:rsidRDefault="00195BE7" w:rsidP="00195BE7">
      <w:pPr>
        <w:pStyle w:val="Ttulo6"/>
        <w:keepNext w:val="0"/>
        <w:widowControl w:val="0"/>
        <w:jc w:val="center"/>
        <w:rPr>
          <w:rFonts w:ascii="Arial" w:hAnsi="Arial" w:cs="Arial"/>
          <w:b w:val="0"/>
          <w:i/>
          <w:sz w:val="16"/>
        </w:rPr>
      </w:pPr>
      <w:r w:rsidRPr="001E2F6E">
        <w:rPr>
          <w:rFonts w:ascii="Arial" w:hAnsi="Arial" w:cs="Arial"/>
          <w:b w:val="0"/>
          <w:i/>
          <w:sz w:val="16"/>
        </w:rPr>
        <w:t>Iturria: Eusko Jaurlaritzako Arrantza eta Akuikultura Zuzendaritzako datuak oinarri harturik egina</w:t>
      </w:r>
    </w:p>
    <w:p w:rsidR="00195BE7" w:rsidRPr="001E2F6E" w:rsidRDefault="00195BE7" w:rsidP="00195BE7">
      <w:pPr>
        <w:pStyle w:val="Ttulo6"/>
        <w:keepNext w:val="0"/>
        <w:widowControl w:val="0"/>
        <w:jc w:val="center"/>
        <w:rPr>
          <w:rFonts w:ascii="Arial" w:hAnsi="Arial" w:cs="Arial"/>
          <w:b w:val="0"/>
          <w:i/>
          <w:sz w:val="16"/>
        </w:rPr>
      </w:pPr>
    </w:p>
    <w:p w:rsidR="00195BE7" w:rsidRPr="001E2F6E" w:rsidRDefault="00195BE7" w:rsidP="00195BE7">
      <w:pPr>
        <w:rPr>
          <w:b/>
          <w:color w:val="000080"/>
          <w:sz w:val="24"/>
          <w:szCs w:val="24"/>
          <w:lang w:val="es-ES_tradnl"/>
        </w:rPr>
      </w:pPr>
    </w:p>
    <w:p w:rsidR="00195BE7" w:rsidRPr="001E2F6E" w:rsidRDefault="00195BE7" w:rsidP="00195BE7">
      <w:pPr>
        <w:jc w:val="left"/>
        <w:rPr>
          <w:b/>
          <w:color w:val="1F497D" w:themeColor="text2"/>
          <w:sz w:val="24"/>
          <w:szCs w:val="24"/>
        </w:rPr>
      </w:pPr>
      <w:r w:rsidRPr="001E2F6E">
        <w:rPr>
          <w:b/>
          <w:color w:val="1F497D" w:themeColor="text2"/>
          <w:sz w:val="24"/>
          <w:szCs w:val="24"/>
        </w:rPr>
        <w:br w:type="page"/>
      </w:r>
    </w:p>
    <w:p w:rsidR="00195BE7" w:rsidRPr="001E2F6E" w:rsidRDefault="00195BE7" w:rsidP="00195BE7">
      <w:pPr>
        <w:pStyle w:val="Ttulo1"/>
        <w:ind w:left="708" w:hanging="708"/>
        <w:rPr>
          <w:color w:val="1F497D" w:themeColor="text2"/>
          <w:sz w:val="26"/>
          <w:szCs w:val="26"/>
        </w:rPr>
      </w:pPr>
      <w:bookmarkStart w:id="437" w:name="_Toc391989066"/>
      <w:bookmarkStart w:id="438" w:name="_Toc392585729"/>
      <w:r w:rsidRPr="001E2F6E">
        <w:rPr>
          <w:color w:val="1F497D" w:themeColor="text2"/>
          <w:sz w:val="26"/>
          <w:szCs w:val="26"/>
        </w:rPr>
        <w:lastRenderedPageBreak/>
        <w:t xml:space="preserve">6.- </w:t>
      </w:r>
      <w:r w:rsidRPr="001E2F6E">
        <w:rPr>
          <w:color w:val="1F497D" w:themeColor="text2"/>
          <w:sz w:val="26"/>
          <w:szCs w:val="26"/>
        </w:rPr>
        <w:tab/>
        <w:t>ERALDAKETARAKO NEKAZARITZA-SOZIETATEAK (ENSak)</w:t>
      </w:r>
      <w:bookmarkEnd w:id="437"/>
      <w:bookmarkEnd w:id="438"/>
    </w:p>
    <w:p w:rsidR="00195BE7" w:rsidRPr="001E2F6E" w:rsidRDefault="00195BE7" w:rsidP="00195BE7">
      <w:pPr>
        <w:rPr>
          <w:b/>
          <w:color w:val="1F497D" w:themeColor="text2"/>
          <w:sz w:val="24"/>
          <w:szCs w:val="24"/>
        </w:rPr>
      </w:pPr>
    </w:p>
    <w:p w:rsidR="00195BE7" w:rsidRPr="001E2F6E" w:rsidRDefault="00195BE7" w:rsidP="00195BE7">
      <w:pPr>
        <w:pStyle w:val="Ttulo1"/>
        <w:ind w:left="708" w:hanging="708"/>
        <w:rPr>
          <w:color w:val="1F497D" w:themeColor="text2"/>
          <w:sz w:val="22"/>
          <w:szCs w:val="22"/>
        </w:rPr>
      </w:pPr>
      <w:bookmarkStart w:id="439" w:name="_Toc391989067"/>
      <w:bookmarkStart w:id="440" w:name="_Toc392585730"/>
      <w:r w:rsidRPr="001E2F6E">
        <w:rPr>
          <w:color w:val="1F497D" w:themeColor="text2"/>
          <w:sz w:val="22"/>
          <w:szCs w:val="22"/>
        </w:rPr>
        <w:t xml:space="preserve">6.1.- </w:t>
      </w:r>
      <w:r w:rsidRPr="001E2F6E">
        <w:rPr>
          <w:color w:val="1F497D" w:themeColor="text2"/>
          <w:sz w:val="22"/>
          <w:szCs w:val="22"/>
        </w:rPr>
        <w:tab/>
        <w:t>ERAGILEEN KUANTIFIKAZIOA: ERALDAKETARAKO NEKAZARITZA-SOZIETATEAK</w:t>
      </w:r>
      <w:bookmarkEnd w:id="439"/>
      <w:bookmarkEnd w:id="440"/>
    </w:p>
    <w:p w:rsidR="00195BE7" w:rsidRPr="001E2F6E" w:rsidRDefault="00195BE7" w:rsidP="00195BE7"/>
    <w:p w:rsidR="00195BE7" w:rsidRPr="001E2F6E" w:rsidRDefault="00195BE7" w:rsidP="00195BE7">
      <w:pPr>
        <w:rPr>
          <w:lang w:val="eu-ES"/>
        </w:rPr>
      </w:pPr>
      <w:r w:rsidRPr="001E2F6E">
        <w:rPr>
          <w:lang w:val="eu-ES"/>
        </w:rPr>
        <w:t xml:space="preserve">Eraldaketarako Nekazaritza-Sozietateak </w:t>
      </w:r>
      <w:r w:rsidRPr="00FC24CA">
        <w:rPr>
          <w:rFonts w:eastAsiaTheme="minorHAnsi"/>
          <w:b/>
          <w:color w:val="1F497D" w:themeColor="text2"/>
          <w:szCs w:val="22"/>
        </w:rPr>
        <w:t>97 erakunde</w:t>
      </w:r>
      <w:r w:rsidRPr="001E2F6E">
        <w:rPr>
          <w:lang w:val="eu-ES"/>
        </w:rPr>
        <w:t xml:space="preserve"> dira guztira.</w:t>
      </w:r>
    </w:p>
    <w:p w:rsidR="00195BE7" w:rsidRPr="001E2F6E" w:rsidRDefault="00195BE7" w:rsidP="00195BE7"/>
    <w:p w:rsidR="00195BE7" w:rsidRPr="001E2F6E" w:rsidRDefault="00195BE7" w:rsidP="00195BE7"/>
    <w:p w:rsidR="00195BE7" w:rsidRPr="001E2F6E" w:rsidRDefault="00195BE7" w:rsidP="00195BE7">
      <w:pPr>
        <w:pStyle w:val="Ttulo1"/>
        <w:ind w:left="708" w:hanging="708"/>
        <w:rPr>
          <w:color w:val="1F497D" w:themeColor="text2"/>
          <w:sz w:val="22"/>
          <w:szCs w:val="22"/>
        </w:rPr>
      </w:pPr>
      <w:bookmarkStart w:id="441" w:name="_Toc391989068"/>
      <w:bookmarkStart w:id="442" w:name="_Toc392585731"/>
      <w:r w:rsidRPr="001E2F6E">
        <w:rPr>
          <w:color w:val="1F497D" w:themeColor="text2"/>
          <w:sz w:val="22"/>
          <w:szCs w:val="22"/>
        </w:rPr>
        <w:t xml:space="preserve">6.2.- </w:t>
      </w:r>
      <w:r w:rsidRPr="001E2F6E">
        <w:rPr>
          <w:color w:val="1F497D" w:themeColor="text2"/>
          <w:sz w:val="22"/>
          <w:szCs w:val="22"/>
        </w:rPr>
        <w:tab/>
        <w:t>ENPLEGUA ENSetan</w:t>
      </w:r>
      <w:bookmarkEnd w:id="441"/>
      <w:bookmarkEnd w:id="442"/>
    </w:p>
    <w:p w:rsidR="00195BE7" w:rsidRPr="001E2F6E" w:rsidRDefault="00195BE7" w:rsidP="00195BE7"/>
    <w:p w:rsidR="00195BE7" w:rsidRPr="001E2F6E" w:rsidRDefault="00195BE7" w:rsidP="00195BE7">
      <w:pPr>
        <w:rPr>
          <w:lang w:val="eu-ES"/>
        </w:rPr>
      </w:pPr>
      <w:r w:rsidRPr="00FC24CA">
        <w:rPr>
          <w:rFonts w:eastAsiaTheme="minorHAnsi"/>
          <w:b/>
          <w:color w:val="1F497D" w:themeColor="text2"/>
          <w:szCs w:val="22"/>
        </w:rPr>
        <w:t>248 enplegu</w:t>
      </w:r>
      <w:r w:rsidRPr="001E2F6E">
        <w:rPr>
          <w:b/>
          <w:color w:val="000080"/>
          <w:lang w:val="eu-ES"/>
        </w:rPr>
        <w:t xml:space="preserve"> </w:t>
      </w:r>
      <w:r w:rsidRPr="00FC24CA">
        <w:t>zenbatesten dira</w:t>
      </w:r>
      <w:r w:rsidRPr="001E2F6E">
        <w:rPr>
          <w:lang w:val="eu-ES"/>
        </w:rPr>
        <w:t xml:space="preserve"> </w:t>
      </w:r>
    </w:p>
    <w:p w:rsidR="00195BE7" w:rsidRPr="001E2F6E" w:rsidRDefault="00195BE7" w:rsidP="00195BE7"/>
    <w:p w:rsidR="00195BE7" w:rsidRPr="001E2F6E" w:rsidRDefault="00195BE7" w:rsidP="00195BE7">
      <w:pPr>
        <w:pStyle w:val="Ttulo1"/>
        <w:ind w:left="708" w:hanging="708"/>
        <w:rPr>
          <w:color w:val="1F497D" w:themeColor="text2"/>
          <w:sz w:val="22"/>
          <w:szCs w:val="22"/>
        </w:rPr>
      </w:pPr>
      <w:bookmarkStart w:id="443" w:name="_Toc391989069"/>
      <w:bookmarkStart w:id="444" w:name="_Toc392585732"/>
      <w:r w:rsidRPr="001E2F6E">
        <w:rPr>
          <w:color w:val="1F497D" w:themeColor="text2"/>
          <w:sz w:val="22"/>
          <w:szCs w:val="22"/>
        </w:rPr>
        <w:t xml:space="preserve">6.3.- </w:t>
      </w:r>
      <w:r w:rsidRPr="001E2F6E">
        <w:rPr>
          <w:color w:val="1F497D" w:themeColor="text2"/>
          <w:sz w:val="22"/>
          <w:szCs w:val="22"/>
        </w:rPr>
        <w:tab/>
        <w:t>MAGNITUDE EKONOMIKO NAGUSIAK: ENSak</w:t>
      </w:r>
      <w:bookmarkEnd w:id="443"/>
      <w:bookmarkEnd w:id="444"/>
    </w:p>
    <w:p w:rsidR="00195BE7" w:rsidRPr="001E2F6E" w:rsidRDefault="00195BE7" w:rsidP="00195BE7">
      <w:pPr>
        <w:rPr>
          <w:color w:val="1F497D" w:themeColor="text2"/>
        </w:rPr>
      </w:pPr>
    </w:p>
    <w:p w:rsidR="00195BE7" w:rsidRPr="001E2F6E" w:rsidRDefault="00195BE7" w:rsidP="00195BE7">
      <w:pPr>
        <w:pStyle w:val="Ttulo1"/>
        <w:ind w:left="708" w:hanging="708"/>
        <w:rPr>
          <w:color w:val="1F497D" w:themeColor="text2"/>
          <w:sz w:val="22"/>
          <w:szCs w:val="22"/>
        </w:rPr>
      </w:pPr>
      <w:bookmarkStart w:id="445" w:name="_Toc391989070"/>
      <w:bookmarkStart w:id="446" w:name="_Toc392585733"/>
      <w:r w:rsidRPr="001E2F6E">
        <w:rPr>
          <w:color w:val="1F497D" w:themeColor="text2"/>
          <w:sz w:val="22"/>
          <w:szCs w:val="22"/>
        </w:rPr>
        <w:t xml:space="preserve">6.3.1.- </w:t>
      </w:r>
      <w:r w:rsidRPr="001E2F6E">
        <w:rPr>
          <w:color w:val="1F497D" w:themeColor="text2"/>
          <w:sz w:val="22"/>
          <w:szCs w:val="22"/>
        </w:rPr>
        <w:tab/>
        <w:t>ENSen Diru-Sarrerak</w:t>
      </w:r>
      <w:bookmarkEnd w:id="445"/>
      <w:bookmarkEnd w:id="446"/>
    </w:p>
    <w:p w:rsidR="00195BE7" w:rsidRPr="001E2F6E" w:rsidRDefault="00195BE7" w:rsidP="00195BE7"/>
    <w:p w:rsidR="00195BE7" w:rsidRPr="001E2F6E" w:rsidRDefault="00195BE7" w:rsidP="00195BE7">
      <w:pPr>
        <w:spacing w:line="240" w:lineRule="auto"/>
        <w:jc w:val="center"/>
        <w:rPr>
          <w:b/>
          <w:color w:val="1F497D" w:themeColor="text2"/>
          <w:sz w:val="18"/>
          <w:szCs w:val="18"/>
        </w:rPr>
      </w:pPr>
      <w:bookmarkStart w:id="447" w:name="_Toc391989186"/>
      <w:bookmarkStart w:id="448" w:name="_Toc392585866"/>
      <w:r w:rsidRPr="001E2F6E">
        <w:rPr>
          <w:b/>
          <w:bCs/>
          <w:color w:val="1F497D" w:themeColor="text2"/>
          <w:sz w:val="18"/>
          <w:szCs w:val="18"/>
        </w:rPr>
        <w:t>4.</w:t>
      </w:r>
      <w:r w:rsidR="00EB6BA6" w:rsidRPr="001E2F6E">
        <w:rPr>
          <w:b/>
          <w:bCs/>
          <w:color w:val="1F497D" w:themeColor="text2"/>
          <w:sz w:val="18"/>
          <w:szCs w:val="18"/>
        </w:rPr>
        <w:fldChar w:fldCharType="begin"/>
      </w:r>
      <w:r w:rsidRPr="001E2F6E">
        <w:rPr>
          <w:b/>
          <w:bCs/>
          <w:color w:val="1F497D" w:themeColor="text2"/>
          <w:sz w:val="18"/>
          <w:szCs w:val="18"/>
        </w:rPr>
        <w:instrText xml:space="preserve"> SEQ Cuadro_4. \* ARABIC </w:instrText>
      </w:r>
      <w:r w:rsidR="00EB6BA6" w:rsidRPr="001E2F6E">
        <w:rPr>
          <w:b/>
          <w:bCs/>
          <w:color w:val="1F497D" w:themeColor="text2"/>
          <w:sz w:val="18"/>
          <w:szCs w:val="18"/>
        </w:rPr>
        <w:fldChar w:fldCharType="separate"/>
      </w:r>
      <w:r w:rsidR="00A327D4">
        <w:rPr>
          <w:b/>
          <w:bCs/>
          <w:noProof/>
          <w:color w:val="1F497D" w:themeColor="text2"/>
          <w:sz w:val="18"/>
          <w:szCs w:val="18"/>
        </w:rPr>
        <w:t>13</w:t>
      </w:r>
      <w:r w:rsidR="00EB6BA6" w:rsidRPr="001E2F6E">
        <w:rPr>
          <w:b/>
          <w:bCs/>
          <w:color w:val="1F497D" w:themeColor="text2"/>
          <w:sz w:val="18"/>
          <w:szCs w:val="18"/>
        </w:rPr>
        <w:fldChar w:fldCharType="end"/>
      </w:r>
      <w:r w:rsidRPr="001E2F6E">
        <w:rPr>
          <w:b/>
          <w:bCs/>
          <w:color w:val="1F497D" w:themeColor="text2"/>
          <w:sz w:val="18"/>
          <w:szCs w:val="18"/>
        </w:rPr>
        <w:t xml:space="preserve"> Taula </w:t>
      </w:r>
      <w:r w:rsidRPr="001E2F6E">
        <w:rPr>
          <w:b/>
          <w:color w:val="1F497D" w:themeColor="text2"/>
          <w:sz w:val="18"/>
          <w:szCs w:val="18"/>
        </w:rPr>
        <w:t>USTIAPEN-SARREREN BANAKETA ENSetan 2012 (</w:t>
      </w:r>
      <w:r w:rsidR="00462130" w:rsidRPr="001E2F6E">
        <w:rPr>
          <w:b/>
          <w:color w:val="1F497D" w:themeColor="text2"/>
          <w:sz w:val="18"/>
          <w:szCs w:val="18"/>
        </w:rPr>
        <w:t xml:space="preserve">zifra absolutuak </w:t>
      </w:r>
      <w:r w:rsidRPr="001E2F6E">
        <w:rPr>
          <w:b/>
          <w:color w:val="1F497D" w:themeColor="text2"/>
          <w:sz w:val="18"/>
          <w:szCs w:val="18"/>
        </w:rPr>
        <w:t>eta % bertikalak)</w:t>
      </w:r>
      <w:bookmarkEnd w:id="447"/>
      <w:bookmarkEnd w:id="448"/>
    </w:p>
    <w:tbl>
      <w:tblPr>
        <w:tblW w:w="5000" w:type="pct"/>
        <w:jc w:val="center"/>
        <w:tblLook w:val="04A0" w:firstRow="1" w:lastRow="0" w:firstColumn="1" w:lastColumn="0" w:noHBand="0" w:noVBand="1"/>
      </w:tblPr>
      <w:tblGrid>
        <w:gridCol w:w="5028"/>
        <w:gridCol w:w="2186"/>
        <w:gridCol w:w="1790"/>
      </w:tblGrid>
      <w:tr w:rsidR="00195BE7" w:rsidRPr="001E2F6E" w:rsidTr="00195BE7">
        <w:trPr>
          <w:jc w:val="center"/>
        </w:trPr>
        <w:tc>
          <w:tcPr>
            <w:tcW w:w="2792" w:type="pct"/>
            <w:tcBorders>
              <w:top w:val="single" w:sz="4" w:space="0" w:color="BFBFBF" w:themeColor="background1" w:themeShade="BF"/>
              <w:right w:val="single" w:sz="4" w:space="0" w:color="BFBFBF" w:themeColor="background1" w:themeShade="BF"/>
            </w:tcBorders>
            <w:shd w:val="clear" w:color="auto" w:fill="DBE5F1" w:themeFill="accent1" w:themeFillTint="33"/>
            <w:hideMark/>
          </w:tcPr>
          <w:p w:rsidR="00195BE7" w:rsidRPr="001E2F6E" w:rsidRDefault="00195BE7" w:rsidP="00195BE7">
            <w:pPr>
              <w:spacing w:line="240" w:lineRule="exact"/>
              <w:rPr>
                <w:sz w:val="16"/>
                <w:szCs w:val="16"/>
              </w:rPr>
            </w:pPr>
          </w:p>
        </w:tc>
        <w:tc>
          <w:tcPr>
            <w:tcW w:w="2208" w:type="pct"/>
            <w:gridSpan w:val="2"/>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hideMark/>
          </w:tcPr>
          <w:p w:rsidR="00195BE7" w:rsidRPr="001E2F6E" w:rsidRDefault="00195BE7" w:rsidP="00195BE7">
            <w:pPr>
              <w:spacing w:line="240" w:lineRule="exact"/>
              <w:jc w:val="center"/>
              <w:rPr>
                <w:b/>
                <w:bCs/>
                <w:sz w:val="16"/>
                <w:szCs w:val="16"/>
              </w:rPr>
            </w:pPr>
            <w:r w:rsidRPr="001E2F6E">
              <w:rPr>
                <w:b/>
                <w:bCs/>
                <w:sz w:val="16"/>
                <w:szCs w:val="16"/>
              </w:rPr>
              <w:t>2012</w:t>
            </w:r>
          </w:p>
        </w:tc>
      </w:tr>
      <w:tr w:rsidR="00195BE7" w:rsidRPr="001E2F6E" w:rsidTr="00195BE7">
        <w:trPr>
          <w:jc w:val="center"/>
        </w:trPr>
        <w:tc>
          <w:tcPr>
            <w:tcW w:w="2792" w:type="pct"/>
            <w:tcBorders>
              <w:bottom w:val="single" w:sz="4" w:space="0" w:color="BFBFBF" w:themeColor="background1" w:themeShade="BF"/>
              <w:right w:val="single" w:sz="4" w:space="0" w:color="BFBFBF" w:themeColor="background1" w:themeShade="BF"/>
            </w:tcBorders>
            <w:shd w:val="clear" w:color="auto" w:fill="DBE5F1" w:themeFill="accent1" w:themeFillTint="33"/>
            <w:hideMark/>
          </w:tcPr>
          <w:p w:rsidR="00195BE7" w:rsidRPr="001E2F6E" w:rsidRDefault="00195BE7" w:rsidP="00195BE7">
            <w:pPr>
              <w:spacing w:line="240" w:lineRule="exact"/>
              <w:rPr>
                <w:sz w:val="16"/>
                <w:szCs w:val="16"/>
              </w:rPr>
            </w:pPr>
          </w:p>
        </w:tc>
        <w:tc>
          <w:tcPr>
            <w:tcW w:w="121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hideMark/>
          </w:tcPr>
          <w:p w:rsidR="00195BE7" w:rsidRPr="001E2F6E" w:rsidRDefault="00195BE7" w:rsidP="00195BE7">
            <w:pPr>
              <w:spacing w:line="240" w:lineRule="exact"/>
              <w:jc w:val="center"/>
              <w:rPr>
                <w:b/>
                <w:bCs/>
                <w:sz w:val="16"/>
                <w:szCs w:val="16"/>
              </w:rPr>
            </w:pPr>
            <w:r w:rsidRPr="001E2F6E">
              <w:rPr>
                <w:b/>
                <w:bCs/>
                <w:sz w:val="16"/>
                <w:szCs w:val="16"/>
              </w:rPr>
              <w:t>Euroak</w:t>
            </w:r>
          </w:p>
        </w:tc>
        <w:tc>
          <w:tcPr>
            <w:tcW w:w="994"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hideMark/>
          </w:tcPr>
          <w:p w:rsidR="00195BE7" w:rsidRPr="001E2F6E" w:rsidRDefault="00195BE7" w:rsidP="00195BE7">
            <w:pPr>
              <w:spacing w:line="240" w:lineRule="exact"/>
              <w:jc w:val="center"/>
              <w:rPr>
                <w:b/>
                <w:bCs/>
                <w:sz w:val="16"/>
                <w:szCs w:val="16"/>
              </w:rPr>
            </w:pPr>
            <w:r w:rsidRPr="001E2F6E">
              <w:rPr>
                <w:b/>
                <w:bCs/>
                <w:sz w:val="16"/>
                <w:szCs w:val="16"/>
              </w:rPr>
              <w:t>%ber.</w:t>
            </w:r>
          </w:p>
        </w:tc>
      </w:tr>
      <w:tr w:rsidR="00195BE7" w:rsidRPr="001E2F6E" w:rsidTr="00195BE7">
        <w:trPr>
          <w:jc w:val="center"/>
        </w:trPr>
        <w:tc>
          <w:tcPr>
            <w:tcW w:w="2792" w:type="pct"/>
            <w:tcBorders>
              <w:top w:val="single" w:sz="4" w:space="0" w:color="BFBFBF" w:themeColor="background1" w:themeShade="BF"/>
              <w:right w:val="single" w:sz="4" w:space="0" w:color="BFBFBF" w:themeColor="background1" w:themeShade="BF"/>
            </w:tcBorders>
            <w:vAlign w:val="bottom"/>
            <w:hideMark/>
          </w:tcPr>
          <w:p w:rsidR="00195BE7" w:rsidRPr="001E2F6E" w:rsidRDefault="00195BE7" w:rsidP="00195BE7">
            <w:pPr>
              <w:spacing w:line="240" w:lineRule="exact"/>
              <w:rPr>
                <w:color w:val="000000"/>
                <w:sz w:val="16"/>
                <w:szCs w:val="16"/>
              </w:rPr>
            </w:pPr>
            <w:r w:rsidRPr="001E2F6E">
              <w:rPr>
                <w:color w:val="000000"/>
                <w:sz w:val="16"/>
                <w:szCs w:val="16"/>
              </w:rPr>
              <w:t>Salmentak</w:t>
            </w:r>
          </w:p>
        </w:tc>
        <w:tc>
          <w:tcPr>
            <w:tcW w:w="1214" w:type="pct"/>
            <w:tcBorders>
              <w:top w:val="single" w:sz="4" w:space="0" w:color="BFBFBF" w:themeColor="background1" w:themeShade="BF"/>
              <w:left w:val="single" w:sz="4" w:space="0" w:color="BFBFBF" w:themeColor="background1" w:themeShade="BF"/>
              <w:right w:val="single" w:sz="4" w:space="0" w:color="BFBFBF" w:themeColor="background1" w:themeShade="BF"/>
            </w:tcBorders>
            <w:noWrap/>
            <w:vAlign w:val="bottom"/>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24.665.216</w:t>
            </w:r>
          </w:p>
        </w:tc>
        <w:tc>
          <w:tcPr>
            <w:tcW w:w="994" w:type="pct"/>
            <w:tcBorders>
              <w:top w:val="single" w:sz="4" w:space="0" w:color="BFBFBF" w:themeColor="background1" w:themeShade="BF"/>
              <w:left w:val="single" w:sz="4" w:space="0" w:color="BFBFBF" w:themeColor="background1" w:themeShade="BF"/>
            </w:tcBorders>
            <w:vAlign w:val="bottom"/>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99,0</w:t>
            </w:r>
          </w:p>
        </w:tc>
      </w:tr>
      <w:tr w:rsidR="00195BE7" w:rsidRPr="001E2F6E" w:rsidTr="00195BE7">
        <w:trPr>
          <w:jc w:val="center"/>
        </w:trPr>
        <w:tc>
          <w:tcPr>
            <w:tcW w:w="2792" w:type="pct"/>
            <w:tcBorders>
              <w:right w:val="single" w:sz="4" w:space="0" w:color="BFBFBF" w:themeColor="background1" w:themeShade="BF"/>
            </w:tcBorders>
            <w:noWrap/>
            <w:vAlign w:val="bottom"/>
            <w:hideMark/>
          </w:tcPr>
          <w:p w:rsidR="00195BE7" w:rsidRPr="001E2F6E" w:rsidRDefault="00195BE7" w:rsidP="00195BE7">
            <w:pPr>
              <w:spacing w:line="240" w:lineRule="exact"/>
              <w:rPr>
                <w:color w:val="000000"/>
                <w:sz w:val="16"/>
                <w:szCs w:val="16"/>
              </w:rPr>
            </w:pPr>
            <w:r w:rsidRPr="001E2F6E">
              <w:rPr>
                <w:color w:val="000000"/>
                <w:sz w:val="16"/>
                <w:szCs w:val="16"/>
              </w:rPr>
              <w:t>Beste ustiapen-sarrera batzuk</w:t>
            </w:r>
          </w:p>
        </w:tc>
        <w:tc>
          <w:tcPr>
            <w:tcW w:w="1214" w:type="pct"/>
            <w:tcBorders>
              <w:left w:val="single" w:sz="4" w:space="0" w:color="BFBFBF" w:themeColor="background1" w:themeShade="BF"/>
              <w:right w:val="single" w:sz="4" w:space="0" w:color="BFBFBF" w:themeColor="background1" w:themeShade="BF"/>
            </w:tcBorders>
            <w:noWrap/>
            <w:vAlign w:val="bottom"/>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224.017</w:t>
            </w:r>
          </w:p>
        </w:tc>
        <w:tc>
          <w:tcPr>
            <w:tcW w:w="994" w:type="pct"/>
            <w:tcBorders>
              <w:left w:val="single" w:sz="4" w:space="0" w:color="BFBFBF" w:themeColor="background1" w:themeShade="BF"/>
            </w:tcBorders>
            <w:vAlign w:val="bottom"/>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0,9</w:t>
            </w:r>
          </w:p>
        </w:tc>
      </w:tr>
      <w:tr w:rsidR="00195BE7" w:rsidRPr="001E2F6E" w:rsidTr="00195BE7">
        <w:trPr>
          <w:jc w:val="center"/>
        </w:trPr>
        <w:tc>
          <w:tcPr>
            <w:tcW w:w="2792" w:type="pct"/>
            <w:tcBorders>
              <w:right w:val="single" w:sz="4" w:space="0" w:color="BFBFBF" w:themeColor="background1" w:themeShade="BF"/>
            </w:tcBorders>
            <w:vAlign w:val="bottom"/>
            <w:hideMark/>
          </w:tcPr>
          <w:p w:rsidR="00195BE7" w:rsidRPr="001E2F6E" w:rsidRDefault="00195BE7" w:rsidP="00195BE7">
            <w:pPr>
              <w:spacing w:line="240" w:lineRule="exact"/>
              <w:rPr>
                <w:color w:val="000000"/>
                <w:sz w:val="16"/>
                <w:szCs w:val="16"/>
              </w:rPr>
            </w:pPr>
            <w:r w:rsidRPr="001E2F6E">
              <w:rPr>
                <w:color w:val="000000"/>
                <w:sz w:val="16"/>
                <w:szCs w:val="16"/>
              </w:rPr>
              <w:t>Finantza-sarrerak</w:t>
            </w:r>
          </w:p>
        </w:tc>
        <w:tc>
          <w:tcPr>
            <w:tcW w:w="1214" w:type="pct"/>
            <w:tcBorders>
              <w:left w:val="single" w:sz="4" w:space="0" w:color="BFBFBF" w:themeColor="background1" w:themeShade="BF"/>
              <w:right w:val="single" w:sz="4" w:space="0" w:color="BFBFBF" w:themeColor="background1" w:themeShade="BF"/>
            </w:tcBorders>
            <w:noWrap/>
            <w:vAlign w:val="bottom"/>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25.963</w:t>
            </w:r>
          </w:p>
        </w:tc>
        <w:tc>
          <w:tcPr>
            <w:tcW w:w="994" w:type="pct"/>
            <w:tcBorders>
              <w:left w:val="single" w:sz="4" w:space="0" w:color="BFBFBF" w:themeColor="background1" w:themeShade="BF"/>
            </w:tcBorders>
            <w:vAlign w:val="bottom"/>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0,1</w:t>
            </w:r>
          </w:p>
        </w:tc>
      </w:tr>
      <w:tr w:rsidR="00195BE7" w:rsidRPr="001E2F6E" w:rsidTr="00195BE7">
        <w:trPr>
          <w:jc w:val="center"/>
        </w:trPr>
        <w:tc>
          <w:tcPr>
            <w:tcW w:w="2792" w:type="pct"/>
            <w:tcBorders>
              <w:top w:val="single" w:sz="4" w:space="0" w:color="BFBFBF" w:themeColor="background1" w:themeShade="BF"/>
              <w:bottom w:val="single" w:sz="4" w:space="0" w:color="BFBFBF" w:themeColor="background1" w:themeShade="BF"/>
              <w:right w:val="single" w:sz="4" w:space="0" w:color="BFBFBF" w:themeColor="background1" w:themeShade="BF"/>
            </w:tcBorders>
            <w:hideMark/>
          </w:tcPr>
          <w:p w:rsidR="00195BE7" w:rsidRPr="001E2F6E" w:rsidRDefault="00195BE7" w:rsidP="00195BE7">
            <w:pPr>
              <w:spacing w:line="240" w:lineRule="exact"/>
              <w:rPr>
                <w:b/>
                <w:bCs/>
                <w:color w:val="000000"/>
                <w:sz w:val="16"/>
                <w:szCs w:val="16"/>
              </w:rPr>
            </w:pPr>
            <w:r w:rsidRPr="001E2F6E">
              <w:rPr>
                <w:b/>
                <w:bCs/>
                <w:color w:val="000000"/>
                <w:sz w:val="16"/>
                <w:szCs w:val="16"/>
              </w:rPr>
              <w:t>GUZTIRA</w:t>
            </w:r>
          </w:p>
        </w:tc>
        <w:tc>
          <w:tcPr>
            <w:tcW w:w="121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bottom"/>
            <w:hideMark/>
          </w:tcPr>
          <w:p w:rsidR="00195BE7" w:rsidRPr="001E2F6E" w:rsidRDefault="00195BE7" w:rsidP="00195BE7">
            <w:pPr>
              <w:spacing w:line="240" w:lineRule="exact"/>
              <w:ind w:right="170"/>
              <w:jc w:val="right"/>
              <w:rPr>
                <w:b/>
                <w:bCs/>
                <w:color w:val="000000"/>
                <w:sz w:val="16"/>
                <w:szCs w:val="16"/>
              </w:rPr>
            </w:pPr>
            <w:r w:rsidRPr="001E2F6E">
              <w:rPr>
                <w:b/>
                <w:bCs/>
                <w:color w:val="000000"/>
                <w:sz w:val="16"/>
                <w:szCs w:val="16"/>
              </w:rPr>
              <w:t>24.915.196</w:t>
            </w:r>
          </w:p>
        </w:tc>
        <w:tc>
          <w:tcPr>
            <w:tcW w:w="994" w:type="pct"/>
            <w:tcBorders>
              <w:top w:val="single" w:sz="4" w:space="0" w:color="BFBFBF" w:themeColor="background1" w:themeShade="BF"/>
              <w:left w:val="single" w:sz="4" w:space="0" w:color="BFBFBF" w:themeColor="background1" w:themeShade="BF"/>
              <w:bottom w:val="single" w:sz="4" w:space="0" w:color="BFBFBF" w:themeColor="background1" w:themeShade="BF"/>
            </w:tcBorders>
            <w:vAlign w:val="bottom"/>
            <w:hideMark/>
          </w:tcPr>
          <w:p w:rsidR="00195BE7" w:rsidRPr="001E2F6E" w:rsidRDefault="00195BE7" w:rsidP="00195BE7">
            <w:pPr>
              <w:spacing w:line="240" w:lineRule="exact"/>
              <w:ind w:right="170"/>
              <w:jc w:val="right"/>
              <w:rPr>
                <w:b/>
                <w:bCs/>
                <w:color w:val="000000"/>
                <w:sz w:val="16"/>
                <w:szCs w:val="16"/>
              </w:rPr>
            </w:pPr>
            <w:r w:rsidRPr="001E2F6E">
              <w:rPr>
                <w:b/>
                <w:bCs/>
                <w:color w:val="000000"/>
                <w:sz w:val="16"/>
                <w:szCs w:val="16"/>
              </w:rPr>
              <w:t>100,0</w:t>
            </w:r>
          </w:p>
        </w:tc>
      </w:tr>
    </w:tbl>
    <w:p w:rsidR="00195BE7" w:rsidRPr="001E2F6E" w:rsidRDefault="00195BE7" w:rsidP="00195BE7">
      <w:pPr>
        <w:pStyle w:val="Ttulo6"/>
        <w:keepNext w:val="0"/>
        <w:widowControl w:val="0"/>
        <w:jc w:val="center"/>
        <w:rPr>
          <w:rFonts w:ascii="Arial" w:hAnsi="Arial" w:cs="Arial"/>
          <w:b w:val="0"/>
          <w:i/>
          <w:sz w:val="16"/>
          <w:lang w:val="eu-ES"/>
        </w:rPr>
      </w:pPr>
      <w:r w:rsidRPr="001E2F6E">
        <w:rPr>
          <w:rFonts w:ascii="Arial" w:hAnsi="Arial" w:cs="Arial"/>
          <w:b w:val="0"/>
          <w:i/>
          <w:sz w:val="16"/>
          <w:lang w:val="eu-ES"/>
        </w:rPr>
        <w:t>Iturria: Eusko Jaurlaritzako Nekazaritza eta Abeltzaintza Zuzendaritzako datuak oinarri harturik egina</w:t>
      </w:r>
    </w:p>
    <w:p w:rsidR="00195BE7" w:rsidRPr="001E2F6E" w:rsidRDefault="00195BE7" w:rsidP="00195BE7">
      <w:pPr>
        <w:pStyle w:val="Ttulo6"/>
        <w:keepNext w:val="0"/>
        <w:widowControl w:val="0"/>
        <w:jc w:val="center"/>
        <w:rPr>
          <w:rFonts w:ascii="Arial" w:hAnsi="Arial" w:cs="Arial"/>
          <w:b w:val="0"/>
          <w:i/>
          <w:sz w:val="16"/>
        </w:rPr>
      </w:pPr>
    </w:p>
    <w:p w:rsidR="00195BE7" w:rsidRPr="001E2F6E" w:rsidRDefault="00195BE7" w:rsidP="00195BE7">
      <w:pPr>
        <w:rPr>
          <w:lang w:val="es-ES_tradnl"/>
        </w:rPr>
      </w:pPr>
    </w:p>
    <w:p w:rsidR="00195BE7" w:rsidRPr="001E2F6E" w:rsidRDefault="00195BE7" w:rsidP="00195BE7">
      <w:pPr>
        <w:pStyle w:val="Ttulo1"/>
        <w:ind w:left="708" w:hanging="708"/>
        <w:rPr>
          <w:color w:val="1F497D" w:themeColor="text2"/>
          <w:sz w:val="22"/>
          <w:szCs w:val="22"/>
        </w:rPr>
      </w:pPr>
      <w:bookmarkStart w:id="449" w:name="_Toc391565560"/>
      <w:bookmarkStart w:id="450" w:name="_Toc391989071"/>
      <w:bookmarkStart w:id="451" w:name="_Toc392585734"/>
      <w:r w:rsidRPr="001E2F6E">
        <w:rPr>
          <w:color w:val="1F497D" w:themeColor="text2"/>
          <w:sz w:val="22"/>
          <w:szCs w:val="22"/>
        </w:rPr>
        <w:t xml:space="preserve">6.3.2.- </w:t>
      </w:r>
      <w:bookmarkEnd w:id="449"/>
      <w:r w:rsidRPr="001E2F6E">
        <w:rPr>
          <w:color w:val="1F497D" w:themeColor="text2"/>
          <w:sz w:val="22"/>
          <w:szCs w:val="22"/>
        </w:rPr>
        <w:t>ENSen BEGd-a</w:t>
      </w:r>
      <w:bookmarkEnd w:id="450"/>
      <w:bookmarkEnd w:id="451"/>
    </w:p>
    <w:p w:rsidR="00195BE7" w:rsidRPr="001E2F6E" w:rsidRDefault="00195BE7" w:rsidP="00195BE7"/>
    <w:p w:rsidR="00195BE7" w:rsidRPr="001E2F6E" w:rsidRDefault="00195BE7" w:rsidP="00195BE7">
      <w:pPr>
        <w:spacing w:line="240" w:lineRule="auto"/>
        <w:jc w:val="center"/>
        <w:rPr>
          <w:b/>
          <w:color w:val="1F497D" w:themeColor="text2"/>
          <w:sz w:val="18"/>
          <w:szCs w:val="18"/>
        </w:rPr>
      </w:pPr>
      <w:bookmarkStart w:id="452" w:name="_Toc391989187"/>
      <w:bookmarkStart w:id="453" w:name="_Toc392585867"/>
      <w:r w:rsidRPr="001E2F6E">
        <w:rPr>
          <w:b/>
          <w:bCs/>
          <w:color w:val="1F497D" w:themeColor="text2"/>
          <w:sz w:val="18"/>
          <w:szCs w:val="18"/>
        </w:rPr>
        <w:t>4.</w:t>
      </w:r>
      <w:r w:rsidR="00EB6BA6" w:rsidRPr="001E2F6E">
        <w:rPr>
          <w:b/>
          <w:bCs/>
          <w:color w:val="1F497D" w:themeColor="text2"/>
          <w:sz w:val="18"/>
          <w:szCs w:val="18"/>
        </w:rPr>
        <w:fldChar w:fldCharType="begin"/>
      </w:r>
      <w:r w:rsidRPr="001E2F6E">
        <w:rPr>
          <w:b/>
          <w:bCs/>
          <w:color w:val="1F497D" w:themeColor="text2"/>
          <w:sz w:val="18"/>
          <w:szCs w:val="18"/>
        </w:rPr>
        <w:instrText xml:space="preserve"> SEQ Cuadro_4. \* ARABIC </w:instrText>
      </w:r>
      <w:r w:rsidR="00EB6BA6" w:rsidRPr="001E2F6E">
        <w:rPr>
          <w:b/>
          <w:bCs/>
          <w:color w:val="1F497D" w:themeColor="text2"/>
          <w:sz w:val="18"/>
          <w:szCs w:val="18"/>
        </w:rPr>
        <w:fldChar w:fldCharType="separate"/>
      </w:r>
      <w:r w:rsidR="00A327D4">
        <w:rPr>
          <w:b/>
          <w:bCs/>
          <w:noProof/>
          <w:color w:val="1F497D" w:themeColor="text2"/>
          <w:sz w:val="18"/>
          <w:szCs w:val="18"/>
        </w:rPr>
        <w:t>14</w:t>
      </w:r>
      <w:r w:rsidR="00EB6BA6" w:rsidRPr="001E2F6E">
        <w:rPr>
          <w:b/>
          <w:bCs/>
          <w:color w:val="1F497D" w:themeColor="text2"/>
          <w:sz w:val="18"/>
          <w:szCs w:val="18"/>
        </w:rPr>
        <w:fldChar w:fldCharType="end"/>
      </w:r>
      <w:r w:rsidRPr="001E2F6E">
        <w:rPr>
          <w:b/>
          <w:bCs/>
          <w:color w:val="1F497D" w:themeColor="text2"/>
          <w:sz w:val="18"/>
          <w:szCs w:val="18"/>
        </w:rPr>
        <w:t xml:space="preserve"> Taula </w:t>
      </w:r>
      <w:r w:rsidRPr="001E2F6E">
        <w:rPr>
          <w:b/>
          <w:color w:val="1F497D" w:themeColor="text2"/>
          <w:sz w:val="18"/>
          <w:szCs w:val="18"/>
        </w:rPr>
        <w:t>BEGd-aren BANAKETA ENSak 2012 (</w:t>
      </w:r>
      <w:r w:rsidR="00A943E8" w:rsidRPr="001E2F6E">
        <w:rPr>
          <w:b/>
          <w:color w:val="1F497D" w:themeColor="text2"/>
          <w:sz w:val="18"/>
          <w:szCs w:val="18"/>
        </w:rPr>
        <w:t xml:space="preserve">zifra absolutuak </w:t>
      </w:r>
      <w:r w:rsidRPr="001E2F6E">
        <w:rPr>
          <w:b/>
          <w:color w:val="1F497D" w:themeColor="text2"/>
          <w:sz w:val="18"/>
          <w:szCs w:val="18"/>
        </w:rPr>
        <w:t>eta % bertikalak)</w:t>
      </w:r>
      <w:bookmarkEnd w:id="452"/>
      <w:bookmarkEnd w:id="453"/>
    </w:p>
    <w:tbl>
      <w:tblPr>
        <w:tblW w:w="5000" w:type="pct"/>
        <w:jc w:val="center"/>
        <w:tblLook w:val="04A0" w:firstRow="1" w:lastRow="0" w:firstColumn="1" w:lastColumn="0" w:noHBand="0" w:noVBand="1"/>
      </w:tblPr>
      <w:tblGrid>
        <w:gridCol w:w="4894"/>
        <w:gridCol w:w="2217"/>
        <w:gridCol w:w="1893"/>
      </w:tblGrid>
      <w:tr w:rsidR="00195BE7" w:rsidRPr="001E2F6E" w:rsidTr="00195BE7">
        <w:trPr>
          <w:jc w:val="center"/>
        </w:trPr>
        <w:tc>
          <w:tcPr>
            <w:tcW w:w="2718" w:type="pct"/>
            <w:tcBorders>
              <w:top w:val="single" w:sz="4" w:space="0" w:color="BFBFBF" w:themeColor="background1" w:themeShade="BF"/>
              <w:right w:val="single" w:sz="4" w:space="0" w:color="BFBFBF" w:themeColor="background1" w:themeShade="BF"/>
            </w:tcBorders>
            <w:shd w:val="clear" w:color="auto" w:fill="DBE5F1" w:themeFill="accent1" w:themeFillTint="33"/>
            <w:hideMark/>
          </w:tcPr>
          <w:p w:rsidR="00195BE7" w:rsidRPr="001E2F6E" w:rsidRDefault="00195BE7" w:rsidP="00195BE7">
            <w:pPr>
              <w:spacing w:line="240" w:lineRule="exact"/>
              <w:rPr>
                <w:b/>
                <w:bCs/>
                <w:sz w:val="16"/>
                <w:szCs w:val="16"/>
              </w:rPr>
            </w:pPr>
          </w:p>
        </w:tc>
        <w:tc>
          <w:tcPr>
            <w:tcW w:w="2282" w:type="pct"/>
            <w:gridSpan w:val="2"/>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hideMark/>
          </w:tcPr>
          <w:p w:rsidR="00195BE7" w:rsidRPr="001E2F6E" w:rsidRDefault="00195BE7" w:rsidP="00195BE7">
            <w:pPr>
              <w:spacing w:line="240" w:lineRule="exact"/>
              <w:jc w:val="center"/>
              <w:rPr>
                <w:b/>
                <w:bCs/>
                <w:sz w:val="16"/>
                <w:szCs w:val="16"/>
              </w:rPr>
            </w:pPr>
            <w:r w:rsidRPr="001E2F6E">
              <w:rPr>
                <w:b/>
                <w:bCs/>
                <w:sz w:val="16"/>
                <w:szCs w:val="16"/>
              </w:rPr>
              <w:t>Eraldaketarako Nekazaritza-Sozietateak</w:t>
            </w:r>
          </w:p>
        </w:tc>
      </w:tr>
      <w:tr w:rsidR="00195BE7" w:rsidRPr="001E2F6E" w:rsidTr="00195BE7">
        <w:trPr>
          <w:jc w:val="center"/>
        </w:trPr>
        <w:tc>
          <w:tcPr>
            <w:tcW w:w="2718" w:type="pct"/>
            <w:tcBorders>
              <w:bottom w:val="single" w:sz="4" w:space="0" w:color="BFBFBF" w:themeColor="background1" w:themeShade="BF"/>
              <w:right w:val="single" w:sz="4" w:space="0" w:color="BFBFBF" w:themeColor="background1" w:themeShade="BF"/>
            </w:tcBorders>
            <w:shd w:val="clear" w:color="auto" w:fill="DBE5F1" w:themeFill="accent1" w:themeFillTint="33"/>
            <w:hideMark/>
          </w:tcPr>
          <w:p w:rsidR="00195BE7" w:rsidRPr="001E2F6E" w:rsidRDefault="00195BE7" w:rsidP="00195BE7">
            <w:pPr>
              <w:spacing w:line="240" w:lineRule="exact"/>
              <w:rPr>
                <w:b/>
                <w:bCs/>
                <w:sz w:val="16"/>
                <w:szCs w:val="16"/>
              </w:rPr>
            </w:pPr>
          </w:p>
        </w:tc>
        <w:tc>
          <w:tcPr>
            <w:tcW w:w="123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hideMark/>
          </w:tcPr>
          <w:p w:rsidR="00195BE7" w:rsidRPr="001E2F6E" w:rsidRDefault="00195BE7" w:rsidP="00195BE7">
            <w:pPr>
              <w:spacing w:line="240" w:lineRule="exact"/>
              <w:jc w:val="center"/>
              <w:rPr>
                <w:b/>
                <w:bCs/>
                <w:sz w:val="16"/>
                <w:szCs w:val="16"/>
              </w:rPr>
            </w:pPr>
            <w:r w:rsidRPr="001E2F6E">
              <w:rPr>
                <w:b/>
                <w:bCs/>
                <w:sz w:val="16"/>
                <w:szCs w:val="16"/>
              </w:rPr>
              <w:t>Euroak</w:t>
            </w:r>
          </w:p>
        </w:tc>
        <w:tc>
          <w:tcPr>
            <w:tcW w:w="1051"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hideMark/>
          </w:tcPr>
          <w:p w:rsidR="00195BE7" w:rsidRPr="001E2F6E" w:rsidRDefault="00195BE7" w:rsidP="00195BE7">
            <w:pPr>
              <w:spacing w:line="240" w:lineRule="exact"/>
              <w:jc w:val="center"/>
              <w:rPr>
                <w:b/>
                <w:bCs/>
                <w:sz w:val="16"/>
                <w:szCs w:val="16"/>
              </w:rPr>
            </w:pPr>
            <w:r w:rsidRPr="001E2F6E">
              <w:rPr>
                <w:b/>
                <w:bCs/>
                <w:sz w:val="16"/>
                <w:szCs w:val="16"/>
              </w:rPr>
              <w:t>%ber.</w:t>
            </w:r>
          </w:p>
        </w:tc>
      </w:tr>
      <w:tr w:rsidR="00195BE7" w:rsidRPr="001E2F6E" w:rsidTr="00195BE7">
        <w:trPr>
          <w:jc w:val="center"/>
        </w:trPr>
        <w:tc>
          <w:tcPr>
            <w:tcW w:w="2718" w:type="pct"/>
            <w:tcBorders>
              <w:top w:val="single" w:sz="4" w:space="0" w:color="BFBFBF" w:themeColor="background1" w:themeShade="BF"/>
              <w:right w:val="single" w:sz="4" w:space="0" w:color="BFBFBF" w:themeColor="background1" w:themeShade="BF"/>
            </w:tcBorders>
            <w:vAlign w:val="bottom"/>
            <w:hideMark/>
          </w:tcPr>
          <w:p w:rsidR="00195BE7" w:rsidRPr="001E2F6E" w:rsidRDefault="00195BE7" w:rsidP="00195BE7">
            <w:pPr>
              <w:spacing w:line="240" w:lineRule="exact"/>
              <w:rPr>
                <w:color w:val="000000"/>
                <w:sz w:val="16"/>
                <w:szCs w:val="16"/>
              </w:rPr>
            </w:pPr>
            <w:r w:rsidRPr="001E2F6E">
              <w:rPr>
                <w:color w:val="000000"/>
                <w:sz w:val="16"/>
                <w:szCs w:val="16"/>
              </w:rPr>
              <w:t>Zerga aurreko mozkinak (ZAM)</w:t>
            </w:r>
          </w:p>
        </w:tc>
        <w:tc>
          <w:tcPr>
            <w:tcW w:w="1231" w:type="pct"/>
            <w:tcBorders>
              <w:top w:val="single" w:sz="4" w:space="0" w:color="BFBFBF" w:themeColor="background1" w:themeShade="BF"/>
              <w:left w:val="single" w:sz="4" w:space="0" w:color="BFBFBF" w:themeColor="background1" w:themeShade="BF"/>
              <w:right w:val="single" w:sz="4" w:space="0" w:color="BFBFBF" w:themeColor="background1" w:themeShade="BF"/>
            </w:tcBorders>
            <w:noWrap/>
            <w:vAlign w:val="bottom"/>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-295.725</w:t>
            </w:r>
          </w:p>
        </w:tc>
        <w:tc>
          <w:tcPr>
            <w:tcW w:w="1051" w:type="pct"/>
            <w:tcBorders>
              <w:top w:val="single" w:sz="4" w:space="0" w:color="BFBFBF" w:themeColor="background1" w:themeShade="BF"/>
              <w:left w:val="single" w:sz="4" w:space="0" w:color="BFBFBF" w:themeColor="background1" w:themeShade="BF"/>
            </w:tcBorders>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-5,57</w:t>
            </w:r>
          </w:p>
        </w:tc>
      </w:tr>
      <w:tr w:rsidR="00195BE7" w:rsidRPr="001E2F6E" w:rsidTr="00195BE7">
        <w:trPr>
          <w:jc w:val="center"/>
        </w:trPr>
        <w:tc>
          <w:tcPr>
            <w:tcW w:w="2718" w:type="pct"/>
            <w:tcBorders>
              <w:bottom w:val="single" w:sz="4" w:space="0" w:color="BFBFBF" w:themeColor="background1" w:themeShade="BF"/>
              <w:right w:val="single" w:sz="4" w:space="0" w:color="BFBFBF" w:themeColor="background1" w:themeShade="BF"/>
            </w:tcBorders>
            <w:noWrap/>
            <w:vAlign w:val="bottom"/>
            <w:hideMark/>
          </w:tcPr>
          <w:p w:rsidR="00195BE7" w:rsidRPr="001E2F6E" w:rsidRDefault="00195BE7" w:rsidP="00195BE7">
            <w:pPr>
              <w:spacing w:line="240" w:lineRule="exact"/>
              <w:rPr>
                <w:color w:val="000000"/>
                <w:sz w:val="16"/>
                <w:szCs w:val="16"/>
              </w:rPr>
            </w:pPr>
            <w:r w:rsidRPr="001E2F6E">
              <w:rPr>
                <w:color w:val="000000"/>
                <w:sz w:val="16"/>
                <w:szCs w:val="16"/>
              </w:rPr>
              <w:t>Langileen Gastuak</w:t>
            </w:r>
          </w:p>
        </w:tc>
        <w:tc>
          <w:tcPr>
            <w:tcW w:w="1231" w:type="pct"/>
            <w:tcBorders>
              <w:left w:val="single" w:sz="4" w:space="0" w:color="BFBFBF" w:themeColor="background1" w:themeShade="BF"/>
              <w:bottom w:val="single" w:sz="4" w:space="0" w:color="BFBFBF" w:themeColor="background1" w:themeShade="BF"/>
              <w:right w:val="single" w:sz="4" w:space="0" w:color="BFBFBF" w:themeColor="background1" w:themeShade="BF"/>
            </w:tcBorders>
            <w:noWrap/>
            <w:vAlign w:val="bottom"/>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5.608.456</w:t>
            </w:r>
          </w:p>
        </w:tc>
        <w:tc>
          <w:tcPr>
            <w:tcW w:w="1051" w:type="pct"/>
            <w:tcBorders>
              <w:left w:val="single" w:sz="4" w:space="0" w:color="BFBFBF" w:themeColor="background1" w:themeShade="BF"/>
              <w:bottom w:val="single" w:sz="4" w:space="0" w:color="BFBFBF" w:themeColor="background1" w:themeShade="BF"/>
            </w:tcBorders>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105,57</w:t>
            </w:r>
          </w:p>
        </w:tc>
      </w:tr>
      <w:tr w:rsidR="00195BE7" w:rsidRPr="001E2F6E" w:rsidTr="00195BE7">
        <w:trPr>
          <w:jc w:val="center"/>
        </w:trPr>
        <w:tc>
          <w:tcPr>
            <w:tcW w:w="2718" w:type="pct"/>
            <w:tcBorders>
              <w:top w:val="single" w:sz="4" w:space="0" w:color="BFBFBF" w:themeColor="background1" w:themeShade="BF"/>
              <w:bottom w:val="single" w:sz="4" w:space="0" w:color="BFBFBF" w:themeColor="background1" w:themeShade="BF"/>
              <w:right w:val="single" w:sz="4" w:space="0" w:color="BFBFBF" w:themeColor="background1" w:themeShade="BF"/>
            </w:tcBorders>
            <w:hideMark/>
          </w:tcPr>
          <w:p w:rsidR="00195BE7" w:rsidRPr="001E2F6E" w:rsidRDefault="00195BE7" w:rsidP="00195BE7">
            <w:pPr>
              <w:spacing w:line="240" w:lineRule="exact"/>
              <w:rPr>
                <w:b/>
                <w:bCs/>
                <w:color w:val="000000"/>
                <w:sz w:val="16"/>
                <w:szCs w:val="16"/>
              </w:rPr>
            </w:pPr>
            <w:r w:rsidRPr="001E2F6E">
              <w:rPr>
                <w:b/>
                <w:bCs/>
                <w:color w:val="000000"/>
                <w:sz w:val="16"/>
                <w:szCs w:val="16"/>
              </w:rPr>
              <w:t>BEGd</w:t>
            </w:r>
          </w:p>
        </w:tc>
        <w:tc>
          <w:tcPr>
            <w:tcW w:w="123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bottom"/>
            <w:hideMark/>
          </w:tcPr>
          <w:p w:rsidR="00195BE7" w:rsidRPr="001E2F6E" w:rsidRDefault="00195BE7" w:rsidP="00195BE7">
            <w:pPr>
              <w:spacing w:line="240" w:lineRule="exact"/>
              <w:ind w:right="170"/>
              <w:jc w:val="right"/>
              <w:rPr>
                <w:b/>
                <w:bCs/>
                <w:color w:val="000000"/>
                <w:sz w:val="16"/>
                <w:szCs w:val="16"/>
              </w:rPr>
            </w:pPr>
            <w:r w:rsidRPr="001E2F6E">
              <w:rPr>
                <w:b/>
                <w:bCs/>
                <w:color w:val="000000"/>
                <w:sz w:val="16"/>
                <w:szCs w:val="16"/>
              </w:rPr>
              <w:t>5.312.731</w:t>
            </w:r>
          </w:p>
        </w:tc>
        <w:tc>
          <w:tcPr>
            <w:tcW w:w="1051" w:type="pct"/>
            <w:tcBorders>
              <w:top w:val="single" w:sz="4" w:space="0" w:color="BFBFBF" w:themeColor="background1" w:themeShade="BF"/>
              <w:left w:val="single" w:sz="4" w:space="0" w:color="BFBFBF" w:themeColor="background1" w:themeShade="BF"/>
              <w:bottom w:val="single" w:sz="4" w:space="0" w:color="BFBFBF" w:themeColor="background1" w:themeShade="BF"/>
            </w:tcBorders>
            <w:hideMark/>
          </w:tcPr>
          <w:p w:rsidR="00195BE7" w:rsidRPr="001E2F6E" w:rsidRDefault="00195BE7" w:rsidP="00195BE7">
            <w:pPr>
              <w:spacing w:line="240" w:lineRule="exact"/>
              <w:ind w:right="170"/>
              <w:jc w:val="right"/>
              <w:rPr>
                <w:b/>
                <w:bCs/>
                <w:color w:val="000000"/>
                <w:sz w:val="16"/>
                <w:szCs w:val="16"/>
              </w:rPr>
            </w:pPr>
            <w:r w:rsidRPr="001E2F6E">
              <w:rPr>
                <w:b/>
                <w:bCs/>
                <w:color w:val="000000"/>
                <w:sz w:val="16"/>
                <w:szCs w:val="16"/>
              </w:rPr>
              <w:t>100,00</w:t>
            </w:r>
          </w:p>
        </w:tc>
      </w:tr>
    </w:tbl>
    <w:p w:rsidR="00195BE7" w:rsidRPr="001E2F6E" w:rsidRDefault="00195BE7" w:rsidP="00195BE7">
      <w:pPr>
        <w:pStyle w:val="Ttulo6"/>
        <w:keepNext w:val="0"/>
        <w:widowControl w:val="0"/>
        <w:jc w:val="center"/>
        <w:rPr>
          <w:rFonts w:ascii="Arial" w:hAnsi="Arial" w:cs="Arial"/>
          <w:b w:val="0"/>
          <w:i/>
          <w:sz w:val="16"/>
          <w:lang w:val="eu-ES"/>
        </w:rPr>
      </w:pPr>
      <w:r w:rsidRPr="001E2F6E">
        <w:rPr>
          <w:rFonts w:ascii="Arial" w:hAnsi="Arial" w:cs="Arial"/>
          <w:b w:val="0"/>
          <w:i/>
          <w:sz w:val="16"/>
          <w:lang w:val="eu-ES"/>
        </w:rPr>
        <w:t>Iturria: Eusko Jaurlaritzako Nekazaritza eta Abeltzaintza Zuzendaritzako datuak oinarri harturik egina</w:t>
      </w:r>
    </w:p>
    <w:p w:rsidR="00195BE7" w:rsidRPr="001E2F6E" w:rsidRDefault="00195BE7" w:rsidP="00195BE7">
      <w:pPr>
        <w:pStyle w:val="Ttulo6"/>
        <w:keepNext w:val="0"/>
        <w:widowControl w:val="0"/>
        <w:jc w:val="center"/>
        <w:rPr>
          <w:rFonts w:ascii="Arial" w:hAnsi="Arial" w:cs="Arial"/>
          <w:b w:val="0"/>
          <w:i/>
          <w:sz w:val="16"/>
          <w:lang w:val="eu-ES"/>
        </w:rPr>
      </w:pPr>
    </w:p>
    <w:p w:rsidR="00195BE7" w:rsidRPr="001E2F6E" w:rsidRDefault="00195BE7" w:rsidP="00195BE7">
      <w:pPr>
        <w:spacing w:after="200" w:line="276" w:lineRule="auto"/>
        <w:jc w:val="left"/>
        <w:rPr>
          <w:rFonts w:eastAsia="Times New Roman" w:cs="Times New Roman"/>
          <w:b/>
          <w:snapToGrid w:val="0"/>
          <w:color w:val="1F497D" w:themeColor="text2"/>
          <w:sz w:val="26"/>
          <w:szCs w:val="26"/>
          <w:lang w:eastAsia="es-ES"/>
        </w:rPr>
      </w:pPr>
      <w:r w:rsidRPr="001E2F6E">
        <w:rPr>
          <w:color w:val="1F497D" w:themeColor="text2"/>
          <w:sz w:val="26"/>
          <w:szCs w:val="26"/>
        </w:rPr>
        <w:br w:type="page"/>
      </w:r>
    </w:p>
    <w:p w:rsidR="00195BE7" w:rsidRPr="001E2F6E" w:rsidRDefault="00195BE7" w:rsidP="00195BE7">
      <w:pPr>
        <w:pStyle w:val="Ttulo1"/>
        <w:ind w:left="708" w:hanging="708"/>
        <w:rPr>
          <w:color w:val="1F497D" w:themeColor="text2"/>
          <w:sz w:val="26"/>
          <w:szCs w:val="26"/>
        </w:rPr>
      </w:pPr>
      <w:bookmarkStart w:id="454" w:name="_Toc391989072"/>
      <w:bookmarkStart w:id="455" w:name="_Toc392585735"/>
      <w:r w:rsidRPr="001E2F6E">
        <w:rPr>
          <w:color w:val="1F497D" w:themeColor="text2"/>
          <w:sz w:val="26"/>
          <w:szCs w:val="26"/>
        </w:rPr>
        <w:lastRenderedPageBreak/>
        <w:t xml:space="preserve">7.- </w:t>
      </w:r>
      <w:r w:rsidRPr="001E2F6E">
        <w:rPr>
          <w:color w:val="1F497D" w:themeColor="text2"/>
          <w:sz w:val="26"/>
          <w:szCs w:val="26"/>
        </w:rPr>
        <w:tab/>
        <w:t>EMAITZEN LABURPENA</w:t>
      </w:r>
      <w:bookmarkEnd w:id="454"/>
      <w:bookmarkEnd w:id="455"/>
    </w:p>
    <w:p w:rsidR="00195BE7" w:rsidRPr="001E2F6E" w:rsidRDefault="00195BE7" w:rsidP="00195BE7">
      <w:pPr>
        <w:spacing w:line="240" w:lineRule="auto"/>
        <w:jc w:val="center"/>
        <w:rPr>
          <w:b/>
          <w:color w:val="1F497D" w:themeColor="text2"/>
          <w:sz w:val="18"/>
          <w:szCs w:val="18"/>
        </w:rPr>
      </w:pPr>
    </w:p>
    <w:p w:rsidR="00195BE7" w:rsidRPr="001E2F6E" w:rsidRDefault="00195BE7" w:rsidP="00195BE7">
      <w:pPr>
        <w:spacing w:line="240" w:lineRule="auto"/>
        <w:jc w:val="center"/>
        <w:rPr>
          <w:b/>
          <w:color w:val="1F497D" w:themeColor="text2"/>
          <w:sz w:val="18"/>
          <w:szCs w:val="18"/>
        </w:rPr>
      </w:pPr>
      <w:bookmarkStart w:id="456" w:name="_Toc391989188"/>
      <w:bookmarkStart w:id="457" w:name="_Toc392585868"/>
      <w:r w:rsidRPr="001E2F6E">
        <w:rPr>
          <w:b/>
          <w:bCs/>
          <w:color w:val="1F497D" w:themeColor="text2"/>
          <w:sz w:val="18"/>
          <w:szCs w:val="18"/>
        </w:rPr>
        <w:t>Taula 4.</w:t>
      </w:r>
      <w:r w:rsidR="00EB6BA6" w:rsidRPr="001E2F6E">
        <w:rPr>
          <w:b/>
          <w:bCs/>
          <w:color w:val="1F497D" w:themeColor="text2"/>
          <w:sz w:val="18"/>
          <w:szCs w:val="18"/>
        </w:rPr>
        <w:fldChar w:fldCharType="begin"/>
      </w:r>
      <w:r w:rsidRPr="001E2F6E">
        <w:rPr>
          <w:b/>
          <w:bCs/>
          <w:color w:val="1F497D" w:themeColor="text2"/>
          <w:sz w:val="18"/>
          <w:szCs w:val="18"/>
        </w:rPr>
        <w:instrText xml:space="preserve"> SEQ Cuadro_4. \* ARABIC </w:instrText>
      </w:r>
      <w:r w:rsidR="00EB6BA6" w:rsidRPr="001E2F6E">
        <w:rPr>
          <w:b/>
          <w:bCs/>
          <w:color w:val="1F497D" w:themeColor="text2"/>
          <w:sz w:val="18"/>
          <w:szCs w:val="18"/>
        </w:rPr>
        <w:fldChar w:fldCharType="separate"/>
      </w:r>
      <w:r w:rsidR="00A327D4">
        <w:rPr>
          <w:b/>
          <w:bCs/>
          <w:noProof/>
          <w:color w:val="1F497D" w:themeColor="text2"/>
          <w:sz w:val="18"/>
          <w:szCs w:val="18"/>
        </w:rPr>
        <w:t>15</w:t>
      </w:r>
      <w:r w:rsidR="00EB6BA6" w:rsidRPr="001E2F6E">
        <w:rPr>
          <w:b/>
          <w:bCs/>
          <w:color w:val="1F497D" w:themeColor="text2"/>
          <w:sz w:val="18"/>
          <w:szCs w:val="18"/>
        </w:rPr>
        <w:fldChar w:fldCharType="end"/>
      </w:r>
      <w:r w:rsidRPr="001E2F6E">
        <w:rPr>
          <w:b/>
          <w:bCs/>
          <w:color w:val="1F497D" w:themeColor="text2"/>
          <w:sz w:val="18"/>
          <w:szCs w:val="18"/>
        </w:rPr>
        <w:t xml:space="preserve"> </w:t>
      </w:r>
      <w:r w:rsidRPr="001E2F6E">
        <w:rPr>
          <w:b/>
          <w:color w:val="1F497D" w:themeColor="text2"/>
          <w:sz w:val="18"/>
          <w:szCs w:val="18"/>
        </w:rPr>
        <w:t>ERAKUNDE-KOPURUAREN ALORREZ ALORREKO BANAKETA –UNIBERTSOA ETA LAGINA- 2012 (</w:t>
      </w:r>
      <w:bookmarkEnd w:id="456"/>
      <w:r w:rsidR="00A943E8" w:rsidRPr="001E2F6E">
        <w:rPr>
          <w:b/>
          <w:color w:val="1F497D" w:themeColor="text2"/>
          <w:sz w:val="18"/>
          <w:szCs w:val="18"/>
        </w:rPr>
        <w:t>zifra absolutuak)</w:t>
      </w:r>
      <w:bookmarkEnd w:id="457"/>
    </w:p>
    <w:tbl>
      <w:tblPr>
        <w:tblW w:w="5000" w:type="pct"/>
        <w:jc w:val="center"/>
        <w:tblLook w:val="04A0" w:firstRow="1" w:lastRow="0" w:firstColumn="1" w:lastColumn="0" w:noHBand="0" w:noVBand="1"/>
      </w:tblPr>
      <w:tblGrid>
        <w:gridCol w:w="1951"/>
        <w:gridCol w:w="951"/>
        <w:gridCol w:w="738"/>
        <w:gridCol w:w="1030"/>
        <w:gridCol w:w="920"/>
        <w:gridCol w:w="891"/>
        <w:gridCol w:w="1030"/>
        <w:gridCol w:w="679"/>
        <w:gridCol w:w="814"/>
      </w:tblGrid>
      <w:tr w:rsidR="00195BE7" w:rsidRPr="001E2F6E" w:rsidTr="00195BE7">
        <w:trPr>
          <w:cantSplit/>
          <w:trHeight w:val="1463"/>
          <w:jc w:val="center"/>
        </w:trPr>
        <w:tc>
          <w:tcPr>
            <w:tcW w:w="1083"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tcPr>
          <w:p w:rsidR="00195BE7" w:rsidRPr="001E2F6E" w:rsidRDefault="00195BE7" w:rsidP="00195BE7">
            <w:pPr>
              <w:spacing w:line="240" w:lineRule="exact"/>
              <w:jc w:val="left"/>
              <w:rPr>
                <w:b/>
                <w:bCs/>
                <w:sz w:val="16"/>
                <w:szCs w:val="16"/>
              </w:rPr>
            </w:pPr>
          </w:p>
        </w:tc>
        <w:tc>
          <w:tcPr>
            <w:tcW w:w="52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textDirection w:val="btLr"/>
            <w:vAlign w:val="center"/>
          </w:tcPr>
          <w:p w:rsidR="00195BE7" w:rsidRPr="001E2F6E" w:rsidRDefault="00195BE7" w:rsidP="00195BE7">
            <w:pPr>
              <w:spacing w:line="240" w:lineRule="exact"/>
              <w:jc w:val="center"/>
              <w:rPr>
                <w:b/>
                <w:bCs/>
                <w:sz w:val="16"/>
                <w:szCs w:val="16"/>
              </w:rPr>
            </w:pPr>
            <w:r w:rsidRPr="001E2F6E">
              <w:rPr>
                <w:b/>
                <w:bCs/>
                <w:sz w:val="16"/>
                <w:szCs w:val="16"/>
              </w:rPr>
              <w:t>Fundazioak</w:t>
            </w:r>
          </w:p>
        </w:tc>
        <w:tc>
          <w:tcPr>
            <w:tcW w:w="41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textDirection w:val="btLr"/>
            <w:vAlign w:val="center"/>
          </w:tcPr>
          <w:p w:rsidR="00195BE7" w:rsidRPr="001E2F6E" w:rsidRDefault="00195BE7" w:rsidP="00195BE7">
            <w:pPr>
              <w:spacing w:line="240" w:lineRule="exact"/>
              <w:jc w:val="center"/>
              <w:rPr>
                <w:b/>
                <w:bCs/>
                <w:sz w:val="16"/>
                <w:szCs w:val="16"/>
              </w:rPr>
            </w:pPr>
            <w:r w:rsidRPr="001E2F6E">
              <w:rPr>
                <w:b/>
                <w:bCs/>
                <w:sz w:val="16"/>
                <w:szCs w:val="16"/>
              </w:rPr>
              <w:t>Elkarteak</w:t>
            </w:r>
          </w:p>
        </w:tc>
        <w:tc>
          <w:tcPr>
            <w:tcW w:w="57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textDirection w:val="btLr"/>
            <w:vAlign w:val="center"/>
          </w:tcPr>
          <w:p w:rsidR="00195BE7" w:rsidRPr="001E2F6E" w:rsidRDefault="00195BE7" w:rsidP="00195BE7">
            <w:pPr>
              <w:spacing w:line="240" w:lineRule="exact"/>
              <w:jc w:val="center"/>
              <w:rPr>
                <w:b/>
                <w:bCs/>
                <w:sz w:val="16"/>
                <w:szCs w:val="16"/>
              </w:rPr>
            </w:pPr>
            <w:r w:rsidRPr="001E2F6E">
              <w:rPr>
                <w:b/>
                <w:bCs/>
                <w:sz w:val="16"/>
                <w:szCs w:val="16"/>
              </w:rPr>
              <w:t>Enplegu-zentro bereziak</w:t>
            </w:r>
          </w:p>
        </w:tc>
        <w:tc>
          <w:tcPr>
            <w:tcW w:w="51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textDirection w:val="btLr"/>
            <w:vAlign w:val="center"/>
          </w:tcPr>
          <w:p w:rsidR="00195BE7" w:rsidRPr="001E2F6E" w:rsidRDefault="00195BE7" w:rsidP="00195BE7">
            <w:pPr>
              <w:spacing w:line="240" w:lineRule="exact"/>
              <w:jc w:val="center"/>
              <w:rPr>
                <w:b/>
                <w:bCs/>
                <w:sz w:val="16"/>
                <w:szCs w:val="16"/>
              </w:rPr>
            </w:pPr>
            <w:r w:rsidRPr="001E2F6E">
              <w:rPr>
                <w:b/>
                <w:bCs/>
                <w:sz w:val="16"/>
                <w:szCs w:val="16"/>
              </w:rPr>
              <w:t>Laneratzeko enpresak</w:t>
            </w:r>
          </w:p>
        </w:tc>
        <w:tc>
          <w:tcPr>
            <w:tcW w:w="49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textDirection w:val="btLr"/>
            <w:vAlign w:val="center"/>
          </w:tcPr>
          <w:p w:rsidR="00195BE7" w:rsidRPr="001E2F6E" w:rsidRDefault="00195BE7" w:rsidP="00195BE7">
            <w:pPr>
              <w:spacing w:line="240" w:lineRule="exact"/>
              <w:jc w:val="center"/>
              <w:rPr>
                <w:b/>
                <w:bCs/>
                <w:sz w:val="16"/>
                <w:szCs w:val="16"/>
              </w:rPr>
            </w:pPr>
            <w:r w:rsidRPr="001E2F6E">
              <w:rPr>
                <w:b/>
                <w:bCs/>
                <w:sz w:val="16"/>
                <w:szCs w:val="16"/>
              </w:rPr>
              <w:t>BGAEAK</w:t>
            </w:r>
          </w:p>
        </w:tc>
        <w:tc>
          <w:tcPr>
            <w:tcW w:w="57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textDirection w:val="btLr"/>
            <w:vAlign w:val="center"/>
          </w:tcPr>
          <w:p w:rsidR="00195BE7" w:rsidRPr="001E2F6E" w:rsidRDefault="00195BE7" w:rsidP="00195BE7">
            <w:pPr>
              <w:spacing w:line="240" w:lineRule="exact"/>
              <w:jc w:val="center"/>
              <w:rPr>
                <w:b/>
                <w:bCs/>
                <w:sz w:val="16"/>
                <w:szCs w:val="16"/>
              </w:rPr>
            </w:pPr>
            <w:r w:rsidRPr="001E2F6E">
              <w:rPr>
                <w:b/>
                <w:bCs/>
                <w:sz w:val="16"/>
                <w:szCs w:val="16"/>
              </w:rPr>
              <w:t>Arrantzale-kofradiak</w:t>
            </w:r>
          </w:p>
        </w:tc>
        <w:tc>
          <w:tcPr>
            <w:tcW w:w="37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textDirection w:val="btLr"/>
            <w:vAlign w:val="center"/>
          </w:tcPr>
          <w:p w:rsidR="00195BE7" w:rsidRPr="001E2F6E" w:rsidRDefault="00195BE7" w:rsidP="00195BE7">
            <w:pPr>
              <w:spacing w:line="240" w:lineRule="exact"/>
              <w:jc w:val="center"/>
              <w:rPr>
                <w:b/>
                <w:bCs/>
                <w:sz w:val="16"/>
                <w:szCs w:val="16"/>
              </w:rPr>
            </w:pPr>
            <w:r w:rsidRPr="001E2F6E">
              <w:rPr>
                <w:b/>
                <w:bCs/>
                <w:sz w:val="16"/>
                <w:szCs w:val="16"/>
              </w:rPr>
              <w:t>ENSAK</w:t>
            </w:r>
          </w:p>
        </w:tc>
        <w:tc>
          <w:tcPr>
            <w:tcW w:w="452"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textDirection w:val="btLr"/>
            <w:vAlign w:val="center"/>
          </w:tcPr>
          <w:p w:rsidR="00195BE7" w:rsidRPr="001E2F6E" w:rsidRDefault="00195BE7" w:rsidP="00195BE7">
            <w:pPr>
              <w:spacing w:line="240" w:lineRule="exact"/>
              <w:jc w:val="center"/>
              <w:rPr>
                <w:b/>
                <w:bCs/>
                <w:sz w:val="16"/>
                <w:szCs w:val="16"/>
              </w:rPr>
            </w:pPr>
            <w:r w:rsidRPr="001E2F6E">
              <w:rPr>
                <w:b/>
                <w:bCs/>
                <w:sz w:val="16"/>
                <w:szCs w:val="16"/>
              </w:rPr>
              <w:t>Guztira</w:t>
            </w:r>
          </w:p>
        </w:tc>
      </w:tr>
      <w:tr w:rsidR="00195BE7" w:rsidRPr="001E2F6E" w:rsidTr="00195BE7">
        <w:trPr>
          <w:jc w:val="center"/>
        </w:trPr>
        <w:tc>
          <w:tcPr>
            <w:tcW w:w="1083" w:type="pct"/>
            <w:tcBorders>
              <w:top w:val="single" w:sz="4" w:space="0" w:color="BFBFBF" w:themeColor="background1" w:themeShade="BF"/>
              <w:right w:val="single" w:sz="4" w:space="0" w:color="BFBFBF" w:themeColor="background1" w:themeShade="BF"/>
            </w:tcBorders>
            <w:vAlign w:val="bottom"/>
          </w:tcPr>
          <w:p w:rsidR="00195BE7" w:rsidRPr="001E2F6E" w:rsidRDefault="00195BE7" w:rsidP="00195BE7">
            <w:pPr>
              <w:spacing w:line="240" w:lineRule="exact"/>
              <w:rPr>
                <w:color w:val="000000"/>
                <w:sz w:val="16"/>
                <w:szCs w:val="16"/>
              </w:rPr>
            </w:pPr>
            <w:r w:rsidRPr="001E2F6E">
              <w:rPr>
                <w:color w:val="000000"/>
                <w:sz w:val="16"/>
                <w:szCs w:val="16"/>
              </w:rPr>
              <w:t>Erakunde-kopurua (Unibertsoa)</w:t>
            </w:r>
          </w:p>
        </w:tc>
        <w:tc>
          <w:tcPr>
            <w:tcW w:w="528" w:type="pct"/>
            <w:tcBorders>
              <w:top w:val="single" w:sz="4" w:space="0" w:color="BFBFBF" w:themeColor="background1" w:themeShade="BF"/>
              <w:left w:val="single" w:sz="4" w:space="0" w:color="BFBFBF" w:themeColor="background1" w:themeShade="BF"/>
              <w:right w:val="single" w:sz="4" w:space="0" w:color="BFBFBF" w:themeColor="background1" w:themeShade="BF"/>
            </w:tcBorders>
            <w:noWrap/>
            <w:vAlign w:val="center"/>
          </w:tcPr>
          <w:p w:rsidR="00195BE7" w:rsidRPr="001E2F6E" w:rsidRDefault="00195BE7" w:rsidP="00195BE7">
            <w:pPr>
              <w:spacing w:line="240" w:lineRule="exact"/>
              <w:ind w:right="170"/>
              <w:jc w:val="right"/>
              <w:rPr>
                <w:color w:val="000000"/>
                <w:sz w:val="16"/>
                <w:szCs w:val="16"/>
              </w:rPr>
            </w:pPr>
            <w:r w:rsidRPr="001E2F6E">
              <w:rPr>
                <w:color w:val="000000"/>
                <w:sz w:val="16"/>
                <w:szCs w:val="16"/>
              </w:rPr>
              <w:t>615</w:t>
            </w:r>
          </w:p>
        </w:tc>
        <w:tc>
          <w:tcPr>
            <w:tcW w:w="410" w:type="pct"/>
            <w:tcBorders>
              <w:top w:val="single" w:sz="4" w:space="0" w:color="BFBFBF" w:themeColor="background1" w:themeShade="BF"/>
              <w:left w:val="single" w:sz="4" w:space="0" w:color="BFBFBF" w:themeColor="background1" w:themeShade="BF"/>
              <w:right w:val="single" w:sz="4" w:space="0" w:color="BFBFBF" w:themeColor="background1" w:themeShade="BF"/>
            </w:tcBorders>
            <w:vAlign w:val="center"/>
          </w:tcPr>
          <w:p w:rsidR="00195BE7" w:rsidRPr="001E2F6E" w:rsidRDefault="00195BE7" w:rsidP="00195BE7">
            <w:pPr>
              <w:spacing w:line="240" w:lineRule="exact"/>
              <w:ind w:right="170"/>
              <w:jc w:val="right"/>
              <w:rPr>
                <w:color w:val="000000"/>
                <w:sz w:val="16"/>
                <w:szCs w:val="16"/>
              </w:rPr>
            </w:pPr>
            <w:r w:rsidRPr="001E2F6E">
              <w:rPr>
                <w:color w:val="000000"/>
                <w:sz w:val="16"/>
                <w:szCs w:val="16"/>
              </w:rPr>
              <w:t>189</w:t>
            </w:r>
          </w:p>
        </w:tc>
        <w:tc>
          <w:tcPr>
            <w:tcW w:w="572" w:type="pct"/>
            <w:tcBorders>
              <w:top w:val="single" w:sz="4" w:space="0" w:color="BFBFBF" w:themeColor="background1" w:themeShade="BF"/>
              <w:left w:val="single" w:sz="4" w:space="0" w:color="BFBFBF" w:themeColor="background1" w:themeShade="BF"/>
              <w:right w:val="single" w:sz="4" w:space="0" w:color="BFBFBF" w:themeColor="background1" w:themeShade="BF"/>
            </w:tcBorders>
            <w:vAlign w:val="center"/>
          </w:tcPr>
          <w:p w:rsidR="00195BE7" w:rsidRPr="001E2F6E" w:rsidRDefault="00195BE7" w:rsidP="00195BE7">
            <w:pPr>
              <w:spacing w:line="240" w:lineRule="exact"/>
              <w:ind w:right="170"/>
              <w:jc w:val="right"/>
              <w:rPr>
                <w:color w:val="000000"/>
                <w:sz w:val="16"/>
                <w:szCs w:val="16"/>
              </w:rPr>
            </w:pPr>
            <w:r w:rsidRPr="001E2F6E">
              <w:rPr>
                <w:color w:val="000000"/>
                <w:sz w:val="16"/>
                <w:szCs w:val="16"/>
              </w:rPr>
              <w:t>42</w:t>
            </w:r>
          </w:p>
        </w:tc>
        <w:tc>
          <w:tcPr>
            <w:tcW w:w="511" w:type="pct"/>
            <w:tcBorders>
              <w:top w:val="single" w:sz="4" w:space="0" w:color="BFBFBF" w:themeColor="background1" w:themeShade="BF"/>
              <w:left w:val="single" w:sz="4" w:space="0" w:color="BFBFBF" w:themeColor="background1" w:themeShade="BF"/>
              <w:right w:val="single" w:sz="4" w:space="0" w:color="BFBFBF" w:themeColor="background1" w:themeShade="BF"/>
            </w:tcBorders>
            <w:vAlign w:val="center"/>
          </w:tcPr>
          <w:p w:rsidR="00195BE7" w:rsidRPr="001E2F6E" w:rsidRDefault="00195BE7" w:rsidP="00195BE7">
            <w:pPr>
              <w:spacing w:line="240" w:lineRule="exact"/>
              <w:ind w:right="170"/>
              <w:jc w:val="right"/>
              <w:rPr>
                <w:color w:val="000000"/>
                <w:sz w:val="16"/>
                <w:szCs w:val="16"/>
              </w:rPr>
            </w:pPr>
            <w:r w:rsidRPr="001E2F6E">
              <w:rPr>
                <w:color w:val="000000"/>
                <w:sz w:val="16"/>
                <w:szCs w:val="16"/>
              </w:rPr>
              <w:t>78</w:t>
            </w:r>
          </w:p>
        </w:tc>
        <w:tc>
          <w:tcPr>
            <w:tcW w:w="495" w:type="pct"/>
            <w:tcBorders>
              <w:top w:val="single" w:sz="4" w:space="0" w:color="BFBFBF" w:themeColor="background1" w:themeShade="BF"/>
              <w:left w:val="single" w:sz="4" w:space="0" w:color="BFBFBF" w:themeColor="background1" w:themeShade="BF"/>
              <w:right w:val="single" w:sz="4" w:space="0" w:color="BFBFBF" w:themeColor="background1" w:themeShade="BF"/>
            </w:tcBorders>
            <w:vAlign w:val="center"/>
          </w:tcPr>
          <w:p w:rsidR="00195BE7" w:rsidRPr="001E2F6E" w:rsidRDefault="00195BE7" w:rsidP="00195BE7">
            <w:pPr>
              <w:spacing w:line="240" w:lineRule="exact"/>
              <w:ind w:right="170"/>
              <w:jc w:val="right"/>
              <w:rPr>
                <w:color w:val="000000"/>
                <w:sz w:val="16"/>
                <w:szCs w:val="16"/>
              </w:rPr>
            </w:pPr>
            <w:r w:rsidRPr="001E2F6E">
              <w:rPr>
                <w:color w:val="000000"/>
                <w:sz w:val="16"/>
                <w:szCs w:val="16"/>
              </w:rPr>
              <w:t>189</w:t>
            </w:r>
          </w:p>
        </w:tc>
        <w:tc>
          <w:tcPr>
            <w:tcW w:w="572" w:type="pct"/>
            <w:tcBorders>
              <w:top w:val="single" w:sz="4" w:space="0" w:color="BFBFBF" w:themeColor="background1" w:themeShade="BF"/>
              <w:left w:val="single" w:sz="4" w:space="0" w:color="BFBFBF" w:themeColor="background1" w:themeShade="BF"/>
              <w:right w:val="single" w:sz="4" w:space="0" w:color="BFBFBF" w:themeColor="background1" w:themeShade="BF"/>
            </w:tcBorders>
            <w:vAlign w:val="center"/>
          </w:tcPr>
          <w:p w:rsidR="00195BE7" w:rsidRPr="001E2F6E" w:rsidRDefault="00195BE7" w:rsidP="00195BE7">
            <w:pPr>
              <w:spacing w:line="240" w:lineRule="exact"/>
              <w:ind w:right="170"/>
              <w:jc w:val="right"/>
              <w:rPr>
                <w:color w:val="000000"/>
                <w:sz w:val="16"/>
                <w:szCs w:val="16"/>
              </w:rPr>
            </w:pPr>
            <w:r w:rsidRPr="001E2F6E">
              <w:rPr>
                <w:color w:val="000000"/>
                <w:sz w:val="16"/>
                <w:szCs w:val="16"/>
              </w:rPr>
              <w:t>16</w:t>
            </w:r>
          </w:p>
        </w:tc>
        <w:tc>
          <w:tcPr>
            <w:tcW w:w="377" w:type="pct"/>
            <w:tcBorders>
              <w:top w:val="single" w:sz="4" w:space="0" w:color="BFBFBF" w:themeColor="background1" w:themeShade="BF"/>
              <w:left w:val="single" w:sz="4" w:space="0" w:color="BFBFBF" w:themeColor="background1" w:themeShade="BF"/>
              <w:right w:val="single" w:sz="4" w:space="0" w:color="BFBFBF" w:themeColor="background1" w:themeShade="BF"/>
            </w:tcBorders>
            <w:vAlign w:val="center"/>
          </w:tcPr>
          <w:p w:rsidR="00195BE7" w:rsidRPr="001E2F6E" w:rsidRDefault="00195BE7" w:rsidP="00195BE7">
            <w:pPr>
              <w:spacing w:line="240" w:lineRule="exact"/>
              <w:ind w:right="170"/>
              <w:jc w:val="right"/>
              <w:rPr>
                <w:color w:val="000000"/>
                <w:sz w:val="16"/>
                <w:szCs w:val="16"/>
              </w:rPr>
            </w:pPr>
            <w:r w:rsidRPr="001E2F6E">
              <w:rPr>
                <w:color w:val="000000"/>
                <w:sz w:val="16"/>
                <w:szCs w:val="16"/>
              </w:rPr>
              <w:t>97</w:t>
            </w:r>
          </w:p>
        </w:tc>
        <w:tc>
          <w:tcPr>
            <w:tcW w:w="452" w:type="pct"/>
            <w:tcBorders>
              <w:top w:val="single" w:sz="4" w:space="0" w:color="BFBFBF" w:themeColor="background1" w:themeShade="BF"/>
              <w:left w:val="single" w:sz="4" w:space="0" w:color="BFBFBF" w:themeColor="background1" w:themeShade="BF"/>
            </w:tcBorders>
            <w:vAlign w:val="center"/>
          </w:tcPr>
          <w:p w:rsidR="00195BE7" w:rsidRPr="001E2F6E" w:rsidRDefault="00195BE7" w:rsidP="00195BE7">
            <w:pPr>
              <w:spacing w:line="240" w:lineRule="exact"/>
              <w:ind w:right="170"/>
              <w:jc w:val="right"/>
              <w:rPr>
                <w:b/>
                <w:color w:val="000000"/>
                <w:sz w:val="16"/>
                <w:szCs w:val="16"/>
              </w:rPr>
            </w:pPr>
            <w:r w:rsidRPr="001E2F6E">
              <w:rPr>
                <w:b/>
                <w:color w:val="000000"/>
                <w:sz w:val="16"/>
                <w:szCs w:val="16"/>
              </w:rPr>
              <w:t>1.226</w:t>
            </w:r>
          </w:p>
        </w:tc>
      </w:tr>
      <w:tr w:rsidR="00195BE7" w:rsidRPr="001E2F6E" w:rsidTr="00195BE7">
        <w:trPr>
          <w:jc w:val="center"/>
        </w:trPr>
        <w:tc>
          <w:tcPr>
            <w:tcW w:w="1083" w:type="pct"/>
            <w:tcBorders>
              <w:bottom w:val="single" w:sz="4" w:space="0" w:color="BFBFBF" w:themeColor="background1" w:themeShade="BF"/>
              <w:right w:val="single" w:sz="4" w:space="0" w:color="BFBFBF" w:themeColor="background1" w:themeShade="BF"/>
            </w:tcBorders>
            <w:vAlign w:val="bottom"/>
          </w:tcPr>
          <w:p w:rsidR="00195BE7" w:rsidRPr="001E2F6E" w:rsidRDefault="00195BE7" w:rsidP="00195BE7">
            <w:pPr>
              <w:spacing w:line="240" w:lineRule="exact"/>
              <w:rPr>
                <w:color w:val="000000"/>
                <w:sz w:val="16"/>
                <w:szCs w:val="16"/>
              </w:rPr>
            </w:pPr>
            <w:r w:rsidRPr="001E2F6E">
              <w:rPr>
                <w:color w:val="000000"/>
                <w:sz w:val="16"/>
                <w:szCs w:val="16"/>
              </w:rPr>
              <w:t>Erakunde-kopurua (Lagina)</w:t>
            </w:r>
          </w:p>
        </w:tc>
        <w:tc>
          <w:tcPr>
            <w:tcW w:w="528" w:type="pct"/>
            <w:tcBorders>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tcPr>
          <w:p w:rsidR="00195BE7" w:rsidRPr="001E2F6E" w:rsidRDefault="00195BE7" w:rsidP="00195BE7">
            <w:pPr>
              <w:spacing w:line="240" w:lineRule="exact"/>
              <w:ind w:right="170"/>
              <w:jc w:val="right"/>
              <w:rPr>
                <w:color w:val="000000"/>
                <w:sz w:val="16"/>
                <w:szCs w:val="16"/>
              </w:rPr>
            </w:pPr>
            <w:r w:rsidRPr="001E2F6E">
              <w:rPr>
                <w:color w:val="000000"/>
                <w:sz w:val="16"/>
                <w:szCs w:val="16"/>
              </w:rPr>
              <w:t>316</w:t>
            </w:r>
          </w:p>
        </w:tc>
        <w:tc>
          <w:tcPr>
            <w:tcW w:w="410" w:type="pct"/>
            <w:tcBorders>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195BE7" w:rsidRPr="001E2F6E" w:rsidRDefault="00195BE7" w:rsidP="00195BE7">
            <w:pPr>
              <w:spacing w:line="240" w:lineRule="exact"/>
              <w:ind w:right="170"/>
              <w:jc w:val="right"/>
              <w:rPr>
                <w:color w:val="000000"/>
                <w:sz w:val="16"/>
                <w:szCs w:val="16"/>
              </w:rPr>
            </w:pPr>
            <w:r w:rsidRPr="001E2F6E">
              <w:rPr>
                <w:color w:val="000000"/>
                <w:sz w:val="16"/>
                <w:szCs w:val="16"/>
              </w:rPr>
              <w:t>177</w:t>
            </w:r>
          </w:p>
        </w:tc>
        <w:tc>
          <w:tcPr>
            <w:tcW w:w="572" w:type="pct"/>
            <w:tcBorders>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195BE7" w:rsidRPr="001E2F6E" w:rsidRDefault="00195BE7" w:rsidP="00195BE7">
            <w:pPr>
              <w:spacing w:line="240" w:lineRule="exact"/>
              <w:ind w:right="170"/>
              <w:jc w:val="right"/>
              <w:rPr>
                <w:color w:val="000000"/>
                <w:sz w:val="16"/>
                <w:szCs w:val="16"/>
              </w:rPr>
            </w:pPr>
            <w:r w:rsidRPr="001E2F6E">
              <w:rPr>
                <w:color w:val="000000"/>
                <w:sz w:val="16"/>
                <w:szCs w:val="16"/>
              </w:rPr>
              <w:t>37</w:t>
            </w:r>
          </w:p>
        </w:tc>
        <w:tc>
          <w:tcPr>
            <w:tcW w:w="511" w:type="pct"/>
            <w:tcBorders>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195BE7" w:rsidRPr="001E2F6E" w:rsidRDefault="00195BE7" w:rsidP="00195BE7">
            <w:pPr>
              <w:spacing w:line="240" w:lineRule="exact"/>
              <w:ind w:right="170"/>
              <w:jc w:val="right"/>
              <w:rPr>
                <w:color w:val="000000"/>
                <w:sz w:val="16"/>
                <w:szCs w:val="16"/>
              </w:rPr>
            </w:pPr>
            <w:r w:rsidRPr="001E2F6E">
              <w:rPr>
                <w:color w:val="000000"/>
                <w:sz w:val="16"/>
                <w:szCs w:val="16"/>
              </w:rPr>
              <w:t>60</w:t>
            </w:r>
          </w:p>
        </w:tc>
        <w:tc>
          <w:tcPr>
            <w:tcW w:w="495" w:type="pct"/>
            <w:tcBorders>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195BE7" w:rsidRPr="001E2F6E" w:rsidRDefault="00195BE7" w:rsidP="00195BE7">
            <w:pPr>
              <w:spacing w:line="240" w:lineRule="exact"/>
              <w:ind w:right="170"/>
              <w:jc w:val="right"/>
              <w:rPr>
                <w:color w:val="000000"/>
                <w:sz w:val="16"/>
                <w:szCs w:val="16"/>
              </w:rPr>
            </w:pPr>
            <w:r w:rsidRPr="001E2F6E">
              <w:rPr>
                <w:color w:val="000000"/>
                <w:sz w:val="16"/>
                <w:szCs w:val="16"/>
              </w:rPr>
              <w:t>n.p.</w:t>
            </w:r>
          </w:p>
        </w:tc>
        <w:tc>
          <w:tcPr>
            <w:tcW w:w="572" w:type="pct"/>
            <w:tcBorders>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195BE7" w:rsidRPr="001E2F6E" w:rsidRDefault="00195BE7" w:rsidP="00195BE7">
            <w:pPr>
              <w:spacing w:line="240" w:lineRule="exact"/>
              <w:ind w:right="170"/>
              <w:jc w:val="right"/>
              <w:rPr>
                <w:color w:val="000000"/>
                <w:sz w:val="16"/>
                <w:szCs w:val="16"/>
              </w:rPr>
            </w:pPr>
            <w:r w:rsidRPr="001E2F6E">
              <w:rPr>
                <w:color w:val="000000"/>
                <w:sz w:val="16"/>
                <w:szCs w:val="16"/>
              </w:rPr>
              <w:t>13</w:t>
            </w:r>
          </w:p>
        </w:tc>
        <w:tc>
          <w:tcPr>
            <w:tcW w:w="377" w:type="pct"/>
            <w:tcBorders>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195BE7" w:rsidRPr="001E2F6E" w:rsidRDefault="00195BE7" w:rsidP="00195BE7">
            <w:pPr>
              <w:spacing w:line="240" w:lineRule="exact"/>
              <w:ind w:right="170"/>
              <w:jc w:val="right"/>
              <w:rPr>
                <w:color w:val="000000"/>
                <w:sz w:val="16"/>
                <w:szCs w:val="16"/>
              </w:rPr>
            </w:pPr>
            <w:r w:rsidRPr="001E2F6E">
              <w:rPr>
                <w:color w:val="000000"/>
                <w:sz w:val="16"/>
                <w:szCs w:val="16"/>
              </w:rPr>
              <w:t>15</w:t>
            </w:r>
          </w:p>
        </w:tc>
        <w:tc>
          <w:tcPr>
            <w:tcW w:w="452" w:type="pct"/>
            <w:tcBorders>
              <w:left w:val="single" w:sz="4" w:space="0" w:color="BFBFBF" w:themeColor="background1" w:themeShade="BF"/>
              <w:bottom w:val="single" w:sz="4" w:space="0" w:color="BFBFBF" w:themeColor="background1" w:themeShade="BF"/>
            </w:tcBorders>
            <w:vAlign w:val="center"/>
          </w:tcPr>
          <w:p w:rsidR="00195BE7" w:rsidRPr="001E2F6E" w:rsidRDefault="00195BE7" w:rsidP="00195BE7">
            <w:pPr>
              <w:spacing w:line="240" w:lineRule="exact"/>
              <w:ind w:right="170"/>
              <w:jc w:val="right"/>
              <w:rPr>
                <w:b/>
                <w:color w:val="000000"/>
                <w:sz w:val="16"/>
                <w:szCs w:val="16"/>
              </w:rPr>
            </w:pPr>
            <w:r w:rsidRPr="001E2F6E">
              <w:rPr>
                <w:b/>
                <w:color w:val="000000"/>
                <w:sz w:val="16"/>
                <w:szCs w:val="16"/>
              </w:rPr>
              <w:t>617</w:t>
            </w:r>
          </w:p>
        </w:tc>
      </w:tr>
    </w:tbl>
    <w:p w:rsidR="00195BE7" w:rsidRPr="001E2F6E" w:rsidRDefault="00195BE7" w:rsidP="00195BE7"/>
    <w:p w:rsidR="00195BE7" w:rsidRPr="001E2F6E" w:rsidRDefault="00195BE7" w:rsidP="00195BE7"/>
    <w:p w:rsidR="00195BE7" w:rsidRPr="001E2F6E" w:rsidRDefault="00195BE7" w:rsidP="00195BE7">
      <w:pPr>
        <w:spacing w:line="240" w:lineRule="auto"/>
        <w:jc w:val="center"/>
        <w:rPr>
          <w:b/>
          <w:color w:val="1F497D" w:themeColor="text2"/>
          <w:sz w:val="18"/>
          <w:szCs w:val="18"/>
        </w:rPr>
      </w:pPr>
      <w:bookmarkStart w:id="458" w:name="_Toc391989189"/>
      <w:bookmarkStart w:id="459" w:name="_Toc392585869"/>
      <w:r w:rsidRPr="001E2F6E">
        <w:rPr>
          <w:b/>
          <w:bCs/>
          <w:color w:val="1F497D" w:themeColor="text2"/>
          <w:sz w:val="18"/>
          <w:szCs w:val="18"/>
        </w:rPr>
        <w:t>4.</w:t>
      </w:r>
      <w:r w:rsidR="00EB6BA6" w:rsidRPr="001E2F6E">
        <w:rPr>
          <w:b/>
          <w:bCs/>
          <w:color w:val="1F497D" w:themeColor="text2"/>
          <w:sz w:val="18"/>
          <w:szCs w:val="18"/>
        </w:rPr>
        <w:fldChar w:fldCharType="begin"/>
      </w:r>
      <w:r w:rsidRPr="001E2F6E">
        <w:rPr>
          <w:b/>
          <w:bCs/>
          <w:color w:val="1F497D" w:themeColor="text2"/>
          <w:sz w:val="18"/>
          <w:szCs w:val="18"/>
        </w:rPr>
        <w:instrText xml:space="preserve"> SEQ Cuadro_4. \* ARABIC </w:instrText>
      </w:r>
      <w:r w:rsidR="00EB6BA6" w:rsidRPr="001E2F6E">
        <w:rPr>
          <w:b/>
          <w:bCs/>
          <w:color w:val="1F497D" w:themeColor="text2"/>
          <w:sz w:val="18"/>
          <w:szCs w:val="18"/>
        </w:rPr>
        <w:fldChar w:fldCharType="separate"/>
      </w:r>
      <w:r w:rsidR="00A327D4">
        <w:rPr>
          <w:b/>
          <w:bCs/>
          <w:noProof/>
          <w:color w:val="1F497D" w:themeColor="text2"/>
          <w:sz w:val="18"/>
          <w:szCs w:val="18"/>
        </w:rPr>
        <w:t>16</w:t>
      </w:r>
      <w:r w:rsidR="00EB6BA6" w:rsidRPr="001E2F6E">
        <w:rPr>
          <w:b/>
          <w:bCs/>
          <w:color w:val="1F497D" w:themeColor="text2"/>
          <w:sz w:val="18"/>
          <w:szCs w:val="18"/>
        </w:rPr>
        <w:fldChar w:fldCharType="end"/>
      </w:r>
      <w:r w:rsidRPr="001E2F6E">
        <w:rPr>
          <w:b/>
          <w:bCs/>
          <w:color w:val="1F497D" w:themeColor="text2"/>
          <w:sz w:val="18"/>
          <w:szCs w:val="18"/>
        </w:rPr>
        <w:t xml:space="preserve"> Taula </w:t>
      </w:r>
      <w:r w:rsidRPr="001E2F6E">
        <w:rPr>
          <w:b/>
          <w:color w:val="1F497D" w:themeColor="text2"/>
          <w:sz w:val="18"/>
          <w:szCs w:val="18"/>
        </w:rPr>
        <w:t>URTEKOTUTAKO ENPLEGU ORDAINDUAREN ALORREZ ALORREKO BANAKETA GIZARTE-E</w:t>
      </w:r>
      <w:r w:rsidR="00A943E8" w:rsidRPr="001E2F6E">
        <w:rPr>
          <w:b/>
          <w:color w:val="1F497D" w:themeColor="text2"/>
          <w:sz w:val="18"/>
          <w:szCs w:val="18"/>
        </w:rPr>
        <w:t xml:space="preserve">KONOMIAREN FORMA BERRIAK 2012 (zifra absolutuak </w:t>
      </w:r>
      <w:r w:rsidRPr="001E2F6E">
        <w:rPr>
          <w:b/>
          <w:color w:val="1F497D" w:themeColor="text2"/>
          <w:sz w:val="18"/>
          <w:szCs w:val="18"/>
        </w:rPr>
        <w:t>eta %bertikalak)</w:t>
      </w:r>
      <w:bookmarkEnd w:id="458"/>
      <w:bookmarkEnd w:id="459"/>
    </w:p>
    <w:tbl>
      <w:tblPr>
        <w:tblW w:w="5000" w:type="pct"/>
        <w:jc w:val="center"/>
        <w:tblLook w:val="04A0" w:firstRow="1" w:lastRow="0" w:firstColumn="1" w:lastColumn="0" w:noHBand="0" w:noVBand="1"/>
      </w:tblPr>
      <w:tblGrid>
        <w:gridCol w:w="4523"/>
        <w:gridCol w:w="2417"/>
        <w:gridCol w:w="2064"/>
      </w:tblGrid>
      <w:tr w:rsidR="00195BE7" w:rsidRPr="001E2F6E" w:rsidTr="00195BE7">
        <w:trPr>
          <w:jc w:val="center"/>
        </w:trPr>
        <w:tc>
          <w:tcPr>
            <w:tcW w:w="2512"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hideMark/>
          </w:tcPr>
          <w:p w:rsidR="00195BE7" w:rsidRPr="001E2F6E" w:rsidRDefault="00195BE7" w:rsidP="00195BE7">
            <w:pPr>
              <w:spacing w:line="240" w:lineRule="exact"/>
            </w:pPr>
          </w:p>
        </w:tc>
        <w:tc>
          <w:tcPr>
            <w:tcW w:w="134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hideMark/>
          </w:tcPr>
          <w:p w:rsidR="00195BE7" w:rsidRPr="001E2F6E" w:rsidRDefault="00195BE7" w:rsidP="00195BE7">
            <w:pPr>
              <w:spacing w:line="240" w:lineRule="exact"/>
              <w:ind w:right="170"/>
              <w:jc w:val="center"/>
              <w:rPr>
                <w:b/>
                <w:bCs/>
                <w:sz w:val="16"/>
                <w:szCs w:val="16"/>
              </w:rPr>
            </w:pPr>
            <w:r w:rsidRPr="001E2F6E">
              <w:rPr>
                <w:b/>
                <w:bCs/>
                <w:sz w:val="16"/>
                <w:szCs w:val="16"/>
              </w:rPr>
              <w:t>Urtekotutako enplegu ordaindua</w:t>
            </w:r>
          </w:p>
        </w:tc>
        <w:tc>
          <w:tcPr>
            <w:tcW w:w="1146"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vAlign w:val="center"/>
            <w:hideMark/>
          </w:tcPr>
          <w:p w:rsidR="00195BE7" w:rsidRPr="001E2F6E" w:rsidRDefault="00195BE7" w:rsidP="00195BE7">
            <w:pPr>
              <w:spacing w:line="240" w:lineRule="exact"/>
              <w:ind w:right="170"/>
              <w:jc w:val="center"/>
              <w:rPr>
                <w:b/>
                <w:bCs/>
                <w:sz w:val="16"/>
                <w:szCs w:val="16"/>
              </w:rPr>
            </w:pPr>
            <w:r w:rsidRPr="001E2F6E">
              <w:rPr>
                <w:b/>
                <w:bCs/>
                <w:sz w:val="16"/>
                <w:szCs w:val="16"/>
              </w:rPr>
              <w:t>%ber.</w:t>
            </w:r>
          </w:p>
        </w:tc>
      </w:tr>
      <w:tr w:rsidR="00195BE7" w:rsidRPr="001E2F6E" w:rsidTr="00195BE7">
        <w:trPr>
          <w:jc w:val="center"/>
        </w:trPr>
        <w:tc>
          <w:tcPr>
            <w:tcW w:w="2512" w:type="pct"/>
            <w:tcBorders>
              <w:top w:val="single" w:sz="4" w:space="0" w:color="BFBFBF" w:themeColor="background1" w:themeShade="BF"/>
              <w:right w:val="single" w:sz="4" w:space="0" w:color="BFBFBF" w:themeColor="background1" w:themeShade="BF"/>
            </w:tcBorders>
            <w:hideMark/>
          </w:tcPr>
          <w:p w:rsidR="00195BE7" w:rsidRPr="001E2F6E" w:rsidRDefault="00195BE7" w:rsidP="00195BE7">
            <w:pPr>
              <w:spacing w:line="240" w:lineRule="exact"/>
              <w:rPr>
                <w:color w:val="000000"/>
                <w:sz w:val="16"/>
                <w:szCs w:val="16"/>
              </w:rPr>
            </w:pPr>
            <w:r w:rsidRPr="001E2F6E">
              <w:rPr>
                <w:color w:val="000000"/>
                <w:sz w:val="16"/>
                <w:szCs w:val="16"/>
              </w:rPr>
              <w:t>1.</w:t>
            </w:r>
            <w:r w:rsidRPr="001E2F6E">
              <w:rPr>
                <w:rFonts w:ascii="Times New Roman" w:hAnsi="Times New Roman"/>
                <w:color w:val="000000"/>
                <w:sz w:val="14"/>
                <w:szCs w:val="14"/>
              </w:rPr>
              <w:t xml:space="preserve"> </w:t>
            </w:r>
            <w:r w:rsidRPr="001E2F6E">
              <w:rPr>
                <w:bCs/>
                <w:color w:val="000000"/>
                <w:sz w:val="16"/>
                <w:szCs w:val="16"/>
              </w:rPr>
              <w:t>Fundazioak</w:t>
            </w:r>
          </w:p>
        </w:tc>
        <w:tc>
          <w:tcPr>
            <w:tcW w:w="1342" w:type="pct"/>
            <w:tcBorders>
              <w:top w:val="single" w:sz="4" w:space="0" w:color="BFBFBF" w:themeColor="background1" w:themeShade="BF"/>
              <w:left w:val="single" w:sz="4" w:space="0" w:color="BFBFBF" w:themeColor="background1" w:themeShade="BF"/>
              <w:right w:val="single" w:sz="4" w:space="0" w:color="BFBFBF" w:themeColor="background1" w:themeShade="BF"/>
            </w:tcBorders>
            <w:noWrap/>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12.315</w:t>
            </w:r>
          </w:p>
        </w:tc>
        <w:tc>
          <w:tcPr>
            <w:tcW w:w="1146" w:type="pct"/>
            <w:tcBorders>
              <w:top w:val="single" w:sz="4" w:space="0" w:color="BFBFBF" w:themeColor="background1" w:themeShade="BF"/>
              <w:left w:val="single" w:sz="4" w:space="0" w:color="BFBFBF" w:themeColor="background1" w:themeShade="BF"/>
            </w:tcBorders>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46,6</w:t>
            </w:r>
          </w:p>
        </w:tc>
      </w:tr>
      <w:tr w:rsidR="00195BE7" w:rsidRPr="001E2F6E" w:rsidTr="00195BE7">
        <w:trPr>
          <w:jc w:val="center"/>
        </w:trPr>
        <w:tc>
          <w:tcPr>
            <w:tcW w:w="2512" w:type="pct"/>
            <w:tcBorders>
              <w:right w:val="single" w:sz="4" w:space="0" w:color="BFBFBF" w:themeColor="background1" w:themeShade="BF"/>
            </w:tcBorders>
            <w:hideMark/>
          </w:tcPr>
          <w:p w:rsidR="00195BE7" w:rsidRPr="001E2F6E" w:rsidRDefault="00195BE7" w:rsidP="00195BE7">
            <w:pPr>
              <w:spacing w:line="240" w:lineRule="exact"/>
              <w:rPr>
                <w:color w:val="000000"/>
                <w:sz w:val="16"/>
                <w:szCs w:val="16"/>
              </w:rPr>
            </w:pPr>
            <w:r w:rsidRPr="001E2F6E">
              <w:rPr>
                <w:color w:val="000000"/>
                <w:sz w:val="16"/>
                <w:szCs w:val="16"/>
              </w:rPr>
              <w:t>2.</w:t>
            </w:r>
            <w:r w:rsidRPr="001E2F6E">
              <w:rPr>
                <w:bCs/>
                <w:color w:val="000000"/>
                <w:sz w:val="16"/>
                <w:szCs w:val="16"/>
              </w:rPr>
              <w:t xml:space="preserve"> Enplegu-Zentro Bereziak</w:t>
            </w:r>
          </w:p>
        </w:tc>
        <w:tc>
          <w:tcPr>
            <w:tcW w:w="1342" w:type="pct"/>
            <w:tcBorders>
              <w:left w:val="single" w:sz="4" w:space="0" w:color="BFBFBF" w:themeColor="background1" w:themeShade="BF"/>
              <w:right w:val="single" w:sz="4" w:space="0" w:color="BFBFBF" w:themeColor="background1" w:themeShade="BF"/>
            </w:tcBorders>
            <w:noWrap/>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9.368</w:t>
            </w:r>
          </w:p>
        </w:tc>
        <w:tc>
          <w:tcPr>
            <w:tcW w:w="1146" w:type="pct"/>
            <w:tcBorders>
              <w:left w:val="single" w:sz="4" w:space="0" w:color="BFBFBF" w:themeColor="background1" w:themeShade="BF"/>
            </w:tcBorders>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35,4</w:t>
            </w:r>
          </w:p>
        </w:tc>
      </w:tr>
      <w:tr w:rsidR="00195BE7" w:rsidRPr="001E2F6E" w:rsidTr="00195BE7">
        <w:trPr>
          <w:jc w:val="center"/>
        </w:trPr>
        <w:tc>
          <w:tcPr>
            <w:tcW w:w="2512" w:type="pct"/>
            <w:tcBorders>
              <w:right w:val="single" w:sz="4" w:space="0" w:color="BFBFBF" w:themeColor="background1" w:themeShade="BF"/>
            </w:tcBorders>
            <w:hideMark/>
          </w:tcPr>
          <w:p w:rsidR="00195BE7" w:rsidRPr="001E2F6E" w:rsidRDefault="00195BE7" w:rsidP="00195BE7">
            <w:pPr>
              <w:spacing w:line="240" w:lineRule="exact"/>
              <w:rPr>
                <w:color w:val="000000"/>
                <w:sz w:val="16"/>
                <w:szCs w:val="16"/>
              </w:rPr>
            </w:pPr>
            <w:r w:rsidRPr="001E2F6E">
              <w:rPr>
                <w:color w:val="000000"/>
                <w:sz w:val="16"/>
                <w:szCs w:val="16"/>
              </w:rPr>
              <w:t>3.</w:t>
            </w:r>
            <w:r w:rsidRPr="001E2F6E">
              <w:rPr>
                <w:bCs/>
                <w:color w:val="000000"/>
                <w:sz w:val="16"/>
                <w:szCs w:val="16"/>
              </w:rPr>
              <w:t xml:space="preserve"> Elkarteak</w:t>
            </w:r>
          </w:p>
        </w:tc>
        <w:tc>
          <w:tcPr>
            <w:tcW w:w="1342" w:type="pct"/>
            <w:tcBorders>
              <w:left w:val="single" w:sz="4" w:space="0" w:color="BFBFBF" w:themeColor="background1" w:themeShade="BF"/>
              <w:right w:val="single" w:sz="4" w:space="0" w:color="BFBFBF" w:themeColor="background1" w:themeShade="BF"/>
            </w:tcBorders>
            <w:noWrap/>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3.078</w:t>
            </w:r>
          </w:p>
        </w:tc>
        <w:tc>
          <w:tcPr>
            <w:tcW w:w="1146" w:type="pct"/>
            <w:tcBorders>
              <w:left w:val="single" w:sz="4" w:space="0" w:color="BFBFBF" w:themeColor="background1" w:themeShade="BF"/>
            </w:tcBorders>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11,6</w:t>
            </w:r>
          </w:p>
        </w:tc>
      </w:tr>
      <w:tr w:rsidR="00195BE7" w:rsidRPr="001E2F6E" w:rsidTr="00195BE7">
        <w:trPr>
          <w:jc w:val="center"/>
        </w:trPr>
        <w:tc>
          <w:tcPr>
            <w:tcW w:w="2512" w:type="pct"/>
            <w:tcBorders>
              <w:right w:val="single" w:sz="4" w:space="0" w:color="BFBFBF" w:themeColor="background1" w:themeShade="BF"/>
            </w:tcBorders>
            <w:noWrap/>
            <w:hideMark/>
          </w:tcPr>
          <w:p w:rsidR="00195BE7" w:rsidRPr="001E2F6E" w:rsidRDefault="00195BE7" w:rsidP="00195BE7">
            <w:pPr>
              <w:spacing w:line="240" w:lineRule="exact"/>
              <w:rPr>
                <w:color w:val="000000"/>
                <w:sz w:val="16"/>
                <w:szCs w:val="16"/>
              </w:rPr>
            </w:pPr>
            <w:r w:rsidRPr="001E2F6E">
              <w:rPr>
                <w:color w:val="000000"/>
                <w:sz w:val="16"/>
                <w:szCs w:val="16"/>
              </w:rPr>
              <w:t>4.</w:t>
            </w:r>
            <w:r w:rsidRPr="001E2F6E">
              <w:rPr>
                <w:bCs/>
                <w:color w:val="000000"/>
                <w:sz w:val="16"/>
                <w:szCs w:val="16"/>
              </w:rPr>
              <w:t xml:space="preserve"> Laneratzeko Enpresak</w:t>
            </w:r>
          </w:p>
        </w:tc>
        <w:tc>
          <w:tcPr>
            <w:tcW w:w="1342" w:type="pct"/>
            <w:tcBorders>
              <w:left w:val="single" w:sz="4" w:space="0" w:color="BFBFBF" w:themeColor="background1" w:themeShade="BF"/>
              <w:right w:val="single" w:sz="4" w:space="0" w:color="BFBFBF" w:themeColor="background1" w:themeShade="BF"/>
            </w:tcBorders>
            <w:noWrap/>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1.252</w:t>
            </w:r>
          </w:p>
        </w:tc>
        <w:tc>
          <w:tcPr>
            <w:tcW w:w="1146" w:type="pct"/>
            <w:tcBorders>
              <w:left w:val="single" w:sz="4" w:space="0" w:color="BFBFBF" w:themeColor="background1" w:themeShade="BF"/>
            </w:tcBorders>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4,7</w:t>
            </w:r>
          </w:p>
        </w:tc>
      </w:tr>
      <w:tr w:rsidR="00195BE7" w:rsidRPr="001E2F6E" w:rsidTr="00195BE7">
        <w:trPr>
          <w:jc w:val="center"/>
        </w:trPr>
        <w:tc>
          <w:tcPr>
            <w:tcW w:w="2512" w:type="pct"/>
            <w:tcBorders>
              <w:right w:val="single" w:sz="4" w:space="0" w:color="BFBFBF" w:themeColor="background1" w:themeShade="BF"/>
            </w:tcBorders>
            <w:noWrap/>
            <w:hideMark/>
          </w:tcPr>
          <w:p w:rsidR="00195BE7" w:rsidRPr="001E2F6E" w:rsidRDefault="00195BE7" w:rsidP="00195BE7">
            <w:pPr>
              <w:spacing w:line="240" w:lineRule="exact"/>
              <w:rPr>
                <w:color w:val="000000"/>
                <w:sz w:val="16"/>
                <w:szCs w:val="16"/>
              </w:rPr>
            </w:pPr>
            <w:r w:rsidRPr="001E2F6E">
              <w:rPr>
                <w:color w:val="000000"/>
                <w:sz w:val="16"/>
                <w:szCs w:val="16"/>
              </w:rPr>
              <w:t>5.</w:t>
            </w:r>
            <w:r w:rsidRPr="001E2F6E">
              <w:rPr>
                <w:bCs/>
                <w:color w:val="000000"/>
                <w:sz w:val="16"/>
                <w:szCs w:val="16"/>
              </w:rPr>
              <w:t xml:space="preserve"> ENSak</w:t>
            </w:r>
          </w:p>
        </w:tc>
        <w:tc>
          <w:tcPr>
            <w:tcW w:w="1342" w:type="pct"/>
            <w:tcBorders>
              <w:left w:val="single" w:sz="4" w:space="0" w:color="BFBFBF" w:themeColor="background1" w:themeShade="BF"/>
              <w:right w:val="single" w:sz="4" w:space="0" w:color="BFBFBF" w:themeColor="background1" w:themeShade="BF"/>
            </w:tcBorders>
            <w:noWrap/>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248</w:t>
            </w:r>
          </w:p>
        </w:tc>
        <w:tc>
          <w:tcPr>
            <w:tcW w:w="1146" w:type="pct"/>
            <w:tcBorders>
              <w:left w:val="single" w:sz="4" w:space="0" w:color="BFBFBF" w:themeColor="background1" w:themeShade="BF"/>
            </w:tcBorders>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0,9</w:t>
            </w:r>
          </w:p>
        </w:tc>
      </w:tr>
      <w:tr w:rsidR="00195BE7" w:rsidRPr="001E2F6E" w:rsidTr="00195BE7">
        <w:trPr>
          <w:jc w:val="center"/>
        </w:trPr>
        <w:tc>
          <w:tcPr>
            <w:tcW w:w="2512" w:type="pct"/>
            <w:tcBorders>
              <w:right w:val="single" w:sz="4" w:space="0" w:color="BFBFBF" w:themeColor="background1" w:themeShade="BF"/>
            </w:tcBorders>
            <w:noWrap/>
            <w:hideMark/>
          </w:tcPr>
          <w:p w:rsidR="00195BE7" w:rsidRPr="001E2F6E" w:rsidRDefault="00195BE7" w:rsidP="00195BE7">
            <w:pPr>
              <w:spacing w:line="240" w:lineRule="exact"/>
              <w:rPr>
                <w:color w:val="000000"/>
                <w:sz w:val="16"/>
                <w:szCs w:val="16"/>
              </w:rPr>
            </w:pPr>
            <w:r w:rsidRPr="001E2F6E">
              <w:rPr>
                <w:color w:val="000000"/>
                <w:sz w:val="16"/>
                <w:szCs w:val="16"/>
              </w:rPr>
              <w:t>6.</w:t>
            </w:r>
            <w:r w:rsidRPr="001E2F6E">
              <w:rPr>
                <w:bCs/>
                <w:color w:val="000000"/>
                <w:sz w:val="16"/>
                <w:szCs w:val="16"/>
              </w:rPr>
              <w:t xml:space="preserve"> Arrantzale-Kofradiak</w:t>
            </w:r>
          </w:p>
        </w:tc>
        <w:tc>
          <w:tcPr>
            <w:tcW w:w="1342" w:type="pct"/>
            <w:tcBorders>
              <w:left w:val="single" w:sz="4" w:space="0" w:color="BFBFBF" w:themeColor="background1" w:themeShade="BF"/>
              <w:right w:val="single" w:sz="4" w:space="0" w:color="BFBFBF" w:themeColor="background1" w:themeShade="BF"/>
            </w:tcBorders>
            <w:noWrap/>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90</w:t>
            </w:r>
          </w:p>
        </w:tc>
        <w:tc>
          <w:tcPr>
            <w:tcW w:w="1146" w:type="pct"/>
            <w:tcBorders>
              <w:left w:val="single" w:sz="4" w:space="0" w:color="BFBFBF" w:themeColor="background1" w:themeShade="BF"/>
            </w:tcBorders>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0,3</w:t>
            </w:r>
          </w:p>
        </w:tc>
      </w:tr>
      <w:tr w:rsidR="00195BE7" w:rsidRPr="001E2F6E" w:rsidTr="00195BE7">
        <w:trPr>
          <w:jc w:val="center"/>
        </w:trPr>
        <w:tc>
          <w:tcPr>
            <w:tcW w:w="2512" w:type="pct"/>
            <w:tcBorders>
              <w:bottom w:val="single" w:sz="4" w:space="0" w:color="BFBFBF" w:themeColor="background1" w:themeShade="BF"/>
              <w:right w:val="single" w:sz="4" w:space="0" w:color="BFBFBF" w:themeColor="background1" w:themeShade="BF"/>
            </w:tcBorders>
            <w:noWrap/>
            <w:hideMark/>
          </w:tcPr>
          <w:p w:rsidR="00195BE7" w:rsidRPr="001E2F6E" w:rsidRDefault="00195BE7" w:rsidP="00195BE7">
            <w:pPr>
              <w:spacing w:line="240" w:lineRule="exact"/>
              <w:rPr>
                <w:color w:val="000000"/>
                <w:sz w:val="16"/>
                <w:szCs w:val="16"/>
              </w:rPr>
            </w:pPr>
            <w:r w:rsidRPr="001E2F6E">
              <w:rPr>
                <w:color w:val="000000"/>
                <w:sz w:val="16"/>
                <w:szCs w:val="16"/>
              </w:rPr>
              <w:t>7.</w:t>
            </w:r>
            <w:r w:rsidRPr="001E2F6E">
              <w:rPr>
                <w:bCs/>
                <w:color w:val="000000"/>
                <w:sz w:val="16"/>
                <w:szCs w:val="16"/>
              </w:rPr>
              <w:t xml:space="preserve"> BGAEak</w:t>
            </w:r>
          </w:p>
        </w:tc>
        <w:tc>
          <w:tcPr>
            <w:tcW w:w="1342" w:type="pct"/>
            <w:tcBorders>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90</w:t>
            </w:r>
          </w:p>
        </w:tc>
        <w:tc>
          <w:tcPr>
            <w:tcW w:w="1146" w:type="pct"/>
            <w:tcBorders>
              <w:left w:val="single" w:sz="4" w:space="0" w:color="BFBFBF" w:themeColor="background1" w:themeShade="BF"/>
              <w:bottom w:val="single" w:sz="4" w:space="0" w:color="BFBFBF" w:themeColor="background1" w:themeShade="BF"/>
            </w:tcBorders>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0,3</w:t>
            </w:r>
          </w:p>
        </w:tc>
      </w:tr>
      <w:tr w:rsidR="00195BE7" w:rsidRPr="001E2F6E" w:rsidTr="00195BE7">
        <w:trPr>
          <w:jc w:val="center"/>
        </w:trPr>
        <w:tc>
          <w:tcPr>
            <w:tcW w:w="2512" w:type="pct"/>
            <w:tcBorders>
              <w:top w:val="single" w:sz="4" w:space="0" w:color="BFBFBF" w:themeColor="background1" w:themeShade="BF"/>
              <w:bottom w:val="single" w:sz="4" w:space="0" w:color="BFBFBF" w:themeColor="background1" w:themeShade="BF"/>
              <w:right w:val="single" w:sz="4" w:space="0" w:color="BFBFBF" w:themeColor="background1" w:themeShade="BF"/>
            </w:tcBorders>
            <w:noWrap/>
            <w:hideMark/>
          </w:tcPr>
          <w:p w:rsidR="00195BE7" w:rsidRPr="001E2F6E" w:rsidRDefault="00195BE7" w:rsidP="00195BE7">
            <w:pPr>
              <w:spacing w:line="240" w:lineRule="exact"/>
              <w:rPr>
                <w:b/>
                <w:bCs/>
                <w:color w:val="000000"/>
                <w:sz w:val="16"/>
                <w:szCs w:val="16"/>
              </w:rPr>
            </w:pPr>
            <w:r w:rsidRPr="001E2F6E">
              <w:rPr>
                <w:b/>
                <w:bCs/>
                <w:color w:val="000000"/>
                <w:sz w:val="16"/>
                <w:szCs w:val="16"/>
              </w:rPr>
              <w:t>GUZTIRA</w:t>
            </w:r>
          </w:p>
        </w:tc>
        <w:tc>
          <w:tcPr>
            <w:tcW w:w="134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rsidR="00195BE7" w:rsidRPr="001E2F6E" w:rsidRDefault="00195BE7" w:rsidP="00195BE7">
            <w:pPr>
              <w:spacing w:line="240" w:lineRule="exact"/>
              <w:ind w:right="170"/>
              <w:jc w:val="right"/>
              <w:rPr>
                <w:b/>
                <w:bCs/>
                <w:color w:val="000000"/>
                <w:sz w:val="16"/>
                <w:szCs w:val="16"/>
              </w:rPr>
            </w:pPr>
            <w:r w:rsidRPr="001E2F6E">
              <w:rPr>
                <w:b/>
                <w:bCs/>
                <w:color w:val="000000"/>
                <w:sz w:val="16"/>
                <w:szCs w:val="16"/>
              </w:rPr>
              <w:t>26.441</w:t>
            </w:r>
          </w:p>
        </w:tc>
        <w:tc>
          <w:tcPr>
            <w:tcW w:w="1146" w:type="pct"/>
            <w:tcBorders>
              <w:top w:val="single" w:sz="4" w:space="0" w:color="BFBFBF" w:themeColor="background1" w:themeShade="BF"/>
              <w:left w:val="single" w:sz="4" w:space="0" w:color="BFBFBF" w:themeColor="background1" w:themeShade="BF"/>
              <w:bottom w:val="single" w:sz="4" w:space="0" w:color="BFBFBF" w:themeColor="background1" w:themeShade="BF"/>
            </w:tcBorders>
            <w:hideMark/>
          </w:tcPr>
          <w:p w:rsidR="00195BE7" w:rsidRPr="001E2F6E" w:rsidRDefault="00195BE7" w:rsidP="00195BE7">
            <w:pPr>
              <w:spacing w:line="240" w:lineRule="exact"/>
              <w:ind w:right="170"/>
              <w:jc w:val="right"/>
              <w:rPr>
                <w:b/>
                <w:bCs/>
                <w:color w:val="000000"/>
                <w:sz w:val="16"/>
                <w:szCs w:val="16"/>
              </w:rPr>
            </w:pPr>
            <w:r w:rsidRPr="001E2F6E">
              <w:rPr>
                <w:b/>
                <w:bCs/>
                <w:color w:val="000000"/>
                <w:sz w:val="16"/>
                <w:szCs w:val="16"/>
              </w:rPr>
              <w:t>100,0</w:t>
            </w:r>
          </w:p>
        </w:tc>
      </w:tr>
    </w:tbl>
    <w:p w:rsidR="00195BE7" w:rsidRPr="001E2F6E" w:rsidRDefault="00195BE7" w:rsidP="00195BE7"/>
    <w:p w:rsidR="00195BE7" w:rsidRPr="001E2F6E" w:rsidRDefault="00195BE7" w:rsidP="00195BE7">
      <w:pPr>
        <w:spacing w:line="240" w:lineRule="auto"/>
        <w:jc w:val="center"/>
        <w:rPr>
          <w:b/>
          <w:color w:val="1F497D" w:themeColor="text2"/>
          <w:sz w:val="18"/>
          <w:szCs w:val="18"/>
        </w:rPr>
      </w:pPr>
      <w:bookmarkStart w:id="460" w:name="_Toc391989190"/>
      <w:bookmarkStart w:id="461" w:name="_Toc392585870"/>
      <w:r w:rsidRPr="001E2F6E">
        <w:rPr>
          <w:b/>
          <w:bCs/>
          <w:color w:val="1F497D" w:themeColor="text2"/>
          <w:sz w:val="18"/>
          <w:szCs w:val="18"/>
        </w:rPr>
        <w:t>4.</w:t>
      </w:r>
      <w:r w:rsidR="00EB6BA6" w:rsidRPr="001E2F6E">
        <w:rPr>
          <w:b/>
          <w:bCs/>
          <w:color w:val="1F497D" w:themeColor="text2"/>
          <w:sz w:val="18"/>
          <w:szCs w:val="18"/>
        </w:rPr>
        <w:fldChar w:fldCharType="begin"/>
      </w:r>
      <w:r w:rsidRPr="001E2F6E">
        <w:rPr>
          <w:b/>
          <w:bCs/>
          <w:color w:val="1F497D" w:themeColor="text2"/>
          <w:sz w:val="18"/>
          <w:szCs w:val="18"/>
        </w:rPr>
        <w:instrText xml:space="preserve"> SEQ Cuadro_4. \* ARABIC </w:instrText>
      </w:r>
      <w:r w:rsidR="00EB6BA6" w:rsidRPr="001E2F6E">
        <w:rPr>
          <w:b/>
          <w:bCs/>
          <w:color w:val="1F497D" w:themeColor="text2"/>
          <w:sz w:val="18"/>
          <w:szCs w:val="18"/>
        </w:rPr>
        <w:fldChar w:fldCharType="separate"/>
      </w:r>
      <w:r w:rsidR="00A327D4">
        <w:rPr>
          <w:b/>
          <w:bCs/>
          <w:noProof/>
          <w:color w:val="1F497D" w:themeColor="text2"/>
          <w:sz w:val="18"/>
          <w:szCs w:val="18"/>
        </w:rPr>
        <w:t>17</w:t>
      </w:r>
      <w:r w:rsidR="00EB6BA6" w:rsidRPr="001E2F6E">
        <w:rPr>
          <w:b/>
          <w:bCs/>
          <w:color w:val="1F497D" w:themeColor="text2"/>
          <w:sz w:val="18"/>
          <w:szCs w:val="18"/>
        </w:rPr>
        <w:fldChar w:fldCharType="end"/>
      </w:r>
      <w:r w:rsidRPr="001E2F6E">
        <w:rPr>
          <w:b/>
          <w:bCs/>
          <w:color w:val="1F497D" w:themeColor="text2"/>
          <w:sz w:val="18"/>
          <w:szCs w:val="18"/>
        </w:rPr>
        <w:t xml:space="preserve"> Taula </w:t>
      </w:r>
      <w:r w:rsidRPr="001E2F6E">
        <w:rPr>
          <w:b/>
          <w:color w:val="1F497D" w:themeColor="text2"/>
          <w:sz w:val="18"/>
          <w:szCs w:val="18"/>
        </w:rPr>
        <w:t>FAKTURAZIOAREN ALORREZ ALORREKO BANAKETA GIZARTE-EKONOMIAREN FORMA BERRIAK 2012 (</w:t>
      </w:r>
      <w:r w:rsidR="00A943E8" w:rsidRPr="001E2F6E">
        <w:rPr>
          <w:b/>
          <w:color w:val="1F497D" w:themeColor="text2"/>
          <w:sz w:val="18"/>
          <w:szCs w:val="18"/>
        </w:rPr>
        <w:t xml:space="preserve">zifra absolutuak </w:t>
      </w:r>
      <w:r w:rsidRPr="001E2F6E">
        <w:rPr>
          <w:b/>
          <w:color w:val="1F497D" w:themeColor="text2"/>
          <w:sz w:val="18"/>
          <w:szCs w:val="18"/>
        </w:rPr>
        <w:t>eta %bertikalak)</w:t>
      </w:r>
      <w:bookmarkEnd w:id="460"/>
      <w:bookmarkEnd w:id="461"/>
    </w:p>
    <w:tbl>
      <w:tblPr>
        <w:tblW w:w="5000" w:type="pct"/>
        <w:jc w:val="center"/>
        <w:tblLook w:val="04A0" w:firstRow="1" w:lastRow="0" w:firstColumn="1" w:lastColumn="0" w:noHBand="0" w:noVBand="1"/>
      </w:tblPr>
      <w:tblGrid>
        <w:gridCol w:w="4523"/>
        <w:gridCol w:w="2417"/>
        <w:gridCol w:w="2064"/>
      </w:tblGrid>
      <w:tr w:rsidR="00195BE7" w:rsidRPr="001E2F6E" w:rsidTr="00195BE7">
        <w:trPr>
          <w:jc w:val="center"/>
        </w:trPr>
        <w:tc>
          <w:tcPr>
            <w:tcW w:w="2512"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hideMark/>
          </w:tcPr>
          <w:p w:rsidR="00195BE7" w:rsidRPr="001E2F6E" w:rsidRDefault="00195BE7" w:rsidP="00195BE7">
            <w:pPr>
              <w:spacing w:line="240" w:lineRule="exact"/>
              <w:rPr>
                <w:sz w:val="16"/>
                <w:szCs w:val="16"/>
              </w:rPr>
            </w:pPr>
          </w:p>
        </w:tc>
        <w:tc>
          <w:tcPr>
            <w:tcW w:w="134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hideMark/>
          </w:tcPr>
          <w:p w:rsidR="00195BE7" w:rsidRPr="001E2F6E" w:rsidRDefault="00195BE7" w:rsidP="00195BE7">
            <w:pPr>
              <w:spacing w:line="240" w:lineRule="exact"/>
              <w:ind w:right="170"/>
              <w:jc w:val="center"/>
              <w:rPr>
                <w:b/>
                <w:bCs/>
                <w:sz w:val="16"/>
                <w:szCs w:val="16"/>
              </w:rPr>
            </w:pPr>
            <w:r w:rsidRPr="001E2F6E">
              <w:rPr>
                <w:b/>
                <w:bCs/>
                <w:sz w:val="16"/>
                <w:szCs w:val="16"/>
              </w:rPr>
              <w:t>Fakturazioa</w:t>
            </w:r>
          </w:p>
        </w:tc>
        <w:tc>
          <w:tcPr>
            <w:tcW w:w="1146"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vAlign w:val="center"/>
            <w:hideMark/>
          </w:tcPr>
          <w:p w:rsidR="00195BE7" w:rsidRPr="001E2F6E" w:rsidRDefault="00195BE7" w:rsidP="00195BE7">
            <w:pPr>
              <w:spacing w:line="240" w:lineRule="exact"/>
              <w:ind w:right="170"/>
              <w:jc w:val="center"/>
              <w:rPr>
                <w:b/>
                <w:bCs/>
                <w:sz w:val="16"/>
                <w:szCs w:val="16"/>
              </w:rPr>
            </w:pPr>
            <w:r w:rsidRPr="001E2F6E">
              <w:rPr>
                <w:b/>
                <w:bCs/>
                <w:sz w:val="16"/>
                <w:szCs w:val="16"/>
              </w:rPr>
              <w:t>%ber.</w:t>
            </w:r>
          </w:p>
        </w:tc>
      </w:tr>
      <w:tr w:rsidR="00195BE7" w:rsidRPr="001E2F6E" w:rsidTr="00195BE7">
        <w:trPr>
          <w:jc w:val="center"/>
        </w:trPr>
        <w:tc>
          <w:tcPr>
            <w:tcW w:w="2512" w:type="pct"/>
            <w:tcBorders>
              <w:top w:val="single" w:sz="4" w:space="0" w:color="BFBFBF" w:themeColor="background1" w:themeShade="BF"/>
              <w:right w:val="single" w:sz="4" w:space="0" w:color="BFBFBF" w:themeColor="background1" w:themeShade="BF"/>
            </w:tcBorders>
            <w:vAlign w:val="bottom"/>
            <w:hideMark/>
          </w:tcPr>
          <w:p w:rsidR="00195BE7" w:rsidRPr="001E2F6E" w:rsidRDefault="00195BE7" w:rsidP="00195BE7">
            <w:pPr>
              <w:spacing w:line="240" w:lineRule="exact"/>
              <w:rPr>
                <w:color w:val="000000"/>
                <w:sz w:val="16"/>
                <w:szCs w:val="16"/>
              </w:rPr>
            </w:pPr>
            <w:r w:rsidRPr="001E2F6E">
              <w:rPr>
                <w:color w:val="000000"/>
                <w:sz w:val="16"/>
                <w:szCs w:val="16"/>
              </w:rPr>
              <w:t>1.</w:t>
            </w:r>
            <w:r w:rsidRPr="001E2F6E">
              <w:rPr>
                <w:bCs/>
                <w:color w:val="000000"/>
                <w:sz w:val="16"/>
                <w:szCs w:val="16"/>
              </w:rPr>
              <w:t xml:space="preserve"> BGAEak</w:t>
            </w:r>
          </w:p>
        </w:tc>
        <w:tc>
          <w:tcPr>
            <w:tcW w:w="1342" w:type="pct"/>
            <w:tcBorders>
              <w:top w:val="single" w:sz="4" w:space="0" w:color="BFBFBF" w:themeColor="background1" w:themeShade="BF"/>
              <w:left w:val="single" w:sz="4" w:space="0" w:color="BFBFBF" w:themeColor="background1" w:themeShade="BF"/>
              <w:right w:val="single" w:sz="4" w:space="0" w:color="BFBFBF" w:themeColor="background1" w:themeShade="BF"/>
            </w:tcBorders>
            <w:noWrap/>
            <w:vAlign w:val="bottom"/>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923.750.186</w:t>
            </w:r>
          </w:p>
        </w:tc>
        <w:tc>
          <w:tcPr>
            <w:tcW w:w="1146" w:type="pct"/>
            <w:tcBorders>
              <w:top w:val="single" w:sz="4" w:space="0" w:color="BFBFBF" w:themeColor="background1" w:themeShade="BF"/>
              <w:left w:val="single" w:sz="4" w:space="0" w:color="BFBFBF" w:themeColor="background1" w:themeShade="BF"/>
            </w:tcBorders>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47,3</w:t>
            </w:r>
          </w:p>
        </w:tc>
      </w:tr>
      <w:tr w:rsidR="00195BE7" w:rsidRPr="001E2F6E" w:rsidTr="00195BE7">
        <w:trPr>
          <w:jc w:val="center"/>
        </w:trPr>
        <w:tc>
          <w:tcPr>
            <w:tcW w:w="2512" w:type="pct"/>
            <w:tcBorders>
              <w:right w:val="single" w:sz="4" w:space="0" w:color="BFBFBF" w:themeColor="background1" w:themeShade="BF"/>
            </w:tcBorders>
            <w:vAlign w:val="bottom"/>
            <w:hideMark/>
          </w:tcPr>
          <w:p w:rsidR="00195BE7" w:rsidRPr="001E2F6E" w:rsidRDefault="00195BE7" w:rsidP="00195BE7">
            <w:pPr>
              <w:spacing w:line="240" w:lineRule="exact"/>
              <w:rPr>
                <w:color w:val="000000"/>
                <w:sz w:val="16"/>
                <w:szCs w:val="16"/>
              </w:rPr>
            </w:pPr>
            <w:r w:rsidRPr="001E2F6E">
              <w:rPr>
                <w:color w:val="000000"/>
                <w:sz w:val="16"/>
                <w:szCs w:val="16"/>
              </w:rPr>
              <w:t xml:space="preserve">2. </w:t>
            </w:r>
            <w:r w:rsidRPr="001E2F6E">
              <w:rPr>
                <w:bCs/>
                <w:color w:val="000000"/>
                <w:sz w:val="16"/>
                <w:szCs w:val="16"/>
              </w:rPr>
              <w:t>Fundazioak</w:t>
            </w:r>
          </w:p>
        </w:tc>
        <w:tc>
          <w:tcPr>
            <w:tcW w:w="1342" w:type="pct"/>
            <w:tcBorders>
              <w:left w:val="single" w:sz="4" w:space="0" w:color="BFBFBF" w:themeColor="background1" w:themeShade="BF"/>
              <w:right w:val="single" w:sz="4" w:space="0" w:color="BFBFBF" w:themeColor="background1" w:themeShade="BF"/>
            </w:tcBorders>
            <w:noWrap/>
            <w:vAlign w:val="bottom"/>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609.981.974</w:t>
            </w:r>
          </w:p>
        </w:tc>
        <w:tc>
          <w:tcPr>
            <w:tcW w:w="1146" w:type="pct"/>
            <w:tcBorders>
              <w:left w:val="single" w:sz="4" w:space="0" w:color="BFBFBF" w:themeColor="background1" w:themeShade="BF"/>
            </w:tcBorders>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31,2</w:t>
            </w:r>
          </w:p>
        </w:tc>
      </w:tr>
      <w:tr w:rsidR="00195BE7" w:rsidRPr="001E2F6E" w:rsidTr="00195BE7">
        <w:trPr>
          <w:jc w:val="center"/>
        </w:trPr>
        <w:tc>
          <w:tcPr>
            <w:tcW w:w="2512" w:type="pct"/>
            <w:tcBorders>
              <w:right w:val="single" w:sz="4" w:space="0" w:color="BFBFBF" w:themeColor="background1" w:themeShade="BF"/>
            </w:tcBorders>
            <w:vAlign w:val="bottom"/>
            <w:hideMark/>
          </w:tcPr>
          <w:p w:rsidR="00195BE7" w:rsidRPr="001E2F6E" w:rsidRDefault="00195BE7" w:rsidP="00195BE7">
            <w:pPr>
              <w:spacing w:line="240" w:lineRule="exact"/>
              <w:rPr>
                <w:color w:val="000000"/>
                <w:sz w:val="16"/>
                <w:szCs w:val="16"/>
              </w:rPr>
            </w:pPr>
            <w:r w:rsidRPr="001E2F6E">
              <w:rPr>
                <w:color w:val="000000"/>
                <w:sz w:val="16"/>
                <w:szCs w:val="16"/>
              </w:rPr>
              <w:t>3.</w:t>
            </w:r>
            <w:r w:rsidRPr="001E2F6E">
              <w:rPr>
                <w:bCs/>
                <w:color w:val="000000"/>
                <w:sz w:val="16"/>
                <w:szCs w:val="16"/>
              </w:rPr>
              <w:t xml:space="preserve"> Enplegu-Zentro Bereziak</w:t>
            </w:r>
          </w:p>
        </w:tc>
        <w:tc>
          <w:tcPr>
            <w:tcW w:w="1342" w:type="pct"/>
            <w:tcBorders>
              <w:left w:val="single" w:sz="4" w:space="0" w:color="BFBFBF" w:themeColor="background1" w:themeShade="BF"/>
              <w:right w:val="single" w:sz="4" w:space="0" w:color="BFBFBF" w:themeColor="background1" w:themeShade="BF"/>
            </w:tcBorders>
            <w:noWrap/>
            <w:vAlign w:val="bottom"/>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175.567.575</w:t>
            </w:r>
          </w:p>
        </w:tc>
        <w:tc>
          <w:tcPr>
            <w:tcW w:w="1146" w:type="pct"/>
            <w:tcBorders>
              <w:left w:val="single" w:sz="4" w:space="0" w:color="BFBFBF" w:themeColor="background1" w:themeShade="BF"/>
            </w:tcBorders>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9,0</w:t>
            </w:r>
          </w:p>
        </w:tc>
      </w:tr>
      <w:tr w:rsidR="00195BE7" w:rsidRPr="001E2F6E" w:rsidTr="00195BE7">
        <w:trPr>
          <w:jc w:val="center"/>
        </w:trPr>
        <w:tc>
          <w:tcPr>
            <w:tcW w:w="2512" w:type="pct"/>
            <w:tcBorders>
              <w:right w:val="single" w:sz="4" w:space="0" w:color="BFBFBF" w:themeColor="background1" w:themeShade="BF"/>
            </w:tcBorders>
            <w:noWrap/>
            <w:vAlign w:val="bottom"/>
            <w:hideMark/>
          </w:tcPr>
          <w:p w:rsidR="00195BE7" w:rsidRPr="001E2F6E" w:rsidRDefault="00195BE7" w:rsidP="00195BE7">
            <w:pPr>
              <w:spacing w:line="240" w:lineRule="exact"/>
              <w:rPr>
                <w:color w:val="000000"/>
                <w:sz w:val="16"/>
                <w:szCs w:val="16"/>
              </w:rPr>
            </w:pPr>
            <w:r w:rsidRPr="001E2F6E">
              <w:rPr>
                <w:color w:val="000000"/>
                <w:sz w:val="16"/>
                <w:szCs w:val="16"/>
              </w:rPr>
              <w:t xml:space="preserve">4. </w:t>
            </w:r>
            <w:r w:rsidRPr="001E2F6E">
              <w:rPr>
                <w:bCs/>
                <w:color w:val="000000"/>
                <w:sz w:val="16"/>
                <w:szCs w:val="16"/>
              </w:rPr>
              <w:t>Elkarteak</w:t>
            </w:r>
          </w:p>
        </w:tc>
        <w:tc>
          <w:tcPr>
            <w:tcW w:w="1342" w:type="pct"/>
            <w:tcBorders>
              <w:left w:val="single" w:sz="4" w:space="0" w:color="BFBFBF" w:themeColor="background1" w:themeShade="BF"/>
              <w:right w:val="single" w:sz="4" w:space="0" w:color="BFBFBF" w:themeColor="background1" w:themeShade="BF"/>
            </w:tcBorders>
            <w:noWrap/>
            <w:vAlign w:val="bottom"/>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171.161.456</w:t>
            </w:r>
          </w:p>
        </w:tc>
        <w:tc>
          <w:tcPr>
            <w:tcW w:w="1146" w:type="pct"/>
            <w:tcBorders>
              <w:left w:val="single" w:sz="4" w:space="0" w:color="BFBFBF" w:themeColor="background1" w:themeShade="BF"/>
            </w:tcBorders>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8,8</w:t>
            </w:r>
          </w:p>
        </w:tc>
      </w:tr>
      <w:tr w:rsidR="00195BE7" w:rsidRPr="001E2F6E" w:rsidTr="00195BE7">
        <w:trPr>
          <w:jc w:val="center"/>
        </w:trPr>
        <w:tc>
          <w:tcPr>
            <w:tcW w:w="2512" w:type="pct"/>
            <w:tcBorders>
              <w:right w:val="single" w:sz="4" w:space="0" w:color="BFBFBF" w:themeColor="background1" w:themeShade="BF"/>
            </w:tcBorders>
            <w:noWrap/>
            <w:vAlign w:val="bottom"/>
            <w:hideMark/>
          </w:tcPr>
          <w:p w:rsidR="00195BE7" w:rsidRPr="001E2F6E" w:rsidRDefault="00195BE7" w:rsidP="00195BE7">
            <w:pPr>
              <w:spacing w:line="240" w:lineRule="exact"/>
              <w:rPr>
                <w:color w:val="000000"/>
                <w:sz w:val="16"/>
                <w:szCs w:val="16"/>
              </w:rPr>
            </w:pPr>
            <w:r w:rsidRPr="001E2F6E">
              <w:rPr>
                <w:color w:val="000000"/>
                <w:sz w:val="16"/>
                <w:szCs w:val="16"/>
              </w:rPr>
              <w:t xml:space="preserve">5. </w:t>
            </w:r>
            <w:r w:rsidRPr="001E2F6E">
              <w:rPr>
                <w:bCs/>
                <w:color w:val="000000"/>
                <w:sz w:val="16"/>
                <w:szCs w:val="16"/>
              </w:rPr>
              <w:t>Laneratzeko Enpresak</w:t>
            </w:r>
          </w:p>
        </w:tc>
        <w:tc>
          <w:tcPr>
            <w:tcW w:w="1342" w:type="pct"/>
            <w:tcBorders>
              <w:left w:val="single" w:sz="4" w:space="0" w:color="BFBFBF" w:themeColor="background1" w:themeShade="BF"/>
              <w:right w:val="single" w:sz="4" w:space="0" w:color="BFBFBF" w:themeColor="background1" w:themeShade="BF"/>
            </w:tcBorders>
            <w:noWrap/>
            <w:vAlign w:val="bottom"/>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25.534.006</w:t>
            </w:r>
          </w:p>
        </w:tc>
        <w:tc>
          <w:tcPr>
            <w:tcW w:w="1146" w:type="pct"/>
            <w:tcBorders>
              <w:left w:val="single" w:sz="4" w:space="0" w:color="BFBFBF" w:themeColor="background1" w:themeShade="BF"/>
            </w:tcBorders>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1,3</w:t>
            </w:r>
          </w:p>
        </w:tc>
      </w:tr>
      <w:tr w:rsidR="00195BE7" w:rsidRPr="001E2F6E" w:rsidTr="00195BE7">
        <w:trPr>
          <w:jc w:val="center"/>
        </w:trPr>
        <w:tc>
          <w:tcPr>
            <w:tcW w:w="2512" w:type="pct"/>
            <w:tcBorders>
              <w:right w:val="single" w:sz="4" w:space="0" w:color="BFBFBF" w:themeColor="background1" w:themeShade="BF"/>
            </w:tcBorders>
            <w:noWrap/>
            <w:vAlign w:val="bottom"/>
            <w:hideMark/>
          </w:tcPr>
          <w:p w:rsidR="00195BE7" w:rsidRPr="001E2F6E" w:rsidRDefault="00195BE7" w:rsidP="00195BE7">
            <w:pPr>
              <w:spacing w:line="240" w:lineRule="exact"/>
              <w:rPr>
                <w:color w:val="000000"/>
                <w:sz w:val="16"/>
                <w:szCs w:val="16"/>
              </w:rPr>
            </w:pPr>
            <w:r w:rsidRPr="001E2F6E">
              <w:rPr>
                <w:color w:val="000000"/>
                <w:sz w:val="16"/>
                <w:szCs w:val="16"/>
              </w:rPr>
              <w:t>6.</w:t>
            </w:r>
            <w:r w:rsidRPr="001E2F6E">
              <w:rPr>
                <w:bCs/>
                <w:color w:val="000000"/>
                <w:sz w:val="16"/>
                <w:szCs w:val="16"/>
              </w:rPr>
              <w:t xml:space="preserve"> ENSak</w:t>
            </w:r>
          </w:p>
        </w:tc>
        <w:tc>
          <w:tcPr>
            <w:tcW w:w="1342" w:type="pct"/>
            <w:tcBorders>
              <w:left w:val="single" w:sz="4" w:space="0" w:color="BFBFBF" w:themeColor="background1" w:themeShade="BF"/>
              <w:right w:val="single" w:sz="4" w:space="0" w:color="BFBFBF" w:themeColor="background1" w:themeShade="BF"/>
            </w:tcBorders>
            <w:noWrap/>
            <w:vAlign w:val="bottom"/>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24.665.216</w:t>
            </w:r>
          </w:p>
        </w:tc>
        <w:tc>
          <w:tcPr>
            <w:tcW w:w="1146" w:type="pct"/>
            <w:tcBorders>
              <w:left w:val="single" w:sz="4" w:space="0" w:color="BFBFBF" w:themeColor="background1" w:themeShade="BF"/>
            </w:tcBorders>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1,3</w:t>
            </w:r>
          </w:p>
        </w:tc>
      </w:tr>
      <w:tr w:rsidR="00195BE7" w:rsidRPr="001E2F6E" w:rsidTr="00195BE7">
        <w:trPr>
          <w:jc w:val="center"/>
        </w:trPr>
        <w:tc>
          <w:tcPr>
            <w:tcW w:w="2512" w:type="pct"/>
            <w:tcBorders>
              <w:bottom w:val="single" w:sz="4" w:space="0" w:color="BFBFBF" w:themeColor="background1" w:themeShade="BF"/>
              <w:right w:val="single" w:sz="4" w:space="0" w:color="BFBFBF" w:themeColor="background1" w:themeShade="BF"/>
            </w:tcBorders>
            <w:noWrap/>
            <w:vAlign w:val="bottom"/>
            <w:hideMark/>
          </w:tcPr>
          <w:p w:rsidR="00195BE7" w:rsidRPr="001E2F6E" w:rsidRDefault="00195BE7" w:rsidP="00195BE7">
            <w:pPr>
              <w:spacing w:line="240" w:lineRule="exact"/>
              <w:rPr>
                <w:color w:val="000000"/>
                <w:sz w:val="16"/>
                <w:szCs w:val="16"/>
              </w:rPr>
            </w:pPr>
            <w:r w:rsidRPr="001E2F6E">
              <w:rPr>
                <w:color w:val="000000"/>
                <w:sz w:val="16"/>
                <w:szCs w:val="16"/>
              </w:rPr>
              <w:t xml:space="preserve">7. </w:t>
            </w:r>
            <w:r w:rsidRPr="001E2F6E">
              <w:rPr>
                <w:bCs/>
                <w:color w:val="000000"/>
                <w:sz w:val="16"/>
                <w:szCs w:val="16"/>
              </w:rPr>
              <w:t>Arrantzale-Kofradiak</w:t>
            </w:r>
          </w:p>
        </w:tc>
        <w:tc>
          <w:tcPr>
            <w:tcW w:w="1342" w:type="pct"/>
            <w:tcBorders>
              <w:left w:val="single" w:sz="4" w:space="0" w:color="BFBFBF" w:themeColor="background1" w:themeShade="BF"/>
              <w:bottom w:val="single" w:sz="4" w:space="0" w:color="BFBFBF" w:themeColor="background1" w:themeShade="BF"/>
              <w:right w:val="single" w:sz="4" w:space="0" w:color="BFBFBF" w:themeColor="background1" w:themeShade="BF"/>
            </w:tcBorders>
            <w:noWrap/>
            <w:vAlign w:val="bottom"/>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21.751.742</w:t>
            </w:r>
          </w:p>
        </w:tc>
        <w:tc>
          <w:tcPr>
            <w:tcW w:w="1146" w:type="pct"/>
            <w:tcBorders>
              <w:left w:val="single" w:sz="4" w:space="0" w:color="BFBFBF" w:themeColor="background1" w:themeShade="BF"/>
              <w:bottom w:val="single" w:sz="4" w:space="0" w:color="BFBFBF" w:themeColor="background1" w:themeShade="BF"/>
            </w:tcBorders>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1,1</w:t>
            </w:r>
          </w:p>
        </w:tc>
      </w:tr>
      <w:tr w:rsidR="00195BE7" w:rsidRPr="001E2F6E" w:rsidTr="00195BE7">
        <w:trPr>
          <w:jc w:val="center"/>
        </w:trPr>
        <w:tc>
          <w:tcPr>
            <w:tcW w:w="2512" w:type="pct"/>
            <w:tcBorders>
              <w:top w:val="single" w:sz="4" w:space="0" w:color="BFBFBF" w:themeColor="background1" w:themeShade="BF"/>
              <w:bottom w:val="single" w:sz="4" w:space="0" w:color="BFBFBF" w:themeColor="background1" w:themeShade="BF"/>
              <w:right w:val="single" w:sz="4" w:space="0" w:color="BFBFBF" w:themeColor="background1" w:themeShade="BF"/>
            </w:tcBorders>
            <w:noWrap/>
            <w:vAlign w:val="bottom"/>
            <w:hideMark/>
          </w:tcPr>
          <w:p w:rsidR="00195BE7" w:rsidRPr="001E2F6E" w:rsidRDefault="00195BE7" w:rsidP="00195BE7">
            <w:pPr>
              <w:spacing w:line="240" w:lineRule="exact"/>
              <w:rPr>
                <w:b/>
                <w:bCs/>
                <w:color w:val="000000"/>
                <w:sz w:val="16"/>
                <w:szCs w:val="16"/>
              </w:rPr>
            </w:pPr>
            <w:r w:rsidRPr="001E2F6E">
              <w:rPr>
                <w:b/>
                <w:bCs/>
                <w:color w:val="000000"/>
                <w:sz w:val="16"/>
                <w:szCs w:val="16"/>
              </w:rPr>
              <w:t>GUZTIRA</w:t>
            </w:r>
          </w:p>
        </w:tc>
        <w:tc>
          <w:tcPr>
            <w:tcW w:w="134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bottom"/>
            <w:hideMark/>
          </w:tcPr>
          <w:p w:rsidR="00195BE7" w:rsidRPr="001E2F6E" w:rsidRDefault="00195BE7" w:rsidP="00195BE7">
            <w:pPr>
              <w:spacing w:line="240" w:lineRule="exact"/>
              <w:ind w:right="170"/>
              <w:jc w:val="right"/>
              <w:rPr>
                <w:b/>
                <w:bCs/>
                <w:color w:val="000000"/>
                <w:sz w:val="16"/>
                <w:szCs w:val="16"/>
              </w:rPr>
            </w:pPr>
            <w:r w:rsidRPr="001E2F6E">
              <w:rPr>
                <w:b/>
                <w:bCs/>
                <w:color w:val="000000"/>
                <w:sz w:val="16"/>
                <w:szCs w:val="16"/>
              </w:rPr>
              <w:t>1.952.412.155</w:t>
            </w:r>
          </w:p>
        </w:tc>
        <w:tc>
          <w:tcPr>
            <w:tcW w:w="1146" w:type="pct"/>
            <w:tcBorders>
              <w:top w:val="single" w:sz="4" w:space="0" w:color="BFBFBF" w:themeColor="background1" w:themeShade="BF"/>
              <w:left w:val="single" w:sz="4" w:space="0" w:color="BFBFBF" w:themeColor="background1" w:themeShade="BF"/>
              <w:bottom w:val="single" w:sz="4" w:space="0" w:color="BFBFBF" w:themeColor="background1" w:themeShade="BF"/>
            </w:tcBorders>
            <w:vAlign w:val="bottom"/>
            <w:hideMark/>
          </w:tcPr>
          <w:p w:rsidR="00195BE7" w:rsidRPr="001E2F6E" w:rsidRDefault="00195BE7" w:rsidP="00195BE7">
            <w:pPr>
              <w:spacing w:line="240" w:lineRule="exact"/>
              <w:ind w:right="170"/>
              <w:jc w:val="right"/>
              <w:rPr>
                <w:b/>
                <w:bCs/>
                <w:color w:val="000000"/>
                <w:sz w:val="16"/>
                <w:szCs w:val="16"/>
              </w:rPr>
            </w:pPr>
            <w:r w:rsidRPr="001E2F6E">
              <w:rPr>
                <w:b/>
                <w:bCs/>
                <w:color w:val="000000"/>
                <w:sz w:val="16"/>
                <w:szCs w:val="16"/>
              </w:rPr>
              <w:t>100,0</w:t>
            </w:r>
          </w:p>
        </w:tc>
      </w:tr>
    </w:tbl>
    <w:p w:rsidR="00195BE7" w:rsidRPr="001E2F6E" w:rsidRDefault="00195BE7" w:rsidP="00195BE7"/>
    <w:p w:rsidR="00195BE7" w:rsidRPr="001E2F6E" w:rsidRDefault="00195BE7" w:rsidP="00195BE7"/>
    <w:p w:rsidR="00195BE7" w:rsidRPr="001E2F6E" w:rsidRDefault="00195BE7" w:rsidP="00195BE7">
      <w:pPr>
        <w:spacing w:line="240" w:lineRule="auto"/>
        <w:jc w:val="center"/>
        <w:rPr>
          <w:b/>
          <w:color w:val="1F497D" w:themeColor="text2"/>
          <w:sz w:val="18"/>
          <w:szCs w:val="18"/>
        </w:rPr>
      </w:pPr>
      <w:bookmarkStart w:id="462" w:name="_Toc391989191"/>
      <w:bookmarkStart w:id="463" w:name="_Toc392585871"/>
      <w:r w:rsidRPr="001E2F6E">
        <w:rPr>
          <w:b/>
          <w:bCs/>
          <w:color w:val="1F497D" w:themeColor="text2"/>
          <w:sz w:val="18"/>
          <w:szCs w:val="18"/>
        </w:rPr>
        <w:t>4.</w:t>
      </w:r>
      <w:r w:rsidR="00EB6BA6" w:rsidRPr="001E2F6E">
        <w:rPr>
          <w:b/>
          <w:bCs/>
          <w:color w:val="1F497D" w:themeColor="text2"/>
          <w:sz w:val="18"/>
          <w:szCs w:val="18"/>
        </w:rPr>
        <w:fldChar w:fldCharType="begin"/>
      </w:r>
      <w:r w:rsidRPr="001E2F6E">
        <w:rPr>
          <w:b/>
          <w:bCs/>
          <w:color w:val="1F497D" w:themeColor="text2"/>
          <w:sz w:val="18"/>
          <w:szCs w:val="18"/>
        </w:rPr>
        <w:instrText xml:space="preserve"> SEQ Cuadro_4. \* ARABIC </w:instrText>
      </w:r>
      <w:r w:rsidR="00EB6BA6" w:rsidRPr="001E2F6E">
        <w:rPr>
          <w:b/>
          <w:bCs/>
          <w:color w:val="1F497D" w:themeColor="text2"/>
          <w:sz w:val="18"/>
          <w:szCs w:val="18"/>
        </w:rPr>
        <w:fldChar w:fldCharType="separate"/>
      </w:r>
      <w:r w:rsidR="00A327D4">
        <w:rPr>
          <w:b/>
          <w:bCs/>
          <w:noProof/>
          <w:color w:val="1F497D" w:themeColor="text2"/>
          <w:sz w:val="18"/>
          <w:szCs w:val="18"/>
        </w:rPr>
        <w:t>18</w:t>
      </w:r>
      <w:r w:rsidR="00EB6BA6" w:rsidRPr="001E2F6E">
        <w:rPr>
          <w:b/>
          <w:bCs/>
          <w:color w:val="1F497D" w:themeColor="text2"/>
          <w:sz w:val="18"/>
          <w:szCs w:val="18"/>
        </w:rPr>
        <w:fldChar w:fldCharType="end"/>
      </w:r>
      <w:r w:rsidRPr="001E2F6E">
        <w:rPr>
          <w:b/>
          <w:bCs/>
          <w:color w:val="1F497D" w:themeColor="text2"/>
          <w:sz w:val="18"/>
          <w:szCs w:val="18"/>
        </w:rPr>
        <w:t xml:space="preserve"> Taula </w:t>
      </w:r>
      <w:r w:rsidRPr="001E2F6E">
        <w:rPr>
          <w:b/>
          <w:color w:val="1F497D" w:themeColor="text2"/>
          <w:sz w:val="18"/>
          <w:szCs w:val="18"/>
        </w:rPr>
        <w:t>LANGILEEN GASTUEN ALORREZ ALORREKO BANAKETA GIZARTE-EKONOMIAREN FORMA BERRIAK 2012 (z.a. eta %bertikalak)</w:t>
      </w:r>
      <w:bookmarkEnd w:id="462"/>
      <w:bookmarkEnd w:id="463"/>
    </w:p>
    <w:tbl>
      <w:tblPr>
        <w:tblW w:w="5000" w:type="pct"/>
        <w:jc w:val="center"/>
        <w:tblLook w:val="04A0" w:firstRow="1" w:lastRow="0" w:firstColumn="1" w:lastColumn="0" w:noHBand="0" w:noVBand="1"/>
      </w:tblPr>
      <w:tblGrid>
        <w:gridCol w:w="4523"/>
        <w:gridCol w:w="2417"/>
        <w:gridCol w:w="2064"/>
      </w:tblGrid>
      <w:tr w:rsidR="00195BE7" w:rsidRPr="001E2F6E" w:rsidTr="00195BE7">
        <w:trPr>
          <w:jc w:val="center"/>
        </w:trPr>
        <w:tc>
          <w:tcPr>
            <w:tcW w:w="2512"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hideMark/>
          </w:tcPr>
          <w:p w:rsidR="00195BE7" w:rsidRPr="001E2F6E" w:rsidRDefault="00195BE7" w:rsidP="00195BE7">
            <w:pPr>
              <w:spacing w:line="240" w:lineRule="exact"/>
            </w:pPr>
          </w:p>
        </w:tc>
        <w:tc>
          <w:tcPr>
            <w:tcW w:w="134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hideMark/>
          </w:tcPr>
          <w:p w:rsidR="00195BE7" w:rsidRPr="001E2F6E" w:rsidRDefault="00195BE7" w:rsidP="00195BE7">
            <w:pPr>
              <w:spacing w:line="240" w:lineRule="auto"/>
              <w:jc w:val="center"/>
              <w:rPr>
                <w:b/>
                <w:bCs/>
                <w:sz w:val="16"/>
                <w:szCs w:val="16"/>
              </w:rPr>
            </w:pPr>
            <w:r w:rsidRPr="001E2F6E">
              <w:rPr>
                <w:b/>
                <w:bCs/>
                <w:sz w:val="16"/>
                <w:szCs w:val="16"/>
              </w:rPr>
              <w:t>Langileen gastuak</w:t>
            </w:r>
          </w:p>
        </w:tc>
        <w:tc>
          <w:tcPr>
            <w:tcW w:w="1146"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vAlign w:val="center"/>
            <w:hideMark/>
          </w:tcPr>
          <w:p w:rsidR="00195BE7" w:rsidRPr="001E2F6E" w:rsidRDefault="00195BE7" w:rsidP="00195BE7">
            <w:pPr>
              <w:spacing w:line="240" w:lineRule="exact"/>
              <w:ind w:right="170"/>
              <w:jc w:val="center"/>
              <w:rPr>
                <w:b/>
                <w:bCs/>
                <w:sz w:val="16"/>
                <w:szCs w:val="16"/>
              </w:rPr>
            </w:pPr>
            <w:r w:rsidRPr="001E2F6E">
              <w:rPr>
                <w:b/>
                <w:bCs/>
                <w:sz w:val="16"/>
                <w:szCs w:val="16"/>
              </w:rPr>
              <w:t>%ber.</w:t>
            </w:r>
          </w:p>
        </w:tc>
      </w:tr>
      <w:tr w:rsidR="00195BE7" w:rsidRPr="001E2F6E" w:rsidTr="00195BE7">
        <w:trPr>
          <w:jc w:val="center"/>
        </w:trPr>
        <w:tc>
          <w:tcPr>
            <w:tcW w:w="2512" w:type="pct"/>
            <w:tcBorders>
              <w:top w:val="single" w:sz="4" w:space="0" w:color="BFBFBF" w:themeColor="background1" w:themeShade="BF"/>
              <w:right w:val="single" w:sz="4" w:space="0" w:color="BFBFBF" w:themeColor="background1" w:themeShade="BF"/>
            </w:tcBorders>
            <w:vAlign w:val="bottom"/>
            <w:hideMark/>
          </w:tcPr>
          <w:p w:rsidR="00195BE7" w:rsidRPr="001E2F6E" w:rsidRDefault="00195BE7" w:rsidP="00195BE7">
            <w:pPr>
              <w:spacing w:line="240" w:lineRule="exact"/>
              <w:jc w:val="left"/>
              <w:rPr>
                <w:color w:val="000000"/>
                <w:sz w:val="16"/>
                <w:szCs w:val="16"/>
              </w:rPr>
            </w:pPr>
            <w:r w:rsidRPr="001E2F6E">
              <w:rPr>
                <w:color w:val="000000"/>
                <w:sz w:val="16"/>
                <w:szCs w:val="16"/>
              </w:rPr>
              <w:t>1.</w:t>
            </w:r>
            <w:r w:rsidRPr="001E2F6E">
              <w:rPr>
                <w:bCs/>
                <w:color w:val="000000"/>
                <w:sz w:val="16"/>
                <w:szCs w:val="16"/>
              </w:rPr>
              <w:t xml:space="preserve"> Fundazioak</w:t>
            </w:r>
          </w:p>
        </w:tc>
        <w:tc>
          <w:tcPr>
            <w:tcW w:w="1342" w:type="pct"/>
            <w:tcBorders>
              <w:top w:val="single" w:sz="4" w:space="0" w:color="BFBFBF" w:themeColor="background1" w:themeShade="BF"/>
              <w:left w:val="single" w:sz="4" w:space="0" w:color="BFBFBF" w:themeColor="background1" w:themeShade="BF"/>
              <w:right w:val="single" w:sz="4" w:space="0" w:color="BFBFBF" w:themeColor="background1" w:themeShade="BF"/>
            </w:tcBorders>
            <w:noWrap/>
            <w:vAlign w:val="bottom"/>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383.918.424</w:t>
            </w:r>
          </w:p>
        </w:tc>
        <w:tc>
          <w:tcPr>
            <w:tcW w:w="1146" w:type="pct"/>
            <w:tcBorders>
              <w:top w:val="single" w:sz="4" w:space="0" w:color="BFBFBF" w:themeColor="background1" w:themeShade="BF"/>
              <w:left w:val="single" w:sz="4" w:space="0" w:color="BFBFBF" w:themeColor="background1" w:themeShade="BF"/>
            </w:tcBorders>
            <w:vAlign w:val="bottom"/>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57,8</w:t>
            </w:r>
          </w:p>
        </w:tc>
      </w:tr>
      <w:tr w:rsidR="00195BE7" w:rsidRPr="001E2F6E" w:rsidTr="00195BE7">
        <w:trPr>
          <w:jc w:val="center"/>
        </w:trPr>
        <w:tc>
          <w:tcPr>
            <w:tcW w:w="2512" w:type="pct"/>
            <w:tcBorders>
              <w:right w:val="single" w:sz="4" w:space="0" w:color="BFBFBF" w:themeColor="background1" w:themeShade="BF"/>
            </w:tcBorders>
            <w:vAlign w:val="bottom"/>
            <w:hideMark/>
          </w:tcPr>
          <w:p w:rsidR="00195BE7" w:rsidRPr="001E2F6E" w:rsidRDefault="00195BE7" w:rsidP="00195BE7">
            <w:pPr>
              <w:spacing w:line="240" w:lineRule="exact"/>
              <w:jc w:val="left"/>
              <w:rPr>
                <w:color w:val="000000"/>
                <w:sz w:val="16"/>
                <w:szCs w:val="16"/>
              </w:rPr>
            </w:pPr>
            <w:r w:rsidRPr="001E2F6E">
              <w:rPr>
                <w:color w:val="000000"/>
                <w:sz w:val="16"/>
                <w:szCs w:val="16"/>
              </w:rPr>
              <w:t>2.</w:t>
            </w:r>
            <w:r w:rsidRPr="001E2F6E">
              <w:rPr>
                <w:rFonts w:ascii="Times New Roman" w:hAnsi="Times New Roman"/>
                <w:color w:val="000000"/>
                <w:sz w:val="14"/>
                <w:szCs w:val="14"/>
              </w:rPr>
              <w:t xml:space="preserve"> </w:t>
            </w:r>
            <w:r w:rsidRPr="001E2F6E">
              <w:rPr>
                <w:bCs/>
                <w:color w:val="000000"/>
                <w:sz w:val="16"/>
                <w:szCs w:val="16"/>
              </w:rPr>
              <w:t>Elkarteak</w:t>
            </w:r>
          </w:p>
        </w:tc>
        <w:tc>
          <w:tcPr>
            <w:tcW w:w="1342" w:type="pct"/>
            <w:tcBorders>
              <w:left w:val="single" w:sz="4" w:space="0" w:color="BFBFBF" w:themeColor="background1" w:themeShade="BF"/>
              <w:right w:val="single" w:sz="4" w:space="0" w:color="BFBFBF" w:themeColor="background1" w:themeShade="BF"/>
            </w:tcBorders>
            <w:noWrap/>
            <w:vAlign w:val="bottom"/>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113.781.008</w:t>
            </w:r>
          </w:p>
        </w:tc>
        <w:tc>
          <w:tcPr>
            <w:tcW w:w="1146" w:type="pct"/>
            <w:tcBorders>
              <w:left w:val="single" w:sz="4" w:space="0" w:color="BFBFBF" w:themeColor="background1" w:themeShade="BF"/>
            </w:tcBorders>
            <w:vAlign w:val="bottom"/>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17,1</w:t>
            </w:r>
          </w:p>
        </w:tc>
      </w:tr>
      <w:tr w:rsidR="00195BE7" w:rsidRPr="001E2F6E" w:rsidTr="00195BE7">
        <w:trPr>
          <w:jc w:val="center"/>
        </w:trPr>
        <w:tc>
          <w:tcPr>
            <w:tcW w:w="2512" w:type="pct"/>
            <w:tcBorders>
              <w:right w:val="single" w:sz="4" w:space="0" w:color="BFBFBF" w:themeColor="background1" w:themeShade="BF"/>
            </w:tcBorders>
            <w:vAlign w:val="bottom"/>
            <w:hideMark/>
          </w:tcPr>
          <w:p w:rsidR="00195BE7" w:rsidRPr="001E2F6E" w:rsidRDefault="00195BE7" w:rsidP="00195BE7">
            <w:pPr>
              <w:spacing w:line="240" w:lineRule="exact"/>
              <w:jc w:val="left"/>
              <w:rPr>
                <w:color w:val="000000"/>
                <w:sz w:val="16"/>
                <w:szCs w:val="16"/>
              </w:rPr>
            </w:pPr>
            <w:r w:rsidRPr="001E2F6E">
              <w:rPr>
                <w:color w:val="000000"/>
                <w:sz w:val="16"/>
                <w:szCs w:val="16"/>
              </w:rPr>
              <w:t>3.</w:t>
            </w:r>
            <w:r w:rsidRPr="001E2F6E">
              <w:rPr>
                <w:rFonts w:ascii="Times New Roman" w:hAnsi="Times New Roman"/>
                <w:color w:val="000000"/>
                <w:sz w:val="14"/>
                <w:szCs w:val="14"/>
              </w:rPr>
              <w:t xml:space="preserve"> </w:t>
            </w:r>
            <w:r w:rsidRPr="001E2F6E">
              <w:rPr>
                <w:bCs/>
                <w:color w:val="000000"/>
                <w:sz w:val="16"/>
                <w:szCs w:val="16"/>
              </w:rPr>
              <w:t>Enplegu-Zentro Bereziak</w:t>
            </w:r>
          </w:p>
        </w:tc>
        <w:tc>
          <w:tcPr>
            <w:tcW w:w="1342" w:type="pct"/>
            <w:tcBorders>
              <w:left w:val="single" w:sz="4" w:space="0" w:color="BFBFBF" w:themeColor="background1" w:themeShade="BF"/>
              <w:right w:val="single" w:sz="4" w:space="0" w:color="BFBFBF" w:themeColor="background1" w:themeShade="BF"/>
            </w:tcBorders>
            <w:noWrap/>
            <w:vAlign w:val="bottom"/>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135.122.040</w:t>
            </w:r>
          </w:p>
        </w:tc>
        <w:tc>
          <w:tcPr>
            <w:tcW w:w="1146" w:type="pct"/>
            <w:tcBorders>
              <w:left w:val="single" w:sz="4" w:space="0" w:color="BFBFBF" w:themeColor="background1" w:themeShade="BF"/>
            </w:tcBorders>
            <w:vAlign w:val="bottom"/>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20,3</w:t>
            </w:r>
          </w:p>
        </w:tc>
      </w:tr>
      <w:tr w:rsidR="00195BE7" w:rsidRPr="001E2F6E" w:rsidTr="00195BE7">
        <w:trPr>
          <w:jc w:val="center"/>
        </w:trPr>
        <w:tc>
          <w:tcPr>
            <w:tcW w:w="2512" w:type="pct"/>
            <w:tcBorders>
              <w:right w:val="single" w:sz="4" w:space="0" w:color="BFBFBF" w:themeColor="background1" w:themeShade="BF"/>
            </w:tcBorders>
            <w:noWrap/>
            <w:vAlign w:val="bottom"/>
            <w:hideMark/>
          </w:tcPr>
          <w:p w:rsidR="00195BE7" w:rsidRPr="001E2F6E" w:rsidRDefault="00195BE7" w:rsidP="00195BE7">
            <w:pPr>
              <w:spacing w:line="240" w:lineRule="exact"/>
              <w:jc w:val="left"/>
              <w:rPr>
                <w:color w:val="000000"/>
                <w:sz w:val="16"/>
                <w:szCs w:val="16"/>
              </w:rPr>
            </w:pPr>
            <w:r w:rsidRPr="001E2F6E">
              <w:rPr>
                <w:color w:val="000000"/>
                <w:sz w:val="16"/>
                <w:szCs w:val="16"/>
              </w:rPr>
              <w:t>4.</w:t>
            </w:r>
            <w:r w:rsidRPr="001E2F6E">
              <w:rPr>
                <w:rFonts w:ascii="Times New Roman" w:hAnsi="Times New Roman"/>
                <w:color w:val="000000"/>
                <w:sz w:val="14"/>
                <w:szCs w:val="14"/>
              </w:rPr>
              <w:t xml:space="preserve"> </w:t>
            </w:r>
            <w:r w:rsidRPr="001E2F6E">
              <w:rPr>
                <w:bCs/>
                <w:color w:val="000000"/>
                <w:sz w:val="16"/>
                <w:szCs w:val="16"/>
              </w:rPr>
              <w:t>Laneratzeko Enpresak</w:t>
            </w:r>
          </w:p>
        </w:tc>
        <w:tc>
          <w:tcPr>
            <w:tcW w:w="1342" w:type="pct"/>
            <w:tcBorders>
              <w:left w:val="single" w:sz="4" w:space="0" w:color="BFBFBF" w:themeColor="background1" w:themeShade="BF"/>
              <w:right w:val="single" w:sz="4" w:space="0" w:color="BFBFBF" w:themeColor="background1" w:themeShade="BF"/>
            </w:tcBorders>
            <w:noWrap/>
            <w:vAlign w:val="bottom"/>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20.344.845</w:t>
            </w:r>
          </w:p>
        </w:tc>
        <w:tc>
          <w:tcPr>
            <w:tcW w:w="1146" w:type="pct"/>
            <w:tcBorders>
              <w:left w:val="single" w:sz="4" w:space="0" w:color="BFBFBF" w:themeColor="background1" w:themeShade="BF"/>
            </w:tcBorders>
            <w:vAlign w:val="bottom"/>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3,1</w:t>
            </w:r>
          </w:p>
        </w:tc>
      </w:tr>
      <w:tr w:rsidR="00195BE7" w:rsidRPr="001E2F6E" w:rsidTr="00195BE7">
        <w:trPr>
          <w:jc w:val="center"/>
        </w:trPr>
        <w:tc>
          <w:tcPr>
            <w:tcW w:w="2512" w:type="pct"/>
            <w:tcBorders>
              <w:right w:val="single" w:sz="4" w:space="0" w:color="BFBFBF" w:themeColor="background1" w:themeShade="BF"/>
            </w:tcBorders>
            <w:noWrap/>
            <w:vAlign w:val="bottom"/>
            <w:hideMark/>
          </w:tcPr>
          <w:p w:rsidR="00195BE7" w:rsidRPr="001E2F6E" w:rsidRDefault="00195BE7" w:rsidP="00195BE7">
            <w:pPr>
              <w:spacing w:line="240" w:lineRule="exact"/>
              <w:jc w:val="left"/>
              <w:rPr>
                <w:color w:val="000000"/>
                <w:sz w:val="16"/>
                <w:szCs w:val="16"/>
              </w:rPr>
            </w:pPr>
            <w:r w:rsidRPr="001E2F6E">
              <w:rPr>
                <w:color w:val="000000"/>
                <w:sz w:val="16"/>
                <w:szCs w:val="16"/>
              </w:rPr>
              <w:t>5.</w:t>
            </w:r>
            <w:r w:rsidRPr="001E2F6E">
              <w:rPr>
                <w:rFonts w:ascii="Times New Roman" w:hAnsi="Times New Roman"/>
                <w:color w:val="000000"/>
                <w:sz w:val="14"/>
                <w:szCs w:val="14"/>
              </w:rPr>
              <w:t xml:space="preserve"> </w:t>
            </w:r>
            <w:r w:rsidRPr="001E2F6E">
              <w:rPr>
                <w:bCs/>
                <w:color w:val="000000"/>
                <w:sz w:val="16"/>
                <w:szCs w:val="16"/>
              </w:rPr>
              <w:t>ENSak</w:t>
            </w:r>
          </w:p>
        </w:tc>
        <w:tc>
          <w:tcPr>
            <w:tcW w:w="1342" w:type="pct"/>
            <w:tcBorders>
              <w:left w:val="single" w:sz="4" w:space="0" w:color="BFBFBF" w:themeColor="background1" w:themeShade="BF"/>
              <w:right w:val="single" w:sz="4" w:space="0" w:color="BFBFBF" w:themeColor="background1" w:themeShade="BF"/>
            </w:tcBorders>
            <w:noWrap/>
            <w:vAlign w:val="bottom"/>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5.608.456</w:t>
            </w:r>
          </w:p>
        </w:tc>
        <w:tc>
          <w:tcPr>
            <w:tcW w:w="1146" w:type="pct"/>
            <w:tcBorders>
              <w:left w:val="single" w:sz="4" w:space="0" w:color="BFBFBF" w:themeColor="background1" w:themeShade="BF"/>
            </w:tcBorders>
            <w:vAlign w:val="bottom"/>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0,8</w:t>
            </w:r>
          </w:p>
        </w:tc>
      </w:tr>
      <w:tr w:rsidR="00195BE7" w:rsidRPr="001E2F6E" w:rsidTr="00195BE7">
        <w:trPr>
          <w:jc w:val="center"/>
        </w:trPr>
        <w:tc>
          <w:tcPr>
            <w:tcW w:w="2512" w:type="pct"/>
            <w:tcBorders>
              <w:right w:val="single" w:sz="4" w:space="0" w:color="BFBFBF" w:themeColor="background1" w:themeShade="BF"/>
            </w:tcBorders>
            <w:noWrap/>
            <w:vAlign w:val="bottom"/>
            <w:hideMark/>
          </w:tcPr>
          <w:p w:rsidR="00195BE7" w:rsidRPr="001E2F6E" w:rsidRDefault="00195BE7" w:rsidP="00195BE7">
            <w:pPr>
              <w:spacing w:line="240" w:lineRule="exact"/>
              <w:jc w:val="left"/>
              <w:rPr>
                <w:color w:val="000000"/>
                <w:sz w:val="16"/>
                <w:szCs w:val="16"/>
              </w:rPr>
            </w:pPr>
            <w:r w:rsidRPr="001E2F6E">
              <w:rPr>
                <w:color w:val="000000"/>
                <w:sz w:val="16"/>
                <w:szCs w:val="16"/>
              </w:rPr>
              <w:t>6.</w:t>
            </w:r>
            <w:r w:rsidRPr="001E2F6E">
              <w:rPr>
                <w:rFonts w:ascii="Times New Roman" w:hAnsi="Times New Roman"/>
                <w:color w:val="000000"/>
                <w:sz w:val="14"/>
                <w:szCs w:val="14"/>
              </w:rPr>
              <w:t xml:space="preserve"> </w:t>
            </w:r>
            <w:r w:rsidRPr="001E2F6E">
              <w:rPr>
                <w:bCs/>
                <w:color w:val="000000"/>
                <w:sz w:val="16"/>
                <w:szCs w:val="16"/>
              </w:rPr>
              <w:t>Arrantzale-Kofradiak</w:t>
            </w:r>
          </w:p>
        </w:tc>
        <w:tc>
          <w:tcPr>
            <w:tcW w:w="1342" w:type="pct"/>
            <w:tcBorders>
              <w:left w:val="single" w:sz="4" w:space="0" w:color="BFBFBF" w:themeColor="background1" w:themeShade="BF"/>
              <w:right w:val="single" w:sz="4" w:space="0" w:color="BFBFBF" w:themeColor="background1" w:themeShade="BF"/>
            </w:tcBorders>
            <w:noWrap/>
            <w:vAlign w:val="bottom"/>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3.122.038</w:t>
            </w:r>
          </w:p>
        </w:tc>
        <w:tc>
          <w:tcPr>
            <w:tcW w:w="1146" w:type="pct"/>
            <w:tcBorders>
              <w:left w:val="single" w:sz="4" w:space="0" w:color="BFBFBF" w:themeColor="background1" w:themeShade="BF"/>
            </w:tcBorders>
            <w:vAlign w:val="bottom"/>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0,5</w:t>
            </w:r>
          </w:p>
        </w:tc>
      </w:tr>
      <w:tr w:rsidR="00195BE7" w:rsidRPr="001E2F6E" w:rsidTr="00195BE7">
        <w:trPr>
          <w:jc w:val="center"/>
        </w:trPr>
        <w:tc>
          <w:tcPr>
            <w:tcW w:w="2512" w:type="pct"/>
            <w:tcBorders>
              <w:bottom w:val="single" w:sz="4" w:space="0" w:color="BFBFBF" w:themeColor="background1" w:themeShade="BF"/>
              <w:right w:val="single" w:sz="4" w:space="0" w:color="BFBFBF" w:themeColor="background1" w:themeShade="BF"/>
            </w:tcBorders>
            <w:noWrap/>
            <w:vAlign w:val="bottom"/>
            <w:hideMark/>
          </w:tcPr>
          <w:p w:rsidR="00195BE7" w:rsidRPr="001E2F6E" w:rsidRDefault="00195BE7" w:rsidP="00195BE7">
            <w:pPr>
              <w:spacing w:line="240" w:lineRule="exact"/>
              <w:jc w:val="left"/>
              <w:rPr>
                <w:color w:val="000000"/>
                <w:sz w:val="16"/>
                <w:szCs w:val="16"/>
              </w:rPr>
            </w:pPr>
            <w:r w:rsidRPr="001E2F6E">
              <w:rPr>
                <w:color w:val="000000"/>
                <w:sz w:val="16"/>
                <w:szCs w:val="16"/>
              </w:rPr>
              <w:t>7.</w:t>
            </w:r>
            <w:r w:rsidRPr="001E2F6E">
              <w:rPr>
                <w:rFonts w:ascii="Times New Roman" w:hAnsi="Times New Roman"/>
                <w:color w:val="000000"/>
                <w:sz w:val="14"/>
                <w:szCs w:val="14"/>
              </w:rPr>
              <w:t xml:space="preserve"> </w:t>
            </w:r>
            <w:r w:rsidRPr="001E2F6E">
              <w:rPr>
                <w:bCs/>
                <w:color w:val="000000"/>
                <w:sz w:val="16"/>
                <w:szCs w:val="16"/>
              </w:rPr>
              <w:t>BGAEak</w:t>
            </w:r>
          </w:p>
        </w:tc>
        <w:tc>
          <w:tcPr>
            <w:tcW w:w="1342" w:type="pct"/>
            <w:tcBorders>
              <w:left w:val="single" w:sz="4" w:space="0" w:color="BFBFBF" w:themeColor="background1" w:themeShade="BF"/>
              <w:bottom w:val="single" w:sz="4" w:space="0" w:color="BFBFBF" w:themeColor="background1" w:themeShade="BF"/>
              <w:right w:val="single" w:sz="4" w:space="0" w:color="BFBFBF" w:themeColor="background1" w:themeShade="BF"/>
            </w:tcBorders>
            <w:noWrap/>
            <w:vAlign w:val="bottom"/>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2.785.935</w:t>
            </w:r>
          </w:p>
        </w:tc>
        <w:tc>
          <w:tcPr>
            <w:tcW w:w="1146" w:type="pct"/>
            <w:tcBorders>
              <w:left w:val="single" w:sz="4" w:space="0" w:color="BFBFBF" w:themeColor="background1" w:themeShade="BF"/>
              <w:bottom w:val="single" w:sz="4" w:space="0" w:color="BFBFBF" w:themeColor="background1" w:themeShade="BF"/>
            </w:tcBorders>
            <w:vAlign w:val="bottom"/>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0,4</w:t>
            </w:r>
          </w:p>
        </w:tc>
      </w:tr>
      <w:tr w:rsidR="00195BE7" w:rsidRPr="001E2F6E" w:rsidTr="00195BE7">
        <w:trPr>
          <w:jc w:val="center"/>
        </w:trPr>
        <w:tc>
          <w:tcPr>
            <w:tcW w:w="2512" w:type="pct"/>
            <w:tcBorders>
              <w:top w:val="single" w:sz="4" w:space="0" w:color="BFBFBF" w:themeColor="background1" w:themeShade="BF"/>
              <w:bottom w:val="single" w:sz="4" w:space="0" w:color="BFBFBF" w:themeColor="background1" w:themeShade="BF"/>
              <w:right w:val="single" w:sz="4" w:space="0" w:color="BFBFBF" w:themeColor="background1" w:themeShade="BF"/>
            </w:tcBorders>
            <w:noWrap/>
            <w:vAlign w:val="bottom"/>
            <w:hideMark/>
          </w:tcPr>
          <w:p w:rsidR="00195BE7" w:rsidRPr="001E2F6E" w:rsidRDefault="00195BE7" w:rsidP="00195BE7">
            <w:pPr>
              <w:spacing w:line="240" w:lineRule="exact"/>
              <w:rPr>
                <w:b/>
                <w:bCs/>
                <w:color w:val="000000"/>
                <w:sz w:val="16"/>
                <w:szCs w:val="16"/>
              </w:rPr>
            </w:pPr>
            <w:r w:rsidRPr="001E2F6E">
              <w:rPr>
                <w:b/>
                <w:bCs/>
                <w:color w:val="000000"/>
                <w:sz w:val="16"/>
                <w:szCs w:val="16"/>
              </w:rPr>
              <w:t>GUZTIRA</w:t>
            </w:r>
          </w:p>
        </w:tc>
        <w:tc>
          <w:tcPr>
            <w:tcW w:w="134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bottom"/>
            <w:hideMark/>
          </w:tcPr>
          <w:p w:rsidR="00195BE7" w:rsidRPr="001E2F6E" w:rsidRDefault="00195BE7" w:rsidP="00195BE7">
            <w:pPr>
              <w:spacing w:line="240" w:lineRule="exact"/>
              <w:ind w:right="170"/>
              <w:jc w:val="right"/>
              <w:rPr>
                <w:b/>
                <w:bCs/>
                <w:color w:val="000000"/>
                <w:sz w:val="16"/>
                <w:szCs w:val="16"/>
              </w:rPr>
            </w:pPr>
            <w:r w:rsidRPr="001E2F6E">
              <w:rPr>
                <w:b/>
                <w:bCs/>
                <w:color w:val="000000"/>
                <w:sz w:val="16"/>
                <w:szCs w:val="16"/>
              </w:rPr>
              <w:t>664.682.746</w:t>
            </w:r>
          </w:p>
        </w:tc>
        <w:tc>
          <w:tcPr>
            <w:tcW w:w="1146" w:type="pct"/>
            <w:tcBorders>
              <w:top w:val="single" w:sz="4" w:space="0" w:color="BFBFBF" w:themeColor="background1" w:themeShade="BF"/>
              <w:left w:val="single" w:sz="4" w:space="0" w:color="BFBFBF" w:themeColor="background1" w:themeShade="BF"/>
              <w:bottom w:val="single" w:sz="4" w:space="0" w:color="BFBFBF" w:themeColor="background1" w:themeShade="BF"/>
            </w:tcBorders>
            <w:hideMark/>
          </w:tcPr>
          <w:p w:rsidR="00195BE7" w:rsidRPr="001E2F6E" w:rsidRDefault="00195BE7" w:rsidP="00195BE7">
            <w:pPr>
              <w:spacing w:line="240" w:lineRule="exact"/>
              <w:ind w:right="170"/>
              <w:jc w:val="right"/>
              <w:rPr>
                <w:b/>
                <w:bCs/>
                <w:color w:val="000000"/>
                <w:sz w:val="16"/>
                <w:szCs w:val="16"/>
              </w:rPr>
            </w:pPr>
            <w:r w:rsidRPr="001E2F6E">
              <w:rPr>
                <w:b/>
                <w:bCs/>
                <w:color w:val="000000"/>
                <w:sz w:val="16"/>
                <w:szCs w:val="16"/>
              </w:rPr>
              <w:t>100,0</w:t>
            </w:r>
          </w:p>
        </w:tc>
      </w:tr>
    </w:tbl>
    <w:p w:rsidR="00195BE7" w:rsidRPr="001E2F6E" w:rsidRDefault="00195BE7" w:rsidP="00195BE7"/>
    <w:p w:rsidR="00195BE7" w:rsidRPr="001E2F6E" w:rsidRDefault="00195BE7" w:rsidP="00195BE7"/>
    <w:p w:rsidR="00195BE7" w:rsidRPr="001E2F6E" w:rsidRDefault="00195BE7" w:rsidP="00195BE7">
      <w:pPr>
        <w:spacing w:line="240" w:lineRule="auto"/>
        <w:jc w:val="center"/>
        <w:rPr>
          <w:b/>
          <w:color w:val="1F497D" w:themeColor="text2"/>
          <w:sz w:val="18"/>
          <w:szCs w:val="18"/>
        </w:rPr>
      </w:pPr>
      <w:bookmarkStart w:id="464" w:name="_Toc391989192"/>
      <w:bookmarkStart w:id="465" w:name="_Toc392585872"/>
      <w:r w:rsidRPr="001E2F6E">
        <w:rPr>
          <w:b/>
          <w:bCs/>
          <w:color w:val="1F497D" w:themeColor="text2"/>
          <w:sz w:val="18"/>
          <w:szCs w:val="18"/>
        </w:rPr>
        <w:lastRenderedPageBreak/>
        <w:t>4.</w:t>
      </w:r>
      <w:r w:rsidR="00EB6BA6" w:rsidRPr="001E2F6E">
        <w:rPr>
          <w:b/>
          <w:bCs/>
          <w:color w:val="1F497D" w:themeColor="text2"/>
          <w:sz w:val="18"/>
          <w:szCs w:val="18"/>
        </w:rPr>
        <w:fldChar w:fldCharType="begin"/>
      </w:r>
      <w:r w:rsidRPr="001E2F6E">
        <w:rPr>
          <w:b/>
          <w:bCs/>
          <w:color w:val="1F497D" w:themeColor="text2"/>
          <w:sz w:val="18"/>
          <w:szCs w:val="18"/>
        </w:rPr>
        <w:instrText xml:space="preserve"> SEQ Cuadro_4. \* ARABIC </w:instrText>
      </w:r>
      <w:r w:rsidR="00EB6BA6" w:rsidRPr="001E2F6E">
        <w:rPr>
          <w:b/>
          <w:bCs/>
          <w:color w:val="1F497D" w:themeColor="text2"/>
          <w:sz w:val="18"/>
          <w:szCs w:val="18"/>
        </w:rPr>
        <w:fldChar w:fldCharType="separate"/>
      </w:r>
      <w:r w:rsidR="00A327D4">
        <w:rPr>
          <w:b/>
          <w:bCs/>
          <w:noProof/>
          <w:color w:val="1F497D" w:themeColor="text2"/>
          <w:sz w:val="18"/>
          <w:szCs w:val="18"/>
        </w:rPr>
        <w:t>19</w:t>
      </w:r>
      <w:r w:rsidR="00EB6BA6" w:rsidRPr="001E2F6E">
        <w:rPr>
          <w:b/>
          <w:bCs/>
          <w:color w:val="1F497D" w:themeColor="text2"/>
          <w:sz w:val="18"/>
          <w:szCs w:val="18"/>
        </w:rPr>
        <w:fldChar w:fldCharType="end"/>
      </w:r>
      <w:r w:rsidRPr="001E2F6E">
        <w:rPr>
          <w:b/>
          <w:bCs/>
          <w:color w:val="1F497D" w:themeColor="text2"/>
          <w:sz w:val="18"/>
          <w:szCs w:val="18"/>
        </w:rPr>
        <w:t xml:space="preserve"> Taula </w:t>
      </w:r>
      <w:r w:rsidRPr="001E2F6E">
        <w:rPr>
          <w:b/>
          <w:color w:val="1F497D" w:themeColor="text2"/>
          <w:sz w:val="18"/>
          <w:szCs w:val="18"/>
        </w:rPr>
        <w:t>ZERGA AURREKO MOZKINAREN ALORREZ ALORREKO BANAKETA GIZARTE-EKONOMIAREN FORMA BERRIAK 2012 (</w:t>
      </w:r>
      <w:r w:rsidR="00A943E8" w:rsidRPr="001E2F6E">
        <w:rPr>
          <w:b/>
          <w:color w:val="1F497D" w:themeColor="text2"/>
          <w:sz w:val="18"/>
          <w:szCs w:val="18"/>
        </w:rPr>
        <w:t xml:space="preserve">zifra absolutuak </w:t>
      </w:r>
      <w:r w:rsidRPr="001E2F6E">
        <w:rPr>
          <w:b/>
          <w:color w:val="1F497D" w:themeColor="text2"/>
          <w:sz w:val="18"/>
          <w:szCs w:val="18"/>
        </w:rPr>
        <w:t>eta % bertikalak)</w:t>
      </w:r>
      <w:bookmarkEnd w:id="464"/>
      <w:bookmarkEnd w:id="465"/>
    </w:p>
    <w:tbl>
      <w:tblPr>
        <w:tblW w:w="5000" w:type="pct"/>
        <w:jc w:val="center"/>
        <w:tblLook w:val="04A0" w:firstRow="1" w:lastRow="0" w:firstColumn="1" w:lastColumn="0" w:noHBand="0" w:noVBand="1"/>
      </w:tblPr>
      <w:tblGrid>
        <w:gridCol w:w="4523"/>
        <w:gridCol w:w="2417"/>
        <w:gridCol w:w="2064"/>
      </w:tblGrid>
      <w:tr w:rsidR="00195BE7" w:rsidRPr="001E2F6E" w:rsidTr="00195BE7">
        <w:trPr>
          <w:jc w:val="center"/>
        </w:trPr>
        <w:tc>
          <w:tcPr>
            <w:tcW w:w="2512"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hideMark/>
          </w:tcPr>
          <w:p w:rsidR="00195BE7" w:rsidRPr="001E2F6E" w:rsidRDefault="00195BE7" w:rsidP="00195BE7">
            <w:pPr>
              <w:spacing w:line="240" w:lineRule="exact"/>
            </w:pPr>
          </w:p>
        </w:tc>
        <w:tc>
          <w:tcPr>
            <w:tcW w:w="134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hideMark/>
          </w:tcPr>
          <w:p w:rsidR="00195BE7" w:rsidRPr="001E2F6E" w:rsidRDefault="00195BE7" w:rsidP="00195BE7">
            <w:pPr>
              <w:spacing w:line="240" w:lineRule="exact"/>
              <w:ind w:right="170"/>
              <w:jc w:val="center"/>
              <w:rPr>
                <w:b/>
                <w:bCs/>
                <w:sz w:val="16"/>
                <w:szCs w:val="16"/>
              </w:rPr>
            </w:pPr>
            <w:r w:rsidRPr="001E2F6E">
              <w:rPr>
                <w:b/>
                <w:bCs/>
                <w:sz w:val="16"/>
                <w:szCs w:val="16"/>
              </w:rPr>
              <w:t>BEGd</w:t>
            </w:r>
          </w:p>
        </w:tc>
        <w:tc>
          <w:tcPr>
            <w:tcW w:w="1146"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vAlign w:val="center"/>
            <w:hideMark/>
          </w:tcPr>
          <w:p w:rsidR="00195BE7" w:rsidRPr="001E2F6E" w:rsidRDefault="00195BE7" w:rsidP="00195BE7">
            <w:pPr>
              <w:spacing w:line="240" w:lineRule="exact"/>
              <w:ind w:right="170"/>
              <w:jc w:val="center"/>
              <w:rPr>
                <w:b/>
                <w:bCs/>
                <w:sz w:val="16"/>
                <w:szCs w:val="16"/>
              </w:rPr>
            </w:pPr>
            <w:r w:rsidRPr="001E2F6E">
              <w:rPr>
                <w:b/>
                <w:bCs/>
                <w:sz w:val="16"/>
                <w:szCs w:val="16"/>
              </w:rPr>
              <w:t>%ber.</w:t>
            </w:r>
          </w:p>
        </w:tc>
      </w:tr>
      <w:tr w:rsidR="00195BE7" w:rsidRPr="001E2F6E" w:rsidTr="00195BE7">
        <w:trPr>
          <w:jc w:val="center"/>
        </w:trPr>
        <w:tc>
          <w:tcPr>
            <w:tcW w:w="2512" w:type="pct"/>
            <w:tcBorders>
              <w:top w:val="single" w:sz="4" w:space="0" w:color="BFBFBF" w:themeColor="background1" w:themeShade="BF"/>
              <w:right w:val="single" w:sz="4" w:space="0" w:color="BFBFBF" w:themeColor="background1" w:themeShade="BF"/>
            </w:tcBorders>
            <w:vAlign w:val="bottom"/>
            <w:hideMark/>
          </w:tcPr>
          <w:p w:rsidR="00195BE7" w:rsidRPr="001E2F6E" w:rsidRDefault="00195BE7" w:rsidP="00195BE7">
            <w:pPr>
              <w:spacing w:line="240" w:lineRule="exact"/>
              <w:rPr>
                <w:color w:val="000000"/>
                <w:sz w:val="16"/>
                <w:szCs w:val="16"/>
              </w:rPr>
            </w:pPr>
            <w:r w:rsidRPr="001E2F6E">
              <w:rPr>
                <w:color w:val="000000"/>
                <w:sz w:val="16"/>
                <w:szCs w:val="16"/>
              </w:rPr>
              <w:t>1.</w:t>
            </w:r>
            <w:r w:rsidRPr="001E2F6E">
              <w:rPr>
                <w:bCs/>
                <w:color w:val="000000"/>
                <w:sz w:val="16"/>
                <w:szCs w:val="16"/>
              </w:rPr>
              <w:t xml:space="preserve"> Fundazioak</w:t>
            </w:r>
          </w:p>
        </w:tc>
        <w:tc>
          <w:tcPr>
            <w:tcW w:w="1342" w:type="pct"/>
            <w:tcBorders>
              <w:top w:val="single" w:sz="4" w:space="0" w:color="BFBFBF" w:themeColor="background1" w:themeShade="BF"/>
              <w:left w:val="single" w:sz="4" w:space="0" w:color="BFBFBF" w:themeColor="background1" w:themeShade="BF"/>
              <w:right w:val="single" w:sz="4" w:space="0" w:color="BFBFBF" w:themeColor="background1" w:themeShade="BF"/>
            </w:tcBorders>
            <w:noWrap/>
            <w:vAlign w:val="bottom"/>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361.170.506</w:t>
            </w:r>
          </w:p>
        </w:tc>
        <w:tc>
          <w:tcPr>
            <w:tcW w:w="1146" w:type="pct"/>
            <w:tcBorders>
              <w:top w:val="single" w:sz="4" w:space="0" w:color="BFBFBF" w:themeColor="background1" w:themeShade="BF"/>
              <w:left w:val="single" w:sz="4" w:space="0" w:color="BFBFBF" w:themeColor="background1" w:themeShade="BF"/>
            </w:tcBorders>
            <w:vAlign w:val="bottom"/>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41,4</w:t>
            </w:r>
          </w:p>
        </w:tc>
      </w:tr>
      <w:tr w:rsidR="00195BE7" w:rsidRPr="001E2F6E" w:rsidTr="00195BE7">
        <w:trPr>
          <w:jc w:val="center"/>
        </w:trPr>
        <w:tc>
          <w:tcPr>
            <w:tcW w:w="2512" w:type="pct"/>
            <w:tcBorders>
              <w:right w:val="single" w:sz="4" w:space="0" w:color="BFBFBF" w:themeColor="background1" w:themeShade="BF"/>
            </w:tcBorders>
            <w:vAlign w:val="bottom"/>
            <w:hideMark/>
          </w:tcPr>
          <w:p w:rsidR="00195BE7" w:rsidRPr="001E2F6E" w:rsidRDefault="00195BE7" w:rsidP="00195BE7">
            <w:pPr>
              <w:spacing w:line="240" w:lineRule="exact"/>
              <w:rPr>
                <w:color w:val="000000"/>
                <w:sz w:val="16"/>
                <w:szCs w:val="16"/>
              </w:rPr>
            </w:pPr>
            <w:r w:rsidRPr="001E2F6E">
              <w:rPr>
                <w:color w:val="000000"/>
                <w:sz w:val="16"/>
                <w:szCs w:val="16"/>
              </w:rPr>
              <w:t>2.</w:t>
            </w:r>
            <w:r w:rsidRPr="001E2F6E">
              <w:rPr>
                <w:rFonts w:ascii="Times New Roman" w:hAnsi="Times New Roman"/>
                <w:color w:val="000000"/>
                <w:sz w:val="14"/>
                <w:szCs w:val="14"/>
              </w:rPr>
              <w:t xml:space="preserve"> </w:t>
            </w:r>
            <w:r w:rsidRPr="001E2F6E">
              <w:rPr>
                <w:bCs/>
                <w:color w:val="000000"/>
                <w:sz w:val="16"/>
                <w:szCs w:val="16"/>
              </w:rPr>
              <w:t>BGAEak</w:t>
            </w:r>
          </w:p>
        </w:tc>
        <w:tc>
          <w:tcPr>
            <w:tcW w:w="1342" w:type="pct"/>
            <w:tcBorders>
              <w:left w:val="single" w:sz="4" w:space="0" w:color="BFBFBF" w:themeColor="background1" w:themeShade="BF"/>
              <w:right w:val="single" w:sz="4" w:space="0" w:color="BFBFBF" w:themeColor="background1" w:themeShade="BF"/>
            </w:tcBorders>
            <w:noWrap/>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227.739.331</w:t>
            </w:r>
          </w:p>
        </w:tc>
        <w:tc>
          <w:tcPr>
            <w:tcW w:w="1146" w:type="pct"/>
            <w:tcBorders>
              <w:left w:val="single" w:sz="4" w:space="0" w:color="BFBFBF" w:themeColor="background1" w:themeShade="BF"/>
            </w:tcBorders>
            <w:vAlign w:val="bottom"/>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26,1</w:t>
            </w:r>
          </w:p>
        </w:tc>
      </w:tr>
      <w:tr w:rsidR="00195BE7" w:rsidRPr="001E2F6E" w:rsidTr="00195BE7">
        <w:trPr>
          <w:jc w:val="center"/>
        </w:trPr>
        <w:tc>
          <w:tcPr>
            <w:tcW w:w="2512" w:type="pct"/>
            <w:tcBorders>
              <w:right w:val="single" w:sz="4" w:space="0" w:color="BFBFBF" w:themeColor="background1" w:themeShade="BF"/>
            </w:tcBorders>
            <w:vAlign w:val="bottom"/>
            <w:hideMark/>
          </w:tcPr>
          <w:p w:rsidR="00195BE7" w:rsidRPr="001E2F6E" w:rsidRDefault="00195BE7" w:rsidP="00195BE7">
            <w:pPr>
              <w:spacing w:line="240" w:lineRule="exact"/>
              <w:rPr>
                <w:color w:val="000000"/>
                <w:sz w:val="16"/>
                <w:szCs w:val="16"/>
              </w:rPr>
            </w:pPr>
            <w:r w:rsidRPr="001E2F6E">
              <w:rPr>
                <w:color w:val="000000"/>
                <w:sz w:val="16"/>
                <w:szCs w:val="16"/>
              </w:rPr>
              <w:t>3.</w:t>
            </w:r>
            <w:r w:rsidRPr="001E2F6E">
              <w:rPr>
                <w:bCs/>
                <w:color w:val="000000"/>
                <w:sz w:val="16"/>
                <w:szCs w:val="16"/>
              </w:rPr>
              <w:t xml:space="preserve"> Enplegu-Zentro Bereziak</w:t>
            </w:r>
          </w:p>
        </w:tc>
        <w:tc>
          <w:tcPr>
            <w:tcW w:w="1342" w:type="pct"/>
            <w:tcBorders>
              <w:left w:val="single" w:sz="4" w:space="0" w:color="BFBFBF" w:themeColor="background1" w:themeShade="BF"/>
              <w:right w:val="single" w:sz="4" w:space="0" w:color="BFBFBF" w:themeColor="background1" w:themeShade="BF"/>
            </w:tcBorders>
            <w:noWrap/>
            <w:vAlign w:val="bottom"/>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135.727.460</w:t>
            </w:r>
          </w:p>
        </w:tc>
        <w:tc>
          <w:tcPr>
            <w:tcW w:w="1146" w:type="pct"/>
            <w:tcBorders>
              <w:left w:val="single" w:sz="4" w:space="0" w:color="BFBFBF" w:themeColor="background1" w:themeShade="BF"/>
            </w:tcBorders>
            <w:vAlign w:val="bottom"/>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15,6</w:t>
            </w:r>
          </w:p>
        </w:tc>
      </w:tr>
      <w:tr w:rsidR="00195BE7" w:rsidRPr="001E2F6E" w:rsidTr="00195BE7">
        <w:trPr>
          <w:jc w:val="center"/>
        </w:trPr>
        <w:tc>
          <w:tcPr>
            <w:tcW w:w="2512" w:type="pct"/>
            <w:tcBorders>
              <w:right w:val="single" w:sz="4" w:space="0" w:color="BFBFBF" w:themeColor="background1" w:themeShade="BF"/>
            </w:tcBorders>
            <w:noWrap/>
            <w:vAlign w:val="bottom"/>
            <w:hideMark/>
          </w:tcPr>
          <w:p w:rsidR="00195BE7" w:rsidRPr="001E2F6E" w:rsidRDefault="00195BE7" w:rsidP="00195BE7">
            <w:pPr>
              <w:spacing w:line="240" w:lineRule="exact"/>
              <w:rPr>
                <w:color w:val="000000"/>
                <w:sz w:val="16"/>
                <w:szCs w:val="16"/>
              </w:rPr>
            </w:pPr>
            <w:r w:rsidRPr="001E2F6E">
              <w:rPr>
                <w:color w:val="000000"/>
                <w:sz w:val="16"/>
                <w:szCs w:val="16"/>
              </w:rPr>
              <w:t>4.</w:t>
            </w:r>
            <w:r w:rsidRPr="001E2F6E">
              <w:rPr>
                <w:bCs/>
                <w:color w:val="000000"/>
                <w:sz w:val="16"/>
                <w:szCs w:val="16"/>
              </w:rPr>
              <w:t xml:space="preserve"> Elkarteak</w:t>
            </w:r>
          </w:p>
        </w:tc>
        <w:tc>
          <w:tcPr>
            <w:tcW w:w="1342" w:type="pct"/>
            <w:tcBorders>
              <w:left w:val="single" w:sz="4" w:space="0" w:color="BFBFBF" w:themeColor="background1" w:themeShade="BF"/>
              <w:right w:val="single" w:sz="4" w:space="0" w:color="BFBFBF" w:themeColor="background1" w:themeShade="BF"/>
            </w:tcBorders>
            <w:noWrap/>
            <w:vAlign w:val="bottom"/>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114.248.935</w:t>
            </w:r>
          </w:p>
        </w:tc>
        <w:tc>
          <w:tcPr>
            <w:tcW w:w="1146" w:type="pct"/>
            <w:tcBorders>
              <w:left w:val="single" w:sz="4" w:space="0" w:color="BFBFBF" w:themeColor="background1" w:themeShade="BF"/>
            </w:tcBorders>
            <w:vAlign w:val="bottom"/>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13,1</w:t>
            </w:r>
          </w:p>
        </w:tc>
      </w:tr>
      <w:tr w:rsidR="00195BE7" w:rsidRPr="001E2F6E" w:rsidTr="00195BE7">
        <w:trPr>
          <w:jc w:val="center"/>
        </w:trPr>
        <w:tc>
          <w:tcPr>
            <w:tcW w:w="2512" w:type="pct"/>
            <w:tcBorders>
              <w:right w:val="single" w:sz="4" w:space="0" w:color="BFBFBF" w:themeColor="background1" w:themeShade="BF"/>
            </w:tcBorders>
            <w:noWrap/>
            <w:vAlign w:val="bottom"/>
            <w:hideMark/>
          </w:tcPr>
          <w:p w:rsidR="00195BE7" w:rsidRPr="001E2F6E" w:rsidRDefault="00195BE7" w:rsidP="00195BE7">
            <w:pPr>
              <w:spacing w:line="240" w:lineRule="exact"/>
              <w:rPr>
                <w:color w:val="000000"/>
                <w:sz w:val="16"/>
                <w:szCs w:val="16"/>
              </w:rPr>
            </w:pPr>
            <w:r w:rsidRPr="001E2F6E">
              <w:rPr>
                <w:color w:val="000000"/>
                <w:sz w:val="16"/>
                <w:szCs w:val="16"/>
              </w:rPr>
              <w:t>5.</w:t>
            </w:r>
            <w:r w:rsidRPr="001E2F6E">
              <w:rPr>
                <w:bCs/>
                <w:color w:val="000000"/>
                <w:sz w:val="16"/>
                <w:szCs w:val="16"/>
              </w:rPr>
              <w:t xml:space="preserve"> Laneratzeko Enpresak</w:t>
            </w:r>
          </w:p>
        </w:tc>
        <w:tc>
          <w:tcPr>
            <w:tcW w:w="1342" w:type="pct"/>
            <w:tcBorders>
              <w:left w:val="single" w:sz="4" w:space="0" w:color="BFBFBF" w:themeColor="background1" w:themeShade="BF"/>
              <w:right w:val="single" w:sz="4" w:space="0" w:color="BFBFBF" w:themeColor="background1" w:themeShade="BF"/>
            </w:tcBorders>
            <w:noWrap/>
            <w:vAlign w:val="bottom"/>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24.197.042</w:t>
            </w:r>
          </w:p>
        </w:tc>
        <w:tc>
          <w:tcPr>
            <w:tcW w:w="1146" w:type="pct"/>
            <w:tcBorders>
              <w:left w:val="single" w:sz="4" w:space="0" w:color="BFBFBF" w:themeColor="background1" w:themeShade="BF"/>
            </w:tcBorders>
            <w:vAlign w:val="bottom"/>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2,8</w:t>
            </w:r>
          </w:p>
        </w:tc>
      </w:tr>
      <w:tr w:rsidR="00195BE7" w:rsidRPr="001E2F6E" w:rsidTr="00195BE7">
        <w:trPr>
          <w:jc w:val="center"/>
        </w:trPr>
        <w:tc>
          <w:tcPr>
            <w:tcW w:w="2512" w:type="pct"/>
            <w:tcBorders>
              <w:right w:val="single" w:sz="4" w:space="0" w:color="BFBFBF" w:themeColor="background1" w:themeShade="BF"/>
            </w:tcBorders>
            <w:noWrap/>
            <w:vAlign w:val="bottom"/>
            <w:hideMark/>
          </w:tcPr>
          <w:p w:rsidR="00195BE7" w:rsidRPr="001E2F6E" w:rsidRDefault="00195BE7" w:rsidP="00195BE7">
            <w:pPr>
              <w:spacing w:line="240" w:lineRule="exact"/>
              <w:rPr>
                <w:color w:val="000000"/>
                <w:sz w:val="16"/>
                <w:szCs w:val="16"/>
              </w:rPr>
            </w:pPr>
            <w:r w:rsidRPr="001E2F6E">
              <w:rPr>
                <w:color w:val="000000"/>
                <w:sz w:val="16"/>
                <w:szCs w:val="16"/>
              </w:rPr>
              <w:t>6.</w:t>
            </w:r>
            <w:r w:rsidRPr="001E2F6E">
              <w:rPr>
                <w:bCs/>
                <w:color w:val="000000"/>
                <w:sz w:val="16"/>
                <w:szCs w:val="16"/>
              </w:rPr>
              <w:t xml:space="preserve"> ENSak</w:t>
            </w:r>
          </w:p>
        </w:tc>
        <w:tc>
          <w:tcPr>
            <w:tcW w:w="1342" w:type="pct"/>
            <w:tcBorders>
              <w:left w:val="single" w:sz="4" w:space="0" w:color="BFBFBF" w:themeColor="background1" w:themeShade="BF"/>
              <w:right w:val="single" w:sz="4" w:space="0" w:color="BFBFBF" w:themeColor="background1" w:themeShade="BF"/>
            </w:tcBorders>
            <w:noWrap/>
            <w:vAlign w:val="bottom"/>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5.312.731</w:t>
            </w:r>
          </w:p>
        </w:tc>
        <w:tc>
          <w:tcPr>
            <w:tcW w:w="1146" w:type="pct"/>
            <w:tcBorders>
              <w:left w:val="single" w:sz="4" w:space="0" w:color="BFBFBF" w:themeColor="background1" w:themeShade="BF"/>
            </w:tcBorders>
            <w:vAlign w:val="bottom"/>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0,6</w:t>
            </w:r>
          </w:p>
        </w:tc>
      </w:tr>
      <w:tr w:rsidR="00195BE7" w:rsidRPr="001E2F6E" w:rsidTr="00195BE7">
        <w:trPr>
          <w:jc w:val="center"/>
        </w:trPr>
        <w:tc>
          <w:tcPr>
            <w:tcW w:w="2512" w:type="pct"/>
            <w:tcBorders>
              <w:bottom w:val="single" w:sz="4" w:space="0" w:color="BFBFBF" w:themeColor="background1" w:themeShade="BF"/>
              <w:right w:val="single" w:sz="4" w:space="0" w:color="BFBFBF" w:themeColor="background1" w:themeShade="BF"/>
            </w:tcBorders>
            <w:noWrap/>
            <w:vAlign w:val="bottom"/>
            <w:hideMark/>
          </w:tcPr>
          <w:p w:rsidR="00195BE7" w:rsidRPr="001E2F6E" w:rsidRDefault="00195BE7" w:rsidP="00195BE7">
            <w:pPr>
              <w:spacing w:line="240" w:lineRule="exact"/>
              <w:rPr>
                <w:color w:val="000000"/>
                <w:sz w:val="16"/>
                <w:szCs w:val="16"/>
              </w:rPr>
            </w:pPr>
            <w:r w:rsidRPr="001E2F6E">
              <w:rPr>
                <w:color w:val="000000"/>
                <w:sz w:val="16"/>
                <w:szCs w:val="16"/>
              </w:rPr>
              <w:t>7.</w:t>
            </w:r>
            <w:r w:rsidRPr="001E2F6E">
              <w:rPr>
                <w:bCs/>
                <w:color w:val="000000"/>
                <w:sz w:val="16"/>
                <w:szCs w:val="16"/>
              </w:rPr>
              <w:t xml:space="preserve"> Arrantzale-Kofradiak</w:t>
            </w:r>
          </w:p>
        </w:tc>
        <w:tc>
          <w:tcPr>
            <w:tcW w:w="1342" w:type="pct"/>
            <w:tcBorders>
              <w:left w:val="single" w:sz="4" w:space="0" w:color="BFBFBF" w:themeColor="background1" w:themeShade="BF"/>
              <w:bottom w:val="single" w:sz="4" w:space="0" w:color="BFBFBF" w:themeColor="background1" w:themeShade="BF"/>
              <w:right w:val="single" w:sz="4" w:space="0" w:color="BFBFBF" w:themeColor="background1" w:themeShade="BF"/>
            </w:tcBorders>
            <w:noWrap/>
            <w:vAlign w:val="bottom"/>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4.009.580</w:t>
            </w:r>
          </w:p>
        </w:tc>
        <w:tc>
          <w:tcPr>
            <w:tcW w:w="1146" w:type="pct"/>
            <w:tcBorders>
              <w:left w:val="single" w:sz="4" w:space="0" w:color="BFBFBF" w:themeColor="background1" w:themeShade="BF"/>
              <w:bottom w:val="single" w:sz="4" w:space="0" w:color="BFBFBF" w:themeColor="background1" w:themeShade="BF"/>
            </w:tcBorders>
            <w:vAlign w:val="bottom"/>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0,5</w:t>
            </w:r>
          </w:p>
        </w:tc>
      </w:tr>
      <w:tr w:rsidR="00195BE7" w:rsidRPr="001E2F6E" w:rsidTr="00195BE7">
        <w:trPr>
          <w:jc w:val="center"/>
        </w:trPr>
        <w:tc>
          <w:tcPr>
            <w:tcW w:w="2512" w:type="pct"/>
            <w:tcBorders>
              <w:top w:val="single" w:sz="4" w:space="0" w:color="BFBFBF" w:themeColor="background1" w:themeShade="BF"/>
              <w:bottom w:val="single" w:sz="4" w:space="0" w:color="BFBFBF" w:themeColor="background1" w:themeShade="BF"/>
              <w:right w:val="single" w:sz="4" w:space="0" w:color="BFBFBF" w:themeColor="background1" w:themeShade="BF"/>
            </w:tcBorders>
            <w:noWrap/>
            <w:vAlign w:val="bottom"/>
            <w:hideMark/>
          </w:tcPr>
          <w:p w:rsidR="00195BE7" w:rsidRPr="001E2F6E" w:rsidRDefault="00195BE7" w:rsidP="00195BE7">
            <w:pPr>
              <w:spacing w:line="240" w:lineRule="exact"/>
              <w:rPr>
                <w:b/>
                <w:bCs/>
                <w:color w:val="000000"/>
                <w:sz w:val="16"/>
                <w:szCs w:val="16"/>
              </w:rPr>
            </w:pPr>
            <w:r w:rsidRPr="001E2F6E">
              <w:rPr>
                <w:b/>
                <w:bCs/>
                <w:color w:val="000000"/>
                <w:sz w:val="16"/>
                <w:szCs w:val="16"/>
              </w:rPr>
              <w:t>GUZTIRA</w:t>
            </w:r>
          </w:p>
        </w:tc>
        <w:tc>
          <w:tcPr>
            <w:tcW w:w="134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bottom"/>
            <w:hideMark/>
          </w:tcPr>
          <w:p w:rsidR="00195BE7" w:rsidRPr="001E2F6E" w:rsidRDefault="00195BE7" w:rsidP="00195BE7">
            <w:pPr>
              <w:spacing w:line="240" w:lineRule="exact"/>
              <w:ind w:right="170"/>
              <w:jc w:val="right"/>
              <w:rPr>
                <w:b/>
                <w:bCs/>
                <w:color w:val="000000"/>
                <w:sz w:val="16"/>
                <w:szCs w:val="16"/>
              </w:rPr>
            </w:pPr>
            <w:r w:rsidRPr="001E2F6E">
              <w:rPr>
                <w:b/>
                <w:bCs/>
                <w:color w:val="000000"/>
                <w:sz w:val="16"/>
                <w:szCs w:val="16"/>
              </w:rPr>
              <w:t>872.405.584</w:t>
            </w:r>
          </w:p>
        </w:tc>
        <w:tc>
          <w:tcPr>
            <w:tcW w:w="1146" w:type="pct"/>
            <w:tcBorders>
              <w:top w:val="single" w:sz="4" w:space="0" w:color="BFBFBF" w:themeColor="background1" w:themeShade="BF"/>
              <w:left w:val="single" w:sz="4" w:space="0" w:color="BFBFBF" w:themeColor="background1" w:themeShade="BF"/>
              <w:bottom w:val="single" w:sz="4" w:space="0" w:color="BFBFBF" w:themeColor="background1" w:themeShade="BF"/>
            </w:tcBorders>
            <w:hideMark/>
          </w:tcPr>
          <w:p w:rsidR="00195BE7" w:rsidRPr="001E2F6E" w:rsidRDefault="00195BE7" w:rsidP="00195BE7">
            <w:pPr>
              <w:spacing w:line="240" w:lineRule="exact"/>
              <w:ind w:right="170"/>
              <w:jc w:val="right"/>
              <w:rPr>
                <w:b/>
                <w:bCs/>
                <w:color w:val="000000"/>
                <w:sz w:val="16"/>
                <w:szCs w:val="16"/>
              </w:rPr>
            </w:pPr>
            <w:r w:rsidRPr="001E2F6E">
              <w:rPr>
                <w:b/>
                <w:bCs/>
                <w:color w:val="000000"/>
                <w:sz w:val="16"/>
                <w:szCs w:val="16"/>
              </w:rPr>
              <w:t>100,0</w:t>
            </w:r>
          </w:p>
        </w:tc>
      </w:tr>
    </w:tbl>
    <w:p w:rsidR="00195BE7" w:rsidRPr="001E2F6E" w:rsidRDefault="00195BE7" w:rsidP="00195BE7"/>
    <w:p w:rsidR="00195BE7" w:rsidRPr="00A105C6" w:rsidRDefault="00195BE7" w:rsidP="00195BE7">
      <w:pPr>
        <w:spacing w:line="240" w:lineRule="auto"/>
        <w:jc w:val="center"/>
        <w:rPr>
          <w:b/>
          <w:color w:val="1F497D" w:themeColor="text2"/>
          <w:sz w:val="18"/>
          <w:szCs w:val="18"/>
          <w:lang w:val="de-DE"/>
        </w:rPr>
      </w:pPr>
      <w:bookmarkStart w:id="466" w:name="_Toc392585873"/>
      <w:bookmarkStart w:id="467" w:name="_Toc391989193"/>
      <w:r w:rsidRPr="00A105C6">
        <w:rPr>
          <w:b/>
          <w:bCs/>
          <w:color w:val="1F497D" w:themeColor="text2"/>
          <w:sz w:val="18"/>
          <w:szCs w:val="18"/>
          <w:lang w:val="de-DE"/>
        </w:rPr>
        <w:t>4.</w:t>
      </w:r>
      <w:r w:rsidR="00EB6BA6" w:rsidRPr="001E2F6E">
        <w:rPr>
          <w:b/>
          <w:bCs/>
          <w:color w:val="1F497D" w:themeColor="text2"/>
          <w:sz w:val="18"/>
          <w:szCs w:val="18"/>
        </w:rPr>
        <w:fldChar w:fldCharType="begin"/>
      </w:r>
      <w:r w:rsidRPr="00A105C6">
        <w:rPr>
          <w:b/>
          <w:bCs/>
          <w:color w:val="1F497D" w:themeColor="text2"/>
          <w:sz w:val="18"/>
          <w:szCs w:val="18"/>
          <w:lang w:val="de-DE"/>
        </w:rPr>
        <w:instrText xml:space="preserve"> SEQ Cuadro_4. \* ARABIC </w:instrText>
      </w:r>
      <w:r w:rsidR="00EB6BA6" w:rsidRPr="001E2F6E">
        <w:rPr>
          <w:b/>
          <w:bCs/>
          <w:color w:val="1F497D" w:themeColor="text2"/>
          <w:sz w:val="18"/>
          <w:szCs w:val="18"/>
        </w:rPr>
        <w:fldChar w:fldCharType="separate"/>
      </w:r>
      <w:r w:rsidR="00A327D4">
        <w:rPr>
          <w:b/>
          <w:bCs/>
          <w:noProof/>
          <w:color w:val="1F497D" w:themeColor="text2"/>
          <w:sz w:val="18"/>
          <w:szCs w:val="18"/>
          <w:lang w:val="de-DE"/>
        </w:rPr>
        <w:t>20</w:t>
      </w:r>
      <w:r w:rsidR="00EB6BA6" w:rsidRPr="001E2F6E">
        <w:rPr>
          <w:b/>
          <w:bCs/>
          <w:color w:val="1F497D" w:themeColor="text2"/>
          <w:sz w:val="18"/>
          <w:szCs w:val="18"/>
        </w:rPr>
        <w:fldChar w:fldCharType="end"/>
      </w:r>
      <w:r w:rsidRPr="00A105C6">
        <w:rPr>
          <w:b/>
          <w:bCs/>
          <w:color w:val="1F497D" w:themeColor="text2"/>
          <w:sz w:val="18"/>
          <w:szCs w:val="18"/>
          <w:lang w:val="de-DE"/>
        </w:rPr>
        <w:t xml:space="preserve"> Taula ZERGEN AURREKO MOZKINAREN BANAKETA </w:t>
      </w:r>
      <w:r w:rsidRPr="00A105C6">
        <w:rPr>
          <w:b/>
          <w:color w:val="1F497D" w:themeColor="text2"/>
          <w:sz w:val="18"/>
          <w:szCs w:val="18"/>
          <w:lang w:val="de-DE"/>
        </w:rPr>
        <w:t>GEFB SEGMENTUEN ARABERA 2012</w:t>
      </w:r>
      <w:bookmarkEnd w:id="466"/>
      <w:r w:rsidRPr="00A105C6">
        <w:rPr>
          <w:b/>
          <w:color w:val="1F497D" w:themeColor="text2"/>
          <w:sz w:val="18"/>
          <w:szCs w:val="18"/>
          <w:lang w:val="de-DE"/>
        </w:rPr>
        <w:t xml:space="preserve"> </w:t>
      </w:r>
    </w:p>
    <w:p w:rsidR="00195BE7" w:rsidRPr="001E2F6E" w:rsidRDefault="00195BE7" w:rsidP="00195BE7">
      <w:pPr>
        <w:spacing w:line="240" w:lineRule="auto"/>
        <w:jc w:val="center"/>
        <w:rPr>
          <w:b/>
          <w:color w:val="1F497D" w:themeColor="text2"/>
          <w:sz w:val="18"/>
          <w:szCs w:val="18"/>
        </w:rPr>
      </w:pPr>
      <w:r w:rsidRPr="001E2F6E">
        <w:rPr>
          <w:b/>
          <w:color w:val="1F497D" w:themeColor="text2"/>
          <w:sz w:val="18"/>
          <w:szCs w:val="18"/>
        </w:rPr>
        <w:t>(zifra absolutuak eta % bertikalak)</w:t>
      </w:r>
      <w:bookmarkEnd w:id="467"/>
    </w:p>
    <w:tbl>
      <w:tblPr>
        <w:tblW w:w="5000" w:type="pct"/>
        <w:jc w:val="center"/>
        <w:tblCellMar>
          <w:left w:w="70" w:type="dxa"/>
          <w:right w:w="70" w:type="dxa"/>
        </w:tblCellMar>
        <w:tblLook w:val="04A0" w:firstRow="1" w:lastRow="0" w:firstColumn="1" w:lastColumn="0" w:noHBand="0" w:noVBand="1"/>
      </w:tblPr>
      <w:tblGrid>
        <w:gridCol w:w="4694"/>
        <w:gridCol w:w="2727"/>
        <w:gridCol w:w="1507"/>
      </w:tblGrid>
      <w:tr w:rsidR="00195BE7" w:rsidRPr="001E2F6E" w:rsidTr="00195BE7">
        <w:trPr>
          <w:trHeight w:val="364"/>
          <w:jc w:val="center"/>
        </w:trPr>
        <w:tc>
          <w:tcPr>
            <w:tcW w:w="2629" w:type="pct"/>
            <w:tcBorders>
              <w:top w:val="single" w:sz="8" w:space="0" w:color="BFBFBF"/>
              <w:left w:val="nil"/>
              <w:bottom w:val="single" w:sz="8" w:space="0" w:color="BFBFBF"/>
              <w:right w:val="single" w:sz="8" w:space="0" w:color="BFBFBF"/>
            </w:tcBorders>
            <w:shd w:val="clear" w:color="000000" w:fill="DBE5F1"/>
            <w:hideMark/>
          </w:tcPr>
          <w:p w:rsidR="00195BE7" w:rsidRPr="001E2F6E" w:rsidRDefault="00195BE7" w:rsidP="00195BE7">
            <w:pPr>
              <w:spacing w:line="240" w:lineRule="exact"/>
              <w:jc w:val="left"/>
              <w:rPr>
                <w:rFonts w:ascii="Calibri" w:hAnsi="Calibri"/>
                <w:color w:val="000000"/>
                <w:sz w:val="22"/>
              </w:rPr>
            </w:pPr>
            <w:r w:rsidRPr="001E2F6E">
              <w:rPr>
                <w:rFonts w:ascii="Calibri" w:hAnsi="Calibri"/>
                <w:color w:val="000000"/>
                <w:sz w:val="22"/>
              </w:rPr>
              <w:t> </w:t>
            </w:r>
          </w:p>
        </w:tc>
        <w:tc>
          <w:tcPr>
            <w:tcW w:w="1527" w:type="pct"/>
            <w:tcBorders>
              <w:top w:val="single" w:sz="8" w:space="0" w:color="BFBFBF"/>
              <w:left w:val="nil"/>
              <w:bottom w:val="single" w:sz="8" w:space="0" w:color="BFBFBF"/>
              <w:right w:val="single" w:sz="8" w:space="0" w:color="BFBFBF"/>
            </w:tcBorders>
            <w:shd w:val="clear" w:color="000000" w:fill="DBE5F1"/>
            <w:vAlign w:val="center"/>
            <w:hideMark/>
          </w:tcPr>
          <w:p w:rsidR="00195BE7" w:rsidRPr="001E2F6E" w:rsidRDefault="00195BE7" w:rsidP="00195BE7">
            <w:pPr>
              <w:spacing w:line="240" w:lineRule="exact"/>
              <w:jc w:val="center"/>
              <w:rPr>
                <w:b/>
                <w:bCs/>
                <w:color w:val="000000"/>
                <w:sz w:val="16"/>
                <w:szCs w:val="16"/>
              </w:rPr>
            </w:pPr>
            <w:r w:rsidRPr="001E2F6E">
              <w:rPr>
                <w:b/>
                <w:bCs/>
                <w:color w:val="000000"/>
                <w:sz w:val="16"/>
                <w:szCs w:val="16"/>
              </w:rPr>
              <w:t>Zergen Aurreko Mozkina</w:t>
            </w:r>
          </w:p>
        </w:tc>
        <w:tc>
          <w:tcPr>
            <w:tcW w:w="845" w:type="pct"/>
            <w:tcBorders>
              <w:top w:val="single" w:sz="8" w:space="0" w:color="BFBFBF"/>
              <w:left w:val="nil"/>
              <w:bottom w:val="single" w:sz="8" w:space="0" w:color="BFBFBF"/>
              <w:right w:val="nil"/>
            </w:tcBorders>
            <w:shd w:val="clear" w:color="000000" w:fill="DBE5F1"/>
            <w:vAlign w:val="center"/>
            <w:hideMark/>
          </w:tcPr>
          <w:p w:rsidR="00195BE7" w:rsidRPr="001E2F6E" w:rsidRDefault="00195BE7" w:rsidP="00195BE7">
            <w:pPr>
              <w:spacing w:line="240" w:lineRule="exact"/>
              <w:jc w:val="center"/>
              <w:rPr>
                <w:b/>
                <w:bCs/>
                <w:color w:val="000000"/>
                <w:sz w:val="16"/>
                <w:szCs w:val="16"/>
              </w:rPr>
            </w:pPr>
            <w:r w:rsidRPr="001E2F6E">
              <w:rPr>
                <w:b/>
                <w:bCs/>
                <w:color w:val="000000"/>
                <w:sz w:val="16"/>
                <w:szCs w:val="16"/>
              </w:rPr>
              <w:t>% b</w:t>
            </w:r>
            <w:r w:rsidR="00A943E8" w:rsidRPr="001E2F6E">
              <w:rPr>
                <w:b/>
                <w:bCs/>
                <w:color w:val="000000"/>
                <w:sz w:val="16"/>
                <w:szCs w:val="16"/>
              </w:rPr>
              <w:t>er</w:t>
            </w:r>
            <w:r w:rsidRPr="001E2F6E">
              <w:rPr>
                <w:b/>
                <w:bCs/>
                <w:color w:val="000000"/>
                <w:sz w:val="16"/>
                <w:szCs w:val="16"/>
              </w:rPr>
              <w:t>.</w:t>
            </w:r>
          </w:p>
        </w:tc>
      </w:tr>
      <w:tr w:rsidR="00195BE7" w:rsidRPr="001E2F6E" w:rsidTr="00195BE7">
        <w:trPr>
          <w:jc w:val="center"/>
        </w:trPr>
        <w:tc>
          <w:tcPr>
            <w:tcW w:w="2629" w:type="pct"/>
            <w:tcBorders>
              <w:top w:val="nil"/>
              <w:left w:val="nil"/>
              <w:bottom w:val="nil"/>
              <w:right w:val="single" w:sz="8" w:space="0" w:color="BFBFBF"/>
            </w:tcBorders>
            <w:shd w:val="clear" w:color="auto" w:fill="auto"/>
            <w:vAlign w:val="bottom"/>
            <w:hideMark/>
          </w:tcPr>
          <w:p w:rsidR="00195BE7" w:rsidRPr="001E2F6E" w:rsidRDefault="00195BE7" w:rsidP="00195BE7">
            <w:pPr>
              <w:spacing w:line="240" w:lineRule="exact"/>
              <w:rPr>
                <w:color w:val="000000"/>
                <w:sz w:val="16"/>
                <w:szCs w:val="16"/>
              </w:rPr>
            </w:pPr>
            <w:r w:rsidRPr="001E2F6E">
              <w:rPr>
                <w:color w:val="000000"/>
                <w:sz w:val="16"/>
                <w:szCs w:val="16"/>
              </w:rPr>
              <w:t>1. BGAEak</w:t>
            </w:r>
          </w:p>
        </w:tc>
        <w:tc>
          <w:tcPr>
            <w:tcW w:w="1527" w:type="pct"/>
            <w:tcBorders>
              <w:top w:val="nil"/>
              <w:left w:val="nil"/>
              <w:bottom w:val="nil"/>
              <w:right w:val="single" w:sz="8" w:space="0" w:color="BFBFBF"/>
            </w:tcBorders>
            <w:shd w:val="clear" w:color="auto" w:fill="auto"/>
            <w:noWrap/>
            <w:vAlign w:val="bottom"/>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224.953.396</w:t>
            </w:r>
          </w:p>
        </w:tc>
        <w:tc>
          <w:tcPr>
            <w:tcW w:w="845" w:type="pct"/>
            <w:tcBorders>
              <w:top w:val="nil"/>
              <w:left w:val="nil"/>
              <w:bottom w:val="nil"/>
              <w:right w:val="single" w:sz="8" w:space="0" w:color="BFBFBF"/>
            </w:tcBorders>
            <w:shd w:val="clear" w:color="auto" w:fill="auto"/>
            <w:noWrap/>
            <w:vAlign w:val="bottom"/>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108,3</w:t>
            </w:r>
          </w:p>
        </w:tc>
      </w:tr>
      <w:tr w:rsidR="00195BE7" w:rsidRPr="001E2F6E" w:rsidTr="00195BE7">
        <w:trPr>
          <w:jc w:val="center"/>
        </w:trPr>
        <w:tc>
          <w:tcPr>
            <w:tcW w:w="2629" w:type="pct"/>
            <w:tcBorders>
              <w:top w:val="nil"/>
              <w:left w:val="nil"/>
              <w:bottom w:val="nil"/>
              <w:right w:val="single" w:sz="8" w:space="0" w:color="BFBFBF"/>
            </w:tcBorders>
            <w:shd w:val="clear" w:color="auto" w:fill="auto"/>
            <w:vAlign w:val="bottom"/>
            <w:hideMark/>
          </w:tcPr>
          <w:p w:rsidR="00195BE7" w:rsidRPr="001E2F6E" w:rsidRDefault="00195BE7" w:rsidP="00195BE7">
            <w:pPr>
              <w:spacing w:line="240" w:lineRule="exact"/>
              <w:rPr>
                <w:color w:val="000000"/>
                <w:sz w:val="16"/>
                <w:szCs w:val="16"/>
              </w:rPr>
            </w:pPr>
            <w:r w:rsidRPr="001E2F6E">
              <w:rPr>
                <w:color w:val="000000"/>
                <w:sz w:val="16"/>
                <w:szCs w:val="16"/>
              </w:rPr>
              <w:t xml:space="preserve">2. </w:t>
            </w:r>
            <w:r w:rsidRPr="001E2F6E">
              <w:rPr>
                <w:bCs/>
                <w:color w:val="000000"/>
                <w:sz w:val="16"/>
                <w:szCs w:val="16"/>
              </w:rPr>
              <w:t>Laneratzeko Enpresak</w:t>
            </w:r>
          </w:p>
        </w:tc>
        <w:tc>
          <w:tcPr>
            <w:tcW w:w="1527" w:type="pct"/>
            <w:tcBorders>
              <w:top w:val="nil"/>
              <w:left w:val="nil"/>
              <w:bottom w:val="nil"/>
              <w:right w:val="single" w:sz="8" w:space="0" w:color="BFBFBF"/>
            </w:tcBorders>
            <w:shd w:val="clear" w:color="auto" w:fill="auto"/>
            <w:noWrap/>
            <w:vAlign w:val="bottom"/>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3.852.197</w:t>
            </w:r>
          </w:p>
        </w:tc>
        <w:tc>
          <w:tcPr>
            <w:tcW w:w="845" w:type="pct"/>
            <w:tcBorders>
              <w:top w:val="nil"/>
              <w:left w:val="nil"/>
              <w:bottom w:val="nil"/>
              <w:right w:val="single" w:sz="8" w:space="0" w:color="BFBFBF"/>
            </w:tcBorders>
            <w:shd w:val="clear" w:color="auto" w:fill="auto"/>
            <w:noWrap/>
            <w:vAlign w:val="bottom"/>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1,9</w:t>
            </w:r>
          </w:p>
        </w:tc>
      </w:tr>
      <w:tr w:rsidR="00195BE7" w:rsidRPr="001E2F6E" w:rsidTr="00195BE7">
        <w:trPr>
          <w:jc w:val="center"/>
        </w:trPr>
        <w:tc>
          <w:tcPr>
            <w:tcW w:w="2629" w:type="pct"/>
            <w:tcBorders>
              <w:top w:val="nil"/>
              <w:left w:val="nil"/>
              <w:bottom w:val="nil"/>
              <w:right w:val="single" w:sz="8" w:space="0" w:color="BFBFBF"/>
            </w:tcBorders>
            <w:shd w:val="clear" w:color="auto" w:fill="auto"/>
            <w:vAlign w:val="bottom"/>
            <w:hideMark/>
          </w:tcPr>
          <w:p w:rsidR="00195BE7" w:rsidRPr="001E2F6E" w:rsidRDefault="00195BE7" w:rsidP="00195BE7">
            <w:pPr>
              <w:spacing w:line="240" w:lineRule="exact"/>
              <w:rPr>
                <w:color w:val="000000"/>
                <w:sz w:val="16"/>
                <w:szCs w:val="16"/>
              </w:rPr>
            </w:pPr>
            <w:r w:rsidRPr="001E2F6E">
              <w:rPr>
                <w:color w:val="000000"/>
                <w:sz w:val="16"/>
                <w:szCs w:val="16"/>
              </w:rPr>
              <w:t xml:space="preserve">3. </w:t>
            </w:r>
            <w:r w:rsidRPr="001E2F6E">
              <w:rPr>
                <w:bCs/>
                <w:color w:val="000000"/>
                <w:sz w:val="16"/>
                <w:szCs w:val="16"/>
              </w:rPr>
              <w:t>Arrantzale-Kofradiak</w:t>
            </w:r>
          </w:p>
        </w:tc>
        <w:tc>
          <w:tcPr>
            <w:tcW w:w="1527" w:type="pct"/>
            <w:tcBorders>
              <w:top w:val="nil"/>
              <w:left w:val="nil"/>
              <w:bottom w:val="nil"/>
              <w:right w:val="single" w:sz="8" w:space="0" w:color="BFBFBF"/>
            </w:tcBorders>
            <w:shd w:val="clear" w:color="auto" w:fill="auto"/>
            <w:noWrap/>
            <w:vAlign w:val="bottom"/>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887.542</w:t>
            </w:r>
          </w:p>
        </w:tc>
        <w:tc>
          <w:tcPr>
            <w:tcW w:w="845" w:type="pct"/>
            <w:tcBorders>
              <w:top w:val="nil"/>
              <w:left w:val="nil"/>
              <w:bottom w:val="nil"/>
              <w:right w:val="single" w:sz="8" w:space="0" w:color="BFBFBF"/>
            </w:tcBorders>
            <w:shd w:val="clear" w:color="auto" w:fill="auto"/>
            <w:noWrap/>
            <w:vAlign w:val="bottom"/>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0,4</w:t>
            </w:r>
          </w:p>
        </w:tc>
      </w:tr>
      <w:tr w:rsidR="00195BE7" w:rsidRPr="001E2F6E" w:rsidTr="00195BE7">
        <w:trPr>
          <w:jc w:val="center"/>
        </w:trPr>
        <w:tc>
          <w:tcPr>
            <w:tcW w:w="2629" w:type="pct"/>
            <w:tcBorders>
              <w:top w:val="nil"/>
              <w:left w:val="nil"/>
              <w:bottom w:val="nil"/>
              <w:right w:val="single" w:sz="8" w:space="0" w:color="BFBFBF"/>
            </w:tcBorders>
            <w:shd w:val="clear" w:color="auto" w:fill="auto"/>
            <w:vAlign w:val="bottom"/>
            <w:hideMark/>
          </w:tcPr>
          <w:p w:rsidR="00195BE7" w:rsidRPr="001E2F6E" w:rsidRDefault="00195BE7" w:rsidP="00195BE7">
            <w:pPr>
              <w:spacing w:line="240" w:lineRule="exact"/>
              <w:rPr>
                <w:color w:val="000000"/>
                <w:sz w:val="16"/>
                <w:szCs w:val="16"/>
              </w:rPr>
            </w:pPr>
            <w:r w:rsidRPr="001E2F6E">
              <w:rPr>
                <w:color w:val="000000"/>
                <w:sz w:val="16"/>
                <w:szCs w:val="16"/>
              </w:rPr>
              <w:t xml:space="preserve">3. </w:t>
            </w:r>
            <w:r w:rsidRPr="001E2F6E">
              <w:rPr>
                <w:bCs/>
                <w:color w:val="000000"/>
                <w:sz w:val="16"/>
                <w:szCs w:val="16"/>
              </w:rPr>
              <w:t>Enplegu-Zentro Bereziak</w:t>
            </w:r>
          </w:p>
        </w:tc>
        <w:tc>
          <w:tcPr>
            <w:tcW w:w="1527" w:type="pct"/>
            <w:tcBorders>
              <w:top w:val="nil"/>
              <w:left w:val="nil"/>
              <w:bottom w:val="nil"/>
              <w:right w:val="single" w:sz="8" w:space="0" w:color="BFBFBF"/>
            </w:tcBorders>
            <w:shd w:val="clear" w:color="auto" w:fill="auto"/>
            <w:noWrap/>
            <w:vAlign w:val="bottom"/>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605.419</w:t>
            </w:r>
          </w:p>
        </w:tc>
        <w:tc>
          <w:tcPr>
            <w:tcW w:w="845" w:type="pct"/>
            <w:tcBorders>
              <w:top w:val="nil"/>
              <w:left w:val="nil"/>
              <w:bottom w:val="nil"/>
              <w:right w:val="single" w:sz="8" w:space="0" w:color="BFBFBF"/>
            </w:tcBorders>
            <w:shd w:val="clear" w:color="auto" w:fill="auto"/>
            <w:noWrap/>
            <w:vAlign w:val="bottom"/>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0,3</w:t>
            </w:r>
          </w:p>
        </w:tc>
      </w:tr>
      <w:tr w:rsidR="00195BE7" w:rsidRPr="001E2F6E" w:rsidTr="00195BE7">
        <w:trPr>
          <w:jc w:val="center"/>
        </w:trPr>
        <w:tc>
          <w:tcPr>
            <w:tcW w:w="2629" w:type="pct"/>
            <w:tcBorders>
              <w:top w:val="nil"/>
              <w:left w:val="nil"/>
              <w:bottom w:val="nil"/>
              <w:right w:val="single" w:sz="8" w:space="0" w:color="BFBFBF"/>
            </w:tcBorders>
            <w:shd w:val="clear" w:color="auto" w:fill="auto"/>
            <w:noWrap/>
            <w:vAlign w:val="bottom"/>
            <w:hideMark/>
          </w:tcPr>
          <w:p w:rsidR="00195BE7" w:rsidRPr="001E2F6E" w:rsidRDefault="00195BE7" w:rsidP="00195BE7">
            <w:pPr>
              <w:spacing w:line="240" w:lineRule="exact"/>
              <w:rPr>
                <w:color w:val="000000"/>
                <w:sz w:val="16"/>
                <w:szCs w:val="16"/>
              </w:rPr>
            </w:pPr>
            <w:r w:rsidRPr="001E2F6E">
              <w:rPr>
                <w:color w:val="000000"/>
                <w:sz w:val="16"/>
                <w:szCs w:val="16"/>
              </w:rPr>
              <w:t xml:space="preserve">4. </w:t>
            </w:r>
            <w:r w:rsidRPr="001E2F6E">
              <w:rPr>
                <w:bCs/>
                <w:color w:val="000000"/>
                <w:sz w:val="16"/>
                <w:szCs w:val="16"/>
              </w:rPr>
              <w:t>Elkarteak</w:t>
            </w:r>
          </w:p>
        </w:tc>
        <w:tc>
          <w:tcPr>
            <w:tcW w:w="1527" w:type="pct"/>
            <w:tcBorders>
              <w:top w:val="nil"/>
              <w:left w:val="nil"/>
              <w:bottom w:val="nil"/>
              <w:right w:val="single" w:sz="8" w:space="0" w:color="BFBFBF"/>
            </w:tcBorders>
            <w:shd w:val="clear" w:color="auto" w:fill="auto"/>
            <w:noWrap/>
            <w:vAlign w:val="bottom"/>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467.927</w:t>
            </w:r>
          </w:p>
        </w:tc>
        <w:tc>
          <w:tcPr>
            <w:tcW w:w="845" w:type="pct"/>
            <w:tcBorders>
              <w:top w:val="nil"/>
              <w:left w:val="nil"/>
              <w:bottom w:val="nil"/>
              <w:right w:val="single" w:sz="8" w:space="0" w:color="BFBFBF"/>
            </w:tcBorders>
            <w:shd w:val="clear" w:color="auto" w:fill="auto"/>
            <w:noWrap/>
            <w:vAlign w:val="bottom"/>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0,2</w:t>
            </w:r>
          </w:p>
        </w:tc>
      </w:tr>
      <w:tr w:rsidR="00195BE7" w:rsidRPr="001E2F6E" w:rsidTr="00195BE7">
        <w:trPr>
          <w:jc w:val="center"/>
        </w:trPr>
        <w:tc>
          <w:tcPr>
            <w:tcW w:w="2629" w:type="pct"/>
            <w:tcBorders>
              <w:top w:val="nil"/>
              <w:left w:val="nil"/>
              <w:bottom w:val="nil"/>
              <w:right w:val="single" w:sz="8" w:space="0" w:color="BFBFBF"/>
            </w:tcBorders>
            <w:shd w:val="clear" w:color="auto" w:fill="auto"/>
            <w:noWrap/>
            <w:vAlign w:val="bottom"/>
            <w:hideMark/>
          </w:tcPr>
          <w:p w:rsidR="00195BE7" w:rsidRPr="001E2F6E" w:rsidRDefault="00195BE7" w:rsidP="00195BE7">
            <w:pPr>
              <w:spacing w:line="240" w:lineRule="exact"/>
              <w:rPr>
                <w:color w:val="000000"/>
                <w:sz w:val="16"/>
                <w:szCs w:val="16"/>
              </w:rPr>
            </w:pPr>
            <w:r w:rsidRPr="001E2F6E">
              <w:rPr>
                <w:color w:val="000000"/>
                <w:sz w:val="16"/>
                <w:szCs w:val="16"/>
              </w:rPr>
              <w:t xml:space="preserve">6. </w:t>
            </w:r>
            <w:r w:rsidRPr="001E2F6E">
              <w:rPr>
                <w:bCs/>
                <w:color w:val="000000"/>
                <w:sz w:val="16"/>
                <w:szCs w:val="16"/>
              </w:rPr>
              <w:t>ENSak</w:t>
            </w:r>
          </w:p>
        </w:tc>
        <w:tc>
          <w:tcPr>
            <w:tcW w:w="1527" w:type="pct"/>
            <w:tcBorders>
              <w:top w:val="nil"/>
              <w:left w:val="nil"/>
              <w:bottom w:val="nil"/>
              <w:right w:val="single" w:sz="8" w:space="0" w:color="BFBFBF"/>
            </w:tcBorders>
            <w:shd w:val="clear" w:color="auto" w:fill="auto"/>
            <w:noWrap/>
            <w:vAlign w:val="bottom"/>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-295.725</w:t>
            </w:r>
          </w:p>
        </w:tc>
        <w:tc>
          <w:tcPr>
            <w:tcW w:w="845" w:type="pct"/>
            <w:tcBorders>
              <w:top w:val="nil"/>
              <w:left w:val="nil"/>
              <w:bottom w:val="nil"/>
              <w:right w:val="single" w:sz="8" w:space="0" w:color="BFBFBF"/>
            </w:tcBorders>
            <w:shd w:val="clear" w:color="auto" w:fill="auto"/>
            <w:noWrap/>
            <w:vAlign w:val="bottom"/>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-0,1</w:t>
            </w:r>
          </w:p>
        </w:tc>
      </w:tr>
      <w:tr w:rsidR="00195BE7" w:rsidRPr="001E2F6E" w:rsidTr="00195BE7">
        <w:trPr>
          <w:jc w:val="center"/>
        </w:trPr>
        <w:tc>
          <w:tcPr>
            <w:tcW w:w="2629" w:type="pct"/>
            <w:tcBorders>
              <w:top w:val="nil"/>
              <w:left w:val="nil"/>
              <w:bottom w:val="single" w:sz="8" w:space="0" w:color="BFBFBF"/>
              <w:right w:val="single" w:sz="8" w:space="0" w:color="BFBFBF"/>
            </w:tcBorders>
            <w:shd w:val="clear" w:color="auto" w:fill="auto"/>
            <w:noWrap/>
            <w:vAlign w:val="bottom"/>
            <w:hideMark/>
          </w:tcPr>
          <w:p w:rsidR="00195BE7" w:rsidRPr="001E2F6E" w:rsidRDefault="00195BE7" w:rsidP="00195BE7">
            <w:pPr>
              <w:spacing w:line="240" w:lineRule="exact"/>
              <w:rPr>
                <w:color w:val="000000"/>
                <w:sz w:val="16"/>
                <w:szCs w:val="16"/>
              </w:rPr>
            </w:pPr>
            <w:r w:rsidRPr="001E2F6E">
              <w:rPr>
                <w:color w:val="000000"/>
                <w:sz w:val="16"/>
                <w:szCs w:val="16"/>
              </w:rPr>
              <w:t xml:space="preserve">7. </w:t>
            </w:r>
            <w:r w:rsidRPr="001E2F6E">
              <w:rPr>
                <w:bCs/>
                <w:color w:val="000000"/>
                <w:sz w:val="16"/>
                <w:szCs w:val="16"/>
              </w:rPr>
              <w:t>Fundazioak</w:t>
            </w:r>
          </w:p>
        </w:tc>
        <w:tc>
          <w:tcPr>
            <w:tcW w:w="1527" w:type="pct"/>
            <w:tcBorders>
              <w:top w:val="nil"/>
              <w:left w:val="nil"/>
              <w:bottom w:val="single" w:sz="8" w:space="0" w:color="BFBFBF"/>
              <w:right w:val="single" w:sz="8" w:space="0" w:color="BFBFBF"/>
            </w:tcBorders>
            <w:shd w:val="clear" w:color="auto" w:fill="auto"/>
            <w:noWrap/>
            <w:vAlign w:val="bottom"/>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-22.747.918</w:t>
            </w:r>
          </w:p>
        </w:tc>
        <w:tc>
          <w:tcPr>
            <w:tcW w:w="845" w:type="pct"/>
            <w:tcBorders>
              <w:top w:val="nil"/>
              <w:left w:val="nil"/>
              <w:bottom w:val="single" w:sz="8" w:space="0" w:color="BFBFBF"/>
              <w:right w:val="single" w:sz="8" w:space="0" w:color="BFBFBF"/>
            </w:tcBorders>
            <w:shd w:val="clear" w:color="auto" w:fill="auto"/>
            <w:noWrap/>
            <w:vAlign w:val="bottom"/>
            <w:hideMark/>
          </w:tcPr>
          <w:p w:rsidR="00195BE7" w:rsidRPr="001E2F6E" w:rsidRDefault="00195BE7" w:rsidP="00195BE7">
            <w:pPr>
              <w:spacing w:line="240" w:lineRule="exact"/>
              <w:ind w:right="170"/>
              <w:jc w:val="right"/>
              <w:rPr>
                <w:color w:val="000000"/>
                <w:sz w:val="16"/>
                <w:szCs w:val="16"/>
              </w:rPr>
            </w:pPr>
            <w:r w:rsidRPr="001E2F6E">
              <w:rPr>
                <w:color w:val="000000"/>
                <w:sz w:val="16"/>
                <w:szCs w:val="16"/>
              </w:rPr>
              <w:t>-11,0</w:t>
            </w:r>
          </w:p>
        </w:tc>
      </w:tr>
      <w:tr w:rsidR="00195BE7" w:rsidRPr="001E2F6E" w:rsidTr="00195BE7">
        <w:trPr>
          <w:jc w:val="center"/>
        </w:trPr>
        <w:tc>
          <w:tcPr>
            <w:tcW w:w="2629" w:type="pct"/>
            <w:tcBorders>
              <w:top w:val="nil"/>
              <w:left w:val="nil"/>
              <w:bottom w:val="single" w:sz="8" w:space="0" w:color="BFBFBF"/>
              <w:right w:val="single" w:sz="8" w:space="0" w:color="BFBFBF"/>
            </w:tcBorders>
            <w:shd w:val="clear" w:color="auto" w:fill="auto"/>
            <w:noWrap/>
            <w:vAlign w:val="bottom"/>
            <w:hideMark/>
          </w:tcPr>
          <w:p w:rsidR="00195BE7" w:rsidRPr="001E2F6E" w:rsidRDefault="00195BE7" w:rsidP="00195BE7">
            <w:pPr>
              <w:spacing w:line="240" w:lineRule="exact"/>
              <w:rPr>
                <w:b/>
                <w:bCs/>
                <w:color w:val="000000"/>
                <w:sz w:val="16"/>
                <w:szCs w:val="16"/>
              </w:rPr>
            </w:pPr>
            <w:r w:rsidRPr="001E2F6E">
              <w:rPr>
                <w:b/>
                <w:bCs/>
                <w:color w:val="000000"/>
                <w:sz w:val="16"/>
                <w:szCs w:val="16"/>
              </w:rPr>
              <w:t>TOTAL</w:t>
            </w:r>
          </w:p>
        </w:tc>
        <w:tc>
          <w:tcPr>
            <w:tcW w:w="1527" w:type="pct"/>
            <w:tcBorders>
              <w:top w:val="nil"/>
              <w:left w:val="nil"/>
              <w:bottom w:val="single" w:sz="8" w:space="0" w:color="BFBFBF"/>
              <w:right w:val="single" w:sz="8" w:space="0" w:color="BFBFBF"/>
            </w:tcBorders>
            <w:shd w:val="clear" w:color="auto" w:fill="auto"/>
            <w:noWrap/>
            <w:vAlign w:val="bottom"/>
            <w:hideMark/>
          </w:tcPr>
          <w:p w:rsidR="00195BE7" w:rsidRPr="001E2F6E" w:rsidRDefault="00195BE7" w:rsidP="00195BE7">
            <w:pPr>
              <w:spacing w:line="240" w:lineRule="exact"/>
              <w:ind w:right="170"/>
              <w:jc w:val="right"/>
              <w:rPr>
                <w:b/>
                <w:bCs/>
                <w:color w:val="000000"/>
                <w:sz w:val="16"/>
                <w:szCs w:val="16"/>
              </w:rPr>
            </w:pPr>
            <w:r w:rsidRPr="001E2F6E">
              <w:rPr>
                <w:b/>
                <w:bCs/>
                <w:color w:val="000000"/>
                <w:sz w:val="16"/>
                <w:szCs w:val="16"/>
              </w:rPr>
              <w:t>207.722.838</w:t>
            </w:r>
          </w:p>
        </w:tc>
        <w:tc>
          <w:tcPr>
            <w:tcW w:w="845" w:type="pct"/>
            <w:tcBorders>
              <w:top w:val="nil"/>
              <w:left w:val="nil"/>
              <w:bottom w:val="single" w:sz="8" w:space="0" w:color="BFBFBF"/>
              <w:right w:val="nil"/>
            </w:tcBorders>
            <w:shd w:val="clear" w:color="auto" w:fill="auto"/>
            <w:vAlign w:val="bottom"/>
            <w:hideMark/>
          </w:tcPr>
          <w:p w:rsidR="00195BE7" w:rsidRPr="001E2F6E" w:rsidRDefault="00195BE7" w:rsidP="00195BE7">
            <w:pPr>
              <w:spacing w:line="240" w:lineRule="exact"/>
              <w:ind w:right="170"/>
              <w:jc w:val="right"/>
              <w:rPr>
                <w:b/>
                <w:bCs/>
                <w:color w:val="000000"/>
                <w:sz w:val="16"/>
                <w:szCs w:val="16"/>
              </w:rPr>
            </w:pPr>
            <w:r w:rsidRPr="001E2F6E">
              <w:rPr>
                <w:b/>
                <w:bCs/>
                <w:color w:val="000000"/>
                <w:sz w:val="16"/>
                <w:szCs w:val="16"/>
              </w:rPr>
              <w:t>100,0</w:t>
            </w:r>
          </w:p>
        </w:tc>
      </w:tr>
    </w:tbl>
    <w:p w:rsidR="00195BE7" w:rsidRPr="001E2F6E" w:rsidRDefault="00195BE7" w:rsidP="00195BE7"/>
    <w:p w:rsidR="00195BE7" w:rsidRPr="001E2F6E" w:rsidRDefault="00195BE7" w:rsidP="00195BE7"/>
    <w:p w:rsidR="00195BE7" w:rsidRPr="001E2F6E" w:rsidRDefault="00195BE7" w:rsidP="00195BE7">
      <w:pPr>
        <w:spacing w:line="240" w:lineRule="auto"/>
        <w:jc w:val="center"/>
        <w:rPr>
          <w:b/>
          <w:color w:val="1F497D" w:themeColor="text2"/>
          <w:sz w:val="18"/>
          <w:szCs w:val="18"/>
        </w:rPr>
      </w:pPr>
      <w:bookmarkStart w:id="468" w:name="_Toc391989194"/>
      <w:bookmarkStart w:id="469" w:name="_Toc392585874"/>
      <w:r w:rsidRPr="001E2F6E">
        <w:rPr>
          <w:b/>
          <w:bCs/>
          <w:color w:val="1F497D" w:themeColor="text2"/>
          <w:sz w:val="18"/>
          <w:szCs w:val="18"/>
        </w:rPr>
        <w:t>4.</w:t>
      </w:r>
      <w:r w:rsidR="00EB6BA6" w:rsidRPr="001E2F6E">
        <w:rPr>
          <w:b/>
          <w:bCs/>
          <w:color w:val="1F497D" w:themeColor="text2"/>
          <w:sz w:val="18"/>
          <w:szCs w:val="18"/>
        </w:rPr>
        <w:fldChar w:fldCharType="begin"/>
      </w:r>
      <w:r w:rsidRPr="001E2F6E">
        <w:rPr>
          <w:b/>
          <w:bCs/>
          <w:color w:val="1F497D" w:themeColor="text2"/>
          <w:sz w:val="18"/>
          <w:szCs w:val="18"/>
        </w:rPr>
        <w:instrText xml:space="preserve"> SEQ Cuadro_4. \* ARABIC </w:instrText>
      </w:r>
      <w:r w:rsidR="00EB6BA6" w:rsidRPr="001E2F6E">
        <w:rPr>
          <w:b/>
          <w:bCs/>
          <w:color w:val="1F497D" w:themeColor="text2"/>
          <w:sz w:val="18"/>
          <w:szCs w:val="18"/>
        </w:rPr>
        <w:fldChar w:fldCharType="separate"/>
      </w:r>
      <w:r w:rsidR="00A327D4">
        <w:rPr>
          <w:b/>
          <w:bCs/>
          <w:noProof/>
          <w:color w:val="1F497D" w:themeColor="text2"/>
          <w:sz w:val="18"/>
          <w:szCs w:val="18"/>
        </w:rPr>
        <w:t>21</w:t>
      </w:r>
      <w:r w:rsidR="00EB6BA6" w:rsidRPr="001E2F6E">
        <w:rPr>
          <w:b/>
          <w:bCs/>
          <w:color w:val="1F497D" w:themeColor="text2"/>
          <w:sz w:val="18"/>
          <w:szCs w:val="18"/>
        </w:rPr>
        <w:fldChar w:fldCharType="end"/>
      </w:r>
      <w:r w:rsidRPr="001E2F6E">
        <w:rPr>
          <w:b/>
          <w:bCs/>
          <w:color w:val="1F497D" w:themeColor="text2"/>
          <w:sz w:val="18"/>
          <w:szCs w:val="18"/>
        </w:rPr>
        <w:t xml:space="preserve"> Taula </w:t>
      </w:r>
      <w:r w:rsidRPr="001E2F6E">
        <w:rPr>
          <w:b/>
          <w:color w:val="1F497D" w:themeColor="text2"/>
          <w:sz w:val="18"/>
          <w:szCs w:val="18"/>
        </w:rPr>
        <w:t>MAGNITUDE NAGUSIAK GIZARTE-EKONOMIAREN FORMA BERRIAK + GIZARTE-EKONOMIAREN KONTUAK 2012 (</w:t>
      </w:r>
      <w:r w:rsidR="00A943E8" w:rsidRPr="001E2F6E">
        <w:rPr>
          <w:b/>
          <w:color w:val="1F497D" w:themeColor="text2"/>
          <w:sz w:val="18"/>
          <w:szCs w:val="18"/>
        </w:rPr>
        <w:t xml:space="preserve">zifra absolutuak </w:t>
      </w:r>
      <w:r w:rsidRPr="001E2F6E">
        <w:rPr>
          <w:b/>
          <w:color w:val="1F497D" w:themeColor="text2"/>
          <w:sz w:val="18"/>
          <w:szCs w:val="18"/>
        </w:rPr>
        <w:t>eta %)</w:t>
      </w:r>
      <w:bookmarkEnd w:id="468"/>
      <w:bookmarkEnd w:id="469"/>
    </w:p>
    <w:tbl>
      <w:tblPr>
        <w:tblW w:w="5000" w:type="pct"/>
        <w:jc w:val="center"/>
        <w:tblLook w:val="04A0" w:firstRow="1" w:lastRow="0" w:firstColumn="1" w:lastColumn="0" w:noHBand="0" w:noVBand="1"/>
      </w:tblPr>
      <w:tblGrid>
        <w:gridCol w:w="2871"/>
        <w:gridCol w:w="3594"/>
        <w:gridCol w:w="2539"/>
      </w:tblGrid>
      <w:tr w:rsidR="00195BE7" w:rsidRPr="001E2F6E" w:rsidTr="00195BE7">
        <w:trPr>
          <w:jc w:val="center"/>
        </w:trPr>
        <w:tc>
          <w:tcPr>
            <w:tcW w:w="1594"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hideMark/>
          </w:tcPr>
          <w:p w:rsidR="00195BE7" w:rsidRPr="001E2F6E" w:rsidRDefault="00195BE7" w:rsidP="00195BE7">
            <w:pPr>
              <w:spacing w:line="240" w:lineRule="exact"/>
            </w:pPr>
          </w:p>
        </w:tc>
        <w:tc>
          <w:tcPr>
            <w:tcW w:w="199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hideMark/>
          </w:tcPr>
          <w:p w:rsidR="00195BE7" w:rsidRPr="001E2F6E" w:rsidRDefault="00195BE7" w:rsidP="00195BE7">
            <w:pPr>
              <w:spacing w:line="240" w:lineRule="auto"/>
              <w:jc w:val="center"/>
              <w:rPr>
                <w:b/>
                <w:bCs/>
                <w:sz w:val="16"/>
                <w:szCs w:val="16"/>
              </w:rPr>
            </w:pPr>
            <w:r w:rsidRPr="001E2F6E">
              <w:rPr>
                <w:b/>
                <w:bCs/>
                <w:sz w:val="16"/>
                <w:szCs w:val="16"/>
              </w:rPr>
              <w:t>GIZARTE-EKONOMIA AGREGATUA 2012</w:t>
            </w:r>
          </w:p>
          <w:p w:rsidR="00195BE7" w:rsidRPr="001E2F6E" w:rsidRDefault="00195BE7" w:rsidP="00195BE7">
            <w:pPr>
              <w:spacing w:line="240" w:lineRule="auto"/>
              <w:jc w:val="center"/>
              <w:rPr>
                <w:b/>
                <w:bCs/>
                <w:sz w:val="16"/>
                <w:szCs w:val="16"/>
              </w:rPr>
            </w:pPr>
            <w:r w:rsidRPr="001E2F6E">
              <w:rPr>
                <w:b/>
                <w:bCs/>
                <w:sz w:val="16"/>
                <w:szCs w:val="16"/>
              </w:rPr>
              <w:t>Forma Berriak</w:t>
            </w:r>
          </w:p>
          <w:p w:rsidR="00195BE7" w:rsidRPr="001E2F6E" w:rsidRDefault="00195BE7" w:rsidP="00195BE7">
            <w:pPr>
              <w:spacing w:line="240" w:lineRule="auto"/>
              <w:jc w:val="center"/>
              <w:rPr>
                <w:b/>
                <w:bCs/>
                <w:sz w:val="16"/>
                <w:szCs w:val="16"/>
              </w:rPr>
            </w:pPr>
            <w:r w:rsidRPr="001E2F6E">
              <w:rPr>
                <w:b/>
                <w:bCs/>
                <w:sz w:val="16"/>
                <w:szCs w:val="16"/>
              </w:rPr>
              <w:t>+</w:t>
            </w:r>
          </w:p>
          <w:p w:rsidR="00195BE7" w:rsidRPr="001E2F6E" w:rsidRDefault="00195BE7" w:rsidP="00195BE7">
            <w:pPr>
              <w:spacing w:line="240" w:lineRule="auto"/>
              <w:jc w:val="center"/>
              <w:rPr>
                <w:b/>
                <w:bCs/>
                <w:sz w:val="16"/>
                <w:szCs w:val="16"/>
              </w:rPr>
            </w:pPr>
            <w:r w:rsidRPr="001E2F6E">
              <w:rPr>
                <w:b/>
                <w:bCs/>
                <w:sz w:val="16"/>
                <w:szCs w:val="16"/>
              </w:rPr>
              <w:t>Kooperatibak, LSAak eta LSMak</w:t>
            </w:r>
          </w:p>
        </w:tc>
        <w:tc>
          <w:tcPr>
            <w:tcW w:w="1410"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vAlign w:val="center"/>
            <w:hideMark/>
          </w:tcPr>
          <w:p w:rsidR="00195BE7" w:rsidRPr="001E2F6E" w:rsidRDefault="00195BE7" w:rsidP="00195BE7">
            <w:pPr>
              <w:spacing w:line="240" w:lineRule="auto"/>
              <w:jc w:val="center"/>
              <w:rPr>
                <w:b/>
                <w:bCs/>
                <w:sz w:val="16"/>
                <w:szCs w:val="16"/>
              </w:rPr>
            </w:pPr>
            <w:r w:rsidRPr="001E2F6E">
              <w:rPr>
                <w:b/>
                <w:bCs/>
                <w:sz w:val="16"/>
                <w:szCs w:val="16"/>
              </w:rPr>
              <w:t>Forma Berrien Pisua AGREGATUAREKIKO 2012</w:t>
            </w:r>
          </w:p>
        </w:tc>
      </w:tr>
      <w:tr w:rsidR="00195BE7" w:rsidRPr="001E2F6E" w:rsidTr="00195BE7">
        <w:trPr>
          <w:jc w:val="center"/>
        </w:trPr>
        <w:tc>
          <w:tcPr>
            <w:tcW w:w="1594" w:type="pct"/>
            <w:tcBorders>
              <w:top w:val="single" w:sz="4" w:space="0" w:color="BFBFBF" w:themeColor="background1" w:themeShade="BF"/>
              <w:right w:val="single" w:sz="4" w:space="0" w:color="BFBFBF" w:themeColor="background1" w:themeShade="BF"/>
            </w:tcBorders>
            <w:vAlign w:val="bottom"/>
            <w:hideMark/>
          </w:tcPr>
          <w:p w:rsidR="00195BE7" w:rsidRPr="001E2F6E" w:rsidRDefault="00195BE7" w:rsidP="00195BE7">
            <w:pPr>
              <w:spacing w:line="240" w:lineRule="auto"/>
              <w:rPr>
                <w:b/>
                <w:bCs/>
                <w:color w:val="000000"/>
                <w:sz w:val="16"/>
                <w:szCs w:val="16"/>
              </w:rPr>
            </w:pPr>
            <w:r w:rsidRPr="001E2F6E">
              <w:rPr>
                <w:b/>
                <w:bCs/>
                <w:color w:val="000000"/>
                <w:sz w:val="16"/>
                <w:szCs w:val="16"/>
              </w:rPr>
              <w:t>Enplegua</w:t>
            </w:r>
          </w:p>
        </w:tc>
        <w:tc>
          <w:tcPr>
            <w:tcW w:w="1996" w:type="pct"/>
            <w:tcBorders>
              <w:top w:val="single" w:sz="4" w:space="0" w:color="BFBFBF" w:themeColor="background1" w:themeShade="BF"/>
              <w:left w:val="single" w:sz="4" w:space="0" w:color="BFBFBF" w:themeColor="background1" w:themeShade="BF"/>
              <w:right w:val="single" w:sz="4" w:space="0" w:color="BFBFBF" w:themeColor="background1" w:themeShade="BF"/>
            </w:tcBorders>
            <w:noWrap/>
            <w:vAlign w:val="bottom"/>
            <w:hideMark/>
          </w:tcPr>
          <w:p w:rsidR="00195BE7" w:rsidRPr="001E2F6E" w:rsidRDefault="00195BE7" w:rsidP="00195BE7">
            <w:pPr>
              <w:spacing w:line="240" w:lineRule="exact"/>
              <w:ind w:right="170"/>
              <w:jc w:val="right"/>
              <w:rPr>
                <w:b/>
                <w:bCs/>
                <w:color w:val="000000"/>
                <w:sz w:val="16"/>
                <w:szCs w:val="16"/>
              </w:rPr>
            </w:pPr>
            <w:r w:rsidRPr="001E2F6E">
              <w:rPr>
                <w:b/>
                <w:bCs/>
                <w:color w:val="000000"/>
                <w:sz w:val="16"/>
                <w:szCs w:val="16"/>
              </w:rPr>
              <w:t>81.224</w:t>
            </w:r>
            <w:r w:rsidRPr="001E2F6E">
              <w:rPr>
                <w:rStyle w:val="Refdenotaalpie"/>
                <w:b/>
                <w:bCs/>
                <w:szCs w:val="16"/>
              </w:rPr>
              <w:footnoteReference w:id="23"/>
            </w:r>
            <w:r w:rsidRPr="001E2F6E">
              <w:rPr>
                <w:b/>
                <w:color w:val="000000"/>
                <w:sz w:val="16"/>
                <w:szCs w:val="16"/>
              </w:rPr>
              <w:t xml:space="preserve"> enplegu urtekotu</w:t>
            </w:r>
          </w:p>
        </w:tc>
        <w:tc>
          <w:tcPr>
            <w:tcW w:w="1410" w:type="pct"/>
            <w:tcBorders>
              <w:top w:val="single" w:sz="4" w:space="0" w:color="BFBFBF" w:themeColor="background1" w:themeShade="BF"/>
              <w:left w:val="single" w:sz="4" w:space="0" w:color="BFBFBF" w:themeColor="background1" w:themeShade="BF"/>
            </w:tcBorders>
            <w:hideMark/>
          </w:tcPr>
          <w:p w:rsidR="00195BE7" w:rsidRPr="001E2F6E" w:rsidRDefault="00195BE7" w:rsidP="00195BE7">
            <w:pPr>
              <w:spacing w:line="240" w:lineRule="exact"/>
              <w:ind w:right="170"/>
              <w:jc w:val="center"/>
              <w:rPr>
                <w:color w:val="000000"/>
                <w:sz w:val="16"/>
                <w:szCs w:val="16"/>
              </w:rPr>
            </w:pPr>
            <w:r w:rsidRPr="001E2F6E">
              <w:rPr>
                <w:color w:val="000000"/>
                <w:sz w:val="16"/>
                <w:szCs w:val="16"/>
              </w:rPr>
              <w:t>31,3</w:t>
            </w:r>
          </w:p>
        </w:tc>
      </w:tr>
      <w:tr w:rsidR="00195BE7" w:rsidRPr="001E2F6E" w:rsidTr="00195BE7">
        <w:trPr>
          <w:jc w:val="center"/>
        </w:trPr>
        <w:tc>
          <w:tcPr>
            <w:tcW w:w="1594" w:type="pct"/>
            <w:tcBorders>
              <w:right w:val="single" w:sz="4" w:space="0" w:color="BFBFBF" w:themeColor="background1" w:themeShade="BF"/>
            </w:tcBorders>
            <w:vAlign w:val="bottom"/>
            <w:hideMark/>
          </w:tcPr>
          <w:p w:rsidR="00195BE7" w:rsidRPr="001E2F6E" w:rsidRDefault="00195BE7" w:rsidP="00195BE7">
            <w:pPr>
              <w:spacing w:line="240" w:lineRule="auto"/>
              <w:rPr>
                <w:b/>
                <w:bCs/>
                <w:color w:val="000000"/>
                <w:sz w:val="16"/>
                <w:szCs w:val="16"/>
              </w:rPr>
            </w:pPr>
            <w:r w:rsidRPr="001E2F6E">
              <w:rPr>
                <w:b/>
                <w:bCs/>
                <w:color w:val="000000"/>
                <w:sz w:val="16"/>
                <w:szCs w:val="16"/>
              </w:rPr>
              <w:t>Fakturazioa</w:t>
            </w:r>
          </w:p>
        </w:tc>
        <w:tc>
          <w:tcPr>
            <w:tcW w:w="1996" w:type="pct"/>
            <w:tcBorders>
              <w:left w:val="single" w:sz="4" w:space="0" w:color="BFBFBF" w:themeColor="background1" w:themeShade="BF"/>
              <w:right w:val="single" w:sz="4" w:space="0" w:color="BFBFBF" w:themeColor="background1" w:themeShade="BF"/>
            </w:tcBorders>
            <w:noWrap/>
            <w:vAlign w:val="bottom"/>
            <w:hideMark/>
          </w:tcPr>
          <w:p w:rsidR="00195BE7" w:rsidRPr="001E2F6E" w:rsidRDefault="00195BE7" w:rsidP="00195BE7">
            <w:pPr>
              <w:spacing w:line="240" w:lineRule="exact"/>
              <w:ind w:right="170"/>
              <w:jc w:val="right"/>
              <w:rPr>
                <w:b/>
                <w:bCs/>
                <w:color w:val="000000"/>
                <w:sz w:val="16"/>
                <w:szCs w:val="16"/>
              </w:rPr>
            </w:pPr>
            <w:r w:rsidRPr="001E2F6E">
              <w:rPr>
                <w:b/>
                <w:bCs/>
                <w:color w:val="000000"/>
                <w:sz w:val="16"/>
                <w:szCs w:val="16"/>
              </w:rPr>
              <w:t xml:space="preserve">10.196 </w:t>
            </w:r>
            <w:r w:rsidRPr="001E2F6E">
              <w:rPr>
                <w:b/>
                <w:color w:val="000000"/>
                <w:sz w:val="16"/>
                <w:szCs w:val="16"/>
              </w:rPr>
              <w:t>milioi euro</w:t>
            </w:r>
          </w:p>
        </w:tc>
        <w:tc>
          <w:tcPr>
            <w:tcW w:w="1410" w:type="pct"/>
            <w:tcBorders>
              <w:left w:val="single" w:sz="4" w:space="0" w:color="BFBFBF" w:themeColor="background1" w:themeShade="BF"/>
            </w:tcBorders>
            <w:hideMark/>
          </w:tcPr>
          <w:p w:rsidR="00195BE7" w:rsidRPr="001E2F6E" w:rsidRDefault="00195BE7" w:rsidP="00195BE7">
            <w:pPr>
              <w:spacing w:line="240" w:lineRule="exact"/>
              <w:ind w:right="170"/>
              <w:jc w:val="center"/>
              <w:rPr>
                <w:color w:val="000000"/>
                <w:sz w:val="16"/>
                <w:szCs w:val="16"/>
              </w:rPr>
            </w:pPr>
            <w:r w:rsidRPr="001E2F6E">
              <w:rPr>
                <w:color w:val="000000"/>
                <w:sz w:val="16"/>
                <w:szCs w:val="16"/>
              </w:rPr>
              <w:t>18,8</w:t>
            </w:r>
          </w:p>
        </w:tc>
      </w:tr>
      <w:tr w:rsidR="00195BE7" w:rsidRPr="001E2F6E" w:rsidTr="00195BE7">
        <w:trPr>
          <w:jc w:val="center"/>
        </w:trPr>
        <w:tc>
          <w:tcPr>
            <w:tcW w:w="1594" w:type="pct"/>
            <w:tcBorders>
              <w:right w:val="single" w:sz="4" w:space="0" w:color="BFBFBF" w:themeColor="background1" w:themeShade="BF"/>
            </w:tcBorders>
            <w:noWrap/>
            <w:vAlign w:val="bottom"/>
            <w:hideMark/>
          </w:tcPr>
          <w:p w:rsidR="00195BE7" w:rsidRPr="001E2F6E" w:rsidRDefault="00195BE7" w:rsidP="00195BE7">
            <w:pPr>
              <w:spacing w:line="240" w:lineRule="auto"/>
              <w:rPr>
                <w:b/>
                <w:bCs/>
                <w:color w:val="000000"/>
                <w:sz w:val="16"/>
                <w:szCs w:val="16"/>
              </w:rPr>
            </w:pPr>
            <w:r w:rsidRPr="001E2F6E">
              <w:rPr>
                <w:b/>
                <w:bCs/>
                <w:color w:val="000000"/>
                <w:sz w:val="16"/>
                <w:szCs w:val="16"/>
              </w:rPr>
              <w:t>Soldata-Masa</w:t>
            </w:r>
          </w:p>
        </w:tc>
        <w:tc>
          <w:tcPr>
            <w:tcW w:w="1996" w:type="pct"/>
            <w:tcBorders>
              <w:left w:val="single" w:sz="4" w:space="0" w:color="BFBFBF" w:themeColor="background1" w:themeShade="BF"/>
              <w:right w:val="single" w:sz="4" w:space="0" w:color="BFBFBF" w:themeColor="background1" w:themeShade="BF"/>
            </w:tcBorders>
            <w:noWrap/>
            <w:vAlign w:val="bottom"/>
            <w:hideMark/>
          </w:tcPr>
          <w:p w:rsidR="00195BE7" w:rsidRPr="001E2F6E" w:rsidRDefault="00195BE7" w:rsidP="00195BE7">
            <w:pPr>
              <w:spacing w:line="240" w:lineRule="exact"/>
              <w:ind w:right="170"/>
              <w:jc w:val="right"/>
              <w:rPr>
                <w:b/>
                <w:bCs/>
                <w:color w:val="000000"/>
                <w:sz w:val="16"/>
                <w:szCs w:val="16"/>
              </w:rPr>
            </w:pPr>
            <w:r w:rsidRPr="001E2F6E">
              <w:rPr>
                <w:b/>
                <w:bCs/>
                <w:color w:val="000000"/>
                <w:sz w:val="16"/>
                <w:szCs w:val="16"/>
              </w:rPr>
              <w:t xml:space="preserve">2.691 </w:t>
            </w:r>
            <w:r w:rsidRPr="001E2F6E">
              <w:rPr>
                <w:b/>
                <w:color w:val="000000"/>
                <w:sz w:val="16"/>
                <w:szCs w:val="16"/>
              </w:rPr>
              <w:t>milioi euro</w:t>
            </w:r>
          </w:p>
        </w:tc>
        <w:tc>
          <w:tcPr>
            <w:tcW w:w="1410" w:type="pct"/>
            <w:tcBorders>
              <w:left w:val="single" w:sz="4" w:space="0" w:color="BFBFBF" w:themeColor="background1" w:themeShade="BF"/>
            </w:tcBorders>
            <w:hideMark/>
          </w:tcPr>
          <w:p w:rsidR="00195BE7" w:rsidRPr="001E2F6E" w:rsidRDefault="00195BE7" w:rsidP="00195BE7">
            <w:pPr>
              <w:spacing w:line="240" w:lineRule="exact"/>
              <w:ind w:right="170"/>
              <w:jc w:val="center"/>
              <w:rPr>
                <w:color w:val="000000"/>
                <w:sz w:val="16"/>
                <w:szCs w:val="16"/>
              </w:rPr>
            </w:pPr>
            <w:r w:rsidRPr="001E2F6E">
              <w:rPr>
                <w:color w:val="000000"/>
                <w:sz w:val="16"/>
                <w:szCs w:val="16"/>
              </w:rPr>
              <w:t>24,0</w:t>
            </w:r>
          </w:p>
        </w:tc>
      </w:tr>
      <w:tr w:rsidR="00195BE7" w:rsidRPr="001E2F6E" w:rsidTr="00195BE7">
        <w:trPr>
          <w:jc w:val="center"/>
        </w:trPr>
        <w:tc>
          <w:tcPr>
            <w:tcW w:w="1594" w:type="pct"/>
            <w:tcBorders>
              <w:bottom w:val="single" w:sz="4" w:space="0" w:color="BFBFBF" w:themeColor="background1" w:themeShade="BF"/>
              <w:right w:val="single" w:sz="4" w:space="0" w:color="BFBFBF" w:themeColor="background1" w:themeShade="BF"/>
            </w:tcBorders>
            <w:noWrap/>
            <w:vAlign w:val="bottom"/>
            <w:hideMark/>
          </w:tcPr>
          <w:p w:rsidR="00195BE7" w:rsidRPr="001E2F6E" w:rsidRDefault="00195BE7" w:rsidP="00195BE7">
            <w:pPr>
              <w:spacing w:line="240" w:lineRule="auto"/>
              <w:rPr>
                <w:b/>
                <w:bCs/>
                <w:color w:val="000000"/>
                <w:sz w:val="16"/>
                <w:szCs w:val="16"/>
              </w:rPr>
            </w:pPr>
            <w:r w:rsidRPr="001E2F6E">
              <w:rPr>
                <w:b/>
                <w:bCs/>
                <w:color w:val="000000"/>
                <w:sz w:val="16"/>
                <w:szCs w:val="16"/>
              </w:rPr>
              <w:t>BEGd</w:t>
            </w:r>
          </w:p>
        </w:tc>
        <w:tc>
          <w:tcPr>
            <w:tcW w:w="1996" w:type="pct"/>
            <w:tcBorders>
              <w:left w:val="single" w:sz="4" w:space="0" w:color="BFBFBF" w:themeColor="background1" w:themeShade="BF"/>
              <w:bottom w:val="single" w:sz="4" w:space="0" w:color="BFBFBF" w:themeColor="background1" w:themeShade="BF"/>
              <w:right w:val="single" w:sz="4" w:space="0" w:color="BFBFBF" w:themeColor="background1" w:themeShade="BF"/>
            </w:tcBorders>
            <w:noWrap/>
            <w:vAlign w:val="bottom"/>
            <w:hideMark/>
          </w:tcPr>
          <w:p w:rsidR="00195BE7" w:rsidRPr="001E2F6E" w:rsidRDefault="00195BE7" w:rsidP="00195BE7">
            <w:pPr>
              <w:spacing w:line="240" w:lineRule="exact"/>
              <w:ind w:right="170"/>
              <w:jc w:val="right"/>
              <w:rPr>
                <w:b/>
                <w:bCs/>
                <w:color w:val="000000"/>
                <w:sz w:val="16"/>
                <w:szCs w:val="16"/>
              </w:rPr>
            </w:pPr>
            <w:r w:rsidRPr="001E2F6E">
              <w:rPr>
                <w:b/>
                <w:bCs/>
                <w:color w:val="000000"/>
                <w:sz w:val="16"/>
                <w:szCs w:val="16"/>
              </w:rPr>
              <w:t xml:space="preserve">3.495 </w:t>
            </w:r>
            <w:r w:rsidRPr="001E2F6E">
              <w:rPr>
                <w:b/>
                <w:color w:val="000000"/>
                <w:sz w:val="16"/>
                <w:szCs w:val="16"/>
              </w:rPr>
              <w:t>milioi euro</w:t>
            </w:r>
            <w:r w:rsidRPr="001E2F6E">
              <w:rPr>
                <w:b/>
                <w:bCs/>
                <w:color w:val="000000"/>
                <w:sz w:val="16"/>
                <w:szCs w:val="16"/>
              </w:rPr>
              <w:t xml:space="preserve"> -</w:t>
            </w:r>
          </w:p>
        </w:tc>
        <w:tc>
          <w:tcPr>
            <w:tcW w:w="1410" w:type="pct"/>
            <w:tcBorders>
              <w:left w:val="single" w:sz="4" w:space="0" w:color="BFBFBF" w:themeColor="background1" w:themeShade="BF"/>
              <w:bottom w:val="single" w:sz="4" w:space="0" w:color="BFBFBF" w:themeColor="background1" w:themeShade="BF"/>
            </w:tcBorders>
            <w:hideMark/>
          </w:tcPr>
          <w:p w:rsidR="00195BE7" w:rsidRPr="001E2F6E" w:rsidRDefault="00195BE7" w:rsidP="00195BE7">
            <w:pPr>
              <w:spacing w:line="240" w:lineRule="exact"/>
              <w:ind w:right="170"/>
              <w:jc w:val="center"/>
              <w:rPr>
                <w:color w:val="000000"/>
                <w:sz w:val="16"/>
                <w:szCs w:val="16"/>
              </w:rPr>
            </w:pPr>
            <w:r w:rsidRPr="001E2F6E">
              <w:rPr>
                <w:color w:val="000000"/>
                <w:sz w:val="16"/>
                <w:szCs w:val="16"/>
              </w:rPr>
              <w:t>24,4</w:t>
            </w:r>
          </w:p>
        </w:tc>
      </w:tr>
    </w:tbl>
    <w:p w:rsidR="00195BE7" w:rsidRPr="001E2F6E" w:rsidRDefault="00195BE7" w:rsidP="00195BE7">
      <w:pPr>
        <w:pStyle w:val="Ttulo6"/>
        <w:keepNext w:val="0"/>
        <w:widowControl w:val="0"/>
        <w:jc w:val="center"/>
        <w:rPr>
          <w:rFonts w:ascii="Arial" w:hAnsi="Arial" w:cs="Arial"/>
          <w:b w:val="0"/>
          <w:i/>
          <w:sz w:val="16"/>
        </w:rPr>
      </w:pPr>
    </w:p>
    <w:p w:rsidR="00195BE7" w:rsidRPr="001E2F6E" w:rsidRDefault="00195BE7" w:rsidP="00195BE7"/>
    <w:p w:rsidR="00195BE7" w:rsidRPr="001E2F6E" w:rsidRDefault="00195BE7" w:rsidP="00195BE7">
      <w:pPr>
        <w:spacing w:line="240" w:lineRule="auto"/>
        <w:ind w:left="227" w:hanging="227"/>
        <w:rPr>
          <w:sz w:val="17"/>
          <w:szCs w:val="17"/>
          <w:lang w:val="eu-ES"/>
        </w:rPr>
      </w:pPr>
    </w:p>
    <w:p w:rsidR="00195BE7" w:rsidRPr="001E2F6E" w:rsidRDefault="00195BE7" w:rsidP="00195BE7"/>
    <w:p w:rsidR="00195BE7" w:rsidRPr="001E2F6E" w:rsidRDefault="00195BE7" w:rsidP="00195BE7"/>
    <w:p w:rsidR="00195BE7" w:rsidRPr="001E2F6E" w:rsidRDefault="00195BE7" w:rsidP="00195BE7">
      <w:pPr>
        <w:spacing w:after="200" w:line="276" w:lineRule="auto"/>
        <w:rPr>
          <w:rFonts w:eastAsia="Times New Roman"/>
          <w:lang w:val="es-ES_tradnl" w:eastAsia="es-ES"/>
        </w:rPr>
      </w:pPr>
    </w:p>
    <w:p w:rsidR="00195BE7" w:rsidRPr="001E2F6E" w:rsidRDefault="00195BE7" w:rsidP="00195BE7">
      <w:pPr>
        <w:spacing w:after="200" w:line="276" w:lineRule="auto"/>
        <w:jc w:val="left"/>
        <w:rPr>
          <w:rFonts w:eastAsia="Times New Roman"/>
          <w:b/>
          <w:sz w:val="26"/>
          <w:szCs w:val="26"/>
          <w:lang w:val="es-ES_tradnl" w:eastAsia="es-ES"/>
        </w:rPr>
      </w:pPr>
      <w:r w:rsidRPr="001E2F6E">
        <w:rPr>
          <w:rFonts w:eastAsia="Times New Roman"/>
          <w:b/>
          <w:sz w:val="26"/>
          <w:szCs w:val="26"/>
          <w:lang w:val="es-ES_tradnl" w:eastAsia="es-ES"/>
        </w:rPr>
        <w:br w:type="page"/>
      </w:r>
    </w:p>
    <w:p w:rsidR="00195BE7" w:rsidRPr="001E2F6E" w:rsidRDefault="00195BE7" w:rsidP="00195BE7">
      <w:pPr>
        <w:spacing w:after="200" w:line="276" w:lineRule="auto"/>
        <w:rPr>
          <w:rFonts w:eastAsia="Times New Roman"/>
          <w:lang w:val="es-ES_tradnl" w:eastAsia="es-ES"/>
        </w:rPr>
      </w:pPr>
    </w:p>
    <w:p w:rsidR="00195BE7" w:rsidRPr="001E2F6E" w:rsidRDefault="00195BE7" w:rsidP="00195BE7">
      <w:pPr>
        <w:spacing w:after="200" w:line="276" w:lineRule="auto"/>
        <w:jc w:val="left"/>
        <w:rPr>
          <w:rFonts w:eastAsia="Times New Roman"/>
          <w:b/>
          <w:sz w:val="26"/>
          <w:szCs w:val="26"/>
          <w:lang w:val="es-ES_tradnl" w:eastAsia="es-ES"/>
        </w:rPr>
      </w:pPr>
      <w:r w:rsidRPr="001E2F6E">
        <w:rPr>
          <w:rFonts w:eastAsia="Times New Roman"/>
          <w:b/>
          <w:sz w:val="26"/>
          <w:szCs w:val="26"/>
          <w:lang w:val="es-ES_tradnl" w:eastAsia="es-ES"/>
        </w:rPr>
        <w:br w:type="page"/>
      </w:r>
    </w:p>
    <w:p w:rsidR="00195BE7" w:rsidRPr="001E2F6E" w:rsidRDefault="00195BE7" w:rsidP="00195BE7">
      <w:pPr>
        <w:pStyle w:val="TDC1"/>
        <w:tabs>
          <w:tab w:val="right" w:leader="dot" w:pos="8777"/>
        </w:tabs>
        <w:rPr>
          <w:rFonts w:eastAsia="Times New Roman"/>
          <w:b/>
          <w:sz w:val="26"/>
          <w:szCs w:val="26"/>
          <w:lang w:val="es-ES_tradnl" w:eastAsia="es-ES"/>
        </w:rPr>
      </w:pPr>
      <w:r w:rsidRPr="001E2F6E">
        <w:rPr>
          <w:rFonts w:eastAsia="Times New Roman"/>
          <w:b/>
          <w:sz w:val="26"/>
          <w:szCs w:val="26"/>
          <w:lang w:val="es-ES_tradnl" w:eastAsia="es-ES"/>
        </w:rPr>
        <w:lastRenderedPageBreak/>
        <w:t>ÍNDICE</w:t>
      </w:r>
    </w:p>
    <w:p w:rsidR="000728A0" w:rsidRPr="001E2F6E" w:rsidRDefault="00EB6BA6" w:rsidP="000728A0">
      <w:pPr>
        <w:pStyle w:val="TDC1"/>
        <w:tabs>
          <w:tab w:val="left" w:pos="426"/>
          <w:tab w:val="right" w:leader="dot" w:pos="9072"/>
        </w:tabs>
        <w:spacing w:after="0" w:line="240" w:lineRule="auto"/>
        <w:ind w:left="426" w:hanging="426"/>
        <w:rPr>
          <w:rStyle w:val="Hipervnculo"/>
          <w:rFonts w:cs="Arial"/>
          <w:b/>
          <w:noProof/>
          <w:color w:val="auto"/>
          <w:u w:val="none"/>
        </w:rPr>
      </w:pPr>
      <w:r w:rsidRPr="001E2F6E">
        <w:rPr>
          <w:rFonts w:eastAsia="Times New Roman"/>
          <w:sz w:val="18"/>
          <w:szCs w:val="18"/>
          <w:lang w:val="es-ES_tradnl" w:eastAsia="es-ES"/>
        </w:rPr>
        <w:fldChar w:fldCharType="begin"/>
      </w:r>
      <w:r w:rsidR="00195BE7" w:rsidRPr="001E2F6E">
        <w:rPr>
          <w:rFonts w:eastAsia="Times New Roman"/>
          <w:sz w:val="18"/>
          <w:szCs w:val="18"/>
          <w:lang w:val="es-ES_tradnl" w:eastAsia="es-ES"/>
        </w:rPr>
        <w:instrText xml:space="preserve"> TOC \o "1-5" \h \z \u </w:instrText>
      </w:r>
      <w:r w:rsidRPr="001E2F6E">
        <w:rPr>
          <w:rFonts w:eastAsia="Times New Roman"/>
          <w:sz w:val="18"/>
          <w:szCs w:val="18"/>
          <w:lang w:val="es-ES_tradnl" w:eastAsia="es-ES"/>
        </w:rPr>
        <w:fldChar w:fldCharType="separate"/>
      </w:r>
      <w:hyperlink w:anchor="_Toc392585650" w:history="1">
        <w:r w:rsidR="000728A0" w:rsidRPr="001E2F6E">
          <w:rPr>
            <w:rStyle w:val="Hipervnculo"/>
            <w:rFonts w:cs="Arial"/>
            <w:b/>
            <w:noProof/>
            <w:color w:val="auto"/>
            <w:sz w:val="18"/>
            <w:szCs w:val="18"/>
            <w:u w:val="none"/>
          </w:rPr>
          <w:t>SARRERA</w:t>
        </w:r>
        <w:r w:rsidR="000728A0" w:rsidRPr="001E2F6E">
          <w:rPr>
            <w:rStyle w:val="Hipervnculo"/>
            <w:rFonts w:cs="Arial"/>
            <w:b/>
            <w:noProof/>
            <w:webHidden/>
            <w:color w:val="auto"/>
            <w:u w:val="none"/>
          </w:rPr>
          <w:tab/>
        </w:r>
        <w:r w:rsidRPr="001E2F6E">
          <w:rPr>
            <w:rStyle w:val="Hipervnculo"/>
            <w:rFonts w:cs="Arial"/>
            <w:b/>
            <w:noProof/>
            <w:webHidden/>
            <w:color w:val="auto"/>
            <w:u w:val="none"/>
          </w:rPr>
          <w:fldChar w:fldCharType="begin"/>
        </w:r>
        <w:r w:rsidR="000728A0" w:rsidRPr="001E2F6E">
          <w:rPr>
            <w:rStyle w:val="Hipervnculo"/>
            <w:rFonts w:cs="Arial"/>
            <w:b/>
            <w:noProof/>
            <w:webHidden/>
            <w:color w:val="auto"/>
            <w:u w:val="none"/>
          </w:rPr>
          <w:instrText xml:space="preserve"> PAGEREF _Toc392585650 \h </w:instrText>
        </w:r>
        <w:r w:rsidRPr="001E2F6E">
          <w:rPr>
            <w:rStyle w:val="Hipervnculo"/>
            <w:rFonts w:cs="Arial"/>
            <w:b/>
            <w:noProof/>
            <w:webHidden/>
            <w:color w:val="auto"/>
            <w:u w:val="none"/>
          </w:rPr>
        </w:r>
        <w:r w:rsidRPr="001E2F6E">
          <w:rPr>
            <w:rStyle w:val="Hipervnculo"/>
            <w:rFonts w:cs="Arial"/>
            <w:b/>
            <w:noProof/>
            <w:webHidden/>
            <w:color w:val="auto"/>
            <w:u w:val="none"/>
          </w:rPr>
          <w:fldChar w:fldCharType="separate"/>
        </w:r>
        <w:r w:rsidR="00A327D4">
          <w:rPr>
            <w:rStyle w:val="Hipervnculo"/>
            <w:rFonts w:cs="Arial"/>
            <w:b/>
            <w:noProof/>
            <w:webHidden/>
            <w:color w:val="auto"/>
            <w:u w:val="none"/>
          </w:rPr>
          <w:t>3</w:t>
        </w:r>
        <w:r w:rsidRPr="001E2F6E">
          <w:rPr>
            <w:rStyle w:val="Hipervnculo"/>
            <w:rFonts w:cs="Arial"/>
            <w:b/>
            <w:noProof/>
            <w:webHidden/>
            <w:color w:val="auto"/>
            <w:u w:val="none"/>
          </w:rPr>
          <w:fldChar w:fldCharType="end"/>
        </w:r>
      </w:hyperlink>
    </w:p>
    <w:p w:rsidR="000728A0" w:rsidRPr="001E2F6E" w:rsidRDefault="000728A0" w:rsidP="000728A0">
      <w:pPr>
        <w:pStyle w:val="TDC1"/>
        <w:tabs>
          <w:tab w:val="left" w:pos="426"/>
          <w:tab w:val="right" w:leader="dot" w:pos="9072"/>
        </w:tabs>
        <w:spacing w:after="0" w:line="240" w:lineRule="auto"/>
        <w:ind w:left="426" w:hanging="426"/>
        <w:rPr>
          <w:rStyle w:val="Hipervnculo"/>
          <w:rFonts w:cs="Arial"/>
          <w:noProof/>
          <w:color w:val="auto"/>
          <w:sz w:val="18"/>
          <w:szCs w:val="18"/>
          <w:u w:val="none"/>
        </w:rPr>
      </w:pPr>
    </w:p>
    <w:p w:rsidR="000728A0" w:rsidRPr="001E2F6E" w:rsidRDefault="00A327D4" w:rsidP="000728A0">
      <w:pPr>
        <w:pStyle w:val="TDC1"/>
        <w:tabs>
          <w:tab w:val="left" w:pos="426"/>
          <w:tab w:val="right" w:leader="dot" w:pos="9072"/>
        </w:tabs>
        <w:spacing w:after="0" w:line="240" w:lineRule="auto"/>
        <w:ind w:left="426" w:hanging="426"/>
        <w:rPr>
          <w:rStyle w:val="Hipervnculo"/>
          <w:rFonts w:cs="Arial"/>
          <w:b/>
          <w:noProof/>
          <w:color w:val="auto"/>
          <w:u w:val="none"/>
        </w:rPr>
      </w:pPr>
      <w:hyperlink w:anchor="_Toc392585651" w:history="1">
        <w:r w:rsidR="000728A0" w:rsidRPr="001E2F6E">
          <w:rPr>
            <w:rStyle w:val="Hipervnculo"/>
            <w:rFonts w:cs="Arial"/>
            <w:b/>
            <w:noProof/>
            <w:color w:val="auto"/>
            <w:sz w:val="18"/>
            <w:szCs w:val="18"/>
            <w:u w:val="none"/>
          </w:rPr>
          <w:t>EMAITZA NAGUSIAK</w:t>
        </w:r>
        <w:r w:rsidR="000728A0" w:rsidRPr="001E2F6E">
          <w:rPr>
            <w:rStyle w:val="Hipervnculo"/>
            <w:rFonts w:cs="Arial"/>
            <w:b/>
            <w:noProof/>
            <w:webHidden/>
            <w:color w:val="auto"/>
            <w:u w:val="none"/>
          </w:rPr>
          <w:tab/>
        </w:r>
        <w:r w:rsidR="00EB6BA6" w:rsidRPr="001E2F6E">
          <w:rPr>
            <w:rStyle w:val="Hipervnculo"/>
            <w:rFonts w:cs="Arial"/>
            <w:b/>
            <w:noProof/>
            <w:webHidden/>
            <w:color w:val="auto"/>
            <w:u w:val="none"/>
          </w:rPr>
          <w:fldChar w:fldCharType="begin"/>
        </w:r>
        <w:r w:rsidR="000728A0" w:rsidRPr="001E2F6E">
          <w:rPr>
            <w:rStyle w:val="Hipervnculo"/>
            <w:rFonts w:cs="Arial"/>
            <w:b/>
            <w:noProof/>
            <w:webHidden/>
            <w:color w:val="auto"/>
            <w:u w:val="none"/>
          </w:rPr>
          <w:instrText xml:space="preserve"> PAGEREF _Toc392585651 \h </w:instrText>
        </w:r>
        <w:r w:rsidR="00EB6BA6" w:rsidRPr="001E2F6E">
          <w:rPr>
            <w:rStyle w:val="Hipervnculo"/>
            <w:rFonts w:cs="Arial"/>
            <w:b/>
            <w:noProof/>
            <w:webHidden/>
            <w:color w:val="auto"/>
            <w:u w:val="none"/>
          </w:rPr>
        </w:r>
        <w:r w:rsidR="00EB6BA6" w:rsidRPr="001E2F6E">
          <w:rPr>
            <w:rStyle w:val="Hipervnculo"/>
            <w:rFonts w:cs="Arial"/>
            <w:b/>
            <w:noProof/>
            <w:webHidden/>
            <w:color w:val="auto"/>
            <w:u w:val="none"/>
          </w:rPr>
          <w:fldChar w:fldCharType="separate"/>
        </w:r>
        <w:r>
          <w:rPr>
            <w:rStyle w:val="Hipervnculo"/>
            <w:rFonts w:cs="Arial"/>
            <w:b/>
            <w:noProof/>
            <w:webHidden/>
            <w:color w:val="auto"/>
            <w:u w:val="none"/>
          </w:rPr>
          <w:t>5</w:t>
        </w:r>
        <w:r w:rsidR="00EB6BA6" w:rsidRPr="001E2F6E">
          <w:rPr>
            <w:rStyle w:val="Hipervnculo"/>
            <w:rFonts w:cs="Arial"/>
            <w:b/>
            <w:noProof/>
            <w:webHidden/>
            <w:color w:val="auto"/>
            <w:u w:val="none"/>
          </w:rPr>
          <w:fldChar w:fldCharType="end"/>
        </w:r>
      </w:hyperlink>
    </w:p>
    <w:p w:rsidR="000728A0" w:rsidRPr="001E2F6E" w:rsidRDefault="000728A0" w:rsidP="000728A0">
      <w:pPr>
        <w:pStyle w:val="TDC1"/>
        <w:tabs>
          <w:tab w:val="left" w:pos="426"/>
          <w:tab w:val="right" w:leader="dot" w:pos="9072"/>
        </w:tabs>
        <w:spacing w:after="0" w:line="240" w:lineRule="auto"/>
        <w:ind w:left="426" w:hanging="426"/>
        <w:rPr>
          <w:rStyle w:val="Hipervnculo"/>
          <w:rFonts w:cs="Arial"/>
          <w:noProof/>
          <w:color w:val="auto"/>
          <w:sz w:val="18"/>
          <w:szCs w:val="18"/>
          <w:u w:val="none"/>
        </w:rPr>
      </w:pPr>
    </w:p>
    <w:p w:rsidR="000728A0" w:rsidRPr="001E2F6E" w:rsidRDefault="00A327D4" w:rsidP="000728A0">
      <w:pPr>
        <w:pStyle w:val="TDC1"/>
        <w:tabs>
          <w:tab w:val="left" w:pos="426"/>
          <w:tab w:val="right" w:leader="dot" w:pos="9072"/>
        </w:tabs>
        <w:spacing w:after="0" w:line="240" w:lineRule="auto"/>
        <w:ind w:left="426" w:hanging="426"/>
        <w:rPr>
          <w:rStyle w:val="Hipervnculo"/>
          <w:rFonts w:cs="Arial"/>
          <w:b/>
          <w:noProof/>
          <w:color w:val="auto"/>
          <w:u w:val="none"/>
        </w:rPr>
      </w:pPr>
      <w:hyperlink w:anchor="_Toc392585652" w:history="1">
        <w:r w:rsidR="000728A0" w:rsidRPr="001E2F6E">
          <w:rPr>
            <w:rStyle w:val="Hipervnculo"/>
            <w:rFonts w:cs="Arial"/>
            <w:b/>
            <w:noProof/>
            <w:color w:val="auto"/>
            <w:sz w:val="18"/>
            <w:szCs w:val="18"/>
            <w:u w:val="none"/>
          </w:rPr>
          <w:t>I.</w:t>
        </w:r>
        <w:r w:rsidR="000728A0" w:rsidRPr="001E2F6E">
          <w:rPr>
            <w:rStyle w:val="Hipervnculo"/>
            <w:rFonts w:cs="Arial"/>
            <w:b/>
            <w:noProof/>
            <w:color w:val="auto"/>
            <w:u w:val="none"/>
          </w:rPr>
          <w:tab/>
        </w:r>
        <w:r w:rsidR="000728A0" w:rsidRPr="001E2F6E">
          <w:rPr>
            <w:rStyle w:val="Hipervnculo"/>
            <w:rFonts w:cs="Arial"/>
            <w:b/>
            <w:noProof/>
            <w:color w:val="auto"/>
            <w:sz w:val="18"/>
            <w:szCs w:val="18"/>
            <w:u w:val="none"/>
          </w:rPr>
          <w:t>GIZARTE EKONOMIAREN FORMA KLASIKOAK (GEFK), 2012</w:t>
        </w:r>
        <w:r w:rsidR="000728A0" w:rsidRPr="001E2F6E">
          <w:rPr>
            <w:rStyle w:val="Hipervnculo"/>
            <w:rFonts w:cs="Arial"/>
            <w:b/>
            <w:noProof/>
            <w:webHidden/>
            <w:color w:val="auto"/>
            <w:u w:val="none"/>
          </w:rPr>
          <w:tab/>
        </w:r>
        <w:r w:rsidR="00EB6BA6" w:rsidRPr="001E2F6E">
          <w:rPr>
            <w:rStyle w:val="Hipervnculo"/>
            <w:rFonts w:cs="Arial"/>
            <w:b/>
            <w:noProof/>
            <w:webHidden/>
            <w:color w:val="auto"/>
            <w:u w:val="none"/>
          </w:rPr>
          <w:fldChar w:fldCharType="begin"/>
        </w:r>
        <w:r w:rsidR="000728A0" w:rsidRPr="001E2F6E">
          <w:rPr>
            <w:rStyle w:val="Hipervnculo"/>
            <w:rFonts w:cs="Arial"/>
            <w:b/>
            <w:noProof/>
            <w:webHidden/>
            <w:color w:val="auto"/>
            <w:u w:val="none"/>
          </w:rPr>
          <w:instrText xml:space="preserve"> PAGEREF _Toc392585652 \h </w:instrText>
        </w:r>
        <w:r w:rsidR="00EB6BA6" w:rsidRPr="001E2F6E">
          <w:rPr>
            <w:rStyle w:val="Hipervnculo"/>
            <w:rFonts w:cs="Arial"/>
            <w:b/>
            <w:noProof/>
            <w:webHidden/>
            <w:color w:val="auto"/>
            <w:u w:val="none"/>
          </w:rPr>
        </w:r>
        <w:r w:rsidR="00EB6BA6" w:rsidRPr="001E2F6E">
          <w:rPr>
            <w:rStyle w:val="Hipervnculo"/>
            <w:rFonts w:cs="Arial"/>
            <w:b/>
            <w:noProof/>
            <w:webHidden/>
            <w:color w:val="auto"/>
            <w:u w:val="none"/>
          </w:rPr>
          <w:fldChar w:fldCharType="separate"/>
        </w:r>
        <w:r>
          <w:rPr>
            <w:rStyle w:val="Hipervnculo"/>
            <w:rFonts w:cs="Arial"/>
            <w:b/>
            <w:noProof/>
            <w:webHidden/>
            <w:color w:val="auto"/>
            <w:u w:val="none"/>
          </w:rPr>
          <w:t>7</w:t>
        </w:r>
        <w:r w:rsidR="00EB6BA6" w:rsidRPr="001E2F6E">
          <w:rPr>
            <w:rStyle w:val="Hipervnculo"/>
            <w:rFonts w:cs="Arial"/>
            <w:b/>
            <w:noProof/>
            <w:webHidden/>
            <w:color w:val="auto"/>
            <w:u w:val="none"/>
          </w:rPr>
          <w:fldChar w:fldCharType="end"/>
        </w:r>
      </w:hyperlink>
    </w:p>
    <w:p w:rsidR="000728A0" w:rsidRPr="001E2F6E" w:rsidRDefault="000728A0" w:rsidP="000728A0">
      <w:pPr>
        <w:pStyle w:val="TDC1"/>
        <w:tabs>
          <w:tab w:val="left" w:pos="426"/>
          <w:tab w:val="right" w:leader="dot" w:pos="9072"/>
        </w:tabs>
        <w:spacing w:after="0" w:line="240" w:lineRule="auto"/>
        <w:ind w:left="426" w:hanging="426"/>
        <w:rPr>
          <w:rStyle w:val="Hipervnculo"/>
          <w:rFonts w:cs="Arial"/>
          <w:noProof/>
          <w:color w:val="auto"/>
          <w:u w:val="none"/>
        </w:rPr>
      </w:pPr>
      <w:r w:rsidRPr="001E2F6E">
        <w:rPr>
          <w:rStyle w:val="Hipervnculo"/>
          <w:rFonts w:cs="Arial"/>
          <w:noProof/>
          <w:color w:val="auto"/>
          <w:sz w:val="18"/>
          <w:szCs w:val="18"/>
          <w:u w:val="none"/>
        </w:rPr>
        <w:tab/>
      </w:r>
      <w:hyperlink w:anchor="_Toc392585653" w:history="1">
        <w:r w:rsidRPr="001E2F6E">
          <w:rPr>
            <w:rStyle w:val="Hipervnculo"/>
            <w:rFonts w:cs="Arial"/>
            <w:noProof/>
            <w:color w:val="auto"/>
            <w:sz w:val="18"/>
            <w:szCs w:val="18"/>
            <w:u w:val="none"/>
          </w:rPr>
          <w:t>2010tik 2012ra bitartean, Gizarte Ekonomiako enpleguak behera egin zuen</w:t>
        </w:r>
        <w:r w:rsidRPr="001E2F6E">
          <w:rPr>
            <w:rStyle w:val="Hipervnculo"/>
            <w:rFonts w:cs="Arial"/>
            <w:noProof/>
            <w:webHidden/>
            <w:color w:val="auto"/>
            <w:u w:val="none"/>
          </w:rPr>
          <w:tab/>
        </w:r>
        <w:r w:rsidR="00EB6BA6" w:rsidRPr="001E2F6E">
          <w:rPr>
            <w:rStyle w:val="Hipervnculo"/>
            <w:rFonts w:cs="Arial"/>
            <w:noProof/>
            <w:webHidden/>
            <w:color w:val="auto"/>
            <w:u w:val="none"/>
          </w:rPr>
          <w:fldChar w:fldCharType="begin"/>
        </w:r>
        <w:r w:rsidRPr="001E2F6E">
          <w:rPr>
            <w:rStyle w:val="Hipervnculo"/>
            <w:rFonts w:cs="Arial"/>
            <w:noProof/>
            <w:webHidden/>
            <w:color w:val="auto"/>
            <w:u w:val="none"/>
          </w:rPr>
          <w:instrText xml:space="preserve"> PAGEREF _Toc392585653 \h </w:instrText>
        </w:r>
        <w:r w:rsidR="00EB6BA6" w:rsidRPr="001E2F6E">
          <w:rPr>
            <w:rStyle w:val="Hipervnculo"/>
            <w:rFonts w:cs="Arial"/>
            <w:noProof/>
            <w:webHidden/>
            <w:color w:val="auto"/>
            <w:u w:val="none"/>
          </w:rPr>
        </w:r>
        <w:r w:rsidR="00EB6BA6" w:rsidRPr="001E2F6E">
          <w:rPr>
            <w:rStyle w:val="Hipervnculo"/>
            <w:rFonts w:cs="Arial"/>
            <w:noProof/>
            <w:webHidden/>
            <w:color w:val="auto"/>
            <w:u w:val="none"/>
          </w:rPr>
          <w:fldChar w:fldCharType="separate"/>
        </w:r>
        <w:r w:rsidR="00A327D4">
          <w:rPr>
            <w:rStyle w:val="Hipervnculo"/>
            <w:rFonts w:cs="Arial"/>
            <w:noProof/>
            <w:webHidden/>
            <w:color w:val="auto"/>
            <w:u w:val="none"/>
          </w:rPr>
          <w:t>7</w:t>
        </w:r>
        <w:r w:rsidR="00EB6BA6" w:rsidRPr="001E2F6E">
          <w:rPr>
            <w:rStyle w:val="Hipervnculo"/>
            <w:rFonts w:cs="Arial"/>
            <w:noProof/>
            <w:webHidden/>
            <w:color w:val="auto"/>
            <w:u w:val="none"/>
          </w:rPr>
          <w:fldChar w:fldCharType="end"/>
        </w:r>
      </w:hyperlink>
    </w:p>
    <w:p w:rsidR="000728A0" w:rsidRPr="001E2F6E" w:rsidRDefault="000728A0" w:rsidP="000728A0">
      <w:pPr>
        <w:pStyle w:val="TDC1"/>
        <w:tabs>
          <w:tab w:val="left" w:pos="426"/>
          <w:tab w:val="right" w:leader="dot" w:pos="9072"/>
        </w:tabs>
        <w:spacing w:after="0" w:line="240" w:lineRule="auto"/>
        <w:ind w:left="426" w:hanging="426"/>
        <w:rPr>
          <w:rStyle w:val="Hipervnculo"/>
          <w:rFonts w:cs="Arial"/>
          <w:noProof/>
          <w:color w:val="auto"/>
          <w:u w:val="none"/>
        </w:rPr>
      </w:pPr>
      <w:r w:rsidRPr="001E2F6E">
        <w:rPr>
          <w:rStyle w:val="Hipervnculo"/>
          <w:rFonts w:cs="Arial"/>
          <w:noProof/>
          <w:color w:val="auto"/>
          <w:sz w:val="18"/>
          <w:szCs w:val="18"/>
          <w:u w:val="none"/>
        </w:rPr>
        <w:tab/>
      </w:r>
      <w:hyperlink w:anchor="_Toc392585654" w:history="1">
        <w:r w:rsidRPr="001E2F6E">
          <w:rPr>
            <w:rStyle w:val="Hipervnculo"/>
            <w:rFonts w:cs="Arial"/>
            <w:noProof/>
            <w:color w:val="auto"/>
            <w:sz w:val="18"/>
            <w:szCs w:val="18"/>
            <w:u w:val="none"/>
          </w:rPr>
          <w:t>Beheranzko joera 2013an eten zen, baina goranzko susperraldirik gabe</w:t>
        </w:r>
        <w:r w:rsidRPr="001E2F6E">
          <w:rPr>
            <w:rStyle w:val="Hipervnculo"/>
            <w:rFonts w:cs="Arial"/>
            <w:noProof/>
            <w:webHidden/>
            <w:color w:val="auto"/>
            <w:u w:val="none"/>
          </w:rPr>
          <w:tab/>
        </w:r>
        <w:r w:rsidR="00EB6BA6" w:rsidRPr="001E2F6E">
          <w:rPr>
            <w:rStyle w:val="Hipervnculo"/>
            <w:rFonts w:cs="Arial"/>
            <w:noProof/>
            <w:webHidden/>
            <w:color w:val="auto"/>
            <w:u w:val="none"/>
          </w:rPr>
          <w:fldChar w:fldCharType="begin"/>
        </w:r>
        <w:r w:rsidRPr="001E2F6E">
          <w:rPr>
            <w:rStyle w:val="Hipervnculo"/>
            <w:rFonts w:cs="Arial"/>
            <w:noProof/>
            <w:webHidden/>
            <w:color w:val="auto"/>
            <w:u w:val="none"/>
          </w:rPr>
          <w:instrText xml:space="preserve"> PAGEREF _Toc392585654 \h </w:instrText>
        </w:r>
        <w:r w:rsidR="00EB6BA6" w:rsidRPr="001E2F6E">
          <w:rPr>
            <w:rStyle w:val="Hipervnculo"/>
            <w:rFonts w:cs="Arial"/>
            <w:noProof/>
            <w:webHidden/>
            <w:color w:val="auto"/>
            <w:u w:val="none"/>
          </w:rPr>
        </w:r>
        <w:r w:rsidR="00EB6BA6" w:rsidRPr="001E2F6E">
          <w:rPr>
            <w:rStyle w:val="Hipervnculo"/>
            <w:rFonts w:cs="Arial"/>
            <w:noProof/>
            <w:webHidden/>
            <w:color w:val="auto"/>
            <w:u w:val="none"/>
          </w:rPr>
          <w:fldChar w:fldCharType="separate"/>
        </w:r>
        <w:r w:rsidR="00A327D4">
          <w:rPr>
            <w:rStyle w:val="Hipervnculo"/>
            <w:rFonts w:cs="Arial"/>
            <w:noProof/>
            <w:webHidden/>
            <w:color w:val="auto"/>
            <w:u w:val="none"/>
          </w:rPr>
          <w:t>11</w:t>
        </w:r>
        <w:r w:rsidR="00EB6BA6" w:rsidRPr="001E2F6E">
          <w:rPr>
            <w:rStyle w:val="Hipervnculo"/>
            <w:rFonts w:cs="Arial"/>
            <w:noProof/>
            <w:webHidden/>
            <w:color w:val="auto"/>
            <w:u w:val="none"/>
          </w:rPr>
          <w:fldChar w:fldCharType="end"/>
        </w:r>
      </w:hyperlink>
    </w:p>
    <w:p w:rsidR="000728A0" w:rsidRPr="001E2F6E" w:rsidRDefault="000728A0" w:rsidP="000728A0">
      <w:pPr>
        <w:pStyle w:val="TDC1"/>
        <w:tabs>
          <w:tab w:val="left" w:pos="426"/>
          <w:tab w:val="right" w:leader="dot" w:pos="9072"/>
        </w:tabs>
        <w:spacing w:after="0" w:line="240" w:lineRule="auto"/>
        <w:ind w:left="426" w:hanging="426"/>
        <w:rPr>
          <w:rStyle w:val="Hipervnculo"/>
          <w:rFonts w:cs="Arial"/>
          <w:noProof/>
          <w:color w:val="auto"/>
          <w:u w:val="none"/>
        </w:rPr>
      </w:pPr>
      <w:r w:rsidRPr="001E2F6E">
        <w:rPr>
          <w:rStyle w:val="Hipervnculo"/>
          <w:rFonts w:cs="Arial"/>
          <w:noProof/>
          <w:color w:val="auto"/>
          <w:sz w:val="18"/>
          <w:szCs w:val="18"/>
          <w:u w:val="none"/>
        </w:rPr>
        <w:tab/>
      </w:r>
      <w:hyperlink w:anchor="_Toc392585655" w:history="1">
        <w:r w:rsidRPr="001E2F6E">
          <w:rPr>
            <w:rStyle w:val="Hipervnculo"/>
            <w:rFonts w:cs="Arial"/>
            <w:noProof/>
            <w:color w:val="auto"/>
            <w:sz w:val="18"/>
            <w:szCs w:val="18"/>
            <w:u w:val="none"/>
          </w:rPr>
          <w:t>Enplegu beherakada ez da homogeneoki banatzen</w:t>
        </w:r>
        <w:r w:rsidRPr="001E2F6E">
          <w:rPr>
            <w:rStyle w:val="Hipervnculo"/>
            <w:rFonts w:cs="Arial"/>
            <w:noProof/>
            <w:webHidden/>
            <w:color w:val="auto"/>
            <w:u w:val="none"/>
          </w:rPr>
          <w:tab/>
        </w:r>
        <w:r w:rsidR="00EB6BA6" w:rsidRPr="001E2F6E">
          <w:rPr>
            <w:rStyle w:val="Hipervnculo"/>
            <w:rFonts w:cs="Arial"/>
            <w:noProof/>
            <w:webHidden/>
            <w:color w:val="auto"/>
            <w:u w:val="none"/>
          </w:rPr>
          <w:fldChar w:fldCharType="begin"/>
        </w:r>
        <w:r w:rsidRPr="001E2F6E">
          <w:rPr>
            <w:rStyle w:val="Hipervnculo"/>
            <w:rFonts w:cs="Arial"/>
            <w:noProof/>
            <w:webHidden/>
            <w:color w:val="auto"/>
            <w:u w:val="none"/>
          </w:rPr>
          <w:instrText xml:space="preserve"> PAGEREF _Toc392585655 \h </w:instrText>
        </w:r>
        <w:r w:rsidR="00EB6BA6" w:rsidRPr="001E2F6E">
          <w:rPr>
            <w:rStyle w:val="Hipervnculo"/>
            <w:rFonts w:cs="Arial"/>
            <w:noProof/>
            <w:webHidden/>
            <w:color w:val="auto"/>
            <w:u w:val="none"/>
          </w:rPr>
        </w:r>
        <w:r w:rsidR="00EB6BA6" w:rsidRPr="001E2F6E">
          <w:rPr>
            <w:rStyle w:val="Hipervnculo"/>
            <w:rFonts w:cs="Arial"/>
            <w:noProof/>
            <w:webHidden/>
            <w:color w:val="auto"/>
            <w:u w:val="none"/>
          </w:rPr>
          <w:fldChar w:fldCharType="separate"/>
        </w:r>
        <w:r w:rsidR="00A327D4">
          <w:rPr>
            <w:rStyle w:val="Hipervnculo"/>
            <w:rFonts w:cs="Arial"/>
            <w:noProof/>
            <w:webHidden/>
            <w:color w:val="auto"/>
            <w:u w:val="none"/>
          </w:rPr>
          <w:t>12</w:t>
        </w:r>
        <w:r w:rsidR="00EB6BA6" w:rsidRPr="001E2F6E">
          <w:rPr>
            <w:rStyle w:val="Hipervnculo"/>
            <w:rFonts w:cs="Arial"/>
            <w:noProof/>
            <w:webHidden/>
            <w:color w:val="auto"/>
            <w:u w:val="none"/>
          </w:rPr>
          <w:fldChar w:fldCharType="end"/>
        </w:r>
      </w:hyperlink>
    </w:p>
    <w:p w:rsidR="000728A0" w:rsidRPr="001E2F6E" w:rsidRDefault="000728A0" w:rsidP="000728A0">
      <w:pPr>
        <w:pStyle w:val="TDC1"/>
        <w:tabs>
          <w:tab w:val="left" w:pos="426"/>
          <w:tab w:val="right" w:leader="dot" w:pos="9072"/>
        </w:tabs>
        <w:spacing w:after="0" w:line="240" w:lineRule="auto"/>
        <w:ind w:left="426" w:hanging="426"/>
        <w:rPr>
          <w:rStyle w:val="Hipervnculo"/>
          <w:rFonts w:cs="Arial"/>
          <w:noProof/>
          <w:color w:val="auto"/>
          <w:u w:val="none"/>
        </w:rPr>
      </w:pPr>
      <w:r w:rsidRPr="001E2F6E">
        <w:rPr>
          <w:rStyle w:val="Hipervnculo"/>
          <w:rFonts w:cs="Arial"/>
          <w:noProof/>
          <w:color w:val="auto"/>
          <w:sz w:val="18"/>
          <w:szCs w:val="18"/>
          <w:u w:val="none"/>
        </w:rPr>
        <w:tab/>
      </w:r>
      <w:hyperlink w:anchor="_Toc392585656" w:history="1">
        <w:r w:rsidRPr="001E2F6E">
          <w:rPr>
            <w:rStyle w:val="Hipervnculo"/>
            <w:rFonts w:cs="Arial"/>
            <w:noProof/>
            <w:color w:val="auto"/>
            <w:sz w:val="18"/>
            <w:szCs w:val="18"/>
            <w:u w:val="none"/>
          </w:rPr>
          <w:t>Enplegua txikitzen bada ere, establezimendu-kopurua handitu egiten da</w:t>
        </w:r>
        <w:r w:rsidRPr="001E2F6E">
          <w:rPr>
            <w:rStyle w:val="Hipervnculo"/>
            <w:rFonts w:cs="Arial"/>
            <w:noProof/>
            <w:webHidden/>
            <w:color w:val="auto"/>
            <w:u w:val="none"/>
          </w:rPr>
          <w:tab/>
        </w:r>
        <w:r w:rsidR="00EB6BA6" w:rsidRPr="001E2F6E">
          <w:rPr>
            <w:rStyle w:val="Hipervnculo"/>
            <w:rFonts w:cs="Arial"/>
            <w:noProof/>
            <w:webHidden/>
            <w:color w:val="auto"/>
            <w:u w:val="none"/>
          </w:rPr>
          <w:fldChar w:fldCharType="begin"/>
        </w:r>
        <w:r w:rsidRPr="001E2F6E">
          <w:rPr>
            <w:rStyle w:val="Hipervnculo"/>
            <w:rFonts w:cs="Arial"/>
            <w:noProof/>
            <w:webHidden/>
            <w:color w:val="auto"/>
            <w:u w:val="none"/>
          </w:rPr>
          <w:instrText xml:space="preserve"> PAGEREF _Toc392585656 \h </w:instrText>
        </w:r>
        <w:r w:rsidR="00EB6BA6" w:rsidRPr="001E2F6E">
          <w:rPr>
            <w:rStyle w:val="Hipervnculo"/>
            <w:rFonts w:cs="Arial"/>
            <w:noProof/>
            <w:webHidden/>
            <w:color w:val="auto"/>
            <w:u w:val="none"/>
          </w:rPr>
        </w:r>
        <w:r w:rsidR="00EB6BA6" w:rsidRPr="001E2F6E">
          <w:rPr>
            <w:rStyle w:val="Hipervnculo"/>
            <w:rFonts w:cs="Arial"/>
            <w:noProof/>
            <w:webHidden/>
            <w:color w:val="auto"/>
            <w:u w:val="none"/>
          </w:rPr>
          <w:fldChar w:fldCharType="separate"/>
        </w:r>
        <w:r w:rsidR="00A327D4">
          <w:rPr>
            <w:rStyle w:val="Hipervnculo"/>
            <w:rFonts w:cs="Arial"/>
            <w:noProof/>
            <w:webHidden/>
            <w:color w:val="auto"/>
            <w:u w:val="none"/>
          </w:rPr>
          <w:t>13</w:t>
        </w:r>
        <w:r w:rsidR="00EB6BA6" w:rsidRPr="001E2F6E">
          <w:rPr>
            <w:rStyle w:val="Hipervnculo"/>
            <w:rFonts w:cs="Arial"/>
            <w:noProof/>
            <w:webHidden/>
            <w:color w:val="auto"/>
            <w:u w:val="none"/>
          </w:rPr>
          <w:fldChar w:fldCharType="end"/>
        </w:r>
      </w:hyperlink>
    </w:p>
    <w:p w:rsidR="000728A0" w:rsidRPr="001E2F6E" w:rsidRDefault="000728A0" w:rsidP="000728A0">
      <w:pPr>
        <w:pStyle w:val="TDC1"/>
        <w:tabs>
          <w:tab w:val="left" w:pos="426"/>
          <w:tab w:val="right" w:leader="dot" w:pos="9072"/>
        </w:tabs>
        <w:spacing w:after="0" w:line="240" w:lineRule="auto"/>
        <w:ind w:left="426" w:hanging="426"/>
        <w:rPr>
          <w:rStyle w:val="Hipervnculo"/>
          <w:rFonts w:cs="Arial"/>
          <w:noProof/>
          <w:color w:val="auto"/>
          <w:u w:val="none"/>
        </w:rPr>
      </w:pPr>
      <w:r w:rsidRPr="001E2F6E">
        <w:rPr>
          <w:rStyle w:val="Hipervnculo"/>
          <w:rFonts w:cs="Arial"/>
          <w:noProof/>
          <w:color w:val="auto"/>
          <w:sz w:val="18"/>
          <w:szCs w:val="18"/>
          <w:u w:val="none"/>
        </w:rPr>
        <w:tab/>
      </w:r>
      <w:hyperlink w:anchor="_Toc392585657" w:history="1">
        <w:r w:rsidRPr="001E2F6E">
          <w:rPr>
            <w:rStyle w:val="Hipervnculo"/>
            <w:rFonts w:cs="Arial"/>
            <w:noProof/>
            <w:color w:val="auto"/>
            <w:sz w:val="18"/>
            <w:szCs w:val="18"/>
            <w:u w:val="none"/>
          </w:rPr>
          <w:t>Enplegu-beherakada sektoreko fakturazioa txikitzearekin eta errentagarritasun-adierazleak okerragotzearekin dago lotuta</w:t>
        </w:r>
        <w:r w:rsidRPr="001E2F6E">
          <w:rPr>
            <w:rStyle w:val="Hipervnculo"/>
            <w:rFonts w:cs="Arial"/>
            <w:noProof/>
            <w:webHidden/>
            <w:color w:val="auto"/>
            <w:u w:val="none"/>
          </w:rPr>
          <w:tab/>
        </w:r>
        <w:r w:rsidR="00EB6BA6" w:rsidRPr="001E2F6E">
          <w:rPr>
            <w:rStyle w:val="Hipervnculo"/>
            <w:rFonts w:cs="Arial"/>
            <w:noProof/>
            <w:webHidden/>
            <w:color w:val="auto"/>
            <w:u w:val="none"/>
          </w:rPr>
          <w:fldChar w:fldCharType="begin"/>
        </w:r>
        <w:r w:rsidRPr="001E2F6E">
          <w:rPr>
            <w:rStyle w:val="Hipervnculo"/>
            <w:rFonts w:cs="Arial"/>
            <w:noProof/>
            <w:webHidden/>
            <w:color w:val="auto"/>
            <w:u w:val="none"/>
          </w:rPr>
          <w:instrText xml:space="preserve"> PAGEREF _Toc392585657 \h </w:instrText>
        </w:r>
        <w:r w:rsidR="00EB6BA6" w:rsidRPr="001E2F6E">
          <w:rPr>
            <w:rStyle w:val="Hipervnculo"/>
            <w:rFonts w:cs="Arial"/>
            <w:noProof/>
            <w:webHidden/>
            <w:color w:val="auto"/>
            <w:u w:val="none"/>
          </w:rPr>
        </w:r>
        <w:r w:rsidR="00EB6BA6" w:rsidRPr="001E2F6E">
          <w:rPr>
            <w:rStyle w:val="Hipervnculo"/>
            <w:rFonts w:cs="Arial"/>
            <w:noProof/>
            <w:webHidden/>
            <w:color w:val="auto"/>
            <w:u w:val="none"/>
          </w:rPr>
          <w:fldChar w:fldCharType="separate"/>
        </w:r>
        <w:r w:rsidR="00A327D4">
          <w:rPr>
            <w:rStyle w:val="Hipervnculo"/>
            <w:rFonts w:cs="Arial"/>
            <w:noProof/>
            <w:webHidden/>
            <w:color w:val="auto"/>
            <w:u w:val="none"/>
          </w:rPr>
          <w:t>15</w:t>
        </w:r>
        <w:r w:rsidR="00EB6BA6" w:rsidRPr="001E2F6E">
          <w:rPr>
            <w:rStyle w:val="Hipervnculo"/>
            <w:rFonts w:cs="Arial"/>
            <w:noProof/>
            <w:webHidden/>
            <w:color w:val="auto"/>
            <w:u w:val="none"/>
          </w:rPr>
          <w:fldChar w:fldCharType="end"/>
        </w:r>
      </w:hyperlink>
    </w:p>
    <w:p w:rsidR="000728A0" w:rsidRPr="001E2F6E" w:rsidRDefault="000728A0" w:rsidP="000728A0">
      <w:pPr>
        <w:pStyle w:val="TDC1"/>
        <w:tabs>
          <w:tab w:val="left" w:pos="426"/>
          <w:tab w:val="right" w:leader="dot" w:pos="9072"/>
        </w:tabs>
        <w:spacing w:after="0" w:line="240" w:lineRule="auto"/>
        <w:ind w:left="426" w:hanging="426"/>
        <w:rPr>
          <w:rStyle w:val="Hipervnculo"/>
          <w:rFonts w:cs="Arial"/>
          <w:noProof/>
          <w:color w:val="auto"/>
          <w:u w:val="none"/>
        </w:rPr>
      </w:pPr>
      <w:r w:rsidRPr="001E2F6E">
        <w:rPr>
          <w:rStyle w:val="Hipervnculo"/>
          <w:rFonts w:cs="Arial"/>
          <w:noProof/>
          <w:color w:val="auto"/>
          <w:sz w:val="18"/>
          <w:szCs w:val="18"/>
          <w:u w:val="none"/>
        </w:rPr>
        <w:tab/>
      </w:r>
      <w:hyperlink w:anchor="_Toc392585658" w:history="1">
        <w:r w:rsidRPr="001E2F6E">
          <w:rPr>
            <w:rStyle w:val="Hipervnculo"/>
            <w:rFonts w:cs="Arial"/>
            <w:noProof/>
            <w:color w:val="auto"/>
            <w:sz w:val="18"/>
            <w:szCs w:val="18"/>
            <w:u w:val="none"/>
          </w:rPr>
          <w:t>Sektorearen beherakada lan-sozietateekin dago loturik, zalantzarik gabe</w:t>
        </w:r>
        <w:r w:rsidRPr="001E2F6E">
          <w:rPr>
            <w:rStyle w:val="Hipervnculo"/>
            <w:rFonts w:cs="Arial"/>
            <w:noProof/>
            <w:webHidden/>
            <w:color w:val="auto"/>
            <w:u w:val="none"/>
          </w:rPr>
          <w:tab/>
        </w:r>
        <w:r w:rsidR="00EB6BA6" w:rsidRPr="001E2F6E">
          <w:rPr>
            <w:rStyle w:val="Hipervnculo"/>
            <w:rFonts w:cs="Arial"/>
            <w:noProof/>
            <w:webHidden/>
            <w:color w:val="auto"/>
            <w:u w:val="none"/>
          </w:rPr>
          <w:fldChar w:fldCharType="begin"/>
        </w:r>
        <w:r w:rsidRPr="001E2F6E">
          <w:rPr>
            <w:rStyle w:val="Hipervnculo"/>
            <w:rFonts w:cs="Arial"/>
            <w:noProof/>
            <w:webHidden/>
            <w:color w:val="auto"/>
            <w:u w:val="none"/>
          </w:rPr>
          <w:instrText xml:space="preserve"> PAGEREF _Toc392585658 \h </w:instrText>
        </w:r>
        <w:r w:rsidR="00EB6BA6" w:rsidRPr="001E2F6E">
          <w:rPr>
            <w:rStyle w:val="Hipervnculo"/>
            <w:rFonts w:cs="Arial"/>
            <w:noProof/>
            <w:webHidden/>
            <w:color w:val="auto"/>
            <w:u w:val="none"/>
          </w:rPr>
        </w:r>
        <w:r w:rsidR="00EB6BA6" w:rsidRPr="001E2F6E">
          <w:rPr>
            <w:rStyle w:val="Hipervnculo"/>
            <w:rFonts w:cs="Arial"/>
            <w:noProof/>
            <w:webHidden/>
            <w:color w:val="auto"/>
            <w:u w:val="none"/>
          </w:rPr>
          <w:fldChar w:fldCharType="separate"/>
        </w:r>
        <w:r w:rsidR="00A327D4">
          <w:rPr>
            <w:rStyle w:val="Hipervnculo"/>
            <w:rFonts w:cs="Arial"/>
            <w:noProof/>
            <w:webHidden/>
            <w:color w:val="auto"/>
            <w:u w:val="none"/>
          </w:rPr>
          <w:t>18</w:t>
        </w:r>
        <w:r w:rsidR="00EB6BA6" w:rsidRPr="001E2F6E">
          <w:rPr>
            <w:rStyle w:val="Hipervnculo"/>
            <w:rFonts w:cs="Arial"/>
            <w:noProof/>
            <w:webHidden/>
            <w:color w:val="auto"/>
            <w:u w:val="none"/>
          </w:rPr>
          <w:fldChar w:fldCharType="end"/>
        </w:r>
      </w:hyperlink>
    </w:p>
    <w:p w:rsidR="000728A0" w:rsidRPr="001E2F6E" w:rsidRDefault="000728A0" w:rsidP="000728A0">
      <w:pPr>
        <w:pStyle w:val="TDC1"/>
        <w:tabs>
          <w:tab w:val="left" w:pos="426"/>
          <w:tab w:val="right" w:leader="dot" w:pos="9072"/>
        </w:tabs>
        <w:spacing w:after="0" w:line="240" w:lineRule="auto"/>
        <w:ind w:left="426" w:hanging="426"/>
        <w:rPr>
          <w:rStyle w:val="Hipervnculo"/>
          <w:rFonts w:cs="Arial"/>
          <w:noProof/>
          <w:color w:val="auto"/>
          <w:u w:val="none"/>
        </w:rPr>
      </w:pPr>
      <w:r w:rsidRPr="001E2F6E">
        <w:rPr>
          <w:rStyle w:val="Hipervnculo"/>
          <w:rFonts w:cs="Arial"/>
          <w:noProof/>
          <w:color w:val="auto"/>
          <w:sz w:val="18"/>
          <w:szCs w:val="18"/>
          <w:u w:val="none"/>
        </w:rPr>
        <w:tab/>
      </w:r>
      <w:hyperlink w:anchor="_Toc392585659" w:history="1">
        <w:r w:rsidRPr="001E2F6E">
          <w:rPr>
            <w:rStyle w:val="Hipervnculo"/>
            <w:rFonts w:cs="Arial"/>
            <w:noProof/>
            <w:color w:val="auto"/>
            <w:sz w:val="18"/>
            <w:szCs w:val="18"/>
            <w:u w:val="none"/>
          </w:rPr>
          <w:t>Zailtasunak zailtasun, Gizarte Ekonomiaren kanpo-presentzia handitu egin zen</w:t>
        </w:r>
        <w:r w:rsidRPr="001E2F6E">
          <w:rPr>
            <w:rStyle w:val="Hipervnculo"/>
            <w:rFonts w:cs="Arial"/>
            <w:noProof/>
            <w:webHidden/>
            <w:color w:val="auto"/>
            <w:u w:val="none"/>
          </w:rPr>
          <w:tab/>
        </w:r>
        <w:r w:rsidR="00EB6BA6" w:rsidRPr="001E2F6E">
          <w:rPr>
            <w:rStyle w:val="Hipervnculo"/>
            <w:rFonts w:cs="Arial"/>
            <w:noProof/>
            <w:webHidden/>
            <w:color w:val="auto"/>
            <w:u w:val="none"/>
          </w:rPr>
          <w:fldChar w:fldCharType="begin"/>
        </w:r>
        <w:r w:rsidRPr="001E2F6E">
          <w:rPr>
            <w:rStyle w:val="Hipervnculo"/>
            <w:rFonts w:cs="Arial"/>
            <w:noProof/>
            <w:webHidden/>
            <w:color w:val="auto"/>
            <w:u w:val="none"/>
          </w:rPr>
          <w:instrText xml:space="preserve"> PAGEREF _Toc392585659 \h </w:instrText>
        </w:r>
        <w:r w:rsidR="00EB6BA6" w:rsidRPr="001E2F6E">
          <w:rPr>
            <w:rStyle w:val="Hipervnculo"/>
            <w:rFonts w:cs="Arial"/>
            <w:noProof/>
            <w:webHidden/>
            <w:color w:val="auto"/>
            <w:u w:val="none"/>
          </w:rPr>
        </w:r>
        <w:r w:rsidR="00EB6BA6" w:rsidRPr="001E2F6E">
          <w:rPr>
            <w:rStyle w:val="Hipervnculo"/>
            <w:rFonts w:cs="Arial"/>
            <w:noProof/>
            <w:webHidden/>
            <w:color w:val="auto"/>
            <w:u w:val="none"/>
          </w:rPr>
          <w:fldChar w:fldCharType="separate"/>
        </w:r>
        <w:r w:rsidR="00A327D4">
          <w:rPr>
            <w:rStyle w:val="Hipervnculo"/>
            <w:rFonts w:cs="Arial"/>
            <w:noProof/>
            <w:webHidden/>
            <w:color w:val="auto"/>
            <w:u w:val="none"/>
          </w:rPr>
          <w:t>19</w:t>
        </w:r>
        <w:r w:rsidR="00EB6BA6" w:rsidRPr="001E2F6E">
          <w:rPr>
            <w:rStyle w:val="Hipervnculo"/>
            <w:rFonts w:cs="Arial"/>
            <w:noProof/>
            <w:webHidden/>
            <w:color w:val="auto"/>
            <w:u w:val="none"/>
          </w:rPr>
          <w:fldChar w:fldCharType="end"/>
        </w:r>
      </w:hyperlink>
    </w:p>
    <w:p w:rsidR="000728A0" w:rsidRPr="001E2F6E" w:rsidRDefault="000728A0" w:rsidP="000728A0">
      <w:pPr>
        <w:pStyle w:val="TDC1"/>
        <w:tabs>
          <w:tab w:val="left" w:pos="426"/>
          <w:tab w:val="right" w:leader="dot" w:pos="9072"/>
        </w:tabs>
        <w:spacing w:after="0" w:line="240" w:lineRule="auto"/>
        <w:ind w:left="426" w:hanging="426"/>
        <w:rPr>
          <w:rStyle w:val="Hipervnculo"/>
          <w:rFonts w:cs="Arial"/>
          <w:noProof/>
          <w:color w:val="auto"/>
          <w:u w:val="none"/>
        </w:rPr>
      </w:pPr>
      <w:r w:rsidRPr="001E2F6E">
        <w:rPr>
          <w:rStyle w:val="Hipervnculo"/>
          <w:rFonts w:cs="Arial"/>
          <w:noProof/>
          <w:color w:val="auto"/>
          <w:sz w:val="18"/>
          <w:szCs w:val="18"/>
          <w:u w:val="none"/>
        </w:rPr>
        <w:tab/>
      </w:r>
      <w:hyperlink w:anchor="_Toc392585660" w:history="1">
        <w:r w:rsidRPr="001E2F6E">
          <w:rPr>
            <w:rStyle w:val="Hipervnculo"/>
            <w:rFonts w:cs="Arial"/>
            <w:noProof/>
            <w:color w:val="auto"/>
            <w:sz w:val="18"/>
            <w:szCs w:val="18"/>
            <w:u w:val="none"/>
          </w:rPr>
          <w:t>Gipuzkoako Gizarte Ekonomiak nagusi izaten jarraitu zuen</w:t>
        </w:r>
        <w:r w:rsidRPr="001E2F6E">
          <w:rPr>
            <w:rStyle w:val="Hipervnculo"/>
            <w:rFonts w:cs="Arial"/>
            <w:noProof/>
            <w:webHidden/>
            <w:color w:val="auto"/>
            <w:u w:val="none"/>
          </w:rPr>
          <w:tab/>
        </w:r>
        <w:r w:rsidR="00EB6BA6" w:rsidRPr="001E2F6E">
          <w:rPr>
            <w:rStyle w:val="Hipervnculo"/>
            <w:rFonts w:cs="Arial"/>
            <w:noProof/>
            <w:webHidden/>
            <w:color w:val="auto"/>
            <w:u w:val="none"/>
          </w:rPr>
          <w:fldChar w:fldCharType="begin"/>
        </w:r>
        <w:r w:rsidRPr="001E2F6E">
          <w:rPr>
            <w:rStyle w:val="Hipervnculo"/>
            <w:rFonts w:cs="Arial"/>
            <w:noProof/>
            <w:webHidden/>
            <w:color w:val="auto"/>
            <w:u w:val="none"/>
          </w:rPr>
          <w:instrText xml:space="preserve"> PAGEREF _Toc392585660 \h </w:instrText>
        </w:r>
        <w:r w:rsidR="00EB6BA6" w:rsidRPr="001E2F6E">
          <w:rPr>
            <w:rStyle w:val="Hipervnculo"/>
            <w:rFonts w:cs="Arial"/>
            <w:noProof/>
            <w:webHidden/>
            <w:color w:val="auto"/>
            <w:u w:val="none"/>
          </w:rPr>
        </w:r>
        <w:r w:rsidR="00EB6BA6" w:rsidRPr="001E2F6E">
          <w:rPr>
            <w:rStyle w:val="Hipervnculo"/>
            <w:rFonts w:cs="Arial"/>
            <w:noProof/>
            <w:webHidden/>
            <w:color w:val="auto"/>
            <w:u w:val="none"/>
          </w:rPr>
          <w:fldChar w:fldCharType="separate"/>
        </w:r>
        <w:r w:rsidR="00A327D4">
          <w:rPr>
            <w:rStyle w:val="Hipervnculo"/>
            <w:rFonts w:cs="Arial"/>
            <w:noProof/>
            <w:webHidden/>
            <w:color w:val="auto"/>
            <w:u w:val="none"/>
          </w:rPr>
          <w:t>22</w:t>
        </w:r>
        <w:r w:rsidR="00EB6BA6" w:rsidRPr="001E2F6E">
          <w:rPr>
            <w:rStyle w:val="Hipervnculo"/>
            <w:rFonts w:cs="Arial"/>
            <w:noProof/>
            <w:webHidden/>
            <w:color w:val="auto"/>
            <w:u w:val="none"/>
          </w:rPr>
          <w:fldChar w:fldCharType="end"/>
        </w:r>
      </w:hyperlink>
    </w:p>
    <w:p w:rsidR="000728A0" w:rsidRPr="001E2F6E" w:rsidRDefault="000728A0" w:rsidP="000728A0">
      <w:pPr>
        <w:pStyle w:val="TDC1"/>
        <w:tabs>
          <w:tab w:val="left" w:pos="426"/>
          <w:tab w:val="right" w:leader="dot" w:pos="9072"/>
        </w:tabs>
        <w:spacing w:after="0" w:line="240" w:lineRule="auto"/>
        <w:ind w:left="426" w:hanging="426"/>
        <w:rPr>
          <w:rStyle w:val="Hipervnculo"/>
          <w:rFonts w:cs="Arial"/>
          <w:noProof/>
          <w:color w:val="auto"/>
          <w:sz w:val="18"/>
          <w:szCs w:val="18"/>
          <w:u w:val="none"/>
        </w:rPr>
      </w:pPr>
    </w:p>
    <w:p w:rsidR="000728A0" w:rsidRPr="001E2F6E" w:rsidRDefault="00A327D4" w:rsidP="000728A0">
      <w:pPr>
        <w:pStyle w:val="TDC1"/>
        <w:tabs>
          <w:tab w:val="left" w:pos="426"/>
          <w:tab w:val="right" w:leader="dot" w:pos="9072"/>
        </w:tabs>
        <w:spacing w:after="0" w:line="240" w:lineRule="auto"/>
        <w:ind w:left="9072" w:hanging="9072"/>
        <w:rPr>
          <w:rStyle w:val="Hipervnculo"/>
          <w:rFonts w:cs="Arial"/>
          <w:b/>
          <w:noProof/>
          <w:color w:val="auto"/>
          <w:u w:val="none"/>
        </w:rPr>
      </w:pPr>
      <w:hyperlink w:anchor="_Toc392585661" w:history="1">
        <w:r w:rsidR="000728A0" w:rsidRPr="001E2F6E">
          <w:rPr>
            <w:rStyle w:val="Hipervnculo"/>
            <w:rFonts w:cs="Arial"/>
            <w:b/>
            <w:noProof/>
            <w:color w:val="auto"/>
            <w:sz w:val="18"/>
            <w:szCs w:val="18"/>
            <w:u w:val="none"/>
          </w:rPr>
          <w:t xml:space="preserve">II. </w:t>
        </w:r>
        <w:r w:rsidR="000728A0" w:rsidRPr="001E2F6E">
          <w:rPr>
            <w:rStyle w:val="Hipervnculo"/>
            <w:rFonts w:cs="Arial"/>
            <w:b/>
            <w:noProof/>
            <w:color w:val="auto"/>
            <w:sz w:val="18"/>
            <w:szCs w:val="18"/>
            <w:u w:val="none"/>
          </w:rPr>
          <w:tab/>
          <w:t>GIZARTE EKONOMIAREN FORMA KLASIKOEN (GEFK) KONTUEN AURRERAPENA, 2013</w:t>
        </w:r>
        <w:r w:rsidR="000728A0" w:rsidRPr="001E2F6E">
          <w:rPr>
            <w:rStyle w:val="Hipervnculo"/>
            <w:rFonts w:cs="Arial"/>
            <w:b/>
            <w:noProof/>
            <w:webHidden/>
            <w:color w:val="auto"/>
            <w:u w:val="none"/>
          </w:rPr>
          <w:tab/>
        </w:r>
        <w:r w:rsidR="00EB6BA6" w:rsidRPr="001E2F6E">
          <w:rPr>
            <w:rStyle w:val="Hipervnculo"/>
            <w:rFonts w:cs="Arial"/>
            <w:b/>
            <w:noProof/>
            <w:webHidden/>
            <w:color w:val="auto"/>
            <w:u w:val="none"/>
          </w:rPr>
          <w:fldChar w:fldCharType="begin"/>
        </w:r>
        <w:r w:rsidR="000728A0" w:rsidRPr="001E2F6E">
          <w:rPr>
            <w:rStyle w:val="Hipervnculo"/>
            <w:rFonts w:cs="Arial"/>
            <w:b/>
            <w:noProof/>
            <w:webHidden/>
            <w:color w:val="auto"/>
            <w:u w:val="none"/>
          </w:rPr>
          <w:instrText xml:space="preserve"> PAGEREF _Toc392585661 \h </w:instrText>
        </w:r>
        <w:r w:rsidR="00EB6BA6" w:rsidRPr="001E2F6E">
          <w:rPr>
            <w:rStyle w:val="Hipervnculo"/>
            <w:rFonts w:cs="Arial"/>
            <w:b/>
            <w:noProof/>
            <w:webHidden/>
            <w:color w:val="auto"/>
            <w:u w:val="none"/>
          </w:rPr>
        </w:r>
        <w:r w:rsidR="00EB6BA6" w:rsidRPr="001E2F6E">
          <w:rPr>
            <w:rStyle w:val="Hipervnculo"/>
            <w:rFonts w:cs="Arial"/>
            <w:b/>
            <w:noProof/>
            <w:webHidden/>
            <w:color w:val="auto"/>
            <w:u w:val="none"/>
          </w:rPr>
          <w:fldChar w:fldCharType="separate"/>
        </w:r>
        <w:r>
          <w:rPr>
            <w:rStyle w:val="Hipervnculo"/>
            <w:rFonts w:cs="Arial"/>
            <w:b/>
            <w:noProof/>
            <w:webHidden/>
            <w:color w:val="auto"/>
            <w:u w:val="none"/>
          </w:rPr>
          <w:t>25</w:t>
        </w:r>
        <w:r w:rsidR="00EB6BA6" w:rsidRPr="001E2F6E">
          <w:rPr>
            <w:rStyle w:val="Hipervnculo"/>
            <w:rFonts w:cs="Arial"/>
            <w:b/>
            <w:noProof/>
            <w:webHidden/>
            <w:color w:val="auto"/>
            <w:u w:val="none"/>
          </w:rPr>
          <w:fldChar w:fldCharType="end"/>
        </w:r>
      </w:hyperlink>
    </w:p>
    <w:p w:rsidR="000728A0" w:rsidRPr="001E2F6E" w:rsidRDefault="000728A0" w:rsidP="000728A0">
      <w:pPr>
        <w:pStyle w:val="TDC1"/>
        <w:tabs>
          <w:tab w:val="left" w:pos="426"/>
          <w:tab w:val="right" w:leader="dot" w:pos="9072"/>
        </w:tabs>
        <w:spacing w:after="0" w:line="240" w:lineRule="auto"/>
        <w:ind w:left="426" w:hanging="426"/>
        <w:rPr>
          <w:rFonts w:eastAsiaTheme="minorEastAsia"/>
          <w:noProof/>
          <w:sz w:val="18"/>
          <w:szCs w:val="18"/>
          <w:lang w:eastAsia="es-ES"/>
        </w:rPr>
      </w:pPr>
      <w:r w:rsidRPr="001E2F6E">
        <w:rPr>
          <w:rStyle w:val="Hipervnculo"/>
          <w:rFonts w:cs="Arial"/>
          <w:noProof/>
          <w:color w:val="auto"/>
          <w:sz w:val="18"/>
          <w:szCs w:val="18"/>
          <w:u w:val="none"/>
        </w:rPr>
        <w:tab/>
      </w:r>
      <w:hyperlink w:anchor="_Toc392585662" w:history="1">
        <w:r w:rsidRPr="001E2F6E">
          <w:rPr>
            <w:rStyle w:val="Hipervnculo"/>
            <w:rFonts w:cs="Arial"/>
            <w:noProof/>
            <w:color w:val="auto"/>
            <w:sz w:val="18"/>
            <w:szCs w:val="18"/>
            <w:u w:val="none"/>
          </w:rPr>
          <w:t>2013: Trantsizio-urtea susperraldia lortzeko bidean?</w:t>
        </w:r>
        <w:r w:rsidRPr="001E2F6E">
          <w:rPr>
            <w:rStyle w:val="Hipervnculo"/>
            <w:rFonts w:cs="Arial"/>
            <w:noProof/>
            <w:webHidden/>
            <w:color w:val="auto"/>
            <w:u w:val="none"/>
          </w:rPr>
          <w:tab/>
        </w:r>
        <w:r w:rsidR="00EB6BA6" w:rsidRPr="001E2F6E">
          <w:rPr>
            <w:rStyle w:val="Hipervnculo"/>
            <w:rFonts w:cs="Arial"/>
            <w:noProof/>
            <w:webHidden/>
            <w:color w:val="auto"/>
            <w:u w:val="none"/>
          </w:rPr>
          <w:fldChar w:fldCharType="begin"/>
        </w:r>
        <w:r w:rsidRPr="001E2F6E">
          <w:rPr>
            <w:rStyle w:val="Hipervnculo"/>
            <w:rFonts w:cs="Arial"/>
            <w:noProof/>
            <w:webHidden/>
            <w:color w:val="auto"/>
            <w:u w:val="none"/>
          </w:rPr>
          <w:instrText xml:space="preserve"> PAGEREF _Toc392585662 \h </w:instrText>
        </w:r>
        <w:r w:rsidR="00EB6BA6" w:rsidRPr="001E2F6E">
          <w:rPr>
            <w:rStyle w:val="Hipervnculo"/>
            <w:rFonts w:cs="Arial"/>
            <w:noProof/>
            <w:webHidden/>
            <w:color w:val="auto"/>
            <w:u w:val="none"/>
          </w:rPr>
        </w:r>
        <w:r w:rsidR="00EB6BA6" w:rsidRPr="001E2F6E">
          <w:rPr>
            <w:rStyle w:val="Hipervnculo"/>
            <w:rFonts w:cs="Arial"/>
            <w:noProof/>
            <w:webHidden/>
            <w:color w:val="auto"/>
            <w:u w:val="none"/>
          </w:rPr>
          <w:fldChar w:fldCharType="separate"/>
        </w:r>
        <w:r w:rsidR="00A327D4">
          <w:rPr>
            <w:rStyle w:val="Hipervnculo"/>
            <w:rFonts w:cs="Arial"/>
            <w:noProof/>
            <w:webHidden/>
            <w:color w:val="auto"/>
            <w:u w:val="none"/>
          </w:rPr>
          <w:t>25</w:t>
        </w:r>
        <w:r w:rsidR="00EB6BA6" w:rsidRPr="001E2F6E">
          <w:rPr>
            <w:rStyle w:val="Hipervnculo"/>
            <w:rFonts w:cs="Arial"/>
            <w:noProof/>
            <w:webHidden/>
            <w:color w:val="auto"/>
            <w:u w:val="none"/>
          </w:rPr>
          <w:fldChar w:fldCharType="end"/>
        </w:r>
      </w:hyperlink>
    </w:p>
    <w:p w:rsidR="000728A0" w:rsidRPr="001E2F6E" w:rsidRDefault="000728A0" w:rsidP="000728A0">
      <w:pPr>
        <w:pStyle w:val="TDC1"/>
        <w:tabs>
          <w:tab w:val="left" w:pos="600"/>
          <w:tab w:val="right" w:leader="dot" w:pos="9072"/>
        </w:tabs>
        <w:spacing w:after="0" w:line="240" w:lineRule="auto"/>
        <w:ind w:left="426" w:hanging="426"/>
        <w:rPr>
          <w:rStyle w:val="Hipervnculo"/>
          <w:rFonts w:cs="Arial"/>
          <w:noProof/>
          <w:color w:val="auto"/>
          <w:sz w:val="18"/>
          <w:szCs w:val="18"/>
          <w:u w:val="none"/>
        </w:rPr>
      </w:pPr>
    </w:p>
    <w:p w:rsidR="000728A0" w:rsidRPr="001E2F6E" w:rsidRDefault="00A327D4" w:rsidP="000728A0">
      <w:pPr>
        <w:pStyle w:val="TDC1"/>
        <w:tabs>
          <w:tab w:val="left" w:pos="600"/>
          <w:tab w:val="right" w:leader="dot" w:pos="9072"/>
        </w:tabs>
        <w:spacing w:after="0" w:line="240" w:lineRule="auto"/>
        <w:ind w:left="426" w:hanging="426"/>
        <w:rPr>
          <w:rFonts w:eastAsiaTheme="minorEastAsia"/>
          <w:b/>
          <w:noProof/>
          <w:sz w:val="18"/>
          <w:szCs w:val="18"/>
          <w:lang w:eastAsia="es-ES"/>
        </w:rPr>
      </w:pPr>
      <w:hyperlink w:anchor="_Toc392585663" w:history="1">
        <w:r w:rsidR="000728A0" w:rsidRPr="001E2F6E">
          <w:rPr>
            <w:rStyle w:val="Hipervnculo"/>
            <w:rFonts w:cs="Arial"/>
            <w:b/>
            <w:noProof/>
            <w:color w:val="auto"/>
            <w:sz w:val="18"/>
            <w:szCs w:val="18"/>
            <w:u w:val="none"/>
            <w:lang w:val="eu-ES"/>
          </w:rPr>
          <w:t>III.</w:t>
        </w:r>
        <w:r w:rsidR="000728A0" w:rsidRPr="001E2F6E">
          <w:rPr>
            <w:rFonts w:eastAsiaTheme="minorEastAsia"/>
            <w:b/>
            <w:noProof/>
            <w:sz w:val="18"/>
            <w:szCs w:val="18"/>
            <w:lang w:eastAsia="es-ES"/>
          </w:rPr>
          <w:tab/>
        </w:r>
        <w:r w:rsidR="000728A0" w:rsidRPr="001E2F6E">
          <w:rPr>
            <w:rStyle w:val="Hipervnculo"/>
            <w:rFonts w:cs="Arial"/>
            <w:b/>
            <w:noProof/>
            <w:color w:val="auto"/>
            <w:sz w:val="18"/>
            <w:szCs w:val="18"/>
            <w:u w:val="none"/>
            <w:lang w:val="eu-ES"/>
          </w:rPr>
          <w:t>GIZARTE EKONOMIAK KRISIARI AURRE EGITEKO ESTRATEGIAK ETA GIZARTE EKONOMIA KLASIKOAREN KUDEAKETA-TRESNAK</w:t>
        </w:r>
        <w:r w:rsidR="000728A0" w:rsidRPr="001E2F6E">
          <w:rPr>
            <w:b/>
            <w:noProof/>
            <w:webHidden/>
            <w:sz w:val="18"/>
            <w:szCs w:val="18"/>
          </w:rPr>
          <w:tab/>
        </w:r>
        <w:r w:rsidR="00EB6BA6" w:rsidRPr="001E2F6E">
          <w:rPr>
            <w:b/>
            <w:noProof/>
            <w:webHidden/>
            <w:sz w:val="18"/>
            <w:szCs w:val="18"/>
          </w:rPr>
          <w:fldChar w:fldCharType="begin"/>
        </w:r>
        <w:r w:rsidR="000728A0" w:rsidRPr="001E2F6E">
          <w:rPr>
            <w:b/>
            <w:noProof/>
            <w:webHidden/>
            <w:sz w:val="18"/>
            <w:szCs w:val="18"/>
          </w:rPr>
          <w:instrText xml:space="preserve"> PAGEREF _Toc392585663 \h </w:instrText>
        </w:r>
        <w:r w:rsidR="00EB6BA6" w:rsidRPr="001E2F6E">
          <w:rPr>
            <w:b/>
            <w:noProof/>
            <w:webHidden/>
            <w:sz w:val="18"/>
            <w:szCs w:val="18"/>
          </w:rPr>
        </w:r>
        <w:r w:rsidR="00EB6BA6" w:rsidRPr="001E2F6E">
          <w:rPr>
            <w:b/>
            <w:noProof/>
            <w:webHidden/>
            <w:sz w:val="18"/>
            <w:szCs w:val="18"/>
          </w:rPr>
          <w:fldChar w:fldCharType="separate"/>
        </w:r>
        <w:r>
          <w:rPr>
            <w:b/>
            <w:noProof/>
            <w:webHidden/>
            <w:sz w:val="18"/>
            <w:szCs w:val="18"/>
          </w:rPr>
          <w:t>29</w:t>
        </w:r>
        <w:r w:rsidR="00EB6BA6" w:rsidRPr="001E2F6E">
          <w:rPr>
            <w:b/>
            <w:noProof/>
            <w:webHidden/>
            <w:sz w:val="18"/>
            <w:szCs w:val="18"/>
          </w:rPr>
          <w:fldChar w:fldCharType="end"/>
        </w:r>
      </w:hyperlink>
    </w:p>
    <w:p w:rsidR="000728A0" w:rsidRPr="001E2F6E" w:rsidRDefault="000728A0" w:rsidP="000728A0">
      <w:pPr>
        <w:pStyle w:val="TDC1"/>
        <w:tabs>
          <w:tab w:val="left" w:pos="600"/>
          <w:tab w:val="right" w:leader="dot" w:pos="9072"/>
        </w:tabs>
        <w:spacing w:after="0" w:line="240" w:lineRule="auto"/>
        <w:ind w:left="426" w:hanging="426"/>
        <w:rPr>
          <w:rStyle w:val="Hipervnculo"/>
          <w:rFonts w:cs="Arial"/>
          <w:noProof/>
          <w:color w:val="auto"/>
          <w:sz w:val="18"/>
          <w:szCs w:val="18"/>
          <w:u w:val="none"/>
        </w:rPr>
      </w:pPr>
    </w:p>
    <w:p w:rsidR="000728A0" w:rsidRPr="001E2F6E" w:rsidRDefault="00A327D4" w:rsidP="000728A0">
      <w:pPr>
        <w:pStyle w:val="TDC1"/>
        <w:tabs>
          <w:tab w:val="left" w:pos="600"/>
          <w:tab w:val="right" w:leader="dot" w:pos="9072"/>
        </w:tabs>
        <w:spacing w:after="0" w:line="240" w:lineRule="auto"/>
        <w:ind w:left="426" w:hanging="426"/>
        <w:rPr>
          <w:rFonts w:eastAsiaTheme="minorEastAsia"/>
          <w:b/>
          <w:noProof/>
          <w:sz w:val="18"/>
          <w:szCs w:val="18"/>
          <w:lang w:eastAsia="es-ES"/>
        </w:rPr>
      </w:pPr>
      <w:hyperlink w:anchor="_Toc392585664" w:history="1">
        <w:r w:rsidR="000728A0" w:rsidRPr="001E2F6E">
          <w:rPr>
            <w:rStyle w:val="Hipervnculo"/>
            <w:rFonts w:cs="Arial"/>
            <w:b/>
            <w:noProof/>
            <w:color w:val="auto"/>
            <w:sz w:val="18"/>
            <w:szCs w:val="18"/>
            <w:u w:val="none"/>
            <w:lang w:val="eu-ES"/>
          </w:rPr>
          <w:t>IV.</w:t>
        </w:r>
        <w:r w:rsidR="000728A0" w:rsidRPr="001E2F6E">
          <w:rPr>
            <w:rStyle w:val="Hipervnculo"/>
            <w:rFonts w:cs="Arial"/>
            <w:b/>
            <w:noProof/>
            <w:color w:val="auto"/>
            <w:sz w:val="18"/>
            <w:szCs w:val="18"/>
            <w:u w:val="none"/>
          </w:rPr>
          <w:t xml:space="preserve"> </w:t>
        </w:r>
        <w:r w:rsidR="000728A0" w:rsidRPr="001E2F6E">
          <w:rPr>
            <w:rFonts w:eastAsiaTheme="minorEastAsia"/>
            <w:b/>
            <w:noProof/>
            <w:sz w:val="18"/>
            <w:szCs w:val="18"/>
            <w:lang w:eastAsia="es-ES"/>
          </w:rPr>
          <w:tab/>
        </w:r>
        <w:r w:rsidR="000728A0" w:rsidRPr="001E2F6E">
          <w:rPr>
            <w:rStyle w:val="Hipervnculo"/>
            <w:rFonts w:cs="Arial"/>
            <w:b/>
            <w:noProof/>
            <w:color w:val="auto"/>
            <w:sz w:val="18"/>
            <w:szCs w:val="18"/>
            <w:u w:val="none"/>
            <w:lang w:val="eu-ES"/>
          </w:rPr>
          <w:t>GIZARTE EKONOMIAREN FORMA BERRIAK (GEFB), 2012</w:t>
        </w:r>
        <w:r w:rsidR="000728A0" w:rsidRPr="001E2F6E">
          <w:rPr>
            <w:b/>
            <w:noProof/>
            <w:webHidden/>
            <w:sz w:val="18"/>
            <w:szCs w:val="18"/>
          </w:rPr>
          <w:tab/>
        </w:r>
        <w:r w:rsidR="00EB6BA6" w:rsidRPr="001E2F6E">
          <w:rPr>
            <w:b/>
            <w:noProof/>
            <w:webHidden/>
            <w:sz w:val="18"/>
            <w:szCs w:val="18"/>
          </w:rPr>
          <w:fldChar w:fldCharType="begin"/>
        </w:r>
        <w:r w:rsidR="000728A0" w:rsidRPr="001E2F6E">
          <w:rPr>
            <w:b/>
            <w:noProof/>
            <w:webHidden/>
            <w:sz w:val="18"/>
            <w:szCs w:val="18"/>
          </w:rPr>
          <w:instrText xml:space="preserve"> PAGEREF _Toc392585664 \h </w:instrText>
        </w:r>
        <w:r w:rsidR="00EB6BA6" w:rsidRPr="001E2F6E">
          <w:rPr>
            <w:b/>
            <w:noProof/>
            <w:webHidden/>
            <w:sz w:val="18"/>
            <w:szCs w:val="18"/>
          </w:rPr>
        </w:r>
        <w:r w:rsidR="00EB6BA6" w:rsidRPr="001E2F6E">
          <w:rPr>
            <w:b/>
            <w:noProof/>
            <w:webHidden/>
            <w:sz w:val="18"/>
            <w:szCs w:val="18"/>
          </w:rPr>
          <w:fldChar w:fldCharType="separate"/>
        </w:r>
        <w:r>
          <w:rPr>
            <w:b/>
            <w:noProof/>
            <w:webHidden/>
            <w:sz w:val="18"/>
            <w:szCs w:val="18"/>
          </w:rPr>
          <w:t>35</w:t>
        </w:r>
        <w:r w:rsidR="00EB6BA6" w:rsidRPr="001E2F6E">
          <w:rPr>
            <w:b/>
            <w:noProof/>
            <w:webHidden/>
            <w:sz w:val="18"/>
            <w:szCs w:val="18"/>
          </w:rPr>
          <w:fldChar w:fldCharType="end"/>
        </w:r>
      </w:hyperlink>
    </w:p>
    <w:p w:rsidR="000728A0" w:rsidRPr="001E2F6E" w:rsidRDefault="000728A0" w:rsidP="000728A0">
      <w:pPr>
        <w:pStyle w:val="TDC1"/>
        <w:tabs>
          <w:tab w:val="right" w:leader="dot" w:pos="9072"/>
        </w:tabs>
        <w:spacing w:after="0" w:line="240" w:lineRule="auto"/>
        <w:ind w:left="426" w:hanging="426"/>
        <w:rPr>
          <w:rStyle w:val="Hipervnculo"/>
          <w:rFonts w:cs="Arial"/>
          <w:noProof/>
          <w:color w:val="auto"/>
          <w:sz w:val="18"/>
          <w:szCs w:val="18"/>
          <w:u w:val="none"/>
        </w:rPr>
      </w:pPr>
    </w:p>
    <w:p w:rsidR="000728A0" w:rsidRPr="001E2F6E" w:rsidRDefault="00A327D4" w:rsidP="000728A0">
      <w:pPr>
        <w:pStyle w:val="TDC1"/>
        <w:tabs>
          <w:tab w:val="right" w:leader="dot" w:pos="9072"/>
        </w:tabs>
        <w:spacing w:after="0" w:line="240" w:lineRule="auto"/>
        <w:ind w:left="426" w:hanging="426"/>
        <w:rPr>
          <w:rFonts w:eastAsiaTheme="minorEastAsia"/>
          <w:b/>
          <w:noProof/>
          <w:sz w:val="18"/>
          <w:szCs w:val="18"/>
          <w:lang w:eastAsia="es-ES"/>
        </w:rPr>
      </w:pPr>
      <w:hyperlink w:anchor="_Toc392585665" w:history="1">
        <w:r w:rsidR="000728A0" w:rsidRPr="001E2F6E">
          <w:rPr>
            <w:rStyle w:val="Hipervnculo"/>
            <w:rFonts w:cs="Arial"/>
            <w:b/>
            <w:noProof/>
            <w:color w:val="auto"/>
            <w:sz w:val="18"/>
            <w:szCs w:val="18"/>
            <w:u w:val="none"/>
          </w:rPr>
          <w:t>ERANSKIN ESTATISTIKOA</w:t>
        </w:r>
        <w:r w:rsidR="000728A0" w:rsidRPr="001E2F6E">
          <w:rPr>
            <w:b/>
            <w:noProof/>
            <w:webHidden/>
            <w:sz w:val="18"/>
            <w:szCs w:val="18"/>
          </w:rPr>
          <w:tab/>
        </w:r>
        <w:r w:rsidR="00EB6BA6" w:rsidRPr="001E2F6E">
          <w:rPr>
            <w:b/>
            <w:noProof/>
            <w:webHidden/>
            <w:sz w:val="18"/>
            <w:szCs w:val="18"/>
          </w:rPr>
          <w:fldChar w:fldCharType="begin"/>
        </w:r>
        <w:r w:rsidR="000728A0" w:rsidRPr="001E2F6E">
          <w:rPr>
            <w:b/>
            <w:noProof/>
            <w:webHidden/>
            <w:sz w:val="18"/>
            <w:szCs w:val="18"/>
          </w:rPr>
          <w:instrText xml:space="preserve"> PAGEREF _Toc392585665 \h </w:instrText>
        </w:r>
        <w:r w:rsidR="00EB6BA6" w:rsidRPr="001E2F6E">
          <w:rPr>
            <w:b/>
            <w:noProof/>
            <w:webHidden/>
            <w:sz w:val="18"/>
            <w:szCs w:val="18"/>
          </w:rPr>
        </w:r>
        <w:r w:rsidR="00EB6BA6" w:rsidRPr="001E2F6E">
          <w:rPr>
            <w:b/>
            <w:noProof/>
            <w:webHidden/>
            <w:sz w:val="18"/>
            <w:szCs w:val="18"/>
          </w:rPr>
          <w:fldChar w:fldCharType="separate"/>
        </w:r>
        <w:r>
          <w:rPr>
            <w:b/>
            <w:noProof/>
            <w:webHidden/>
            <w:sz w:val="18"/>
            <w:szCs w:val="18"/>
          </w:rPr>
          <w:t>41</w:t>
        </w:r>
        <w:r w:rsidR="00EB6BA6" w:rsidRPr="001E2F6E">
          <w:rPr>
            <w:b/>
            <w:noProof/>
            <w:webHidden/>
            <w:sz w:val="18"/>
            <w:szCs w:val="18"/>
          </w:rPr>
          <w:fldChar w:fldCharType="end"/>
        </w:r>
      </w:hyperlink>
    </w:p>
    <w:p w:rsidR="000728A0" w:rsidRPr="001E2F6E" w:rsidRDefault="000728A0" w:rsidP="000728A0">
      <w:pPr>
        <w:pStyle w:val="TDC1"/>
        <w:tabs>
          <w:tab w:val="left" w:pos="600"/>
          <w:tab w:val="right" w:leader="dot" w:pos="9072"/>
        </w:tabs>
        <w:spacing w:after="0" w:line="240" w:lineRule="auto"/>
        <w:ind w:left="426" w:hanging="426"/>
        <w:rPr>
          <w:rStyle w:val="Hipervnculo"/>
          <w:rFonts w:cs="Arial"/>
          <w:noProof/>
          <w:color w:val="auto"/>
          <w:sz w:val="18"/>
          <w:szCs w:val="18"/>
          <w:u w:val="none"/>
        </w:rPr>
      </w:pPr>
    </w:p>
    <w:p w:rsidR="000728A0" w:rsidRPr="001E2F6E" w:rsidRDefault="00A327D4" w:rsidP="000728A0">
      <w:pPr>
        <w:pStyle w:val="TDC1"/>
        <w:tabs>
          <w:tab w:val="left" w:pos="600"/>
          <w:tab w:val="right" w:leader="dot" w:pos="9072"/>
        </w:tabs>
        <w:spacing w:after="0" w:line="240" w:lineRule="auto"/>
        <w:ind w:left="426" w:hanging="426"/>
        <w:rPr>
          <w:rFonts w:eastAsiaTheme="minorEastAsia"/>
          <w:b/>
          <w:noProof/>
          <w:sz w:val="18"/>
          <w:szCs w:val="18"/>
          <w:lang w:eastAsia="es-ES"/>
        </w:rPr>
      </w:pPr>
      <w:hyperlink w:anchor="_Toc392585666" w:history="1">
        <w:r w:rsidR="000728A0" w:rsidRPr="001E2F6E">
          <w:rPr>
            <w:rStyle w:val="Hipervnculo"/>
            <w:rFonts w:cs="Arial"/>
            <w:b/>
            <w:noProof/>
            <w:color w:val="auto"/>
            <w:sz w:val="18"/>
            <w:szCs w:val="18"/>
            <w:u w:val="none"/>
          </w:rPr>
          <w:t xml:space="preserve">I.- </w:t>
        </w:r>
        <w:r w:rsidR="000728A0" w:rsidRPr="001E2F6E">
          <w:rPr>
            <w:rFonts w:eastAsiaTheme="minorEastAsia"/>
            <w:b/>
            <w:noProof/>
            <w:sz w:val="18"/>
            <w:szCs w:val="18"/>
            <w:lang w:eastAsia="es-ES"/>
          </w:rPr>
          <w:tab/>
        </w:r>
        <w:r w:rsidR="000728A0" w:rsidRPr="001E2F6E">
          <w:rPr>
            <w:rStyle w:val="Hipervnculo"/>
            <w:rFonts w:cs="Arial"/>
            <w:b/>
            <w:noProof/>
            <w:color w:val="auto"/>
            <w:sz w:val="18"/>
            <w:szCs w:val="18"/>
            <w:u w:val="none"/>
          </w:rPr>
          <w:t>GIZARTE-EKONOMIAREN FORMA KLASIKOAK 2012 (GEFK)</w:t>
        </w:r>
        <w:r w:rsidR="000728A0" w:rsidRPr="001E2F6E">
          <w:rPr>
            <w:b/>
            <w:noProof/>
            <w:webHidden/>
            <w:sz w:val="18"/>
            <w:szCs w:val="18"/>
          </w:rPr>
          <w:tab/>
        </w:r>
        <w:r w:rsidR="00EB6BA6" w:rsidRPr="001E2F6E">
          <w:rPr>
            <w:b/>
            <w:noProof/>
            <w:webHidden/>
            <w:sz w:val="18"/>
            <w:szCs w:val="18"/>
          </w:rPr>
          <w:fldChar w:fldCharType="begin"/>
        </w:r>
        <w:r w:rsidR="000728A0" w:rsidRPr="001E2F6E">
          <w:rPr>
            <w:b/>
            <w:noProof/>
            <w:webHidden/>
            <w:sz w:val="18"/>
            <w:szCs w:val="18"/>
          </w:rPr>
          <w:instrText xml:space="preserve"> PAGEREF _Toc392585666 \h </w:instrText>
        </w:r>
        <w:r w:rsidR="00EB6BA6" w:rsidRPr="001E2F6E">
          <w:rPr>
            <w:b/>
            <w:noProof/>
            <w:webHidden/>
            <w:sz w:val="18"/>
            <w:szCs w:val="18"/>
          </w:rPr>
        </w:r>
        <w:r w:rsidR="00EB6BA6" w:rsidRPr="001E2F6E">
          <w:rPr>
            <w:b/>
            <w:noProof/>
            <w:webHidden/>
            <w:sz w:val="18"/>
            <w:szCs w:val="18"/>
          </w:rPr>
          <w:fldChar w:fldCharType="separate"/>
        </w:r>
        <w:r>
          <w:rPr>
            <w:b/>
            <w:noProof/>
            <w:webHidden/>
            <w:sz w:val="18"/>
            <w:szCs w:val="18"/>
          </w:rPr>
          <w:t>43</w:t>
        </w:r>
        <w:r w:rsidR="00EB6BA6" w:rsidRPr="001E2F6E">
          <w:rPr>
            <w:b/>
            <w:noProof/>
            <w:webHidden/>
            <w:sz w:val="18"/>
            <w:szCs w:val="18"/>
          </w:rPr>
          <w:fldChar w:fldCharType="end"/>
        </w:r>
      </w:hyperlink>
    </w:p>
    <w:p w:rsidR="000728A0" w:rsidRPr="001E2F6E" w:rsidRDefault="000728A0" w:rsidP="000728A0">
      <w:pPr>
        <w:pStyle w:val="TDC1"/>
        <w:tabs>
          <w:tab w:val="left" w:pos="600"/>
          <w:tab w:val="right" w:leader="dot" w:pos="9072"/>
        </w:tabs>
        <w:spacing w:after="0" w:line="240" w:lineRule="auto"/>
        <w:ind w:left="426" w:hanging="426"/>
        <w:rPr>
          <w:rStyle w:val="Hipervnculo"/>
          <w:rFonts w:cs="Arial"/>
          <w:noProof/>
          <w:color w:val="auto"/>
          <w:sz w:val="18"/>
          <w:szCs w:val="18"/>
          <w:u w:val="none"/>
        </w:rPr>
      </w:pPr>
    </w:p>
    <w:p w:rsidR="000728A0" w:rsidRPr="001E2F6E" w:rsidRDefault="00A327D4" w:rsidP="000728A0">
      <w:pPr>
        <w:pStyle w:val="TDC1"/>
        <w:tabs>
          <w:tab w:val="left" w:pos="600"/>
          <w:tab w:val="right" w:leader="dot" w:pos="9072"/>
        </w:tabs>
        <w:spacing w:after="0" w:line="240" w:lineRule="auto"/>
        <w:ind w:left="426" w:hanging="426"/>
        <w:rPr>
          <w:rFonts w:eastAsiaTheme="minorEastAsia"/>
          <w:noProof/>
          <w:sz w:val="18"/>
          <w:szCs w:val="18"/>
          <w:lang w:eastAsia="es-ES"/>
        </w:rPr>
      </w:pPr>
      <w:hyperlink w:anchor="_Toc392585667" w:history="1">
        <w:r w:rsidR="000728A0" w:rsidRPr="001E2F6E">
          <w:rPr>
            <w:rStyle w:val="Hipervnculo"/>
            <w:rFonts w:cs="Arial"/>
            <w:noProof/>
            <w:color w:val="auto"/>
            <w:sz w:val="18"/>
            <w:szCs w:val="18"/>
            <w:u w:val="none"/>
          </w:rPr>
          <w:t xml:space="preserve">1.- </w:t>
        </w:r>
        <w:r w:rsidR="000728A0" w:rsidRPr="001E2F6E">
          <w:rPr>
            <w:rFonts w:eastAsiaTheme="minorEastAsia"/>
            <w:noProof/>
            <w:sz w:val="18"/>
            <w:szCs w:val="18"/>
            <w:lang w:eastAsia="es-ES"/>
          </w:rPr>
          <w:tab/>
        </w:r>
        <w:r w:rsidR="000728A0" w:rsidRPr="001E2F6E">
          <w:rPr>
            <w:rStyle w:val="Hipervnculo"/>
            <w:rFonts w:cs="Arial"/>
            <w:noProof/>
            <w:color w:val="auto"/>
            <w:sz w:val="18"/>
            <w:szCs w:val="18"/>
            <w:u w:val="none"/>
          </w:rPr>
          <w:t>ENPLEGUAREN ETA ESTABLEZIMENDUEN DINAMIKA 2010-2012 BIURTEKOAN</w:t>
        </w:r>
        <w:r w:rsidR="000728A0" w:rsidRPr="001E2F6E">
          <w:rPr>
            <w:noProof/>
            <w:webHidden/>
            <w:sz w:val="18"/>
            <w:szCs w:val="18"/>
          </w:rPr>
          <w:tab/>
        </w:r>
        <w:r w:rsidR="00EB6BA6" w:rsidRPr="001E2F6E">
          <w:rPr>
            <w:noProof/>
            <w:webHidden/>
            <w:sz w:val="18"/>
            <w:szCs w:val="18"/>
          </w:rPr>
          <w:fldChar w:fldCharType="begin"/>
        </w:r>
        <w:r w:rsidR="000728A0" w:rsidRPr="001E2F6E">
          <w:rPr>
            <w:noProof/>
            <w:webHidden/>
            <w:sz w:val="18"/>
            <w:szCs w:val="18"/>
          </w:rPr>
          <w:instrText xml:space="preserve"> PAGEREF _Toc392585667 \h </w:instrText>
        </w:r>
        <w:r w:rsidR="00EB6BA6" w:rsidRPr="001E2F6E">
          <w:rPr>
            <w:noProof/>
            <w:webHidden/>
            <w:sz w:val="18"/>
            <w:szCs w:val="18"/>
          </w:rPr>
        </w:r>
        <w:r w:rsidR="00EB6BA6" w:rsidRPr="001E2F6E">
          <w:rPr>
            <w:noProof/>
            <w:webHidden/>
            <w:sz w:val="18"/>
            <w:szCs w:val="18"/>
          </w:rPr>
          <w:fldChar w:fldCharType="separate"/>
        </w:r>
        <w:r>
          <w:rPr>
            <w:noProof/>
            <w:webHidden/>
            <w:sz w:val="18"/>
            <w:szCs w:val="18"/>
          </w:rPr>
          <w:t>43</w:t>
        </w:r>
        <w:r w:rsidR="00EB6BA6" w:rsidRPr="001E2F6E">
          <w:rPr>
            <w:noProof/>
            <w:webHidden/>
            <w:sz w:val="18"/>
            <w:szCs w:val="18"/>
          </w:rPr>
          <w:fldChar w:fldCharType="end"/>
        </w:r>
      </w:hyperlink>
    </w:p>
    <w:p w:rsidR="000728A0" w:rsidRPr="001E2F6E" w:rsidRDefault="000728A0" w:rsidP="000728A0">
      <w:pPr>
        <w:pStyle w:val="TDC1"/>
        <w:tabs>
          <w:tab w:val="left" w:pos="426"/>
          <w:tab w:val="left" w:pos="851"/>
          <w:tab w:val="left" w:pos="880"/>
          <w:tab w:val="left" w:pos="1276"/>
          <w:tab w:val="right" w:leader="dot" w:pos="9072"/>
        </w:tabs>
        <w:spacing w:after="0" w:line="240" w:lineRule="auto"/>
        <w:rPr>
          <w:rStyle w:val="Hipervnculo"/>
          <w:rFonts w:eastAsiaTheme="minorHAnsi" w:cs="Arial"/>
          <w:noProof/>
          <w:color w:val="auto"/>
          <w:u w:val="none"/>
        </w:rPr>
      </w:pPr>
      <w:r w:rsidRPr="001E2F6E">
        <w:rPr>
          <w:rStyle w:val="Hipervnculo"/>
          <w:rFonts w:eastAsiaTheme="minorHAnsi" w:cs="Arial"/>
          <w:noProof/>
          <w:color w:val="auto"/>
          <w:sz w:val="18"/>
          <w:szCs w:val="18"/>
          <w:u w:val="none"/>
        </w:rPr>
        <w:tab/>
      </w:r>
      <w:hyperlink w:anchor="_Toc392585668" w:history="1">
        <w:r w:rsidRPr="001E2F6E">
          <w:rPr>
            <w:rStyle w:val="Hipervnculo"/>
            <w:rFonts w:eastAsiaTheme="minorHAnsi" w:cs="Arial"/>
            <w:noProof/>
            <w:color w:val="auto"/>
            <w:sz w:val="18"/>
            <w:szCs w:val="18"/>
            <w:u w:val="none"/>
          </w:rPr>
          <w:t>1.1.-</w:t>
        </w:r>
        <w:r w:rsidRPr="001E2F6E">
          <w:rPr>
            <w:rStyle w:val="Hipervnculo"/>
            <w:rFonts w:eastAsiaTheme="minorHAnsi" w:cs="Arial"/>
            <w:noProof/>
            <w:color w:val="auto"/>
            <w:u w:val="none"/>
          </w:rPr>
          <w:tab/>
        </w:r>
        <w:r w:rsidRPr="001E2F6E">
          <w:rPr>
            <w:rStyle w:val="Hipervnculo"/>
            <w:rFonts w:eastAsiaTheme="minorHAnsi" w:cs="Arial"/>
            <w:noProof/>
            <w:color w:val="auto"/>
            <w:sz w:val="18"/>
            <w:szCs w:val="18"/>
            <w:u w:val="none"/>
          </w:rPr>
          <w:t>GIZARTE-EKONOMIAREN ARLOZ ARLOKO ENPLEGUA</w:t>
        </w:r>
        <w:r w:rsidRPr="001E2F6E">
          <w:rPr>
            <w:rStyle w:val="Hipervnculo"/>
            <w:rFonts w:eastAsiaTheme="minorHAnsi" w:cs="Arial"/>
            <w:noProof/>
            <w:webHidden/>
            <w:color w:val="auto"/>
            <w:u w:val="none"/>
          </w:rPr>
          <w:tab/>
        </w:r>
        <w:r w:rsidR="00EB6BA6" w:rsidRPr="001E2F6E">
          <w:rPr>
            <w:rStyle w:val="Hipervnculo"/>
            <w:rFonts w:eastAsiaTheme="minorHAnsi" w:cs="Arial"/>
            <w:noProof/>
            <w:webHidden/>
            <w:color w:val="auto"/>
            <w:u w:val="none"/>
          </w:rPr>
          <w:fldChar w:fldCharType="begin"/>
        </w:r>
        <w:r w:rsidRPr="001E2F6E">
          <w:rPr>
            <w:rStyle w:val="Hipervnculo"/>
            <w:rFonts w:eastAsiaTheme="minorHAnsi" w:cs="Arial"/>
            <w:noProof/>
            <w:webHidden/>
            <w:color w:val="auto"/>
            <w:u w:val="none"/>
          </w:rPr>
          <w:instrText xml:space="preserve"> PAGEREF _Toc392585668 \h </w:instrText>
        </w:r>
        <w:r w:rsidR="00EB6BA6" w:rsidRPr="001E2F6E">
          <w:rPr>
            <w:rStyle w:val="Hipervnculo"/>
            <w:rFonts w:eastAsiaTheme="minorHAnsi" w:cs="Arial"/>
            <w:noProof/>
            <w:webHidden/>
            <w:color w:val="auto"/>
            <w:u w:val="none"/>
          </w:rPr>
        </w:r>
        <w:r w:rsidR="00EB6BA6" w:rsidRPr="001E2F6E">
          <w:rPr>
            <w:rStyle w:val="Hipervnculo"/>
            <w:rFonts w:eastAsiaTheme="minorHAnsi" w:cs="Arial"/>
            <w:noProof/>
            <w:webHidden/>
            <w:color w:val="auto"/>
            <w:u w:val="none"/>
          </w:rPr>
          <w:fldChar w:fldCharType="separate"/>
        </w:r>
        <w:r w:rsidR="00A327D4">
          <w:rPr>
            <w:rStyle w:val="Hipervnculo"/>
            <w:rFonts w:eastAsiaTheme="minorHAnsi" w:cs="Arial"/>
            <w:noProof/>
            <w:webHidden/>
            <w:color w:val="auto"/>
            <w:u w:val="none"/>
          </w:rPr>
          <w:t>45</w:t>
        </w:r>
        <w:r w:rsidR="00EB6BA6" w:rsidRPr="001E2F6E">
          <w:rPr>
            <w:rStyle w:val="Hipervnculo"/>
            <w:rFonts w:eastAsiaTheme="minorHAnsi" w:cs="Arial"/>
            <w:noProof/>
            <w:webHidden/>
            <w:color w:val="auto"/>
            <w:u w:val="none"/>
          </w:rPr>
          <w:fldChar w:fldCharType="end"/>
        </w:r>
      </w:hyperlink>
    </w:p>
    <w:p w:rsidR="000728A0" w:rsidRPr="001E2F6E" w:rsidRDefault="000728A0" w:rsidP="000728A0">
      <w:pPr>
        <w:pStyle w:val="TDC1"/>
        <w:tabs>
          <w:tab w:val="left" w:pos="426"/>
          <w:tab w:val="left" w:pos="851"/>
          <w:tab w:val="left" w:pos="880"/>
          <w:tab w:val="left" w:pos="1276"/>
          <w:tab w:val="right" w:leader="dot" w:pos="9072"/>
        </w:tabs>
        <w:spacing w:after="0" w:line="240" w:lineRule="auto"/>
        <w:rPr>
          <w:rStyle w:val="Hipervnculo"/>
          <w:rFonts w:eastAsiaTheme="minorHAnsi" w:cs="Arial"/>
          <w:noProof/>
          <w:color w:val="auto"/>
          <w:u w:val="none"/>
        </w:rPr>
      </w:pPr>
      <w:r w:rsidRPr="001E2F6E">
        <w:rPr>
          <w:rStyle w:val="Hipervnculo"/>
          <w:rFonts w:eastAsiaTheme="minorHAnsi" w:cs="Arial"/>
          <w:noProof/>
          <w:color w:val="auto"/>
          <w:sz w:val="18"/>
          <w:szCs w:val="18"/>
          <w:u w:val="none"/>
        </w:rPr>
        <w:tab/>
      </w:r>
      <w:hyperlink w:anchor="_Toc392585669" w:history="1">
        <w:r w:rsidRPr="001E2F6E">
          <w:rPr>
            <w:rStyle w:val="Hipervnculo"/>
            <w:rFonts w:eastAsiaTheme="minorHAnsi" w:cs="Arial"/>
            <w:noProof/>
            <w:color w:val="auto"/>
            <w:sz w:val="18"/>
            <w:szCs w:val="18"/>
            <w:u w:val="none"/>
          </w:rPr>
          <w:t>1.2.-</w:t>
        </w:r>
        <w:r w:rsidRPr="001E2F6E">
          <w:rPr>
            <w:rStyle w:val="Hipervnculo"/>
            <w:rFonts w:eastAsiaTheme="minorHAnsi" w:cs="Arial"/>
            <w:noProof/>
            <w:color w:val="auto"/>
            <w:u w:val="none"/>
          </w:rPr>
          <w:tab/>
        </w:r>
        <w:r w:rsidRPr="001E2F6E">
          <w:rPr>
            <w:rStyle w:val="Hipervnculo"/>
            <w:rFonts w:eastAsiaTheme="minorHAnsi" w:cs="Arial"/>
            <w:noProof/>
            <w:color w:val="auto"/>
            <w:sz w:val="18"/>
            <w:szCs w:val="18"/>
            <w:u w:val="none"/>
          </w:rPr>
          <w:t>GIZARTE-EKONOMIAKO ENPLEGUAREN EZAUGARRI NAGUSIAK</w:t>
        </w:r>
        <w:r w:rsidRPr="001E2F6E">
          <w:rPr>
            <w:rStyle w:val="Hipervnculo"/>
            <w:rFonts w:eastAsiaTheme="minorHAnsi" w:cs="Arial"/>
            <w:noProof/>
            <w:webHidden/>
            <w:color w:val="auto"/>
            <w:u w:val="none"/>
          </w:rPr>
          <w:tab/>
        </w:r>
        <w:r w:rsidR="00EB6BA6" w:rsidRPr="001E2F6E">
          <w:rPr>
            <w:rStyle w:val="Hipervnculo"/>
            <w:rFonts w:eastAsiaTheme="minorHAnsi" w:cs="Arial"/>
            <w:noProof/>
            <w:webHidden/>
            <w:color w:val="auto"/>
            <w:u w:val="none"/>
          </w:rPr>
          <w:fldChar w:fldCharType="begin"/>
        </w:r>
        <w:r w:rsidRPr="001E2F6E">
          <w:rPr>
            <w:rStyle w:val="Hipervnculo"/>
            <w:rFonts w:eastAsiaTheme="minorHAnsi" w:cs="Arial"/>
            <w:noProof/>
            <w:webHidden/>
            <w:color w:val="auto"/>
            <w:u w:val="none"/>
          </w:rPr>
          <w:instrText xml:space="preserve"> PAGEREF _Toc392585669 \h </w:instrText>
        </w:r>
        <w:r w:rsidR="00EB6BA6" w:rsidRPr="001E2F6E">
          <w:rPr>
            <w:rStyle w:val="Hipervnculo"/>
            <w:rFonts w:eastAsiaTheme="minorHAnsi" w:cs="Arial"/>
            <w:noProof/>
            <w:webHidden/>
            <w:color w:val="auto"/>
            <w:u w:val="none"/>
          </w:rPr>
        </w:r>
        <w:r w:rsidR="00EB6BA6" w:rsidRPr="001E2F6E">
          <w:rPr>
            <w:rStyle w:val="Hipervnculo"/>
            <w:rFonts w:eastAsiaTheme="minorHAnsi" w:cs="Arial"/>
            <w:noProof/>
            <w:webHidden/>
            <w:color w:val="auto"/>
            <w:u w:val="none"/>
          </w:rPr>
          <w:fldChar w:fldCharType="separate"/>
        </w:r>
        <w:r w:rsidR="00A327D4">
          <w:rPr>
            <w:rStyle w:val="Hipervnculo"/>
            <w:rFonts w:eastAsiaTheme="minorHAnsi" w:cs="Arial"/>
            <w:noProof/>
            <w:webHidden/>
            <w:color w:val="auto"/>
            <w:u w:val="none"/>
          </w:rPr>
          <w:t>47</w:t>
        </w:r>
        <w:r w:rsidR="00EB6BA6" w:rsidRPr="001E2F6E">
          <w:rPr>
            <w:rStyle w:val="Hipervnculo"/>
            <w:rFonts w:eastAsiaTheme="minorHAnsi" w:cs="Arial"/>
            <w:noProof/>
            <w:webHidden/>
            <w:color w:val="auto"/>
            <w:u w:val="none"/>
          </w:rPr>
          <w:fldChar w:fldCharType="end"/>
        </w:r>
      </w:hyperlink>
    </w:p>
    <w:p w:rsidR="000728A0" w:rsidRPr="001E2F6E" w:rsidRDefault="000728A0" w:rsidP="000728A0">
      <w:pPr>
        <w:pStyle w:val="TDC1"/>
        <w:tabs>
          <w:tab w:val="left" w:pos="426"/>
          <w:tab w:val="left" w:pos="851"/>
          <w:tab w:val="left" w:pos="1276"/>
          <w:tab w:val="right" w:leader="dot" w:pos="9072"/>
        </w:tabs>
        <w:spacing w:after="0" w:line="240" w:lineRule="auto"/>
        <w:rPr>
          <w:rStyle w:val="Hipervnculo"/>
          <w:rFonts w:eastAsiaTheme="minorHAnsi" w:cs="Arial"/>
          <w:noProof/>
          <w:color w:val="auto"/>
          <w:u w:val="none"/>
        </w:rPr>
      </w:pPr>
      <w:r w:rsidRPr="001E2F6E">
        <w:rPr>
          <w:rStyle w:val="Hipervnculo"/>
          <w:rFonts w:eastAsiaTheme="minorHAnsi" w:cs="Arial"/>
          <w:noProof/>
          <w:color w:val="auto"/>
          <w:sz w:val="18"/>
          <w:szCs w:val="18"/>
          <w:u w:val="none"/>
        </w:rPr>
        <w:tab/>
      </w:r>
      <w:r w:rsidRPr="001E2F6E">
        <w:rPr>
          <w:rStyle w:val="Hipervnculo"/>
          <w:rFonts w:eastAsiaTheme="minorHAnsi" w:cs="Arial"/>
          <w:noProof/>
          <w:color w:val="auto"/>
          <w:sz w:val="18"/>
          <w:szCs w:val="18"/>
          <w:u w:val="none"/>
        </w:rPr>
        <w:tab/>
      </w:r>
      <w:hyperlink w:anchor="_Toc392585670" w:history="1">
        <w:r w:rsidRPr="001E2F6E">
          <w:rPr>
            <w:rStyle w:val="Hipervnculo"/>
            <w:rFonts w:eastAsiaTheme="minorHAnsi" w:cs="Arial"/>
            <w:noProof/>
            <w:color w:val="auto"/>
            <w:sz w:val="18"/>
            <w:szCs w:val="18"/>
            <w:u w:val="none"/>
          </w:rPr>
          <w:t>1.2.1.- Generoa eta adina</w:t>
        </w:r>
        <w:r w:rsidRPr="001E2F6E">
          <w:rPr>
            <w:rStyle w:val="Hipervnculo"/>
            <w:rFonts w:eastAsiaTheme="minorHAnsi" w:cs="Arial"/>
            <w:noProof/>
            <w:webHidden/>
            <w:color w:val="auto"/>
            <w:u w:val="none"/>
          </w:rPr>
          <w:tab/>
        </w:r>
        <w:r w:rsidR="00EB6BA6" w:rsidRPr="001E2F6E">
          <w:rPr>
            <w:rStyle w:val="Hipervnculo"/>
            <w:rFonts w:eastAsiaTheme="minorHAnsi" w:cs="Arial"/>
            <w:noProof/>
            <w:webHidden/>
            <w:color w:val="auto"/>
            <w:u w:val="none"/>
          </w:rPr>
          <w:fldChar w:fldCharType="begin"/>
        </w:r>
        <w:r w:rsidRPr="001E2F6E">
          <w:rPr>
            <w:rStyle w:val="Hipervnculo"/>
            <w:rFonts w:eastAsiaTheme="minorHAnsi" w:cs="Arial"/>
            <w:noProof/>
            <w:webHidden/>
            <w:color w:val="auto"/>
            <w:u w:val="none"/>
          </w:rPr>
          <w:instrText xml:space="preserve"> PAGEREF _Toc392585670 \h </w:instrText>
        </w:r>
        <w:r w:rsidR="00EB6BA6" w:rsidRPr="001E2F6E">
          <w:rPr>
            <w:rStyle w:val="Hipervnculo"/>
            <w:rFonts w:eastAsiaTheme="minorHAnsi" w:cs="Arial"/>
            <w:noProof/>
            <w:webHidden/>
            <w:color w:val="auto"/>
            <w:u w:val="none"/>
          </w:rPr>
        </w:r>
        <w:r w:rsidR="00EB6BA6" w:rsidRPr="001E2F6E">
          <w:rPr>
            <w:rStyle w:val="Hipervnculo"/>
            <w:rFonts w:eastAsiaTheme="minorHAnsi" w:cs="Arial"/>
            <w:noProof/>
            <w:webHidden/>
            <w:color w:val="auto"/>
            <w:u w:val="none"/>
          </w:rPr>
          <w:fldChar w:fldCharType="separate"/>
        </w:r>
        <w:r w:rsidR="00A327D4">
          <w:rPr>
            <w:rStyle w:val="Hipervnculo"/>
            <w:rFonts w:eastAsiaTheme="minorHAnsi" w:cs="Arial"/>
            <w:noProof/>
            <w:webHidden/>
            <w:color w:val="auto"/>
            <w:u w:val="none"/>
          </w:rPr>
          <w:t>47</w:t>
        </w:r>
        <w:r w:rsidR="00EB6BA6" w:rsidRPr="001E2F6E">
          <w:rPr>
            <w:rStyle w:val="Hipervnculo"/>
            <w:rFonts w:eastAsiaTheme="minorHAnsi" w:cs="Arial"/>
            <w:noProof/>
            <w:webHidden/>
            <w:color w:val="auto"/>
            <w:u w:val="none"/>
          </w:rPr>
          <w:fldChar w:fldCharType="end"/>
        </w:r>
      </w:hyperlink>
    </w:p>
    <w:p w:rsidR="000728A0" w:rsidRPr="001E2F6E" w:rsidRDefault="000728A0" w:rsidP="000728A0">
      <w:pPr>
        <w:pStyle w:val="TDC1"/>
        <w:tabs>
          <w:tab w:val="left" w:pos="426"/>
          <w:tab w:val="left" w:pos="851"/>
          <w:tab w:val="left" w:pos="1276"/>
          <w:tab w:val="right" w:leader="dot" w:pos="9072"/>
        </w:tabs>
        <w:spacing w:after="0" w:line="240" w:lineRule="auto"/>
        <w:rPr>
          <w:rStyle w:val="Hipervnculo"/>
          <w:rFonts w:eastAsiaTheme="minorHAnsi" w:cs="Arial"/>
          <w:noProof/>
          <w:color w:val="auto"/>
          <w:u w:val="none"/>
        </w:rPr>
      </w:pPr>
      <w:r w:rsidRPr="001E2F6E">
        <w:rPr>
          <w:rStyle w:val="Hipervnculo"/>
          <w:rFonts w:eastAsiaTheme="minorHAnsi" w:cs="Arial"/>
          <w:noProof/>
          <w:color w:val="auto"/>
          <w:sz w:val="18"/>
          <w:szCs w:val="18"/>
          <w:u w:val="none"/>
        </w:rPr>
        <w:tab/>
      </w:r>
      <w:r w:rsidRPr="001E2F6E">
        <w:rPr>
          <w:rStyle w:val="Hipervnculo"/>
          <w:rFonts w:eastAsiaTheme="minorHAnsi" w:cs="Arial"/>
          <w:noProof/>
          <w:color w:val="auto"/>
          <w:sz w:val="18"/>
          <w:szCs w:val="18"/>
          <w:u w:val="none"/>
        </w:rPr>
        <w:tab/>
      </w:r>
      <w:hyperlink w:anchor="_Toc392585671" w:history="1">
        <w:r w:rsidRPr="001E2F6E">
          <w:rPr>
            <w:rStyle w:val="Hipervnculo"/>
            <w:rFonts w:eastAsiaTheme="minorHAnsi" w:cs="Arial"/>
            <w:noProof/>
            <w:color w:val="auto"/>
            <w:sz w:val="18"/>
            <w:szCs w:val="18"/>
            <w:u w:val="none"/>
          </w:rPr>
          <w:t>1.2.2.- Kontratu bidezko harreman-motak</w:t>
        </w:r>
        <w:r w:rsidRPr="001E2F6E">
          <w:rPr>
            <w:rStyle w:val="Hipervnculo"/>
            <w:rFonts w:eastAsiaTheme="minorHAnsi" w:cs="Arial"/>
            <w:noProof/>
            <w:webHidden/>
            <w:color w:val="auto"/>
            <w:u w:val="none"/>
          </w:rPr>
          <w:tab/>
        </w:r>
        <w:r w:rsidR="00EB6BA6" w:rsidRPr="001E2F6E">
          <w:rPr>
            <w:rStyle w:val="Hipervnculo"/>
            <w:rFonts w:eastAsiaTheme="minorHAnsi" w:cs="Arial"/>
            <w:noProof/>
            <w:webHidden/>
            <w:color w:val="auto"/>
            <w:u w:val="none"/>
          </w:rPr>
          <w:fldChar w:fldCharType="begin"/>
        </w:r>
        <w:r w:rsidRPr="001E2F6E">
          <w:rPr>
            <w:rStyle w:val="Hipervnculo"/>
            <w:rFonts w:eastAsiaTheme="minorHAnsi" w:cs="Arial"/>
            <w:noProof/>
            <w:webHidden/>
            <w:color w:val="auto"/>
            <w:u w:val="none"/>
          </w:rPr>
          <w:instrText xml:space="preserve"> PAGEREF _Toc392585671 \h </w:instrText>
        </w:r>
        <w:r w:rsidR="00EB6BA6" w:rsidRPr="001E2F6E">
          <w:rPr>
            <w:rStyle w:val="Hipervnculo"/>
            <w:rFonts w:eastAsiaTheme="minorHAnsi" w:cs="Arial"/>
            <w:noProof/>
            <w:webHidden/>
            <w:color w:val="auto"/>
            <w:u w:val="none"/>
          </w:rPr>
        </w:r>
        <w:r w:rsidR="00EB6BA6" w:rsidRPr="001E2F6E">
          <w:rPr>
            <w:rStyle w:val="Hipervnculo"/>
            <w:rFonts w:eastAsiaTheme="minorHAnsi" w:cs="Arial"/>
            <w:noProof/>
            <w:webHidden/>
            <w:color w:val="auto"/>
            <w:u w:val="none"/>
          </w:rPr>
          <w:fldChar w:fldCharType="separate"/>
        </w:r>
        <w:r w:rsidR="00A327D4">
          <w:rPr>
            <w:rStyle w:val="Hipervnculo"/>
            <w:rFonts w:eastAsiaTheme="minorHAnsi" w:cs="Arial"/>
            <w:noProof/>
            <w:webHidden/>
            <w:color w:val="auto"/>
            <w:u w:val="none"/>
          </w:rPr>
          <w:t>48</w:t>
        </w:r>
        <w:r w:rsidR="00EB6BA6" w:rsidRPr="001E2F6E">
          <w:rPr>
            <w:rStyle w:val="Hipervnculo"/>
            <w:rFonts w:eastAsiaTheme="minorHAnsi" w:cs="Arial"/>
            <w:noProof/>
            <w:webHidden/>
            <w:color w:val="auto"/>
            <w:u w:val="none"/>
          </w:rPr>
          <w:fldChar w:fldCharType="end"/>
        </w:r>
      </w:hyperlink>
    </w:p>
    <w:p w:rsidR="000728A0" w:rsidRPr="001E2F6E" w:rsidRDefault="00FB14D4" w:rsidP="00FB14D4">
      <w:pPr>
        <w:pStyle w:val="TDC1"/>
        <w:tabs>
          <w:tab w:val="left" w:pos="426"/>
          <w:tab w:val="left" w:pos="851"/>
          <w:tab w:val="left" w:pos="1276"/>
          <w:tab w:val="right" w:leader="dot" w:pos="9072"/>
        </w:tabs>
        <w:spacing w:after="0" w:line="240" w:lineRule="auto"/>
        <w:ind w:left="851" w:hanging="851"/>
        <w:rPr>
          <w:rStyle w:val="Hipervnculo"/>
          <w:rFonts w:eastAsiaTheme="minorHAnsi" w:cs="Arial"/>
          <w:noProof/>
          <w:color w:val="auto"/>
          <w:u w:val="none"/>
        </w:rPr>
      </w:pPr>
      <w:r w:rsidRPr="001E2F6E">
        <w:rPr>
          <w:rStyle w:val="Hipervnculo"/>
          <w:rFonts w:eastAsiaTheme="minorHAnsi" w:cs="Arial"/>
          <w:noProof/>
          <w:color w:val="auto"/>
          <w:sz w:val="18"/>
          <w:szCs w:val="18"/>
          <w:u w:val="none"/>
        </w:rPr>
        <w:tab/>
      </w:r>
      <w:hyperlink w:anchor="_Toc392585672" w:history="1">
        <w:r w:rsidR="000728A0" w:rsidRPr="001E2F6E">
          <w:rPr>
            <w:rStyle w:val="Hipervnculo"/>
            <w:rFonts w:eastAsiaTheme="minorHAnsi" w:cs="Arial"/>
            <w:noProof/>
            <w:color w:val="auto"/>
            <w:sz w:val="18"/>
            <w:szCs w:val="18"/>
            <w:u w:val="none"/>
          </w:rPr>
          <w:t xml:space="preserve">1.3.- </w:t>
        </w:r>
        <w:r w:rsidR="000728A0" w:rsidRPr="001E2F6E">
          <w:rPr>
            <w:rStyle w:val="Hipervnculo"/>
            <w:rFonts w:eastAsiaTheme="minorHAnsi" w:cs="Arial"/>
            <w:noProof/>
            <w:color w:val="auto"/>
            <w:u w:val="none"/>
          </w:rPr>
          <w:tab/>
        </w:r>
        <w:r w:rsidR="000728A0" w:rsidRPr="001E2F6E">
          <w:rPr>
            <w:rStyle w:val="Hipervnculo"/>
            <w:rFonts w:eastAsiaTheme="minorHAnsi" w:cs="Arial"/>
            <w:noProof/>
            <w:color w:val="auto"/>
            <w:sz w:val="18"/>
            <w:szCs w:val="18"/>
            <w:u w:val="none"/>
          </w:rPr>
          <w:t>GIZARTE-EKONOMIAK SORTUTAKO BALIO ERANTSI GORDINA (BEGd) BALIOA ETA PRODUKTIBITATE ANTZEMANGARRIA</w:t>
        </w:r>
        <w:r w:rsidR="000728A0" w:rsidRPr="001E2F6E">
          <w:rPr>
            <w:rStyle w:val="Hipervnculo"/>
            <w:rFonts w:eastAsiaTheme="minorHAnsi" w:cs="Arial"/>
            <w:noProof/>
            <w:webHidden/>
            <w:color w:val="auto"/>
            <w:u w:val="none"/>
          </w:rPr>
          <w:tab/>
        </w:r>
        <w:r w:rsidR="00EB6BA6" w:rsidRPr="001E2F6E">
          <w:rPr>
            <w:rStyle w:val="Hipervnculo"/>
            <w:rFonts w:eastAsiaTheme="minorHAnsi" w:cs="Arial"/>
            <w:noProof/>
            <w:webHidden/>
            <w:color w:val="auto"/>
            <w:u w:val="none"/>
          </w:rPr>
          <w:fldChar w:fldCharType="begin"/>
        </w:r>
        <w:r w:rsidR="000728A0" w:rsidRPr="001E2F6E">
          <w:rPr>
            <w:rStyle w:val="Hipervnculo"/>
            <w:rFonts w:eastAsiaTheme="minorHAnsi" w:cs="Arial"/>
            <w:noProof/>
            <w:webHidden/>
            <w:color w:val="auto"/>
            <w:u w:val="none"/>
          </w:rPr>
          <w:instrText xml:space="preserve"> PAGEREF _Toc392585672 \h </w:instrText>
        </w:r>
        <w:r w:rsidR="00EB6BA6" w:rsidRPr="001E2F6E">
          <w:rPr>
            <w:rStyle w:val="Hipervnculo"/>
            <w:rFonts w:eastAsiaTheme="minorHAnsi" w:cs="Arial"/>
            <w:noProof/>
            <w:webHidden/>
            <w:color w:val="auto"/>
            <w:u w:val="none"/>
          </w:rPr>
        </w:r>
        <w:r w:rsidR="00EB6BA6" w:rsidRPr="001E2F6E">
          <w:rPr>
            <w:rStyle w:val="Hipervnculo"/>
            <w:rFonts w:eastAsiaTheme="minorHAnsi" w:cs="Arial"/>
            <w:noProof/>
            <w:webHidden/>
            <w:color w:val="auto"/>
            <w:u w:val="none"/>
          </w:rPr>
          <w:fldChar w:fldCharType="separate"/>
        </w:r>
        <w:r w:rsidR="00A327D4">
          <w:rPr>
            <w:rStyle w:val="Hipervnculo"/>
            <w:rFonts w:eastAsiaTheme="minorHAnsi" w:cs="Arial"/>
            <w:noProof/>
            <w:webHidden/>
            <w:color w:val="auto"/>
            <w:u w:val="none"/>
          </w:rPr>
          <w:t>50</w:t>
        </w:r>
        <w:r w:rsidR="00EB6BA6" w:rsidRPr="001E2F6E">
          <w:rPr>
            <w:rStyle w:val="Hipervnculo"/>
            <w:rFonts w:eastAsiaTheme="minorHAnsi" w:cs="Arial"/>
            <w:noProof/>
            <w:webHidden/>
            <w:color w:val="auto"/>
            <w:u w:val="none"/>
          </w:rPr>
          <w:fldChar w:fldCharType="end"/>
        </w:r>
      </w:hyperlink>
    </w:p>
    <w:p w:rsidR="000728A0" w:rsidRPr="001E2F6E" w:rsidRDefault="00FB14D4" w:rsidP="000728A0">
      <w:pPr>
        <w:pStyle w:val="TDC1"/>
        <w:tabs>
          <w:tab w:val="left" w:pos="426"/>
          <w:tab w:val="left" w:pos="851"/>
          <w:tab w:val="left" w:pos="1276"/>
          <w:tab w:val="right" w:leader="dot" w:pos="9072"/>
        </w:tabs>
        <w:spacing w:after="0" w:line="240" w:lineRule="auto"/>
        <w:rPr>
          <w:rStyle w:val="Hipervnculo"/>
          <w:rFonts w:eastAsiaTheme="minorHAnsi" w:cs="Arial"/>
          <w:noProof/>
          <w:color w:val="auto"/>
          <w:u w:val="none"/>
        </w:rPr>
      </w:pPr>
      <w:r w:rsidRPr="001E2F6E">
        <w:rPr>
          <w:rStyle w:val="Hipervnculo"/>
          <w:rFonts w:eastAsiaTheme="minorHAnsi" w:cs="Arial"/>
          <w:noProof/>
          <w:color w:val="auto"/>
          <w:sz w:val="18"/>
          <w:szCs w:val="18"/>
          <w:u w:val="none"/>
        </w:rPr>
        <w:tab/>
      </w:r>
      <w:r w:rsidRPr="001E2F6E">
        <w:rPr>
          <w:rStyle w:val="Hipervnculo"/>
          <w:rFonts w:eastAsiaTheme="minorHAnsi" w:cs="Arial"/>
          <w:noProof/>
          <w:color w:val="auto"/>
          <w:sz w:val="18"/>
          <w:szCs w:val="18"/>
          <w:u w:val="none"/>
        </w:rPr>
        <w:tab/>
      </w:r>
      <w:hyperlink w:anchor="_Toc392585673" w:history="1">
        <w:r w:rsidR="000728A0" w:rsidRPr="001E2F6E">
          <w:rPr>
            <w:rStyle w:val="Hipervnculo"/>
            <w:rFonts w:eastAsiaTheme="minorHAnsi" w:cs="Arial"/>
            <w:noProof/>
            <w:color w:val="auto"/>
            <w:sz w:val="18"/>
            <w:szCs w:val="18"/>
            <w:u w:val="none"/>
          </w:rPr>
          <w:t>1.3.1.- BEGd-aren dinamika 2010-2012 biurtekoan</w:t>
        </w:r>
        <w:r w:rsidR="000728A0" w:rsidRPr="001E2F6E">
          <w:rPr>
            <w:rStyle w:val="Hipervnculo"/>
            <w:rFonts w:eastAsiaTheme="minorHAnsi" w:cs="Arial"/>
            <w:noProof/>
            <w:webHidden/>
            <w:color w:val="auto"/>
            <w:u w:val="none"/>
          </w:rPr>
          <w:tab/>
        </w:r>
        <w:r w:rsidR="00EB6BA6" w:rsidRPr="001E2F6E">
          <w:rPr>
            <w:rStyle w:val="Hipervnculo"/>
            <w:rFonts w:eastAsiaTheme="minorHAnsi" w:cs="Arial"/>
            <w:noProof/>
            <w:webHidden/>
            <w:color w:val="auto"/>
            <w:u w:val="none"/>
          </w:rPr>
          <w:fldChar w:fldCharType="begin"/>
        </w:r>
        <w:r w:rsidR="000728A0" w:rsidRPr="001E2F6E">
          <w:rPr>
            <w:rStyle w:val="Hipervnculo"/>
            <w:rFonts w:eastAsiaTheme="minorHAnsi" w:cs="Arial"/>
            <w:noProof/>
            <w:webHidden/>
            <w:color w:val="auto"/>
            <w:u w:val="none"/>
          </w:rPr>
          <w:instrText xml:space="preserve"> PAGEREF _Toc392585673 \h </w:instrText>
        </w:r>
        <w:r w:rsidR="00EB6BA6" w:rsidRPr="001E2F6E">
          <w:rPr>
            <w:rStyle w:val="Hipervnculo"/>
            <w:rFonts w:eastAsiaTheme="minorHAnsi" w:cs="Arial"/>
            <w:noProof/>
            <w:webHidden/>
            <w:color w:val="auto"/>
            <w:u w:val="none"/>
          </w:rPr>
        </w:r>
        <w:r w:rsidR="00EB6BA6" w:rsidRPr="001E2F6E">
          <w:rPr>
            <w:rStyle w:val="Hipervnculo"/>
            <w:rFonts w:eastAsiaTheme="minorHAnsi" w:cs="Arial"/>
            <w:noProof/>
            <w:webHidden/>
            <w:color w:val="auto"/>
            <w:u w:val="none"/>
          </w:rPr>
          <w:fldChar w:fldCharType="separate"/>
        </w:r>
        <w:r w:rsidR="00A327D4">
          <w:rPr>
            <w:rStyle w:val="Hipervnculo"/>
            <w:rFonts w:eastAsiaTheme="minorHAnsi" w:cs="Arial"/>
            <w:noProof/>
            <w:webHidden/>
            <w:color w:val="auto"/>
            <w:u w:val="none"/>
          </w:rPr>
          <w:t>50</w:t>
        </w:r>
        <w:r w:rsidR="00EB6BA6" w:rsidRPr="001E2F6E">
          <w:rPr>
            <w:rStyle w:val="Hipervnculo"/>
            <w:rFonts w:eastAsiaTheme="minorHAnsi" w:cs="Arial"/>
            <w:noProof/>
            <w:webHidden/>
            <w:color w:val="auto"/>
            <w:u w:val="none"/>
          </w:rPr>
          <w:fldChar w:fldCharType="end"/>
        </w:r>
      </w:hyperlink>
    </w:p>
    <w:p w:rsidR="000728A0" w:rsidRPr="001E2F6E" w:rsidRDefault="00FB14D4" w:rsidP="000728A0">
      <w:pPr>
        <w:pStyle w:val="TDC1"/>
        <w:tabs>
          <w:tab w:val="left" w:pos="426"/>
          <w:tab w:val="left" w:pos="851"/>
          <w:tab w:val="left" w:pos="1276"/>
          <w:tab w:val="right" w:leader="dot" w:pos="9072"/>
        </w:tabs>
        <w:spacing w:after="0" w:line="240" w:lineRule="auto"/>
        <w:rPr>
          <w:rStyle w:val="Hipervnculo"/>
          <w:rFonts w:eastAsiaTheme="minorHAnsi" w:cs="Arial"/>
          <w:noProof/>
          <w:color w:val="auto"/>
          <w:u w:val="none"/>
        </w:rPr>
      </w:pPr>
      <w:r w:rsidRPr="001E2F6E">
        <w:rPr>
          <w:rStyle w:val="Hipervnculo"/>
          <w:rFonts w:eastAsiaTheme="minorHAnsi" w:cs="Arial"/>
          <w:noProof/>
          <w:color w:val="auto"/>
          <w:sz w:val="18"/>
          <w:szCs w:val="18"/>
          <w:u w:val="none"/>
        </w:rPr>
        <w:tab/>
      </w:r>
      <w:r w:rsidRPr="001E2F6E">
        <w:rPr>
          <w:rStyle w:val="Hipervnculo"/>
          <w:rFonts w:eastAsiaTheme="minorHAnsi" w:cs="Arial"/>
          <w:noProof/>
          <w:color w:val="auto"/>
          <w:sz w:val="18"/>
          <w:szCs w:val="18"/>
          <w:u w:val="none"/>
        </w:rPr>
        <w:tab/>
      </w:r>
      <w:hyperlink w:anchor="_Toc392585674" w:history="1">
        <w:r w:rsidR="000728A0" w:rsidRPr="001E2F6E">
          <w:rPr>
            <w:rStyle w:val="Hipervnculo"/>
            <w:rFonts w:eastAsiaTheme="minorHAnsi" w:cs="Arial"/>
            <w:noProof/>
            <w:color w:val="auto"/>
            <w:sz w:val="18"/>
            <w:szCs w:val="18"/>
            <w:u w:val="none"/>
          </w:rPr>
          <w:t>1.3.2.- Produktibitate antzemangarriaren bilakaera 2010-2012 biurtekoan</w:t>
        </w:r>
        <w:r w:rsidR="000728A0" w:rsidRPr="001E2F6E">
          <w:rPr>
            <w:rStyle w:val="Hipervnculo"/>
            <w:rFonts w:eastAsiaTheme="minorHAnsi" w:cs="Arial"/>
            <w:noProof/>
            <w:webHidden/>
            <w:color w:val="auto"/>
            <w:u w:val="none"/>
          </w:rPr>
          <w:tab/>
        </w:r>
        <w:r w:rsidR="00EB6BA6" w:rsidRPr="001E2F6E">
          <w:rPr>
            <w:rStyle w:val="Hipervnculo"/>
            <w:rFonts w:eastAsiaTheme="minorHAnsi" w:cs="Arial"/>
            <w:noProof/>
            <w:webHidden/>
            <w:color w:val="auto"/>
            <w:u w:val="none"/>
          </w:rPr>
          <w:fldChar w:fldCharType="begin"/>
        </w:r>
        <w:r w:rsidR="000728A0" w:rsidRPr="001E2F6E">
          <w:rPr>
            <w:rStyle w:val="Hipervnculo"/>
            <w:rFonts w:eastAsiaTheme="minorHAnsi" w:cs="Arial"/>
            <w:noProof/>
            <w:webHidden/>
            <w:color w:val="auto"/>
            <w:u w:val="none"/>
          </w:rPr>
          <w:instrText xml:space="preserve"> PAGEREF _Toc392585674 \h </w:instrText>
        </w:r>
        <w:r w:rsidR="00EB6BA6" w:rsidRPr="001E2F6E">
          <w:rPr>
            <w:rStyle w:val="Hipervnculo"/>
            <w:rFonts w:eastAsiaTheme="minorHAnsi" w:cs="Arial"/>
            <w:noProof/>
            <w:webHidden/>
            <w:color w:val="auto"/>
            <w:u w:val="none"/>
          </w:rPr>
        </w:r>
        <w:r w:rsidR="00EB6BA6" w:rsidRPr="001E2F6E">
          <w:rPr>
            <w:rStyle w:val="Hipervnculo"/>
            <w:rFonts w:eastAsiaTheme="minorHAnsi" w:cs="Arial"/>
            <w:noProof/>
            <w:webHidden/>
            <w:color w:val="auto"/>
            <w:u w:val="none"/>
          </w:rPr>
          <w:fldChar w:fldCharType="separate"/>
        </w:r>
        <w:r w:rsidR="00A327D4">
          <w:rPr>
            <w:rStyle w:val="Hipervnculo"/>
            <w:rFonts w:eastAsiaTheme="minorHAnsi" w:cs="Arial"/>
            <w:noProof/>
            <w:webHidden/>
            <w:color w:val="auto"/>
            <w:u w:val="none"/>
          </w:rPr>
          <w:t>51</w:t>
        </w:r>
        <w:r w:rsidR="00EB6BA6" w:rsidRPr="001E2F6E">
          <w:rPr>
            <w:rStyle w:val="Hipervnculo"/>
            <w:rFonts w:eastAsiaTheme="minorHAnsi" w:cs="Arial"/>
            <w:noProof/>
            <w:webHidden/>
            <w:color w:val="auto"/>
            <w:u w:val="none"/>
          </w:rPr>
          <w:fldChar w:fldCharType="end"/>
        </w:r>
      </w:hyperlink>
    </w:p>
    <w:p w:rsidR="000728A0" w:rsidRPr="001E2F6E" w:rsidRDefault="00FB14D4" w:rsidP="000728A0">
      <w:pPr>
        <w:pStyle w:val="TDC1"/>
        <w:tabs>
          <w:tab w:val="left" w:pos="426"/>
          <w:tab w:val="left" w:pos="851"/>
          <w:tab w:val="left" w:pos="1276"/>
          <w:tab w:val="right" w:leader="dot" w:pos="9072"/>
        </w:tabs>
        <w:spacing w:after="0" w:line="240" w:lineRule="auto"/>
        <w:rPr>
          <w:rStyle w:val="Hipervnculo"/>
          <w:rFonts w:eastAsiaTheme="minorHAnsi" w:cs="Arial"/>
          <w:noProof/>
          <w:color w:val="auto"/>
          <w:u w:val="none"/>
        </w:rPr>
      </w:pPr>
      <w:r w:rsidRPr="001E2F6E">
        <w:rPr>
          <w:rStyle w:val="Hipervnculo"/>
          <w:rFonts w:eastAsiaTheme="minorHAnsi" w:cs="Arial"/>
          <w:noProof/>
          <w:color w:val="auto"/>
          <w:sz w:val="18"/>
          <w:szCs w:val="18"/>
          <w:u w:val="none"/>
        </w:rPr>
        <w:tab/>
      </w:r>
      <w:hyperlink w:anchor="_Toc392585675" w:history="1">
        <w:r w:rsidR="000728A0" w:rsidRPr="001E2F6E">
          <w:rPr>
            <w:rStyle w:val="Hipervnculo"/>
            <w:rFonts w:eastAsiaTheme="minorHAnsi" w:cs="Arial"/>
            <w:noProof/>
            <w:color w:val="auto"/>
            <w:sz w:val="18"/>
            <w:szCs w:val="18"/>
            <w:u w:val="none"/>
          </w:rPr>
          <w:t>1.4.-</w:t>
        </w:r>
        <w:r w:rsidR="000728A0" w:rsidRPr="001E2F6E">
          <w:rPr>
            <w:rStyle w:val="Hipervnculo"/>
            <w:rFonts w:eastAsiaTheme="minorHAnsi" w:cs="Arial"/>
            <w:noProof/>
            <w:color w:val="auto"/>
            <w:u w:val="none"/>
          </w:rPr>
          <w:tab/>
        </w:r>
        <w:r w:rsidR="000728A0" w:rsidRPr="001E2F6E">
          <w:rPr>
            <w:rStyle w:val="Hipervnculo"/>
            <w:rFonts w:eastAsiaTheme="minorHAnsi" w:cs="Arial"/>
            <w:noProof/>
            <w:color w:val="auto"/>
            <w:sz w:val="18"/>
            <w:szCs w:val="18"/>
            <w:u w:val="none"/>
          </w:rPr>
          <w:t>GIZARTE-EKONOMIAREN EMAITZEN KONTUAK</w:t>
        </w:r>
        <w:r w:rsidR="000728A0" w:rsidRPr="001E2F6E">
          <w:rPr>
            <w:rStyle w:val="Hipervnculo"/>
            <w:rFonts w:eastAsiaTheme="minorHAnsi" w:cs="Arial"/>
            <w:noProof/>
            <w:webHidden/>
            <w:color w:val="auto"/>
            <w:u w:val="none"/>
          </w:rPr>
          <w:tab/>
        </w:r>
        <w:r w:rsidR="00EB6BA6" w:rsidRPr="001E2F6E">
          <w:rPr>
            <w:rStyle w:val="Hipervnculo"/>
            <w:rFonts w:eastAsiaTheme="minorHAnsi" w:cs="Arial"/>
            <w:noProof/>
            <w:webHidden/>
            <w:color w:val="auto"/>
            <w:u w:val="none"/>
          </w:rPr>
          <w:fldChar w:fldCharType="begin"/>
        </w:r>
        <w:r w:rsidR="000728A0" w:rsidRPr="001E2F6E">
          <w:rPr>
            <w:rStyle w:val="Hipervnculo"/>
            <w:rFonts w:eastAsiaTheme="minorHAnsi" w:cs="Arial"/>
            <w:noProof/>
            <w:webHidden/>
            <w:color w:val="auto"/>
            <w:u w:val="none"/>
          </w:rPr>
          <w:instrText xml:space="preserve"> PAGEREF _Toc392585675 \h </w:instrText>
        </w:r>
        <w:r w:rsidR="00EB6BA6" w:rsidRPr="001E2F6E">
          <w:rPr>
            <w:rStyle w:val="Hipervnculo"/>
            <w:rFonts w:eastAsiaTheme="minorHAnsi" w:cs="Arial"/>
            <w:noProof/>
            <w:webHidden/>
            <w:color w:val="auto"/>
            <w:u w:val="none"/>
          </w:rPr>
        </w:r>
        <w:r w:rsidR="00EB6BA6" w:rsidRPr="001E2F6E">
          <w:rPr>
            <w:rStyle w:val="Hipervnculo"/>
            <w:rFonts w:eastAsiaTheme="minorHAnsi" w:cs="Arial"/>
            <w:noProof/>
            <w:webHidden/>
            <w:color w:val="auto"/>
            <w:u w:val="none"/>
          </w:rPr>
          <w:fldChar w:fldCharType="separate"/>
        </w:r>
        <w:r w:rsidR="00A327D4">
          <w:rPr>
            <w:rStyle w:val="Hipervnculo"/>
            <w:rFonts w:eastAsiaTheme="minorHAnsi" w:cs="Arial"/>
            <w:noProof/>
            <w:webHidden/>
            <w:color w:val="auto"/>
            <w:u w:val="none"/>
          </w:rPr>
          <w:t>51</w:t>
        </w:r>
        <w:r w:rsidR="00EB6BA6" w:rsidRPr="001E2F6E">
          <w:rPr>
            <w:rStyle w:val="Hipervnculo"/>
            <w:rFonts w:eastAsiaTheme="minorHAnsi" w:cs="Arial"/>
            <w:noProof/>
            <w:webHidden/>
            <w:color w:val="auto"/>
            <w:u w:val="none"/>
          </w:rPr>
          <w:fldChar w:fldCharType="end"/>
        </w:r>
      </w:hyperlink>
    </w:p>
    <w:p w:rsidR="00FB14D4" w:rsidRPr="001E2F6E" w:rsidRDefault="00FB14D4" w:rsidP="000728A0">
      <w:pPr>
        <w:pStyle w:val="TDC1"/>
        <w:tabs>
          <w:tab w:val="left" w:pos="426"/>
          <w:tab w:val="left" w:pos="851"/>
          <w:tab w:val="left" w:pos="1276"/>
          <w:tab w:val="right" w:leader="dot" w:pos="9072"/>
        </w:tabs>
        <w:spacing w:after="0" w:line="240" w:lineRule="auto"/>
        <w:rPr>
          <w:rStyle w:val="Hipervnculo"/>
          <w:rFonts w:eastAsiaTheme="minorHAnsi" w:cs="Arial"/>
          <w:noProof/>
          <w:color w:val="auto"/>
          <w:sz w:val="18"/>
          <w:szCs w:val="18"/>
          <w:u w:val="none"/>
        </w:rPr>
      </w:pPr>
    </w:p>
    <w:p w:rsidR="000728A0" w:rsidRPr="001E2F6E" w:rsidRDefault="00A327D4" w:rsidP="000728A0">
      <w:pPr>
        <w:pStyle w:val="TDC1"/>
        <w:tabs>
          <w:tab w:val="left" w:pos="426"/>
          <w:tab w:val="left" w:pos="851"/>
          <w:tab w:val="left" w:pos="1276"/>
          <w:tab w:val="right" w:leader="dot" w:pos="9072"/>
        </w:tabs>
        <w:spacing w:after="0" w:line="240" w:lineRule="auto"/>
        <w:rPr>
          <w:rStyle w:val="Hipervnculo"/>
          <w:rFonts w:eastAsiaTheme="minorHAnsi" w:cs="Arial"/>
          <w:noProof/>
          <w:color w:val="auto"/>
          <w:u w:val="none"/>
        </w:rPr>
      </w:pPr>
      <w:hyperlink w:anchor="_Toc392585676" w:history="1">
        <w:r w:rsidR="000728A0" w:rsidRPr="001E2F6E">
          <w:rPr>
            <w:rStyle w:val="Hipervnculo"/>
            <w:rFonts w:eastAsiaTheme="minorHAnsi" w:cs="Arial"/>
            <w:noProof/>
            <w:color w:val="auto"/>
            <w:sz w:val="18"/>
            <w:szCs w:val="18"/>
            <w:u w:val="none"/>
          </w:rPr>
          <w:t>2.-</w:t>
        </w:r>
        <w:r w:rsidR="000728A0" w:rsidRPr="001E2F6E">
          <w:rPr>
            <w:rStyle w:val="Hipervnculo"/>
            <w:rFonts w:eastAsiaTheme="minorHAnsi" w:cs="Arial"/>
            <w:noProof/>
            <w:color w:val="auto"/>
            <w:u w:val="none"/>
          </w:rPr>
          <w:tab/>
        </w:r>
        <w:r w:rsidR="000728A0" w:rsidRPr="001E2F6E">
          <w:rPr>
            <w:rStyle w:val="Hipervnculo"/>
            <w:rFonts w:eastAsiaTheme="minorHAnsi" w:cs="Arial"/>
            <w:noProof/>
            <w:color w:val="auto"/>
            <w:sz w:val="18"/>
            <w:szCs w:val="18"/>
            <w:u w:val="none"/>
          </w:rPr>
          <w:t>GIZARTE-EKONOMIAREN PROFIL JURIDIKOA</w:t>
        </w:r>
        <w:r w:rsidR="000728A0" w:rsidRPr="001E2F6E">
          <w:rPr>
            <w:rStyle w:val="Hipervnculo"/>
            <w:rFonts w:eastAsiaTheme="minorHAnsi" w:cs="Arial"/>
            <w:noProof/>
            <w:webHidden/>
            <w:color w:val="auto"/>
            <w:u w:val="none"/>
          </w:rPr>
          <w:tab/>
        </w:r>
        <w:r w:rsidR="00EB6BA6" w:rsidRPr="001E2F6E">
          <w:rPr>
            <w:rStyle w:val="Hipervnculo"/>
            <w:rFonts w:eastAsiaTheme="minorHAnsi" w:cs="Arial"/>
            <w:noProof/>
            <w:webHidden/>
            <w:color w:val="auto"/>
            <w:u w:val="none"/>
          </w:rPr>
          <w:fldChar w:fldCharType="begin"/>
        </w:r>
        <w:r w:rsidR="000728A0" w:rsidRPr="001E2F6E">
          <w:rPr>
            <w:rStyle w:val="Hipervnculo"/>
            <w:rFonts w:eastAsiaTheme="minorHAnsi" w:cs="Arial"/>
            <w:noProof/>
            <w:webHidden/>
            <w:color w:val="auto"/>
            <w:u w:val="none"/>
          </w:rPr>
          <w:instrText xml:space="preserve"> PAGEREF _Toc392585676 \h </w:instrText>
        </w:r>
        <w:r w:rsidR="00EB6BA6" w:rsidRPr="001E2F6E">
          <w:rPr>
            <w:rStyle w:val="Hipervnculo"/>
            <w:rFonts w:eastAsiaTheme="minorHAnsi" w:cs="Arial"/>
            <w:noProof/>
            <w:webHidden/>
            <w:color w:val="auto"/>
            <w:u w:val="none"/>
          </w:rPr>
        </w:r>
        <w:r w:rsidR="00EB6BA6" w:rsidRPr="001E2F6E">
          <w:rPr>
            <w:rStyle w:val="Hipervnculo"/>
            <w:rFonts w:eastAsiaTheme="minorHAnsi" w:cs="Arial"/>
            <w:noProof/>
            <w:webHidden/>
            <w:color w:val="auto"/>
            <w:u w:val="none"/>
          </w:rPr>
          <w:fldChar w:fldCharType="separate"/>
        </w:r>
        <w:r>
          <w:rPr>
            <w:rStyle w:val="Hipervnculo"/>
            <w:rFonts w:eastAsiaTheme="minorHAnsi" w:cs="Arial"/>
            <w:noProof/>
            <w:webHidden/>
            <w:color w:val="auto"/>
            <w:u w:val="none"/>
          </w:rPr>
          <w:t>53</w:t>
        </w:r>
        <w:r w:rsidR="00EB6BA6" w:rsidRPr="001E2F6E">
          <w:rPr>
            <w:rStyle w:val="Hipervnculo"/>
            <w:rFonts w:eastAsiaTheme="minorHAnsi" w:cs="Arial"/>
            <w:noProof/>
            <w:webHidden/>
            <w:color w:val="auto"/>
            <w:u w:val="none"/>
          </w:rPr>
          <w:fldChar w:fldCharType="end"/>
        </w:r>
      </w:hyperlink>
    </w:p>
    <w:p w:rsidR="000728A0" w:rsidRPr="001E2F6E" w:rsidRDefault="00FB14D4" w:rsidP="000728A0">
      <w:pPr>
        <w:pStyle w:val="TDC1"/>
        <w:tabs>
          <w:tab w:val="left" w:pos="426"/>
          <w:tab w:val="left" w:pos="851"/>
          <w:tab w:val="left" w:pos="1276"/>
          <w:tab w:val="right" w:leader="dot" w:pos="9072"/>
        </w:tabs>
        <w:spacing w:after="0" w:line="240" w:lineRule="auto"/>
        <w:rPr>
          <w:rStyle w:val="Hipervnculo"/>
          <w:rFonts w:eastAsiaTheme="minorHAnsi" w:cs="Arial"/>
          <w:noProof/>
          <w:color w:val="auto"/>
          <w:u w:val="none"/>
        </w:rPr>
      </w:pPr>
      <w:r w:rsidRPr="001E2F6E">
        <w:rPr>
          <w:rStyle w:val="Hipervnculo"/>
          <w:rFonts w:eastAsiaTheme="minorHAnsi" w:cs="Arial"/>
          <w:noProof/>
          <w:color w:val="auto"/>
          <w:sz w:val="18"/>
          <w:szCs w:val="18"/>
          <w:u w:val="none"/>
        </w:rPr>
        <w:tab/>
      </w:r>
      <w:hyperlink w:anchor="_Toc392585677" w:history="1">
        <w:r w:rsidR="000728A0" w:rsidRPr="001E2F6E">
          <w:rPr>
            <w:rStyle w:val="Hipervnculo"/>
            <w:rFonts w:eastAsiaTheme="minorHAnsi" w:cs="Arial"/>
            <w:noProof/>
            <w:color w:val="auto"/>
            <w:sz w:val="18"/>
            <w:szCs w:val="18"/>
            <w:u w:val="none"/>
          </w:rPr>
          <w:t>2.1.-</w:t>
        </w:r>
        <w:r w:rsidR="000728A0" w:rsidRPr="001E2F6E">
          <w:rPr>
            <w:rStyle w:val="Hipervnculo"/>
            <w:rFonts w:eastAsiaTheme="minorHAnsi" w:cs="Arial"/>
            <w:noProof/>
            <w:color w:val="auto"/>
            <w:u w:val="none"/>
          </w:rPr>
          <w:tab/>
        </w:r>
        <w:r w:rsidR="000728A0" w:rsidRPr="001E2F6E">
          <w:rPr>
            <w:rStyle w:val="Hipervnculo"/>
            <w:rFonts w:eastAsiaTheme="minorHAnsi" w:cs="Arial"/>
            <w:noProof/>
            <w:color w:val="auto"/>
            <w:sz w:val="18"/>
            <w:szCs w:val="18"/>
            <w:u w:val="none"/>
          </w:rPr>
          <w:t>ESTABLEZIMENDUAK ETA ENPLEGUAK</w:t>
        </w:r>
        <w:r w:rsidR="000728A0" w:rsidRPr="001E2F6E">
          <w:rPr>
            <w:rStyle w:val="Hipervnculo"/>
            <w:rFonts w:eastAsiaTheme="minorHAnsi" w:cs="Arial"/>
            <w:noProof/>
            <w:webHidden/>
            <w:color w:val="auto"/>
            <w:u w:val="none"/>
          </w:rPr>
          <w:tab/>
        </w:r>
        <w:r w:rsidR="00EB6BA6" w:rsidRPr="001E2F6E">
          <w:rPr>
            <w:rStyle w:val="Hipervnculo"/>
            <w:rFonts w:eastAsiaTheme="minorHAnsi" w:cs="Arial"/>
            <w:noProof/>
            <w:webHidden/>
            <w:color w:val="auto"/>
            <w:u w:val="none"/>
          </w:rPr>
          <w:fldChar w:fldCharType="begin"/>
        </w:r>
        <w:r w:rsidR="000728A0" w:rsidRPr="001E2F6E">
          <w:rPr>
            <w:rStyle w:val="Hipervnculo"/>
            <w:rFonts w:eastAsiaTheme="minorHAnsi" w:cs="Arial"/>
            <w:noProof/>
            <w:webHidden/>
            <w:color w:val="auto"/>
            <w:u w:val="none"/>
          </w:rPr>
          <w:instrText xml:space="preserve"> PAGEREF _Toc392585677 \h </w:instrText>
        </w:r>
        <w:r w:rsidR="00EB6BA6" w:rsidRPr="001E2F6E">
          <w:rPr>
            <w:rStyle w:val="Hipervnculo"/>
            <w:rFonts w:eastAsiaTheme="minorHAnsi" w:cs="Arial"/>
            <w:noProof/>
            <w:webHidden/>
            <w:color w:val="auto"/>
            <w:u w:val="none"/>
          </w:rPr>
        </w:r>
        <w:r w:rsidR="00EB6BA6" w:rsidRPr="001E2F6E">
          <w:rPr>
            <w:rStyle w:val="Hipervnculo"/>
            <w:rFonts w:eastAsiaTheme="minorHAnsi" w:cs="Arial"/>
            <w:noProof/>
            <w:webHidden/>
            <w:color w:val="auto"/>
            <w:u w:val="none"/>
          </w:rPr>
          <w:fldChar w:fldCharType="separate"/>
        </w:r>
        <w:r w:rsidR="00A327D4">
          <w:rPr>
            <w:rStyle w:val="Hipervnculo"/>
            <w:rFonts w:eastAsiaTheme="minorHAnsi" w:cs="Arial"/>
            <w:noProof/>
            <w:webHidden/>
            <w:color w:val="auto"/>
            <w:u w:val="none"/>
          </w:rPr>
          <w:t>53</w:t>
        </w:r>
        <w:r w:rsidR="00EB6BA6" w:rsidRPr="001E2F6E">
          <w:rPr>
            <w:rStyle w:val="Hipervnculo"/>
            <w:rFonts w:eastAsiaTheme="minorHAnsi" w:cs="Arial"/>
            <w:noProof/>
            <w:webHidden/>
            <w:color w:val="auto"/>
            <w:u w:val="none"/>
          </w:rPr>
          <w:fldChar w:fldCharType="end"/>
        </w:r>
      </w:hyperlink>
    </w:p>
    <w:p w:rsidR="000728A0" w:rsidRPr="001E2F6E" w:rsidRDefault="00FB14D4" w:rsidP="000728A0">
      <w:pPr>
        <w:pStyle w:val="TDC1"/>
        <w:tabs>
          <w:tab w:val="left" w:pos="426"/>
          <w:tab w:val="left" w:pos="851"/>
          <w:tab w:val="left" w:pos="1276"/>
          <w:tab w:val="right" w:leader="dot" w:pos="9072"/>
        </w:tabs>
        <w:spacing w:after="0" w:line="240" w:lineRule="auto"/>
        <w:rPr>
          <w:rStyle w:val="Hipervnculo"/>
          <w:rFonts w:eastAsiaTheme="minorHAnsi" w:cs="Arial"/>
          <w:noProof/>
          <w:color w:val="auto"/>
          <w:u w:val="none"/>
        </w:rPr>
      </w:pPr>
      <w:r w:rsidRPr="001E2F6E">
        <w:rPr>
          <w:rStyle w:val="Hipervnculo"/>
          <w:rFonts w:eastAsiaTheme="minorHAnsi" w:cs="Arial"/>
          <w:noProof/>
          <w:color w:val="auto"/>
          <w:sz w:val="18"/>
          <w:szCs w:val="18"/>
          <w:u w:val="none"/>
        </w:rPr>
        <w:tab/>
      </w:r>
      <w:hyperlink w:anchor="_Toc392585678" w:history="1">
        <w:r w:rsidR="000728A0" w:rsidRPr="001E2F6E">
          <w:rPr>
            <w:rStyle w:val="Hipervnculo"/>
            <w:rFonts w:eastAsiaTheme="minorHAnsi" w:cs="Arial"/>
            <w:noProof/>
            <w:color w:val="auto"/>
            <w:sz w:val="18"/>
            <w:szCs w:val="18"/>
            <w:u w:val="none"/>
          </w:rPr>
          <w:t>2.2.-</w:t>
        </w:r>
        <w:r w:rsidR="000728A0" w:rsidRPr="001E2F6E">
          <w:rPr>
            <w:rStyle w:val="Hipervnculo"/>
            <w:rFonts w:eastAsiaTheme="minorHAnsi" w:cs="Arial"/>
            <w:noProof/>
            <w:color w:val="auto"/>
            <w:u w:val="none"/>
          </w:rPr>
          <w:tab/>
        </w:r>
        <w:r w:rsidR="000728A0" w:rsidRPr="001E2F6E">
          <w:rPr>
            <w:rStyle w:val="Hipervnculo"/>
            <w:rFonts w:eastAsiaTheme="minorHAnsi" w:cs="Arial"/>
            <w:noProof/>
            <w:color w:val="auto"/>
            <w:sz w:val="18"/>
            <w:szCs w:val="18"/>
            <w:u w:val="none"/>
          </w:rPr>
          <w:t>BEGd-a ETA PRODUKTIBITATE ANTZEMANGARRIA</w:t>
        </w:r>
        <w:r w:rsidR="000728A0" w:rsidRPr="001E2F6E">
          <w:rPr>
            <w:rStyle w:val="Hipervnculo"/>
            <w:rFonts w:eastAsiaTheme="minorHAnsi" w:cs="Arial"/>
            <w:noProof/>
            <w:webHidden/>
            <w:color w:val="auto"/>
            <w:u w:val="none"/>
          </w:rPr>
          <w:tab/>
        </w:r>
        <w:r w:rsidR="00EB6BA6" w:rsidRPr="001E2F6E">
          <w:rPr>
            <w:rStyle w:val="Hipervnculo"/>
            <w:rFonts w:eastAsiaTheme="minorHAnsi" w:cs="Arial"/>
            <w:noProof/>
            <w:webHidden/>
            <w:color w:val="auto"/>
            <w:u w:val="none"/>
          </w:rPr>
          <w:fldChar w:fldCharType="begin"/>
        </w:r>
        <w:r w:rsidR="000728A0" w:rsidRPr="001E2F6E">
          <w:rPr>
            <w:rStyle w:val="Hipervnculo"/>
            <w:rFonts w:eastAsiaTheme="minorHAnsi" w:cs="Arial"/>
            <w:noProof/>
            <w:webHidden/>
            <w:color w:val="auto"/>
            <w:u w:val="none"/>
          </w:rPr>
          <w:instrText xml:space="preserve"> PAGEREF _Toc392585678 \h </w:instrText>
        </w:r>
        <w:r w:rsidR="00EB6BA6" w:rsidRPr="001E2F6E">
          <w:rPr>
            <w:rStyle w:val="Hipervnculo"/>
            <w:rFonts w:eastAsiaTheme="minorHAnsi" w:cs="Arial"/>
            <w:noProof/>
            <w:webHidden/>
            <w:color w:val="auto"/>
            <w:u w:val="none"/>
          </w:rPr>
        </w:r>
        <w:r w:rsidR="00EB6BA6" w:rsidRPr="001E2F6E">
          <w:rPr>
            <w:rStyle w:val="Hipervnculo"/>
            <w:rFonts w:eastAsiaTheme="minorHAnsi" w:cs="Arial"/>
            <w:noProof/>
            <w:webHidden/>
            <w:color w:val="auto"/>
            <w:u w:val="none"/>
          </w:rPr>
          <w:fldChar w:fldCharType="separate"/>
        </w:r>
        <w:r w:rsidR="00A327D4">
          <w:rPr>
            <w:rStyle w:val="Hipervnculo"/>
            <w:rFonts w:eastAsiaTheme="minorHAnsi" w:cs="Arial"/>
            <w:noProof/>
            <w:webHidden/>
            <w:color w:val="auto"/>
            <w:u w:val="none"/>
          </w:rPr>
          <w:t>54</w:t>
        </w:r>
        <w:r w:rsidR="00EB6BA6" w:rsidRPr="001E2F6E">
          <w:rPr>
            <w:rStyle w:val="Hipervnculo"/>
            <w:rFonts w:eastAsiaTheme="minorHAnsi" w:cs="Arial"/>
            <w:noProof/>
            <w:webHidden/>
            <w:color w:val="auto"/>
            <w:u w:val="none"/>
          </w:rPr>
          <w:fldChar w:fldCharType="end"/>
        </w:r>
      </w:hyperlink>
    </w:p>
    <w:p w:rsidR="00FB14D4" w:rsidRPr="001E2F6E" w:rsidRDefault="00FB14D4" w:rsidP="000728A0">
      <w:pPr>
        <w:pStyle w:val="TDC1"/>
        <w:tabs>
          <w:tab w:val="left" w:pos="426"/>
          <w:tab w:val="left" w:pos="851"/>
          <w:tab w:val="left" w:pos="1276"/>
          <w:tab w:val="right" w:leader="dot" w:pos="9072"/>
        </w:tabs>
        <w:spacing w:after="0" w:line="240" w:lineRule="auto"/>
        <w:rPr>
          <w:rStyle w:val="Hipervnculo"/>
          <w:rFonts w:eastAsiaTheme="minorHAnsi" w:cs="Arial"/>
          <w:noProof/>
          <w:color w:val="auto"/>
          <w:sz w:val="18"/>
          <w:szCs w:val="18"/>
          <w:u w:val="none"/>
        </w:rPr>
      </w:pPr>
    </w:p>
    <w:p w:rsidR="000728A0" w:rsidRPr="001E2F6E" w:rsidRDefault="00A327D4" w:rsidP="000728A0">
      <w:pPr>
        <w:pStyle w:val="TDC1"/>
        <w:tabs>
          <w:tab w:val="left" w:pos="426"/>
          <w:tab w:val="left" w:pos="851"/>
          <w:tab w:val="left" w:pos="1276"/>
          <w:tab w:val="right" w:leader="dot" w:pos="9072"/>
        </w:tabs>
        <w:spacing w:after="0" w:line="240" w:lineRule="auto"/>
        <w:rPr>
          <w:rStyle w:val="Hipervnculo"/>
          <w:rFonts w:eastAsiaTheme="minorHAnsi" w:cs="Arial"/>
          <w:noProof/>
          <w:color w:val="auto"/>
          <w:u w:val="none"/>
        </w:rPr>
      </w:pPr>
      <w:hyperlink w:anchor="_Toc392585679" w:history="1">
        <w:r w:rsidR="000728A0" w:rsidRPr="001E2F6E">
          <w:rPr>
            <w:rStyle w:val="Hipervnculo"/>
            <w:rFonts w:eastAsiaTheme="minorHAnsi" w:cs="Arial"/>
            <w:noProof/>
            <w:color w:val="auto"/>
            <w:sz w:val="18"/>
            <w:szCs w:val="18"/>
            <w:u w:val="none"/>
          </w:rPr>
          <w:t>3.-</w:t>
        </w:r>
        <w:r w:rsidR="000728A0" w:rsidRPr="001E2F6E">
          <w:rPr>
            <w:rStyle w:val="Hipervnculo"/>
            <w:rFonts w:eastAsiaTheme="minorHAnsi" w:cs="Arial"/>
            <w:noProof/>
            <w:color w:val="auto"/>
            <w:u w:val="none"/>
          </w:rPr>
          <w:tab/>
        </w:r>
        <w:r w:rsidR="000728A0" w:rsidRPr="001E2F6E">
          <w:rPr>
            <w:rStyle w:val="Hipervnculo"/>
            <w:rFonts w:eastAsiaTheme="minorHAnsi" w:cs="Arial"/>
            <w:noProof/>
            <w:color w:val="auto"/>
            <w:sz w:val="18"/>
            <w:szCs w:val="18"/>
            <w:u w:val="none"/>
          </w:rPr>
          <w:t>GIZARTE-EKONOMIAREN LURRALDE-PROFILA</w:t>
        </w:r>
        <w:r w:rsidR="000728A0" w:rsidRPr="001E2F6E">
          <w:rPr>
            <w:rStyle w:val="Hipervnculo"/>
            <w:rFonts w:eastAsiaTheme="minorHAnsi" w:cs="Arial"/>
            <w:noProof/>
            <w:webHidden/>
            <w:color w:val="auto"/>
            <w:u w:val="none"/>
          </w:rPr>
          <w:tab/>
        </w:r>
        <w:r w:rsidR="00EB6BA6" w:rsidRPr="001E2F6E">
          <w:rPr>
            <w:rStyle w:val="Hipervnculo"/>
            <w:rFonts w:eastAsiaTheme="minorHAnsi" w:cs="Arial"/>
            <w:noProof/>
            <w:webHidden/>
            <w:color w:val="auto"/>
            <w:u w:val="none"/>
          </w:rPr>
          <w:fldChar w:fldCharType="begin"/>
        </w:r>
        <w:r w:rsidR="000728A0" w:rsidRPr="001E2F6E">
          <w:rPr>
            <w:rStyle w:val="Hipervnculo"/>
            <w:rFonts w:eastAsiaTheme="minorHAnsi" w:cs="Arial"/>
            <w:noProof/>
            <w:webHidden/>
            <w:color w:val="auto"/>
            <w:u w:val="none"/>
          </w:rPr>
          <w:instrText xml:space="preserve"> PAGEREF _Toc392585679 \h </w:instrText>
        </w:r>
        <w:r w:rsidR="00EB6BA6" w:rsidRPr="001E2F6E">
          <w:rPr>
            <w:rStyle w:val="Hipervnculo"/>
            <w:rFonts w:eastAsiaTheme="minorHAnsi" w:cs="Arial"/>
            <w:noProof/>
            <w:webHidden/>
            <w:color w:val="auto"/>
            <w:u w:val="none"/>
          </w:rPr>
        </w:r>
        <w:r w:rsidR="00EB6BA6" w:rsidRPr="001E2F6E">
          <w:rPr>
            <w:rStyle w:val="Hipervnculo"/>
            <w:rFonts w:eastAsiaTheme="minorHAnsi" w:cs="Arial"/>
            <w:noProof/>
            <w:webHidden/>
            <w:color w:val="auto"/>
            <w:u w:val="none"/>
          </w:rPr>
          <w:fldChar w:fldCharType="separate"/>
        </w:r>
        <w:r>
          <w:rPr>
            <w:rStyle w:val="Hipervnculo"/>
            <w:rFonts w:eastAsiaTheme="minorHAnsi" w:cs="Arial"/>
            <w:noProof/>
            <w:webHidden/>
            <w:color w:val="auto"/>
            <w:u w:val="none"/>
          </w:rPr>
          <w:t>56</w:t>
        </w:r>
        <w:r w:rsidR="00EB6BA6" w:rsidRPr="001E2F6E">
          <w:rPr>
            <w:rStyle w:val="Hipervnculo"/>
            <w:rFonts w:eastAsiaTheme="minorHAnsi" w:cs="Arial"/>
            <w:noProof/>
            <w:webHidden/>
            <w:color w:val="auto"/>
            <w:u w:val="none"/>
          </w:rPr>
          <w:fldChar w:fldCharType="end"/>
        </w:r>
      </w:hyperlink>
    </w:p>
    <w:p w:rsidR="000728A0" w:rsidRPr="001E2F6E" w:rsidRDefault="00FB14D4" w:rsidP="000728A0">
      <w:pPr>
        <w:pStyle w:val="TDC1"/>
        <w:tabs>
          <w:tab w:val="left" w:pos="426"/>
          <w:tab w:val="left" w:pos="851"/>
          <w:tab w:val="left" w:pos="1276"/>
          <w:tab w:val="right" w:leader="dot" w:pos="9072"/>
        </w:tabs>
        <w:spacing w:after="0" w:line="240" w:lineRule="auto"/>
        <w:rPr>
          <w:rStyle w:val="Hipervnculo"/>
          <w:rFonts w:eastAsiaTheme="minorHAnsi" w:cs="Arial"/>
          <w:noProof/>
          <w:color w:val="auto"/>
          <w:u w:val="none"/>
        </w:rPr>
      </w:pPr>
      <w:r w:rsidRPr="001E2F6E">
        <w:rPr>
          <w:rStyle w:val="Hipervnculo"/>
          <w:rFonts w:eastAsiaTheme="minorHAnsi" w:cs="Arial"/>
          <w:noProof/>
          <w:color w:val="auto"/>
          <w:sz w:val="18"/>
          <w:szCs w:val="18"/>
          <w:u w:val="none"/>
        </w:rPr>
        <w:tab/>
      </w:r>
      <w:hyperlink w:anchor="_Toc392585680" w:history="1">
        <w:r w:rsidR="000728A0" w:rsidRPr="001E2F6E">
          <w:rPr>
            <w:rStyle w:val="Hipervnculo"/>
            <w:rFonts w:eastAsiaTheme="minorHAnsi" w:cs="Arial"/>
            <w:noProof/>
            <w:color w:val="auto"/>
            <w:sz w:val="18"/>
            <w:szCs w:val="18"/>
            <w:u w:val="none"/>
          </w:rPr>
          <w:t>3.1.-</w:t>
        </w:r>
        <w:r w:rsidR="000728A0" w:rsidRPr="001E2F6E">
          <w:rPr>
            <w:rStyle w:val="Hipervnculo"/>
            <w:rFonts w:eastAsiaTheme="minorHAnsi" w:cs="Arial"/>
            <w:noProof/>
            <w:color w:val="auto"/>
            <w:u w:val="none"/>
          </w:rPr>
          <w:tab/>
        </w:r>
        <w:r w:rsidR="000728A0" w:rsidRPr="001E2F6E">
          <w:rPr>
            <w:rStyle w:val="Hipervnculo"/>
            <w:rFonts w:eastAsiaTheme="minorHAnsi" w:cs="Arial"/>
            <w:noProof/>
            <w:color w:val="auto"/>
            <w:sz w:val="18"/>
            <w:szCs w:val="18"/>
            <w:u w:val="none"/>
          </w:rPr>
          <w:t>ENPLEGUAREN ETA ESTABLEZIMENDUEN LURRALDE-PROFILA</w:t>
        </w:r>
        <w:r w:rsidR="000728A0" w:rsidRPr="001E2F6E">
          <w:rPr>
            <w:rStyle w:val="Hipervnculo"/>
            <w:rFonts w:eastAsiaTheme="minorHAnsi" w:cs="Arial"/>
            <w:noProof/>
            <w:webHidden/>
            <w:color w:val="auto"/>
            <w:u w:val="none"/>
          </w:rPr>
          <w:tab/>
        </w:r>
        <w:r w:rsidR="00EB6BA6" w:rsidRPr="001E2F6E">
          <w:rPr>
            <w:rStyle w:val="Hipervnculo"/>
            <w:rFonts w:eastAsiaTheme="minorHAnsi" w:cs="Arial"/>
            <w:noProof/>
            <w:webHidden/>
            <w:color w:val="auto"/>
            <w:u w:val="none"/>
          </w:rPr>
          <w:fldChar w:fldCharType="begin"/>
        </w:r>
        <w:r w:rsidR="000728A0" w:rsidRPr="001E2F6E">
          <w:rPr>
            <w:rStyle w:val="Hipervnculo"/>
            <w:rFonts w:eastAsiaTheme="minorHAnsi" w:cs="Arial"/>
            <w:noProof/>
            <w:webHidden/>
            <w:color w:val="auto"/>
            <w:u w:val="none"/>
          </w:rPr>
          <w:instrText xml:space="preserve"> PAGEREF _Toc392585680 \h </w:instrText>
        </w:r>
        <w:r w:rsidR="00EB6BA6" w:rsidRPr="001E2F6E">
          <w:rPr>
            <w:rStyle w:val="Hipervnculo"/>
            <w:rFonts w:eastAsiaTheme="minorHAnsi" w:cs="Arial"/>
            <w:noProof/>
            <w:webHidden/>
            <w:color w:val="auto"/>
            <w:u w:val="none"/>
          </w:rPr>
        </w:r>
        <w:r w:rsidR="00EB6BA6" w:rsidRPr="001E2F6E">
          <w:rPr>
            <w:rStyle w:val="Hipervnculo"/>
            <w:rFonts w:eastAsiaTheme="minorHAnsi" w:cs="Arial"/>
            <w:noProof/>
            <w:webHidden/>
            <w:color w:val="auto"/>
            <w:u w:val="none"/>
          </w:rPr>
          <w:fldChar w:fldCharType="separate"/>
        </w:r>
        <w:r w:rsidR="00A327D4">
          <w:rPr>
            <w:rStyle w:val="Hipervnculo"/>
            <w:rFonts w:eastAsiaTheme="minorHAnsi" w:cs="Arial"/>
            <w:noProof/>
            <w:webHidden/>
            <w:color w:val="auto"/>
            <w:u w:val="none"/>
          </w:rPr>
          <w:t>56</w:t>
        </w:r>
        <w:r w:rsidR="00EB6BA6" w:rsidRPr="001E2F6E">
          <w:rPr>
            <w:rStyle w:val="Hipervnculo"/>
            <w:rFonts w:eastAsiaTheme="minorHAnsi" w:cs="Arial"/>
            <w:noProof/>
            <w:webHidden/>
            <w:color w:val="auto"/>
            <w:u w:val="none"/>
          </w:rPr>
          <w:fldChar w:fldCharType="end"/>
        </w:r>
      </w:hyperlink>
    </w:p>
    <w:p w:rsidR="000728A0" w:rsidRPr="001E2F6E" w:rsidRDefault="00FB14D4" w:rsidP="000728A0">
      <w:pPr>
        <w:pStyle w:val="TDC1"/>
        <w:tabs>
          <w:tab w:val="left" w:pos="426"/>
          <w:tab w:val="left" w:pos="851"/>
          <w:tab w:val="left" w:pos="1276"/>
          <w:tab w:val="right" w:leader="dot" w:pos="9072"/>
        </w:tabs>
        <w:spacing w:after="0" w:line="240" w:lineRule="auto"/>
        <w:rPr>
          <w:rStyle w:val="Hipervnculo"/>
          <w:rFonts w:eastAsiaTheme="minorHAnsi" w:cs="Arial"/>
          <w:noProof/>
          <w:color w:val="auto"/>
          <w:u w:val="none"/>
        </w:rPr>
      </w:pPr>
      <w:r w:rsidRPr="001E2F6E">
        <w:rPr>
          <w:rStyle w:val="Hipervnculo"/>
          <w:rFonts w:eastAsiaTheme="minorHAnsi" w:cs="Arial"/>
          <w:noProof/>
          <w:color w:val="auto"/>
          <w:sz w:val="18"/>
          <w:szCs w:val="18"/>
          <w:u w:val="none"/>
        </w:rPr>
        <w:tab/>
      </w:r>
      <w:hyperlink w:anchor="_Toc392585681" w:history="1">
        <w:r w:rsidR="000728A0" w:rsidRPr="001E2F6E">
          <w:rPr>
            <w:rStyle w:val="Hipervnculo"/>
            <w:rFonts w:eastAsiaTheme="minorHAnsi" w:cs="Arial"/>
            <w:noProof/>
            <w:color w:val="auto"/>
            <w:sz w:val="18"/>
            <w:szCs w:val="18"/>
            <w:u w:val="none"/>
          </w:rPr>
          <w:t>3.2.-</w:t>
        </w:r>
        <w:r w:rsidR="000728A0" w:rsidRPr="001E2F6E">
          <w:rPr>
            <w:rStyle w:val="Hipervnculo"/>
            <w:rFonts w:eastAsiaTheme="minorHAnsi" w:cs="Arial"/>
            <w:noProof/>
            <w:color w:val="auto"/>
            <w:u w:val="none"/>
          </w:rPr>
          <w:tab/>
        </w:r>
        <w:r w:rsidR="000728A0" w:rsidRPr="001E2F6E">
          <w:rPr>
            <w:rStyle w:val="Hipervnculo"/>
            <w:rFonts w:eastAsiaTheme="minorHAnsi" w:cs="Arial"/>
            <w:noProof/>
            <w:color w:val="auto"/>
            <w:sz w:val="18"/>
            <w:szCs w:val="18"/>
            <w:u w:val="none"/>
          </w:rPr>
          <w:t>BEGd BALIOAREN ETA PRODUKTIBITATE ANTZEMANGARRIAREN LURRALDE-PROFILA</w:t>
        </w:r>
        <w:r w:rsidR="000728A0" w:rsidRPr="001E2F6E">
          <w:rPr>
            <w:rStyle w:val="Hipervnculo"/>
            <w:rFonts w:eastAsiaTheme="minorHAnsi" w:cs="Arial"/>
            <w:noProof/>
            <w:webHidden/>
            <w:color w:val="auto"/>
            <w:u w:val="none"/>
          </w:rPr>
          <w:tab/>
        </w:r>
        <w:r w:rsidR="00EB6BA6" w:rsidRPr="001E2F6E">
          <w:rPr>
            <w:rStyle w:val="Hipervnculo"/>
            <w:rFonts w:eastAsiaTheme="minorHAnsi" w:cs="Arial"/>
            <w:noProof/>
            <w:webHidden/>
            <w:color w:val="auto"/>
            <w:u w:val="none"/>
          </w:rPr>
          <w:fldChar w:fldCharType="begin"/>
        </w:r>
        <w:r w:rsidR="000728A0" w:rsidRPr="001E2F6E">
          <w:rPr>
            <w:rStyle w:val="Hipervnculo"/>
            <w:rFonts w:eastAsiaTheme="minorHAnsi" w:cs="Arial"/>
            <w:noProof/>
            <w:webHidden/>
            <w:color w:val="auto"/>
            <w:u w:val="none"/>
          </w:rPr>
          <w:instrText xml:space="preserve"> PAGEREF _Toc392585681 \h </w:instrText>
        </w:r>
        <w:r w:rsidR="00EB6BA6" w:rsidRPr="001E2F6E">
          <w:rPr>
            <w:rStyle w:val="Hipervnculo"/>
            <w:rFonts w:eastAsiaTheme="minorHAnsi" w:cs="Arial"/>
            <w:noProof/>
            <w:webHidden/>
            <w:color w:val="auto"/>
            <w:u w:val="none"/>
          </w:rPr>
        </w:r>
        <w:r w:rsidR="00EB6BA6" w:rsidRPr="001E2F6E">
          <w:rPr>
            <w:rStyle w:val="Hipervnculo"/>
            <w:rFonts w:eastAsiaTheme="minorHAnsi" w:cs="Arial"/>
            <w:noProof/>
            <w:webHidden/>
            <w:color w:val="auto"/>
            <w:u w:val="none"/>
          </w:rPr>
          <w:fldChar w:fldCharType="separate"/>
        </w:r>
        <w:r w:rsidR="00A327D4">
          <w:rPr>
            <w:rStyle w:val="Hipervnculo"/>
            <w:rFonts w:eastAsiaTheme="minorHAnsi" w:cs="Arial"/>
            <w:noProof/>
            <w:webHidden/>
            <w:color w:val="auto"/>
            <w:u w:val="none"/>
          </w:rPr>
          <w:t>59</w:t>
        </w:r>
        <w:r w:rsidR="00EB6BA6" w:rsidRPr="001E2F6E">
          <w:rPr>
            <w:rStyle w:val="Hipervnculo"/>
            <w:rFonts w:eastAsiaTheme="minorHAnsi" w:cs="Arial"/>
            <w:noProof/>
            <w:webHidden/>
            <w:color w:val="auto"/>
            <w:u w:val="none"/>
          </w:rPr>
          <w:fldChar w:fldCharType="end"/>
        </w:r>
      </w:hyperlink>
    </w:p>
    <w:p w:rsidR="00FB14D4" w:rsidRPr="001E2F6E" w:rsidRDefault="00FB14D4" w:rsidP="000728A0">
      <w:pPr>
        <w:pStyle w:val="TDC1"/>
        <w:tabs>
          <w:tab w:val="left" w:pos="426"/>
          <w:tab w:val="left" w:pos="851"/>
          <w:tab w:val="left" w:pos="1276"/>
          <w:tab w:val="right" w:leader="dot" w:pos="9072"/>
        </w:tabs>
        <w:spacing w:after="0" w:line="240" w:lineRule="auto"/>
        <w:rPr>
          <w:rStyle w:val="Hipervnculo"/>
          <w:rFonts w:eastAsiaTheme="minorHAnsi" w:cs="Arial"/>
          <w:noProof/>
          <w:color w:val="auto"/>
          <w:sz w:val="18"/>
          <w:szCs w:val="18"/>
          <w:u w:val="none"/>
        </w:rPr>
      </w:pPr>
    </w:p>
    <w:p w:rsidR="000728A0" w:rsidRPr="001E2F6E" w:rsidRDefault="00A327D4" w:rsidP="000728A0">
      <w:pPr>
        <w:pStyle w:val="TDC1"/>
        <w:tabs>
          <w:tab w:val="left" w:pos="426"/>
          <w:tab w:val="left" w:pos="851"/>
          <w:tab w:val="left" w:pos="1276"/>
          <w:tab w:val="right" w:leader="dot" w:pos="9072"/>
        </w:tabs>
        <w:spacing w:after="0" w:line="240" w:lineRule="auto"/>
        <w:rPr>
          <w:rStyle w:val="Hipervnculo"/>
          <w:rFonts w:eastAsiaTheme="minorHAnsi" w:cs="Arial"/>
          <w:noProof/>
          <w:color w:val="auto"/>
          <w:u w:val="none"/>
        </w:rPr>
      </w:pPr>
      <w:hyperlink w:anchor="_Toc392585682" w:history="1">
        <w:r w:rsidR="000728A0" w:rsidRPr="001E2F6E">
          <w:rPr>
            <w:rStyle w:val="Hipervnculo"/>
            <w:rFonts w:eastAsiaTheme="minorHAnsi" w:cs="Arial"/>
            <w:noProof/>
            <w:color w:val="auto"/>
            <w:sz w:val="18"/>
            <w:szCs w:val="18"/>
            <w:u w:val="none"/>
          </w:rPr>
          <w:t>4.-</w:t>
        </w:r>
        <w:r w:rsidR="000728A0" w:rsidRPr="001E2F6E">
          <w:rPr>
            <w:rStyle w:val="Hipervnculo"/>
            <w:rFonts w:eastAsiaTheme="minorHAnsi" w:cs="Arial"/>
            <w:noProof/>
            <w:color w:val="auto"/>
            <w:u w:val="none"/>
          </w:rPr>
          <w:tab/>
        </w:r>
        <w:r w:rsidR="000728A0" w:rsidRPr="001E2F6E">
          <w:rPr>
            <w:rStyle w:val="Hipervnculo"/>
            <w:rFonts w:eastAsiaTheme="minorHAnsi" w:cs="Arial"/>
            <w:noProof/>
            <w:color w:val="auto"/>
            <w:sz w:val="18"/>
            <w:szCs w:val="18"/>
            <w:u w:val="none"/>
          </w:rPr>
          <w:t>GIZARTE-EKONOMIAREN ESPORTAZIOAK</w:t>
        </w:r>
        <w:r w:rsidR="000728A0" w:rsidRPr="001E2F6E">
          <w:rPr>
            <w:rStyle w:val="Hipervnculo"/>
            <w:rFonts w:eastAsiaTheme="minorHAnsi" w:cs="Arial"/>
            <w:noProof/>
            <w:webHidden/>
            <w:color w:val="auto"/>
            <w:u w:val="none"/>
          </w:rPr>
          <w:tab/>
        </w:r>
        <w:r w:rsidR="00EB6BA6" w:rsidRPr="001E2F6E">
          <w:rPr>
            <w:rStyle w:val="Hipervnculo"/>
            <w:rFonts w:eastAsiaTheme="minorHAnsi" w:cs="Arial"/>
            <w:noProof/>
            <w:webHidden/>
            <w:color w:val="auto"/>
            <w:u w:val="none"/>
          </w:rPr>
          <w:fldChar w:fldCharType="begin"/>
        </w:r>
        <w:r w:rsidR="000728A0" w:rsidRPr="001E2F6E">
          <w:rPr>
            <w:rStyle w:val="Hipervnculo"/>
            <w:rFonts w:eastAsiaTheme="minorHAnsi" w:cs="Arial"/>
            <w:noProof/>
            <w:webHidden/>
            <w:color w:val="auto"/>
            <w:u w:val="none"/>
          </w:rPr>
          <w:instrText xml:space="preserve"> PAGEREF _Toc392585682 \h </w:instrText>
        </w:r>
        <w:r w:rsidR="00EB6BA6" w:rsidRPr="001E2F6E">
          <w:rPr>
            <w:rStyle w:val="Hipervnculo"/>
            <w:rFonts w:eastAsiaTheme="minorHAnsi" w:cs="Arial"/>
            <w:noProof/>
            <w:webHidden/>
            <w:color w:val="auto"/>
            <w:u w:val="none"/>
          </w:rPr>
        </w:r>
        <w:r w:rsidR="00EB6BA6" w:rsidRPr="001E2F6E">
          <w:rPr>
            <w:rStyle w:val="Hipervnculo"/>
            <w:rFonts w:eastAsiaTheme="minorHAnsi" w:cs="Arial"/>
            <w:noProof/>
            <w:webHidden/>
            <w:color w:val="auto"/>
            <w:u w:val="none"/>
          </w:rPr>
          <w:fldChar w:fldCharType="separate"/>
        </w:r>
        <w:r>
          <w:rPr>
            <w:rStyle w:val="Hipervnculo"/>
            <w:rFonts w:eastAsiaTheme="minorHAnsi" w:cs="Arial"/>
            <w:noProof/>
            <w:webHidden/>
            <w:color w:val="auto"/>
            <w:u w:val="none"/>
          </w:rPr>
          <w:t>61</w:t>
        </w:r>
        <w:r w:rsidR="00EB6BA6" w:rsidRPr="001E2F6E">
          <w:rPr>
            <w:rStyle w:val="Hipervnculo"/>
            <w:rFonts w:eastAsiaTheme="minorHAnsi" w:cs="Arial"/>
            <w:noProof/>
            <w:webHidden/>
            <w:color w:val="auto"/>
            <w:u w:val="none"/>
          </w:rPr>
          <w:fldChar w:fldCharType="end"/>
        </w:r>
      </w:hyperlink>
    </w:p>
    <w:p w:rsidR="000728A0" w:rsidRPr="001E2F6E" w:rsidRDefault="00FB14D4" w:rsidP="00FB14D4">
      <w:pPr>
        <w:pStyle w:val="TDC1"/>
        <w:tabs>
          <w:tab w:val="left" w:pos="426"/>
          <w:tab w:val="left" w:pos="851"/>
          <w:tab w:val="left" w:pos="1276"/>
          <w:tab w:val="right" w:leader="dot" w:pos="9072"/>
        </w:tabs>
        <w:spacing w:after="0" w:line="240" w:lineRule="auto"/>
        <w:ind w:left="851" w:hanging="851"/>
        <w:rPr>
          <w:rStyle w:val="Hipervnculo"/>
          <w:rFonts w:eastAsiaTheme="minorHAnsi" w:cs="Arial"/>
          <w:noProof/>
          <w:color w:val="auto"/>
          <w:u w:val="none"/>
        </w:rPr>
      </w:pPr>
      <w:r w:rsidRPr="001E2F6E">
        <w:rPr>
          <w:rStyle w:val="Hipervnculo"/>
          <w:rFonts w:eastAsiaTheme="minorHAnsi" w:cs="Arial"/>
          <w:noProof/>
          <w:color w:val="auto"/>
          <w:sz w:val="18"/>
          <w:szCs w:val="18"/>
          <w:u w:val="none"/>
        </w:rPr>
        <w:tab/>
      </w:r>
      <w:hyperlink w:anchor="_Toc392585683" w:history="1">
        <w:r w:rsidR="000728A0" w:rsidRPr="001E2F6E">
          <w:rPr>
            <w:rStyle w:val="Hipervnculo"/>
            <w:rFonts w:eastAsiaTheme="minorHAnsi" w:cs="Arial"/>
            <w:noProof/>
            <w:color w:val="auto"/>
            <w:sz w:val="18"/>
            <w:szCs w:val="18"/>
            <w:u w:val="none"/>
          </w:rPr>
          <w:t xml:space="preserve">4.1.- </w:t>
        </w:r>
        <w:r w:rsidR="000728A0" w:rsidRPr="001E2F6E">
          <w:rPr>
            <w:rStyle w:val="Hipervnculo"/>
            <w:rFonts w:eastAsiaTheme="minorHAnsi" w:cs="Arial"/>
            <w:noProof/>
            <w:color w:val="auto"/>
            <w:u w:val="none"/>
          </w:rPr>
          <w:tab/>
        </w:r>
        <w:r w:rsidR="000728A0" w:rsidRPr="001E2F6E">
          <w:rPr>
            <w:rStyle w:val="Hipervnculo"/>
            <w:rFonts w:eastAsiaTheme="minorHAnsi" w:cs="Arial"/>
            <w:noProof/>
            <w:color w:val="auto"/>
            <w:sz w:val="18"/>
            <w:szCs w:val="18"/>
            <w:u w:val="none"/>
          </w:rPr>
          <w:t>ESPORTAZIOAK, JARDUERA-SEKTORE, FORMA JURIDIKO ETA ENPRESEN TAMAINAREN ARABERA</w:t>
        </w:r>
        <w:r w:rsidR="000728A0" w:rsidRPr="001E2F6E">
          <w:rPr>
            <w:rStyle w:val="Hipervnculo"/>
            <w:rFonts w:eastAsiaTheme="minorHAnsi" w:cs="Arial"/>
            <w:noProof/>
            <w:webHidden/>
            <w:color w:val="auto"/>
            <w:u w:val="none"/>
          </w:rPr>
          <w:tab/>
        </w:r>
        <w:r w:rsidR="00EB6BA6" w:rsidRPr="001E2F6E">
          <w:rPr>
            <w:rStyle w:val="Hipervnculo"/>
            <w:rFonts w:eastAsiaTheme="minorHAnsi" w:cs="Arial"/>
            <w:noProof/>
            <w:webHidden/>
            <w:color w:val="auto"/>
            <w:u w:val="none"/>
          </w:rPr>
          <w:fldChar w:fldCharType="begin"/>
        </w:r>
        <w:r w:rsidR="000728A0" w:rsidRPr="001E2F6E">
          <w:rPr>
            <w:rStyle w:val="Hipervnculo"/>
            <w:rFonts w:eastAsiaTheme="minorHAnsi" w:cs="Arial"/>
            <w:noProof/>
            <w:webHidden/>
            <w:color w:val="auto"/>
            <w:u w:val="none"/>
          </w:rPr>
          <w:instrText xml:space="preserve"> PAGEREF _Toc392585683 \h </w:instrText>
        </w:r>
        <w:r w:rsidR="00EB6BA6" w:rsidRPr="001E2F6E">
          <w:rPr>
            <w:rStyle w:val="Hipervnculo"/>
            <w:rFonts w:eastAsiaTheme="minorHAnsi" w:cs="Arial"/>
            <w:noProof/>
            <w:webHidden/>
            <w:color w:val="auto"/>
            <w:u w:val="none"/>
          </w:rPr>
        </w:r>
        <w:r w:rsidR="00EB6BA6" w:rsidRPr="001E2F6E">
          <w:rPr>
            <w:rStyle w:val="Hipervnculo"/>
            <w:rFonts w:eastAsiaTheme="minorHAnsi" w:cs="Arial"/>
            <w:noProof/>
            <w:webHidden/>
            <w:color w:val="auto"/>
            <w:u w:val="none"/>
          </w:rPr>
          <w:fldChar w:fldCharType="separate"/>
        </w:r>
        <w:r w:rsidR="00A327D4">
          <w:rPr>
            <w:rStyle w:val="Hipervnculo"/>
            <w:rFonts w:eastAsiaTheme="minorHAnsi" w:cs="Arial"/>
            <w:noProof/>
            <w:webHidden/>
            <w:color w:val="auto"/>
            <w:u w:val="none"/>
          </w:rPr>
          <w:t>62</w:t>
        </w:r>
        <w:r w:rsidR="00EB6BA6" w:rsidRPr="001E2F6E">
          <w:rPr>
            <w:rStyle w:val="Hipervnculo"/>
            <w:rFonts w:eastAsiaTheme="minorHAnsi" w:cs="Arial"/>
            <w:noProof/>
            <w:webHidden/>
            <w:color w:val="auto"/>
            <w:u w:val="none"/>
          </w:rPr>
          <w:fldChar w:fldCharType="end"/>
        </w:r>
      </w:hyperlink>
    </w:p>
    <w:p w:rsidR="00FB14D4" w:rsidRPr="001E2F6E" w:rsidRDefault="00FB14D4" w:rsidP="000728A0">
      <w:pPr>
        <w:pStyle w:val="TDC1"/>
        <w:tabs>
          <w:tab w:val="left" w:pos="426"/>
          <w:tab w:val="left" w:pos="851"/>
          <w:tab w:val="left" w:pos="1276"/>
          <w:tab w:val="right" w:leader="dot" w:pos="9072"/>
        </w:tabs>
        <w:spacing w:after="0" w:line="240" w:lineRule="auto"/>
        <w:rPr>
          <w:rStyle w:val="Hipervnculo"/>
          <w:rFonts w:eastAsiaTheme="minorHAnsi" w:cs="Arial"/>
          <w:noProof/>
          <w:color w:val="auto"/>
          <w:sz w:val="18"/>
          <w:szCs w:val="18"/>
          <w:u w:val="none"/>
        </w:rPr>
      </w:pPr>
    </w:p>
    <w:p w:rsidR="000728A0" w:rsidRPr="001E2F6E" w:rsidRDefault="00A327D4" w:rsidP="000728A0">
      <w:pPr>
        <w:pStyle w:val="TDC1"/>
        <w:tabs>
          <w:tab w:val="left" w:pos="426"/>
          <w:tab w:val="left" w:pos="851"/>
          <w:tab w:val="left" w:pos="1276"/>
          <w:tab w:val="right" w:leader="dot" w:pos="9072"/>
        </w:tabs>
        <w:spacing w:after="0" w:line="240" w:lineRule="auto"/>
        <w:rPr>
          <w:rStyle w:val="Hipervnculo"/>
          <w:rFonts w:eastAsiaTheme="minorHAnsi" w:cs="Arial"/>
          <w:noProof/>
          <w:color w:val="auto"/>
          <w:u w:val="none"/>
        </w:rPr>
      </w:pPr>
      <w:hyperlink w:anchor="_Toc392585684" w:history="1">
        <w:r w:rsidR="000728A0" w:rsidRPr="001E2F6E">
          <w:rPr>
            <w:rStyle w:val="Hipervnculo"/>
            <w:rFonts w:eastAsiaTheme="minorHAnsi" w:cs="Arial"/>
            <w:noProof/>
            <w:color w:val="auto"/>
            <w:sz w:val="18"/>
            <w:szCs w:val="18"/>
            <w:u w:val="none"/>
          </w:rPr>
          <w:t>5.-</w:t>
        </w:r>
        <w:r w:rsidR="000728A0" w:rsidRPr="001E2F6E">
          <w:rPr>
            <w:rStyle w:val="Hipervnculo"/>
            <w:rFonts w:eastAsiaTheme="minorHAnsi" w:cs="Arial"/>
            <w:noProof/>
            <w:color w:val="auto"/>
            <w:u w:val="none"/>
          </w:rPr>
          <w:tab/>
        </w:r>
        <w:r w:rsidR="000728A0" w:rsidRPr="001E2F6E">
          <w:rPr>
            <w:rStyle w:val="Hipervnculo"/>
            <w:rFonts w:eastAsiaTheme="minorHAnsi" w:cs="Arial"/>
            <w:noProof/>
            <w:color w:val="auto"/>
            <w:sz w:val="18"/>
            <w:szCs w:val="18"/>
            <w:u w:val="none"/>
          </w:rPr>
          <w:t>GIZARTE-EKONOMIAREN BESTE MAGNITUDE EKONOMIKO BATZUK</w:t>
        </w:r>
        <w:r w:rsidR="000728A0" w:rsidRPr="001E2F6E">
          <w:rPr>
            <w:rStyle w:val="Hipervnculo"/>
            <w:rFonts w:eastAsiaTheme="minorHAnsi" w:cs="Arial"/>
            <w:noProof/>
            <w:webHidden/>
            <w:color w:val="auto"/>
            <w:u w:val="none"/>
          </w:rPr>
          <w:tab/>
        </w:r>
        <w:r w:rsidR="00EB6BA6" w:rsidRPr="001E2F6E">
          <w:rPr>
            <w:rStyle w:val="Hipervnculo"/>
            <w:rFonts w:eastAsiaTheme="minorHAnsi" w:cs="Arial"/>
            <w:noProof/>
            <w:webHidden/>
            <w:color w:val="auto"/>
            <w:u w:val="none"/>
          </w:rPr>
          <w:fldChar w:fldCharType="begin"/>
        </w:r>
        <w:r w:rsidR="000728A0" w:rsidRPr="001E2F6E">
          <w:rPr>
            <w:rStyle w:val="Hipervnculo"/>
            <w:rFonts w:eastAsiaTheme="minorHAnsi" w:cs="Arial"/>
            <w:noProof/>
            <w:webHidden/>
            <w:color w:val="auto"/>
            <w:u w:val="none"/>
          </w:rPr>
          <w:instrText xml:space="preserve"> PAGEREF _Toc392585684 \h </w:instrText>
        </w:r>
        <w:r w:rsidR="00EB6BA6" w:rsidRPr="001E2F6E">
          <w:rPr>
            <w:rStyle w:val="Hipervnculo"/>
            <w:rFonts w:eastAsiaTheme="minorHAnsi" w:cs="Arial"/>
            <w:noProof/>
            <w:webHidden/>
            <w:color w:val="auto"/>
            <w:u w:val="none"/>
          </w:rPr>
        </w:r>
        <w:r w:rsidR="00EB6BA6" w:rsidRPr="001E2F6E">
          <w:rPr>
            <w:rStyle w:val="Hipervnculo"/>
            <w:rFonts w:eastAsiaTheme="minorHAnsi" w:cs="Arial"/>
            <w:noProof/>
            <w:webHidden/>
            <w:color w:val="auto"/>
            <w:u w:val="none"/>
          </w:rPr>
          <w:fldChar w:fldCharType="separate"/>
        </w:r>
        <w:r>
          <w:rPr>
            <w:rStyle w:val="Hipervnculo"/>
            <w:rFonts w:eastAsiaTheme="minorHAnsi" w:cs="Arial"/>
            <w:noProof/>
            <w:webHidden/>
            <w:color w:val="auto"/>
            <w:u w:val="none"/>
          </w:rPr>
          <w:t>65</w:t>
        </w:r>
        <w:r w:rsidR="00EB6BA6" w:rsidRPr="001E2F6E">
          <w:rPr>
            <w:rStyle w:val="Hipervnculo"/>
            <w:rFonts w:eastAsiaTheme="minorHAnsi" w:cs="Arial"/>
            <w:noProof/>
            <w:webHidden/>
            <w:color w:val="auto"/>
            <w:u w:val="none"/>
          </w:rPr>
          <w:fldChar w:fldCharType="end"/>
        </w:r>
      </w:hyperlink>
    </w:p>
    <w:p w:rsidR="000728A0" w:rsidRPr="001E2F6E" w:rsidRDefault="00FB14D4" w:rsidP="000728A0">
      <w:pPr>
        <w:pStyle w:val="TDC1"/>
        <w:tabs>
          <w:tab w:val="left" w:pos="426"/>
          <w:tab w:val="left" w:pos="851"/>
          <w:tab w:val="left" w:pos="1276"/>
          <w:tab w:val="right" w:leader="dot" w:pos="9072"/>
        </w:tabs>
        <w:spacing w:after="0" w:line="240" w:lineRule="auto"/>
        <w:rPr>
          <w:rStyle w:val="Hipervnculo"/>
          <w:rFonts w:eastAsiaTheme="minorHAnsi" w:cs="Arial"/>
          <w:noProof/>
          <w:color w:val="auto"/>
          <w:u w:val="none"/>
        </w:rPr>
      </w:pPr>
      <w:r w:rsidRPr="001E2F6E">
        <w:rPr>
          <w:rStyle w:val="Hipervnculo"/>
          <w:rFonts w:eastAsiaTheme="minorHAnsi" w:cs="Arial"/>
          <w:noProof/>
          <w:color w:val="auto"/>
          <w:sz w:val="18"/>
          <w:szCs w:val="18"/>
          <w:u w:val="none"/>
        </w:rPr>
        <w:tab/>
      </w:r>
      <w:hyperlink w:anchor="_Toc392585685" w:history="1">
        <w:r w:rsidR="000728A0" w:rsidRPr="001E2F6E">
          <w:rPr>
            <w:rStyle w:val="Hipervnculo"/>
            <w:rFonts w:eastAsiaTheme="minorHAnsi" w:cs="Arial"/>
            <w:noProof/>
            <w:color w:val="auto"/>
            <w:sz w:val="18"/>
            <w:szCs w:val="18"/>
            <w:u w:val="none"/>
          </w:rPr>
          <w:t>5.1.-</w:t>
        </w:r>
        <w:r w:rsidR="000728A0" w:rsidRPr="001E2F6E">
          <w:rPr>
            <w:rStyle w:val="Hipervnculo"/>
            <w:rFonts w:eastAsiaTheme="minorHAnsi" w:cs="Arial"/>
            <w:noProof/>
            <w:color w:val="auto"/>
            <w:u w:val="none"/>
          </w:rPr>
          <w:tab/>
        </w:r>
        <w:r w:rsidR="000728A0" w:rsidRPr="001E2F6E">
          <w:rPr>
            <w:rStyle w:val="Hipervnculo"/>
            <w:rFonts w:eastAsiaTheme="minorHAnsi" w:cs="Arial"/>
            <w:noProof/>
            <w:color w:val="auto"/>
            <w:sz w:val="18"/>
            <w:szCs w:val="18"/>
            <w:u w:val="none"/>
          </w:rPr>
          <w:t>GIZARTE-EKONOMIAREN FINANTZIAZIO PROPIOA</w:t>
        </w:r>
        <w:r w:rsidR="000728A0" w:rsidRPr="001E2F6E">
          <w:rPr>
            <w:rStyle w:val="Hipervnculo"/>
            <w:rFonts w:eastAsiaTheme="minorHAnsi" w:cs="Arial"/>
            <w:noProof/>
            <w:webHidden/>
            <w:color w:val="auto"/>
            <w:u w:val="none"/>
          </w:rPr>
          <w:tab/>
        </w:r>
        <w:r w:rsidR="00EB6BA6" w:rsidRPr="001E2F6E">
          <w:rPr>
            <w:rStyle w:val="Hipervnculo"/>
            <w:rFonts w:eastAsiaTheme="minorHAnsi" w:cs="Arial"/>
            <w:noProof/>
            <w:webHidden/>
            <w:color w:val="auto"/>
            <w:u w:val="none"/>
          </w:rPr>
          <w:fldChar w:fldCharType="begin"/>
        </w:r>
        <w:r w:rsidR="000728A0" w:rsidRPr="001E2F6E">
          <w:rPr>
            <w:rStyle w:val="Hipervnculo"/>
            <w:rFonts w:eastAsiaTheme="minorHAnsi" w:cs="Arial"/>
            <w:noProof/>
            <w:webHidden/>
            <w:color w:val="auto"/>
            <w:u w:val="none"/>
          </w:rPr>
          <w:instrText xml:space="preserve"> PAGEREF _Toc392585685 \h </w:instrText>
        </w:r>
        <w:r w:rsidR="00EB6BA6" w:rsidRPr="001E2F6E">
          <w:rPr>
            <w:rStyle w:val="Hipervnculo"/>
            <w:rFonts w:eastAsiaTheme="minorHAnsi" w:cs="Arial"/>
            <w:noProof/>
            <w:webHidden/>
            <w:color w:val="auto"/>
            <w:u w:val="none"/>
          </w:rPr>
        </w:r>
        <w:r w:rsidR="00EB6BA6" w:rsidRPr="001E2F6E">
          <w:rPr>
            <w:rStyle w:val="Hipervnculo"/>
            <w:rFonts w:eastAsiaTheme="minorHAnsi" w:cs="Arial"/>
            <w:noProof/>
            <w:webHidden/>
            <w:color w:val="auto"/>
            <w:u w:val="none"/>
          </w:rPr>
          <w:fldChar w:fldCharType="separate"/>
        </w:r>
        <w:r w:rsidR="00A327D4">
          <w:rPr>
            <w:rStyle w:val="Hipervnculo"/>
            <w:rFonts w:eastAsiaTheme="minorHAnsi" w:cs="Arial"/>
            <w:noProof/>
            <w:webHidden/>
            <w:color w:val="auto"/>
            <w:u w:val="none"/>
          </w:rPr>
          <w:t>65</w:t>
        </w:r>
        <w:r w:rsidR="00EB6BA6" w:rsidRPr="001E2F6E">
          <w:rPr>
            <w:rStyle w:val="Hipervnculo"/>
            <w:rFonts w:eastAsiaTheme="minorHAnsi" w:cs="Arial"/>
            <w:noProof/>
            <w:webHidden/>
            <w:color w:val="auto"/>
            <w:u w:val="none"/>
          </w:rPr>
          <w:fldChar w:fldCharType="end"/>
        </w:r>
      </w:hyperlink>
    </w:p>
    <w:p w:rsidR="000728A0" w:rsidRPr="001E2F6E" w:rsidRDefault="00FB14D4" w:rsidP="00FB14D4">
      <w:pPr>
        <w:pStyle w:val="TDC1"/>
        <w:tabs>
          <w:tab w:val="left" w:pos="426"/>
          <w:tab w:val="left" w:pos="851"/>
          <w:tab w:val="left" w:pos="1276"/>
          <w:tab w:val="right" w:leader="dot" w:pos="9072"/>
        </w:tabs>
        <w:spacing w:after="0" w:line="240" w:lineRule="auto"/>
        <w:ind w:left="851" w:hanging="851"/>
        <w:rPr>
          <w:rStyle w:val="Hipervnculo"/>
          <w:rFonts w:eastAsiaTheme="minorHAnsi" w:cs="Arial"/>
          <w:noProof/>
          <w:color w:val="auto"/>
          <w:u w:val="none"/>
        </w:rPr>
      </w:pPr>
      <w:r w:rsidRPr="001E2F6E">
        <w:rPr>
          <w:rStyle w:val="Hipervnculo"/>
          <w:rFonts w:eastAsiaTheme="minorHAnsi" w:cs="Arial"/>
          <w:noProof/>
          <w:color w:val="auto"/>
          <w:sz w:val="18"/>
          <w:szCs w:val="18"/>
          <w:u w:val="none"/>
        </w:rPr>
        <w:tab/>
      </w:r>
      <w:hyperlink w:anchor="_Toc392585686" w:history="1">
        <w:r w:rsidR="000728A0" w:rsidRPr="001E2F6E">
          <w:rPr>
            <w:rStyle w:val="Hipervnculo"/>
            <w:rFonts w:eastAsiaTheme="minorHAnsi" w:cs="Arial"/>
            <w:noProof/>
            <w:color w:val="auto"/>
            <w:sz w:val="18"/>
            <w:szCs w:val="18"/>
            <w:u w:val="none"/>
          </w:rPr>
          <w:t>5.2.-</w:t>
        </w:r>
        <w:r w:rsidR="000728A0" w:rsidRPr="001E2F6E">
          <w:rPr>
            <w:rStyle w:val="Hipervnculo"/>
            <w:rFonts w:eastAsiaTheme="minorHAnsi" w:cs="Arial"/>
            <w:noProof/>
            <w:color w:val="auto"/>
            <w:u w:val="none"/>
          </w:rPr>
          <w:tab/>
        </w:r>
        <w:r w:rsidR="000728A0" w:rsidRPr="001E2F6E">
          <w:rPr>
            <w:rStyle w:val="Hipervnculo"/>
            <w:rFonts w:eastAsiaTheme="minorHAnsi" w:cs="Arial"/>
            <w:noProof/>
            <w:color w:val="auto"/>
            <w:sz w:val="18"/>
            <w:szCs w:val="18"/>
            <w:u w:val="none"/>
          </w:rPr>
          <w:t>GIZARTE-EKONOMIAREN ALORREKO ENPRESEN INBESTIMENDUA ETA ADMINISTRAZIO PUBLIKOEN FINANTZIAZIOA</w:t>
        </w:r>
        <w:r w:rsidR="000728A0" w:rsidRPr="001E2F6E">
          <w:rPr>
            <w:rStyle w:val="Hipervnculo"/>
            <w:rFonts w:eastAsiaTheme="minorHAnsi" w:cs="Arial"/>
            <w:noProof/>
            <w:webHidden/>
            <w:color w:val="auto"/>
            <w:u w:val="none"/>
          </w:rPr>
          <w:tab/>
        </w:r>
        <w:r w:rsidR="00EB6BA6" w:rsidRPr="001E2F6E">
          <w:rPr>
            <w:rStyle w:val="Hipervnculo"/>
            <w:rFonts w:eastAsiaTheme="minorHAnsi" w:cs="Arial"/>
            <w:noProof/>
            <w:webHidden/>
            <w:color w:val="auto"/>
            <w:u w:val="none"/>
          </w:rPr>
          <w:fldChar w:fldCharType="begin"/>
        </w:r>
        <w:r w:rsidR="000728A0" w:rsidRPr="001E2F6E">
          <w:rPr>
            <w:rStyle w:val="Hipervnculo"/>
            <w:rFonts w:eastAsiaTheme="minorHAnsi" w:cs="Arial"/>
            <w:noProof/>
            <w:webHidden/>
            <w:color w:val="auto"/>
            <w:u w:val="none"/>
          </w:rPr>
          <w:instrText xml:space="preserve"> PAGEREF _Toc392585686 \h </w:instrText>
        </w:r>
        <w:r w:rsidR="00EB6BA6" w:rsidRPr="001E2F6E">
          <w:rPr>
            <w:rStyle w:val="Hipervnculo"/>
            <w:rFonts w:eastAsiaTheme="minorHAnsi" w:cs="Arial"/>
            <w:noProof/>
            <w:webHidden/>
            <w:color w:val="auto"/>
            <w:u w:val="none"/>
          </w:rPr>
        </w:r>
        <w:r w:rsidR="00EB6BA6" w:rsidRPr="001E2F6E">
          <w:rPr>
            <w:rStyle w:val="Hipervnculo"/>
            <w:rFonts w:eastAsiaTheme="minorHAnsi" w:cs="Arial"/>
            <w:noProof/>
            <w:webHidden/>
            <w:color w:val="auto"/>
            <w:u w:val="none"/>
          </w:rPr>
          <w:fldChar w:fldCharType="separate"/>
        </w:r>
        <w:r w:rsidR="00A327D4">
          <w:rPr>
            <w:rStyle w:val="Hipervnculo"/>
            <w:rFonts w:eastAsiaTheme="minorHAnsi" w:cs="Arial"/>
            <w:noProof/>
            <w:webHidden/>
            <w:color w:val="auto"/>
            <w:u w:val="none"/>
          </w:rPr>
          <w:t>67</w:t>
        </w:r>
        <w:r w:rsidR="00EB6BA6" w:rsidRPr="001E2F6E">
          <w:rPr>
            <w:rStyle w:val="Hipervnculo"/>
            <w:rFonts w:eastAsiaTheme="minorHAnsi" w:cs="Arial"/>
            <w:noProof/>
            <w:webHidden/>
            <w:color w:val="auto"/>
            <w:u w:val="none"/>
          </w:rPr>
          <w:fldChar w:fldCharType="end"/>
        </w:r>
      </w:hyperlink>
    </w:p>
    <w:p w:rsidR="00FB14D4" w:rsidRPr="001E2F6E" w:rsidRDefault="00FB14D4" w:rsidP="000728A0">
      <w:pPr>
        <w:pStyle w:val="TDC1"/>
        <w:tabs>
          <w:tab w:val="left" w:pos="426"/>
          <w:tab w:val="left" w:pos="851"/>
          <w:tab w:val="left" w:pos="1276"/>
          <w:tab w:val="right" w:leader="dot" w:pos="9072"/>
        </w:tabs>
        <w:spacing w:after="0" w:line="240" w:lineRule="auto"/>
        <w:rPr>
          <w:rStyle w:val="Hipervnculo"/>
          <w:rFonts w:eastAsiaTheme="minorHAnsi" w:cs="Arial"/>
          <w:noProof/>
          <w:color w:val="auto"/>
          <w:sz w:val="18"/>
          <w:szCs w:val="18"/>
          <w:u w:val="none"/>
        </w:rPr>
      </w:pPr>
    </w:p>
    <w:p w:rsidR="000728A0" w:rsidRPr="001E2F6E" w:rsidRDefault="00A327D4" w:rsidP="000728A0">
      <w:pPr>
        <w:pStyle w:val="TDC1"/>
        <w:tabs>
          <w:tab w:val="left" w:pos="426"/>
          <w:tab w:val="left" w:pos="851"/>
          <w:tab w:val="left" w:pos="1276"/>
          <w:tab w:val="right" w:leader="dot" w:pos="9072"/>
        </w:tabs>
        <w:spacing w:after="0" w:line="240" w:lineRule="auto"/>
        <w:rPr>
          <w:rStyle w:val="Hipervnculo"/>
          <w:rFonts w:eastAsiaTheme="minorHAnsi" w:cs="Arial"/>
          <w:noProof/>
          <w:color w:val="auto"/>
          <w:u w:val="none"/>
        </w:rPr>
      </w:pPr>
      <w:hyperlink w:anchor="_Toc392585687" w:history="1">
        <w:r w:rsidR="000728A0" w:rsidRPr="001E2F6E">
          <w:rPr>
            <w:rStyle w:val="Hipervnculo"/>
            <w:rFonts w:eastAsiaTheme="minorHAnsi" w:cs="Arial"/>
            <w:noProof/>
            <w:color w:val="auto"/>
            <w:sz w:val="18"/>
            <w:szCs w:val="18"/>
            <w:u w:val="none"/>
          </w:rPr>
          <w:t>6.-</w:t>
        </w:r>
        <w:r w:rsidR="000728A0" w:rsidRPr="001E2F6E">
          <w:rPr>
            <w:rStyle w:val="Hipervnculo"/>
            <w:rFonts w:eastAsiaTheme="minorHAnsi" w:cs="Arial"/>
            <w:noProof/>
            <w:color w:val="auto"/>
            <w:u w:val="none"/>
          </w:rPr>
          <w:tab/>
        </w:r>
        <w:r w:rsidR="000728A0" w:rsidRPr="001E2F6E">
          <w:rPr>
            <w:rStyle w:val="Hipervnculo"/>
            <w:rFonts w:eastAsiaTheme="minorHAnsi" w:cs="Arial"/>
            <w:noProof/>
            <w:color w:val="auto"/>
            <w:sz w:val="18"/>
            <w:szCs w:val="18"/>
            <w:u w:val="none"/>
          </w:rPr>
          <w:t>EMAITZEN KONTUAK FORMA JURIDIKOA ETA LURRALDE HISTORIKOAREN ARABERA</w:t>
        </w:r>
        <w:r w:rsidR="000728A0" w:rsidRPr="001E2F6E">
          <w:rPr>
            <w:rStyle w:val="Hipervnculo"/>
            <w:rFonts w:eastAsiaTheme="minorHAnsi" w:cs="Arial"/>
            <w:noProof/>
            <w:webHidden/>
            <w:color w:val="auto"/>
            <w:u w:val="none"/>
          </w:rPr>
          <w:tab/>
        </w:r>
        <w:r w:rsidR="00EB6BA6" w:rsidRPr="001E2F6E">
          <w:rPr>
            <w:rStyle w:val="Hipervnculo"/>
            <w:rFonts w:eastAsiaTheme="minorHAnsi" w:cs="Arial"/>
            <w:noProof/>
            <w:webHidden/>
            <w:color w:val="auto"/>
            <w:u w:val="none"/>
          </w:rPr>
          <w:fldChar w:fldCharType="begin"/>
        </w:r>
        <w:r w:rsidR="000728A0" w:rsidRPr="001E2F6E">
          <w:rPr>
            <w:rStyle w:val="Hipervnculo"/>
            <w:rFonts w:eastAsiaTheme="minorHAnsi" w:cs="Arial"/>
            <w:noProof/>
            <w:webHidden/>
            <w:color w:val="auto"/>
            <w:u w:val="none"/>
          </w:rPr>
          <w:instrText xml:space="preserve"> PAGEREF _Toc392585687 \h </w:instrText>
        </w:r>
        <w:r w:rsidR="00EB6BA6" w:rsidRPr="001E2F6E">
          <w:rPr>
            <w:rStyle w:val="Hipervnculo"/>
            <w:rFonts w:eastAsiaTheme="minorHAnsi" w:cs="Arial"/>
            <w:noProof/>
            <w:webHidden/>
            <w:color w:val="auto"/>
            <w:u w:val="none"/>
          </w:rPr>
        </w:r>
        <w:r w:rsidR="00EB6BA6" w:rsidRPr="001E2F6E">
          <w:rPr>
            <w:rStyle w:val="Hipervnculo"/>
            <w:rFonts w:eastAsiaTheme="minorHAnsi" w:cs="Arial"/>
            <w:noProof/>
            <w:webHidden/>
            <w:color w:val="auto"/>
            <w:u w:val="none"/>
          </w:rPr>
          <w:fldChar w:fldCharType="separate"/>
        </w:r>
        <w:r>
          <w:rPr>
            <w:rStyle w:val="Hipervnculo"/>
            <w:rFonts w:eastAsiaTheme="minorHAnsi" w:cs="Arial"/>
            <w:noProof/>
            <w:webHidden/>
            <w:color w:val="auto"/>
            <w:u w:val="none"/>
          </w:rPr>
          <w:t>69</w:t>
        </w:r>
        <w:r w:rsidR="00EB6BA6" w:rsidRPr="001E2F6E">
          <w:rPr>
            <w:rStyle w:val="Hipervnculo"/>
            <w:rFonts w:eastAsiaTheme="minorHAnsi" w:cs="Arial"/>
            <w:noProof/>
            <w:webHidden/>
            <w:color w:val="auto"/>
            <w:u w:val="none"/>
          </w:rPr>
          <w:fldChar w:fldCharType="end"/>
        </w:r>
      </w:hyperlink>
    </w:p>
    <w:p w:rsidR="00FB14D4" w:rsidRPr="001E2F6E" w:rsidRDefault="00FB14D4" w:rsidP="000728A0">
      <w:pPr>
        <w:pStyle w:val="TDC1"/>
        <w:tabs>
          <w:tab w:val="left" w:pos="426"/>
          <w:tab w:val="left" w:pos="851"/>
          <w:tab w:val="left" w:pos="1276"/>
          <w:tab w:val="right" w:leader="dot" w:pos="9072"/>
        </w:tabs>
        <w:spacing w:after="0" w:line="240" w:lineRule="auto"/>
        <w:rPr>
          <w:rStyle w:val="Hipervnculo"/>
          <w:rFonts w:eastAsiaTheme="minorHAnsi" w:cs="Arial"/>
          <w:noProof/>
          <w:color w:val="auto"/>
          <w:sz w:val="18"/>
          <w:szCs w:val="18"/>
          <w:u w:val="none"/>
        </w:rPr>
      </w:pPr>
    </w:p>
    <w:p w:rsidR="000728A0" w:rsidRPr="001E2F6E" w:rsidRDefault="00A327D4" w:rsidP="000728A0">
      <w:pPr>
        <w:pStyle w:val="TDC1"/>
        <w:tabs>
          <w:tab w:val="left" w:pos="426"/>
          <w:tab w:val="left" w:pos="851"/>
          <w:tab w:val="left" w:pos="1276"/>
          <w:tab w:val="right" w:leader="dot" w:pos="9072"/>
        </w:tabs>
        <w:spacing w:after="0" w:line="240" w:lineRule="auto"/>
        <w:rPr>
          <w:rStyle w:val="Hipervnculo"/>
          <w:rFonts w:eastAsiaTheme="minorHAnsi" w:cs="Arial"/>
          <w:b/>
          <w:noProof/>
          <w:color w:val="auto"/>
          <w:u w:val="none"/>
        </w:rPr>
      </w:pPr>
      <w:hyperlink w:anchor="_Toc392585688" w:history="1">
        <w:r w:rsidR="000728A0" w:rsidRPr="001E2F6E">
          <w:rPr>
            <w:rStyle w:val="Hipervnculo"/>
            <w:rFonts w:eastAsiaTheme="minorHAnsi" w:cs="Arial"/>
            <w:b/>
            <w:noProof/>
            <w:color w:val="auto"/>
            <w:sz w:val="18"/>
            <w:szCs w:val="18"/>
            <w:u w:val="none"/>
          </w:rPr>
          <w:t xml:space="preserve">II.- </w:t>
        </w:r>
        <w:r w:rsidR="000728A0" w:rsidRPr="001E2F6E">
          <w:rPr>
            <w:rStyle w:val="Hipervnculo"/>
            <w:rFonts w:eastAsiaTheme="minorHAnsi" w:cs="Arial"/>
            <w:b/>
            <w:noProof/>
            <w:color w:val="auto"/>
            <w:u w:val="none"/>
          </w:rPr>
          <w:tab/>
        </w:r>
        <w:r w:rsidR="000728A0" w:rsidRPr="001E2F6E">
          <w:rPr>
            <w:rStyle w:val="Hipervnculo"/>
            <w:rFonts w:eastAsiaTheme="minorHAnsi" w:cs="Arial"/>
            <w:b/>
            <w:noProof/>
            <w:color w:val="auto"/>
            <w:sz w:val="18"/>
            <w:szCs w:val="18"/>
            <w:u w:val="none"/>
          </w:rPr>
          <w:t>GIZARTE-EKONOMIAREN KONTUEN AURRERAPENA 2013</w:t>
        </w:r>
        <w:r w:rsidR="000728A0" w:rsidRPr="001E2F6E">
          <w:rPr>
            <w:rStyle w:val="Hipervnculo"/>
            <w:rFonts w:eastAsiaTheme="minorHAnsi" w:cs="Arial"/>
            <w:b/>
            <w:noProof/>
            <w:webHidden/>
            <w:color w:val="auto"/>
            <w:u w:val="none"/>
          </w:rPr>
          <w:tab/>
        </w:r>
        <w:r w:rsidR="00EB6BA6" w:rsidRPr="001E2F6E">
          <w:rPr>
            <w:rStyle w:val="Hipervnculo"/>
            <w:rFonts w:eastAsiaTheme="minorHAnsi" w:cs="Arial"/>
            <w:b/>
            <w:noProof/>
            <w:webHidden/>
            <w:color w:val="auto"/>
            <w:u w:val="none"/>
          </w:rPr>
          <w:fldChar w:fldCharType="begin"/>
        </w:r>
        <w:r w:rsidR="000728A0" w:rsidRPr="001E2F6E">
          <w:rPr>
            <w:rStyle w:val="Hipervnculo"/>
            <w:rFonts w:eastAsiaTheme="minorHAnsi" w:cs="Arial"/>
            <w:b/>
            <w:noProof/>
            <w:webHidden/>
            <w:color w:val="auto"/>
            <w:u w:val="none"/>
          </w:rPr>
          <w:instrText xml:space="preserve"> PAGEREF _Toc392585688 \h </w:instrText>
        </w:r>
        <w:r w:rsidR="00EB6BA6" w:rsidRPr="001E2F6E">
          <w:rPr>
            <w:rStyle w:val="Hipervnculo"/>
            <w:rFonts w:eastAsiaTheme="minorHAnsi" w:cs="Arial"/>
            <w:b/>
            <w:noProof/>
            <w:webHidden/>
            <w:color w:val="auto"/>
            <w:u w:val="none"/>
          </w:rPr>
        </w:r>
        <w:r w:rsidR="00EB6BA6" w:rsidRPr="001E2F6E">
          <w:rPr>
            <w:rStyle w:val="Hipervnculo"/>
            <w:rFonts w:eastAsiaTheme="minorHAnsi" w:cs="Arial"/>
            <w:b/>
            <w:noProof/>
            <w:webHidden/>
            <w:color w:val="auto"/>
            <w:u w:val="none"/>
          </w:rPr>
          <w:fldChar w:fldCharType="separate"/>
        </w:r>
        <w:r>
          <w:rPr>
            <w:rStyle w:val="Hipervnculo"/>
            <w:rFonts w:eastAsiaTheme="minorHAnsi" w:cs="Arial"/>
            <w:b/>
            <w:noProof/>
            <w:webHidden/>
            <w:color w:val="auto"/>
            <w:u w:val="none"/>
          </w:rPr>
          <w:t>72</w:t>
        </w:r>
        <w:r w:rsidR="00EB6BA6" w:rsidRPr="001E2F6E">
          <w:rPr>
            <w:rStyle w:val="Hipervnculo"/>
            <w:rFonts w:eastAsiaTheme="minorHAnsi" w:cs="Arial"/>
            <w:b/>
            <w:noProof/>
            <w:webHidden/>
            <w:color w:val="auto"/>
            <w:u w:val="none"/>
          </w:rPr>
          <w:fldChar w:fldCharType="end"/>
        </w:r>
      </w:hyperlink>
    </w:p>
    <w:p w:rsidR="00D34AE0" w:rsidRPr="001E2F6E" w:rsidRDefault="00D34AE0">
      <w:pPr>
        <w:spacing w:line="240" w:lineRule="auto"/>
        <w:jc w:val="left"/>
        <w:rPr>
          <w:rStyle w:val="Hipervnculo"/>
          <w:rFonts w:eastAsiaTheme="minorHAnsi" w:cs="Arial"/>
          <w:noProof/>
          <w:color w:val="auto"/>
          <w:sz w:val="18"/>
          <w:szCs w:val="18"/>
          <w:u w:val="none"/>
        </w:rPr>
      </w:pPr>
      <w:r w:rsidRPr="001E2F6E">
        <w:rPr>
          <w:rStyle w:val="Hipervnculo"/>
          <w:rFonts w:eastAsiaTheme="minorHAnsi" w:cs="Arial"/>
          <w:noProof/>
          <w:color w:val="auto"/>
          <w:sz w:val="18"/>
          <w:szCs w:val="18"/>
          <w:u w:val="none"/>
        </w:rPr>
        <w:br w:type="page"/>
      </w:r>
    </w:p>
    <w:p w:rsidR="000728A0" w:rsidRPr="001E2F6E" w:rsidRDefault="00A327D4" w:rsidP="00D34AE0">
      <w:pPr>
        <w:pStyle w:val="TDC1"/>
        <w:tabs>
          <w:tab w:val="left" w:pos="426"/>
          <w:tab w:val="left" w:pos="851"/>
          <w:tab w:val="left" w:pos="1276"/>
          <w:tab w:val="right" w:leader="dot" w:pos="9072"/>
        </w:tabs>
        <w:spacing w:after="0" w:line="240" w:lineRule="auto"/>
        <w:ind w:left="426" w:hanging="426"/>
        <w:rPr>
          <w:rStyle w:val="Hipervnculo"/>
          <w:rFonts w:eastAsiaTheme="minorHAnsi" w:cs="Arial"/>
          <w:b/>
          <w:noProof/>
          <w:color w:val="auto"/>
          <w:u w:val="none"/>
        </w:rPr>
      </w:pPr>
      <w:hyperlink w:anchor="_Toc392585689" w:history="1">
        <w:r w:rsidR="000728A0" w:rsidRPr="001E2F6E">
          <w:rPr>
            <w:rStyle w:val="Hipervnculo"/>
            <w:rFonts w:eastAsiaTheme="minorHAnsi" w:cs="Arial"/>
            <w:b/>
            <w:noProof/>
            <w:color w:val="auto"/>
            <w:sz w:val="18"/>
            <w:szCs w:val="18"/>
            <w:u w:val="none"/>
          </w:rPr>
          <w:t>III.-</w:t>
        </w:r>
        <w:r w:rsidR="000728A0" w:rsidRPr="001E2F6E">
          <w:rPr>
            <w:rStyle w:val="Hipervnculo"/>
            <w:rFonts w:eastAsiaTheme="minorHAnsi" w:cs="Arial"/>
            <w:b/>
            <w:noProof/>
            <w:color w:val="auto"/>
            <w:u w:val="none"/>
          </w:rPr>
          <w:tab/>
        </w:r>
        <w:r w:rsidR="000728A0" w:rsidRPr="001E2F6E">
          <w:rPr>
            <w:rStyle w:val="Hipervnculo"/>
            <w:rFonts w:eastAsiaTheme="minorHAnsi" w:cs="Arial"/>
            <w:b/>
            <w:noProof/>
            <w:color w:val="auto"/>
            <w:sz w:val="18"/>
            <w:szCs w:val="18"/>
            <w:u w:val="none"/>
          </w:rPr>
          <w:t>GIZARTE-EKONOMIAK KRISIARI AURRE EGITEKO ESTRATEGIAK ETA KUDEAKETARAKO-TRESNAK GIZARTE-EKONOMIA KLASIKOAN (GEFK)</w:t>
        </w:r>
        <w:r w:rsidR="000728A0" w:rsidRPr="001E2F6E">
          <w:rPr>
            <w:rStyle w:val="Hipervnculo"/>
            <w:rFonts w:eastAsiaTheme="minorHAnsi" w:cs="Arial"/>
            <w:b/>
            <w:noProof/>
            <w:webHidden/>
            <w:color w:val="auto"/>
            <w:u w:val="none"/>
          </w:rPr>
          <w:tab/>
        </w:r>
        <w:r w:rsidR="00EB6BA6" w:rsidRPr="001E2F6E">
          <w:rPr>
            <w:rStyle w:val="Hipervnculo"/>
            <w:rFonts w:eastAsiaTheme="minorHAnsi" w:cs="Arial"/>
            <w:b/>
            <w:noProof/>
            <w:webHidden/>
            <w:color w:val="auto"/>
            <w:u w:val="none"/>
          </w:rPr>
          <w:fldChar w:fldCharType="begin"/>
        </w:r>
        <w:r w:rsidR="000728A0" w:rsidRPr="001E2F6E">
          <w:rPr>
            <w:rStyle w:val="Hipervnculo"/>
            <w:rFonts w:eastAsiaTheme="minorHAnsi" w:cs="Arial"/>
            <w:b/>
            <w:noProof/>
            <w:webHidden/>
            <w:color w:val="auto"/>
            <w:u w:val="none"/>
          </w:rPr>
          <w:instrText xml:space="preserve"> PAGEREF _Toc392585689 \h </w:instrText>
        </w:r>
        <w:r w:rsidR="00EB6BA6" w:rsidRPr="001E2F6E">
          <w:rPr>
            <w:rStyle w:val="Hipervnculo"/>
            <w:rFonts w:eastAsiaTheme="minorHAnsi" w:cs="Arial"/>
            <w:b/>
            <w:noProof/>
            <w:webHidden/>
            <w:color w:val="auto"/>
            <w:u w:val="none"/>
          </w:rPr>
        </w:r>
        <w:r w:rsidR="00EB6BA6" w:rsidRPr="001E2F6E">
          <w:rPr>
            <w:rStyle w:val="Hipervnculo"/>
            <w:rFonts w:eastAsiaTheme="minorHAnsi" w:cs="Arial"/>
            <w:b/>
            <w:noProof/>
            <w:webHidden/>
            <w:color w:val="auto"/>
            <w:u w:val="none"/>
          </w:rPr>
          <w:fldChar w:fldCharType="separate"/>
        </w:r>
        <w:r>
          <w:rPr>
            <w:rStyle w:val="Hipervnculo"/>
            <w:rFonts w:eastAsiaTheme="minorHAnsi" w:cs="Arial"/>
            <w:b/>
            <w:noProof/>
            <w:webHidden/>
            <w:color w:val="auto"/>
            <w:u w:val="none"/>
          </w:rPr>
          <w:t>73</w:t>
        </w:r>
        <w:r w:rsidR="00EB6BA6" w:rsidRPr="001E2F6E">
          <w:rPr>
            <w:rStyle w:val="Hipervnculo"/>
            <w:rFonts w:eastAsiaTheme="minorHAnsi" w:cs="Arial"/>
            <w:b/>
            <w:noProof/>
            <w:webHidden/>
            <w:color w:val="auto"/>
            <w:u w:val="none"/>
          </w:rPr>
          <w:fldChar w:fldCharType="end"/>
        </w:r>
      </w:hyperlink>
    </w:p>
    <w:p w:rsidR="00D34AE0" w:rsidRPr="001E2F6E" w:rsidRDefault="00D34AE0" w:rsidP="000728A0">
      <w:pPr>
        <w:pStyle w:val="TDC1"/>
        <w:tabs>
          <w:tab w:val="left" w:pos="426"/>
          <w:tab w:val="left" w:pos="851"/>
          <w:tab w:val="left" w:pos="1276"/>
          <w:tab w:val="right" w:leader="dot" w:pos="9072"/>
        </w:tabs>
        <w:spacing w:after="0" w:line="240" w:lineRule="auto"/>
        <w:rPr>
          <w:rStyle w:val="Hipervnculo"/>
          <w:rFonts w:eastAsiaTheme="minorHAnsi" w:cs="Arial"/>
          <w:noProof/>
          <w:color w:val="auto"/>
          <w:sz w:val="18"/>
          <w:szCs w:val="18"/>
          <w:u w:val="none"/>
        </w:rPr>
      </w:pPr>
    </w:p>
    <w:p w:rsidR="000728A0" w:rsidRPr="001E2F6E" w:rsidRDefault="00A327D4" w:rsidP="000728A0">
      <w:pPr>
        <w:pStyle w:val="TDC1"/>
        <w:tabs>
          <w:tab w:val="left" w:pos="426"/>
          <w:tab w:val="left" w:pos="851"/>
          <w:tab w:val="left" w:pos="1276"/>
          <w:tab w:val="right" w:leader="dot" w:pos="9072"/>
        </w:tabs>
        <w:spacing w:after="0" w:line="240" w:lineRule="auto"/>
        <w:rPr>
          <w:rStyle w:val="Hipervnculo"/>
          <w:rFonts w:eastAsiaTheme="minorHAnsi" w:cs="Arial"/>
          <w:noProof/>
          <w:color w:val="auto"/>
          <w:u w:val="none"/>
        </w:rPr>
      </w:pPr>
      <w:hyperlink w:anchor="_Toc392585690" w:history="1">
        <w:r w:rsidR="000728A0" w:rsidRPr="001E2F6E">
          <w:rPr>
            <w:rStyle w:val="Hipervnculo"/>
            <w:rFonts w:eastAsiaTheme="minorHAnsi" w:cs="Arial"/>
            <w:noProof/>
            <w:color w:val="auto"/>
            <w:sz w:val="18"/>
            <w:szCs w:val="18"/>
            <w:u w:val="none"/>
          </w:rPr>
          <w:t>1.-</w:t>
        </w:r>
        <w:r w:rsidR="000728A0" w:rsidRPr="001E2F6E">
          <w:rPr>
            <w:rStyle w:val="Hipervnculo"/>
            <w:rFonts w:eastAsiaTheme="minorHAnsi" w:cs="Arial"/>
            <w:noProof/>
            <w:color w:val="auto"/>
            <w:u w:val="none"/>
          </w:rPr>
          <w:tab/>
        </w:r>
        <w:r w:rsidR="000728A0" w:rsidRPr="001E2F6E">
          <w:rPr>
            <w:rStyle w:val="Hipervnculo"/>
            <w:rFonts w:eastAsiaTheme="minorHAnsi" w:cs="Arial"/>
            <w:noProof/>
            <w:color w:val="auto"/>
            <w:sz w:val="18"/>
            <w:szCs w:val="18"/>
            <w:u w:val="none"/>
          </w:rPr>
          <w:t>KRISIARI AURRE EGITEKO ESTRATEGIAK</w:t>
        </w:r>
        <w:r w:rsidR="000728A0" w:rsidRPr="001E2F6E">
          <w:rPr>
            <w:rStyle w:val="Hipervnculo"/>
            <w:rFonts w:eastAsiaTheme="minorHAnsi" w:cs="Arial"/>
            <w:noProof/>
            <w:webHidden/>
            <w:color w:val="auto"/>
            <w:u w:val="none"/>
          </w:rPr>
          <w:tab/>
        </w:r>
        <w:r w:rsidR="00EB6BA6" w:rsidRPr="001E2F6E">
          <w:rPr>
            <w:rStyle w:val="Hipervnculo"/>
            <w:rFonts w:eastAsiaTheme="minorHAnsi" w:cs="Arial"/>
            <w:noProof/>
            <w:webHidden/>
            <w:color w:val="auto"/>
            <w:u w:val="none"/>
          </w:rPr>
          <w:fldChar w:fldCharType="begin"/>
        </w:r>
        <w:r w:rsidR="000728A0" w:rsidRPr="001E2F6E">
          <w:rPr>
            <w:rStyle w:val="Hipervnculo"/>
            <w:rFonts w:eastAsiaTheme="minorHAnsi" w:cs="Arial"/>
            <w:noProof/>
            <w:webHidden/>
            <w:color w:val="auto"/>
            <w:u w:val="none"/>
          </w:rPr>
          <w:instrText xml:space="preserve"> PAGEREF _Toc392585690 \h </w:instrText>
        </w:r>
        <w:r w:rsidR="00EB6BA6" w:rsidRPr="001E2F6E">
          <w:rPr>
            <w:rStyle w:val="Hipervnculo"/>
            <w:rFonts w:eastAsiaTheme="minorHAnsi" w:cs="Arial"/>
            <w:noProof/>
            <w:webHidden/>
            <w:color w:val="auto"/>
            <w:u w:val="none"/>
          </w:rPr>
        </w:r>
        <w:r w:rsidR="00EB6BA6" w:rsidRPr="001E2F6E">
          <w:rPr>
            <w:rStyle w:val="Hipervnculo"/>
            <w:rFonts w:eastAsiaTheme="minorHAnsi" w:cs="Arial"/>
            <w:noProof/>
            <w:webHidden/>
            <w:color w:val="auto"/>
            <w:u w:val="none"/>
          </w:rPr>
          <w:fldChar w:fldCharType="separate"/>
        </w:r>
        <w:r>
          <w:rPr>
            <w:rStyle w:val="Hipervnculo"/>
            <w:rFonts w:eastAsiaTheme="minorHAnsi" w:cs="Arial"/>
            <w:noProof/>
            <w:webHidden/>
            <w:color w:val="auto"/>
            <w:u w:val="none"/>
          </w:rPr>
          <w:t>73</w:t>
        </w:r>
        <w:r w:rsidR="00EB6BA6" w:rsidRPr="001E2F6E">
          <w:rPr>
            <w:rStyle w:val="Hipervnculo"/>
            <w:rFonts w:eastAsiaTheme="minorHAnsi" w:cs="Arial"/>
            <w:noProof/>
            <w:webHidden/>
            <w:color w:val="auto"/>
            <w:u w:val="none"/>
          </w:rPr>
          <w:fldChar w:fldCharType="end"/>
        </w:r>
      </w:hyperlink>
    </w:p>
    <w:p w:rsidR="000728A0" w:rsidRPr="001E2F6E" w:rsidRDefault="00D34AE0" w:rsidP="000728A0">
      <w:pPr>
        <w:pStyle w:val="TDC1"/>
        <w:tabs>
          <w:tab w:val="left" w:pos="426"/>
          <w:tab w:val="left" w:pos="851"/>
          <w:tab w:val="left" w:pos="1276"/>
          <w:tab w:val="right" w:leader="dot" w:pos="9072"/>
        </w:tabs>
        <w:spacing w:after="0" w:line="240" w:lineRule="auto"/>
        <w:rPr>
          <w:rStyle w:val="Hipervnculo"/>
          <w:rFonts w:eastAsiaTheme="minorHAnsi" w:cs="Arial"/>
          <w:noProof/>
          <w:color w:val="auto"/>
          <w:u w:val="none"/>
        </w:rPr>
      </w:pPr>
      <w:r w:rsidRPr="001E2F6E">
        <w:rPr>
          <w:rStyle w:val="Hipervnculo"/>
          <w:rFonts w:eastAsiaTheme="minorHAnsi" w:cs="Arial"/>
          <w:noProof/>
          <w:color w:val="auto"/>
          <w:sz w:val="18"/>
          <w:szCs w:val="18"/>
          <w:u w:val="none"/>
        </w:rPr>
        <w:tab/>
      </w:r>
      <w:hyperlink w:anchor="_Toc392585691" w:history="1">
        <w:r w:rsidR="000728A0" w:rsidRPr="001E2F6E">
          <w:rPr>
            <w:rStyle w:val="Hipervnculo"/>
            <w:rFonts w:eastAsiaTheme="minorHAnsi" w:cs="Arial"/>
            <w:noProof/>
            <w:color w:val="auto"/>
            <w:sz w:val="18"/>
            <w:szCs w:val="18"/>
            <w:u w:val="none"/>
          </w:rPr>
          <w:t>1.1.-</w:t>
        </w:r>
        <w:r w:rsidR="000728A0" w:rsidRPr="001E2F6E">
          <w:rPr>
            <w:rStyle w:val="Hipervnculo"/>
            <w:rFonts w:eastAsiaTheme="minorHAnsi" w:cs="Arial"/>
            <w:noProof/>
            <w:color w:val="auto"/>
            <w:u w:val="none"/>
          </w:rPr>
          <w:tab/>
        </w:r>
        <w:r w:rsidR="000728A0" w:rsidRPr="001E2F6E">
          <w:rPr>
            <w:rStyle w:val="Hipervnculo"/>
            <w:rFonts w:eastAsiaTheme="minorHAnsi" w:cs="Arial"/>
            <w:noProof/>
            <w:color w:val="auto"/>
            <w:sz w:val="18"/>
            <w:szCs w:val="18"/>
            <w:u w:val="none"/>
          </w:rPr>
          <w:t>SOLDATA-DOIKUNTZA</w:t>
        </w:r>
        <w:r w:rsidR="000728A0" w:rsidRPr="001E2F6E">
          <w:rPr>
            <w:rStyle w:val="Hipervnculo"/>
            <w:rFonts w:eastAsiaTheme="minorHAnsi" w:cs="Arial"/>
            <w:noProof/>
            <w:webHidden/>
            <w:color w:val="auto"/>
            <w:u w:val="none"/>
          </w:rPr>
          <w:tab/>
        </w:r>
        <w:r w:rsidR="00EB6BA6" w:rsidRPr="001E2F6E">
          <w:rPr>
            <w:rStyle w:val="Hipervnculo"/>
            <w:rFonts w:eastAsiaTheme="minorHAnsi" w:cs="Arial"/>
            <w:noProof/>
            <w:webHidden/>
            <w:color w:val="auto"/>
            <w:u w:val="none"/>
          </w:rPr>
          <w:fldChar w:fldCharType="begin"/>
        </w:r>
        <w:r w:rsidR="000728A0" w:rsidRPr="001E2F6E">
          <w:rPr>
            <w:rStyle w:val="Hipervnculo"/>
            <w:rFonts w:eastAsiaTheme="minorHAnsi" w:cs="Arial"/>
            <w:noProof/>
            <w:webHidden/>
            <w:color w:val="auto"/>
            <w:u w:val="none"/>
          </w:rPr>
          <w:instrText xml:space="preserve"> PAGEREF _Toc392585691 \h </w:instrText>
        </w:r>
        <w:r w:rsidR="00EB6BA6" w:rsidRPr="001E2F6E">
          <w:rPr>
            <w:rStyle w:val="Hipervnculo"/>
            <w:rFonts w:eastAsiaTheme="minorHAnsi" w:cs="Arial"/>
            <w:noProof/>
            <w:webHidden/>
            <w:color w:val="auto"/>
            <w:u w:val="none"/>
          </w:rPr>
        </w:r>
        <w:r w:rsidR="00EB6BA6" w:rsidRPr="001E2F6E">
          <w:rPr>
            <w:rStyle w:val="Hipervnculo"/>
            <w:rFonts w:eastAsiaTheme="minorHAnsi" w:cs="Arial"/>
            <w:noProof/>
            <w:webHidden/>
            <w:color w:val="auto"/>
            <w:u w:val="none"/>
          </w:rPr>
          <w:fldChar w:fldCharType="separate"/>
        </w:r>
        <w:r w:rsidR="00A327D4">
          <w:rPr>
            <w:rStyle w:val="Hipervnculo"/>
            <w:rFonts w:eastAsiaTheme="minorHAnsi" w:cs="Arial"/>
            <w:noProof/>
            <w:webHidden/>
            <w:color w:val="auto"/>
            <w:u w:val="none"/>
          </w:rPr>
          <w:t>73</w:t>
        </w:r>
        <w:r w:rsidR="00EB6BA6" w:rsidRPr="001E2F6E">
          <w:rPr>
            <w:rStyle w:val="Hipervnculo"/>
            <w:rFonts w:eastAsiaTheme="minorHAnsi" w:cs="Arial"/>
            <w:noProof/>
            <w:webHidden/>
            <w:color w:val="auto"/>
            <w:u w:val="none"/>
          </w:rPr>
          <w:fldChar w:fldCharType="end"/>
        </w:r>
      </w:hyperlink>
    </w:p>
    <w:p w:rsidR="000728A0" w:rsidRPr="001E2F6E" w:rsidRDefault="00D34AE0" w:rsidP="000728A0">
      <w:pPr>
        <w:pStyle w:val="TDC1"/>
        <w:tabs>
          <w:tab w:val="left" w:pos="426"/>
          <w:tab w:val="left" w:pos="851"/>
          <w:tab w:val="left" w:pos="1276"/>
          <w:tab w:val="right" w:leader="dot" w:pos="9072"/>
        </w:tabs>
        <w:spacing w:after="0" w:line="240" w:lineRule="auto"/>
        <w:rPr>
          <w:rStyle w:val="Hipervnculo"/>
          <w:rFonts w:eastAsiaTheme="minorHAnsi" w:cs="Arial"/>
          <w:noProof/>
          <w:color w:val="auto"/>
          <w:u w:val="none"/>
        </w:rPr>
      </w:pPr>
      <w:r w:rsidRPr="001E2F6E">
        <w:rPr>
          <w:rStyle w:val="Hipervnculo"/>
          <w:rFonts w:eastAsiaTheme="minorHAnsi" w:cs="Arial"/>
          <w:noProof/>
          <w:color w:val="auto"/>
          <w:sz w:val="18"/>
          <w:szCs w:val="18"/>
          <w:u w:val="none"/>
        </w:rPr>
        <w:tab/>
      </w:r>
      <w:hyperlink w:anchor="_Toc392585692" w:history="1">
        <w:r w:rsidR="000728A0" w:rsidRPr="001E2F6E">
          <w:rPr>
            <w:rStyle w:val="Hipervnculo"/>
            <w:rFonts w:eastAsiaTheme="minorHAnsi" w:cs="Arial"/>
            <w:noProof/>
            <w:color w:val="auto"/>
            <w:sz w:val="18"/>
            <w:szCs w:val="18"/>
            <w:u w:val="none"/>
          </w:rPr>
          <w:t>1.2.-</w:t>
        </w:r>
        <w:r w:rsidR="000728A0" w:rsidRPr="001E2F6E">
          <w:rPr>
            <w:rStyle w:val="Hipervnculo"/>
            <w:rFonts w:eastAsiaTheme="minorHAnsi" w:cs="Arial"/>
            <w:noProof/>
            <w:color w:val="auto"/>
            <w:u w:val="none"/>
          </w:rPr>
          <w:tab/>
        </w:r>
        <w:r w:rsidR="000728A0" w:rsidRPr="001E2F6E">
          <w:rPr>
            <w:rStyle w:val="Hipervnculo"/>
            <w:rFonts w:eastAsiaTheme="minorHAnsi" w:cs="Arial"/>
            <w:noProof/>
            <w:color w:val="auto"/>
            <w:sz w:val="18"/>
            <w:szCs w:val="18"/>
            <w:u w:val="none"/>
          </w:rPr>
          <w:t>PERTSONALEAN ETA DEDIKAZIO-ORDUETAN DOIKUNTZAK</w:t>
        </w:r>
        <w:r w:rsidR="000728A0" w:rsidRPr="001E2F6E">
          <w:rPr>
            <w:rStyle w:val="Hipervnculo"/>
            <w:rFonts w:eastAsiaTheme="minorHAnsi" w:cs="Arial"/>
            <w:noProof/>
            <w:webHidden/>
            <w:color w:val="auto"/>
            <w:u w:val="none"/>
          </w:rPr>
          <w:tab/>
        </w:r>
        <w:r w:rsidR="00EB6BA6" w:rsidRPr="001E2F6E">
          <w:rPr>
            <w:rStyle w:val="Hipervnculo"/>
            <w:rFonts w:eastAsiaTheme="minorHAnsi" w:cs="Arial"/>
            <w:noProof/>
            <w:webHidden/>
            <w:color w:val="auto"/>
            <w:u w:val="none"/>
          </w:rPr>
          <w:fldChar w:fldCharType="begin"/>
        </w:r>
        <w:r w:rsidR="000728A0" w:rsidRPr="001E2F6E">
          <w:rPr>
            <w:rStyle w:val="Hipervnculo"/>
            <w:rFonts w:eastAsiaTheme="minorHAnsi" w:cs="Arial"/>
            <w:noProof/>
            <w:webHidden/>
            <w:color w:val="auto"/>
            <w:u w:val="none"/>
          </w:rPr>
          <w:instrText xml:space="preserve"> PAGEREF _Toc392585692 \h </w:instrText>
        </w:r>
        <w:r w:rsidR="00EB6BA6" w:rsidRPr="001E2F6E">
          <w:rPr>
            <w:rStyle w:val="Hipervnculo"/>
            <w:rFonts w:eastAsiaTheme="minorHAnsi" w:cs="Arial"/>
            <w:noProof/>
            <w:webHidden/>
            <w:color w:val="auto"/>
            <w:u w:val="none"/>
          </w:rPr>
        </w:r>
        <w:r w:rsidR="00EB6BA6" w:rsidRPr="001E2F6E">
          <w:rPr>
            <w:rStyle w:val="Hipervnculo"/>
            <w:rFonts w:eastAsiaTheme="minorHAnsi" w:cs="Arial"/>
            <w:noProof/>
            <w:webHidden/>
            <w:color w:val="auto"/>
            <w:u w:val="none"/>
          </w:rPr>
          <w:fldChar w:fldCharType="separate"/>
        </w:r>
        <w:r w:rsidR="00A327D4">
          <w:rPr>
            <w:rStyle w:val="Hipervnculo"/>
            <w:rFonts w:eastAsiaTheme="minorHAnsi" w:cs="Arial"/>
            <w:noProof/>
            <w:webHidden/>
            <w:color w:val="auto"/>
            <w:u w:val="none"/>
          </w:rPr>
          <w:t>74</w:t>
        </w:r>
        <w:r w:rsidR="00EB6BA6" w:rsidRPr="001E2F6E">
          <w:rPr>
            <w:rStyle w:val="Hipervnculo"/>
            <w:rFonts w:eastAsiaTheme="minorHAnsi" w:cs="Arial"/>
            <w:noProof/>
            <w:webHidden/>
            <w:color w:val="auto"/>
            <w:u w:val="none"/>
          </w:rPr>
          <w:fldChar w:fldCharType="end"/>
        </w:r>
      </w:hyperlink>
    </w:p>
    <w:p w:rsidR="000728A0" w:rsidRPr="001E2F6E" w:rsidRDefault="00D34AE0" w:rsidP="000728A0">
      <w:pPr>
        <w:pStyle w:val="TDC1"/>
        <w:tabs>
          <w:tab w:val="left" w:pos="426"/>
          <w:tab w:val="left" w:pos="851"/>
          <w:tab w:val="left" w:pos="1276"/>
          <w:tab w:val="right" w:leader="dot" w:pos="9072"/>
        </w:tabs>
        <w:spacing w:after="0" w:line="240" w:lineRule="auto"/>
        <w:rPr>
          <w:rStyle w:val="Hipervnculo"/>
          <w:rFonts w:eastAsiaTheme="minorHAnsi" w:cs="Arial"/>
          <w:noProof/>
          <w:color w:val="auto"/>
          <w:u w:val="none"/>
        </w:rPr>
      </w:pPr>
      <w:r w:rsidRPr="001E2F6E">
        <w:rPr>
          <w:rStyle w:val="Hipervnculo"/>
          <w:rFonts w:eastAsiaTheme="minorHAnsi" w:cs="Arial"/>
          <w:noProof/>
          <w:color w:val="auto"/>
          <w:sz w:val="18"/>
          <w:szCs w:val="18"/>
          <w:u w:val="none"/>
        </w:rPr>
        <w:tab/>
      </w:r>
      <w:hyperlink w:anchor="_Toc392585693" w:history="1">
        <w:r w:rsidR="000728A0" w:rsidRPr="001E2F6E">
          <w:rPr>
            <w:rStyle w:val="Hipervnculo"/>
            <w:rFonts w:eastAsiaTheme="minorHAnsi" w:cs="Arial"/>
            <w:noProof/>
            <w:color w:val="auto"/>
            <w:sz w:val="18"/>
            <w:szCs w:val="18"/>
            <w:u w:val="none"/>
          </w:rPr>
          <w:t>1.3.-</w:t>
        </w:r>
        <w:r w:rsidR="000728A0" w:rsidRPr="001E2F6E">
          <w:rPr>
            <w:rStyle w:val="Hipervnculo"/>
            <w:rFonts w:eastAsiaTheme="minorHAnsi" w:cs="Arial"/>
            <w:noProof/>
            <w:color w:val="auto"/>
            <w:u w:val="none"/>
          </w:rPr>
          <w:tab/>
        </w:r>
        <w:r w:rsidR="000728A0" w:rsidRPr="001E2F6E">
          <w:rPr>
            <w:rStyle w:val="Hipervnculo"/>
            <w:rFonts w:eastAsiaTheme="minorHAnsi" w:cs="Arial"/>
            <w:noProof/>
            <w:color w:val="auto"/>
            <w:sz w:val="18"/>
            <w:szCs w:val="18"/>
            <w:u w:val="none"/>
          </w:rPr>
          <w:t>KOOPERATIBEN ARTEKO LANKIDETZA-AKORDIO SOLIDARIOAK</w:t>
        </w:r>
        <w:r w:rsidR="000728A0" w:rsidRPr="001E2F6E">
          <w:rPr>
            <w:rStyle w:val="Hipervnculo"/>
            <w:rFonts w:eastAsiaTheme="minorHAnsi" w:cs="Arial"/>
            <w:noProof/>
            <w:webHidden/>
            <w:color w:val="auto"/>
            <w:u w:val="none"/>
          </w:rPr>
          <w:tab/>
        </w:r>
        <w:r w:rsidR="00EB6BA6" w:rsidRPr="001E2F6E">
          <w:rPr>
            <w:rStyle w:val="Hipervnculo"/>
            <w:rFonts w:eastAsiaTheme="minorHAnsi" w:cs="Arial"/>
            <w:noProof/>
            <w:webHidden/>
            <w:color w:val="auto"/>
            <w:u w:val="none"/>
          </w:rPr>
          <w:fldChar w:fldCharType="begin"/>
        </w:r>
        <w:r w:rsidR="000728A0" w:rsidRPr="001E2F6E">
          <w:rPr>
            <w:rStyle w:val="Hipervnculo"/>
            <w:rFonts w:eastAsiaTheme="minorHAnsi" w:cs="Arial"/>
            <w:noProof/>
            <w:webHidden/>
            <w:color w:val="auto"/>
            <w:u w:val="none"/>
          </w:rPr>
          <w:instrText xml:space="preserve"> PAGEREF _Toc392585693 \h </w:instrText>
        </w:r>
        <w:r w:rsidR="00EB6BA6" w:rsidRPr="001E2F6E">
          <w:rPr>
            <w:rStyle w:val="Hipervnculo"/>
            <w:rFonts w:eastAsiaTheme="minorHAnsi" w:cs="Arial"/>
            <w:noProof/>
            <w:webHidden/>
            <w:color w:val="auto"/>
            <w:u w:val="none"/>
          </w:rPr>
        </w:r>
        <w:r w:rsidR="00EB6BA6" w:rsidRPr="001E2F6E">
          <w:rPr>
            <w:rStyle w:val="Hipervnculo"/>
            <w:rFonts w:eastAsiaTheme="minorHAnsi" w:cs="Arial"/>
            <w:noProof/>
            <w:webHidden/>
            <w:color w:val="auto"/>
            <w:u w:val="none"/>
          </w:rPr>
          <w:fldChar w:fldCharType="separate"/>
        </w:r>
        <w:r w:rsidR="00A327D4">
          <w:rPr>
            <w:rStyle w:val="Hipervnculo"/>
            <w:rFonts w:eastAsiaTheme="minorHAnsi" w:cs="Arial"/>
            <w:noProof/>
            <w:webHidden/>
            <w:color w:val="auto"/>
            <w:u w:val="none"/>
          </w:rPr>
          <w:t>74</w:t>
        </w:r>
        <w:r w:rsidR="00EB6BA6" w:rsidRPr="001E2F6E">
          <w:rPr>
            <w:rStyle w:val="Hipervnculo"/>
            <w:rFonts w:eastAsiaTheme="minorHAnsi" w:cs="Arial"/>
            <w:noProof/>
            <w:webHidden/>
            <w:color w:val="auto"/>
            <w:u w:val="none"/>
          </w:rPr>
          <w:fldChar w:fldCharType="end"/>
        </w:r>
      </w:hyperlink>
    </w:p>
    <w:p w:rsidR="00D34AE0" w:rsidRPr="001E2F6E" w:rsidRDefault="00D34AE0" w:rsidP="000728A0">
      <w:pPr>
        <w:pStyle w:val="TDC1"/>
        <w:tabs>
          <w:tab w:val="left" w:pos="426"/>
          <w:tab w:val="left" w:pos="851"/>
          <w:tab w:val="left" w:pos="1276"/>
          <w:tab w:val="right" w:leader="dot" w:pos="9072"/>
        </w:tabs>
        <w:spacing w:after="0" w:line="240" w:lineRule="auto"/>
        <w:rPr>
          <w:rStyle w:val="Hipervnculo"/>
          <w:rFonts w:eastAsiaTheme="minorHAnsi" w:cs="Arial"/>
          <w:noProof/>
          <w:color w:val="auto"/>
          <w:sz w:val="18"/>
          <w:szCs w:val="18"/>
          <w:u w:val="none"/>
        </w:rPr>
      </w:pPr>
    </w:p>
    <w:p w:rsidR="000728A0" w:rsidRPr="001E2F6E" w:rsidRDefault="00A327D4" w:rsidP="000728A0">
      <w:pPr>
        <w:pStyle w:val="TDC1"/>
        <w:tabs>
          <w:tab w:val="left" w:pos="426"/>
          <w:tab w:val="left" w:pos="851"/>
          <w:tab w:val="left" w:pos="1276"/>
          <w:tab w:val="right" w:leader="dot" w:pos="9072"/>
        </w:tabs>
        <w:spacing w:after="0" w:line="240" w:lineRule="auto"/>
        <w:rPr>
          <w:rStyle w:val="Hipervnculo"/>
          <w:rFonts w:eastAsiaTheme="minorHAnsi" w:cs="Arial"/>
          <w:noProof/>
          <w:color w:val="auto"/>
          <w:u w:val="none"/>
        </w:rPr>
      </w:pPr>
      <w:hyperlink w:anchor="_Toc392585694" w:history="1">
        <w:r w:rsidR="000728A0" w:rsidRPr="001E2F6E">
          <w:rPr>
            <w:rStyle w:val="Hipervnculo"/>
            <w:rFonts w:eastAsiaTheme="minorHAnsi" w:cs="Arial"/>
            <w:noProof/>
            <w:color w:val="auto"/>
            <w:sz w:val="18"/>
            <w:szCs w:val="18"/>
            <w:u w:val="none"/>
          </w:rPr>
          <w:t>2.- KUDEAKETARAKO TRESNAK</w:t>
        </w:r>
        <w:r w:rsidR="000728A0" w:rsidRPr="001E2F6E">
          <w:rPr>
            <w:rStyle w:val="Hipervnculo"/>
            <w:rFonts w:eastAsiaTheme="minorHAnsi" w:cs="Arial"/>
            <w:noProof/>
            <w:webHidden/>
            <w:color w:val="auto"/>
            <w:u w:val="none"/>
          </w:rPr>
          <w:tab/>
        </w:r>
        <w:r w:rsidR="00EB6BA6" w:rsidRPr="001E2F6E">
          <w:rPr>
            <w:rStyle w:val="Hipervnculo"/>
            <w:rFonts w:eastAsiaTheme="minorHAnsi" w:cs="Arial"/>
            <w:noProof/>
            <w:webHidden/>
            <w:color w:val="auto"/>
            <w:u w:val="none"/>
          </w:rPr>
          <w:fldChar w:fldCharType="begin"/>
        </w:r>
        <w:r w:rsidR="000728A0" w:rsidRPr="001E2F6E">
          <w:rPr>
            <w:rStyle w:val="Hipervnculo"/>
            <w:rFonts w:eastAsiaTheme="minorHAnsi" w:cs="Arial"/>
            <w:noProof/>
            <w:webHidden/>
            <w:color w:val="auto"/>
            <w:u w:val="none"/>
          </w:rPr>
          <w:instrText xml:space="preserve"> PAGEREF _Toc392585694 \h </w:instrText>
        </w:r>
        <w:r w:rsidR="00EB6BA6" w:rsidRPr="001E2F6E">
          <w:rPr>
            <w:rStyle w:val="Hipervnculo"/>
            <w:rFonts w:eastAsiaTheme="minorHAnsi" w:cs="Arial"/>
            <w:noProof/>
            <w:webHidden/>
            <w:color w:val="auto"/>
            <w:u w:val="none"/>
          </w:rPr>
        </w:r>
        <w:r w:rsidR="00EB6BA6" w:rsidRPr="001E2F6E">
          <w:rPr>
            <w:rStyle w:val="Hipervnculo"/>
            <w:rFonts w:eastAsiaTheme="minorHAnsi" w:cs="Arial"/>
            <w:noProof/>
            <w:webHidden/>
            <w:color w:val="auto"/>
            <w:u w:val="none"/>
          </w:rPr>
          <w:fldChar w:fldCharType="separate"/>
        </w:r>
        <w:r>
          <w:rPr>
            <w:rStyle w:val="Hipervnculo"/>
            <w:rFonts w:eastAsiaTheme="minorHAnsi" w:cs="Arial"/>
            <w:noProof/>
            <w:webHidden/>
            <w:color w:val="auto"/>
            <w:u w:val="none"/>
          </w:rPr>
          <w:t>75</w:t>
        </w:r>
        <w:r w:rsidR="00EB6BA6" w:rsidRPr="001E2F6E">
          <w:rPr>
            <w:rStyle w:val="Hipervnculo"/>
            <w:rFonts w:eastAsiaTheme="minorHAnsi" w:cs="Arial"/>
            <w:noProof/>
            <w:webHidden/>
            <w:color w:val="auto"/>
            <w:u w:val="none"/>
          </w:rPr>
          <w:fldChar w:fldCharType="end"/>
        </w:r>
      </w:hyperlink>
    </w:p>
    <w:p w:rsidR="00D34AE0" w:rsidRPr="001E2F6E" w:rsidRDefault="00D34AE0" w:rsidP="000728A0">
      <w:pPr>
        <w:pStyle w:val="TDC1"/>
        <w:tabs>
          <w:tab w:val="left" w:pos="426"/>
          <w:tab w:val="left" w:pos="851"/>
          <w:tab w:val="left" w:pos="1276"/>
          <w:tab w:val="right" w:leader="dot" w:pos="9072"/>
        </w:tabs>
        <w:spacing w:after="0" w:line="240" w:lineRule="auto"/>
        <w:rPr>
          <w:rStyle w:val="Hipervnculo"/>
          <w:rFonts w:eastAsiaTheme="minorHAnsi" w:cs="Arial"/>
          <w:noProof/>
          <w:color w:val="auto"/>
          <w:sz w:val="18"/>
          <w:szCs w:val="18"/>
          <w:u w:val="none"/>
        </w:rPr>
      </w:pPr>
    </w:p>
    <w:p w:rsidR="000728A0" w:rsidRPr="001E2F6E" w:rsidRDefault="00A327D4" w:rsidP="000728A0">
      <w:pPr>
        <w:pStyle w:val="TDC1"/>
        <w:tabs>
          <w:tab w:val="left" w:pos="426"/>
          <w:tab w:val="left" w:pos="851"/>
          <w:tab w:val="left" w:pos="1276"/>
          <w:tab w:val="right" w:leader="dot" w:pos="9072"/>
        </w:tabs>
        <w:spacing w:after="0" w:line="240" w:lineRule="auto"/>
        <w:rPr>
          <w:rStyle w:val="Hipervnculo"/>
          <w:rFonts w:eastAsiaTheme="minorHAnsi" w:cs="Arial"/>
          <w:noProof/>
          <w:color w:val="auto"/>
          <w:u w:val="none"/>
        </w:rPr>
      </w:pPr>
      <w:hyperlink w:anchor="_Toc392585695" w:history="1">
        <w:r w:rsidR="000728A0" w:rsidRPr="001E2F6E">
          <w:rPr>
            <w:rStyle w:val="Hipervnculo"/>
            <w:rFonts w:eastAsiaTheme="minorHAnsi" w:cs="Arial"/>
            <w:noProof/>
            <w:color w:val="auto"/>
            <w:sz w:val="18"/>
            <w:szCs w:val="18"/>
            <w:u w:val="none"/>
          </w:rPr>
          <w:t xml:space="preserve">3.- </w:t>
        </w:r>
        <w:r w:rsidR="000728A0" w:rsidRPr="001E2F6E">
          <w:rPr>
            <w:rStyle w:val="Hipervnculo"/>
            <w:rFonts w:eastAsiaTheme="minorHAnsi" w:cs="Arial"/>
            <w:noProof/>
            <w:color w:val="auto"/>
            <w:u w:val="none"/>
          </w:rPr>
          <w:tab/>
        </w:r>
        <w:r w:rsidR="000728A0" w:rsidRPr="001E2F6E">
          <w:rPr>
            <w:rStyle w:val="Hipervnculo"/>
            <w:rFonts w:eastAsiaTheme="minorHAnsi" w:cs="Arial"/>
            <w:noProof/>
            <w:color w:val="auto"/>
            <w:sz w:val="18"/>
            <w:szCs w:val="18"/>
            <w:u w:val="none"/>
          </w:rPr>
          <w:t>KUDEAKETARI LOTUTAKO BESTE JARDUERA BATZUK</w:t>
        </w:r>
        <w:r w:rsidR="000728A0" w:rsidRPr="001E2F6E">
          <w:rPr>
            <w:rStyle w:val="Hipervnculo"/>
            <w:rFonts w:eastAsiaTheme="minorHAnsi" w:cs="Arial"/>
            <w:noProof/>
            <w:webHidden/>
            <w:color w:val="auto"/>
            <w:u w:val="none"/>
          </w:rPr>
          <w:tab/>
        </w:r>
        <w:r w:rsidR="00EB6BA6" w:rsidRPr="001E2F6E">
          <w:rPr>
            <w:rStyle w:val="Hipervnculo"/>
            <w:rFonts w:eastAsiaTheme="minorHAnsi" w:cs="Arial"/>
            <w:noProof/>
            <w:webHidden/>
            <w:color w:val="auto"/>
            <w:u w:val="none"/>
          </w:rPr>
          <w:fldChar w:fldCharType="begin"/>
        </w:r>
        <w:r w:rsidR="000728A0" w:rsidRPr="001E2F6E">
          <w:rPr>
            <w:rStyle w:val="Hipervnculo"/>
            <w:rFonts w:eastAsiaTheme="minorHAnsi" w:cs="Arial"/>
            <w:noProof/>
            <w:webHidden/>
            <w:color w:val="auto"/>
            <w:u w:val="none"/>
          </w:rPr>
          <w:instrText xml:space="preserve"> PAGEREF _Toc392585695 \h </w:instrText>
        </w:r>
        <w:r w:rsidR="00EB6BA6" w:rsidRPr="001E2F6E">
          <w:rPr>
            <w:rStyle w:val="Hipervnculo"/>
            <w:rFonts w:eastAsiaTheme="minorHAnsi" w:cs="Arial"/>
            <w:noProof/>
            <w:webHidden/>
            <w:color w:val="auto"/>
            <w:u w:val="none"/>
          </w:rPr>
        </w:r>
        <w:r w:rsidR="00EB6BA6" w:rsidRPr="001E2F6E">
          <w:rPr>
            <w:rStyle w:val="Hipervnculo"/>
            <w:rFonts w:eastAsiaTheme="minorHAnsi" w:cs="Arial"/>
            <w:noProof/>
            <w:webHidden/>
            <w:color w:val="auto"/>
            <w:u w:val="none"/>
          </w:rPr>
          <w:fldChar w:fldCharType="separate"/>
        </w:r>
        <w:r>
          <w:rPr>
            <w:rStyle w:val="Hipervnculo"/>
            <w:rFonts w:eastAsiaTheme="minorHAnsi" w:cs="Arial"/>
            <w:noProof/>
            <w:webHidden/>
            <w:color w:val="auto"/>
            <w:u w:val="none"/>
          </w:rPr>
          <w:t>77</w:t>
        </w:r>
        <w:r w:rsidR="00EB6BA6" w:rsidRPr="001E2F6E">
          <w:rPr>
            <w:rStyle w:val="Hipervnculo"/>
            <w:rFonts w:eastAsiaTheme="minorHAnsi" w:cs="Arial"/>
            <w:noProof/>
            <w:webHidden/>
            <w:color w:val="auto"/>
            <w:u w:val="none"/>
          </w:rPr>
          <w:fldChar w:fldCharType="end"/>
        </w:r>
      </w:hyperlink>
    </w:p>
    <w:p w:rsidR="00D34AE0" w:rsidRPr="001E2F6E" w:rsidRDefault="00D34AE0" w:rsidP="000728A0">
      <w:pPr>
        <w:pStyle w:val="TDC1"/>
        <w:tabs>
          <w:tab w:val="left" w:pos="426"/>
          <w:tab w:val="left" w:pos="851"/>
          <w:tab w:val="left" w:pos="1276"/>
          <w:tab w:val="right" w:leader="dot" w:pos="9072"/>
        </w:tabs>
        <w:spacing w:after="0" w:line="240" w:lineRule="auto"/>
        <w:rPr>
          <w:rStyle w:val="Hipervnculo"/>
          <w:rFonts w:eastAsiaTheme="minorHAnsi" w:cs="Arial"/>
          <w:noProof/>
          <w:color w:val="auto"/>
          <w:sz w:val="18"/>
          <w:szCs w:val="18"/>
          <w:u w:val="none"/>
        </w:rPr>
      </w:pPr>
    </w:p>
    <w:p w:rsidR="000728A0" w:rsidRPr="001E2F6E" w:rsidRDefault="00A327D4" w:rsidP="000728A0">
      <w:pPr>
        <w:pStyle w:val="TDC1"/>
        <w:tabs>
          <w:tab w:val="left" w:pos="426"/>
          <w:tab w:val="left" w:pos="851"/>
          <w:tab w:val="left" w:pos="1276"/>
          <w:tab w:val="right" w:leader="dot" w:pos="9072"/>
        </w:tabs>
        <w:spacing w:after="0" w:line="240" w:lineRule="auto"/>
        <w:rPr>
          <w:rStyle w:val="Hipervnculo"/>
          <w:rFonts w:eastAsiaTheme="minorHAnsi" w:cs="Arial"/>
          <w:noProof/>
          <w:color w:val="auto"/>
          <w:u w:val="none"/>
        </w:rPr>
      </w:pPr>
      <w:hyperlink w:anchor="_Toc392585696" w:history="1">
        <w:r w:rsidR="000728A0" w:rsidRPr="001E2F6E">
          <w:rPr>
            <w:rStyle w:val="Hipervnculo"/>
            <w:rFonts w:eastAsiaTheme="minorHAnsi" w:cs="Arial"/>
            <w:noProof/>
            <w:color w:val="auto"/>
            <w:sz w:val="18"/>
            <w:szCs w:val="18"/>
            <w:u w:val="none"/>
          </w:rPr>
          <w:t>4.-</w:t>
        </w:r>
        <w:r w:rsidR="000728A0" w:rsidRPr="001E2F6E">
          <w:rPr>
            <w:rStyle w:val="Hipervnculo"/>
            <w:rFonts w:eastAsiaTheme="minorHAnsi" w:cs="Arial"/>
            <w:noProof/>
            <w:color w:val="auto"/>
            <w:u w:val="none"/>
          </w:rPr>
          <w:tab/>
        </w:r>
        <w:r w:rsidR="000728A0" w:rsidRPr="001E2F6E">
          <w:rPr>
            <w:rStyle w:val="Hipervnculo"/>
            <w:rFonts w:eastAsiaTheme="minorHAnsi" w:cs="Arial"/>
            <w:noProof/>
            <w:color w:val="auto"/>
            <w:sz w:val="18"/>
            <w:szCs w:val="18"/>
            <w:u w:val="none"/>
          </w:rPr>
          <w:t>ENPRESEN ARTEKO LANKIDETZA</w:t>
        </w:r>
        <w:r w:rsidR="000728A0" w:rsidRPr="001E2F6E">
          <w:rPr>
            <w:rStyle w:val="Hipervnculo"/>
            <w:rFonts w:eastAsiaTheme="minorHAnsi" w:cs="Arial"/>
            <w:noProof/>
            <w:webHidden/>
            <w:color w:val="auto"/>
            <w:u w:val="none"/>
          </w:rPr>
          <w:tab/>
        </w:r>
        <w:r w:rsidR="00EB6BA6" w:rsidRPr="001E2F6E">
          <w:rPr>
            <w:rStyle w:val="Hipervnculo"/>
            <w:rFonts w:eastAsiaTheme="minorHAnsi" w:cs="Arial"/>
            <w:noProof/>
            <w:webHidden/>
            <w:color w:val="auto"/>
            <w:u w:val="none"/>
          </w:rPr>
          <w:fldChar w:fldCharType="begin"/>
        </w:r>
        <w:r w:rsidR="000728A0" w:rsidRPr="001E2F6E">
          <w:rPr>
            <w:rStyle w:val="Hipervnculo"/>
            <w:rFonts w:eastAsiaTheme="minorHAnsi" w:cs="Arial"/>
            <w:noProof/>
            <w:webHidden/>
            <w:color w:val="auto"/>
            <w:u w:val="none"/>
          </w:rPr>
          <w:instrText xml:space="preserve"> PAGEREF _Toc392585696 \h </w:instrText>
        </w:r>
        <w:r w:rsidR="00EB6BA6" w:rsidRPr="001E2F6E">
          <w:rPr>
            <w:rStyle w:val="Hipervnculo"/>
            <w:rFonts w:eastAsiaTheme="minorHAnsi" w:cs="Arial"/>
            <w:noProof/>
            <w:webHidden/>
            <w:color w:val="auto"/>
            <w:u w:val="none"/>
          </w:rPr>
        </w:r>
        <w:r w:rsidR="00EB6BA6" w:rsidRPr="001E2F6E">
          <w:rPr>
            <w:rStyle w:val="Hipervnculo"/>
            <w:rFonts w:eastAsiaTheme="minorHAnsi" w:cs="Arial"/>
            <w:noProof/>
            <w:webHidden/>
            <w:color w:val="auto"/>
            <w:u w:val="none"/>
          </w:rPr>
          <w:fldChar w:fldCharType="separate"/>
        </w:r>
        <w:r>
          <w:rPr>
            <w:rStyle w:val="Hipervnculo"/>
            <w:rFonts w:eastAsiaTheme="minorHAnsi" w:cs="Arial"/>
            <w:noProof/>
            <w:webHidden/>
            <w:color w:val="auto"/>
            <w:u w:val="none"/>
          </w:rPr>
          <w:t>78</w:t>
        </w:r>
        <w:r w:rsidR="00EB6BA6" w:rsidRPr="001E2F6E">
          <w:rPr>
            <w:rStyle w:val="Hipervnculo"/>
            <w:rFonts w:eastAsiaTheme="minorHAnsi" w:cs="Arial"/>
            <w:noProof/>
            <w:webHidden/>
            <w:color w:val="auto"/>
            <w:u w:val="none"/>
          </w:rPr>
          <w:fldChar w:fldCharType="end"/>
        </w:r>
      </w:hyperlink>
    </w:p>
    <w:p w:rsidR="00D34AE0" w:rsidRPr="001E2F6E" w:rsidRDefault="00D34AE0" w:rsidP="000728A0">
      <w:pPr>
        <w:pStyle w:val="TDC1"/>
        <w:tabs>
          <w:tab w:val="left" w:pos="426"/>
          <w:tab w:val="left" w:pos="851"/>
          <w:tab w:val="left" w:pos="1276"/>
          <w:tab w:val="right" w:leader="dot" w:pos="9072"/>
        </w:tabs>
        <w:spacing w:after="0" w:line="240" w:lineRule="auto"/>
        <w:rPr>
          <w:rStyle w:val="Hipervnculo"/>
          <w:rFonts w:eastAsiaTheme="minorHAnsi" w:cs="Arial"/>
          <w:noProof/>
          <w:color w:val="auto"/>
          <w:sz w:val="18"/>
          <w:szCs w:val="18"/>
          <w:u w:val="none"/>
        </w:rPr>
      </w:pPr>
    </w:p>
    <w:p w:rsidR="000728A0" w:rsidRPr="001E2F6E" w:rsidRDefault="00A327D4" w:rsidP="000728A0">
      <w:pPr>
        <w:pStyle w:val="TDC1"/>
        <w:tabs>
          <w:tab w:val="left" w:pos="426"/>
          <w:tab w:val="left" w:pos="851"/>
          <w:tab w:val="left" w:pos="1276"/>
          <w:tab w:val="right" w:leader="dot" w:pos="9072"/>
        </w:tabs>
        <w:spacing w:after="0" w:line="240" w:lineRule="auto"/>
        <w:rPr>
          <w:rStyle w:val="Hipervnculo"/>
          <w:rFonts w:eastAsiaTheme="minorHAnsi" w:cs="Arial"/>
          <w:b/>
          <w:noProof/>
          <w:color w:val="auto"/>
          <w:u w:val="none"/>
        </w:rPr>
      </w:pPr>
      <w:hyperlink w:anchor="_Toc392585697" w:history="1">
        <w:r w:rsidR="000728A0" w:rsidRPr="001E2F6E">
          <w:rPr>
            <w:rStyle w:val="Hipervnculo"/>
            <w:rFonts w:eastAsiaTheme="minorHAnsi" w:cs="Arial"/>
            <w:b/>
            <w:noProof/>
            <w:color w:val="auto"/>
            <w:sz w:val="18"/>
            <w:szCs w:val="18"/>
            <w:u w:val="none"/>
          </w:rPr>
          <w:t xml:space="preserve">IV.- </w:t>
        </w:r>
        <w:r w:rsidR="000728A0" w:rsidRPr="001E2F6E">
          <w:rPr>
            <w:rStyle w:val="Hipervnculo"/>
            <w:rFonts w:eastAsiaTheme="minorHAnsi" w:cs="Arial"/>
            <w:b/>
            <w:noProof/>
            <w:color w:val="auto"/>
            <w:u w:val="none"/>
          </w:rPr>
          <w:tab/>
        </w:r>
        <w:r w:rsidR="000728A0" w:rsidRPr="001E2F6E">
          <w:rPr>
            <w:rStyle w:val="Hipervnculo"/>
            <w:rFonts w:eastAsiaTheme="minorHAnsi" w:cs="Arial"/>
            <w:b/>
            <w:noProof/>
            <w:color w:val="auto"/>
            <w:sz w:val="18"/>
            <w:szCs w:val="18"/>
            <w:u w:val="none"/>
          </w:rPr>
          <w:t>GIZARTE EKONOMIAREN FORMA BERRIAK (GEFB)</w:t>
        </w:r>
        <w:r w:rsidR="000728A0" w:rsidRPr="001E2F6E">
          <w:rPr>
            <w:rStyle w:val="Hipervnculo"/>
            <w:rFonts w:eastAsiaTheme="minorHAnsi" w:cs="Arial"/>
            <w:b/>
            <w:noProof/>
            <w:webHidden/>
            <w:color w:val="auto"/>
            <w:u w:val="none"/>
          </w:rPr>
          <w:tab/>
        </w:r>
        <w:r w:rsidR="00EB6BA6" w:rsidRPr="001E2F6E">
          <w:rPr>
            <w:rStyle w:val="Hipervnculo"/>
            <w:rFonts w:eastAsiaTheme="minorHAnsi" w:cs="Arial"/>
            <w:b/>
            <w:noProof/>
            <w:webHidden/>
            <w:color w:val="auto"/>
            <w:u w:val="none"/>
          </w:rPr>
          <w:fldChar w:fldCharType="begin"/>
        </w:r>
        <w:r w:rsidR="000728A0" w:rsidRPr="001E2F6E">
          <w:rPr>
            <w:rStyle w:val="Hipervnculo"/>
            <w:rFonts w:eastAsiaTheme="minorHAnsi" w:cs="Arial"/>
            <w:b/>
            <w:noProof/>
            <w:webHidden/>
            <w:color w:val="auto"/>
            <w:u w:val="none"/>
          </w:rPr>
          <w:instrText xml:space="preserve"> PAGEREF _Toc392585697 \h </w:instrText>
        </w:r>
        <w:r w:rsidR="00EB6BA6" w:rsidRPr="001E2F6E">
          <w:rPr>
            <w:rStyle w:val="Hipervnculo"/>
            <w:rFonts w:eastAsiaTheme="minorHAnsi" w:cs="Arial"/>
            <w:b/>
            <w:noProof/>
            <w:webHidden/>
            <w:color w:val="auto"/>
            <w:u w:val="none"/>
          </w:rPr>
        </w:r>
        <w:r w:rsidR="00EB6BA6" w:rsidRPr="001E2F6E">
          <w:rPr>
            <w:rStyle w:val="Hipervnculo"/>
            <w:rFonts w:eastAsiaTheme="minorHAnsi" w:cs="Arial"/>
            <w:b/>
            <w:noProof/>
            <w:webHidden/>
            <w:color w:val="auto"/>
            <w:u w:val="none"/>
          </w:rPr>
          <w:fldChar w:fldCharType="separate"/>
        </w:r>
        <w:r>
          <w:rPr>
            <w:rStyle w:val="Hipervnculo"/>
            <w:rFonts w:eastAsiaTheme="minorHAnsi" w:cs="Arial"/>
            <w:b/>
            <w:noProof/>
            <w:webHidden/>
            <w:color w:val="auto"/>
            <w:u w:val="none"/>
          </w:rPr>
          <w:t>80</w:t>
        </w:r>
        <w:r w:rsidR="00EB6BA6" w:rsidRPr="001E2F6E">
          <w:rPr>
            <w:rStyle w:val="Hipervnculo"/>
            <w:rFonts w:eastAsiaTheme="minorHAnsi" w:cs="Arial"/>
            <w:b/>
            <w:noProof/>
            <w:webHidden/>
            <w:color w:val="auto"/>
            <w:u w:val="none"/>
          </w:rPr>
          <w:fldChar w:fldCharType="end"/>
        </w:r>
      </w:hyperlink>
    </w:p>
    <w:p w:rsidR="00D34AE0" w:rsidRPr="001E2F6E" w:rsidRDefault="00D34AE0" w:rsidP="000728A0">
      <w:pPr>
        <w:pStyle w:val="TDC1"/>
        <w:tabs>
          <w:tab w:val="left" w:pos="426"/>
          <w:tab w:val="left" w:pos="851"/>
          <w:tab w:val="left" w:pos="1276"/>
          <w:tab w:val="right" w:leader="dot" w:pos="9072"/>
        </w:tabs>
        <w:spacing w:after="0" w:line="240" w:lineRule="auto"/>
        <w:rPr>
          <w:rStyle w:val="Hipervnculo"/>
          <w:rFonts w:eastAsiaTheme="minorHAnsi" w:cs="Arial"/>
          <w:noProof/>
          <w:color w:val="auto"/>
          <w:sz w:val="18"/>
          <w:szCs w:val="18"/>
          <w:u w:val="none"/>
        </w:rPr>
      </w:pPr>
    </w:p>
    <w:p w:rsidR="000728A0" w:rsidRPr="001E2F6E" w:rsidRDefault="00A327D4" w:rsidP="000728A0">
      <w:pPr>
        <w:pStyle w:val="TDC1"/>
        <w:tabs>
          <w:tab w:val="left" w:pos="426"/>
          <w:tab w:val="left" w:pos="851"/>
          <w:tab w:val="left" w:pos="1276"/>
          <w:tab w:val="right" w:leader="dot" w:pos="9072"/>
        </w:tabs>
        <w:spacing w:after="0" w:line="240" w:lineRule="auto"/>
        <w:rPr>
          <w:rStyle w:val="Hipervnculo"/>
          <w:rFonts w:eastAsiaTheme="minorHAnsi" w:cs="Arial"/>
          <w:noProof/>
          <w:color w:val="auto"/>
          <w:u w:val="none"/>
        </w:rPr>
      </w:pPr>
      <w:hyperlink w:anchor="_Toc392585698" w:history="1">
        <w:r w:rsidR="000728A0" w:rsidRPr="001E2F6E">
          <w:rPr>
            <w:rStyle w:val="Hipervnculo"/>
            <w:rFonts w:eastAsiaTheme="minorHAnsi" w:cs="Arial"/>
            <w:noProof/>
            <w:color w:val="auto"/>
            <w:sz w:val="18"/>
            <w:szCs w:val="18"/>
            <w:u w:val="none"/>
          </w:rPr>
          <w:t xml:space="preserve">1.- </w:t>
        </w:r>
        <w:r w:rsidR="000728A0" w:rsidRPr="001E2F6E">
          <w:rPr>
            <w:rStyle w:val="Hipervnculo"/>
            <w:rFonts w:eastAsiaTheme="minorHAnsi" w:cs="Arial"/>
            <w:noProof/>
            <w:color w:val="auto"/>
            <w:u w:val="none"/>
          </w:rPr>
          <w:tab/>
        </w:r>
        <w:r w:rsidR="000728A0" w:rsidRPr="001E2F6E">
          <w:rPr>
            <w:rStyle w:val="Hipervnculo"/>
            <w:rFonts w:eastAsiaTheme="minorHAnsi" w:cs="Arial"/>
            <w:noProof/>
            <w:color w:val="auto"/>
            <w:sz w:val="18"/>
            <w:szCs w:val="18"/>
            <w:u w:val="none"/>
          </w:rPr>
          <w:t>FUNDAZIOAK ETA ELKARTEAK</w:t>
        </w:r>
        <w:r w:rsidR="000728A0" w:rsidRPr="001E2F6E">
          <w:rPr>
            <w:rStyle w:val="Hipervnculo"/>
            <w:rFonts w:eastAsiaTheme="minorHAnsi" w:cs="Arial"/>
            <w:noProof/>
            <w:webHidden/>
            <w:color w:val="auto"/>
            <w:u w:val="none"/>
          </w:rPr>
          <w:tab/>
        </w:r>
        <w:r w:rsidR="00EB6BA6" w:rsidRPr="001E2F6E">
          <w:rPr>
            <w:rStyle w:val="Hipervnculo"/>
            <w:rFonts w:eastAsiaTheme="minorHAnsi" w:cs="Arial"/>
            <w:noProof/>
            <w:webHidden/>
            <w:color w:val="auto"/>
            <w:u w:val="none"/>
          </w:rPr>
          <w:fldChar w:fldCharType="begin"/>
        </w:r>
        <w:r w:rsidR="000728A0" w:rsidRPr="001E2F6E">
          <w:rPr>
            <w:rStyle w:val="Hipervnculo"/>
            <w:rFonts w:eastAsiaTheme="minorHAnsi" w:cs="Arial"/>
            <w:noProof/>
            <w:webHidden/>
            <w:color w:val="auto"/>
            <w:u w:val="none"/>
          </w:rPr>
          <w:instrText xml:space="preserve"> PAGEREF _Toc392585698 \h </w:instrText>
        </w:r>
        <w:r w:rsidR="00EB6BA6" w:rsidRPr="001E2F6E">
          <w:rPr>
            <w:rStyle w:val="Hipervnculo"/>
            <w:rFonts w:eastAsiaTheme="minorHAnsi" w:cs="Arial"/>
            <w:noProof/>
            <w:webHidden/>
            <w:color w:val="auto"/>
            <w:u w:val="none"/>
          </w:rPr>
        </w:r>
        <w:r w:rsidR="00EB6BA6" w:rsidRPr="001E2F6E">
          <w:rPr>
            <w:rStyle w:val="Hipervnculo"/>
            <w:rFonts w:eastAsiaTheme="minorHAnsi" w:cs="Arial"/>
            <w:noProof/>
            <w:webHidden/>
            <w:color w:val="auto"/>
            <w:u w:val="none"/>
          </w:rPr>
          <w:fldChar w:fldCharType="separate"/>
        </w:r>
        <w:r>
          <w:rPr>
            <w:rStyle w:val="Hipervnculo"/>
            <w:rFonts w:eastAsiaTheme="minorHAnsi" w:cs="Arial"/>
            <w:noProof/>
            <w:webHidden/>
            <w:color w:val="auto"/>
            <w:u w:val="none"/>
          </w:rPr>
          <w:t>80</w:t>
        </w:r>
        <w:r w:rsidR="00EB6BA6" w:rsidRPr="001E2F6E">
          <w:rPr>
            <w:rStyle w:val="Hipervnculo"/>
            <w:rFonts w:eastAsiaTheme="minorHAnsi" w:cs="Arial"/>
            <w:noProof/>
            <w:webHidden/>
            <w:color w:val="auto"/>
            <w:u w:val="none"/>
          </w:rPr>
          <w:fldChar w:fldCharType="end"/>
        </w:r>
      </w:hyperlink>
    </w:p>
    <w:p w:rsidR="000728A0" w:rsidRPr="001E2F6E" w:rsidRDefault="00D34AE0" w:rsidP="000728A0">
      <w:pPr>
        <w:pStyle w:val="TDC1"/>
        <w:tabs>
          <w:tab w:val="left" w:pos="426"/>
          <w:tab w:val="left" w:pos="851"/>
          <w:tab w:val="left" w:pos="1276"/>
          <w:tab w:val="right" w:leader="dot" w:pos="9072"/>
        </w:tabs>
        <w:spacing w:after="0" w:line="240" w:lineRule="auto"/>
        <w:rPr>
          <w:rStyle w:val="Hipervnculo"/>
          <w:rFonts w:eastAsiaTheme="minorHAnsi" w:cs="Arial"/>
          <w:noProof/>
          <w:color w:val="auto"/>
          <w:u w:val="none"/>
        </w:rPr>
      </w:pPr>
      <w:r w:rsidRPr="001E2F6E">
        <w:rPr>
          <w:rStyle w:val="Hipervnculo"/>
          <w:rFonts w:eastAsiaTheme="minorHAnsi" w:cs="Arial"/>
          <w:noProof/>
          <w:color w:val="auto"/>
          <w:sz w:val="18"/>
          <w:szCs w:val="18"/>
          <w:u w:val="none"/>
        </w:rPr>
        <w:tab/>
      </w:r>
      <w:hyperlink w:anchor="_Toc392585699" w:history="1">
        <w:r w:rsidR="000728A0" w:rsidRPr="001E2F6E">
          <w:rPr>
            <w:rStyle w:val="Hipervnculo"/>
            <w:rFonts w:eastAsiaTheme="minorHAnsi" w:cs="Arial"/>
            <w:noProof/>
            <w:color w:val="auto"/>
            <w:sz w:val="18"/>
            <w:szCs w:val="18"/>
            <w:u w:val="none"/>
          </w:rPr>
          <w:t xml:space="preserve">1.1.- </w:t>
        </w:r>
        <w:r w:rsidR="000728A0" w:rsidRPr="001E2F6E">
          <w:rPr>
            <w:rStyle w:val="Hipervnculo"/>
            <w:rFonts w:eastAsiaTheme="minorHAnsi" w:cs="Arial"/>
            <w:noProof/>
            <w:color w:val="auto"/>
            <w:u w:val="none"/>
          </w:rPr>
          <w:tab/>
        </w:r>
        <w:r w:rsidR="000728A0" w:rsidRPr="001E2F6E">
          <w:rPr>
            <w:rStyle w:val="Hipervnculo"/>
            <w:rFonts w:eastAsiaTheme="minorHAnsi" w:cs="Arial"/>
            <w:noProof/>
            <w:color w:val="auto"/>
            <w:sz w:val="18"/>
            <w:szCs w:val="18"/>
            <w:u w:val="none"/>
          </w:rPr>
          <w:t>ERAGILEEN KUANTIFIKAZIOA: FUNDAZIOAK ETA ELKARTEAK</w:t>
        </w:r>
        <w:r w:rsidR="000728A0" w:rsidRPr="001E2F6E">
          <w:rPr>
            <w:rStyle w:val="Hipervnculo"/>
            <w:rFonts w:eastAsiaTheme="minorHAnsi" w:cs="Arial"/>
            <w:noProof/>
            <w:webHidden/>
            <w:color w:val="auto"/>
            <w:u w:val="none"/>
          </w:rPr>
          <w:tab/>
        </w:r>
        <w:r w:rsidR="00EB6BA6" w:rsidRPr="001E2F6E">
          <w:rPr>
            <w:rStyle w:val="Hipervnculo"/>
            <w:rFonts w:eastAsiaTheme="minorHAnsi" w:cs="Arial"/>
            <w:noProof/>
            <w:webHidden/>
            <w:color w:val="auto"/>
            <w:u w:val="none"/>
          </w:rPr>
          <w:fldChar w:fldCharType="begin"/>
        </w:r>
        <w:r w:rsidR="000728A0" w:rsidRPr="001E2F6E">
          <w:rPr>
            <w:rStyle w:val="Hipervnculo"/>
            <w:rFonts w:eastAsiaTheme="minorHAnsi" w:cs="Arial"/>
            <w:noProof/>
            <w:webHidden/>
            <w:color w:val="auto"/>
            <w:u w:val="none"/>
          </w:rPr>
          <w:instrText xml:space="preserve"> PAGEREF _Toc392585699 \h </w:instrText>
        </w:r>
        <w:r w:rsidR="00EB6BA6" w:rsidRPr="001E2F6E">
          <w:rPr>
            <w:rStyle w:val="Hipervnculo"/>
            <w:rFonts w:eastAsiaTheme="minorHAnsi" w:cs="Arial"/>
            <w:noProof/>
            <w:webHidden/>
            <w:color w:val="auto"/>
            <w:u w:val="none"/>
          </w:rPr>
        </w:r>
        <w:r w:rsidR="00EB6BA6" w:rsidRPr="001E2F6E">
          <w:rPr>
            <w:rStyle w:val="Hipervnculo"/>
            <w:rFonts w:eastAsiaTheme="minorHAnsi" w:cs="Arial"/>
            <w:noProof/>
            <w:webHidden/>
            <w:color w:val="auto"/>
            <w:u w:val="none"/>
          </w:rPr>
          <w:fldChar w:fldCharType="separate"/>
        </w:r>
        <w:r w:rsidR="00A327D4">
          <w:rPr>
            <w:rStyle w:val="Hipervnculo"/>
            <w:rFonts w:eastAsiaTheme="minorHAnsi" w:cs="Arial"/>
            <w:noProof/>
            <w:webHidden/>
            <w:color w:val="auto"/>
            <w:u w:val="none"/>
          </w:rPr>
          <w:t>80</w:t>
        </w:r>
        <w:r w:rsidR="00EB6BA6" w:rsidRPr="001E2F6E">
          <w:rPr>
            <w:rStyle w:val="Hipervnculo"/>
            <w:rFonts w:eastAsiaTheme="minorHAnsi" w:cs="Arial"/>
            <w:noProof/>
            <w:webHidden/>
            <w:color w:val="auto"/>
            <w:u w:val="none"/>
          </w:rPr>
          <w:fldChar w:fldCharType="end"/>
        </w:r>
      </w:hyperlink>
    </w:p>
    <w:p w:rsidR="000728A0" w:rsidRPr="001E2F6E" w:rsidRDefault="00D34AE0" w:rsidP="000728A0">
      <w:pPr>
        <w:pStyle w:val="TDC1"/>
        <w:tabs>
          <w:tab w:val="left" w:pos="426"/>
          <w:tab w:val="left" w:pos="851"/>
          <w:tab w:val="left" w:pos="1276"/>
          <w:tab w:val="right" w:leader="dot" w:pos="9072"/>
        </w:tabs>
        <w:spacing w:after="0" w:line="240" w:lineRule="auto"/>
        <w:rPr>
          <w:rStyle w:val="Hipervnculo"/>
          <w:rFonts w:eastAsiaTheme="minorHAnsi" w:cs="Arial"/>
          <w:noProof/>
          <w:color w:val="auto"/>
          <w:u w:val="none"/>
        </w:rPr>
      </w:pPr>
      <w:r w:rsidRPr="001E2F6E">
        <w:rPr>
          <w:rStyle w:val="Hipervnculo"/>
          <w:rFonts w:eastAsiaTheme="minorHAnsi" w:cs="Arial"/>
          <w:noProof/>
          <w:color w:val="auto"/>
          <w:sz w:val="18"/>
          <w:szCs w:val="18"/>
          <w:u w:val="none"/>
        </w:rPr>
        <w:tab/>
      </w:r>
      <w:hyperlink w:anchor="_Toc392585700" w:history="1">
        <w:r w:rsidR="000728A0" w:rsidRPr="001E2F6E">
          <w:rPr>
            <w:rStyle w:val="Hipervnculo"/>
            <w:rFonts w:eastAsiaTheme="minorHAnsi" w:cs="Arial"/>
            <w:noProof/>
            <w:color w:val="auto"/>
            <w:sz w:val="18"/>
            <w:szCs w:val="18"/>
            <w:u w:val="none"/>
          </w:rPr>
          <w:t>1.2.- ENPLEGUA FUNDAZIOETAN ETA ONURA PUBLIKOKO ELKARTEETAN</w:t>
        </w:r>
        <w:r w:rsidR="000728A0" w:rsidRPr="001E2F6E">
          <w:rPr>
            <w:rStyle w:val="Hipervnculo"/>
            <w:rFonts w:eastAsiaTheme="minorHAnsi" w:cs="Arial"/>
            <w:noProof/>
            <w:webHidden/>
            <w:color w:val="auto"/>
            <w:u w:val="none"/>
          </w:rPr>
          <w:tab/>
        </w:r>
        <w:r w:rsidR="00EB6BA6" w:rsidRPr="001E2F6E">
          <w:rPr>
            <w:rStyle w:val="Hipervnculo"/>
            <w:rFonts w:eastAsiaTheme="minorHAnsi" w:cs="Arial"/>
            <w:noProof/>
            <w:webHidden/>
            <w:color w:val="auto"/>
            <w:u w:val="none"/>
          </w:rPr>
          <w:fldChar w:fldCharType="begin"/>
        </w:r>
        <w:r w:rsidR="000728A0" w:rsidRPr="001E2F6E">
          <w:rPr>
            <w:rStyle w:val="Hipervnculo"/>
            <w:rFonts w:eastAsiaTheme="minorHAnsi" w:cs="Arial"/>
            <w:noProof/>
            <w:webHidden/>
            <w:color w:val="auto"/>
            <w:u w:val="none"/>
          </w:rPr>
          <w:instrText xml:space="preserve"> PAGEREF _Toc392585700 \h </w:instrText>
        </w:r>
        <w:r w:rsidR="00EB6BA6" w:rsidRPr="001E2F6E">
          <w:rPr>
            <w:rStyle w:val="Hipervnculo"/>
            <w:rFonts w:eastAsiaTheme="minorHAnsi" w:cs="Arial"/>
            <w:noProof/>
            <w:webHidden/>
            <w:color w:val="auto"/>
            <w:u w:val="none"/>
          </w:rPr>
        </w:r>
        <w:r w:rsidR="00EB6BA6" w:rsidRPr="001E2F6E">
          <w:rPr>
            <w:rStyle w:val="Hipervnculo"/>
            <w:rFonts w:eastAsiaTheme="minorHAnsi" w:cs="Arial"/>
            <w:noProof/>
            <w:webHidden/>
            <w:color w:val="auto"/>
            <w:u w:val="none"/>
          </w:rPr>
          <w:fldChar w:fldCharType="separate"/>
        </w:r>
        <w:r w:rsidR="00A327D4">
          <w:rPr>
            <w:rStyle w:val="Hipervnculo"/>
            <w:rFonts w:eastAsiaTheme="minorHAnsi" w:cs="Arial"/>
            <w:noProof/>
            <w:webHidden/>
            <w:color w:val="auto"/>
            <w:u w:val="none"/>
          </w:rPr>
          <w:t>80</w:t>
        </w:r>
        <w:r w:rsidR="00EB6BA6" w:rsidRPr="001E2F6E">
          <w:rPr>
            <w:rStyle w:val="Hipervnculo"/>
            <w:rFonts w:eastAsiaTheme="minorHAnsi" w:cs="Arial"/>
            <w:noProof/>
            <w:webHidden/>
            <w:color w:val="auto"/>
            <w:u w:val="none"/>
          </w:rPr>
          <w:fldChar w:fldCharType="end"/>
        </w:r>
      </w:hyperlink>
    </w:p>
    <w:p w:rsidR="000728A0" w:rsidRPr="001E2F6E" w:rsidRDefault="00D34AE0" w:rsidP="000728A0">
      <w:pPr>
        <w:pStyle w:val="TDC1"/>
        <w:tabs>
          <w:tab w:val="left" w:pos="426"/>
          <w:tab w:val="left" w:pos="851"/>
          <w:tab w:val="left" w:pos="1276"/>
          <w:tab w:val="right" w:leader="dot" w:pos="9072"/>
        </w:tabs>
        <w:spacing w:after="0" w:line="240" w:lineRule="auto"/>
        <w:rPr>
          <w:rStyle w:val="Hipervnculo"/>
          <w:rFonts w:eastAsiaTheme="minorHAnsi" w:cs="Arial"/>
          <w:noProof/>
          <w:color w:val="auto"/>
          <w:u w:val="none"/>
        </w:rPr>
      </w:pPr>
      <w:r w:rsidRPr="001E2F6E">
        <w:rPr>
          <w:rStyle w:val="Hipervnculo"/>
          <w:rFonts w:eastAsiaTheme="minorHAnsi" w:cs="Arial"/>
          <w:noProof/>
          <w:color w:val="auto"/>
          <w:sz w:val="18"/>
          <w:szCs w:val="18"/>
          <w:u w:val="none"/>
        </w:rPr>
        <w:tab/>
      </w:r>
      <w:hyperlink w:anchor="_Toc392585701" w:history="1">
        <w:r w:rsidR="000728A0" w:rsidRPr="001E2F6E">
          <w:rPr>
            <w:rStyle w:val="Hipervnculo"/>
            <w:rFonts w:eastAsiaTheme="minorHAnsi" w:cs="Arial"/>
            <w:noProof/>
            <w:color w:val="auto"/>
            <w:sz w:val="18"/>
            <w:szCs w:val="18"/>
            <w:u w:val="none"/>
          </w:rPr>
          <w:t xml:space="preserve">1.3.- </w:t>
        </w:r>
        <w:r w:rsidR="000728A0" w:rsidRPr="001E2F6E">
          <w:rPr>
            <w:rStyle w:val="Hipervnculo"/>
            <w:rFonts w:eastAsiaTheme="minorHAnsi" w:cs="Arial"/>
            <w:noProof/>
            <w:color w:val="auto"/>
            <w:u w:val="none"/>
          </w:rPr>
          <w:tab/>
        </w:r>
        <w:r w:rsidR="000728A0" w:rsidRPr="001E2F6E">
          <w:rPr>
            <w:rStyle w:val="Hipervnculo"/>
            <w:rFonts w:eastAsiaTheme="minorHAnsi" w:cs="Arial"/>
            <w:noProof/>
            <w:color w:val="auto"/>
            <w:sz w:val="18"/>
            <w:szCs w:val="18"/>
            <w:u w:val="none"/>
          </w:rPr>
          <w:t>MAGNITUDE EKONOMIKO NAGUSIAK: FUNDAZIOAK ETA ONURA PUBLIKOKO ELKARTEAK</w:t>
        </w:r>
        <w:r w:rsidR="000728A0" w:rsidRPr="001E2F6E">
          <w:rPr>
            <w:rStyle w:val="Hipervnculo"/>
            <w:rFonts w:eastAsiaTheme="minorHAnsi" w:cs="Arial"/>
            <w:noProof/>
            <w:webHidden/>
            <w:color w:val="auto"/>
            <w:u w:val="none"/>
          </w:rPr>
          <w:tab/>
        </w:r>
        <w:r w:rsidR="00EB6BA6" w:rsidRPr="001E2F6E">
          <w:rPr>
            <w:rStyle w:val="Hipervnculo"/>
            <w:rFonts w:eastAsiaTheme="minorHAnsi" w:cs="Arial"/>
            <w:noProof/>
            <w:webHidden/>
            <w:color w:val="auto"/>
            <w:u w:val="none"/>
          </w:rPr>
          <w:fldChar w:fldCharType="begin"/>
        </w:r>
        <w:r w:rsidR="000728A0" w:rsidRPr="001E2F6E">
          <w:rPr>
            <w:rStyle w:val="Hipervnculo"/>
            <w:rFonts w:eastAsiaTheme="minorHAnsi" w:cs="Arial"/>
            <w:noProof/>
            <w:webHidden/>
            <w:color w:val="auto"/>
            <w:u w:val="none"/>
          </w:rPr>
          <w:instrText xml:space="preserve"> PAGEREF _Toc392585701 \h </w:instrText>
        </w:r>
        <w:r w:rsidR="00EB6BA6" w:rsidRPr="001E2F6E">
          <w:rPr>
            <w:rStyle w:val="Hipervnculo"/>
            <w:rFonts w:eastAsiaTheme="minorHAnsi" w:cs="Arial"/>
            <w:noProof/>
            <w:webHidden/>
            <w:color w:val="auto"/>
            <w:u w:val="none"/>
          </w:rPr>
        </w:r>
        <w:r w:rsidR="00EB6BA6" w:rsidRPr="001E2F6E">
          <w:rPr>
            <w:rStyle w:val="Hipervnculo"/>
            <w:rFonts w:eastAsiaTheme="minorHAnsi" w:cs="Arial"/>
            <w:noProof/>
            <w:webHidden/>
            <w:color w:val="auto"/>
            <w:u w:val="none"/>
          </w:rPr>
          <w:fldChar w:fldCharType="separate"/>
        </w:r>
        <w:r w:rsidR="00A327D4">
          <w:rPr>
            <w:rStyle w:val="Hipervnculo"/>
            <w:rFonts w:eastAsiaTheme="minorHAnsi" w:cs="Arial"/>
            <w:noProof/>
            <w:webHidden/>
            <w:color w:val="auto"/>
            <w:u w:val="none"/>
          </w:rPr>
          <w:t>81</w:t>
        </w:r>
        <w:r w:rsidR="00EB6BA6" w:rsidRPr="001E2F6E">
          <w:rPr>
            <w:rStyle w:val="Hipervnculo"/>
            <w:rFonts w:eastAsiaTheme="minorHAnsi" w:cs="Arial"/>
            <w:noProof/>
            <w:webHidden/>
            <w:color w:val="auto"/>
            <w:u w:val="none"/>
          </w:rPr>
          <w:fldChar w:fldCharType="end"/>
        </w:r>
      </w:hyperlink>
    </w:p>
    <w:p w:rsidR="000728A0" w:rsidRPr="001E2F6E" w:rsidRDefault="00D34AE0" w:rsidP="000728A0">
      <w:pPr>
        <w:pStyle w:val="TDC1"/>
        <w:tabs>
          <w:tab w:val="left" w:pos="426"/>
          <w:tab w:val="left" w:pos="851"/>
          <w:tab w:val="left" w:pos="1276"/>
          <w:tab w:val="right" w:leader="dot" w:pos="9072"/>
        </w:tabs>
        <w:spacing w:after="0" w:line="240" w:lineRule="auto"/>
        <w:rPr>
          <w:rStyle w:val="Hipervnculo"/>
          <w:rFonts w:eastAsiaTheme="minorHAnsi" w:cs="Arial"/>
          <w:noProof/>
          <w:color w:val="auto"/>
          <w:u w:val="none"/>
        </w:rPr>
      </w:pPr>
      <w:r w:rsidRPr="001E2F6E">
        <w:rPr>
          <w:rStyle w:val="Hipervnculo"/>
          <w:rFonts w:eastAsiaTheme="minorHAnsi" w:cs="Arial"/>
          <w:noProof/>
          <w:color w:val="auto"/>
          <w:sz w:val="18"/>
          <w:szCs w:val="18"/>
          <w:u w:val="none"/>
        </w:rPr>
        <w:tab/>
      </w:r>
      <w:r w:rsidRPr="001E2F6E">
        <w:rPr>
          <w:rStyle w:val="Hipervnculo"/>
          <w:rFonts w:eastAsiaTheme="minorHAnsi" w:cs="Arial"/>
          <w:noProof/>
          <w:color w:val="auto"/>
          <w:sz w:val="18"/>
          <w:szCs w:val="18"/>
          <w:u w:val="none"/>
        </w:rPr>
        <w:tab/>
      </w:r>
      <w:hyperlink w:anchor="_Toc392585702" w:history="1">
        <w:r w:rsidR="000728A0" w:rsidRPr="001E2F6E">
          <w:rPr>
            <w:rStyle w:val="Hipervnculo"/>
            <w:rFonts w:eastAsiaTheme="minorHAnsi" w:cs="Arial"/>
            <w:noProof/>
            <w:color w:val="auto"/>
            <w:sz w:val="18"/>
            <w:szCs w:val="18"/>
            <w:u w:val="none"/>
          </w:rPr>
          <w:t>1.3.1.- Fundazioen eta Onura Publikoko Elkarteen Diru-Sarrerak</w:t>
        </w:r>
        <w:r w:rsidR="000728A0" w:rsidRPr="001E2F6E">
          <w:rPr>
            <w:rStyle w:val="Hipervnculo"/>
            <w:rFonts w:eastAsiaTheme="minorHAnsi" w:cs="Arial"/>
            <w:noProof/>
            <w:webHidden/>
            <w:color w:val="auto"/>
            <w:u w:val="none"/>
          </w:rPr>
          <w:tab/>
        </w:r>
        <w:r w:rsidR="00EB6BA6" w:rsidRPr="001E2F6E">
          <w:rPr>
            <w:rStyle w:val="Hipervnculo"/>
            <w:rFonts w:eastAsiaTheme="minorHAnsi" w:cs="Arial"/>
            <w:noProof/>
            <w:webHidden/>
            <w:color w:val="auto"/>
            <w:u w:val="none"/>
          </w:rPr>
          <w:fldChar w:fldCharType="begin"/>
        </w:r>
        <w:r w:rsidR="000728A0" w:rsidRPr="001E2F6E">
          <w:rPr>
            <w:rStyle w:val="Hipervnculo"/>
            <w:rFonts w:eastAsiaTheme="minorHAnsi" w:cs="Arial"/>
            <w:noProof/>
            <w:webHidden/>
            <w:color w:val="auto"/>
            <w:u w:val="none"/>
          </w:rPr>
          <w:instrText xml:space="preserve"> PAGEREF _Toc392585702 \h </w:instrText>
        </w:r>
        <w:r w:rsidR="00EB6BA6" w:rsidRPr="001E2F6E">
          <w:rPr>
            <w:rStyle w:val="Hipervnculo"/>
            <w:rFonts w:eastAsiaTheme="minorHAnsi" w:cs="Arial"/>
            <w:noProof/>
            <w:webHidden/>
            <w:color w:val="auto"/>
            <w:u w:val="none"/>
          </w:rPr>
        </w:r>
        <w:r w:rsidR="00EB6BA6" w:rsidRPr="001E2F6E">
          <w:rPr>
            <w:rStyle w:val="Hipervnculo"/>
            <w:rFonts w:eastAsiaTheme="minorHAnsi" w:cs="Arial"/>
            <w:noProof/>
            <w:webHidden/>
            <w:color w:val="auto"/>
            <w:u w:val="none"/>
          </w:rPr>
          <w:fldChar w:fldCharType="separate"/>
        </w:r>
        <w:r w:rsidR="00A327D4">
          <w:rPr>
            <w:rStyle w:val="Hipervnculo"/>
            <w:rFonts w:eastAsiaTheme="minorHAnsi" w:cs="Arial"/>
            <w:noProof/>
            <w:webHidden/>
            <w:color w:val="auto"/>
            <w:u w:val="none"/>
          </w:rPr>
          <w:t>81</w:t>
        </w:r>
        <w:r w:rsidR="00EB6BA6" w:rsidRPr="001E2F6E">
          <w:rPr>
            <w:rStyle w:val="Hipervnculo"/>
            <w:rFonts w:eastAsiaTheme="minorHAnsi" w:cs="Arial"/>
            <w:noProof/>
            <w:webHidden/>
            <w:color w:val="auto"/>
            <w:u w:val="none"/>
          </w:rPr>
          <w:fldChar w:fldCharType="end"/>
        </w:r>
      </w:hyperlink>
    </w:p>
    <w:p w:rsidR="000728A0" w:rsidRPr="001E2F6E" w:rsidRDefault="00D34AE0" w:rsidP="000728A0">
      <w:pPr>
        <w:pStyle w:val="TDC1"/>
        <w:tabs>
          <w:tab w:val="left" w:pos="426"/>
          <w:tab w:val="left" w:pos="851"/>
          <w:tab w:val="left" w:pos="1276"/>
          <w:tab w:val="right" w:leader="dot" w:pos="9072"/>
        </w:tabs>
        <w:spacing w:after="0" w:line="240" w:lineRule="auto"/>
        <w:rPr>
          <w:rStyle w:val="Hipervnculo"/>
          <w:rFonts w:eastAsiaTheme="minorHAnsi" w:cs="Arial"/>
          <w:noProof/>
          <w:color w:val="auto"/>
          <w:u w:val="none"/>
        </w:rPr>
      </w:pPr>
      <w:r w:rsidRPr="001E2F6E">
        <w:rPr>
          <w:rStyle w:val="Hipervnculo"/>
          <w:rFonts w:eastAsiaTheme="minorHAnsi" w:cs="Arial"/>
          <w:noProof/>
          <w:color w:val="auto"/>
          <w:sz w:val="18"/>
          <w:szCs w:val="18"/>
          <w:u w:val="none"/>
        </w:rPr>
        <w:tab/>
      </w:r>
      <w:r w:rsidRPr="001E2F6E">
        <w:rPr>
          <w:rStyle w:val="Hipervnculo"/>
          <w:rFonts w:eastAsiaTheme="minorHAnsi" w:cs="Arial"/>
          <w:noProof/>
          <w:color w:val="auto"/>
          <w:sz w:val="18"/>
          <w:szCs w:val="18"/>
          <w:u w:val="none"/>
        </w:rPr>
        <w:tab/>
      </w:r>
      <w:hyperlink w:anchor="_Toc392585703" w:history="1">
        <w:r w:rsidR="000728A0" w:rsidRPr="001E2F6E">
          <w:rPr>
            <w:rStyle w:val="Hipervnculo"/>
            <w:rFonts w:eastAsiaTheme="minorHAnsi" w:cs="Arial"/>
            <w:noProof/>
            <w:color w:val="auto"/>
            <w:sz w:val="18"/>
            <w:szCs w:val="18"/>
            <w:u w:val="none"/>
          </w:rPr>
          <w:t>1.3.2.-</w:t>
        </w:r>
        <w:r w:rsidRPr="001E2F6E">
          <w:rPr>
            <w:rStyle w:val="Hipervnculo"/>
            <w:rFonts w:eastAsiaTheme="minorHAnsi" w:cs="Arial"/>
            <w:noProof/>
            <w:color w:val="auto"/>
            <w:sz w:val="18"/>
            <w:szCs w:val="18"/>
            <w:u w:val="none"/>
          </w:rPr>
          <w:t xml:space="preserve"> </w:t>
        </w:r>
        <w:r w:rsidR="000728A0" w:rsidRPr="001E2F6E">
          <w:rPr>
            <w:rStyle w:val="Hipervnculo"/>
            <w:rFonts w:eastAsiaTheme="minorHAnsi" w:cs="Arial"/>
            <w:noProof/>
            <w:color w:val="auto"/>
            <w:sz w:val="18"/>
            <w:szCs w:val="18"/>
            <w:u w:val="none"/>
          </w:rPr>
          <w:t>Fundazioen eta Onura Publikoko Elkarteen BEGd-a</w:t>
        </w:r>
        <w:r w:rsidR="000728A0" w:rsidRPr="001E2F6E">
          <w:rPr>
            <w:rStyle w:val="Hipervnculo"/>
            <w:rFonts w:eastAsiaTheme="minorHAnsi" w:cs="Arial"/>
            <w:noProof/>
            <w:webHidden/>
            <w:color w:val="auto"/>
            <w:u w:val="none"/>
          </w:rPr>
          <w:tab/>
        </w:r>
        <w:r w:rsidR="00EB6BA6" w:rsidRPr="001E2F6E">
          <w:rPr>
            <w:rStyle w:val="Hipervnculo"/>
            <w:rFonts w:eastAsiaTheme="minorHAnsi" w:cs="Arial"/>
            <w:noProof/>
            <w:webHidden/>
            <w:color w:val="auto"/>
            <w:u w:val="none"/>
          </w:rPr>
          <w:fldChar w:fldCharType="begin"/>
        </w:r>
        <w:r w:rsidR="000728A0" w:rsidRPr="001E2F6E">
          <w:rPr>
            <w:rStyle w:val="Hipervnculo"/>
            <w:rFonts w:eastAsiaTheme="minorHAnsi" w:cs="Arial"/>
            <w:noProof/>
            <w:webHidden/>
            <w:color w:val="auto"/>
            <w:u w:val="none"/>
          </w:rPr>
          <w:instrText xml:space="preserve"> PAGEREF _Toc392585703 \h </w:instrText>
        </w:r>
        <w:r w:rsidR="00EB6BA6" w:rsidRPr="001E2F6E">
          <w:rPr>
            <w:rStyle w:val="Hipervnculo"/>
            <w:rFonts w:eastAsiaTheme="minorHAnsi" w:cs="Arial"/>
            <w:noProof/>
            <w:webHidden/>
            <w:color w:val="auto"/>
            <w:u w:val="none"/>
          </w:rPr>
        </w:r>
        <w:r w:rsidR="00EB6BA6" w:rsidRPr="001E2F6E">
          <w:rPr>
            <w:rStyle w:val="Hipervnculo"/>
            <w:rFonts w:eastAsiaTheme="minorHAnsi" w:cs="Arial"/>
            <w:noProof/>
            <w:webHidden/>
            <w:color w:val="auto"/>
            <w:u w:val="none"/>
          </w:rPr>
          <w:fldChar w:fldCharType="separate"/>
        </w:r>
        <w:r w:rsidR="00A327D4">
          <w:rPr>
            <w:rStyle w:val="Hipervnculo"/>
            <w:rFonts w:eastAsiaTheme="minorHAnsi" w:cs="Arial"/>
            <w:noProof/>
            <w:webHidden/>
            <w:color w:val="auto"/>
            <w:u w:val="none"/>
          </w:rPr>
          <w:t>81</w:t>
        </w:r>
        <w:r w:rsidR="00EB6BA6" w:rsidRPr="001E2F6E">
          <w:rPr>
            <w:rStyle w:val="Hipervnculo"/>
            <w:rFonts w:eastAsiaTheme="minorHAnsi" w:cs="Arial"/>
            <w:noProof/>
            <w:webHidden/>
            <w:color w:val="auto"/>
            <w:u w:val="none"/>
          </w:rPr>
          <w:fldChar w:fldCharType="end"/>
        </w:r>
      </w:hyperlink>
    </w:p>
    <w:p w:rsidR="00D34AE0" w:rsidRPr="001E2F6E" w:rsidRDefault="00D34AE0" w:rsidP="000728A0">
      <w:pPr>
        <w:pStyle w:val="TDC1"/>
        <w:tabs>
          <w:tab w:val="left" w:pos="426"/>
          <w:tab w:val="left" w:pos="851"/>
          <w:tab w:val="left" w:pos="1276"/>
          <w:tab w:val="right" w:leader="dot" w:pos="9072"/>
        </w:tabs>
        <w:spacing w:after="0" w:line="240" w:lineRule="auto"/>
        <w:rPr>
          <w:rStyle w:val="Hipervnculo"/>
          <w:rFonts w:eastAsiaTheme="minorHAnsi" w:cs="Arial"/>
          <w:noProof/>
          <w:color w:val="auto"/>
          <w:sz w:val="18"/>
          <w:szCs w:val="18"/>
          <w:u w:val="none"/>
        </w:rPr>
      </w:pPr>
      <w:bookmarkStart w:id="470" w:name="_GoBack"/>
      <w:bookmarkEnd w:id="470"/>
    </w:p>
    <w:p w:rsidR="000728A0" w:rsidRPr="001E2F6E" w:rsidRDefault="00A327D4" w:rsidP="000728A0">
      <w:pPr>
        <w:pStyle w:val="TDC1"/>
        <w:tabs>
          <w:tab w:val="left" w:pos="426"/>
          <w:tab w:val="left" w:pos="851"/>
          <w:tab w:val="left" w:pos="1276"/>
          <w:tab w:val="right" w:leader="dot" w:pos="9072"/>
        </w:tabs>
        <w:spacing w:after="0" w:line="240" w:lineRule="auto"/>
        <w:rPr>
          <w:rStyle w:val="Hipervnculo"/>
          <w:rFonts w:eastAsiaTheme="minorHAnsi" w:cs="Arial"/>
          <w:noProof/>
          <w:color w:val="auto"/>
          <w:u w:val="none"/>
        </w:rPr>
      </w:pPr>
      <w:hyperlink w:anchor="_Toc392585704" w:history="1">
        <w:r w:rsidR="000728A0" w:rsidRPr="001E2F6E">
          <w:rPr>
            <w:rStyle w:val="Hipervnculo"/>
            <w:rFonts w:eastAsiaTheme="minorHAnsi" w:cs="Arial"/>
            <w:noProof/>
            <w:color w:val="auto"/>
            <w:sz w:val="18"/>
            <w:szCs w:val="18"/>
            <w:u w:val="none"/>
          </w:rPr>
          <w:t xml:space="preserve">2.- </w:t>
        </w:r>
        <w:r w:rsidR="000728A0" w:rsidRPr="001E2F6E">
          <w:rPr>
            <w:rStyle w:val="Hipervnculo"/>
            <w:rFonts w:eastAsiaTheme="minorHAnsi" w:cs="Arial"/>
            <w:noProof/>
            <w:color w:val="auto"/>
            <w:u w:val="none"/>
          </w:rPr>
          <w:tab/>
        </w:r>
        <w:r w:rsidR="000728A0" w:rsidRPr="001E2F6E">
          <w:rPr>
            <w:rStyle w:val="Hipervnculo"/>
            <w:rFonts w:eastAsiaTheme="minorHAnsi" w:cs="Arial"/>
            <w:noProof/>
            <w:color w:val="auto"/>
            <w:sz w:val="18"/>
            <w:szCs w:val="18"/>
            <w:u w:val="none"/>
          </w:rPr>
          <w:t>ENPLEGU-ZENTRO BEREZIAK</w:t>
        </w:r>
        <w:r w:rsidR="000728A0" w:rsidRPr="001E2F6E">
          <w:rPr>
            <w:rStyle w:val="Hipervnculo"/>
            <w:rFonts w:eastAsiaTheme="minorHAnsi" w:cs="Arial"/>
            <w:noProof/>
            <w:webHidden/>
            <w:color w:val="auto"/>
            <w:u w:val="none"/>
          </w:rPr>
          <w:tab/>
        </w:r>
        <w:r w:rsidR="00EB6BA6" w:rsidRPr="001E2F6E">
          <w:rPr>
            <w:rStyle w:val="Hipervnculo"/>
            <w:rFonts w:eastAsiaTheme="minorHAnsi" w:cs="Arial"/>
            <w:noProof/>
            <w:webHidden/>
            <w:color w:val="auto"/>
            <w:u w:val="none"/>
          </w:rPr>
          <w:fldChar w:fldCharType="begin"/>
        </w:r>
        <w:r w:rsidR="000728A0" w:rsidRPr="001E2F6E">
          <w:rPr>
            <w:rStyle w:val="Hipervnculo"/>
            <w:rFonts w:eastAsiaTheme="minorHAnsi" w:cs="Arial"/>
            <w:noProof/>
            <w:webHidden/>
            <w:color w:val="auto"/>
            <w:u w:val="none"/>
          </w:rPr>
          <w:instrText xml:space="preserve"> PAGEREF _Toc392585704 \h </w:instrText>
        </w:r>
        <w:r w:rsidR="00EB6BA6" w:rsidRPr="001E2F6E">
          <w:rPr>
            <w:rStyle w:val="Hipervnculo"/>
            <w:rFonts w:eastAsiaTheme="minorHAnsi" w:cs="Arial"/>
            <w:noProof/>
            <w:webHidden/>
            <w:color w:val="auto"/>
            <w:u w:val="none"/>
          </w:rPr>
        </w:r>
        <w:r w:rsidR="00EB6BA6" w:rsidRPr="001E2F6E">
          <w:rPr>
            <w:rStyle w:val="Hipervnculo"/>
            <w:rFonts w:eastAsiaTheme="minorHAnsi" w:cs="Arial"/>
            <w:noProof/>
            <w:webHidden/>
            <w:color w:val="auto"/>
            <w:u w:val="none"/>
          </w:rPr>
          <w:fldChar w:fldCharType="separate"/>
        </w:r>
        <w:r>
          <w:rPr>
            <w:rStyle w:val="Hipervnculo"/>
            <w:rFonts w:eastAsiaTheme="minorHAnsi" w:cs="Arial"/>
            <w:noProof/>
            <w:webHidden/>
            <w:color w:val="auto"/>
            <w:u w:val="none"/>
          </w:rPr>
          <w:t>82</w:t>
        </w:r>
        <w:r w:rsidR="00EB6BA6" w:rsidRPr="001E2F6E">
          <w:rPr>
            <w:rStyle w:val="Hipervnculo"/>
            <w:rFonts w:eastAsiaTheme="minorHAnsi" w:cs="Arial"/>
            <w:noProof/>
            <w:webHidden/>
            <w:color w:val="auto"/>
            <w:u w:val="none"/>
          </w:rPr>
          <w:fldChar w:fldCharType="end"/>
        </w:r>
      </w:hyperlink>
    </w:p>
    <w:p w:rsidR="000728A0" w:rsidRPr="001E2F6E" w:rsidRDefault="00D34AE0" w:rsidP="000728A0">
      <w:pPr>
        <w:pStyle w:val="TDC1"/>
        <w:tabs>
          <w:tab w:val="left" w:pos="426"/>
          <w:tab w:val="left" w:pos="851"/>
          <w:tab w:val="left" w:pos="1276"/>
          <w:tab w:val="right" w:leader="dot" w:pos="9072"/>
        </w:tabs>
        <w:spacing w:after="0" w:line="240" w:lineRule="auto"/>
        <w:rPr>
          <w:rStyle w:val="Hipervnculo"/>
          <w:rFonts w:eastAsiaTheme="minorHAnsi" w:cs="Arial"/>
          <w:noProof/>
          <w:color w:val="auto"/>
          <w:u w:val="none"/>
        </w:rPr>
      </w:pPr>
      <w:r w:rsidRPr="001E2F6E">
        <w:rPr>
          <w:rStyle w:val="Hipervnculo"/>
          <w:rFonts w:eastAsiaTheme="minorHAnsi" w:cs="Arial"/>
          <w:noProof/>
          <w:color w:val="auto"/>
          <w:sz w:val="18"/>
          <w:szCs w:val="18"/>
          <w:u w:val="none"/>
        </w:rPr>
        <w:tab/>
      </w:r>
      <w:hyperlink w:anchor="_Toc392585705" w:history="1">
        <w:r w:rsidR="000728A0" w:rsidRPr="001E2F6E">
          <w:rPr>
            <w:rStyle w:val="Hipervnculo"/>
            <w:rFonts w:eastAsiaTheme="minorHAnsi" w:cs="Arial"/>
            <w:noProof/>
            <w:color w:val="auto"/>
            <w:sz w:val="18"/>
            <w:szCs w:val="18"/>
            <w:u w:val="none"/>
          </w:rPr>
          <w:t xml:space="preserve">2.1.- </w:t>
        </w:r>
        <w:r w:rsidR="000728A0" w:rsidRPr="001E2F6E">
          <w:rPr>
            <w:rStyle w:val="Hipervnculo"/>
            <w:rFonts w:eastAsiaTheme="minorHAnsi" w:cs="Arial"/>
            <w:noProof/>
            <w:color w:val="auto"/>
            <w:u w:val="none"/>
          </w:rPr>
          <w:tab/>
        </w:r>
        <w:r w:rsidR="000728A0" w:rsidRPr="001E2F6E">
          <w:rPr>
            <w:rStyle w:val="Hipervnculo"/>
            <w:rFonts w:eastAsiaTheme="minorHAnsi" w:cs="Arial"/>
            <w:noProof/>
            <w:color w:val="auto"/>
            <w:sz w:val="18"/>
            <w:szCs w:val="18"/>
            <w:u w:val="none"/>
          </w:rPr>
          <w:t>ERAGILEEN KUANTIFIKAZIOA: ENPLEGU-ZENTRO BEREZIAK</w:t>
        </w:r>
        <w:r w:rsidR="000728A0" w:rsidRPr="001E2F6E">
          <w:rPr>
            <w:rStyle w:val="Hipervnculo"/>
            <w:rFonts w:eastAsiaTheme="minorHAnsi" w:cs="Arial"/>
            <w:noProof/>
            <w:webHidden/>
            <w:color w:val="auto"/>
            <w:u w:val="none"/>
          </w:rPr>
          <w:tab/>
        </w:r>
        <w:r w:rsidR="00EB6BA6" w:rsidRPr="001E2F6E">
          <w:rPr>
            <w:rStyle w:val="Hipervnculo"/>
            <w:rFonts w:eastAsiaTheme="minorHAnsi" w:cs="Arial"/>
            <w:noProof/>
            <w:webHidden/>
            <w:color w:val="auto"/>
            <w:u w:val="none"/>
          </w:rPr>
          <w:fldChar w:fldCharType="begin"/>
        </w:r>
        <w:r w:rsidR="000728A0" w:rsidRPr="001E2F6E">
          <w:rPr>
            <w:rStyle w:val="Hipervnculo"/>
            <w:rFonts w:eastAsiaTheme="minorHAnsi" w:cs="Arial"/>
            <w:noProof/>
            <w:webHidden/>
            <w:color w:val="auto"/>
            <w:u w:val="none"/>
          </w:rPr>
          <w:instrText xml:space="preserve"> PAGEREF _Toc392585705 \h </w:instrText>
        </w:r>
        <w:r w:rsidR="00EB6BA6" w:rsidRPr="001E2F6E">
          <w:rPr>
            <w:rStyle w:val="Hipervnculo"/>
            <w:rFonts w:eastAsiaTheme="minorHAnsi" w:cs="Arial"/>
            <w:noProof/>
            <w:webHidden/>
            <w:color w:val="auto"/>
            <w:u w:val="none"/>
          </w:rPr>
        </w:r>
        <w:r w:rsidR="00EB6BA6" w:rsidRPr="001E2F6E">
          <w:rPr>
            <w:rStyle w:val="Hipervnculo"/>
            <w:rFonts w:eastAsiaTheme="minorHAnsi" w:cs="Arial"/>
            <w:noProof/>
            <w:webHidden/>
            <w:color w:val="auto"/>
            <w:u w:val="none"/>
          </w:rPr>
          <w:fldChar w:fldCharType="separate"/>
        </w:r>
        <w:r w:rsidR="00A327D4">
          <w:rPr>
            <w:rStyle w:val="Hipervnculo"/>
            <w:rFonts w:eastAsiaTheme="minorHAnsi" w:cs="Arial"/>
            <w:noProof/>
            <w:webHidden/>
            <w:color w:val="auto"/>
            <w:u w:val="none"/>
          </w:rPr>
          <w:t>82</w:t>
        </w:r>
        <w:r w:rsidR="00EB6BA6" w:rsidRPr="001E2F6E">
          <w:rPr>
            <w:rStyle w:val="Hipervnculo"/>
            <w:rFonts w:eastAsiaTheme="minorHAnsi" w:cs="Arial"/>
            <w:noProof/>
            <w:webHidden/>
            <w:color w:val="auto"/>
            <w:u w:val="none"/>
          </w:rPr>
          <w:fldChar w:fldCharType="end"/>
        </w:r>
      </w:hyperlink>
    </w:p>
    <w:p w:rsidR="000728A0" w:rsidRPr="001E2F6E" w:rsidRDefault="00D34AE0" w:rsidP="000728A0">
      <w:pPr>
        <w:pStyle w:val="TDC1"/>
        <w:tabs>
          <w:tab w:val="left" w:pos="426"/>
          <w:tab w:val="left" w:pos="851"/>
          <w:tab w:val="left" w:pos="1276"/>
          <w:tab w:val="right" w:leader="dot" w:pos="9072"/>
        </w:tabs>
        <w:spacing w:after="0" w:line="240" w:lineRule="auto"/>
        <w:rPr>
          <w:rStyle w:val="Hipervnculo"/>
          <w:rFonts w:eastAsiaTheme="minorHAnsi" w:cs="Arial"/>
          <w:noProof/>
          <w:color w:val="auto"/>
          <w:u w:val="none"/>
        </w:rPr>
      </w:pPr>
      <w:r w:rsidRPr="001E2F6E">
        <w:rPr>
          <w:rStyle w:val="Hipervnculo"/>
          <w:rFonts w:eastAsiaTheme="minorHAnsi" w:cs="Arial"/>
          <w:noProof/>
          <w:color w:val="auto"/>
          <w:sz w:val="18"/>
          <w:szCs w:val="18"/>
          <w:u w:val="none"/>
        </w:rPr>
        <w:tab/>
      </w:r>
      <w:hyperlink w:anchor="_Toc392585706" w:history="1">
        <w:r w:rsidR="000728A0" w:rsidRPr="001E2F6E">
          <w:rPr>
            <w:rStyle w:val="Hipervnculo"/>
            <w:rFonts w:eastAsiaTheme="minorHAnsi" w:cs="Arial"/>
            <w:noProof/>
            <w:color w:val="auto"/>
            <w:sz w:val="18"/>
            <w:szCs w:val="18"/>
            <w:u w:val="none"/>
          </w:rPr>
          <w:t xml:space="preserve">2.2.- </w:t>
        </w:r>
        <w:r w:rsidR="000728A0" w:rsidRPr="001E2F6E">
          <w:rPr>
            <w:rStyle w:val="Hipervnculo"/>
            <w:rFonts w:eastAsiaTheme="minorHAnsi" w:cs="Arial"/>
            <w:noProof/>
            <w:color w:val="auto"/>
            <w:u w:val="none"/>
          </w:rPr>
          <w:tab/>
        </w:r>
        <w:r w:rsidR="000728A0" w:rsidRPr="001E2F6E">
          <w:rPr>
            <w:rStyle w:val="Hipervnculo"/>
            <w:rFonts w:eastAsiaTheme="minorHAnsi" w:cs="Arial"/>
            <w:noProof/>
            <w:color w:val="auto"/>
            <w:sz w:val="18"/>
            <w:szCs w:val="18"/>
            <w:u w:val="none"/>
          </w:rPr>
          <w:t>ENPLEGU-ZENTRO BEREZIETAKO ENPLEGUA</w:t>
        </w:r>
        <w:r w:rsidR="000728A0" w:rsidRPr="001E2F6E">
          <w:rPr>
            <w:rStyle w:val="Hipervnculo"/>
            <w:rFonts w:eastAsiaTheme="minorHAnsi" w:cs="Arial"/>
            <w:noProof/>
            <w:webHidden/>
            <w:color w:val="auto"/>
            <w:u w:val="none"/>
          </w:rPr>
          <w:tab/>
        </w:r>
        <w:r w:rsidR="00EB6BA6" w:rsidRPr="001E2F6E">
          <w:rPr>
            <w:rStyle w:val="Hipervnculo"/>
            <w:rFonts w:eastAsiaTheme="minorHAnsi" w:cs="Arial"/>
            <w:noProof/>
            <w:webHidden/>
            <w:color w:val="auto"/>
            <w:u w:val="none"/>
          </w:rPr>
          <w:fldChar w:fldCharType="begin"/>
        </w:r>
        <w:r w:rsidR="000728A0" w:rsidRPr="001E2F6E">
          <w:rPr>
            <w:rStyle w:val="Hipervnculo"/>
            <w:rFonts w:eastAsiaTheme="minorHAnsi" w:cs="Arial"/>
            <w:noProof/>
            <w:webHidden/>
            <w:color w:val="auto"/>
            <w:u w:val="none"/>
          </w:rPr>
          <w:instrText xml:space="preserve"> PAGEREF _Toc392585706 \h </w:instrText>
        </w:r>
        <w:r w:rsidR="00EB6BA6" w:rsidRPr="001E2F6E">
          <w:rPr>
            <w:rStyle w:val="Hipervnculo"/>
            <w:rFonts w:eastAsiaTheme="minorHAnsi" w:cs="Arial"/>
            <w:noProof/>
            <w:webHidden/>
            <w:color w:val="auto"/>
            <w:u w:val="none"/>
          </w:rPr>
        </w:r>
        <w:r w:rsidR="00EB6BA6" w:rsidRPr="001E2F6E">
          <w:rPr>
            <w:rStyle w:val="Hipervnculo"/>
            <w:rFonts w:eastAsiaTheme="minorHAnsi" w:cs="Arial"/>
            <w:noProof/>
            <w:webHidden/>
            <w:color w:val="auto"/>
            <w:u w:val="none"/>
          </w:rPr>
          <w:fldChar w:fldCharType="separate"/>
        </w:r>
        <w:r w:rsidR="00A327D4">
          <w:rPr>
            <w:rStyle w:val="Hipervnculo"/>
            <w:rFonts w:eastAsiaTheme="minorHAnsi" w:cs="Arial"/>
            <w:noProof/>
            <w:webHidden/>
            <w:color w:val="auto"/>
            <w:u w:val="none"/>
          </w:rPr>
          <w:t>82</w:t>
        </w:r>
        <w:r w:rsidR="00EB6BA6" w:rsidRPr="001E2F6E">
          <w:rPr>
            <w:rStyle w:val="Hipervnculo"/>
            <w:rFonts w:eastAsiaTheme="minorHAnsi" w:cs="Arial"/>
            <w:noProof/>
            <w:webHidden/>
            <w:color w:val="auto"/>
            <w:u w:val="none"/>
          </w:rPr>
          <w:fldChar w:fldCharType="end"/>
        </w:r>
      </w:hyperlink>
    </w:p>
    <w:p w:rsidR="000728A0" w:rsidRPr="001E2F6E" w:rsidRDefault="00D34AE0" w:rsidP="000728A0">
      <w:pPr>
        <w:pStyle w:val="TDC1"/>
        <w:tabs>
          <w:tab w:val="left" w:pos="426"/>
          <w:tab w:val="left" w:pos="851"/>
          <w:tab w:val="left" w:pos="1276"/>
          <w:tab w:val="right" w:leader="dot" w:pos="9072"/>
        </w:tabs>
        <w:spacing w:after="0" w:line="240" w:lineRule="auto"/>
        <w:rPr>
          <w:rStyle w:val="Hipervnculo"/>
          <w:rFonts w:eastAsiaTheme="minorHAnsi" w:cs="Arial"/>
          <w:noProof/>
          <w:color w:val="auto"/>
          <w:u w:val="none"/>
        </w:rPr>
      </w:pPr>
      <w:r w:rsidRPr="001E2F6E">
        <w:rPr>
          <w:rStyle w:val="Hipervnculo"/>
          <w:rFonts w:eastAsiaTheme="minorHAnsi" w:cs="Arial"/>
          <w:noProof/>
          <w:color w:val="auto"/>
          <w:sz w:val="18"/>
          <w:szCs w:val="18"/>
          <w:u w:val="none"/>
        </w:rPr>
        <w:tab/>
      </w:r>
      <w:hyperlink w:anchor="_Toc392585707" w:history="1">
        <w:r w:rsidR="000728A0" w:rsidRPr="001E2F6E">
          <w:rPr>
            <w:rStyle w:val="Hipervnculo"/>
            <w:rFonts w:eastAsiaTheme="minorHAnsi" w:cs="Arial"/>
            <w:noProof/>
            <w:color w:val="auto"/>
            <w:sz w:val="18"/>
            <w:szCs w:val="18"/>
            <w:u w:val="none"/>
          </w:rPr>
          <w:t xml:space="preserve">2.3.- </w:t>
        </w:r>
        <w:r w:rsidR="000728A0" w:rsidRPr="001E2F6E">
          <w:rPr>
            <w:rStyle w:val="Hipervnculo"/>
            <w:rFonts w:eastAsiaTheme="minorHAnsi" w:cs="Arial"/>
            <w:noProof/>
            <w:color w:val="auto"/>
            <w:u w:val="none"/>
          </w:rPr>
          <w:tab/>
        </w:r>
        <w:r w:rsidR="000728A0" w:rsidRPr="001E2F6E">
          <w:rPr>
            <w:rStyle w:val="Hipervnculo"/>
            <w:rFonts w:eastAsiaTheme="minorHAnsi" w:cs="Arial"/>
            <w:noProof/>
            <w:color w:val="auto"/>
            <w:sz w:val="18"/>
            <w:szCs w:val="18"/>
            <w:u w:val="none"/>
          </w:rPr>
          <w:t>MAGNITUDE EKONOMIKO NAGUSIAK: ENPLEGU-ZENTRO BEREZIAK</w:t>
        </w:r>
        <w:r w:rsidR="000728A0" w:rsidRPr="001E2F6E">
          <w:rPr>
            <w:rStyle w:val="Hipervnculo"/>
            <w:rFonts w:eastAsiaTheme="minorHAnsi" w:cs="Arial"/>
            <w:noProof/>
            <w:webHidden/>
            <w:color w:val="auto"/>
            <w:u w:val="none"/>
          </w:rPr>
          <w:tab/>
        </w:r>
        <w:r w:rsidR="00EB6BA6" w:rsidRPr="001E2F6E">
          <w:rPr>
            <w:rStyle w:val="Hipervnculo"/>
            <w:rFonts w:eastAsiaTheme="minorHAnsi" w:cs="Arial"/>
            <w:noProof/>
            <w:webHidden/>
            <w:color w:val="auto"/>
            <w:u w:val="none"/>
          </w:rPr>
          <w:fldChar w:fldCharType="begin"/>
        </w:r>
        <w:r w:rsidR="000728A0" w:rsidRPr="001E2F6E">
          <w:rPr>
            <w:rStyle w:val="Hipervnculo"/>
            <w:rFonts w:eastAsiaTheme="minorHAnsi" w:cs="Arial"/>
            <w:noProof/>
            <w:webHidden/>
            <w:color w:val="auto"/>
            <w:u w:val="none"/>
          </w:rPr>
          <w:instrText xml:space="preserve"> PAGEREF _Toc392585707 \h </w:instrText>
        </w:r>
        <w:r w:rsidR="00EB6BA6" w:rsidRPr="001E2F6E">
          <w:rPr>
            <w:rStyle w:val="Hipervnculo"/>
            <w:rFonts w:eastAsiaTheme="minorHAnsi" w:cs="Arial"/>
            <w:noProof/>
            <w:webHidden/>
            <w:color w:val="auto"/>
            <w:u w:val="none"/>
          </w:rPr>
        </w:r>
        <w:r w:rsidR="00EB6BA6" w:rsidRPr="001E2F6E">
          <w:rPr>
            <w:rStyle w:val="Hipervnculo"/>
            <w:rFonts w:eastAsiaTheme="minorHAnsi" w:cs="Arial"/>
            <w:noProof/>
            <w:webHidden/>
            <w:color w:val="auto"/>
            <w:u w:val="none"/>
          </w:rPr>
          <w:fldChar w:fldCharType="separate"/>
        </w:r>
        <w:r w:rsidR="00A327D4">
          <w:rPr>
            <w:rStyle w:val="Hipervnculo"/>
            <w:rFonts w:eastAsiaTheme="minorHAnsi" w:cs="Arial"/>
            <w:noProof/>
            <w:webHidden/>
            <w:color w:val="auto"/>
            <w:u w:val="none"/>
          </w:rPr>
          <w:t>83</w:t>
        </w:r>
        <w:r w:rsidR="00EB6BA6" w:rsidRPr="001E2F6E">
          <w:rPr>
            <w:rStyle w:val="Hipervnculo"/>
            <w:rFonts w:eastAsiaTheme="minorHAnsi" w:cs="Arial"/>
            <w:noProof/>
            <w:webHidden/>
            <w:color w:val="auto"/>
            <w:u w:val="none"/>
          </w:rPr>
          <w:fldChar w:fldCharType="end"/>
        </w:r>
      </w:hyperlink>
    </w:p>
    <w:p w:rsidR="000728A0" w:rsidRPr="001E2F6E" w:rsidRDefault="00D34AE0" w:rsidP="000728A0">
      <w:pPr>
        <w:pStyle w:val="TDC1"/>
        <w:tabs>
          <w:tab w:val="left" w:pos="426"/>
          <w:tab w:val="left" w:pos="851"/>
          <w:tab w:val="left" w:pos="1276"/>
          <w:tab w:val="right" w:leader="dot" w:pos="9072"/>
        </w:tabs>
        <w:spacing w:after="0" w:line="240" w:lineRule="auto"/>
        <w:rPr>
          <w:rStyle w:val="Hipervnculo"/>
          <w:rFonts w:eastAsiaTheme="minorHAnsi" w:cs="Arial"/>
          <w:noProof/>
          <w:color w:val="auto"/>
          <w:u w:val="none"/>
        </w:rPr>
      </w:pPr>
      <w:r w:rsidRPr="001E2F6E">
        <w:rPr>
          <w:rStyle w:val="Hipervnculo"/>
          <w:rFonts w:eastAsiaTheme="minorHAnsi" w:cs="Arial"/>
          <w:noProof/>
          <w:color w:val="auto"/>
          <w:sz w:val="18"/>
          <w:szCs w:val="18"/>
          <w:u w:val="none"/>
        </w:rPr>
        <w:tab/>
      </w:r>
      <w:r w:rsidRPr="001E2F6E">
        <w:rPr>
          <w:rStyle w:val="Hipervnculo"/>
          <w:rFonts w:eastAsiaTheme="minorHAnsi" w:cs="Arial"/>
          <w:noProof/>
          <w:color w:val="auto"/>
          <w:sz w:val="18"/>
          <w:szCs w:val="18"/>
          <w:u w:val="none"/>
        </w:rPr>
        <w:tab/>
      </w:r>
      <w:hyperlink w:anchor="_Toc392585708" w:history="1">
        <w:r w:rsidR="000728A0" w:rsidRPr="001E2F6E">
          <w:rPr>
            <w:rStyle w:val="Hipervnculo"/>
            <w:rFonts w:eastAsiaTheme="minorHAnsi" w:cs="Arial"/>
            <w:noProof/>
            <w:color w:val="auto"/>
            <w:sz w:val="18"/>
            <w:szCs w:val="18"/>
            <w:u w:val="none"/>
          </w:rPr>
          <w:t>2.3.1.- Enplegu-Zentro Berezien Diru-Sarrerak</w:t>
        </w:r>
        <w:r w:rsidR="000728A0" w:rsidRPr="001E2F6E">
          <w:rPr>
            <w:rStyle w:val="Hipervnculo"/>
            <w:rFonts w:eastAsiaTheme="minorHAnsi" w:cs="Arial"/>
            <w:noProof/>
            <w:webHidden/>
            <w:color w:val="auto"/>
            <w:u w:val="none"/>
          </w:rPr>
          <w:tab/>
        </w:r>
        <w:r w:rsidR="00EB6BA6" w:rsidRPr="001E2F6E">
          <w:rPr>
            <w:rStyle w:val="Hipervnculo"/>
            <w:rFonts w:eastAsiaTheme="minorHAnsi" w:cs="Arial"/>
            <w:noProof/>
            <w:webHidden/>
            <w:color w:val="auto"/>
            <w:u w:val="none"/>
          </w:rPr>
          <w:fldChar w:fldCharType="begin"/>
        </w:r>
        <w:r w:rsidR="000728A0" w:rsidRPr="001E2F6E">
          <w:rPr>
            <w:rStyle w:val="Hipervnculo"/>
            <w:rFonts w:eastAsiaTheme="minorHAnsi" w:cs="Arial"/>
            <w:noProof/>
            <w:webHidden/>
            <w:color w:val="auto"/>
            <w:u w:val="none"/>
          </w:rPr>
          <w:instrText xml:space="preserve"> PAGEREF _Toc392585708 \h </w:instrText>
        </w:r>
        <w:r w:rsidR="00EB6BA6" w:rsidRPr="001E2F6E">
          <w:rPr>
            <w:rStyle w:val="Hipervnculo"/>
            <w:rFonts w:eastAsiaTheme="minorHAnsi" w:cs="Arial"/>
            <w:noProof/>
            <w:webHidden/>
            <w:color w:val="auto"/>
            <w:u w:val="none"/>
          </w:rPr>
        </w:r>
        <w:r w:rsidR="00EB6BA6" w:rsidRPr="001E2F6E">
          <w:rPr>
            <w:rStyle w:val="Hipervnculo"/>
            <w:rFonts w:eastAsiaTheme="minorHAnsi" w:cs="Arial"/>
            <w:noProof/>
            <w:webHidden/>
            <w:color w:val="auto"/>
            <w:u w:val="none"/>
          </w:rPr>
          <w:fldChar w:fldCharType="separate"/>
        </w:r>
        <w:r w:rsidR="00A327D4">
          <w:rPr>
            <w:rStyle w:val="Hipervnculo"/>
            <w:rFonts w:eastAsiaTheme="minorHAnsi" w:cs="Arial"/>
            <w:noProof/>
            <w:webHidden/>
            <w:color w:val="auto"/>
            <w:u w:val="none"/>
          </w:rPr>
          <w:t>83</w:t>
        </w:r>
        <w:r w:rsidR="00EB6BA6" w:rsidRPr="001E2F6E">
          <w:rPr>
            <w:rStyle w:val="Hipervnculo"/>
            <w:rFonts w:eastAsiaTheme="minorHAnsi" w:cs="Arial"/>
            <w:noProof/>
            <w:webHidden/>
            <w:color w:val="auto"/>
            <w:u w:val="none"/>
          </w:rPr>
          <w:fldChar w:fldCharType="end"/>
        </w:r>
      </w:hyperlink>
    </w:p>
    <w:p w:rsidR="000728A0" w:rsidRPr="001E2F6E" w:rsidRDefault="00D34AE0" w:rsidP="000728A0">
      <w:pPr>
        <w:pStyle w:val="TDC1"/>
        <w:tabs>
          <w:tab w:val="left" w:pos="426"/>
          <w:tab w:val="left" w:pos="851"/>
          <w:tab w:val="left" w:pos="1276"/>
          <w:tab w:val="right" w:leader="dot" w:pos="9072"/>
        </w:tabs>
        <w:spacing w:after="0" w:line="240" w:lineRule="auto"/>
        <w:rPr>
          <w:rStyle w:val="Hipervnculo"/>
          <w:rFonts w:eastAsiaTheme="minorHAnsi" w:cs="Arial"/>
          <w:noProof/>
          <w:color w:val="auto"/>
          <w:u w:val="none"/>
        </w:rPr>
      </w:pPr>
      <w:r w:rsidRPr="001E2F6E">
        <w:rPr>
          <w:rStyle w:val="Hipervnculo"/>
          <w:rFonts w:eastAsiaTheme="minorHAnsi" w:cs="Arial"/>
          <w:noProof/>
          <w:color w:val="auto"/>
          <w:sz w:val="18"/>
          <w:szCs w:val="18"/>
          <w:u w:val="none"/>
        </w:rPr>
        <w:tab/>
      </w:r>
      <w:r w:rsidRPr="001E2F6E">
        <w:rPr>
          <w:rStyle w:val="Hipervnculo"/>
          <w:rFonts w:eastAsiaTheme="minorHAnsi" w:cs="Arial"/>
          <w:noProof/>
          <w:color w:val="auto"/>
          <w:sz w:val="18"/>
          <w:szCs w:val="18"/>
          <w:u w:val="none"/>
        </w:rPr>
        <w:tab/>
      </w:r>
      <w:hyperlink w:anchor="_Toc392585709" w:history="1">
        <w:r w:rsidR="000728A0" w:rsidRPr="001E2F6E">
          <w:rPr>
            <w:rStyle w:val="Hipervnculo"/>
            <w:rFonts w:eastAsiaTheme="minorHAnsi" w:cs="Arial"/>
            <w:noProof/>
            <w:color w:val="auto"/>
            <w:sz w:val="18"/>
            <w:szCs w:val="18"/>
            <w:u w:val="none"/>
          </w:rPr>
          <w:t>2.3.2.- Enplegu-Zentro Berezien BEGd-a</w:t>
        </w:r>
        <w:r w:rsidR="000728A0" w:rsidRPr="001E2F6E">
          <w:rPr>
            <w:rStyle w:val="Hipervnculo"/>
            <w:rFonts w:eastAsiaTheme="minorHAnsi" w:cs="Arial"/>
            <w:noProof/>
            <w:webHidden/>
            <w:color w:val="auto"/>
            <w:u w:val="none"/>
          </w:rPr>
          <w:tab/>
        </w:r>
        <w:r w:rsidR="00EB6BA6" w:rsidRPr="001E2F6E">
          <w:rPr>
            <w:rStyle w:val="Hipervnculo"/>
            <w:rFonts w:eastAsiaTheme="minorHAnsi" w:cs="Arial"/>
            <w:noProof/>
            <w:webHidden/>
            <w:color w:val="auto"/>
            <w:u w:val="none"/>
          </w:rPr>
          <w:fldChar w:fldCharType="begin"/>
        </w:r>
        <w:r w:rsidR="000728A0" w:rsidRPr="001E2F6E">
          <w:rPr>
            <w:rStyle w:val="Hipervnculo"/>
            <w:rFonts w:eastAsiaTheme="minorHAnsi" w:cs="Arial"/>
            <w:noProof/>
            <w:webHidden/>
            <w:color w:val="auto"/>
            <w:u w:val="none"/>
          </w:rPr>
          <w:instrText xml:space="preserve"> PAGEREF _Toc392585709 \h </w:instrText>
        </w:r>
        <w:r w:rsidR="00EB6BA6" w:rsidRPr="001E2F6E">
          <w:rPr>
            <w:rStyle w:val="Hipervnculo"/>
            <w:rFonts w:eastAsiaTheme="minorHAnsi" w:cs="Arial"/>
            <w:noProof/>
            <w:webHidden/>
            <w:color w:val="auto"/>
            <w:u w:val="none"/>
          </w:rPr>
        </w:r>
        <w:r w:rsidR="00EB6BA6" w:rsidRPr="001E2F6E">
          <w:rPr>
            <w:rStyle w:val="Hipervnculo"/>
            <w:rFonts w:eastAsiaTheme="minorHAnsi" w:cs="Arial"/>
            <w:noProof/>
            <w:webHidden/>
            <w:color w:val="auto"/>
            <w:u w:val="none"/>
          </w:rPr>
          <w:fldChar w:fldCharType="separate"/>
        </w:r>
        <w:r w:rsidR="00A327D4">
          <w:rPr>
            <w:rStyle w:val="Hipervnculo"/>
            <w:rFonts w:eastAsiaTheme="minorHAnsi" w:cs="Arial"/>
            <w:noProof/>
            <w:webHidden/>
            <w:color w:val="auto"/>
            <w:u w:val="none"/>
          </w:rPr>
          <w:t>83</w:t>
        </w:r>
        <w:r w:rsidR="00EB6BA6" w:rsidRPr="001E2F6E">
          <w:rPr>
            <w:rStyle w:val="Hipervnculo"/>
            <w:rFonts w:eastAsiaTheme="minorHAnsi" w:cs="Arial"/>
            <w:noProof/>
            <w:webHidden/>
            <w:color w:val="auto"/>
            <w:u w:val="none"/>
          </w:rPr>
          <w:fldChar w:fldCharType="end"/>
        </w:r>
      </w:hyperlink>
    </w:p>
    <w:p w:rsidR="00D34AE0" w:rsidRPr="001E2F6E" w:rsidRDefault="00D34AE0" w:rsidP="000728A0">
      <w:pPr>
        <w:pStyle w:val="TDC1"/>
        <w:tabs>
          <w:tab w:val="left" w:pos="426"/>
          <w:tab w:val="left" w:pos="851"/>
          <w:tab w:val="left" w:pos="1276"/>
          <w:tab w:val="right" w:leader="dot" w:pos="9072"/>
        </w:tabs>
        <w:spacing w:after="0" w:line="240" w:lineRule="auto"/>
        <w:rPr>
          <w:rStyle w:val="Hipervnculo"/>
          <w:rFonts w:eastAsiaTheme="minorHAnsi" w:cs="Arial"/>
          <w:noProof/>
          <w:color w:val="auto"/>
          <w:sz w:val="18"/>
          <w:szCs w:val="18"/>
          <w:u w:val="none"/>
        </w:rPr>
      </w:pPr>
    </w:p>
    <w:p w:rsidR="000728A0" w:rsidRPr="001E2F6E" w:rsidRDefault="00A327D4" w:rsidP="000728A0">
      <w:pPr>
        <w:pStyle w:val="TDC1"/>
        <w:tabs>
          <w:tab w:val="left" w:pos="426"/>
          <w:tab w:val="left" w:pos="851"/>
          <w:tab w:val="left" w:pos="1276"/>
          <w:tab w:val="right" w:leader="dot" w:pos="9072"/>
        </w:tabs>
        <w:spacing w:after="0" w:line="240" w:lineRule="auto"/>
        <w:rPr>
          <w:rStyle w:val="Hipervnculo"/>
          <w:rFonts w:eastAsiaTheme="minorHAnsi" w:cs="Arial"/>
          <w:noProof/>
          <w:color w:val="auto"/>
          <w:u w:val="none"/>
        </w:rPr>
      </w:pPr>
      <w:hyperlink w:anchor="_Toc392585710" w:history="1">
        <w:r w:rsidR="000728A0" w:rsidRPr="001E2F6E">
          <w:rPr>
            <w:rStyle w:val="Hipervnculo"/>
            <w:rFonts w:eastAsiaTheme="minorHAnsi" w:cs="Arial"/>
            <w:noProof/>
            <w:color w:val="auto"/>
            <w:sz w:val="18"/>
            <w:szCs w:val="18"/>
            <w:u w:val="none"/>
          </w:rPr>
          <w:t xml:space="preserve">3.- </w:t>
        </w:r>
        <w:r w:rsidR="000728A0" w:rsidRPr="001E2F6E">
          <w:rPr>
            <w:rStyle w:val="Hipervnculo"/>
            <w:rFonts w:eastAsiaTheme="minorHAnsi" w:cs="Arial"/>
            <w:noProof/>
            <w:color w:val="auto"/>
            <w:u w:val="none"/>
          </w:rPr>
          <w:tab/>
        </w:r>
        <w:r w:rsidR="000728A0" w:rsidRPr="001E2F6E">
          <w:rPr>
            <w:rStyle w:val="Hipervnculo"/>
            <w:rFonts w:eastAsiaTheme="minorHAnsi" w:cs="Arial"/>
            <w:noProof/>
            <w:color w:val="auto"/>
            <w:sz w:val="18"/>
            <w:szCs w:val="18"/>
            <w:u w:val="none"/>
          </w:rPr>
          <w:t>LANERATZEKO ENPRESAK</w:t>
        </w:r>
        <w:r w:rsidR="000728A0" w:rsidRPr="001E2F6E">
          <w:rPr>
            <w:rStyle w:val="Hipervnculo"/>
            <w:rFonts w:eastAsiaTheme="minorHAnsi" w:cs="Arial"/>
            <w:noProof/>
            <w:webHidden/>
            <w:color w:val="auto"/>
            <w:u w:val="none"/>
          </w:rPr>
          <w:tab/>
        </w:r>
        <w:r w:rsidR="00EB6BA6" w:rsidRPr="001E2F6E">
          <w:rPr>
            <w:rStyle w:val="Hipervnculo"/>
            <w:rFonts w:eastAsiaTheme="minorHAnsi" w:cs="Arial"/>
            <w:noProof/>
            <w:webHidden/>
            <w:color w:val="auto"/>
            <w:u w:val="none"/>
          </w:rPr>
          <w:fldChar w:fldCharType="begin"/>
        </w:r>
        <w:r w:rsidR="000728A0" w:rsidRPr="001E2F6E">
          <w:rPr>
            <w:rStyle w:val="Hipervnculo"/>
            <w:rFonts w:eastAsiaTheme="minorHAnsi" w:cs="Arial"/>
            <w:noProof/>
            <w:webHidden/>
            <w:color w:val="auto"/>
            <w:u w:val="none"/>
          </w:rPr>
          <w:instrText xml:space="preserve"> PAGEREF _Toc392585710 \h </w:instrText>
        </w:r>
        <w:r w:rsidR="00EB6BA6" w:rsidRPr="001E2F6E">
          <w:rPr>
            <w:rStyle w:val="Hipervnculo"/>
            <w:rFonts w:eastAsiaTheme="minorHAnsi" w:cs="Arial"/>
            <w:noProof/>
            <w:webHidden/>
            <w:color w:val="auto"/>
            <w:u w:val="none"/>
          </w:rPr>
        </w:r>
        <w:r w:rsidR="00EB6BA6" w:rsidRPr="001E2F6E">
          <w:rPr>
            <w:rStyle w:val="Hipervnculo"/>
            <w:rFonts w:eastAsiaTheme="minorHAnsi" w:cs="Arial"/>
            <w:noProof/>
            <w:webHidden/>
            <w:color w:val="auto"/>
            <w:u w:val="none"/>
          </w:rPr>
          <w:fldChar w:fldCharType="separate"/>
        </w:r>
        <w:r>
          <w:rPr>
            <w:rStyle w:val="Hipervnculo"/>
            <w:rFonts w:eastAsiaTheme="minorHAnsi" w:cs="Arial"/>
            <w:noProof/>
            <w:webHidden/>
            <w:color w:val="auto"/>
            <w:u w:val="none"/>
          </w:rPr>
          <w:t>84</w:t>
        </w:r>
        <w:r w:rsidR="00EB6BA6" w:rsidRPr="001E2F6E">
          <w:rPr>
            <w:rStyle w:val="Hipervnculo"/>
            <w:rFonts w:eastAsiaTheme="minorHAnsi" w:cs="Arial"/>
            <w:noProof/>
            <w:webHidden/>
            <w:color w:val="auto"/>
            <w:u w:val="none"/>
          </w:rPr>
          <w:fldChar w:fldCharType="end"/>
        </w:r>
      </w:hyperlink>
    </w:p>
    <w:p w:rsidR="000728A0" w:rsidRPr="001E2F6E" w:rsidRDefault="00D34AE0" w:rsidP="000728A0">
      <w:pPr>
        <w:pStyle w:val="TDC1"/>
        <w:tabs>
          <w:tab w:val="left" w:pos="426"/>
          <w:tab w:val="left" w:pos="851"/>
          <w:tab w:val="left" w:pos="1276"/>
          <w:tab w:val="right" w:leader="dot" w:pos="9072"/>
        </w:tabs>
        <w:spacing w:after="0" w:line="240" w:lineRule="auto"/>
        <w:rPr>
          <w:rStyle w:val="Hipervnculo"/>
          <w:rFonts w:eastAsiaTheme="minorHAnsi" w:cs="Arial"/>
          <w:noProof/>
          <w:color w:val="auto"/>
          <w:u w:val="none"/>
        </w:rPr>
      </w:pPr>
      <w:r w:rsidRPr="001E2F6E">
        <w:rPr>
          <w:rStyle w:val="Hipervnculo"/>
          <w:rFonts w:eastAsiaTheme="minorHAnsi" w:cs="Arial"/>
          <w:noProof/>
          <w:color w:val="auto"/>
          <w:sz w:val="18"/>
          <w:szCs w:val="18"/>
          <w:u w:val="none"/>
        </w:rPr>
        <w:tab/>
      </w:r>
      <w:hyperlink w:anchor="_Toc392585711" w:history="1">
        <w:r w:rsidR="000728A0" w:rsidRPr="001E2F6E">
          <w:rPr>
            <w:rStyle w:val="Hipervnculo"/>
            <w:rFonts w:eastAsiaTheme="minorHAnsi" w:cs="Arial"/>
            <w:noProof/>
            <w:color w:val="auto"/>
            <w:sz w:val="18"/>
            <w:szCs w:val="18"/>
            <w:u w:val="none"/>
          </w:rPr>
          <w:t xml:space="preserve">3.1.- </w:t>
        </w:r>
        <w:r w:rsidR="000728A0" w:rsidRPr="001E2F6E">
          <w:rPr>
            <w:rStyle w:val="Hipervnculo"/>
            <w:rFonts w:eastAsiaTheme="minorHAnsi" w:cs="Arial"/>
            <w:noProof/>
            <w:color w:val="auto"/>
            <w:u w:val="none"/>
          </w:rPr>
          <w:tab/>
        </w:r>
        <w:r w:rsidR="000728A0" w:rsidRPr="001E2F6E">
          <w:rPr>
            <w:rStyle w:val="Hipervnculo"/>
            <w:rFonts w:eastAsiaTheme="minorHAnsi" w:cs="Arial"/>
            <w:noProof/>
            <w:color w:val="auto"/>
            <w:sz w:val="18"/>
            <w:szCs w:val="18"/>
            <w:u w:val="none"/>
          </w:rPr>
          <w:t>ERAGILEEN KUANTIFIKAZIOA: LANERATZEKO ENPRESAK</w:t>
        </w:r>
        <w:r w:rsidR="000728A0" w:rsidRPr="001E2F6E">
          <w:rPr>
            <w:rStyle w:val="Hipervnculo"/>
            <w:rFonts w:eastAsiaTheme="minorHAnsi" w:cs="Arial"/>
            <w:noProof/>
            <w:webHidden/>
            <w:color w:val="auto"/>
            <w:u w:val="none"/>
          </w:rPr>
          <w:tab/>
        </w:r>
        <w:r w:rsidR="00EB6BA6" w:rsidRPr="001E2F6E">
          <w:rPr>
            <w:rStyle w:val="Hipervnculo"/>
            <w:rFonts w:eastAsiaTheme="minorHAnsi" w:cs="Arial"/>
            <w:noProof/>
            <w:webHidden/>
            <w:color w:val="auto"/>
            <w:u w:val="none"/>
          </w:rPr>
          <w:fldChar w:fldCharType="begin"/>
        </w:r>
        <w:r w:rsidR="000728A0" w:rsidRPr="001E2F6E">
          <w:rPr>
            <w:rStyle w:val="Hipervnculo"/>
            <w:rFonts w:eastAsiaTheme="minorHAnsi" w:cs="Arial"/>
            <w:noProof/>
            <w:webHidden/>
            <w:color w:val="auto"/>
            <w:u w:val="none"/>
          </w:rPr>
          <w:instrText xml:space="preserve"> PAGEREF _Toc392585711 \h </w:instrText>
        </w:r>
        <w:r w:rsidR="00EB6BA6" w:rsidRPr="001E2F6E">
          <w:rPr>
            <w:rStyle w:val="Hipervnculo"/>
            <w:rFonts w:eastAsiaTheme="minorHAnsi" w:cs="Arial"/>
            <w:noProof/>
            <w:webHidden/>
            <w:color w:val="auto"/>
            <w:u w:val="none"/>
          </w:rPr>
        </w:r>
        <w:r w:rsidR="00EB6BA6" w:rsidRPr="001E2F6E">
          <w:rPr>
            <w:rStyle w:val="Hipervnculo"/>
            <w:rFonts w:eastAsiaTheme="minorHAnsi" w:cs="Arial"/>
            <w:noProof/>
            <w:webHidden/>
            <w:color w:val="auto"/>
            <w:u w:val="none"/>
          </w:rPr>
          <w:fldChar w:fldCharType="separate"/>
        </w:r>
        <w:r w:rsidR="00A327D4">
          <w:rPr>
            <w:rStyle w:val="Hipervnculo"/>
            <w:rFonts w:eastAsiaTheme="minorHAnsi" w:cs="Arial"/>
            <w:noProof/>
            <w:webHidden/>
            <w:color w:val="auto"/>
            <w:u w:val="none"/>
          </w:rPr>
          <w:t>84</w:t>
        </w:r>
        <w:r w:rsidR="00EB6BA6" w:rsidRPr="001E2F6E">
          <w:rPr>
            <w:rStyle w:val="Hipervnculo"/>
            <w:rFonts w:eastAsiaTheme="minorHAnsi" w:cs="Arial"/>
            <w:noProof/>
            <w:webHidden/>
            <w:color w:val="auto"/>
            <w:u w:val="none"/>
          </w:rPr>
          <w:fldChar w:fldCharType="end"/>
        </w:r>
      </w:hyperlink>
    </w:p>
    <w:p w:rsidR="000728A0" w:rsidRPr="001E2F6E" w:rsidRDefault="00D34AE0" w:rsidP="000728A0">
      <w:pPr>
        <w:pStyle w:val="TDC1"/>
        <w:tabs>
          <w:tab w:val="left" w:pos="426"/>
          <w:tab w:val="left" w:pos="851"/>
          <w:tab w:val="left" w:pos="1276"/>
          <w:tab w:val="right" w:leader="dot" w:pos="9072"/>
        </w:tabs>
        <w:spacing w:after="0" w:line="240" w:lineRule="auto"/>
        <w:rPr>
          <w:rStyle w:val="Hipervnculo"/>
          <w:rFonts w:eastAsiaTheme="minorHAnsi" w:cs="Arial"/>
          <w:noProof/>
          <w:color w:val="auto"/>
          <w:u w:val="none"/>
        </w:rPr>
      </w:pPr>
      <w:r w:rsidRPr="001E2F6E">
        <w:rPr>
          <w:rStyle w:val="Hipervnculo"/>
          <w:rFonts w:eastAsiaTheme="minorHAnsi" w:cs="Arial"/>
          <w:noProof/>
          <w:color w:val="auto"/>
          <w:sz w:val="18"/>
          <w:szCs w:val="18"/>
          <w:u w:val="none"/>
        </w:rPr>
        <w:tab/>
      </w:r>
      <w:hyperlink w:anchor="_Toc392585712" w:history="1">
        <w:r w:rsidR="000728A0" w:rsidRPr="001E2F6E">
          <w:rPr>
            <w:rStyle w:val="Hipervnculo"/>
            <w:rFonts w:eastAsiaTheme="minorHAnsi" w:cs="Arial"/>
            <w:noProof/>
            <w:color w:val="auto"/>
            <w:sz w:val="18"/>
            <w:szCs w:val="18"/>
            <w:u w:val="none"/>
          </w:rPr>
          <w:t xml:space="preserve">3.2.- </w:t>
        </w:r>
        <w:r w:rsidR="000728A0" w:rsidRPr="001E2F6E">
          <w:rPr>
            <w:rStyle w:val="Hipervnculo"/>
            <w:rFonts w:eastAsiaTheme="minorHAnsi" w:cs="Arial"/>
            <w:noProof/>
            <w:color w:val="auto"/>
            <w:u w:val="none"/>
          </w:rPr>
          <w:tab/>
        </w:r>
        <w:r w:rsidR="000728A0" w:rsidRPr="001E2F6E">
          <w:rPr>
            <w:rStyle w:val="Hipervnculo"/>
            <w:rFonts w:eastAsiaTheme="minorHAnsi" w:cs="Arial"/>
            <w:noProof/>
            <w:color w:val="auto"/>
            <w:sz w:val="18"/>
            <w:szCs w:val="18"/>
            <w:u w:val="none"/>
          </w:rPr>
          <w:t>ENPLEGUA LANERATZEKO ENPRESETAN</w:t>
        </w:r>
        <w:r w:rsidR="000728A0" w:rsidRPr="001E2F6E">
          <w:rPr>
            <w:rStyle w:val="Hipervnculo"/>
            <w:rFonts w:eastAsiaTheme="minorHAnsi" w:cs="Arial"/>
            <w:noProof/>
            <w:webHidden/>
            <w:color w:val="auto"/>
            <w:u w:val="none"/>
          </w:rPr>
          <w:tab/>
        </w:r>
        <w:r w:rsidR="00EB6BA6" w:rsidRPr="001E2F6E">
          <w:rPr>
            <w:rStyle w:val="Hipervnculo"/>
            <w:rFonts w:eastAsiaTheme="minorHAnsi" w:cs="Arial"/>
            <w:noProof/>
            <w:webHidden/>
            <w:color w:val="auto"/>
            <w:u w:val="none"/>
          </w:rPr>
          <w:fldChar w:fldCharType="begin"/>
        </w:r>
        <w:r w:rsidR="000728A0" w:rsidRPr="001E2F6E">
          <w:rPr>
            <w:rStyle w:val="Hipervnculo"/>
            <w:rFonts w:eastAsiaTheme="minorHAnsi" w:cs="Arial"/>
            <w:noProof/>
            <w:webHidden/>
            <w:color w:val="auto"/>
            <w:u w:val="none"/>
          </w:rPr>
          <w:instrText xml:space="preserve"> PAGEREF _Toc392585712 \h </w:instrText>
        </w:r>
        <w:r w:rsidR="00EB6BA6" w:rsidRPr="001E2F6E">
          <w:rPr>
            <w:rStyle w:val="Hipervnculo"/>
            <w:rFonts w:eastAsiaTheme="minorHAnsi" w:cs="Arial"/>
            <w:noProof/>
            <w:webHidden/>
            <w:color w:val="auto"/>
            <w:u w:val="none"/>
          </w:rPr>
        </w:r>
        <w:r w:rsidR="00EB6BA6" w:rsidRPr="001E2F6E">
          <w:rPr>
            <w:rStyle w:val="Hipervnculo"/>
            <w:rFonts w:eastAsiaTheme="minorHAnsi" w:cs="Arial"/>
            <w:noProof/>
            <w:webHidden/>
            <w:color w:val="auto"/>
            <w:u w:val="none"/>
          </w:rPr>
          <w:fldChar w:fldCharType="separate"/>
        </w:r>
        <w:r w:rsidR="00A327D4">
          <w:rPr>
            <w:rStyle w:val="Hipervnculo"/>
            <w:rFonts w:eastAsiaTheme="minorHAnsi" w:cs="Arial"/>
            <w:noProof/>
            <w:webHidden/>
            <w:color w:val="auto"/>
            <w:u w:val="none"/>
          </w:rPr>
          <w:t>84</w:t>
        </w:r>
        <w:r w:rsidR="00EB6BA6" w:rsidRPr="001E2F6E">
          <w:rPr>
            <w:rStyle w:val="Hipervnculo"/>
            <w:rFonts w:eastAsiaTheme="minorHAnsi" w:cs="Arial"/>
            <w:noProof/>
            <w:webHidden/>
            <w:color w:val="auto"/>
            <w:u w:val="none"/>
          </w:rPr>
          <w:fldChar w:fldCharType="end"/>
        </w:r>
      </w:hyperlink>
    </w:p>
    <w:p w:rsidR="000728A0" w:rsidRPr="001E2F6E" w:rsidRDefault="00D34AE0" w:rsidP="000728A0">
      <w:pPr>
        <w:pStyle w:val="TDC1"/>
        <w:tabs>
          <w:tab w:val="left" w:pos="426"/>
          <w:tab w:val="left" w:pos="851"/>
          <w:tab w:val="left" w:pos="1276"/>
          <w:tab w:val="right" w:leader="dot" w:pos="9072"/>
        </w:tabs>
        <w:spacing w:after="0" w:line="240" w:lineRule="auto"/>
        <w:rPr>
          <w:rStyle w:val="Hipervnculo"/>
          <w:rFonts w:eastAsiaTheme="minorHAnsi" w:cs="Arial"/>
          <w:noProof/>
          <w:color w:val="auto"/>
          <w:u w:val="none"/>
        </w:rPr>
      </w:pPr>
      <w:r w:rsidRPr="001E2F6E">
        <w:rPr>
          <w:rStyle w:val="Hipervnculo"/>
          <w:rFonts w:eastAsiaTheme="minorHAnsi" w:cs="Arial"/>
          <w:noProof/>
          <w:color w:val="auto"/>
          <w:sz w:val="18"/>
          <w:szCs w:val="18"/>
          <w:u w:val="none"/>
        </w:rPr>
        <w:tab/>
      </w:r>
      <w:hyperlink w:anchor="_Toc392585713" w:history="1">
        <w:r w:rsidR="000728A0" w:rsidRPr="001E2F6E">
          <w:rPr>
            <w:rStyle w:val="Hipervnculo"/>
            <w:rFonts w:eastAsiaTheme="minorHAnsi" w:cs="Arial"/>
            <w:noProof/>
            <w:color w:val="auto"/>
            <w:sz w:val="18"/>
            <w:szCs w:val="18"/>
            <w:u w:val="none"/>
          </w:rPr>
          <w:t xml:space="preserve">3.3.- </w:t>
        </w:r>
        <w:r w:rsidR="000728A0" w:rsidRPr="001E2F6E">
          <w:rPr>
            <w:rStyle w:val="Hipervnculo"/>
            <w:rFonts w:eastAsiaTheme="minorHAnsi" w:cs="Arial"/>
            <w:noProof/>
            <w:color w:val="auto"/>
            <w:u w:val="none"/>
          </w:rPr>
          <w:tab/>
        </w:r>
        <w:r w:rsidR="000728A0" w:rsidRPr="001E2F6E">
          <w:rPr>
            <w:rStyle w:val="Hipervnculo"/>
            <w:rFonts w:eastAsiaTheme="minorHAnsi" w:cs="Arial"/>
            <w:noProof/>
            <w:color w:val="auto"/>
            <w:sz w:val="18"/>
            <w:szCs w:val="18"/>
            <w:u w:val="none"/>
          </w:rPr>
          <w:t>MAGNITUDE EKONOMIKO NAGUSIAK: LANERATZEKO ENPRESAK</w:t>
        </w:r>
        <w:r w:rsidR="000728A0" w:rsidRPr="001E2F6E">
          <w:rPr>
            <w:rStyle w:val="Hipervnculo"/>
            <w:rFonts w:eastAsiaTheme="minorHAnsi" w:cs="Arial"/>
            <w:noProof/>
            <w:webHidden/>
            <w:color w:val="auto"/>
            <w:u w:val="none"/>
          </w:rPr>
          <w:tab/>
        </w:r>
        <w:r w:rsidR="00EB6BA6" w:rsidRPr="001E2F6E">
          <w:rPr>
            <w:rStyle w:val="Hipervnculo"/>
            <w:rFonts w:eastAsiaTheme="minorHAnsi" w:cs="Arial"/>
            <w:noProof/>
            <w:webHidden/>
            <w:color w:val="auto"/>
            <w:u w:val="none"/>
          </w:rPr>
          <w:fldChar w:fldCharType="begin"/>
        </w:r>
        <w:r w:rsidR="000728A0" w:rsidRPr="001E2F6E">
          <w:rPr>
            <w:rStyle w:val="Hipervnculo"/>
            <w:rFonts w:eastAsiaTheme="minorHAnsi" w:cs="Arial"/>
            <w:noProof/>
            <w:webHidden/>
            <w:color w:val="auto"/>
            <w:u w:val="none"/>
          </w:rPr>
          <w:instrText xml:space="preserve"> PAGEREF _Toc392585713 \h </w:instrText>
        </w:r>
        <w:r w:rsidR="00EB6BA6" w:rsidRPr="001E2F6E">
          <w:rPr>
            <w:rStyle w:val="Hipervnculo"/>
            <w:rFonts w:eastAsiaTheme="minorHAnsi" w:cs="Arial"/>
            <w:noProof/>
            <w:webHidden/>
            <w:color w:val="auto"/>
            <w:u w:val="none"/>
          </w:rPr>
        </w:r>
        <w:r w:rsidR="00EB6BA6" w:rsidRPr="001E2F6E">
          <w:rPr>
            <w:rStyle w:val="Hipervnculo"/>
            <w:rFonts w:eastAsiaTheme="minorHAnsi" w:cs="Arial"/>
            <w:noProof/>
            <w:webHidden/>
            <w:color w:val="auto"/>
            <w:u w:val="none"/>
          </w:rPr>
          <w:fldChar w:fldCharType="separate"/>
        </w:r>
        <w:r w:rsidR="00A327D4">
          <w:rPr>
            <w:rStyle w:val="Hipervnculo"/>
            <w:rFonts w:eastAsiaTheme="minorHAnsi" w:cs="Arial"/>
            <w:noProof/>
            <w:webHidden/>
            <w:color w:val="auto"/>
            <w:u w:val="none"/>
          </w:rPr>
          <w:t>84</w:t>
        </w:r>
        <w:r w:rsidR="00EB6BA6" w:rsidRPr="001E2F6E">
          <w:rPr>
            <w:rStyle w:val="Hipervnculo"/>
            <w:rFonts w:eastAsiaTheme="minorHAnsi" w:cs="Arial"/>
            <w:noProof/>
            <w:webHidden/>
            <w:color w:val="auto"/>
            <w:u w:val="none"/>
          </w:rPr>
          <w:fldChar w:fldCharType="end"/>
        </w:r>
      </w:hyperlink>
    </w:p>
    <w:p w:rsidR="000728A0" w:rsidRPr="001E2F6E" w:rsidRDefault="00D34AE0" w:rsidP="000728A0">
      <w:pPr>
        <w:pStyle w:val="TDC1"/>
        <w:tabs>
          <w:tab w:val="left" w:pos="426"/>
          <w:tab w:val="left" w:pos="851"/>
          <w:tab w:val="left" w:pos="1276"/>
          <w:tab w:val="right" w:leader="dot" w:pos="9072"/>
        </w:tabs>
        <w:spacing w:after="0" w:line="240" w:lineRule="auto"/>
        <w:rPr>
          <w:rStyle w:val="Hipervnculo"/>
          <w:rFonts w:eastAsiaTheme="minorHAnsi" w:cs="Arial"/>
          <w:noProof/>
          <w:color w:val="auto"/>
          <w:u w:val="none"/>
        </w:rPr>
      </w:pPr>
      <w:r w:rsidRPr="001E2F6E">
        <w:rPr>
          <w:rStyle w:val="Hipervnculo"/>
          <w:rFonts w:eastAsiaTheme="minorHAnsi" w:cs="Arial"/>
          <w:noProof/>
          <w:color w:val="auto"/>
          <w:sz w:val="18"/>
          <w:szCs w:val="18"/>
          <w:u w:val="none"/>
        </w:rPr>
        <w:tab/>
      </w:r>
      <w:r w:rsidRPr="001E2F6E">
        <w:rPr>
          <w:rStyle w:val="Hipervnculo"/>
          <w:rFonts w:eastAsiaTheme="minorHAnsi" w:cs="Arial"/>
          <w:noProof/>
          <w:color w:val="auto"/>
          <w:sz w:val="18"/>
          <w:szCs w:val="18"/>
          <w:u w:val="none"/>
        </w:rPr>
        <w:tab/>
      </w:r>
      <w:hyperlink w:anchor="_Toc392585714" w:history="1">
        <w:r w:rsidR="000728A0" w:rsidRPr="001E2F6E">
          <w:rPr>
            <w:rStyle w:val="Hipervnculo"/>
            <w:rFonts w:eastAsiaTheme="minorHAnsi" w:cs="Arial"/>
            <w:noProof/>
            <w:color w:val="auto"/>
            <w:sz w:val="18"/>
            <w:szCs w:val="18"/>
            <w:u w:val="none"/>
          </w:rPr>
          <w:t>3.3.1.- Laneratzeko Enpresen Diru-Sarrerak</w:t>
        </w:r>
        <w:r w:rsidR="000728A0" w:rsidRPr="001E2F6E">
          <w:rPr>
            <w:rStyle w:val="Hipervnculo"/>
            <w:rFonts w:eastAsiaTheme="minorHAnsi" w:cs="Arial"/>
            <w:noProof/>
            <w:webHidden/>
            <w:color w:val="auto"/>
            <w:u w:val="none"/>
          </w:rPr>
          <w:tab/>
        </w:r>
        <w:r w:rsidR="00EB6BA6" w:rsidRPr="001E2F6E">
          <w:rPr>
            <w:rStyle w:val="Hipervnculo"/>
            <w:rFonts w:eastAsiaTheme="minorHAnsi" w:cs="Arial"/>
            <w:noProof/>
            <w:webHidden/>
            <w:color w:val="auto"/>
            <w:u w:val="none"/>
          </w:rPr>
          <w:fldChar w:fldCharType="begin"/>
        </w:r>
        <w:r w:rsidR="000728A0" w:rsidRPr="001E2F6E">
          <w:rPr>
            <w:rStyle w:val="Hipervnculo"/>
            <w:rFonts w:eastAsiaTheme="minorHAnsi" w:cs="Arial"/>
            <w:noProof/>
            <w:webHidden/>
            <w:color w:val="auto"/>
            <w:u w:val="none"/>
          </w:rPr>
          <w:instrText xml:space="preserve"> PAGEREF _Toc392585714 \h </w:instrText>
        </w:r>
        <w:r w:rsidR="00EB6BA6" w:rsidRPr="001E2F6E">
          <w:rPr>
            <w:rStyle w:val="Hipervnculo"/>
            <w:rFonts w:eastAsiaTheme="minorHAnsi" w:cs="Arial"/>
            <w:noProof/>
            <w:webHidden/>
            <w:color w:val="auto"/>
            <w:u w:val="none"/>
          </w:rPr>
        </w:r>
        <w:r w:rsidR="00EB6BA6" w:rsidRPr="001E2F6E">
          <w:rPr>
            <w:rStyle w:val="Hipervnculo"/>
            <w:rFonts w:eastAsiaTheme="minorHAnsi" w:cs="Arial"/>
            <w:noProof/>
            <w:webHidden/>
            <w:color w:val="auto"/>
            <w:u w:val="none"/>
          </w:rPr>
          <w:fldChar w:fldCharType="separate"/>
        </w:r>
        <w:r w:rsidR="00A327D4">
          <w:rPr>
            <w:rStyle w:val="Hipervnculo"/>
            <w:rFonts w:eastAsiaTheme="minorHAnsi" w:cs="Arial"/>
            <w:noProof/>
            <w:webHidden/>
            <w:color w:val="auto"/>
            <w:u w:val="none"/>
          </w:rPr>
          <w:t>84</w:t>
        </w:r>
        <w:r w:rsidR="00EB6BA6" w:rsidRPr="001E2F6E">
          <w:rPr>
            <w:rStyle w:val="Hipervnculo"/>
            <w:rFonts w:eastAsiaTheme="minorHAnsi" w:cs="Arial"/>
            <w:noProof/>
            <w:webHidden/>
            <w:color w:val="auto"/>
            <w:u w:val="none"/>
          </w:rPr>
          <w:fldChar w:fldCharType="end"/>
        </w:r>
      </w:hyperlink>
    </w:p>
    <w:p w:rsidR="000728A0" w:rsidRPr="001E2F6E" w:rsidRDefault="00D34AE0" w:rsidP="000728A0">
      <w:pPr>
        <w:pStyle w:val="TDC1"/>
        <w:tabs>
          <w:tab w:val="left" w:pos="426"/>
          <w:tab w:val="left" w:pos="851"/>
          <w:tab w:val="left" w:pos="1276"/>
          <w:tab w:val="right" w:leader="dot" w:pos="9072"/>
        </w:tabs>
        <w:spacing w:after="0" w:line="240" w:lineRule="auto"/>
        <w:rPr>
          <w:rStyle w:val="Hipervnculo"/>
          <w:rFonts w:eastAsiaTheme="minorHAnsi" w:cs="Arial"/>
          <w:noProof/>
          <w:color w:val="auto"/>
          <w:u w:val="none"/>
        </w:rPr>
      </w:pPr>
      <w:r w:rsidRPr="001E2F6E">
        <w:rPr>
          <w:rStyle w:val="Hipervnculo"/>
          <w:rFonts w:eastAsiaTheme="minorHAnsi" w:cs="Arial"/>
          <w:noProof/>
          <w:color w:val="auto"/>
          <w:sz w:val="18"/>
          <w:szCs w:val="18"/>
          <w:u w:val="none"/>
        </w:rPr>
        <w:tab/>
      </w:r>
      <w:r w:rsidRPr="001E2F6E">
        <w:rPr>
          <w:rStyle w:val="Hipervnculo"/>
          <w:rFonts w:eastAsiaTheme="minorHAnsi" w:cs="Arial"/>
          <w:noProof/>
          <w:color w:val="auto"/>
          <w:sz w:val="18"/>
          <w:szCs w:val="18"/>
          <w:u w:val="none"/>
        </w:rPr>
        <w:tab/>
      </w:r>
      <w:hyperlink w:anchor="_Toc392585715" w:history="1">
        <w:r w:rsidR="000728A0" w:rsidRPr="001E2F6E">
          <w:rPr>
            <w:rStyle w:val="Hipervnculo"/>
            <w:rFonts w:eastAsiaTheme="minorHAnsi" w:cs="Arial"/>
            <w:noProof/>
            <w:color w:val="auto"/>
            <w:sz w:val="18"/>
            <w:szCs w:val="18"/>
            <w:u w:val="none"/>
          </w:rPr>
          <w:t>3.3.2.- Laneratzeko Enpresen BEGd-a</w:t>
        </w:r>
        <w:r w:rsidR="000728A0" w:rsidRPr="001E2F6E">
          <w:rPr>
            <w:rStyle w:val="Hipervnculo"/>
            <w:rFonts w:eastAsiaTheme="minorHAnsi" w:cs="Arial"/>
            <w:noProof/>
            <w:webHidden/>
            <w:color w:val="auto"/>
            <w:u w:val="none"/>
          </w:rPr>
          <w:tab/>
        </w:r>
        <w:r w:rsidR="00EB6BA6" w:rsidRPr="001E2F6E">
          <w:rPr>
            <w:rStyle w:val="Hipervnculo"/>
            <w:rFonts w:eastAsiaTheme="minorHAnsi" w:cs="Arial"/>
            <w:noProof/>
            <w:webHidden/>
            <w:color w:val="auto"/>
            <w:u w:val="none"/>
          </w:rPr>
          <w:fldChar w:fldCharType="begin"/>
        </w:r>
        <w:r w:rsidR="000728A0" w:rsidRPr="001E2F6E">
          <w:rPr>
            <w:rStyle w:val="Hipervnculo"/>
            <w:rFonts w:eastAsiaTheme="minorHAnsi" w:cs="Arial"/>
            <w:noProof/>
            <w:webHidden/>
            <w:color w:val="auto"/>
            <w:u w:val="none"/>
          </w:rPr>
          <w:instrText xml:space="preserve"> PAGEREF _Toc392585715 \h </w:instrText>
        </w:r>
        <w:r w:rsidR="00EB6BA6" w:rsidRPr="001E2F6E">
          <w:rPr>
            <w:rStyle w:val="Hipervnculo"/>
            <w:rFonts w:eastAsiaTheme="minorHAnsi" w:cs="Arial"/>
            <w:noProof/>
            <w:webHidden/>
            <w:color w:val="auto"/>
            <w:u w:val="none"/>
          </w:rPr>
        </w:r>
        <w:r w:rsidR="00EB6BA6" w:rsidRPr="001E2F6E">
          <w:rPr>
            <w:rStyle w:val="Hipervnculo"/>
            <w:rFonts w:eastAsiaTheme="minorHAnsi" w:cs="Arial"/>
            <w:noProof/>
            <w:webHidden/>
            <w:color w:val="auto"/>
            <w:u w:val="none"/>
          </w:rPr>
          <w:fldChar w:fldCharType="separate"/>
        </w:r>
        <w:r w:rsidR="00A327D4">
          <w:rPr>
            <w:rStyle w:val="Hipervnculo"/>
            <w:rFonts w:eastAsiaTheme="minorHAnsi" w:cs="Arial"/>
            <w:noProof/>
            <w:webHidden/>
            <w:color w:val="auto"/>
            <w:u w:val="none"/>
          </w:rPr>
          <w:t>85</w:t>
        </w:r>
        <w:r w:rsidR="00EB6BA6" w:rsidRPr="001E2F6E">
          <w:rPr>
            <w:rStyle w:val="Hipervnculo"/>
            <w:rFonts w:eastAsiaTheme="minorHAnsi" w:cs="Arial"/>
            <w:noProof/>
            <w:webHidden/>
            <w:color w:val="auto"/>
            <w:u w:val="none"/>
          </w:rPr>
          <w:fldChar w:fldCharType="end"/>
        </w:r>
      </w:hyperlink>
    </w:p>
    <w:p w:rsidR="00D34AE0" w:rsidRPr="001E2F6E" w:rsidRDefault="00D34AE0" w:rsidP="000728A0">
      <w:pPr>
        <w:pStyle w:val="TDC1"/>
        <w:tabs>
          <w:tab w:val="left" w:pos="426"/>
          <w:tab w:val="left" w:pos="851"/>
          <w:tab w:val="left" w:pos="1276"/>
          <w:tab w:val="right" w:leader="dot" w:pos="9072"/>
        </w:tabs>
        <w:spacing w:after="0" w:line="240" w:lineRule="auto"/>
        <w:rPr>
          <w:rStyle w:val="Hipervnculo"/>
          <w:rFonts w:eastAsiaTheme="minorHAnsi" w:cs="Arial"/>
          <w:noProof/>
          <w:color w:val="auto"/>
          <w:sz w:val="18"/>
          <w:szCs w:val="18"/>
          <w:u w:val="none"/>
        </w:rPr>
      </w:pPr>
    </w:p>
    <w:p w:rsidR="000728A0" w:rsidRPr="001E2F6E" w:rsidRDefault="00A327D4" w:rsidP="000728A0">
      <w:pPr>
        <w:pStyle w:val="TDC1"/>
        <w:tabs>
          <w:tab w:val="left" w:pos="426"/>
          <w:tab w:val="left" w:pos="851"/>
          <w:tab w:val="left" w:pos="1276"/>
          <w:tab w:val="right" w:leader="dot" w:pos="9072"/>
        </w:tabs>
        <w:spacing w:after="0" w:line="240" w:lineRule="auto"/>
        <w:rPr>
          <w:rStyle w:val="Hipervnculo"/>
          <w:rFonts w:eastAsiaTheme="minorHAnsi" w:cs="Arial"/>
          <w:noProof/>
          <w:color w:val="auto"/>
          <w:u w:val="none"/>
        </w:rPr>
      </w:pPr>
      <w:hyperlink w:anchor="_Toc392585716" w:history="1">
        <w:r w:rsidR="000728A0" w:rsidRPr="001E2F6E">
          <w:rPr>
            <w:rStyle w:val="Hipervnculo"/>
            <w:rFonts w:eastAsiaTheme="minorHAnsi" w:cs="Arial"/>
            <w:noProof/>
            <w:color w:val="auto"/>
            <w:sz w:val="18"/>
            <w:szCs w:val="18"/>
            <w:u w:val="none"/>
          </w:rPr>
          <w:t xml:space="preserve">4.- </w:t>
        </w:r>
        <w:r w:rsidR="000728A0" w:rsidRPr="001E2F6E">
          <w:rPr>
            <w:rStyle w:val="Hipervnculo"/>
            <w:rFonts w:eastAsiaTheme="minorHAnsi" w:cs="Arial"/>
            <w:noProof/>
            <w:color w:val="auto"/>
            <w:u w:val="none"/>
          </w:rPr>
          <w:tab/>
        </w:r>
        <w:r w:rsidR="000728A0" w:rsidRPr="001E2F6E">
          <w:rPr>
            <w:rStyle w:val="Hipervnculo"/>
            <w:rFonts w:eastAsiaTheme="minorHAnsi" w:cs="Arial"/>
            <w:noProof/>
            <w:color w:val="auto"/>
            <w:sz w:val="18"/>
            <w:szCs w:val="18"/>
            <w:u w:val="none"/>
          </w:rPr>
          <w:t>BORONDATEZKO GIZARTE-AURREIKUSPENEKO ERAKUNDEAK (BGAE)</w:t>
        </w:r>
        <w:r w:rsidR="000728A0" w:rsidRPr="001E2F6E">
          <w:rPr>
            <w:rStyle w:val="Hipervnculo"/>
            <w:rFonts w:eastAsiaTheme="minorHAnsi" w:cs="Arial"/>
            <w:noProof/>
            <w:webHidden/>
            <w:color w:val="auto"/>
            <w:u w:val="none"/>
          </w:rPr>
          <w:tab/>
        </w:r>
        <w:r w:rsidR="00EB6BA6" w:rsidRPr="001E2F6E">
          <w:rPr>
            <w:rStyle w:val="Hipervnculo"/>
            <w:rFonts w:eastAsiaTheme="minorHAnsi" w:cs="Arial"/>
            <w:noProof/>
            <w:webHidden/>
            <w:color w:val="auto"/>
            <w:u w:val="none"/>
          </w:rPr>
          <w:fldChar w:fldCharType="begin"/>
        </w:r>
        <w:r w:rsidR="000728A0" w:rsidRPr="001E2F6E">
          <w:rPr>
            <w:rStyle w:val="Hipervnculo"/>
            <w:rFonts w:eastAsiaTheme="minorHAnsi" w:cs="Arial"/>
            <w:noProof/>
            <w:webHidden/>
            <w:color w:val="auto"/>
            <w:u w:val="none"/>
          </w:rPr>
          <w:instrText xml:space="preserve"> PAGEREF _Toc392585716 \h </w:instrText>
        </w:r>
        <w:r w:rsidR="00EB6BA6" w:rsidRPr="001E2F6E">
          <w:rPr>
            <w:rStyle w:val="Hipervnculo"/>
            <w:rFonts w:eastAsiaTheme="minorHAnsi" w:cs="Arial"/>
            <w:noProof/>
            <w:webHidden/>
            <w:color w:val="auto"/>
            <w:u w:val="none"/>
          </w:rPr>
        </w:r>
        <w:r w:rsidR="00EB6BA6" w:rsidRPr="001E2F6E">
          <w:rPr>
            <w:rStyle w:val="Hipervnculo"/>
            <w:rFonts w:eastAsiaTheme="minorHAnsi" w:cs="Arial"/>
            <w:noProof/>
            <w:webHidden/>
            <w:color w:val="auto"/>
            <w:u w:val="none"/>
          </w:rPr>
          <w:fldChar w:fldCharType="separate"/>
        </w:r>
        <w:r>
          <w:rPr>
            <w:rStyle w:val="Hipervnculo"/>
            <w:rFonts w:eastAsiaTheme="minorHAnsi" w:cs="Arial"/>
            <w:noProof/>
            <w:webHidden/>
            <w:color w:val="auto"/>
            <w:u w:val="none"/>
          </w:rPr>
          <w:t>86</w:t>
        </w:r>
        <w:r w:rsidR="00EB6BA6" w:rsidRPr="001E2F6E">
          <w:rPr>
            <w:rStyle w:val="Hipervnculo"/>
            <w:rFonts w:eastAsiaTheme="minorHAnsi" w:cs="Arial"/>
            <w:noProof/>
            <w:webHidden/>
            <w:color w:val="auto"/>
            <w:u w:val="none"/>
          </w:rPr>
          <w:fldChar w:fldCharType="end"/>
        </w:r>
      </w:hyperlink>
    </w:p>
    <w:p w:rsidR="000728A0" w:rsidRPr="001E2F6E" w:rsidRDefault="00D34AE0" w:rsidP="00D34AE0">
      <w:pPr>
        <w:pStyle w:val="TDC1"/>
        <w:tabs>
          <w:tab w:val="left" w:pos="426"/>
          <w:tab w:val="left" w:pos="851"/>
          <w:tab w:val="left" w:pos="1276"/>
          <w:tab w:val="right" w:leader="dot" w:pos="9072"/>
        </w:tabs>
        <w:spacing w:after="0" w:line="240" w:lineRule="auto"/>
        <w:ind w:left="851" w:hanging="851"/>
        <w:rPr>
          <w:rStyle w:val="Hipervnculo"/>
          <w:rFonts w:eastAsiaTheme="minorHAnsi" w:cs="Arial"/>
          <w:noProof/>
          <w:color w:val="auto"/>
          <w:u w:val="none"/>
        </w:rPr>
      </w:pPr>
      <w:r w:rsidRPr="001E2F6E">
        <w:rPr>
          <w:rStyle w:val="Hipervnculo"/>
          <w:rFonts w:eastAsiaTheme="minorHAnsi" w:cs="Arial"/>
          <w:noProof/>
          <w:color w:val="auto"/>
          <w:sz w:val="18"/>
          <w:szCs w:val="18"/>
          <w:u w:val="none"/>
        </w:rPr>
        <w:tab/>
      </w:r>
      <w:hyperlink w:anchor="_Toc392585717" w:history="1">
        <w:r w:rsidR="000728A0" w:rsidRPr="001E2F6E">
          <w:rPr>
            <w:rStyle w:val="Hipervnculo"/>
            <w:rFonts w:eastAsiaTheme="minorHAnsi" w:cs="Arial"/>
            <w:noProof/>
            <w:color w:val="auto"/>
            <w:sz w:val="18"/>
            <w:szCs w:val="18"/>
            <w:u w:val="none"/>
          </w:rPr>
          <w:t xml:space="preserve">4.1.- </w:t>
        </w:r>
        <w:r w:rsidR="000728A0" w:rsidRPr="001E2F6E">
          <w:rPr>
            <w:rStyle w:val="Hipervnculo"/>
            <w:rFonts w:eastAsiaTheme="minorHAnsi" w:cs="Arial"/>
            <w:noProof/>
            <w:color w:val="auto"/>
            <w:u w:val="none"/>
          </w:rPr>
          <w:tab/>
        </w:r>
        <w:r w:rsidR="000728A0" w:rsidRPr="001E2F6E">
          <w:rPr>
            <w:rStyle w:val="Hipervnculo"/>
            <w:rFonts w:eastAsiaTheme="minorHAnsi" w:cs="Arial"/>
            <w:noProof/>
            <w:color w:val="auto"/>
            <w:sz w:val="18"/>
            <w:szCs w:val="18"/>
            <w:u w:val="none"/>
          </w:rPr>
          <w:t>ERAGILEEN KUANTIFIKAZIOA: BORONDATEZKO GIZARTE-AURREIKUSPENEKO ERAKUNDEAK (BGAE)</w:t>
        </w:r>
        <w:r w:rsidR="000728A0" w:rsidRPr="001E2F6E">
          <w:rPr>
            <w:rStyle w:val="Hipervnculo"/>
            <w:rFonts w:eastAsiaTheme="minorHAnsi" w:cs="Arial"/>
            <w:noProof/>
            <w:webHidden/>
            <w:color w:val="auto"/>
            <w:u w:val="none"/>
          </w:rPr>
          <w:tab/>
        </w:r>
        <w:r w:rsidR="00EB6BA6" w:rsidRPr="001E2F6E">
          <w:rPr>
            <w:rStyle w:val="Hipervnculo"/>
            <w:rFonts w:eastAsiaTheme="minorHAnsi" w:cs="Arial"/>
            <w:noProof/>
            <w:webHidden/>
            <w:color w:val="auto"/>
            <w:u w:val="none"/>
          </w:rPr>
          <w:fldChar w:fldCharType="begin"/>
        </w:r>
        <w:r w:rsidR="000728A0" w:rsidRPr="001E2F6E">
          <w:rPr>
            <w:rStyle w:val="Hipervnculo"/>
            <w:rFonts w:eastAsiaTheme="minorHAnsi" w:cs="Arial"/>
            <w:noProof/>
            <w:webHidden/>
            <w:color w:val="auto"/>
            <w:u w:val="none"/>
          </w:rPr>
          <w:instrText xml:space="preserve"> PAGEREF _Toc392585717 \h </w:instrText>
        </w:r>
        <w:r w:rsidR="00EB6BA6" w:rsidRPr="001E2F6E">
          <w:rPr>
            <w:rStyle w:val="Hipervnculo"/>
            <w:rFonts w:eastAsiaTheme="minorHAnsi" w:cs="Arial"/>
            <w:noProof/>
            <w:webHidden/>
            <w:color w:val="auto"/>
            <w:u w:val="none"/>
          </w:rPr>
        </w:r>
        <w:r w:rsidR="00EB6BA6" w:rsidRPr="001E2F6E">
          <w:rPr>
            <w:rStyle w:val="Hipervnculo"/>
            <w:rFonts w:eastAsiaTheme="minorHAnsi" w:cs="Arial"/>
            <w:noProof/>
            <w:webHidden/>
            <w:color w:val="auto"/>
            <w:u w:val="none"/>
          </w:rPr>
          <w:fldChar w:fldCharType="separate"/>
        </w:r>
        <w:r w:rsidR="00A327D4">
          <w:rPr>
            <w:rStyle w:val="Hipervnculo"/>
            <w:rFonts w:eastAsiaTheme="minorHAnsi" w:cs="Arial"/>
            <w:noProof/>
            <w:webHidden/>
            <w:color w:val="auto"/>
            <w:u w:val="none"/>
          </w:rPr>
          <w:t>86</w:t>
        </w:r>
        <w:r w:rsidR="00EB6BA6" w:rsidRPr="001E2F6E">
          <w:rPr>
            <w:rStyle w:val="Hipervnculo"/>
            <w:rFonts w:eastAsiaTheme="minorHAnsi" w:cs="Arial"/>
            <w:noProof/>
            <w:webHidden/>
            <w:color w:val="auto"/>
            <w:u w:val="none"/>
          </w:rPr>
          <w:fldChar w:fldCharType="end"/>
        </w:r>
      </w:hyperlink>
    </w:p>
    <w:p w:rsidR="000728A0" w:rsidRPr="001E2F6E" w:rsidRDefault="00D34AE0" w:rsidP="00D34AE0">
      <w:pPr>
        <w:pStyle w:val="TDC1"/>
        <w:tabs>
          <w:tab w:val="left" w:pos="426"/>
          <w:tab w:val="left" w:pos="851"/>
          <w:tab w:val="left" w:pos="1276"/>
          <w:tab w:val="right" w:leader="dot" w:pos="9072"/>
        </w:tabs>
        <w:spacing w:after="0" w:line="240" w:lineRule="auto"/>
        <w:ind w:left="851" w:hanging="851"/>
        <w:rPr>
          <w:rStyle w:val="Hipervnculo"/>
          <w:rFonts w:eastAsiaTheme="minorHAnsi" w:cs="Arial"/>
          <w:noProof/>
          <w:color w:val="auto"/>
          <w:u w:val="none"/>
        </w:rPr>
      </w:pPr>
      <w:r w:rsidRPr="001E2F6E">
        <w:rPr>
          <w:rStyle w:val="Hipervnculo"/>
          <w:rFonts w:eastAsiaTheme="minorHAnsi" w:cs="Arial"/>
          <w:noProof/>
          <w:color w:val="auto"/>
          <w:sz w:val="18"/>
          <w:szCs w:val="18"/>
          <w:u w:val="none"/>
        </w:rPr>
        <w:tab/>
      </w:r>
      <w:hyperlink w:anchor="_Toc392585718" w:history="1">
        <w:r w:rsidR="000728A0" w:rsidRPr="001E2F6E">
          <w:rPr>
            <w:rStyle w:val="Hipervnculo"/>
            <w:rFonts w:eastAsiaTheme="minorHAnsi" w:cs="Arial"/>
            <w:noProof/>
            <w:color w:val="auto"/>
            <w:sz w:val="18"/>
            <w:szCs w:val="18"/>
            <w:u w:val="none"/>
          </w:rPr>
          <w:t xml:space="preserve">4.2.- </w:t>
        </w:r>
        <w:r w:rsidR="000728A0" w:rsidRPr="001E2F6E">
          <w:rPr>
            <w:rStyle w:val="Hipervnculo"/>
            <w:rFonts w:eastAsiaTheme="minorHAnsi" w:cs="Arial"/>
            <w:noProof/>
            <w:color w:val="auto"/>
            <w:u w:val="none"/>
          </w:rPr>
          <w:tab/>
        </w:r>
        <w:r w:rsidR="000728A0" w:rsidRPr="001E2F6E">
          <w:rPr>
            <w:rStyle w:val="Hipervnculo"/>
            <w:rFonts w:eastAsiaTheme="minorHAnsi" w:cs="Arial"/>
            <w:noProof/>
            <w:color w:val="auto"/>
            <w:sz w:val="18"/>
            <w:szCs w:val="18"/>
            <w:u w:val="none"/>
          </w:rPr>
          <w:t>ENPLEGUA BORONDATEZKO GIZARTE-AURREIKUSPENEKO ERAKUNDEETAN</w:t>
        </w:r>
        <w:r w:rsidR="000728A0" w:rsidRPr="001E2F6E">
          <w:rPr>
            <w:rStyle w:val="Hipervnculo"/>
            <w:rFonts w:eastAsiaTheme="minorHAnsi" w:cs="Arial"/>
            <w:noProof/>
            <w:webHidden/>
            <w:color w:val="auto"/>
            <w:u w:val="none"/>
          </w:rPr>
          <w:tab/>
        </w:r>
        <w:r w:rsidR="00EB6BA6" w:rsidRPr="001E2F6E">
          <w:rPr>
            <w:rStyle w:val="Hipervnculo"/>
            <w:rFonts w:eastAsiaTheme="minorHAnsi" w:cs="Arial"/>
            <w:noProof/>
            <w:webHidden/>
            <w:color w:val="auto"/>
            <w:u w:val="none"/>
          </w:rPr>
          <w:fldChar w:fldCharType="begin"/>
        </w:r>
        <w:r w:rsidR="000728A0" w:rsidRPr="001E2F6E">
          <w:rPr>
            <w:rStyle w:val="Hipervnculo"/>
            <w:rFonts w:eastAsiaTheme="minorHAnsi" w:cs="Arial"/>
            <w:noProof/>
            <w:webHidden/>
            <w:color w:val="auto"/>
            <w:u w:val="none"/>
          </w:rPr>
          <w:instrText xml:space="preserve"> PAGEREF _Toc392585718 \h </w:instrText>
        </w:r>
        <w:r w:rsidR="00EB6BA6" w:rsidRPr="001E2F6E">
          <w:rPr>
            <w:rStyle w:val="Hipervnculo"/>
            <w:rFonts w:eastAsiaTheme="minorHAnsi" w:cs="Arial"/>
            <w:noProof/>
            <w:webHidden/>
            <w:color w:val="auto"/>
            <w:u w:val="none"/>
          </w:rPr>
        </w:r>
        <w:r w:rsidR="00EB6BA6" w:rsidRPr="001E2F6E">
          <w:rPr>
            <w:rStyle w:val="Hipervnculo"/>
            <w:rFonts w:eastAsiaTheme="minorHAnsi" w:cs="Arial"/>
            <w:noProof/>
            <w:webHidden/>
            <w:color w:val="auto"/>
            <w:u w:val="none"/>
          </w:rPr>
          <w:fldChar w:fldCharType="separate"/>
        </w:r>
        <w:r w:rsidR="00A327D4">
          <w:rPr>
            <w:rStyle w:val="Hipervnculo"/>
            <w:rFonts w:eastAsiaTheme="minorHAnsi" w:cs="Arial"/>
            <w:noProof/>
            <w:webHidden/>
            <w:color w:val="auto"/>
            <w:u w:val="none"/>
          </w:rPr>
          <w:t>86</w:t>
        </w:r>
        <w:r w:rsidR="00EB6BA6" w:rsidRPr="001E2F6E">
          <w:rPr>
            <w:rStyle w:val="Hipervnculo"/>
            <w:rFonts w:eastAsiaTheme="minorHAnsi" w:cs="Arial"/>
            <w:noProof/>
            <w:webHidden/>
            <w:color w:val="auto"/>
            <w:u w:val="none"/>
          </w:rPr>
          <w:fldChar w:fldCharType="end"/>
        </w:r>
      </w:hyperlink>
    </w:p>
    <w:p w:rsidR="000728A0" w:rsidRPr="001E2F6E" w:rsidRDefault="00D34AE0" w:rsidP="000728A0">
      <w:pPr>
        <w:pStyle w:val="TDC1"/>
        <w:tabs>
          <w:tab w:val="left" w:pos="426"/>
          <w:tab w:val="left" w:pos="851"/>
          <w:tab w:val="left" w:pos="1276"/>
          <w:tab w:val="right" w:leader="dot" w:pos="9072"/>
        </w:tabs>
        <w:spacing w:after="0" w:line="240" w:lineRule="auto"/>
        <w:rPr>
          <w:rStyle w:val="Hipervnculo"/>
          <w:rFonts w:eastAsiaTheme="minorHAnsi" w:cs="Arial"/>
          <w:noProof/>
          <w:color w:val="auto"/>
          <w:u w:val="none"/>
        </w:rPr>
      </w:pPr>
      <w:r w:rsidRPr="001E2F6E">
        <w:rPr>
          <w:rStyle w:val="Hipervnculo"/>
          <w:rFonts w:eastAsiaTheme="minorHAnsi" w:cs="Arial"/>
          <w:noProof/>
          <w:color w:val="auto"/>
          <w:sz w:val="18"/>
          <w:szCs w:val="18"/>
          <w:u w:val="none"/>
        </w:rPr>
        <w:tab/>
      </w:r>
      <w:hyperlink w:anchor="_Toc392585720" w:history="1">
        <w:r w:rsidR="000728A0" w:rsidRPr="001E2F6E">
          <w:rPr>
            <w:rStyle w:val="Hipervnculo"/>
            <w:rFonts w:eastAsiaTheme="minorHAnsi" w:cs="Arial"/>
            <w:noProof/>
            <w:color w:val="auto"/>
            <w:sz w:val="18"/>
            <w:szCs w:val="18"/>
            <w:u w:val="none"/>
          </w:rPr>
          <w:t xml:space="preserve">4.3.- </w:t>
        </w:r>
        <w:r w:rsidR="000728A0" w:rsidRPr="001E2F6E">
          <w:rPr>
            <w:rStyle w:val="Hipervnculo"/>
            <w:rFonts w:eastAsiaTheme="minorHAnsi" w:cs="Arial"/>
            <w:noProof/>
            <w:color w:val="auto"/>
            <w:u w:val="none"/>
          </w:rPr>
          <w:tab/>
        </w:r>
        <w:r w:rsidR="000728A0" w:rsidRPr="001E2F6E">
          <w:rPr>
            <w:rStyle w:val="Hipervnculo"/>
            <w:rFonts w:eastAsiaTheme="minorHAnsi" w:cs="Arial"/>
            <w:noProof/>
            <w:color w:val="auto"/>
            <w:sz w:val="18"/>
            <w:szCs w:val="18"/>
            <w:u w:val="none"/>
          </w:rPr>
          <w:t>MAGNITUDE EKONOMIKO NAGUSIAK: GIZARTE-AURREIKUSPENEKO ERAKUNDEAK</w:t>
        </w:r>
        <w:r w:rsidR="000728A0" w:rsidRPr="001E2F6E">
          <w:rPr>
            <w:rStyle w:val="Hipervnculo"/>
            <w:rFonts w:eastAsiaTheme="minorHAnsi" w:cs="Arial"/>
            <w:noProof/>
            <w:webHidden/>
            <w:color w:val="auto"/>
            <w:u w:val="none"/>
          </w:rPr>
          <w:tab/>
        </w:r>
        <w:r w:rsidR="00EB6BA6" w:rsidRPr="001E2F6E">
          <w:rPr>
            <w:rStyle w:val="Hipervnculo"/>
            <w:rFonts w:eastAsiaTheme="minorHAnsi" w:cs="Arial"/>
            <w:noProof/>
            <w:webHidden/>
            <w:color w:val="auto"/>
            <w:u w:val="none"/>
          </w:rPr>
          <w:fldChar w:fldCharType="begin"/>
        </w:r>
        <w:r w:rsidR="000728A0" w:rsidRPr="001E2F6E">
          <w:rPr>
            <w:rStyle w:val="Hipervnculo"/>
            <w:rFonts w:eastAsiaTheme="minorHAnsi" w:cs="Arial"/>
            <w:noProof/>
            <w:webHidden/>
            <w:color w:val="auto"/>
            <w:u w:val="none"/>
          </w:rPr>
          <w:instrText xml:space="preserve"> PAGEREF _Toc392585720 \h </w:instrText>
        </w:r>
        <w:r w:rsidR="00EB6BA6" w:rsidRPr="001E2F6E">
          <w:rPr>
            <w:rStyle w:val="Hipervnculo"/>
            <w:rFonts w:eastAsiaTheme="minorHAnsi" w:cs="Arial"/>
            <w:noProof/>
            <w:webHidden/>
            <w:color w:val="auto"/>
            <w:u w:val="none"/>
          </w:rPr>
        </w:r>
        <w:r w:rsidR="00EB6BA6" w:rsidRPr="001E2F6E">
          <w:rPr>
            <w:rStyle w:val="Hipervnculo"/>
            <w:rFonts w:eastAsiaTheme="minorHAnsi" w:cs="Arial"/>
            <w:noProof/>
            <w:webHidden/>
            <w:color w:val="auto"/>
            <w:u w:val="none"/>
          </w:rPr>
          <w:fldChar w:fldCharType="separate"/>
        </w:r>
        <w:r w:rsidR="00A327D4">
          <w:rPr>
            <w:rStyle w:val="Hipervnculo"/>
            <w:rFonts w:eastAsiaTheme="minorHAnsi" w:cs="Arial"/>
            <w:noProof/>
            <w:webHidden/>
            <w:color w:val="auto"/>
            <w:u w:val="none"/>
          </w:rPr>
          <w:t>86</w:t>
        </w:r>
        <w:r w:rsidR="00EB6BA6" w:rsidRPr="001E2F6E">
          <w:rPr>
            <w:rStyle w:val="Hipervnculo"/>
            <w:rFonts w:eastAsiaTheme="minorHAnsi" w:cs="Arial"/>
            <w:noProof/>
            <w:webHidden/>
            <w:color w:val="auto"/>
            <w:u w:val="none"/>
          </w:rPr>
          <w:fldChar w:fldCharType="end"/>
        </w:r>
      </w:hyperlink>
    </w:p>
    <w:p w:rsidR="000728A0" w:rsidRPr="001E2F6E" w:rsidRDefault="00D34AE0" w:rsidP="000728A0">
      <w:pPr>
        <w:pStyle w:val="TDC1"/>
        <w:tabs>
          <w:tab w:val="left" w:pos="426"/>
          <w:tab w:val="left" w:pos="851"/>
          <w:tab w:val="left" w:pos="1276"/>
          <w:tab w:val="right" w:leader="dot" w:pos="9072"/>
        </w:tabs>
        <w:spacing w:after="0" w:line="240" w:lineRule="auto"/>
        <w:rPr>
          <w:rStyle w:val="Hipervnculo"/>
          <w:rFonts w:eastAsiaTheme="minorHAnsi" w:cs="Arial"/>
          <w:noProof/>
          <w:color w:val="auto"/>
          <w:u w:val="none"/>
        </w:rPr>
      </w:pPr>
      <w:r w:rsidRPr="001E2F6E">
        <w:rPr>
          <w:rStyle w:val="Hipervnculo"/>
          <w:rFonts w:eastAsiaTheme="minorHAnsi" w:cs="Arial"/>
          <w:noProof/>
          <w:color w:val="auto"/>
          <w:sz w:val="18"/>
          <w:szCs w:val="18"/>
          <w:u w:val="none"/>
        </w:rPr>
        <w:tab/>
      </w:r>
      <w:r w:rsidRPr="001E2F6E">
        <w:rPr>
          <w:rStyle w:val="Hipervnculo"/>
          <w:rFonts w:eastAsiaTheme="minorHAnsi" w:cs="Arial"/>
          <w:noProof/>
          <w:color w:val="auto"/>
          <w:sz w:val="18"/>
          <w:szCs w:val="18"/>
          <w:u w:val="none"/>
        </w:rPr>
        <w:tab/>
      </w:r>
      <w:hyperlink w:anchor="_Toc392585721" w:history="1">
        <w:r w:rsidR="000728A0" w:rsidRPr="001E2F6E">
          <w:rPr>
            <w:rStyle w:val="Hipervnculo"/>
            <w:rFonts w:eastAsiaTheme="minorHAnsi" w:cs="Arial"/>
            <w:noProof/>
            <w:color w:val="auto"/>
            <w:sz w:val="18"/>
            <w:szCs w:val="18"/>
            <w:u w:val="none"/>
          </w:rPr>
          <w:t>4.3.1.- BGAEen Diru-Sarrerak</w:t>
        </w:r>
        <w:r w:rsidR="000728A0" w:rsidRPr="001E2F6E">
          <w:rPr>
            <w:rStyle w:val="Hipervnculo"/>
            <w:rFonts w:eastAsiaTheme="minorHAnsi" w:cs="Arial"/>
            <w:noProof/>
            <w:webHidden/>
            <w:color w:val="auto"/>
            <w:u w:val="none"/>
          </w:rPr>
          <w:tab/>
        </w:r>
        <w:r w:rsidR="00EB6BA6" w:rsidRPr="001E2F6E">
          <w:rPr>
            <w:rStyle w:val="Hipervnculo"/>
            <w:rFonts w:eastAsiaTheme="minorHAnsi" w:cs="Arial"/>
            <w:noProof/>
            <w:webHidden/>
            <w:color w:val="auto"/>
            <w:u w:val="none"/>
          </w:rPr>
          <w:fldChar w:fldCharType="begin"/>
        </w:r>
        <w:r w:rsidR="000728A0" w:rsidRPr="001E2F6E">
          <w:rPr>
            <w:rStyle w:val="Hipervnculo"/>
            <w:rFonts w:eastAsiaTheme="minorHAnsi" w:cs="Arial"/>
            <w:noProof/>
            <w:webHidden/>
            <w:color w:val="auto"/>
            <w:u w:val="none"/>
          </w:rPr>
          <w:instrText xml:space="preserve"> PAGEREF _Toc392585721 \h </w:instrText>
        </w:r>
        <w:r w:rsidR="00EB6BA6" w:rsidRPr="001E2F6E">
          <w:rPr>
            <w:rStyle w:val="Hipervnculo"/>
            <w:rFonts w:eastAsiaTheme="minorHAnsi" w:cs="Arial"/>
            <w:noProof/>
            <w:webHidden/>
            <w:color w:val="auto"/>
            <w:u w:val="none"/>
          </w:rPr>
        </w:r>
        <w:r w:rsidR="00EB6BA6" w:rsidRPr="001E2F6E">
          <w:rPr>
            <w:rStyle w:val="Hipervnculo"/>
            <w:rFonts w:eastAsiaTheme="minorHAnsi" w:cs="Arial"/>
            <w:noProof/>
            <w:webHidden/>
            <w:color w:val="auto"/>
            <w:u w:val="none"/>
          </w:rPr>
          <w:fldChar w:fldCharType="separate"/>
        </w:r>
        <w:r w:rsidR="00A327D4">
          <w:rPr>
            <w:rStyle w:val="Hipervnculo"/>
            <w:rFonts w:eastAsiaTheme="minorHAnsi" w:cs="Arial"/>
            <w:noProof/>
            <w:webHidden/>
            <w:color w:val="auto"/>
            <w:u w:val="none"/>
          </w:rPr>
          <w:t>86</w:t>
        </w:r>
        <w:r w:rsidR="00EB6BA6" w:rsidRPr="001E2F6E">
          <w:rPr>
            <w:rStyle w:val="Hipervnculo"/>
            <w:rFonts w:eastAsiaTheme="minorHAnsi" w:cs="Arial"/>
            <w:noProof/>
            <w:webHidden/>
            <w:color w:val="auto"/>
            <w:u w:val="none"/>
          </w:rPr>
          <w:fldChar w:fldCharType="end"/>
        </w:r>
      </w:hyperlink>
    </w:p>
    <w:p w:rsidR="000728A0" w:rsidRPr="001E2F6E" w:rsidRDefault="00D34AE0" w:rsidP="000728A0">
      <w:pPr>
        <w:pStyle w:val="TDC1"/>
        <w:tabs>
          <w:tab w:val="left" w:pos="426"/>
          <w:tab w:val="left" w:pos="851"/>
          <w:tab w:val="left" w:pos="1276"/>
          <w:tab w:val="right" w:leader="dot" w:pos="9072"/>
        </w:tabs>
        <w:spacing w:after="0" w:line="240" w:lineRule="auto"/>
        <w:rPr>
          <w:rStyle w:val="Hipervnculo"/>
          <w:rFonts w:eastAsiaTheme="minorHAnsi" w:cs="Arial"/>
          <w:noProof/>
          <w:color w:val="auto"/>
          <w:u w:val="none"/>
        </w:rPr>
      </w:pPr>
      <w:r w:rsidRPr="001E2F6E">
        <w:rPr>
          <w:rStyle w:val="Hipervnculo"/>
          <w:rFonts w:eastAsiaTheme="minorHAnsi" w:cs="Arial"/>
          <w:noProof/>
          <w:color w:val="auto"/>
          <w:sz w:val="18"/>
          <w:szCs w:val="18"/>
          <w:u w:val="none"/>
        </w:rPr>
        <w:tab/>
      </w:r>
      <w:r w:rsidRPr="001E2F6E">
        <w:rPr>
          <w:rStyle w:val="Hipervnculo"/>
          <w:rFonts w:eastAsiaTheme="minorHAnsi" w:cs="Arial"/>
          <w:noProof/>
          <w:color w:val="auto"/>
          <w:sz w:val="18"/>
          <w:szCs w:val="18"/>
          <w:u w:val="none"/>
        </w:rPr>
        <w:tab/>
      </w:r>
      <w:hyperlink w:anchor="_Toc392585722" w:history="1">
        <w:r w:rsidR="000728A0" w:rsidRPr="001E2F6E">
          <w:rPr>
            <w:rStyle w:val="Hipervnculo"/>
            <w:rFonts w:eastAsiaTheme="minorHAnsi" w:cs="Arial"/>
            <w:noProof/>
            <w:color w:val="auto"/>
            <w:sz w:val="18"/>
            <w:szCs w:val="18"/>
            <w:u w:val="none"/>
          </w:rPr>
          <w:t>4.3.2.- BGAEen BEGd-a</w:t>
        </w:r>
        <w:r w:rsidR="000728A0" w:rsidRPr="001E2F6E">
          <w:rPr>
            <w:rStyle w:val="Hipervnculo"/>
            <w:rFonts w:eastAsiaTheme="minorHAnsi" w:cs="Arial"/>
            <w:noProof/>
            <w:webHidden/>
            <w:color w:val="auto"/>
            <w:u w:val="none"/>
          </w:rPr>
          <w:tab/>
        </w:r>
        <w:r w:rsidR="00EB6BA6" w:rsidRPr="001E2F6E">
          <w:rPr>
            <w:rStyle w:val="Hipervnculo"/>
            <w:rFonts w:eastAsiaTheme="minorHAnsi" w:cs="Arial"/>
            <w:noProof/>
            <w:webHidden/>
            <w:color w:val="auto"/>
            <w:u w:val="none"/>
          </w:rPr>
          <w:fldChar w:fldCharType="begin"/>
        </w:r>
        <w:r w:rsidR="000728A0" w:rsidRPr="001E2F6E">
          <w:rPr>
            <w:rStyle w:val="Hipervnculo"/>
            <w:rFonts w:eastAsiaTheme="minorHAnsi" w:cs="Arial"/>
            <w:noProof/>
            <w:webHidden/>
            <w:color w:val="auto"/>
            <w:u w:val="none"/>
          </w:rPr>
          <w:instrText xml:space="preserve"> PAGEREF _Toc392585722 \h </w:instrText>
        </w:r>
        <w:r w:rsidR="00EB6BA6" w:rsidRPr="001E2F6E">
          <w:rPr>
            <w:rStyle w:val="Hipervnculo"/>
            <w:rFonts w:eastAsiaTheme="minorHAnsi" w:cs="Arial"/>
            <w:noProof/>
            <w:webHidden/>
            <w:color w:val="auto"/>
            <w:u w:val="none"/>
          </w:rPr>
        </w:r>
        <w:r w:rsidR="00EB6BA6" w:rsidRPr="001E2F6E">
          <w:rPr>
            <w:rStyle w:val="Hipervnculo"/>
            <w:rFonts w:eastAsiaTheme="minorHAnsi" w:cs="Arial"/>
            <w:noProof/>
            <w:webHidden/>
            <w:color w:val="auto"/>
            <w:u w:val="none"/>
          </w:rPr>
          <w:fldChar w:fldCharType="separate"/>
        </w:r>
        <w:r w:rsidR="00A327D4">
          <w:rPr>
            <w:rStyle w:val="Hipervnculo"/>
            <w:rFonts w:eastAsiaTheme="minorHAnsi" w:cs="Arial"/>
            <w:noProof/>
            <w:webHidden/>
            <w:color w:val="auto"/>
            <w:u w:val="none"/>
          </w:rPr>
          <w:t>86</w:t>
        </w:r>
        <w:r w:rsidR="00EB6BA6" w:rsidRPr="001E2F6E">
          <w:rPr>
            <w:rStyle w:val="Hipervnculo"/>
            <w:rFonts w:eastAsiaTheme="minorHAnsi" w:cs="Arial"/>
            <w:noProof/>
            <w:webHidden/>
            <w:color w:val="auto"/>
            <w:u w:val="none"/>
          </w:rPr>
          <w:fldChar w:fldCharType="end"/>
        </w:r>
      </w:hyperlink>
    </w:p>
    <w:p w:rsidR="00D34AE0" w:rsidRPr="001E2F6E" w:rsidRDefault="00D34AE0" w:rsidP="000728A0">
      <w:pPr>
        <w:pStyle w:val="TDC1"/>
        <w:tabs>
          <w:tab w:val="left" w:pos="426"/>
          <w:tab w:val="left" w:pos="851"/>
          <w:tab w:val="left" w:pos="1276"/>
          <w:tab w:val="right" w:leader="dot" w:pos="9072"/>
        </w:tabs>
        <w:spacing w:after="0" w:line="240" w:lineRule="auto"/>
        <w:rPr>
          <w:rStyle w:val="Hipervnculo"/>
          <w:rFonts w:eastAsiaTheme="minorHAnsi" w:cs="Arial"/>
          <w:noProof/>
          <w:color w:val="auto"/>
          <w:sz w:val="18"/>
          <w:szCs w:val="18"/>
          <w:u w:val="none"/>
        </w:rPr>
      </w:pPr>
    </w:p>
    <w:p w:rsidR="000728A0" w:rsidRPr="001E2F6E" w:rsidRDefault="00A327D4" w:rsidP="000728A0">
      <w:pPr>
        <w:pStyle w:val="TDC1"/>
        <w:tabs>
          <w:tab w:val="left" w:pos="426"/>
          <w:tab w:val="left" w:pos="851"/>
          <w:tab w:val="left" w:pos="1276"/>
          <w:tab w:val="right" w:leader="dot" w:pos="9072"/>
        </w:tabs>
        <w:spacing w:after="0" w:line="240" w:lineRule="auto"/>
        <w:rPr>
          <w:rStyle w:val="Hipervnculo"/>
          <w:rFonts w:eastAsiaTheme="minorHAnsi" w:cs="Arial"/>
          <w:noProof/>
          <w:color w:val="auto"/>
          <w:u w:val="none"/>
        </w:rPr>
      </w:pPr>
      <w:hyperlink w:anchor="_Toc392585723" w:history="1">
        <w:r w:rsidR="000728A0" w:rsidRPr="001E2F6E">
          <w:rPr>
            <w:rStyle w:val="Hipervnculo"/>
            <w:rFonts w:eastAsiaTheme="minorHAnsi" w:cs="Arial"/>
            <w:noProof/>
            <w:color w:val="auto"/>
            <w:sz w:val="18"/>
            <w:szCs w:val="18"/>
            <w:u w:val="none"/>
          </w:rPr>
          <w:t xml:space="preserve">5.- </w:t>
        </w:r>
        <w:r w:rsidR="000728A0" w:rsidRPr="001E2F6E">
          <w:rPr>
            <w:rStyle w:val="Hipervnculo"/>
            <w:rFonts w:eastAsiaTheme="minorHAnsi" w:cs="Arial"/>
            <w:noProof/>
            <w:color w:val="auto"/>
            <w:u w:val="none"/>
          </w:rPr>
          <w:tab/>
        </w:r>
        <w:r w:rsidR="000728A0" w:rsidRPr="001E2F6E">
          <w:rPr>
            <w:rStyle w:val="Hipervnculo"/>
            <w:rFonts w:eastAsiaTheme="minorHAnsi" w:cs="Arial"/>
            <w:noProof/>
            <w:color w:val="auto"/>
            <w:sz w:val="18"/>
            <w:szCs w:val="18"/>
            <w:u w:val="none"/>
          </w:rPr>
          <w:t>ARRANTZALE-KOFRADIAK</w:t>
        </w:r>
        <w:r w:rsidR="000728A0" w:rsidRPr="001E2F6E">
          <w:rPr>
            <w:rStyle w:val="Hipervnculo"/>
            <w:rFonts w:eastAsiaTheme="minorHAnsi" w:cs="Arial"/>
            <w:noProof/>
            <w:webHidden/>
            <w:color w:val="auto"/>
            <w:u w:val="none"/>
          </w:rPr>
          <w:tab/>
        </w:r>
        <w:r w:rsidR="00EB6BA6" w:rsidRPr="001E2F6E">
          <w:rPr>
            <w:rStyle w:val="Hipervnculo"/>
            <w:rFonts w:eastAsiaTheme="minorHAnsi" w:cs="Arial"/>
            <w:noProof/>
            <w:webHidden/>
            <w:color w:val="auto"/>
            <w:u w:val="none"/>
          </w:rPr>
          <w:fldChar w:fldCharType="begin"/>
        </w:r>
        <w:r w:rsidR="000728A0" w:rsidRPr="001E2F6E">
          <w:rPr>
            <w:rStyle w:val="Hipervnculo"/>
            <w:rFonts w:eastAsiaTheme="minorHAnsi" w:cs="Arial"/>
            <w:noProof/>
            <w:webHidden/>
            <w:color w:val="auto"/>
            <w:u w:val="none"/>
          </w:rPr>
          <w:instrText xml:space="preserve"> PAGEREF _Toc392585723 \h </w:instrText>
        </w:r>
        <w:r w:rsidR="00EB6BA6" w:rsidRPr="001E2F6E">
          <w:rPr>
            <w:rStyle w:val="Hipervnculo"/>
            <w:rFonts w:eastAsiaTheme="minorHAnsi" w:cs="Arial"/>
            <w:noProof/>
            <w:webHidden/>
            <w:color w:val="auto"/>
            <w:u w:val="none"/>
          </w:rPr>
        </w:r>
        <w:r w:rsidR="00EB6BA6" w:rsidRPr="001E2F6E">
          <w:rPr>
            <w:rStyle w:val="Hipervnculo"/>
            <w:rFonts w:eastAsiaTheme="minorHAnsi" w:cs="Arial"/>
            <w:noProof/>
            <w:webHidden/>
            <w:color w:val="auto"/>
            <w:u w:val="none"/>
          </w:rPr>
          <w:fldChar w:fldCharType="separate"/>
        </w:r>
        <w:r>
          <w:rPr>
            <w:rStyle w:val="Hipervnculo"/>
            <w:rFonts w:eastAsiaTheme="minorHAnsi" w:cs="Arial"/>
            <w:noProof/>
            <w:webHidden/>
            <w:color w:val="auto"/>
            <w:u w:val="none"/>
          </w:rPr>
          <w:t>87</w:t>
        </w:r>
        <w:r w:rsidR="00EB6BA6" w:rsidRPr="001E2F6E">
          <w:rPr>
            <w:rStyle w:val="Hipervnculo"/>
            <w:rFonts w:eastAsiaTheme="minorHAnsi" w:cs="Arial"/>
            <w:noProof/>
            <w:webHidden/>
            <w:color w:val="auto"/>
            <w:u w:val="none"/>
          </w:rPr>
          <w:fldChar w:fldCharType="end"/>
        </w:r>
      </w:hyperlink>
    </w:p>
    <w:p w:rsidR="000728A0" w:rsidRPr="001E2F6E" w:rsidRDefault="00D34AE0" w:rsidP="000728A0">
      <w:pPr>
        <w:pStyle w:val="TDC1"/>
        <w:tabs>
          <w:tab w:val="left" w:pos="426"/>
          <w:tab w:val="left" w:pos="851"/>
          <w:tab w:val="left" w:pos="1276"/>
          <w:tab w:val="right" w:leader="dot" w:pos="9072"/>
        </w:tabs>
        <w:spacing w:after="0" w:line="240" w:lineRule="auto"/>
        <w:rPr>
          <w:rStyle w:val="Hipervnculo"/>
          <w:rFonts w:eastAsiaTheme="minorHAnsi" w:cs="Arial"/>
          <w:noProof/>
          <w:color w:val="auto"/>
          <w:u w:val="none"/>
        </w:rPr>
      </w:pPr>
      <w:r w:rsidRPr="001E2F6E">
        <w:rPr>
          <w:rStyle w:val="Hipervnculo"/>
          <w:rFonts w:eastAsiaTheme="minorHAnsi" w:cs="Arial"/>
          <w:noProof/>
          <w:color w:val="auto"/>
          <w:sz w:val="18"/>
          <w:szCs w:val="18"/>
          <w:u w:val="none"/>
        </w:rPr>
        <w:tab/>
      </w:r>
      <w:hyperlink w:anchor="_Toc392585724" w:history="1">
        <w:r w:rsidR="000728A0" w:rsidRPr="001E2F6E">
          <w:rPr>
            <w:rStyle w:val="Hipervnculo"/>
            <w:rFonts w:eastAsiaTheme="minorHAnsi" w:cs="Arial"/>
            <w:noProof/>
            <w:color w:val="auto"/>
            <w:sz w:val="18"/>
            <w:szCs w:val="18"/>
            <w:u w:val="none"/>
          </w:rPr>
          <w:t xml:space="preserve">5.1.- </w:t>
        </w:r>
        <w:r w:rsidR="000728A0" w:rsidRPr="001E2F6E">
          <w:rPr>
            <w:rStyle w:val="Hipervnculo"/>
            <w:rFonts w:eastAsiaTheme="minorHAnsi" w:cs="Arial"/>
            <w:noProof/>
            <w:color w:val="auto"/>
            <w:u w:val="none"/>
          </w:rPr>
          <w:tab/>
        </w:r>
        <w:r w:rsidR="000728A0" w:rsidRPr="001E2F6E">
          <w:rPr>
            <w:rStyle w:val="Hipervnculo"/>
            <w:rFonts w:eastAsiaTheme="minorHAnsi" w:cs="Arial"/>
            <w:noProof/>
            <w:color w:val="auto"/>
            <w:sz w:val="18"/>
            <w:szCs w:val="18"/>
            <w:u w:val="none"/>
          </w:rPr>
          <w:t>ERAGILEEN KUANTIFIKAZIOA: ARRANTZALE-KOFRADIAK</w:t>
        </w:r>
        <w:r w:rsidR="000728A0" w:rsidRPr="001E2F6E">
          <w:rPr>
            <w:rStyle w:val="Hipervnculo"/>
            <w:rFonts w:eastAsiaTheme="minorHAnsi" w:cs="Arial"/>
            <w:noProof/>
            <w:webHidden/>
            <w:color w:val="auto"/>
            <w:u w:val="none"/>
          </w:rPr>
          <w:tab/>
        </w:r>
        <w:r w:rsidR="00EB6BA6" w:rsidRPr="001E2F6E">
          <w:rPr>
            <w:rStyle w:val="Hipervnculo"/>
            <w:rFonts w:eastAsiaTheme="minorHAnsi" w:cs="Arial"/>
            <w:noProof/>
            <w:webHidden/>
            <w:color w:val="auto"/>
            <w:u w:val="none"/>
          </w:rPr>
          <w:fldChar w:fldCharType="begin"/>
        </w:r>
        <w:r w:rsidR="000728A0" w:rsidRPr="001E2F6E">
          <w:rPr>
            <w:rStyle w:val="Hipervnculo"/>
            <w:rFonts w:eastAsiaTheme="minorHAnsi" w:cs="Arial"/>
            <w:noProof/>
            <w:webHidden/>
            <w:color w:val="auto"/>
            <w:u w:val="none"/>
          </w:rPr>
          <w:instrText xml:space="preserve"> PAGEREF _Toc392585724 \h </w:instrText>
        </w:r>
        <w:r w:rsidR="00EB6BA6" w:rsidRPr="001E2F6E">
          <w:rPr>
            <w:rStyle w:val="Hipervnculo"/>
            <w:rFonts w:eastAsiaTheme="minorHAnsi" w:cs="Arial"/>
            <w:noProof/>
            <w:webHidden/>
            <w:color w:val="auto"/>
            <w:u w:val="none"/>
          </w:rPr>
        </w:r>
        <w:r w:rsidR="00EB6BA6" w:rsidRPr="001E2F6E">
          <w:rPr>
            <w:rStyle w:val="Hipervnculo"/>
            <w:rFonts w:eastAsiaTheme="minorHAnsi" w:cs="Arial"/>
            <w:noProof/>
            <w:webHidden/>
            <w:color w:val="auto"/>
            <w:u w:val="none"/>
          </w:rPr>
          <w:fldChar w:fldCharType="separate"/>
        </w:r>
        <w:r w:rsidR="00A327D4">
          <w:rPr>
            <w:rStyle w:val="Hipervnculo"/>
            <w:rFonts w:eastAsiaTheme="minorHAnsi" w:cs="Arial"/>
            <w:noProof/>
            <w:webHidden/>
            <w:color w:val="auto"/>
            <w:u w:val="none"/>
          </w:rPr>
          <w:t>87</w:t>
        </w:r>
        <w:r w:rsidR="00EB6BA6" w:rsidRPr="001E2F6E">
          <w:rPr>
            <w:rStyle w:val="Hipervnculo"/>
            <w:rFonts w:eastAsiaTheme="minorHAnsi" w:cs="Arial"/>
            <w:noProof/>
            <w:webHidden/>
            <w:color w:val="auto"/>
            <w:u w:val="none"/>
          </w:rPr>
          <w:fldChar w:fldCharType="end"/>
        </w:r>
      </w:hyperlink>
    </w:p>
    <w:p w:rsidR="000728A0" w:rsidRPr="001E2F6E" w:rsidRDefault="00D34AE0" w:rsidP="000728A0">
      <w:pPr>
        <w:pStyle w:val="TDC1"/>
        <w:tabs>
          <w:tab w:val="left" w:pos="426"/>
          <w:tab w:val="left" w:pos="851"/>
          <w:tab w:val="left" w:pos="1276"/>
          <w:tab w:val="right" w:leader="dot" w:pos="9072"/>
        </w:tabs>
        <w:spacing w:after="0" w:line="240" w:lineRule="auto"/>
        <w:rPr>
          <w:rStyle w:val="Hipervnculo"/>
          <w:rFonts w:eastAsiaTheme="minorHAnsi" w:cs="Arial"/>
          <w:noProof/>
          <w:color w:val="auto"/>
          <w:u w:val="none"/>
        </w:rPr>
      </w:pPr>
      <w:r w:rsidRPr="001E2F6E">
        <w:rPr>
          <w:rStyle w:val="Hipervnculo"/>
          <w:rFonts w:eastAsiaTheme="minorHAnsi" w:cs="Arial"/>
          <w:noProof/>
          <w:color w:val="auto"/>
          <w:sz w:val="18"/>
          <w:szCs w:val="18"/>
          <w:u w:val="none"/>
        </w:rPr>
        <w:tab/>
      </w:r>
      <w:hyperlink w:anchor="_Toc392585725" w:history="1">
        <w:r w:rsidR="000728A0" w:rsidRPr="001E2F6E">
          <w:rPr>
            <w:rStyle w:val="Hipervnculo"/>
            <w:rFonts w:eastAsiaTheme="minorHAnsi" w:cs="Arial"/>
            <w:noProof/>
            <w:color w:val="auto"/>
            <w:sz w:val="18"/>
            <w:szCs w:val="18"/>
            <w:u w:val="none"/>
          </w:rPr>
          <w:t xml:space="preserve">5.2.- </w:t>
        </w:r>
        <w:r w:rsidR="000728A0" w:rsidRPr="001E2F6E">
          <w:rPr>
            <w:rStyle w:val="Hipervnculo"/>
            <w:rFonts w:eastAsiaTheme="minorHAnsi" w:cs="Arial"/>
            <w:noProof/>
            <w:color w:val="auto"/>
            <w:u w:val="none"/>
          </w:rPr>
          <w:tab/>
        </w:r>
        <w:r w:rsidR="000728A0" w:rsidRPr="001E2F6E">
          <w:rPr>
            <w:rStyle w:val="Hipervnculo"/>
            <w:rFonts w:eastAsiaTheme="minorHAnsi" w:cs="Arial"/>
            <w:noProof/>
            <w:color w:val="auto"/>
            <w:sz w:val="18"/>
            <w:szCs w:val="18"/>
            <w:u w:val="none"/>
          </w:rPr>
          <w:t>ENPLEGUA ARRANTZALE-KOFRADIETAN</w:t>
        </w:r>
        <w:r w:rsidR="000728A0" w:rsidRPr="001E2F6E">
          <w:rPr>
            <w:rStyle w:val="Hipervnculo"/>
            <w:rFonts w:eastAsiaTheme="minorHAnsi" w:cs="Arial"/>
            <w:noProof/>
            <w:webHidden/>
            <w:color w:val="auto"/>
            <w:u w:val="none"/>
          </w:rPr>
          <w:tab/>
        </w:r>
        <w:r w:rsidR="00EB6BA6" w:rsidRPr="001E2F6E">
          <w:rPr>
            <w:rStyle w:val="Hipervnculo"/>
            <w:rFonts w:eastAsiaTheme="minorHAnsi" w:cs="Arial"/>
            <w:noProof/>
            <w:webHidden/>
            <w:color w:val="auto"/>
            <w:u w:val="none"/>
          </w:rPr>
          <w:fldChar w:fldCharType="begin"/>
        </w:r>
        <w:r w:rsidR="000728A0" w:rsidRPr="001E2F6E">
          <w:rPr>
            <w:rStyle w:val="Hipervnculo"/>
            <w:rFonts w:eastAsiaTheme="minorHAnsi" w:cs="Arial"/>
            <w:noProof/>
            <w:webHidden/>
            <w:color w:val="auto"/>
            <w:u w:val="none"/>
          </w:rPr>
          <w:instrText xml:space="preserve"> PAGEREF _Toc392585725 \h </w:instrText>
        </w:r>
        <w:r w:rsidR="00EB6BA6" w:rsidRPr="001E2F6E">
          <w:rPr>
            <w:rStyle w:val="Hipervnculo"/>
            <w:rFonts w:eastAsiaTheme="minorHAnsi" w:cs="Arial"/>
            <w:noProof/>
            <w:webHidden/>
            <w:color w:val="auto"/>
            <w:u w:val="none"/>
          </w:rPr>
        </w:r>
        <w:r w:rsidR="00EB6BA6" w:rsidRPr="001E2F6E">
          <w:rPr>
            <w:rStyle w:val="Hipervnculo"/>
            <w:rFonts w:eastAsiaTheme="minorHAnsi" w:cs="Arial"/>
            <w:noProof/>
            <w:webHidden/>
            <w:color w:val="auto"/>
            <w:u w:val="none"/>
          </w:rPr>
          <w:fldChar w:fldCharType="separate"/>
        </w:r>
        <w:r w:rsidR="00A327D4">
          <w:rPr>
            <w:rStyle w:val="Hipervnculo"/>
            <w:rFonts w:eastAsiaTheme="minorHAnsi" w:cs="Arial"/>
            <w:noProof/>
            <w:webHidden/>
            <w:color w:val="auto"/>
            <w:u w:val="none"/>
          </w:rPr>
          <w:t>87</w:t>
        </w:r>
        <w:r w:rsidR="00EB6BA6" w:rsidRPr="001E2F6E">
          <w:rPr>
            <w:rStyle w:val="Hipervnculo"/>
            <w:rFonts w:eastAsiaTheme="minorHAnsi" w:cs="Arial"/>
            <w:noProof/>
            <w:webHidden/>
            <w:color w:val="auto"/>
            <w:u w:val="none"/>
          </w:rPr>
          <w:fldChar w:fldCharType="end"/>
        </w:r>
      </w:hyperlink>
    </w:p>
    <w:p w:rsidR="000728A0" w:rsidRPr="001E2F6E" w:rsidRDefault="00D34AE0" w:rsidP="000728A0">
      <w:pPr>
        <w:pStyle w:val="TDC1"/>
        <w:tabs>
          <w:tab w:val="left" w:pos="426"/>
          <w:tab w:val="left" w:pos="851"/>
          <w:tab w:val="left" w:pos="1276"/>
          <w:tab w:val="right" w:leader="dot" w:pos="9072"/>
        </w:tabs>
        <w:spacing w:after="0" w:line="240" w:lineRule="auto"/>
        <w:rPr>
          <w:rStyle w:val="Hipervnculo"/>
          <w:rFonts w:eastAsiaTheme="minorHAnsi" w:cs="Arial"/>
          <w:noProof/>
          <w:color w:val="auto"/>
          <w:u w:val="none"/>
        </w:rPr>
      </w:pPr>
      <w:r w:rsidRPr="001E2F6E">
        <w:rPr>
          <w:rStyle w:val="Hipervnculo"/>
          <w:rFonts w:eastAsiaTheme="minorHAnsi" w:cs="Arial"/>
          <w:noProof/>
          <w:color w:val="auto"/>
          <w:sz w:val="18"/>
          <w:szCs w:val="18"/>
          <w:u w:val="none"/>
        </w:rPr>
        <w:tab/>
      </w:r>
      <w:hyperlink w:anchor="_Toc392585726" w:history="1">
        <w:r w:rsidR="000728A0" w:rsidRPr="001E2F6E">
          <w:rPr>
            <w:rStyle w:val="Hipervnculo"/>
            <w:rFonts w:eastAsiaTheme="minorHAnsi" w:cs="Arial"/>
            <w:noProof/>
            <w:color w:val="auto"/>
            <w:sz w:val="18"/>
            <w:szCs w:val="18"/>
            <w:u w:val="none"/>
          </w:rPr>
          <w:t xml:space="preserve">5.3.- </w:t>
        </w:r>
        <w:r w:rsidR="000728A0" w:rsidRPr="001E2F6E">
          <w:rPr>
            <w:rStyle w:val="Hipervnculo"/>
            <w:rFonts w:eastAsiaTheme="minorHAnsi" w:cs="Arial"/>
            <w:noProof/>
            <w:color w:val="auto"/>
            <w:u w:val="none"/>
          </w:rPr>
          <w:tab/>
        </w:r>
        <w:r w:rsidR="000728A0" w:rsidRPr="001E2F6E">
          <w:rPr>
            <w:rStyle w:val="Hipervnculo"/>
            <w:rFonts w:eastAsiaTheme="minorHAnsi" w:cs="Arial"/>
            <w:noProof/>
            <w:color w:val="auto"/>
            <w:sz w:val="18"/>
            <w:szCs w:val="18"/>
            <w:u w:val="none"/>
          </w:rPr>
          <w:t>MAGNITUDE EKONOMIKO NAGUSIAK: ARRANTZALE-KOFRADIAK</w:t>
        </w:r>
        <w:r w:rsidR="000728A0" w:rsidRPr="001E2F6E">
          <w:rPr>
            <w:rStyle w:val="Hipervnculo"/>
            <w:rFonts w:eastAsiaTheme="minorHAnsi" w:cs="Arial"/>
            <w:noProof/>
            <w:webHidden/>
            <w:color w:val="auto"/>
            <w:u w:val="none"/>
          </w:rPr>
          <w:tab/>
        </w:r>
        <w:r w:rsidR="00EB6BA6" w:rsidRPr="001E2F6E">
          <w:rPr>
            <w:rStyle w:val="Hipervnculo"/>
            <w:rFonts w:eastAsiaTheme="minorHAnsi" w:cs="Arial"/>
            <w:noProof/>
            <w:webHidden/>
            <w:color w:val="auto"/>
            <w:u w:val="none"/>
          </w:rPr>
          <w:fldChar w:fldCharType="begin"/>
        </w:r>
        <w:r w:rsidR="000728A0" w:rsidRPr="001E2F6E">
          <w:rPr>
            <w:rStyle w:val="Hipervnculo"/>
            <w:rFonts w:eastAsiaTheme="minorHAnsi" w:cs="Arial"/>
            <w:noProof/>
            <w:webHidden/>
            <w:color w:val="auto"/>
            <w:u w:val="none"/>
          </w:rPr>
          <w:instrText xml:space="preserve"> PAGEREF _Toc392585726 \h </w:instrText>
        </w:r>
        <w:r w:rsidR="00EB6BA6" w:rsidRPr="001E2F6E">
          <w:rPr>
            <w:rStyle w:val="Hipervnculo"/>
            <w:rFonts w:eastAsiaTheme="minorHAnsi" w:cs="Arial"/>
            <w:noProof/>
            <w:webHidden/>
            <w:color w:val="auto"/>
            <w:u w:val="none"/>
          </w:rPr>
        </w:r>
        <w:r w:rsidR="00EB6BA6" w:rsidRPr="001E2F6E">
          <w:rPr>
            <w:rStyle w:val="Hipervnculo"/>
            <w:rFonts w:eastAsiaTheme="minorHAnsi" w:cs="Arial"/>
            <w:noProof/>
            <w:webHidden/>
            <w:color w:val="auto"/>
            <w:u w:val="none"/>
          </w:rPr>
          <w:fldChar w:fldCharType="separate"/>
        </w:r>
        <w:r w:rsidR="00A327D4">
          <w:rPr>
            <w:rStyle w:val="Hipervnculo"/>
            <w:rFonts w:eastAsiaTheme="minorHAnsi" w:cs="Arial"/>
            <w:noProof/>
            <w:webHidden/>
            <w:color w:val="auto"/>
            <w:u w:val="none"/>
          </w:rPr>
          <w:t>87</w:t>
        </w:r>
        <w:r w:rsidR="00EB6BA6" w:rsidRPr="001E2F6E">
          <w:rPr>
            <w:rStyle w:val="Hipervnculo"/>
            <w:rFonts w:eastAsiaTheme="minorHAnsi" w:cs="Arial"/>
            <w:noProof/>
            <w:webHidden/>
            <w:color w:val="auto"/>
            <w:u w:val="none"/>
          </w:rPr>
          <w:fldChar w:fldCharType="end"/>
        </w:r>
      </w:hyperlink>
    </w:p>
    <w:p w:rsidR="000728A0" w:rsidRPr="001E2F6E" w:rsidRDefault="00D34AE0" w:rsidP="000728A0">
      <w:pPr>
        <w:pStyle w:val="TDC1"/>
        <w:tabs>
          <w:tab w:val="left" w:pos="426"/>
          <w:tab w:val="left" w:pos="851"/>
          <w:tab w:val="left" w:pos="1276"/>
          <w:tab w:val="right" w:leader="dot" w:pos="9072"/>
        </w:tabs>
        <w:spacing w:after="0" w:line="240" w:lineRule="auto"/>
        <w:rPr>
          <w:rStyle w:val="Hipervnculo"/>
          <w:rFonts w:eastAsiaTheme="minorHAnsi" w:cs="Arial"/>
          <w:noProof/>
          <w:color w:val="auto"/>
          <w:u w:val="none"/>
        </w:rPr>
      </w:pPr>
      <w:r w:rsidRPr="001E2F6E">
        <w:rPr>
          <w:rStyle w:val="Hipervnculo"/>
          <w:rFonts w:eastAsiaTheme="minorHAnsi" w:cs="Arial"/>
          <w:noProof/>
          <w:color w:val="auto"/>
          <w:sz w:val="18"/>
          <w:szCs w:val="18"/>
          <w:u w:val="none"/>
        </w:rPr>
        <w:tab/>
      </w:r>
      <w:r w:rsidRPr="001E2F6E">
        <w:rPr>
          <w:rStyle w:val="Hipervnculo"/>
          <w:rFonts w:eastAsiaTheme="minorHAnsi" w:cs="Arial"/>
          <w:noProof/>
          <w:color w:val="auto"/>
          <w:sz w:val="18"/>
          <w:szCs w:val="18"/>
          <w:u w:val="none"/>
        </w:rPr>
        <w:tab/>
      </w:r>
      <w:hyperlink w:anchor="_Toc392585727" w:history="1">
        <w:r w:rsidR="000728A0" w:rsidRPr="001E2F6E">
          <w:rPr>
            <w:rStyle w:val="Hipervnculo"/>
            <w:rFonts w:eastAsiaTheme="minorHAnsi" w:cs="Arial"/>
            <w:noProof/>
            <w:color w:val="auto"/>
            <w:sz w:val="18"/>
            <w:szCs w:val="18"/>
            <w:u w:val="none"/>
          </w:rPr>
          <w:t>5.3.1.- Arrantzale-Kofradien Diru-Sarrerak</w:t>
        </w:r>
        <w:r w:rsidR="000728A0" w:rsidRPr="001E2F6E">
          <w:rPr>
            <w:rStyle w:val="Hipervnculo"/>
            <w:rFonts w:eastAsiaTheme="minorHAnsi" w:cs="Arial"/>
            <w:noProof/>
            <w:webHidden/>
            <w:color w:val="auto"/>
            <w:u w:val="none"/>
          </w:rPr>
          <w:tab/>
        </w:r>
        <w:r w:rsidR="00EB6BA6" w:rsidRPr="001E2F6E">
          <w:rPr>
            <w:rStyle w:val="Hipervnculo"/>
            <w:rFonts w:eastAsiaTheme="minorHAnsi" w:cs="Arial"/>
            <w:noProof/>
            <w:webHidden/>
            <w:color w:val="auto"/>
            <w:u w:val="none"/>
          </w:rPr>
          <w:fldChar w:fldCharType="begin"/>
        </w:r>
        <w:r w:rsidR="000728A0" w:rsidRPr="001E2F6E">
          <w:rPr>
            <w:rStyle w:val="Hipervnculo"/>
            <w:rFonts w:eastAsiaTheme="minorHAnsi" w:cs="Arial"/>
            <w:noProof/>
            <w:webHidden/>
            <w:color w:val="auto"/>
            <w:u w:val="none"/>
          </w:rPr>
          <w:instrText xml:space="preserve"> PAGEREF _Toc392585727 \h </w:instrText>
        </w:r>
        <w:r w:rsidR="00EB6BA6" w:rsidRPr="001E2F6E">
          <w:rPr>
            <w:rStyle w:val="Hipervnculo"/>
            <w:rFonts w:eastAsiaTheme="minorHAnsi" w:cs="Arial"/>
            <w:noProof/>
            <w:webHidden/>
            <w:color w:val="auto"/>
            <w:u w:val="none"/>
          </w:rPr>
        </w:r>
        <w:r w:rsidR="00EB6BA6" w:rsidRPr="001E2F6E">
          <w:rPr>
            <w:rStyle w:val="Hipervnculo"/>
            <w:rFonts w:eastAsiaTheme="minorHAnsi" w:cs="Arial"/>
            <w:noProof/>
            <w:webHidden/>
            <w:color w:val="auto"/>
            <w:u w:val="none"/>
          </w:rPr>
          <w:fldChar w:fldCharType="separate"/>
        </w:r>
        <w:r w:rsidR="00A327D4">
          <w:rPr>
            <w:rStyle w:val="Hipervnculo"/>
            <w:rFonts w:eastAsiaTheme="minorHAnsi" w:cs="Arial"/>
            <w:noProof/>
            <w:webHidden/>
            <w:color w:val="auto"/>
            <w:u w:val="none"/>
          </w:rPr>
          <w:t>87</w:t>
        </w:r>
        <w:r w:rsidR="00EB6BA6" w:rsidRPr="001E2F6E">
          <w:rPr>
            <w:rStyle w:val="Hipervnculo"/>
            <w:rFonts w:eastAsiaTheme="minorHAnsi" w:cs="Arial"/>
            <w:noProof/>
            <w:webHidden/>
            <w:color w:val="auto"/>
            <w:u w:val="none"/>
          </w:rPr>
          <w:fldChar w:fldCharType="end"/>
        </w:r>
      </w:hyperlink>
    </w:p>
    <w:p w:rsidR="000728A0" w:rsidRPr="001E2F6E" w:rsidRDefault="00D34AE0" w:rsidP="000728A0">
      <w:pPr>
        <w:pStyle w:val="TDC1"/>
        <w:tabs>
          <w:tab w:val="left" w:pos="426"/>
          <w:tab w:val="left" w:pos="851"/>
          <w:tab w:val="left" w:pos="1276"/>
          <w:tab w:val="right" w:leader="dot" w:pos="9072"/>
        </w:tabs>
        <w:spacing w:after="0" w:line="240" w:lineRule="auto"/>
        <w:rPr>
          <w:rStyle w:val="Hipervnculo"/>
          <w:rFonts w:eastAsiaTheme="minorHAnsi" w:cs="Arial"/>
          <w:noProof/>
          <w:color w:val="auto"/>
          <w:u w:val="none"/>
        </w:rPr>
      </w:pPr>
      <w:r w:rsidRPr="001E2F6E">
        <w:rPr>
          <w:rStyle w:val="Hipervnculo"/>
          <w:rFonts w:eastAsiaTheme="minorHAnsi" w:cs="Arial"/>
          <w:noProof/>
          <w:color w:val="auto"/>
          <w:sz w:val="18"/>
          <w:szCs w:val="18"/>
          <w:u w:val="none"/>
        </w:rPr>
        <w:tab/>
      </w:r>
      <w:r w:rsidRPr="001E2F6E">
        <w:rPr>
          <w:rStyle w:val="Hipervnculo"/>
          <w:rFonts w:eastAsiaTheme="minorHAnsi" w:cs="Arial"/>
          <w:noProof/>
          <w:color w:val="auto"/>
          <w:sz w:val="18"/>
          <w:szCs w:val="18"/>
          <w:u w:val="none"/>
        </w:rPr>
        <w:tab/>
      </w:r>
      <w:hyperlink w:anchor="_Toc392585728" w:history="1">
        <w:r w:rsidR="000728A0" w:rsidRPr="001E2F6E">
          <w:rPr>
            <w:rStyle w:val="Hipervnculo"/>
            <w:rFonts w:eastAsiaTheme="minorHAnsi" w:cs="Arial"/>
            <w:noProof/>
            <w:color w:val="auto"/>
            <w:sz w:val="18"/>
            <w:szCs w:val="18"/>
            <w:u w:val="none"/>
          </w:rPr>
          <w:t>5.3.2.- Arrantzale-Kofradien BEGd-a</w:t>
        </w:r>
        <w:r w:rsidR="000728A0" w:rsidRPr="001E2F6E">
          <w:rPr>
            <w:rStyle w:val="Hipervnculo"/>
            <w:rFonts w:eastAsiaTheme="minorHAnsi" w:cs="Arial"/>
            <w:noProof/>
            <w:webHidden/>
            <w:color w:val="auto"/>
            <w:u w:val="none"/>
          </w:rPr>
          <w:tab/>
        </w:r>
        <w:r w:rsidR="00EB6BA6" w:rsidRPr="001E2F6E">
          <w:rPr>
            <w:rStyle w:val="Hipervnculo"/>
            <w:rFonts w:eastAsiaTheme="minorHAnsi" w:cs="Arial"/>
            <w:noProof/>
            <w:webHidden/>
            <w:color w:val="auto"/>
            <w:u w:val="none"/>
          </w:rPr>
          <w:fldChar w:fldCharType="begin"/>
        </w:r>
        <w:r w:rsidR="000728A0" w:rsidRPr="001E2F6E">
          <w:rPr>
            <w:rStyle w:val="Hipervnculo"/>
            <w:rFonts w:eastAsiaTheme="minorHAnsi" w:cs="Arial"/>
            <w:noProof/>
            <w:webHidden/>
            <w:color w:val="auto"/>
            <w:u w:val="none"/>
          </w:rPr>
          <w:instrText xml:space="preserve"> PAGEREF _Toc392585728 \h </w:instrText>
        </w:r>
        <w:r w:rsidR="00EB6BA6" w:rsidRPr="001E2F6E">
          <w:rPr>
            <w:rStyle w:val="Hipervnculo"/>
            <w:rFonts w:eastAsiaTheme="minorHAnsi" w:cs="Arial"/>
            <w:noProof/>
            <w:webHidden/>
            <w:color w:val="auto"/>
            <w:u w:val="none"/>
          </w:rPr>
        </w:r>
        <w:r w:rsidR="00EB6BA6" w:rsidRPr="001E2F6E">
          <w:rPr>
            <w:rStyle w:val="Hipervnculo"/>
            <w:rFonts w:eastAsiaTheme="minorHAnsi" w:cs="Arial"/>
            <w:noProof/>
            <w:webHidden/>
            <w:color w:val="auto"/>
            <w:u w:val="none"/>
          </w:rPr>
          <w:fldChar w:fldCharType="separate"/>
        </w:r>
        <w:r w:rsidR="00A327D4">
          <w:rPr>
            <w:rStyle w:val="Hipervnculo"/>
            <w:rFonts w:eastAsiaTheme="minorHAnsi" w:cs="Arial"/>
            <w:noProof/>
            <w:webHidden/>
            <w:color w:val="auto"/>
            <w:u w:val="none"/>
          </w:rPr>
          <w:t>88</w:t>
        </w:r>
        <w:r w:rsidR="00EB6BA6" w:rsidRPr="001E2F6E">
          <w:rPr>
            <w:rStyle w:val="Hipervnculo"/>
            <w:rFonts w:eastAsiaTheme="minorHAnsi" w:cs="Arial"/>
            <w:noProof/>
            <w:webHidden/>
            <w:color w:val="auto"/>
            <w:u w:val="none"/>
          </w:rPr>
          <w:fldChar w:fldCharType="end"/>
        </w:r>
      </w:hyperlink>
    </w:p>
    <w:p w:rsidR="00D34AE0" w:rsidRPr="001E2F6E" w:rsidRDefault="00D34AE0" w:rsidP="000728A0">
      <w:pPr>
        <w:pStyle w:val="TDC1"/>
        <w:tabs>
          <w:tab w:val="left" w:pos="426"/>
          <w:tab w:val="left" w:pos="851"/>
          <w:tab w:val="left" w:pos="1276"/>
          <w:tab w:val="right" w:leader="dot" w:pos="9072"/>
        </w:tabs>
        <w:spacing w:after="0" w:line="240" w:lineRule="auto"/>
        <w:rPr>
          <w:rStyle w:val="Hipervnculo"/>
          <w:rFonts w:eastAsiaTheme="minorHAnsi" w:cs="Arial"/>
          <w:noProof/>
          <w:color w:val="auto"/>
          <w:sz w:val="18"/>
          <w:szCs w:val="18"/>
          <w:u w:val="none"/>
        </w:rPr>
      </w:pPr>
    </w:p>
    <w:p w:rsidR="000728A0" w:rsidRPr="001E2F6E" w:rsidRDefault="00A327D4" w:rsidP="000728A0">
      <w:pPr>
        <w:pStyle w:val="TDC1"/>
        <w:tabs>
          <w:tab w:val="left" w:pos="426"/>
          <w:tab w:val="left" w:pos="851"/>
          <w:tab w:val="left" w:pos="1276"/>
          <w:tab w:val="right" w:leader="dot" w:pos="9072"/>
        </w:tabs>
        <w:spacing w:after="0" w:line="240" w:lineRule="auto"/>
        <w:rPr>
          <w:rStyle w:val="Hipervnculo"/>
          <w:rFonts w:eastAsiaTheme="minorHAnsi" w:cs="Arial"/>
          <w:noProof/>
          <w:color w:val="auto"/>
          <w:u w:val="none"/>
        </w:rPr>
      </w:pPr>
      <w:hyperlink w:anchor="_Toc392585729" w:history="1">
        <w:r w:rsidR="000728A0" w:rsidRPr="001E2F6E">
          <w:rPr>
            <w:rStyle w:val="Hipervnculo"/>
            <w:rFonts w:eastAsiaTheme="minorHAnsi" w:cs="Arial"/>
            <w:noProof/>
            <w:color w:val="auto"/>
            <w:sz w:val="18"/>
            <w:szCs w:val="18"/>
            <w:u w:val="none"/>
          </w:rPr>
          <w:t xml:space="preserve">6.- </w:t>
        </w:r>
        <w:r w:rsidR="000728A0" w:rsidRPr="001E2F6E">
          <w:rPr>
            <w:rStyle w:val="Hipervnculo"/>
            <w:rFonts w:eastAsiaTheme="minorHAnsi" w:cs="Arial"/>
            <w:noProof/>
            <w:color w:val="auto"/>
            <w:u w:val="none"/>
          </w:rPr>
          <w:tab/>
        </w:r>
        <w:r w:rsidR="000728A0" w:rsidRPr="001E2F6E">
          <w:rPr>
            <w:rStyle w:val="Hipervnculo"/>
            <w:rFonts w:eastAsiaTheme="minorHAnsi" w:cs="Arial"/>
            <w:noProof/>
            <w:color w:val="auto"/>
            <w:sz w:val="18"/>
            <w:szCs w:val="18"/>
            <w:u w:val="none"/>
          </w:rPr>
          <w:t>ERALDAKETARAKO NEKAZARITZA-SOZIETATEAK (ENSak)</w:t>
        </w:r>
        <w:r w:rsidR="000728A0" w:rsidRPr="001E2F6E">
          <w:rPr>
            <w:rStyle w:val="Hipervnculo"/>
            <w:rFonts w:eastAsiaTheme="minorHAnsi" w:cs="Arial"/>
            <w:noProof/>
            <w:webHidden/>
            <w:color w:val="auto"/>
            <w:u w:val="none"/>
          </w:rPr>
          <w:tab/>
        </w:r>
        <w:r w:rsidR="00EB6BA6" w:rsidRPr="001E2F6E">
          <w:rPr>
            <w:rStyle w:val="Hipervnculo"/>
            <w:rFonts w:eastAsiaTheme="minorHAnsi" w:cs="Arial"/>
            <w:noProof/>
            <w:webHidden/>
            <w:color w:val="auto"/>
            <w:u w:val="none"/>
          </w:rPr>
          <w:fldChar w:fldCharType="begin"/>
        </w:r>
        <w:r w:rsidR="000728A0" w:rsidRPr="001E2F6E">
          <w:rPr>
            <w:rStyle w:val="Hipervnculo"/>
            <w:rFonts w:eastAsiaTheme="minorHAnsi" w:cs="Arial"/>
            <w:noProof/>
            <w:webHidden/>
            <w:color w:val="auto"/>
            <w:u w:val="none"/>
          </w:rPr>
          <w:instrText xml:space="preserve"> PAGEREF _Toc392585729 \h </w:instrText>
        </w:r>
        <w:r w:rsidR="00EB6BA6" w:rsidRPr="001E2F6E">
          <w:rPr>
            <w:rStyle w:val="Hipervnculo"/>
            <w:rFonts w:eastAsiaTheme="minorHAnsi" w:cs="Arial"/>
            <w:noProof/>
            <w:webHidden/>
            <w:color w:val="auto"/>
            <w:u w:val="none"/>
          </w:rPr>
        </w:r>
        <w:r w:rsidR="00EB6BA6" w:rsidRPr="001E2F6E">
          <w:rPr>
            <w:rStyle w:val="Hipervnculo"/>
            <w:rFonts w:eastAsiaTheme="minorHAnsi" w:cs="Arial"/>
            <w:noProof/>
            <w:webHidden/>
            <w:color w:val="auto"/>
            <w:u w:val="none"/>
          </w:rPr>
          <w:fldChar w:fldCharType="separate"/>
        </w:r>
        <w:r>
          <w:rPr>
            <w:rStyle w:val="Hipervnculo"/>
            <w:rFonts w:eastAsiaTheme="minorHAnsi" w:cs="Arial"/>
            <w:noProof/>
            <w:webHidden/>
            <w:color w:val="auto"/>
            <w:u w:val="none"/>
          </w:rPr>
          <w:t>89</w:t>
        </w:r>
        <w:r w:rsidR="00EB6BA6" w:rsidRPr="001E2F6E">
          <w:rPr>
            <w:rStyle w:val="Hipervnculo"/>
            <w:rFonts w:eastAsiaTheme="minorHAnsi" w:cs="Arial"/>
            <w:noProof/>
            <w:webHidden/>
            <w:color w:val="auto"/>
            <w:u w:val="none"/>
          </w:rPr>
          <w:fldChar w:fldCharType="end"/>
        </w:r>
      </w:hyperlink>
    </w:p>
    <w:p w:rsidR="000728A0" w:rsidRPr="001E2F6E" w:rsidRDefault="00D34AE0" w:rsidP="000728A0">
      <w:pPr>
        <w:pStyle w:val="TDC1"/>
        <w:tabs>
          <w:tab w:val="left" w:pos="426"/>
          <w:tab w:val="left" w:pos="851"/>
          <w:tab w:val="left" w:pos="1276"/>
          <w:tab w:val="right" w:leader="dot" w:pos="9072"/>
        </w:tabs>
        <w:spacing w:after="0" w:line="240" w:lineRule="auto"/>
        <w:rPr>
          <w:rStyle w:val="Hipervnculo"/>
          <w:rFonts w:eastAsiaTheme="minorHAnsi" w:cs="Arial"/>
          <w:noProof/>
          <w:color w:val="auto"/>
          <w:u w:val="none"/>
        </w:rPr>
      </w:pPr>
      <w:r w:rsidRPr="001E2F6E">
        <w:rPr>
          <w:rStyle w:val="Hipervnculo"/>
          <w:rFonts w:eastAsiaTheme="minorHAnsi" w:cs="Arial"/>
          <w:noProof/>
          <w:color w:val="auto"/>
          <w:sz w:val="18"/>
          <w:szCs w:val="18"/>
          <w:u w:val="none"/>
        </w:rPr>
        <w:tab/>
      </w:r>
      <w:hyperlink w:anchor="_Toc392585730" w:history="1">
        <w:r w:rsidR="000728A0" w:rsidRPr="001E2F6E">
          <w:rPr>
            <w:rStyle w:val="Hipervnculo"/>
            <w:rFonts w:eastAsiaTheme="minorHAnsi" w:cs="Arial"/>
            <w:noProof/>
            <w:color w:val="auto"/>
            <w:sz w:val="18"/>
            <w:szCs w:val="18"/>
            <w:u w:val="none"/>
          </w:rPr>
          <w:t xml:space="preserve">6.1.- </w:t>
        </w:r>
        <w:r w:rsidR="000728A0" w:rsidRPr="001E2F6E">
          <w:rPr>
            <w:rStyle w:val="Hipervnculo"/>
            <w:rFonts w:eastAsiaTheme="minorHAnsi" w:cs="Arial"/>
            <w:noProof/>
            <w:color w:val="auto"/>
            <w:u w:val="none"/>
          </w:rPr>
          <w:tab/>
        </w:r>
        <w:r w:rsidR="000728A0" w:rsidRPr="001E2F6E">
          <w:rPr>
            <w:rStyle w:val="Hipervnculo"/>
            <w:rFonts w:eastAsiaTheme="minorHAnsi" w:cs="Arial"/>
            <w:noProof/>
            <w:color w:val="auto"/>
            <w:sz w:val="18"/>
            <w:szCs w:val="18"/>
            <w:u w:val="none"/>
          </w:rPr>
          <w:t>ERAGILEEN KUANTIFIKAZIOA: ERALDAKETARAKO NEKAZARITZA-SOZIETATEAK</w:t>
        </w:r>
        <w:r w:rsidR="000728A0" w:rsidRPr="001E2F6E">
          <w:rPr>
            <w:rStyle w:val="Hipervnculo"/>
            <w:rFonts w:eastAsiaTheme="minorHAnsi" w:cs="Arial"/>
            <w:noProof/>
            <w:webHidden/>
            <w:color w:val="auto"/>
            <w:u w:val="none"/>
          </w:rPr>
          <w:tab/>
        </w:r>
        <w:r w:rsidR="00EB6BA6" w:rsidRPr="001E2F6E">
          <w:rPr>
            <w:rStyle w:val="Hipervnculo"/>
            <w:rFonts w:eastAsiaTheme="minorHAnsi" w:cs="Arial"/>
            <w:noProof/>
            <w:webHidden/>
            <w:color w:val="auto"/>
            <w:u w:val="none"/>
          </w:rPr>
          <w:fldChar w:fldCharType="begin"/>
        </w:r>
        <w:r w:rsidR="000728A0" w:rsidRPr="001E2F6E">
          <w:rPr>
            <w:rStyle w:val="Hipervnculo"/>
            <w:rFonts w:eastAsiaTheme="minorHAnsi" w:cs="Arial"/>
            <w:noProof/>
            <w:webHidden/>
            <w:color w:val="auto"/>
            <w:u w:val="none"/>
          </w:rPr>
          <w:instrText xml:space="preserve"> PAGEREF _Toc392585730 \h </w:instrText>
        </w:r>
        <w:r w:rsidR="00EB6BA6" w:rsidRPr="001E2F6E">
          <w:rPr>
            <w:rStyle w:val="Hipervnculo"/>
            <w:rFonts w:eastAsiaTheme="minorHAnsi" w:cs="Arial"/>
            <w:noProof/>
            <w:webHidden/>
            <w:color w:val="auto"/>
            <w:u w:val="none"/>
          </w:rPr>
        </w:r>
        <w:r w:rsidR="00EB6BA6" w:rsidRPr="001E2F6E">
          <w:rPr>
            <w:rStyle w:val="Hipervnculo"/>
            <w:rFonts w:eastAsiaTheme="minorHAnsi" w:cs="Arial"/>
            <w:noProof/>
            <w:webHidden/>
            <w:color w:val="auto"/>
            <w:u w:val="none"/>
          </w:rPr>
          <w:fldChar w:fldCharType="separate"/>
        </w:r>
        <w:r w:rsidR="00A327D4">
          <w:rPr>
            <w:rStyle w:val="Hipervnculo"/>
            <w:rFonts w:eastAsiaTheme="minorHAnsi" w:cs="Arial"/>
            <w:noProof/>
            <w:webHidden/>
            <w:color w:val="auto"/>
            <w:u w:val="none"/>
          </w:rPr>
          <w:t>89</w:t>
        </w:r>
        <w:r w:rsidR="00EB6BA6" w:rsidRPr="001E2F6E">
          <w:rPr>
            <w:rStyle w:val="Hipervnculo"/>
            <w:rFonts w:eastAsiaTheme="minorHAnsi" w:cs="Arial"/>
            <w:noProof/>
            <w:webHidden/>
            <w:color w:val="auto"/>
            <w:u w:val="none"/>
          </w:rPr>
          <w:fldChar w:fldCharType="end"/>
        </w:r>
      </w:hyperlink>
    </w:p>
    <w:p w:rsidR="000728A0" w:rsidRPr="001E2F6E" w:rsidRDefault="00D34AE0" w:rsidP="000728A0">
      <w:pPr>
        <w:pStyle w:val="TDC1"/>
        <w:tabs>
          <w:tab w:val="left" w:pos="426"/>
          <w:tab w:val="left" w:pos="851"/>
          <w:tab w:val="left" w:pos="1276"/>
          <w:tab w:val="right" w:leader="dot" w:pos="9072"/>
        </w:tabs>
        <w:spacing w:after="0" w:line="240" w:lineRule="auto"/>
        <w:rPr>
          <w:rStyle w:val="Hipervnculo"/>
          <w:rFonts w:eastAsiaTheme="minorHAnsi" w:cs="Arial"/>
          <w:noProof/>
          <w:color w:val="auto"/>
          <w:u w:val="none"/>
        </w:rPr>
      </w:pPr>
      <w:r w:rsidRPr="001E2F6E">
        <w:rPr>
          <w:rStyle w:val="Hipervnculo"/>
          <w:rFonts w:eastAsiaTheme="minorHAnsi" w:cs="Arial"/>
          <w:noProof/>
          <w:color w:val="auto"/>
          <w:sz w:val="18"/>
          <w:szCs w:val="18"/>
          <w:u w:val="none"/>
        </w:rPr>
        <w:tab/>
      </w:r>
      <w:hyperlink w:anchor="_Toc392585731" w:history="1">
        <w:r w:rsidR="000728A0" w:rsidRPr="001E2F6E">
          <w:rPr>
            <w:rStyle w:val="Hipervnculo"/>
            <w:rFonts w:eastAsiaTheme="minorHAnsi" w:cs="Arial"/>
            <w:noProof/>
            <w:color w:val="auto"/>
            <w:sz w:val="18"/>
            <w:szCs w:val="18"/>
            <w:u w:val="none"/>
          </w:rPr>
          <w:t xml:space="preserve">6.2.- </w:t>
        </w:r>
        <w:r w:rsidR="000728A0" w:rsidRPr="001E2F6E">
          <w:rPr>
            <w:rStyle w:val="Hipervnculo"/>
            <w:rFonts w:eastAsiaTheme="minorHAnsi" w:cs="Arial"/>
            <w:noProof/>
            <w:color w:val="auto"/>
            <w:u w:val="none"/>
          </w:rPr>
          <w:tab/>
        </w:r>
        <w:r w:rsidR="000728A0" w:rsidRPr="001E2F6E">
          <w:rPr>
            <w:rStyle w:val="Hipervnculo"/>
            <w:rFonts w:eastAsiaTheme="minorHAnsi" w:cs="Arial"/>
            <w:noProof/>
            <w:color w:val="auto"/>
            <w:sz w:val="18"/>
            <w:szCs w:val="18"/>
            <w:u w:val="none"/>
          </w:rPr>
          <w:t>ENPLEGUA ENSetan</w:t>
        </w:r>
        <w:r w:rsidR="000728A0" w:rsidRPr="001E2F6E">
          <w:rPr>
            <w:rStyle w:val="Hipervnculo"/>
            <w:rFonts w:eastAsiaTheme="minorHAnsi" w:cs="Arial"/>
            <w:noProof/>
            <w:webHidden/>
            <w:color w:val="auto"/>
            <w:u w:val="none"/>
          </w:rPr>
          <w:tab/>
        </w:r>
        <w:r w:rsidR="00EB6BA6" w:rsidRPr="001E2F6E">
          <w:rPr>
            <w:rStyle w:val="Hipervnculo"/>
            <w:rFonts w:eastAsiaTheme="minorHAnsi" w:cs="Arial"/>
            <w:noProof/>
            <w:webHidden/>
            <w:color w:val="auto"/>
            <w:u w:val="none"/>
          </w:rPr>
          <w:fldChar w:fldCharType="begin"/>
        </w:r>
        <w:r w:rsidR="000728A0" w:rsidRPr="001E2F6E">
          <w:rPr>
            <w:rStyle w:val="Hipervnculo"/>
            <w:rFonts w:eastAsiaTheme="minorHAnsi" w:cs="Arial"/>
            <w:noProof/>
            <w:webHidden/>
            <w:color w:val="auto"/>
            <w:u w:val="none"/>
          </w:rPr>
          <w:instrText xml:space="preserve"> PAGEREF _Toc392585731 \h </w:instrText>
        </w:r>
        <w:r w:rsidR="00EB6BA6" w:rsidRPr="001E2F6E">
          <w:rPr>
            <w:rStyle w:val="Hipervnculo"/>
            <w:rFonts w:eastAsiaTheme="minorHAnsi" w:cs="Arial"/>
            <w:noProof/>
            <w:webHidden/>
            <w:color w:val="auto"/>
            <w:u w:val="none"/>
          </w:rPr>
        </w:r>
        <w:r w:rsidR="00EB6BA6" w:rsidRPr="001E2F6E">
          <w:rPr>
            <w:rStyle w:val="Hipervnculo"/>
            <w:rFonts w:eastAsiaTheme="minorHAnsi" w:cs="Arial"/>
            <w:noProof/>
            <w:webHidden/>
            <w:color w:val="auto"/>
            <w:u w:val="none"/>
          </w:rPr>
          <w:fldChar w:fldCharType="separate"/>
        </w:r>
        <w:r w:rsidR="00A327D4">
          <w:rPr>
            <w:rStyle w:val="Hipervnculo"/>
            <w:rFonts w:eastAsiaTheme="minorHAnsi" w:cs="Arial"/>
            <w:noProof/>
            <w:webHidden/>
            <w:color w:val="auto"/>
            <w:u w:val="none"/>
          </w:rPr>
          <w:t>89</w:t>
        </w:r>
        <w:r w:rsidR="00EB6BA6" w:rsidRPr="001E2F6E">
          <w:rPr>
            <w:rStyle w:val="Hipervnculo"/>
            <w:rFonts w:eastAsiaTheme="minorHAnsi" w:cs="Arial"/>
            <w:noProof/>
            <w:webHidden/>
            <w:color w:val="auto"/>
            <w:u w:val="none"/>
          </w:rPr>
          <w:fldChar w:fldCharType="end"/>
        </w:r>
      </w:hyperlink>
    </w:p>
    <w:p w:rsidR="000728A0" w:rsidRPr="001E2F6E" w:rsidRDefault="00D34AE0" w:rsidP="000728A0">
      <w:pPr>
        <w:pStyle w:val="TDC1"/>
        <w:tabs>
          <w:tab w:val="left" w:pos="426"/>
          <w:tab w:val="left" w:pos="851"/>
          <w:tab w:val="left" w:pos="1276"/>
          <w:tab w:val="right" w:leader="dot" w:pos="9072"/>
        </w:tabs>
        <w:spacing w:after="0" w:line="240" w:lineRule="auto"/>
        <w:rPr>
          <w:rStyle w:val="Hipervnculo"/>
          <w:rFonts w:eastAsiaTheme="minorHAnsi" w:cs="Arial"/>
          <w:noProof/>
          <w:color w:val="auto"/>
          <w:u w:val="none"/>
        </w:rPr>
      </w:pPr>
      <w:r w:rsidRPr="001E2F6E">
        <w:rPr>
          <w:rStyle w:val="Hipervnculo"/>
          <w:rFonts w:eastAsiaTheme="minorHAnsi" w:cs="Arial"/>
          <w:noProof/>
          <w:color w:val="auto"/>
          <w:sz w:val="18"/>
          <w:szCs w:val="18"/>
          <w:u w:val="none"/>
        </w:rPr>
        <w:tab/>
      </w:r>
      <w:hyperlink w:anchor="_Toc392585732" w:history="1">
        <w:r w:rsidR="000728A0" w:rsidRPr="001E2F6E">
          <w:rPr>
            <w:rStyle w:val="Hipervnculo"/>
            <w:rFonts w:eastAsiaTheme="minorHAnsi" w:cs="Arial"/>
            <w:noProof/>
            <w:color w:val="auto"/>
            <w:sz w:val="18"/>
            <w:szCs w:val="18"/>
            <w:u w:val="none"/>
          </w:rPr>
          <w:t xml:space="preserve">6.3.- </w:t>
        </w:r>
        <w:r w:rsidR="000728A0" w:rsidRPr="001E2F6E">
          <w:rPr>
            <w:rStyle w:val="Hipervnculo"/>
            <w:rFonts w:eastAsiaTheme="minorHAnsi" w:cs="Arial"/>
            <w:noProof/>
            <w:color w:val="auto"/>
            <w:u w:val="none"/>
          </w:rPr>
          <w:tab/>
        </w:r>
        <w:r w:rsidR="000728A0" w:rsidRPr="001E2F6E">
          <w:rPr>
            <w:rStyle w:val="Hipervnculo"/>
            <w:rFonts w:eastAsiaTheme="minorHAnsi" w:cs="Arial"/>
            <w:noProof/>
            <w:color w:val="auto"/>
            <w:sz w:val="18"/>
            <w:szCs w:val="18"/>
            <w:u w:val="none"/>
          </w:rPr>
          <w:t>MAGNITUDE EKONOMIKO NAGUSIAK: ENSak</w:t>
        </w:r>
        <w:r w:rsidR="000728A0" w:rsidRPr="001E2F6E">
          <w:rPr>
            <w:rStyle w:val="Hipervnculo"/>
            <w:rFonts w:eastAsiaTheme="minorHAnsi" w:cs="Arial"/>
            <w:noProof/>
            <w:webHidden/>
            <w:color w:val="auto"/>
            <w:u w:val="none"/>
          </w:rPr>
          <w:tab/>
        </w:r>
        <w:r w:rsidR="00EB6BA6" w:rsidRPr="001E2F6E">
          <w:rPr>
            <w:rStyle w:val="Hipervnculo"/>
            <w:rFonts w:eastAsiaTheme="minorHAnsi" w:cs="Arial"/>
            <w:noProof/>
            <w:webHidden/>
            <w:color w:val="auto"/>
            <w:u w:val="none"/>
          </w:rPr>
          <w:fldChar w:fldCharType="begin"/>
        </w:r>
        <w:r w:rsidR="000728A0" w:rsidRPr="001E2F6E">
          <w:rPr>
            <w:rStyle w:val="Hipervnculo"/>
            <w:rFonts w:eastAsiaTheme="minorHAnsi" w:cs="Arial"/>
            <w:noProof/>
            <w:webHidden/>
            <w:color w:val="auto"/>
            <w:u w:val="none"/>
          </w:rPr>
          <w:instrText xml:space="preserve"> PAGEREF _Toc392585732 \h </w:instrText>
        </w:r>
        <w:r w:rsidR="00EB6BA6" w:rsidRPr="001E2F6E">
          <w:rPr>
            <w:rStyle w:val="Hipervnculo"/>
            <w:rFonts w:eastAsiaTheme="minorHAnsi" w:cs="Arial"/>
            <w:noProof/>
            <w:webHidden/>
            <w:color w:val="auto"/>
            <w:u w:val="none"/>
          </w:rPr>
        </w:r>
        <w:r w:rsidR="00EB6BA6" w:rsidRPr="001E2F6E">
          <w:rPr>
            <w:rStyle w:val="Hipervnculo"/>
            <w:rFonts w:eastAsiaTheme="minorHAnsi" w:cs="Arial"/>
            <w:noProof/>
            <w:webHidden/>
            <w:color w:val="auto"/>
            <w:u w:val="none"/>
          </w:rPr>
          <w:fldChar w:fldCharType="separate"/>
        </w:r>
        <w:r w:rsidR="00A327D4">
          <w:rPr>
            <w:rStyle w:val="Hipervnculo"/>
            <w:rFonts w:eastAsiaTheme="minorHAnsi" w:cs="Arial"/>
            <w:noProof/>
            <w:webHidden/>
            <w:color w:val="auto"/>
            <w:u w:val="none"/>
          </w:rPr>
          <w:t>89</w:t>
        </w:r>
        <w:r w:rsidR="00EB6BA6" w:rsidRPr="001E2F6E">
          <w:rPr>
            <w:rStyle w:val="Hipervnculo"/>
            <w:rFonts w:eastAsiaTheme="minorHAnsi" w:cs="Arial"/>
            <w:noProof/>
            <w:webHidden/>
            <w:color w:val="auto"/>
            <w:u w:val="none"/>
          </w:rPr>
          <w:fldChar w:fldCharType="end"/>
        </w:r>
      </w:hyperlink>
    </w:p>
    <w:p w:rsidR="000728A0" w:rsidRPr="001E2F6E" w:rsidRDefault="00D34AE0" w:rsidP="000728A0">
      <w:pPr>
        <w:pStyle w:val="TDC1"/>
        <w:tabs>
          <w:tab w:val="left" w:pos="426"/>
          <w:tab w:val="left" w:pos="851"/>
          <w:tab w:val="left" w:pos="1276"/>
          <w:tab w:val="right" w:leader="dot" w:pos="9072"/>
        </w:tabs>
        <w:spacing w:after="0" w:line="240" w:lineRule="auto"/>
        <w:rPr>
          <w:rStyle w:val="Hipervnculo"/>
          <w:rFonts w:eastAsiaTheme="minorHAnsi" w:cs="Arial"/>
          <w:noProof/>
          <w:color w:val="auto"/>
          <w:u w:val="none"/>
        </w:rPr>
      </w:pPr>
      <w:r w:rsidRPr="001E2F6E">
        <w:rPr>
          <w:rStyle w:val="Hipervnculo"/>
          <w:rFonts w:eastAsiaTheme="minorHAnsi" w:cs="Arial"/>
          <w:noProof/>
          <w:color w:val="auto"/>
          <w:sz w:val="18"/>
          <w:szCs w:val="18"/>
          <w:u w:val="none"/>
        </w:rPr>
        <w:tab/>
      </w:r>
      <w:r w:rsidRPr="001E2F6E">
        <w:rPr>
          <w:rStyle w:val="Hipervnculo"/>
          <w:rFonts w:eastAsiaTheme="minorHAnsi" w:cs="Arial"/>
          <w:noProof/>
          <w:color w:val="auto"/>
          <w:sz w:val="18"/>
          <w:szCs w:val="18"/>
          <w:u w:val="none"/>
        </w:rPr>
        <w:tab/>
      </w:r>
      <w:hyperlink w:anchor="_Toc392585733" w:history="1">
        <w:r w:rsidR="000728A0" w:rsidRPr="001E2F6E">
          <w:rPr>
            <w:rStyle w:val="Hipervnculo"/>
            <w:rFonts w:eastAsiaTheme="minorHAnsi" w:cs="Arial"/>
            <w:noProof/>
            <w:color w:val="auto"/>
            <w:sz w:val="18"/>
            <w:szCs w:val="18"/>
            <w:u w:val="none"/>
          </w:rPr>
          <w:t>6.3.1.- ENSen Diru-Sarrerak</w:t>
        </w:r>
        <w:r w:rsidR="000728A0" w:rsidRPr="001E2F6E">
          <w:rPr>
            <w:rStyle w:val="Hipervnculo"/>
            <w:rFonts w:eastAsiaTheme="minorHAnsi" w:cs="Arial"/>
            <w:noProof/>
            <w:webHidden/>
            <w:color w:val="auto"/>
            <w:u w:val="none"/>
          </w:rPr>
          <w:tab/>
        </w:r>
        <w:r w:rsidR="00EB6BA6" w:rsidRPr="001E2F6E">
          <w:rPr>
            <w:rStyle w:val="Hipervnculo"/>
            <w:rFonts w:eastAsiaTheme="minorHAnsi" w:cs="Arial"/>
            <w:noProof/>
            <w:webHidden/>
            <w:color w:val="auto"/>
            <w:u w:val="none"/>
          </w:rPr>
          <w:fldChar w:fldCharType="begin"/>
        </w:r>
        <w:r w:rsidR="000728A0" w:rsidRPr="001E2F6E">
          <w:rPr>
            <w:rStyle w:val="Hipervnculo"/>
            <w:rFonts w:eastAsiaTheme="minorHAnsi" w:cs="Arial"/>
            <w:noProof/>
            <w:webHidden/>
            <w:color w:val="auto"/>
            <w:u w:val="none"/>
          </w:rPr>
          <w:instrText xml:space="preserve"> PAGEREF _Toc392585733 \h </w:instrText>
        </w:r>
        <w:r w:rsidR="00EB6BA6" w:rsidRPr="001E2F6E">
          <w:rPr>
            <w:rStyle w:val="Hipervnculo"/>
            <w:rFonts w:eastAsiaTheme="minorHAnsi" w:cs="Arial"/>
            <w:noProof/>
            <w:webHidden/>
            <w:color w:val="auto"/>
            <w:u w:val="none"/>
          </w:rPr>
        </w:r>
        <w:r w:rsidR="00EB6BA6" w:rsidRPr="001E2F6E">
          <w:rPr>
            <w:rStyle w:val="Hipervnculo"/>
            <w:rFonts w:eastAsiaTheme="minorHAnsi" w:cs="Arial"/>
            <w:noProof/>
            <w:webHidden/>
            <w:color w:val="auto"/>
            <w:u w:val="none"/>
          </w:rPr>
          <w:fldChar w:fldCharType="separate"/>
        </w:r>
        <w:r w:rsidR="00A327D4">
          <w:rPr>
            <w:rStyle w:val="Hipervnculo"/>
            <w:rFonts w:eastAsiaTheme="minorHAnsi" w:cs="Arial"/>
            <w:noProof/>
            <w:webHidden/>
            <w:color w:val="auto"/>
            <w:u w:val="none"/>
          </w:rPr>
          <w:t>89</w:t>
        </w:r>
        <w:r w:rsidR="00EB6BA6" w:rsidRPr="001E2F6E">
          <w:rPr>
            <w:rStyle w:val="Hipervnculo"/>
            <w:rFonts w:eastAsiaTheme="minorHAnsi" w:cs="Arial"/>
            <w:noProof/>
            <w:webHidden/>
            <w:color w:val="auto"/>
            <w:u w:val="none"/>
          </w:rPr>
          <w:fldChar w:fldCharType="end"/>
        </w:r>
      </w:hyperlink>
    </w:p>
    <w:p w:rsidR="000728A0" w:rsidRPr="001E2F6E" w:rsidRDefault="00D34AE0" w:rsidP="000728A0">
      <w:pPr>
        <w:pStyle w:val="TDC1"/>
        <w:tabs>
          <w:tab w:val="left" w:pos="426"/>
          <w:tab w:val="left" w:pos="851"/>
          <w:tab w:val="left" w:pos="1276"/>
          <w:tab w:val="right" w:leader="dot" w:pos="9072"/>
        </w:tabs>
        <w:spacing w:after="0" w:line="240" w:lineRule="auto"/>
        <w:rPr>
          <w:rStyle w:val="Hipervnculo"/>
          <w:rFonts w:eastAsiaTheme="minorHAnsi" w:cs="Arial"/>
          <w:noProof/>
          <w:color w:val="auto"/>
          <w:u w:val="none"/>
        </w:rPr>
      </w:pPr>
      <w:r w:rsidRPr="001E2F6E">
        <w:rPr>
          <w:rStyle w:val="Hipervnculo"/>
          <w:rFonts w:eastAsiaTheme="minorHAnsi" w:cs="Arial"/>
          <w:noProof/>
          <w:color w:val="auto"/>
          <w:sz w:val="18"/>
          <w:szCs w:val="18"/>
          <w:u w:val="none"/>
        </w:rPr>
        <w:tab/>
      </w:r>
      <w:r w:rsidRPr="001E2F6E">
        <w:rPr>
          <w:rStyle w:val="Hipervnculo"/>
          <w:rFonts w:eastAsiaTheme="minorHAnsi" w:cs="Arial"/>
          <w:noProof/>
          <w:color w:val="auto"/>
          <w:sz w:val="18"/>
          <w:szCs w:val="18"/>
          <w:u w:val="none"/>
        </w:rPr>
        <w:tab/>
      </w:r>
      <w:hyperlink w:anchor="_Toc392585734" w:history="1">
        <w:r w:rsidR="000728A0" w:rsidRPr="001E2F6E">
          <w:rPr>
            <w:rStyle w:val="Hipervnculo"/>
            <w:rFonts w:eastAsiaTheme="minorHAnsi" w:cs="Arial"/>
            <w:noProof/>
            <w:color w:val="auto"/>
            <w:sz w:val="18"/>
            <w:szCs w:val="18"/>
            <w:u w:val="none"/>
          </w:rPr>
          <w:t>6.3.2.- ENSen BEGd-a</w:t>
        </w:r>
        <w:r w:rsidR="000728A0" w:rsidRPr="001E2F6E">
          <w:rPr>
            <w:rStyle w:val="Hipervnculo"/>
            <w:rFonts w:eastAsiaTheme="minorHAnsi" w:cs="Arial"/>
            <w:noProof/>
            <w:webHidden/>
            <w:color w:val="auto"/>
            <w:u w:val="none"/>
          </w:rPr>
          <w:tab/>
        </w:r>
        <w:r w:rsidR="00EB6BA6" w:rsidRPr="001E2F6E">
          <w:rPr>
            <w:rStyle w:val="Hipervnculo"/>
            <w:rFonts w:eastAsiaTheme="minorHAnsi" w:cs="Arial"/>
            <w:noProof/>
            <w:webHidden/>
            <w:color w:val="auto"/>
            <w:u w:val="none"/>
          </w:rPr>
          <w:fldChar w:fldCharType="begin"/>
        </w:r>
        <w:r w:rsidR="000728A0" w:rsidRPr="001E2F6E">
          <w:rPr>
            <w:rStyle w:val="Hipervnculo"/>
            <w:rFonts w:eastAsiaTheme="minorHAnsi" w:cs="Arial"/>
            <w:noProof/>
            <w:webHidden/>
            <w:color w:val="auto"/>
            <w:u w:val="none"/>
          </w:rPr>
          <w:instrText xml:space="preserve"> PAGEREF _Toc392585734 \h </w:instrText>
        </w:r>
        <w:r w:rsidR="00EB6BA6" w:rsidRPr="001E2F6E">
          <w:rPr>
            <w:rStyle w:val="Hipervnculo"/>
            <w:rFonts w:eastAsiaTheme="minorHAnsi" w:cs="Arial"/>
            <w:noProof/>
            <w:webHidden/>
            <w:color w:val="auto"/>
            <w:u w:val="none"/>
          </w:rPr>
        </w:r>
        <w:r w:rsidR="00EB6BA6" w:rsidRPr="001E2F6E">
          <w:rPr>
            <w:rStyle w:val="Hipervnculo"/>
            <w:rFonts w:eastAsiaTheme="minorHAnsi" w:cs="Arial"/>
            <w:noProof/>
            <w:webHidden/>
            <w:color w:val="auto"/>
            <w:u w:val="none"/>
          </w:rPr>
          <w:fldChar w:fldCharType="separate"/>
        </w:r>
        <w:r w:rsidR="00A327D4">
          <w:rPr>
            <w:rStyle w:val="Hipervnculo"/>
            <w:rFonts w:eastAsiaTheme="minorHAnsi" w:cs="Arial"/>
            <w:noProof/>
            <w:webHidden/>
            <w:color w:val="auto"/>
            <w:u w:val="none"/>
          </w:rPr>
          <w:t>89</w:t>
        </w:r>
        <w:r w:rsidR="00EB6BA6" w:rsidRPr="001E2F6E">
          <w:rPr>
            <w:rStyle w:val="Hipervnculo"/>
            <w:rFonts w:eastAsiaTheme="minorHAnsi" w:cs="Arial"/>
            <w:noProof/>
            <w:webHidden/>
            <w:color w:val="auto"/>
            <w:u w:val="none"/>
          </w:rPr>
          <w:fldChar w:fldCharType="end"/>
        </w:r>
      </w:hyperlink>
    </w:p>
    <w:p w:rsidR="00D34AE0" w:rsidRPr="001E2F6E" w:rsidRDefault="00D34AE0" w:rsidP="000728A0">
      <w:pPr>
        <w:pStyle w:val="TDC1"/>
        <w:tabs>
          <w:tab w:val="left" w:pos="426"/>
          <w:tab w:val="left" w:pos="851"/>
          <w:tab w:val="left" w:pos="1276"/>
          <w:tab w:val="right" w:leader="dot" w:pos="9072"/>
        </w:tabs>
        <w:spacing w:after="0" w:line="240" w:lineRule="auto"/>
        <w:rPr>
          <w:rStyle w:val="Hipervnculo"/>
          <w:rFonts w:eastAsiaTheme="minorHAnsi" w:cs="Arial"/>
          <w:noProof/>
          <w:color w:val="auto"/>
          <w:sz w:val="18"/>
          <w:szCs w:val="18"/>
          <w:u w:val="none"/>
        </w:rPr>
      </w:pPr>
    </w:p>
    <w:p w:rsidR="000728A0" w:rsidRPr="001E2F6E" w:rsidRDefault="00A327D4" w:rsidP="000728A0">
      <w:pPr>
        <w:pStyle w:val="TDC1"/>
        <w:tabs>
          <w:tab w:val="left" w:pos="426"/>
          <w:tab w:val="left" w:pos="851"/>
          <w:tab w:val="left" w:pos="1276"/>
          <w:tab w:val="right" w:leader="dot" w:pos="9072"/>
        </w:tabs>
        <w:spacing w:after="0" w:line="240" w:lineRule="auto"/>
        <w:rPr>
          <w:rStyle w:val="Hipervnculo"/>
          <w:rFonts w:eastAsiaTheme="minorHAnsi" w:cs="Arial"/>
          <w:noProof/>
          <w:color w:val="auto"/>
          <w:u w:val="none"/>
        </w:rPr>
      </w:pPr>
      <w:hyperlink w:anchor="_Toc392585735" w:history="1">
        <w:r w:rsidR="000728A0" w:rsidRPr="001E2F6E">
          <w:rPr>
            <w:rStyle w:val="Hipervnculo"/>
            <w:rFonts w:eastAsiaTheme="minorHAnsi" w:cs="Arial"/>
            <w:noProof/>
            <w:color w:val="auto"/>
            <w:sz w:val="18"/>
            <w:szCs w:val="18"/>
            <w:u w:val="none"/>
          </w:rPr>
          <w:t xml:space="preserve">7.- </w:t>
        </w:r>
        <w:r w:rsidR="000728A0" w:rsidRPr="001E2F6E">
          <w:rPr>
            <w:rStyle w:val="Hipervnculo"/>
            <w:rFonts w:eastAsiaTheme="minorHAnsi" w:cs="Arial"/>
            <w:noProof/>
            <w:color w:val="auto"/>
            <w:u w:val="none"/>
          </w:rPr>
          <w:tab/>
        </w:r>
        <w:r w:rsidR="000728A0" w:rsidRPr="001E2F6E">
          <w:rPr>
            <w:rStyle w:val="Hipervnculo"/>
            <w:rFonts w:eastAsiaTheme="minorHAnsi" w:cs="Arial"/>
            <w:noProof/>
            <w:color w:val="auto"/>
            <w:sz w:val="18"/>
            <w:szCs w:val="18"/>
            <w:u w:val="none"/>
          </w:rPr>
          <w:t>EMAITZEN LABURPENA</w:t>
        </w:r>
        <w:r w:rsidR="000728A0" w:rsidRPr="001E2F6E">
          <w:rPr>
            <w:rStyle w:val="Hipervnculo"/>
            <w:rFonts w:eastAsiaTheme="minorHAnsi" w:cs="Arial"/>
            <w:noProof/>
            <w:webHidden/>
            <w:color w:val="auto"/>
            <w:u w:val="none"/>
          </w:rPr>
          <w:tab/>
        </w:r>
        <w:r w:rsidR="00EB6BA6" w:rsidRPr="001E2F6E">
          <w:rPr>
            <w:rStyle w:val="Hipervnculo"/>
            <w:rFonts w:eastAsiaTheme="minorHAnsi" w:cs="Arial"/>
            <w:noProof/>
            <w:webHidden/>
            <w:color w:val="auto"/>
            <w:u w:val="none"/>
          </w:rPr>
          <w:fldChar w:fldCharType="begin"/>
        </w:r>
        <w:r w:rsidR="000728A0" w:rsidRPr="001E2F6E">
          <w:rPr>
            <w:rStyle w:val="Hipervnculo"/>
            <w:rFonts w:eastAsiaTheme="minorHAnsi" w:cs="Arial"/>
            <w:noProof/>
            <w:webHidden/>
            <w:color w:val="auto"/>
            <w:u w:val="none"/>
          </w:rPr>
          <w:instrText xml:space="preserve"> PAGEREF _Toc392585735 \h </w:instrText>
        </w:r>
        <w:r w:rsidR="00EB6BA6" w:rsidRPr="001E2F6E">
          <w:rPr>
            <w:rStyle w:val="Hipervnculo"/>
            <w:rFonts w:eastAsiaTheme="minorHAnsi" w:cs="Arial"/>
            <w:noProof/>
            <w:webHidden/>
            <w:color w:val="auto"/>
            <w:u w:val="none"/>
          </w:rPr>
        </w:r>
        <w:r w:rsidR="00EB6BA6" w:rsidRPr="001E2F6E">
          <w:rPr>
            <w:rStyle w:val="Hipervnculo"/>
            <w:rFonts w:eastAsiaTheme="minorHAnsi" w:cs="Arial"/>
            <w:noProof/>
            <w:webHidden/>
            <w:color w:val="auto"/>
            <w:u w:val="none"/>
          </w:rPr>
          <w:fldChar w:fldCharType="separate"/>
        </w:r>
        <w:r>
          <w:rPr>
            <w:rStyle w:val="Hipervnculo"/>
            <w:rFonts w:eastAsiaTheme="minorHAnsi" w:cs="Arial"/>
            <w:noProof/>
            <w:webHidden/>
            <w:color w:val="auto"/>
            <w:u w:val="none"/>
          </w:rPr>
          <w:t>90</w:t>
        </w:r>
        <w:r w:rsidR="00EB6BA6" w:rsidRPr="001E2F6E">
          <w:rPr>
            <w:rStyle w:val="Hipervnculo"/>
            <w:rFonts w:eastAsiaTheme="minorHAnsi" w:cs="Arial"/>
            <w:noProof/>
            <w:webHidden/>
            <w:color w:val="auto"/>
            <w:u w:val="none"/>
          </w:rPr>
          <w:fldChar w:fldCharType="end"/>
        </w:r>
      </w:hyperlink>
    </w:p>
    <w:p w:rsidR="00195BE7" w:rsidRPr="001E2F6E" w:rsidRDefault="00EB6BA6" w:rsidP="000728A0">
      <w:pPr>
        <w:pStyle w:val="Prrafodelista"/>
        <w:tabs>
          <w:tab w:val="left" w:pos="426"/>
          <w:tab w:val="left" w:pos="851"/>
          <w:tab w:val="left" w:pos="1276"/>
          <w:tab w:val="right" w:leader="dot" w:pos="9072"/>
        </w:tabs>
        <w:spacing w:after="0" w:line="240" w:lineRule="auto"/>
        <w:ind w:left="227" w:hanging="227"/>
        <w:rPr>
          <w:rFonts w:ascii="Arial" w:eastAsia="Times New Roman" w:hAnsi="Arial" w:cs="Arial"/>
          <w:sz w:val="2"/>
          <w:szCs w:val="2"/>
          <w:lang w:val="es-ES_tradnl" w:eastAsia="es-ES"/>
        </w:rPr>
      </w:pPr>
      <w:r w:rsidRPr="001E2F6E">
        <w:rPr>
          <w:rFonts w:ascii="Arial" w:eastAsia="Times New Roman" w:hAnsi="Arial" w:cs="Arial"/>
          <w:sz w:val="18"/>
          <w:szCs w:val="18"/>
          <w:lang w:val="es-ES_tradnl" w:eastAsia="es-ES"/>
        </w:rPr>
        <w:fldChar w:fldCharType="end"/>
      </w:r>
    </w:p>
    <w:p w:rsidR="00195BE7" w:rsidRPr="001E2F6E" w:rsidRDefault="00195BE7" w:rsidP="00195BE7">
      <w:pPr>
        <w:spacing w:after="200" w:line="276" w:lineRule="auto"/>
        <w:jc w:val="left"/>
        <w:rPr>
          <w:rFonts w:eastAsia="Times New Roman"/>
          <w:lang w:eastAsia="es-ES"/>
        </w:rPr>
      </w:pPr>
      <w:r w:rsidRPr="001E2F6E">
        <w:rPr>
          <w:rFonts w:eastAsia="Times New Roman"/>
          <w:lang w:eastAsia="es-ES"/>
        </w:rPr>
        <w:br w:type="page"/>
      </w:r>
    </w:p>
    <w:p w:rsidR="00195BE7" w:rsidRPr="001E2F6E" w:rsidRDefault="000728A0" w:rsidP="00195BE7">
      <w:pPr>
        <w:pStyle w:val="Prrafodelista"/>
        <w:spacing w:after="0" w:line="360" w:lineRule="auto"/>
        <w:ind w:left="227" w:hanging="227"/>
        <w:rPr>
          <w:rFonts w:ascii="Arial" w:eastAsia="Times New Roman" w:hAnsi="Arial" w:cs="Arial"/>
          <w:b/>
          <w:lang w:eastAsia="es-ES"/>
        </w:rPr>
      </w:pPr>
      <w:r w:rsidRPr="001E2F6E">
        <w:rPr>
          <w:rFonts w:ascii="Arial" w:eastAsia="Times New Roman" w:hAnsi="Arial" w:cs="Arial"/>
          <w:b/>
          <w:lang w:eastAsia="es-ES"/>
        </w:rPr>
        <w:lastRenderedPageBreak/>
        <w:t>Taulak eta irudiak</w:t>
      </w:r>
    </w:p>
    <w:p w:rsidR="00195BE7" w:rsidRPr="001E2F6E" w:rsidRDefault="00195BE7" w:rsidP="00195BE7">
      <w:pPr>
        <w:pStyle w:val="TDC1"/>
        <w:tabs>
          <w:tab w:val="left" w:pos="426"/>
          <w:tab w:val="left" w:pos="567"/>
          <w:tab w:val="left" w:pos="1134"/>
          <w:tab w:val="left" w:pos="1701"/>
          <w:tab w:val="right" w:leader="dot" w:pos="8778"/>
        </w:tabs>
        <w:spacing w:after="0" w:line="240" w:lineRule="auto"/>
        <w:ind w:left="1134" w:hanging="1134"/>
        <w:rPr>
          <w:b/>
          <w:sz w:val="16"/>
          <w:szCs w:val="16"/>
        </w:rPr>
      </w:pPr>
    </w:p>
    <w:p w:rsidR="00B76DF2" w:rsidRPr="001E2F6E" w:rsidRDefault="00A327D4" w:rsidP="00B76DF2">
      <w:pPr>
        <w:pStyle w:val="TDC1"/>
        <w:tabs>
          <w:tab w:val="left" w:pos="600"/>
          <w:tab w:val="right" w:leader="dot" w:pos="9072"/>
        </w:tabs>
        <w:spacing w:after="0" w:line="240" w:lineRule="auto"/>
        <w:ind w:left="426" w:hanging="426"/>
        <w:rPr>
          <w:rFonts w:eastAsiaTheme="minorEastAsia"/>
          <w:b/>
          <w:noProof/>
          <w:sz w:val="18"/>
          <w:szCs w:val="18"/>
          <w:lang w:eastAsia="es-ES"/>
        </w:rPr>
      </w:pPr>
      <w:hyperlink w:anchor="_Toc392585666" w:history="1">
        <w:r w:rsidR="00B76DF2" w:rsidRPr="001E2F6E">
          <w:rPr>
            <w:rStyle w:val="Hipervnculo"/>
            <w:rFonts w:cs="Arial"/>
            <w:b/>
            <w:noProof/>
            <w:color w:val="auto"/>
            <w:sz w:val="18"/>
            <w:szCs w:val="18"/>
            <w:u w:val="none"/>
          </w:rPr>
          <w:t xml:space="preserve">I.- </w:t>
        </w:r>
        <w:r w:rsidR="00B76DF2" w:rsidRPr="001E2F6E">
          <w:rPr>
            <w:rFonts w:eastAsiaTheme="minorEastAsia"/>
            <w:b/>
            <w:noProof/>
            <w:sz w:val="18"/>
            <w:szCs w:val="18"/>
            <w:lang w:eastAsia="es-ES"/>
          </w:rPr>
          <w:tab/>
        </w:r>
        <w:r w:rsidR="00B76DF2" w:rsidRPr="001E2F6E">
          <w:rPr>
            <w:rStyle w:val="Hipervnculo"/>
            <w:rFonts w:cs="Arial"/>
            <w:b/>
            <w:noProof/>
            <w:color w:val="auto"/>
            <w:sz w:val="18"/>
            <w:szCs w:val="18"/>
            <w:u w:val="none"/>
          </w:rPr>
          <w:t>GIZARTE-EKONOMIAREN FORMA KLASIKOAK 2012 (GEFK)</w:t>
        </w:r>
        <w:r w:rsidR="00B76DF2" w:rsidRPr="001E2F6E">
          <w:rPr>
            <w:b/>
            <w:noProof/>
            <w:webHidden/>
            <w:sz w:val="18"/>
            <w:szCs w:val="18"/>
          </w:rPr>
          <w:tab/>
        </w:r>
        <w:r w:rsidR="00EB6BA6" w:rsidRPr="001E2F6E">
          <w:rPr>
            <w:b/>
            <w:noProof/>
            <w:webHidden/>
            <w:sz w:val="18"/>
            <w:szCs w:val="18"/>
          </w:rPr>
          <w:fldChar w:fldCharType="begin"/>
        </w:r>
        <w:r w:rsidR="00B76DF2" w:rsidRPr="001E2F6E">
          <w:rPr>
            <w:b/>
            <w:noProof/>
            <w:webHidden/>
            <w:sz w:val="18"/>
            <w:szCs w:val="18"/>
          </w:rPr>
          <w:instrText xml:space="preserve"> PAGEREF _Toc392585666 \h </w:instrText>
        </w:r>
        <w:r w:rsidR="00EB6BA6" w:rsidRPr="001E2F6E">
          <w:rPr>
            <w:b/>
            <w:noProof/>
            <w:webHidden/>
            <w:sz w:val="18"/>
            <w:szCs w:val="18"/>
          </w:rPr>
        </w:r>
        <w:r w:rsidR="00EB6BA6" w:rsidRPr="001E2F6E">
          <w:rPr>
            <w:b/>
            <w:noProof/>
            <w:webHidden/>
            <w:sz w:val="18"/>
            <w:szCs w:val="18"/>
          </w:rPr>
          <w:fldChar w:fldCharType="separate"/>
        </w:r>
        <w:r>
          <w:rPr>
            <w:b/>
            <w:noProof/>
            <w:webHidden/>
            <w:sz w:val="18"/>
            <w:szCs w:val="18"/>
          </w:rPr>
          <w:t>43</w:t>
        </w:r>
        <w:r w:rsidR="00EB6BA6" w:rsidRPr="001E2F6E">
          <w:rPr>
            <w:b/>
            <w:noProof/>
            <w:webHidden/>
            <w:sz w:val="18"/>
            <w:szCs w:val="18"/>
          </w:rPr>
          <w:fldChar w:fldCharType="end"/>
        </w:r>
      </w:hyperlink>
    </w:p>
    <w:p w:rsidR="00195BE7" w:rsidRPr="001E2F6E" w:rsidRDefault="00195BE7" w:rsidP="00195BE7">
      <w:pPr>
        <w:pStyle w:val="Tabladeilustraciones"/>
        <w:tabs>
          <w:tab w:val="right" w:leader="dot" w:pos="8778"/>
        </w:tabs>
        <w:spacing w:line="240" w:lineRule="auto"/>
        <w:ind w:left="1134" w:hanging="1134"/>
        <w:rPr>
          <w:rFonts w:eastAsia="Times New Roman"/>
          <w:sz w:val="16"/>
          <w:szCs w:val="16"/>
          <w:lang w:eastAsia="es-ES"/>
        </w:rPr>
      </w:pPr>
    </w:p>
    <w:p w:rsidR="000728A0" w:rsidRPr="001E2F6E" w:rsidRDefault="00EB6BA6" w:rsidP="00B76DF2">
      <w:pPr>
        <w:pStyle w:val="Tabladeilustraciones"/>
        <w:tabs>
          <w:tab w:val="right" w:leader="dot" w:pos="9072"/>
        </w:tabs>
        <w:spacing w:line="240" w:lineRule="auto"/>
        <w:ind w:left="1134" w:hanging="1134"/>
        <w:rPr>
          <w:rFonts w:eastAsiaTheme="minorHAnsi" w:cstheme="minorBidi"/>
          <w:noProof/>
          <w:sz w:val="16"/>
          <w:szCs w:val="16"/>
        </w:rPr>
      </w:pPr>
      <w:r w:rsidRPr="001E2F6E">
        <w:rPr>
          <w:rFonts w:eastAsiaTheme="minorHAnsi" w:cstheme="minorBidi"/>
          <w:sz w:val="16"/>
          <w:szCs w:val="16"/>
        </w:rPr>
        <w:fldChar w:fldCharType="begin"/>
      </w:r>
      <w:r w:rsidR="00195BE7" w:rsidRPr="001E2F6E">
        <w:rPr>
          <w:rFonts w:eastAsiaTheme="minorHAnsi" w:cstheme="minorBidi"/>
          <w:sz w:val="16"/>
          <w:szCs w:val="16"/>
        </w:rPr>
        <w:instrText xml:space="preserve"> TOC \h \z \c "Cuadro 1." </w:instrText>
      </w:r>
      <w:r w:rsidRPr="001E2F6E">
        <w:rPr>
          <w:rFonts w:eastAsiaTheme="minorHAnsi" w:cstheme="minorBidi"/>
          <w:sz w:val="16"/>
          <w:szCs w:val="16"/>
        </w:rPr>
        <w:fldChar w:fldCharType="separate"/>
      </w:r>
      <w:hyperlink w:anchor="_Toc392585736" w:history="1">
        <w:r w:rsidR="000728A0" w:rsidRPr="001E2F6E">
          <w:rPr>
            <w:rFonts w:eastAsiaTheme="minorHAnsi" w:cstheme="minorBidi"/>
            <w:noProof/>
            <w:sz w:val="16"/>
            <w:szCs w:val="16"/>
          </w:rPr>
          <w:t xml:space="preserve">1.1 Taula </w:t>
        </w:r>
        <w:r w:rsidR="00B76DF2" w:rsidRPr="001E2F6E">
          <w:rPr>
            <w:rFonts w:eastAsiaTheme="minorHAnsi" w:cstheme="minorBidi"/>
            <w:noProof/>
            <w:sz w:val="16"/>
            <w:szCs w:val="16"/>
          </w:rPr>
          <w:tab/>
        </w:r>
        <w:r w:rsidR="000728A0" w:rsidRPr="001E2F6E">
          <w:rPr>
            <w:rFonts w:eastAsiaTheme="minorHAnsi" w:cstheme="minorBidi"/>
            <w:noProof/>
            <w:sz w:val="16"/>
            <w:szCs w:val="16"/>
          </w:rPr>
          <w:t>GIZARTE-EKONOMIAREN ALORREKO ESTABLEZIMENDUEN ETA ENPLEGUAREN BILAKAERA. KONPARAZIOZKO ERREFERENTZIA: EAEko BIZTANLERIA LANDUNA 2002-2012</w:t>
        </w:r>
        <w:r w:rsidR="000728A0" w:rsidRPr="001E2F6E">
          <w:rPr>
            <w:rFonts w:eastAsiaTheme="minorHAnsi" w:cstheme="minorBidi"/>
            <w:noProof/>
            <w:webHidden/>
            <w:sz w:val="16"/>
            <w:szCs w:val="16"/>
          </w:rPr>
          <w:tab/>
        </w:r>
        <w:r w:rsidRPr="001E2F6E">
          <w:rPr>
            <w:rFonts w:eastAsiaTheme="minorHAnsi" w:cstheme="minorBidi"/>
            <w:noProof/>
            <w:webHidden/>
            <w:sz w:val="16"/>
            <w:szCs w:val="16"/>
          </w:rPr>
          <w:fldChar w:fldCharType="begin"/>
        </w:r>
        <w:r w:rsidR="000728A0" w:rsidRPr="001E2F6E">
          <w:rPr>
            <w:rFonts w:eastAsiaTheme="minorHAnsi" w:cstheme="minorBidi"/>
            <w:noProof/>
            <w:webHidden/>
            <w:sz w:val="16"/>
            <w:szCs w:val="16"/>
          </w:rPr>
          <w:instrText xml:space="preserve"> PAGEREF _Toc392585736 \h </w:instrText>
        </w:r>
        <w:r w:rsidRPr="001E2F6E">
          <w:rPr>
            <w:rFonts w:eastAsiaTheme="minorHAnsi" w:cstheme="minorBidi"/>
            <w:noProof/>
            <w:webHidden/>
            <w:sz w:val="16"/>
            <w:szCs w:val="16"/>
          </w:rPr>
        </w:r>
        <w:r w:rsidRPr="001E2F6E">
          <w:rPr>
            <w:rFonts w:eastAsiaTheme="minorHAnsi" w:cstheme="minorBidi"/>
            <w:noProof/>
            <w:webHidden/>
            <w:sz w:val="16"/>
            <w:szCs w:val="16"/>
          </w:rPr>
          <w:fldChar w:fldCharType="separate"/>
        </w:r>
        <w:r w:rsidR="00A327D4">
          <w:rPr>
            <w:rFonts w:eastAsiaTheme="minorHAnsi" w:cstheme="minorBidi"/>
            <w:noProof/>
            <w:webHidden/>
            <w:sz w:val="16"/>
            <w:szCs w:val="16"/>
          </w:rPr>
          <w:t>43</w:t>
        </w:r>
        <w:r w:rsidRPr="001E2F6E">
          <w:rPr>
            <w:rFonts w:eastAsiaTheme="minorHAnsi" w:cstheme="minorBidi"/>
            <w:noProof/>
            <w:webHidden/>
            <w:sz w:val="16"/>
            <w:szCs w:val="16"/>
          </w:rPr>
          <w:fldChar w:fldCharType="end"/>
        </w:r>
      </w:hyperlink>
    </w:p>
    <w:p w:rsidR="000728A0" w:rsidRPr="001E2F6E" w:rsidRDefault="00A327D4" w:rsidP="00B76DF2">
      <w:pPr>
        <w:pStyle w:val="Tabladeilustraciones"/>
        <w:tabs>
          <w:tab w:val="right" w:leader="dot" w:pos="9072"/>
        </w:tabs>
        <w:spacing w:line="240" w:lineRule="auto"/>
        <w:ind w:left="1134" w:hanging="1134"/>
        <w:rPr>
          <w:rFonts w:eastAsiaTheme="minorHAnsi" w:cstheme="minorBidi"/>
          <w:noProof/>
          <w:sz w:val="16"/>
          <w:szCs w:val="16"/>
        </w:rPr>
      </w:pPr>
      <w:hyperlink w:anchor="_Toc392585737" w:history="1">
        <w:r w:rsidR="000728A0" w:rsidRPr="001E2F6E">
          <w:rPr>
            <w:rFonts w:eastAsiaTheme="minorHAnsi" w:cstheme="minorBidi"/>
            <w:noProof/>
            <w:sz w:val="16"/>
            <w:szCs w:val="16"/>
          </w:rPr>
          <w:t xml:space="preserve">1.2 Taula </w:t>
        </w:r>
        <w:r w:rsidR="00B76DF2" w:rsidRPr="001E2F6E">
          <w:rPr>
            <w:rFonts w:eastAsiaTheme="minorHAnsi" w:cstheme="minorBidi"/>
            <w:noProof/>
            <w:sz w:val="16"/>
            <w:szCs w:val="16"/>
          </w:rPr>
          <w:tab/>
        </w:r>
        <w:r w:rsidR="000728A0" w:rsidRPr="001E2F6E">
          <w:rPr>
            <w:rFonts w:eastAsiaTheme="minorHAnsi" w:cstheme="minorBidi"/>
            <w:noProof/>
            <w:sz w:val="16"/>
            <w:szCs w:val="16"/>
          </w:rPr>
          <w:t>GIZARTE-EKONOMIAREN ALORREKO ESTABLEZIMENDUEN ETA ENPLEGUEN HAZKUNDE-TASAK 2000 eta 2012 artean. KONPARAZIOZKO ERREFERENTZIA: EAEko BIZTANLERIA LANDUNA</w:t>
        </w:r>
        <w:r w:rsidR="000728A0" w:rsidRPr="001E2F6E">
          <w:rPr>
            <w:rFonts w:eastAsiaTheme="minorHAnsi" w:cstheme="minorBidi"/>
            <w:noProof/>
            <w:webHidden/>
            <w:sz w:val="16"/>
            <w:szCs w:val="16"/>
          </w:rPr>
          <w:tab/>
        </w:r>
        <w:r w:rsidR="00EB6BA6" w:rsidRPr="001E2F6E">
          <w:rPr>
            <w:rFonts w:eastAsiaTheme="minorHAnsi" w:cstheme="minorBidi"/>
            <w:noProof/>
            <w:webHidden/>
            <w:sz w:val="16"/>
            <w:szCs w:val="16"/>
          </w:rPr>
          <w:fldChar w:fldCharType="begin"/>
        </w:r>
        <w:r w:rsidR="000728A0" w:rsidRPr="001E2F6E">
          <w:rPr>
            <w:rFonts w:eastAsiaTheme="minorHAnsi" w:cstheme="minorBidi"/>
            <w:noProof/>
            <w:webHidden/>
            <w:sz w:val="16"/>
            <w:szCs w:val="16"/>
          </w:rPr>
          <w:instrText xml:space="preserve"> PAGEREF _Toc392585737 \h </w:instrText>
        </w:r>
        <w:r w:rsidR="00EB6BA6" w:rsidRPr="001E2F6E">
          <w:rPr>
            <w:rFonts w:eastAsiaTheme="minorHAnsi" w:cstheme="minorBidi"/>
            <w:noProof/>
            <w:webHidden/>
            <w:sz w:val="16"/>
            <w:szCs w:val="16"/>
          </w:rPr>
        </w:r>
        <w:r w:rsidR="00EB6BA6" w:rsidRPr="001E2F6E">
          <w:rPr>
            <w:rFonts w:eastAsiaTheme="minorHAnsi" w:cstheme="minorBidi"/>
            <w:noProof/>
            <w:webHidden/>
            <w:sz w:val="16"/>
            <w:szCs w:val="16"/>
          </w:rPr>
          <w:fldChar w:fldCharType="separate"/>
        </w:r>
        <w:r>
          <w:rPr>
            <w:rFonts w:eastAsiaTheme="minorHAnsi" w:cstheme="minorBidi"/>
            <w:noProof/>
            <w:webHidden/>
            <w:sz w:val="16"/>
            <w:szCs w:val="16"/>
          </w:rPr>
          <w:t>43</w:t>
        </w:r>
        <w:r w:rsidR="00EB6BA6" w:rsidRPr="001E2F6E">
          <w:rPr>
            <w:rFonts w:eastAsiaTheme="minorHAnsi" w:cstheme="minorBidi"/>
            <w:noProof/>
            <w:webHidden/>
            <w:sz w:val="16"/>
            <w:szCs w:val="16"/>
          </w:rPr>
          <w:fldChar w:fldCharType="end"/>
        </w:r>
      </w:hyperlink>
    </w:p>
    <w:p w:rsidR="000728A0" w:rsidRPr="001E2F6E" w:rsidRDefault="00A327D4" w:rsidP="00B76DF2">
      <w:pPr>
        <w:pStyle w:val="Tabladeilustraciones"/>
        <w:tabs>
          <w:tab w:val="right" w:leader="dot" w:pos="9072"/>
        </w:tabs>
        <w:spacing w:line="240" w:lineRule="auto"/>
        <w:ind w:left="1134" w:hanging="1134"/>
        <w:rPr>
          <w:rFonts w:eastAsiaTheme="minorHAnsi" w:cstheme="minorBidi"/>
          <w:noProof/>
          <w:sz w:val="16"/>
          <w:szCs w:val="16"/>
        </w:rPr>
      </w:pPr>
      <w:hyperlink w:anchor="_Toc392585738" w:history="1">
        <w:r w:rsidR="000728A0" w:rsidRPr="001E2F6E">
          <w:rPr>
            <w:rFonts w:eastAsiaTheme="minorHAnsi" w:cstheme="minorBidi"/>
            <w:noProof/>
            <w:sz w:val="16"/>
            <w:szCs w:val="16"/>
          </w:rPr>
          <w:t xml:space="preserve">1.3 Taula </w:t>
        </w:r>
        <w:r w:rsidR="00B76DF2" w:rsidRPr="001E2F6E">
          <w:rPr>
            <w:rFonts w:eastAsiaTheme="minorHAnsi" w:cstheme="minorBidi"/>
            <w:noProof/>
            <w:sz w:val="16"/>
            <w:szCs w:val="16"/>
          </w:rPr>
          <w:tab/>
        </w:r>
        <w:r w:rsidR="000728A0" w:rsidRPr="001E2F6E">
          <w:rPr>
            <w:rFonts w:eastAsiaTheme="minorHAnsi" w:cstheme="minorBidi"/>
            <w:noProof/>
            <w:sz w:val="16"/>
            <w:szCs w:val="16"/>
          </w:rPr>
          <w:t>GIZARTE-EKONOMIAREN ALORREKO ENPRESEN TAMAINARI BURUZKO ADIERAZLEAK. 2010-2012</w:t>
        </w:r>
        <w:r w:rsidR="000728A0" w:rsidRPr="001E2F6E">
          <w:rPr>
            <w:rFonts w:eastAsiaTheme="minorHAnsi" w:cstheme="minorBidi"/>
            <w:noProof/>
            <w:webHidden/>
            <w:sz w:val="16"/>
            <w:szCs w:val="16"/>
          </w:rPr>
          <w:tab/>
        </w:r>
        <w:r w:rsidR="00EB6BA6" w:rsidRPr="001E2F6E">
          <w:rPr>
            <w:rFonts w:eastAsiaTheme="minorHAnsi" w:cstheme="minorBidi"/>
            <w:noProof/>
            <w:webHidden/>
            <w:sz w:val="16"/>
            <w:szCs w:val="16"/>
          </w:rPr>
          <w:fldChar w:fldCharType="begin"/>
        </w:r>
        <w:r w:rsidR="000728A0" w:rsidRPr="001E2F6E">
          <w:rPr>
            <w:rFonts w:eastAsiaTheme="minorHAnsi" w:cstheme="minorBidi"/>
            <w:noProof/>
            <w:webHidden/>
            <w:sz w:val="16"/>
            <w:szCs w:val="16"/>
          </w:rPr>
          <w:instrText xml:space="preserve"> PAGEREF _Toc392585738 \h </w:instrText>
        </w:r>
        <w:r w:rsidR="00EB6BA6" w:rsidRPr="001E2F6E">
          <w:rPr>
            <w:rFonts w:eastAsiaTheme="minorHAnsi" w:cstheme="minorBidi"/>
            <w:noProof/>
            <w:webHidden/>
            <w:sz w:val="16"/>
            <w:szCs w:val="16"/>
          </w:rPr>
        </w:r>
        <w:r w:rsidR="00EB6BA6" w:rsidRPr="001E2F6E">
          <w:rPr>
            <w:rFonts w:eastAsiaTheme="minorHAnsi" w:cstheme="minorBidi"/>
            <w:noProof/>
            <w:webHidden/>
            <w:sz w:val="16"/>
            <w:szCs w:val="16"/>
          </w:rPr>
          <w:fldChar w:fldCharType="separate"/>
        </w:r>
        <w:r>
          <w:rPr>
            <w:rFonts w:eastAsiaTheme="minorHAnsi" w:cstheme="minorBidi"/>
            <w:noProof/>
            <w:webHidden/>
            <w:sz w:val="16"/>
            <w:szCs w:val="16"/>
          </w:rPr>
          <w:t>44</w:t>
        </w:r>
        <w:r w:rsidR="00EB6BA6" w:rsidRPr="001E2F6E">
          <w:rPr>
            <w:rFonts w:eastAsiaTheme="minorHAnsi" w:cstheme="minorBidi"/>
            <w:noProof/>
            <w:webHidden/>
            <w:sz w:val="16"/>
            <w:szCs w:val="16"/>
          </w:rPr>
          <w:fldChar w:fldCharType="end"/>
        </w:r>
      </w:hyperlink>
    </w:p>
    <w:p w:rsidR="000728A0" w:rsidRPr="001E2F6E" w:rsidRDefault="00A327D4" w:rsidP="00B76DF2">
      <w:pPr>
        <w:pStyle w:val="Tabladeilustraciones"/>
        <w:tabs>
          <w:tab w:val="right" w:leader="dot" w:pos="9072"/>
        </w:tabs>
        <w:spacing w:line="240" w:lineRule="auto"/>
        <w:ind w:left="1134" w:hanging="1134"/>
        <w:rPr>
          <w:rFonts w:eastAsiaTheme="minorHAnsi" w:cstheme="minorBidi"/>
          <w:noProof/>
          <w:sz w:val="16"/>
          <w:szCs w:val="16"/>
        </w:rPr>
      </w:pPr>
      <w:hyperlink w:anchor="_Toc392585739" w:history="1">
        <w:r w:rsidR="000728A0" w:rsidRPr="001E2F6E">
          <w:rPr>
            <w:rFonts w:eastAsiaTheme="minorHAnsi" w:cstheme="minorBidi"/>
            <w:noProof/>
            <w:sz w:val="16"/>
            <w:szCs w:val="16"/>
          </w:rPr>
          <w:t xml:space="preserve">1.4 Taula </w:t>
        </w:r>
        <w:r w:rsidR="00B76DF2" w:rsidRPr="001E2F6E">
          <w:rPr>
            <w:rFonts w:eastAsiaTheme="minorHAnsi" w:cstheme="minorBidi"/>
            <w:noProof/>
            <w:sz w:val="16"/>
            <w:szCs w:val="16"/>
          </w:rPr>
          <w:tab/>
        </w:r>
        <w:r w:rsidR="000728A0" w:rsidRPr="001E2F6E">
          <w:rPr>
            <w:rFonts w:eastAsiaTheme="minorHAnsi" w:cstheme="minorBidi"/>
            <w:noProof/>
            <w:sz w:val="16"/>
            <w:szCs w:val="16"/>
          </w:rPr>
          <w:t>GIZARTE-EKONOMIAREN ALORREKO ENPRESEN TAMAINA 2012ean</w:t>
        </w:r>
        <w:r w:rsidR="000728A0" w:rsidRPr="001E2F6E">
          <w:rPr>
            <w:rFonts w:eastAsiaTheme="minorHAnsi" w:cstheme="minorBidi"/>
            <w:noProof/>
            <w:webHidden/>
            <w:sz w:val="16"/>
            <w:szCs w:val="16"/>
          </w:rPr>
          <w:tab/>
        </w:r>
        <w:r w:rsidR="00EB6BA6" w:rsidRPr="001E2F6E">
          <w:rPr>
            <w:rFonts w:eastAsiaTheme="minorHAnsi" w:cstheme="minorBidi"/>
            <w:noProof/>
            <w:webHidden/>
            <w:sz w:val="16"/>
            <w:szCs w:val="16"/>
          </w:rPr>
          <w:fldChar w:fldCharType="begin"/>
        </w:r>
        <w:r w:rsidR="000728A0" w:rsidRPr="001E2F6E">
          <w:rPr>
            <w:rFonts w:eastAsiaTheme="minorHAnsi" w:cstheme="minorBidi"/>
            <w:noProof/>
            <w:webHidden/>
            <w:sz w:val="16"/>
            <w:szCs w:val="16"/>
          </w:rPr>
          <w:instrText xml:space="preserve"> PAGEREF _Toc392585739 \h </w:instrText>
        </w:r>
        <w:r w:rsidR="00EB6BA6" w:rsidRPr="001E2F6E">
          <w:rPr>
            <w:rFonts w:eastAsiaTheme="minorHAnsi" w:cstheme="minorBidi"/>
            <w:noProof/>
            <w:webHidden/>
            <w:sz w:val="16"/>
            <w:szCs w:val="16"/>
          </w:rPr>
        </w:r>
        <w:r w:rsidR="00EB6BA6" w:rsidRPr="001E2F6E">
          <w:rPr>
            <w:rFonts w:eastAsiaTheme="minorHAnsi" w:cstheme="minorBidi"/>
            <w:noProof/>
            <w:webHidden/>
            <w:sz w:val="16"/>
            <w:szCs w:val="16"/>
          </w:rPr>
          <w:fldChar w:fldCharType="separate"/>
        </w:r>
        <w:r>
          <w:rPr>
            <w:rFonts w:eastAsiaTheme="minorHAnsi" w:cstheme="minorBidi"/>
            <w:noProof/>
            <w:webHidden/>
            <w:sz w:val="16"/>
            <w:szCs w:val="16"/>
          </w:rPr>
          <w:t>44</w:t>
        </w:r>
        <w:r w:rsidR="00EB6BA6" w:rsidRPr="001E2F6E">
          <w:rPr>
            <w:rFonts w:eastAsiaTheme="minorHAnsi" w:cstheme="minorBidi"/>
            <w:noProof/>
            <w:webHidden/>
            <w:sz w:val="16"/>
            <w:szCs w:val="16"/>
          </w:rPr>
          <w:fldChar w:fldCharType="end"/>
        </w:r>
      </w:hyperlink>
    </w:p>
    <w:p w:rsidR="000728A0" w:rsidRPr="001E2F6E" w:rsidRDefault="00A327D4" w:rsidP="00B76DF2">
      <w:pPr>
        <w:pStyle w:val="Tabladeilustraciones"/>
        <w:tabs>
          <w:tab w:val="right" w:leader="dot" w:pos="9072"/>
        </w:tabs>
        <w:spacing w:line="240" w:lineRule="auto"/>
        <w:ind w:left="1134" w:hanging="1134"/>
        <w:rPr>
          <w:rFonts w:eastAsiaTheme="minorHAnsi" w:cstheme="minorBidi"/>
          <w:noProof/>
          <w:sz w:val="16"/>
          <w:szCs w:val="16"/>
        </w:rPr>
      </w:pPr>
      <w:hyperlink w:anchor="_Toc392585740" w:history="1">
        <w:r w:rsidR="000728A0" w:rsidRPr="001E2F6E">
          <w:rPr>
            <w:rFonts w:eastAsiaTheme="minorHAnsi" w:cstheme="minorBidi"/>
            <w:noProof/>
            <w:sz w:val="16"/>
            <w:szCs w:val="16"/>
          </w:rPr>
          <w:t xml:space="preserve">1.5 Taula </w:t>
        </w:r>
        <w:r w:rsidR="00B76DF2" w:rsidRPr="001E2F6E">
          <w:rPr>
            <w:rFonts w:eastAsiaTheme="minorHAnsi" w:cstheme="minorBidi"/>
            <w:noProof/>
            <w:sz w:val="16"/>
            <w:szCs w:val="16"/>
          </w:rPr>
          <w:tab/>
        </w:r>
        <w:r w:rsidR="000728A0" w:rsidRPr="001E2F6E">
          <w:rPr>
            <w:rFonts w:eastAsiaTheme="minorHAnsi" w:cstheme="minorBidi"/>
            <w:noProof/>
            <w:sz w:val="16"/>
            <w:szCs w:val="16"/>
          </w:rPr>
          <w:t>ENPLEGU KOPURUAREN BILAKAERA GIZARTE-EKONOMIAKO ENPRESEN TAMAINAREN ARABERA 2010-2012</w:t>
        </w:r>
        <w:r w:rsidR="000728A0" w:rsidRPr="001E2F6E">
          <w:rPr>
            <w:rFonts w:eastAsiaTheme="minorHAnsi" w:cstheme="minorBidi"/>
            <w:noProof/>
            <w:webHidden/>
            <w:sz w:val="16"/>
            <w:szCs w:val="16"/>
          </w:rPr>
          <w:tab/>
        </w:r>
        <w:r w:rsidR="00EB6BA6" w:rsidRPr="001E2F6E">
          <w:rPr>
            <w:rFonts w:eastAsiaTheme="minorHAnsi" w:cstheme="minorBidi"/>
            <w:noProof/>
            <w:webHidden/>
            <w:sz w:val="16"/>
            <w:szCs w:val="16"/>
          </w:rPr>
          <w:fldChar w:fldCharType="begin"/>
        </w:r>
        <w:r w:rsidR="000728A0" w:rsidRPr="001E2F6E">
          <w:rPr>
            <w:rFonts w:eastAsiaTheme="minorHAnsi" w:cstheme="minorBidi"/>
            <w:noProof/>
            <w:webHidden/>
            <w:sz w:val="16"/>
            <w:szCs w:val="16"/>
          </w:rPr>
          <w:instrText xml:space="preserve"> PAGEREF _Toc392585740 \h </w:instrText>
        </w:r>
        <w:r w:rsidR="00EB6BA6" w:rsidRPr="001E2F6E">
          <w:rPr>
            <w:rFonts w:eastAsiaTheme="minorHAnsi" w:cstheme="minorBidi"/>
            <w:noProof/>
            <w:webHidden/>
            <w:sz w:val="16"/>
            <w:szCs w:val="16"/>
          </w:rPr>
        </w:r>
        <w:r w:rsidR="00EB6BA6" w:rsidRPr="001E2F6E">
          <w:rPr>
            <w:rFonts w:eastAsiaTheme="minorHAnsi" w:cstheme="minorBidi"/>
            <w:noProof/>
            <w:webHidden/>
            <w:sz w:val="16"/>
            <w:szCs w:val="16"/>
          </w:rPr>
          <w:fldChar w:fldCharType="separate"/>
        </w:r>
        <w:r>
          <w:rPr>
            <w:rFonts w:eastAsiaTheme="minorHAnsi" w:cstheme="minorBidi"/>
            <w:noProof/>
            <w:webHidden/>
            <w:sz w:val="16"/>
            <w:szCs w:val="16"/>
          </w:rPr>
          <w:t>44</w:t>
        </w:r>
        <w:r w:rsidR="00EB6BA6" w:rsidRPr="001E2F6E">
          <w:rPr>
            <w:rFonts w:eastAsiaTheme="minorHAnsi" w:cstheme="minorBidi"/>
            <w:noProof/>
            <w:webHidden/>
            <w:sz w:val="16"/>
            <w:szCs w:val="16"/>
          </w:rPr>
          <w:fldChar w:fldCharType="end"/>
        </w:r>
      </w:hyperlink>
    </w:p>
    <w:p w:rsidR="000728A0" w:rsidRPr="001E2F6E" w:rsidRDefault="00A327D4" w:rsidP="00B76DF2">
      <w:pPr>
        <w:pStyle w:val="Tabladeilustraciones"/>
        <w:tabs>
          <w:tab w:val="right" w:leader="dot" w:pos="9072"/>
        </w:tabs>
        <w:spacing w:line="240" w:lineRule="auto"/>
        <w:ind w:left="1134" w:hanging="1134"/>
        <w:rPr>
          <w:rFonts w:eastAsiaTheme="minorHAnsi" w:cstheme="minorBidi"/>
          <w:noProof/>
          <w:sz w:val="16"/>
          <w:szCs w:val="16"/>
        </w:rPr>
      </w:pPr>
      <w:hyperlink w:anchor="_Toc392585741" w:history="1">
        <w:r w:rsidR="000728A0" w:rsidRPr="001E2F6E">
          <w:rPr>
            <w:rFonts w:eastAsiaTheme="minorHAnsi" w:cstheme="minorBidi"/>
            <w:noProof/>
            <w:sz w:val="16"/>
            <w:szCs w:val="16"/>
          </w:rPr>
          <w:t xml:space="preserve">1.6 Taula </w:t>
        </w:r>
        <w:r w:rsidR="00B76DF2" w:rsidRPr="001E2F6E">
          <w:rPr>
            <w:rFonts w:eastAsiaTheme="minorHAnsi" w:cstheme="minorBidi"/>
            <w:noProof/>
            <w:sz w:val="16"/>
            <w:szCs w:val="16"/>
          </w:rPr>
          <w:tab/>
        </w:r>
        <w:r w:rsidR="000728A0" w:rsidRPr="001E2F6E">
          <w:rPr>
            <w:rFonts w:eastAsiaTheme="minorHAnsi" w:cstheme="minorBidi"/>
            <w:noProof/>
            <w:sz w:val="16"/>
            <w:szCs w:val="16"/>
          </w:rPr>
          <w:t>KOOPERATIBA ESTABLEZIMENDU KOPURUAREN BILAKAERA TAMAINAREN ARABERA 2010-2012</w:t>
        </w:r>
        <w:r w:rsidR="000728A0" w:rsidRPr="001E2F6E">
          <w:rPr>
            <w:rFonts w:eastAsiaTheme="minorHAnsi" w:cstheme="minorBidi"/>
            <w:noProof/>
            <w:webHidden/>
            <w:sz w:val="16"/>
            <w:szCs w:val="16"/>
          </w:rPr>
          <w:tab/>
        </w:r>
        <w:r w:rsidR="00EB6BA6" w:rsidRPr="001E2F6E">
          <w:rPr>
            <w:rFonts w:eastAsiaTheme="minorHAnsi" w:cstheme="minorBidi"/>
            <w:noProof/>
            <w:webHidden/>
            <w:sz w:val="16"/>
            <w:szCs w:val="16"/>
          </w:rPr>
          <w:fldChar w:fldCharType="begin"/>
        </w:r>
        <w:r w:rsidR="000728A0" w:rsidRPr="001E2F6E">
          <w:rPr>
            <w:rFonts w:eastAsiaTheme="minorHAnsi" w:cstheme="minorBidi"/>
            <w:noProof/>
            <w:webHidden/>
            <w:sz w:val="16"/>
            <w:szCs w:val="16"/>
          </w:rPr>
          <w:instrText xml:space="preserve"> PAGEREF _Toc392585741 \h </w:instrText>
        </w:r>
        <w:r w:rsidR="00EB6BA6" w:rsidRPr="001E2F6E">
          <w:rPr>
            <w:rFonts w:eastAsiaTheme="minorHAnsi" w:cstheme="minorBidi"/>
            <w:noProof/>
            <w:webHidden/>
            <w:sz w:val="16"/>
            <w:szCs w:val="16"/>
          </w:rPr>
        </w:r>
        <w:r w:rsidR="00EB6BA6" w:rsidRPr="001E2F6E">
          <w:rPr>
            <w:rFonts w:eastAsiaTheme="minorHAnsi" w:cstheme="minorBidi"/>
            <w:noProof/>
            <w:webHidden/>
            <w:sz w:val="16"/>
            <w:szCs w:val="16"/>
          </w:rPr>
          <w:fldChar w:fldCharType="separate"/>
        </w:r>
        <w:r>
          <w:rPr>
            <w:rFonts w:eastAsiaTheme="minorHAnsi" w:cstheme="minorBidi"/>
            <w:noProof/>
            <w:webHidden/>
            <w:sz w:val="16"/>
            <w:szCs w:val="16"/>
          </w:rPr>
          <w:t>45</w:t>
        </w:r>
        <w:r w:rsidR="00EB6BA6" w:rsidRPr="001E2F6E">
          <w:rPr>
            <w:rFonts w:eastAsiaTheme="minorHAnsi" w:cstheme="minorBidi"/>
            <w:noProof/>
            <w:webHidden/>
            <w:sz w:val="16"/>
            <w:szCs w:val="16"/>
          </w:rPr>
          <w:fldChar w:fldCharType="end"/>
        </w:r>
      </w:hyperlink>
    </w:p>
    <w:p w:rsidR="000728A0" w:rsidRPr="001E2F6E" w:rsidRDefault="00A327D4" w:rsidP="00B76DF2">
      <w:pPr>
        <w:pStyle w:val="Tabladeilustraciones"/>
        <w:tabs>
          <w:tab w:val="right" w:leader="dot" w:pos="9072"/>
        </w:tabs>
        <w:spacing w:line="240" w:lineRule="auto"/>
        <w:ind w:left="1134" w:hanging="1134"/>
        <w:rPr>
          <w:rFonts w:eastAsiaTheme="minorHAnsi" w:cstheme="minorBidi"/>
          <w:noProof/>
          <w:sz w:val="16"/>
          <w:szCs w:val="16"/>
        </w:rPr>
      </w:pPr>
      <w:hyperlink w:anchor="_Toc392585742" w:history="1">
        <w:r w:rsidR="000728A0" w:rsidRPr="001E2F6E">
          <w:rPr>
            <w:rFonts w:eastAsiaTheme="minorHAnsi" w:cstheme="minorBidi"/>
            <w:noProof/>
            <w:sz w:val="16"/>
            <w:szCs w:val="16"/>
          </w:rPr>
          <w:t xml:space="preserve">1.7 Taula </w:t>
        </w:r>
        <w:r w:rsidR="00B76DF2" w:rsidRPr="001E2F6E">
          <w:rPr>
            <w:rFonts w:eastAsiaTheme="minorHAnsi" w:cstheme="minorBidi"/>
            <w:noProof/>
            <w:sz w:val="16"/>
            <w:szCs w:val="16"/>
          </w:rPr>
          <w:tab/>
        </w:r>
        <w:r w:rsidR="000728A0" w:rsidRPr="001E2F6E">
          <w:rPr>
            <w:rFonts w:eastAsiaTheme="minorHAnsi" w:cstheme="minorBidi"/>
            <w:noProof/>
            <w:sz w:val="16"/>
            <w:szCs w:val="16"/>
          </w:rPr>
          <w:t>GIZARTE-EKONOMIAREN ETA EAEko EKONOMIAREN ESTABLEZIMENDU/ENPRESEN TAMAINA, ENPLEGUAREN ARABERA 2012ean</w:t>
        </w:r>
        <w:r w:rsidR="000728A0" w:rsidRPr="001E2F6E">
          <w:rPr>
            <w:rFonts w:eastAsiaTheme="minorHAnsi" w:cstheme="minorBidi"/>
            <w:noProof/>
            <w:webHidden/>
            <w:sz w:val="16"/>
            <w:szCs w:val="16"/>
          </w:rPr>
          <w:tab/>
        </w:r>
        <w:r w:rsidR="00EB6BA6" w:rsidRPr="001E2F6E">
          <w:rPr>
            <w:rFonts w:eastAsiaTheme="minorHAnsi" w:cstheme="minorBidi"/>
            <w:noProof/>
            <w:webHidden/>
            <w:sz w:val="16"/>
            <w:szCs w:val="16"/>
          </w:rPr>
          <w:fldChar w:fldCharType="begin"/>
        </w:r>
        <w:r w:rsidR="000728A0" w:rsidRPr="001E2F6E">
          <w:rPr>
            <w:rFonts w:eastAsiaTheme="minorHAnsi" w:cstheme="minorBidi"/>
            <w:noProof/>
            <w:webHidden/>
            <w:sz w:val="16"/>
            <w:szCs w:val="16"/>
          </w:rPr>
          <w:instrText xml:space="preserve"> PAGEREF _Toc392585742 \h </w:instrText>
        </w:r>
        <w:r w:rsidR="00EB6BA6" w:rsidRPr="001E2F6E">
          <w:rPr>
            <w:rFonts w:eastAsiaTheme="minorHAnsi" w:cstheme="minorBidi"/>
            <w:noProof/>
            <w:webHidden/>
            <w:sz w:val="16"/>
            <w:szCs w:val="16"/>
          </w:rPr>
        </w:r>
        <w:r w:rsidR="00EB6BA6" w:rsidRPr="001E2F6E">
          <w:rPr>
            <w:rFonts w:eastAsiaTheme="minorHAnsi" w:cstheme="minorBidi"/>
            <w:noProof/>
            <w:webHidden/>
            <w:sz w:val="16"/>
            <w:szCs w:val="16"/>
          </w:rPr>
          <w:fldChar w:fldCharType="separate"/>
        </w:r>
        <w:r>
          <w:rPr>
            <w:rFonts w:eastAsiaTheme="minorHAnsi" w:cstheme="minorBidi"/>
            <w:noProof/>
            <w:webHidden/>
            <w:sz w:val="16"/>
            <w:szCs w:val="16"/>
          </w:rPr>
          <w:t>45</w:t>
        </w:r>
        <w:r w:rsidR="00EB6BA6" w:rsidRPr="001E2F6E">
          <w:rPr>
            <w:rFonts w:eastAsiaTheme="minorHAnsi" w:cstheme="minorBidi"/>
            <w:noProof/>
            <w:webHidden/>
            <w:sz w:val="16"/>
            <w:szCs w:val="16"/>
          </w:rPr>
          <w:fldChar w:fldCharType="end"/>
        </w:r>
      </w:hyperlink>
    </w:p>
    <w:p w:rsidR="000728A0" w:rsidRPr="001E2F6E" w:rsidRDefault="00A327D4" w:rsidP="00B76DF2">
      <w:pPr>
        <w:pStyle w:val="Tabladeilustraciones"/>
        <w:tabs>
          <w:tab w:val="right" w:leader="dot" w:pos="9072"/>
        </w:tabs>
        <w:spacing w:line="240" w:lineRule="auto"/>
        <w:ind w:left="1134" w:hanging="1134"/>
        <w:rPr>
          <w:rFonts w:eastAsiaTheme="minorHAnsi" w:cstheme="minorBidi"/>
          <w:noProof/>
          <w:sz w:val="16"/>
          <w:szCs w:val="16"/>
        </w:rPr>
      </w:pPr>
      <w:hyperlink w:anchor="_Toc392585743" w:history="1">
        <w:r w:rsidR="000728A0" w:rsidRPr="001E2F6E">
          <w:rPr>
            <w:rFonts w:eastAsiaTheme="minorHAnsi" w:cstheme="minorBidi"/>
            <w:noProof/>
            <w:sz w:val="16"/>
            <w:szCs w:val="16"/>
          </w:rPr>
          <w:t xml:space="preserve">1.8 Taula </w:t>
        </w:r>
        <w:r w:rsidR="00B76DF2" w:rsidRPr="001E2F6E">
          <w:rPr>
            <w:rFonts w:eastAsiaTheme="minorHAnsi" w:cstheme="minorBidi"/>
            <w:noProof/>
            <w:sz w:val="16"/>
            <w:szCs w:val="16"/>
          </w:rPr>
          <w:tab/>
        </w:r>
        <w:r w:rsidR="000728A0" w:rsidRPr="001E2F6E">
          <w:rPr>
            <w:rFonts w:eastAsiaTheme="minorHAnsi" w:cstheme="minorBidi"/>
            <w:noProof/>
            <w:sz w:val="16"/>
            <w:szCs w:val="16"/>
          </w:rPr>
          <w:t>GIZARTE-EKONOMIAREN ALORREKO ENPLEGUAREN ARLOZ ARLOKO BANAKETA. 2010 eta 2012 (zifra absolutuak eta %bertikalak)</w:t>
        </w:r>
        <w:r w:rsidR="000728A0" w:rsidRPr="001E2F6E">
          <w:rPr>
            <w:rFonts w:eastAsiaTheme="minorHAnsi" w:cstheme="minorBidi"/>
            <w:noProof/>
            <w:webHidden/>
            <w:sz w:val="16"/>
            <w:szCs w:val="16"/>
          </w:rPr>
          <w:tab/>
        </w:r>
        <w:r w:rsidR="00EB6BA6" w:rsidRPr="001E2F6E">
          <w:rPr>
            <w:rFonts w:eastAsiaTheme="minorHAnsi" w:cstheme="minorBidi"/>
            <w:noProof/>
            <w:webHidden/>
            <w:sz w:val="16"/>
            <w:szCs w:val="16"/>
          </w:rPr>
          <w:fldChar w:fldCharType="begin"/>
        </w:r>
        <w:r w:rsidR="000728A0" w:rsidRPr="001E2F6E">
          <w:rPr>
            <w:rFonts w:eastAsiaTheme="minorHAnsi" w:cstheme="minorBidi"/>
            <w:noProof/>
            <w:webHidden/>
            <w:sz w:val="16"/>
            <w:szCs w:val="16"/>
          </w:rPr>
          <w:instrText xml:space="preserve"> PAGEREF _Toc392585743 \h </w:instrText>
        </w:r>
        <w:r w:rsidR="00EB6BA6" w:rsidRPr="001E2F6E">
          <w:rPr>
            <w:rFonts w:eastAsiaTheme="minorHAnsi" w:cstheme="minorBidi"/>
            <w:noProof/>
            <w:webHidden/>
            <w:sz w:val="16"/>
            <w:szCs w:val="16"/>
          </w:rPr>
        </w:r>
        <w:r w:rsidR="00EB6BA6" w:rsidRPr="001E2F6E">
          <w:rPr>
            <w:rFonts w:eastAsiaTheme="minorHAnsi" w:cstheme="minorBidi"/>
            <w:noProof/>
            <w:webHidden/>
            <w:sz w:val="16"/>
            <w:szCs w:val="16"/>
          </w:rPr>
          <w:fldChar w:fldCharType="separate"/>
        </w:r>
        <w:r>
          <w:rPr>
            <w:rFonts w:eastAsiaTheme="minorHAnsi" w:cstheme="minorBidi"/>
            <w:noProof/>
            <w:webHidden/>
            <w:sz w:val="16"/>
            <w:szCs w:val="16"/>
          </w:rPr>
          <w:t>46</w:t>
        </w:r>
        <w:r w:rsidR="00EB6BA6" w:rsidRPr="001E2F6E">
          <w:rPr>
            <w:rFonts w:eastAsiaTheme="minorHAnsi" w:cstheme="minorBidi"/>
            <w:noProof/>
            <w:webHidden/>
            <w:sz w:val="16"/>
            <w:szCs w:val="16"/>
          </w:rPr>
          <w:fldChar w:fldCharType="end"/>
        </w:r>
      </w:hyperlink>
    </w:p>
    <w:p w:rsidR="000728A0" w:rsidRPr="001E2F6E" w:rsidRDefault="00A327D4" w:rsidP="00B76DF2">
      <w:pPr>
        <w:pStyle w:val="Tabladeilustraciones"/>
        <w:tabs>
          <w:tab w:val="right" w:leader="dot" w:pos="9072"/>
        </w:tabs>
        <w:spacing w:line="240" w:lineRule="auto"/>
        <w:ind w:left="1134" w:hanging="1134"/>
        <w:rPr>
          <w:rFonts w:eastAsiaTheme="minorHAnsi" w:cstheme="minorBidi"/>
          <w:noProof/>
          <w:sz w:val="16"/>
          <w:szCs w:val="16"/>
        </w:rPr>
      </w:pPr>
      <w:hyperlink w:anchor="_Toc392585744" w:history="1">
        <w:r w:rsidR="000728A0" w:rsidRPr="001E2F6E">
          <w:rPr>
            <w:rFonts w:eastAsiaTheme="minorHAnsi" w:cstheme="minorBidi"/>
            <w:noProof/>
            <w:sz w:val="16"/>
            <w:szCs w:val="16"/>
          </w:rPr>
          <w:t xml:space="preserve">1.9 Taula </w:t>
        </w:r>
        <w:r w:rsidR="00B76DF2" w:rsidRPr="001E2F6E">
          <w:rPr>
            <w:rFonts w:eastAsiaTheme="minorHAnsi" w:cstheme="minorBidi"/>
            <w:noProof/>
            <w:sz w:val="16"/>
            <w:szCs w:val="16"/>
          </w:rPr>
          <w:tab/>
        </w:r>
        <w:r w:rsidR="000728A0" w:rsidRPr="001E2F6E">
          <w:rPr>
            <w:rFonts w:eastAsiaTheme="minorHAnsi" w:cstheme="minorBidi"/>
            <w:noProof/>
            <w:sz w:val="16"/>
            <w:szCs w:val="16"/>
          </w:rPr>
          <w:t>GIZARTE-EKONOMIAREN ENPLEGUAREN EGITURAREN BILAKAERA JARDUERA-ADARREN ARABERA 2010 – 2012 (zifra absolutuak eta %bertikalak)</w:t>
        </w:r>
        <w:r w:rsidR="000728A0" w:rsidRPr="001E2F6E">
          <w:rPr>
            <w:rFonts w:eastAsiaTheme="minorHAnsi" w:cstheme="minorBidi"/>
            <w:noProof/>
            <w:webHidden/>
            <w:sz w:val="16"/>
            <w:szCs w:val="16"/>
          </w:rPr>
          <w:tab/>
        </w:r>
        <w:r w:rsidR="00EB6BA6" w:rsidRPr="001E2F6E">
          <w:rPr>
            <w:rFonts w:eastAsiaTheme="minorHAnsi" w:cstheme="minorBidi"/>
            <w:noProof/>
            <w:webHidden/>
            <w:sz w:val="16"/>
            <w:szCs w:val="16"/>
          </w:rPr>
          <w:fldChar w:fldCharType="begin"/>
        </w:r>
        <w:r w:rsidR="000728A0" w:rsidRPr="001E2F6E">
          <w:rPr>
            <w:rFonts w:eastAsiaTheme="minorHAnsi" w:cstheme="minorBidi"/>
            <w:noProof/>
            <w:webHidden/>
            <w:sz w:val="16"/>
            <w:szCs w:val="16"/>
          </w:rPr>
          <w:instrText xml:space="preserve"> PAGEREF _Toc392585744 \h </w:instrText>
        </w:r>
        <w:r w:rsidR="00EB6BA6" w:rsidRPr="001E2F6E">
          <w:rPr>
            <w:rFonts w:eastAsiaTheme="minorHAnsi" w:cstheme="minorBidi"/>
            <w:noProof/>
            <w:webHidden/>
            <w:sz w:val="16"/>
            <w:szCs w:val="16"/>
          </w:rPr>
        </w:r>
        <w:r w:rsidR="00EB6BA6" w:rsidRPr="001E2F6E">
          <w:rPr>
            <w:rFonts w:eastAsiaTheme="minorHAnsi" w:cstheme="minorBidi"/>
            <w:noProof/>
            <w:webHidden/>
            <w:sz w:val="16"/>
            <w:szCs w:val="16"/>
          </w:rPr>
          <w:fldChar w:fldCharType="separate"/>
        </w:r>
        <w:r>
          <w:rPr>
            <w:rFonts w:eastAsiaTheme="minorHAnsi" w:cstheme="minorBidi"/>
            <w:noProof/>
            <w:webHidden/>
            <w:sz w:val="16"/>
            <w:szCs w:val="16"/>
          </w:rPr>
          <w:t>47</w:t>
        </w:r>
        <w:r w:rsidR="00EB6BA6" w:rsidRPr="001E2F6E">
          <w:rPr>
            <w:rFonts w:eastAsiaTheme="minorHAnsi" w:cstheme="minorBidi"/>
            <w:noProof/>
            <w:webHidden/>
            <w:sz w:val="16"/>
            <w:szCs w:val="16"/>
          </w:rPr>
          <w:fldChar w:fldCharType="end"/>
        </w:r>
      </w:hyperlink>
    </w:p>
    <w:p w:rsidR="000728A0" w:rsidRPr="001E2F6E" w:rsidRDefault="00A327D4" w:rsidP="00B76DF2">
      <w:pPr>
        <w:pStyle w:val="Tabladeilustraciones"/>
        <w:tabs>
          <w:tab w:val="right" w:leader="dot" w:pos="9072"/>
        </w:tabs>
        <w:spacing w:line="240" w:lineRule="auto"/>
        <w:ind w:left="1134" w:hanging="1134"/>
        <w:rPr>
          <w:rFonts w:eastAsiaTheme="minorHAnsi" w:cstheme="minorBidi"/>
          <w:noProof/>
          <w:sz w:val="16"/>
          <w:szCs w:val="16"/>
        </w:rPr>
      </w:pPr>
      <w:hyperlink w:anchor="_Toc392585745" w:history="1">
        <w:r w:rsidR="000728A0" w:rsidRPr="001E2F6E">
          <w:rPr>
            <w:rFonts w:eastAsiaTheme="minorHAnsi" w:cstheme="minorBidi"/>
            <w:noProof/>
            <w:sz w:val="16"/>
            <w:szCs w:val="16"/>
          </w:rPr>
          <w:t xml:space="preserve">1.10 Taula </w:t>
        </w:r>
        <w:r w:rsidR="00B76DF2" w:rsidRPr="001E2F6E">
          <w:rPr>
            <w:rFonts w:eastAsiaTheme="minorHAnsi" w:cstheme="minorBidi"/>
            <w:noProof/>
            <w:sz w:val="16"/>
            <w:szCs w:val="16"/>
          </w:rPr>
          <w:tab/>
        </w:r>
        <w:r w:rsidR="000728A0" w:rsidRPr="001E2F6E">
          <w:rPr>
            <w:rFonts w:eastAsiaTheme="minorHAnsi" w:cstheme="minorBidi"/>
            <w:noProof/>
            <w:sz w:val="16"/>
            <w:szCs w:val="16"/>
          </w:rPr>
          <w:t>GIZARTE-EKONOMIAREN JARDUERAREN ARLOZ ARLOKO BANAKETA, GENEROAREN ARABERA 2012 (%bertikalak)</w:t>
        </w:r>
        <w:r w:rsidR="000728A0" w:rsidRPr="001E2F6E">
          <w:rPr>
            <w:rFonts w:eastAsiaTheme="minorHAnsi" w:cstheme="minorBidi"/>
            <w:noProof/>
            <w:webHidden/>
            <w:sz w:val="16"/>
            <w:szCs w:val="16"/>
          </w:rPr>
          <w:tab/>
        </w:r>
        <w:r w:rsidR="00EB6BA6" w:rsidRPr="001E2F6E">
          <w:rPr>
            <w:rFonts w:eastAsiaTheme="minorHAnsi" w:cstheme="minorBidi"/>
            <w:noProof/>
            <w:webHidden/>
            <w:sz w:val="16"/>
            <w:szCs w:val="16"/>
          </w:rPr>
          <w:fldChar w:fldCharType="begin"/>
        </w:r>
        <w:r w:rsidR="000728A0" w:rsidRPr="001E2F6E">
          <w:rPr>
            <w:rFonts w:eastAsiaTheme="minorHAnsi" w:cstheme="minorBidi"/>
            <w:noProof/>
            <w:webHidden/>
            <w:sz w:val="16"/>
            <w:szCs w:val="16"/>
          </w:rPr>
          <w:instrText xml:space="preserve"> PAGEREF _Toc392585745 \h </w:instrText>
        </w:r>
        <w:r w:rsidR="00EB6BA6" w:rsidRPr="001E2F6E">
          <w:rPr>
            <w:rFonts w:eastAsiaTheme="minorHAnsi" w:cstheme="minorBidi"/>
            <w:noProof/>
            <w:webHidden/>
            <w:sz w:val="16"/>
            <w:szCs w:val="16"/>
          </w:rPr>
        </w:r>
        <w:r w:rsidR="00EB6BA6" w:rsidRPr="001E2F6E">
          <w:rPr>
            <w:rFonts w:eastAsiaTheme="minorHAnsi" w:cstheme="minorBidi"/>
            <w:noProof/>
            <w:webHidden/>
            <w:sz w:val="16"/>
            <w:szCs w:val="16"/>
          </w:rPr>
          <w:fldChar w:fldCharType="separate"/>
        </w:r>
        <w:r>
          <w:rPr>
            <w:rFonts w:eastAsiaTheme="minorHAnsi" w:cstheme="minorBidi"/>
            <w:noProof/>
            <w:webHidden/>
            <w:sz w:val="16"/>
            <w:szCs w:val="16"/>
          </w:rPr>
          <w:t>47</w:t>
        </w:r>
        <w:r w:rsidR="00EB6BA6" w:rsidRPr="001E2F6E">
          <w:rPr>
            <w:rFonts w:eastAsiaTheme="minorHAnsi" w:cstheme="minorBidi"/>
            <w:noProof/>
            <w:webHidden/>
            <w:sz w:val="16"/>
            <w:szCs w:val="16"/>
          </w:rPr>
          <w:fldChar w:fldCharType="end"/>
        </w:r>
      </w:hyperlink>
    </w:p>
    <w:p w:rsidR="000728A0" w:rsidRPr="001E2F6E" w:rsidRDefault="00A327D4" w:rsidP="00B76DF2">
      <w:pPr>
        <w:pStyle w:val="Tabladeilustraciones"/>
        <w:tabs>
          <w:tab w:val="right" w:leader="dot" w:pos="9072"/>
        </w:tabs>
        <w:spacing w:line="240" w:lineRule="auto"/>
        <w:ind w:left="1134" w:hanging="1134"/>
        <w:rPr>
          <w:rFonts w:eastAsiaTheme="minorHAnsi" w:cstheme="minorBidi"/>
          <w:noProof/>
          <w:sz w:val="16"/>
          <w:szCs w:val="16"/>
        </w:rPr>
      </w:pPr>
      <w:hyperlink w:anchor="_Toc392585746" w:history="1">
        <w:r w:rsidR="000728A0" w:rsidRPr="001E2F6E">
          <w:rPr>
            <w:rFonts w:eastAsiaTheme="minorHAnsi" w:cstheme="minorBidi"/>
            <w:noProof/>
            <w:sz w:val="16"/>
            <w:szCs w:val="16"/>
          </w:rPr>
          <w:t xml:space="preserve">1.11 Taula </w:t>
        </w:r>
        <w:r w:rsidR="00B76DF2" w:rsidRPr="001E2F6E">
          <w:rPr>
            <w:rFonts w:eastAsiaTheme="minorHAnsi" w:cstheme="minorBidi"/>
            <w:noProof/>
            <w:sz w:val="16"/>
            <w:szCs w:val="16"/>
          </w:rPr>
          <w:tab/>
        </w:r>
        <w:r w:rsidR="000728A0" w:rsidRPr="001E2F6E">
          <w:rPr>
            <w:rFonts w:eastAsiaTheme="minorHAnsi" w:cstheme="minorBidi"/>
            <w:noProof/>
            <w:sz w:val="16"/>
            <w:szCs w:val="16"/>
          </w:rPr>
          <w:t>EAEko EKONOMIAKO JARDUERAREN ARLOZ ARLOKO BANAKETA, GENEROAREN ARABERA. 2012 (%bertikalak.)</w:t>
        </w:r>
        <w:r w:rsidR="000728A0" w:rsidRPr="001E2F6E">
          <w:rPr>
            <w:rFonts w:eastAsiaTheme="minorHAnsi" w:cstheme="minorBidi"/>
            <w:noProof/>
            <w:webHidden/>
            <w:sz w:val="16"/>
            <w:szCs w:val="16"/>
          </w:rPr>
          <w:tab/>
        </w:r>
        <w:r w:rsidR="00EB6BA6" w:rsidRPr="001E2F6E">
          <w:rPr>
            <w:rFonts w:eastAsiaTheme="minorHAnsi" w:cstheme="minorBidi"/>
            <w:noProof/>
            <w:webHidden/>
            <w:sz w:val="16"/>
            <w:szCs w:val="16"/>
          </w:rPr>
          <w:fldChar w:fldCharType="begin"/>
        </w:r>
        <w:r w:rsidR="000728A0" w:rsidRPr="001E2F6E">
          <w:rPr>
            <w:rFonts w:eastAsiaTheme="minorHAnsi" w:cstheme="minorBidi"/>
            <w:noProof/>
            <w:webHidden/>
            <w:sz w:val="16"/>
            <w:szCs w:val="16"/>
          </w:rPr>
          <w:instrText xml:space="preserve"> PAGEREF _Toc392585746 \h </w:instrText>
        </w:r>
        <w:r w:rsidR="00EB6BA6" w:rsidRPr="001E2F6E">
          <w:rPr>
            <w:rFonts w:eastAsiaTheme="minorHAnsi" w:cstheme="minorBidi"/>
            <w:noProof/>
            <w:webHidden/>
            <w:sz w:val="16"/>
            <w:szCs w:val="16"/>
          </w:rPr>
        </w:r>
        <w:r w:rsidR="00EB6BA6" w:rsidRPr="001E2F6E">
          <w:rPr>
            <w:rFonts w:eastAsiaTheme="minorHAnsi" w:cstheme="minorBidi"/>
            <w:noProof/>
            <w:webHidden/>
            <w:sz w:val="16"/>
            <w:szCs w:val="16"/>
          </w:rPr>
          <w:fldChar w:fldCharType="separate"/>
        </w:r>
        <w:r>
          <w:rPr>
            <w:rFonts w:eastAsiaTheme="minorHAnsi" w:cstheme="minorBidi"/>
            <w:noProof/>
            <w:webHidden/>
            <w:sz w:val="16"/>
            <w:szCs w:val="16"/>
          </w:rPr>
          <w:t>47</w:t>
        </w:r>
        <w:r w:rsidR="00EB6BA6" w:rsidRPr="001E2F6E">
          <w:rPr>
            <w:rFonts w:eastAsiaTheme="minorHAnsi" w:cstheme="minorBidi"/>
            <w:noProof/>
            <w:webHidden/>
            <w:sz w:val="16"/>
            <w:szCs w:val="16"/>
          </w:rPr>
          <w:fldChar w:fldCharType="end"/>
        </w:r>
      </w:hyperlink>
    </w:p>
    <w:p w:rsidR="000728A0" w:rsidRPr="001E2F6E" w:rsidRDefault="00A327D4" w:rsidP="00B76DF2">
      <w:pPr>
        <w:pStyle w:val="Tabladeilustraciones"/>
        <w:tabs>
          <w:tab w:val="right" w:leader="dot" w:pos="9072"/>
        </w:tabs>
        <w:spacing w:line="240" w:lineRule="auto"/>
        <w:ind w:left="1134" w:hanging="1134"/>
        <w:rPr>
          <w:rFonts w:eastAsiaTheme="minorHAnsi" w:cstheme="minorBidi"/>
          <w:noProof/>
          <w:sz w:val="16"/>
          <w:szCs w:val="16"/>
        </w:rPr>
      </w:pPr>
      <w:hyperlink w:anchor="_Toc392585747" w:history="1">
        <w:r w:rsidR="000728A0" w:rsidRPr="001E2F6E">
          <w:rPr>
            <w:rFonts w:eastAsiaTheme="minorHAnsi" w:cstheme="minorBidi"/>
            <w:noProof/>
            <w:sz w:val="16"/>
            <w:szCs w:val="16"/>
          </w:rPr>
          <w:t xml:space="preserve">1.12 Taula </w:t>
        </w:r>
        <w:r w:rsidR="00B76DF2" w:rsidRPr="001E2F6E">
          <w:rPr>
            <w:rFonts w:eastAsiaTheme="minorHAnsi" w:cstheme="minorBidi"/>
            <w:noProof/>
            <w:sz w:val="16"/>
            <w:szCs w:val="16"/>
          </w:rPr>
          <w:tab/>
        </w:r>
        <w:r w:rsidR="000728A0" w:rsidRPr="001E2F6E">
          <w:rPr>
            <w:rFonts w:eastAsiaTheme="minorHAnsi" w:cstheme="minorBidi"/>
            <w:noProof/>
            <w:sz w:val="16"/>
            <w:szCs w:val="16"/>
          </w:rPr>
          <w:t>IZAERA JURIDIKOAREN ARABERAKO BANAKETA, GENEROA KONTUAN HARTUTA</w:t>
        </w:r>
        <w:r w:rsidR="000728A0" w:rsidRPr="001E2F6E">
          <w:rPr>
            <w:rFonts w:eastAsiaTheme="minorHAnsi" w:cstheme="minorBidi"/>
            <w:noProof/>
            <w:webHidden/>
            <w:sz w:val="16"/>
            <w:szCs w:val="16"/>
          </w:rPr>
          <w:tab/>
        </w:r>
        <w:r w:rsidR="00EB6BA6" w:rsidRPr="001E2F6E">
          <w:rPr>
            <w:rFonts w:eastAsiaTheme="minorHAnsi" w:cstheme="minorBidi"/>
            <w:noProof/>
            <w:webHidden/>
            <w:sz w:val="16"/>
            <w:szCs w:val="16"/>
          </w:rPr>
          <w:fldChar w:fldCharType="begin"/>
        </w:r>
        <w:r w:rsidR="000728A0" w:rsidRPr="001E2F6E">
          <w:rPr>
            <w:rFonts w:eastAsiaTheme="minorHAnsi" w:cstheme="minorBidi"/>
            <w:noProof/>
            <w:webHidden/>
            <w:sz w:val="16"/>
            <w:szCs w:val="16"/>
          </w:rPr>
          <w:instrText xml:space="preserve"> PAGEREF _Toc392585747 \h </w:instrText>
        </w:r>
        <w:r w:rsidR="00EB6BA6" w:rsidRPr="001E2F6E">
          <w:rPr>
            <w:rFonts w:eastAsiaTheme="minorHAnsi" w:cstheme="minorBidi"/>
            <w:noProof/>
            <w:webHidden/>
            <w:sz w:val="16"/>
            <w:szCs w:val="16"/>
          </w:rPr>
        </w:r>
        <w:r w:rsidR="00EB6BA6" w:rsidRPr="001E2F6E">
          <w:rPr>
            <w:rFonts w:eastAsiaTheme="minorHAnsi" w:cstheme="minorBidi"/>
            <w:noProof/>
            <w:webHidden/>
            <w:sz w:val="16"/>
            <w:szCs w:val="16"/>
          </w:rPr>
          <w:fldChar w:fldCharType="separate"/>
        </w:r>
        <w:r>
          <w:rPr>
            <w:rFonts w:eastAsiaTheme="minorHAnsi" w:cstheme="minorBidi"/>
            <w:noProof/>
            <w:webHidden/>
            <w:sz w:val="16"/>
            <w:szCs w:val="16"/>
          </w:rPr>
          <w:t>48</w:t>
        </w:r>
        <w:r w:rsidR="00EB6BA6" w:rsidRPr="001E2F6E">
          <w:rPr>
            <w:rFonts w:eastAsiaTheme="minorHAnsi" w:cstheme="minorBidi"/>
            <w:noProof/>
            <w:webHidden/>
            <w:sz w:val="16"/>
            <w:szCs w:val="16"/>
          </w:rPr>
          <w:fldChar w:fldCharType="end"/>
        </w:r>
      </w:hyperlink>
    </w:p>
    <w:p w:rsidR="000728A0" w:rsidRPr="001E2F6E" w:rsidRDefault="00A327D4" w:rsidP="00B76DF2">
      <w:pPr>
        <w:pStyle w:val="Tabladeilustraciones"/>
        <w:tabs>
          <w:tab w:val="right" w:leader="dot" w:pos="9072"/>
        </w:tabs>
        <w:spacing w:line="240" w:lineRule="auto"/>
        <w:ind w:left="1134" w:hanging="1134"/>
        <w:rPr>
          <w:rFonts w:eastAsiaTheme="minorHAnsi" w:cstheme="minorBidi"/>
          <w:noProof/>
          <w:sz w:val="16"/>
          <w:szCs w:val="16"/>
        </w:rPr>
      </w:pPr>
      <w:hyperlink w:anchor="_Toc392585748" w:history="1">
        <w:r w:rsidR="000728A0" w:rsidRPr="001E2F6E">
          <w:rPr>
            <w:rFonts w:eastAsiaTheme="minorHAnsi" w:cstheme="minorBidi"/>
            <w:noProof/>
            <w:sz w:val="16"/>
            <w:szCs w:val="16"/>
          </w:rPr>
          <w:t xml:space="preserve">1.13 Taula </w:t>
        </w:r>
        <w:r w:rsidR="00B76DF2" w:rsidRPr="001E2F6E">
          <w:rPr>
            <w:rFonts w:eastAsiaTheme="minorHAnsi" w:cstheme="minorBidi"/>
            <w:noProof/>
            <w:sz w:val="16"/>
            <w:szCs w:val="16"/>
          </w:rPr>
          <w:tab/>
        </w:r>
        <w:r w:rsidR="000728A0" w:rsidRPr="001E2F6E">
          <w:rPr>
            <w:rFonts w:eastAsiaTheme="minorHAnsi" w:cstheme="minorBidi"/>
            <w:noProof/>
            <w:sz w:val="16"/>
            <w:szCs w:val="16"/>
          </w:rPr>
          <w:t>JARDUERA-SEKTOREAREN ETA GENEROAREN ARABERAKO BANAKETA, GIZARTE-EKONOMIAREN ZUZENDARITZA KONTSEILU ETA ADMINISTRAZIOKO KONTSEILUETAN. 2012 (%bertikalak)</w:t>
        </w:r>
        <w:r w:rsidR="000728A0" w:rsidRPr="001E2F6E">
          <w:rPr>
            <w:rFonts w:eastAsiaTheme="minorHAnsi" w:cstheme="minorBidi"/>
            <w:noProof/>
            <w:webHidden/>
            <w:sz w:val="16"/>
            <w:szCs w:val="16"/>
          </w:rPr>
          <w:tab/>
        </w:r>
        <w:r w:rsidR="00EB6BA6" w:rsidRPr="001E2F6E">
          <w:rPr>
            <w:rFonts w:eastAsiaTheme="minorHAnsi" w:cstheme="minorBidi"/>
            <w:noProof/>
            <w:webHidden/>
            <w:sz w:val="16"/>
            <w:szCs w:val="16"/>
          </w:rPr>
          <w:fldChar w:fldCharType="begin"/>
        </w:r>
        <w:r w:rsidR="000728A0" w:rsidRPr="001E2F6E">
          <w:rPr>
            <w:rFonts w:eastAsiaTheme="minorHAnsi" w:cstheme="minorBidi"/>
            <w:noProof/>
            <w:webHidden/>
            <w:sz w:val="16"/>
            <w:szCs w:val="16"/>
          </w:rPr>
          <w:instrText xml:space="preserve"> PAGEREF _Toc392585748 \h </w:instrText>
        </w:r>
        <w:r w:rsidR="00EB6BA6" w:rsidRPr="001E2F6E">
          <w:rPr>
            <w:rFonts w:eastAsiaTheme="minorHAnsi" w:cstheme="minorBidi"/>
            <w:noProof/>
            <w:webHidden/>
            <w:sz w:val="16"/>
            <w:szCs w:val="16"/>
          </w:rPr>
        </w:r>
        <w:r w:rsidR="00EB6BA6" w:rsidRPr="001E2F6E">
          <w:rPr>
            <w:rFonts w:eastAsiaTheme="minorHAnsi" w:cstheme="minorBidi"/>
            <w:noProof/>
            <w:webHidden/>
            <w:sz w:val="16"/>
            <w:szCs w:val="16"/>
          </w:rPr>
          <w:fldChar w:fldCharType="separate"/>
        </w:r>
        <w:r>
          <w:rPr>
            <w:rFonts w:eastAsiaTheme="minorHAnsi" w:cstheme="minorBidi"/>
            <w:noProof/>
            <w:webHidden/>
            <w:sz w:val="16"/>
            <w:szCs w:val="16"/>
          </w:rPr>
          <w:t>48</w:t>
        </w:r>
        <w:r w:rsidR="00EB6BA6" w:rsidRPr="001E2F6E">
          <w:rPr>
            <w:rFonts w:eastAsiaTheme="minorHAnsi" w:cstheme="minorBidi"/>
            <w:noProof/>
            <w:webHidden/>
            <w:sz w:val="16"/>
            <w:szCs w:val="16"/>
          </w:rPr>
          <w:fldChar w:fldCharType="end"/>
        </w:r>
      </w:hyperlink>
    </w:p>
    <w:p w:rsidR="000728A0" w:rsidRPr="001E2F6E" w:rsidRDefault="00A327D4" w:rsidP="00B76DF2">
      <w:pPr>
        <w:pStyle w:val="Tabladeilustraciones"/>
        <w:tabs>
          <w:tab w:val="right" w:leader="dot" w:pos="9072"/>
        </w:tabs>
        <w:spacing w:line="240" w:lineRule="auto"/>
        <w:ind w:left="1134" w:hanging="1134"/>
        <w:rPr>
          <w:rFonts w:eastAsiaTheme="minorHAnsi" w:cstheme="minorBidi"/>
          <w:noProof/>
          <w:sz w:val="16"/>
          <w:szCs w:val="16"/>
        </w:rPr>
      </w:pPr>
      <w:hyperlink w:anchor="_Toc392585749" w:history="1">
        <w:r w:rsidR="000728A0" w:rsidRPr="001E2F6E">
          <w:rPr>
            <w:rFonts w:eastAsiaTheme="minorHAnsi" w:cstheme="minorBidi"/>
            <w:noProof/>
            <w:sz w:val="16"/>
            <w:szCs w:val="16"/>
          </w:rPr>
          <w:t xml:space="preserve">1.14 Taula </w:t>
        </w:r>
        <w:r w:rsidR="00B76DF2" w:rsidRPr="001E2F6E">
          <w:rPr>
            <w:rFonts w:eastAsiaTheme="minorHAnsi" w:cstheme="minorBidi"/>
            <w:noProof/>
            <w:sz w:val="16"/>
            <w:szCs w:val="16"/>
          </w:rPr>
          <w:tab/>
        </w:r>
        <w:r w:rsidR="000728A0" w:rsidRPr="001E2F6E">
          <w:rPr>
            <w:rFonts w:eastAsiaTheme="minorHAnsi" w:cstheme="minorBidi"/>
            <w:noProof/>
            <w:sz w:val="16"/>
            <w:szCs w:val="16"/>
          </w:rPr>
          <w:t>ENPLEGUAREN ARLOZ ARLOKO BANAKETA, ADINAREN ARABERA  (%horizontalak) 2012</w:t>
        </w:r>
        <w:r w:rsidR="000728A0" w:rsidRPr="001E2F6E">
          <w:rPr>
            <w:rFonts w:eastAsiaTheme="minorHAnsi" w:cstheme="minorBidi"/>
            <w:noProof/>
            <w:webHidden/>
            <w:sz w:val="16"/>
            <w:szCs w:val="16"/>
          </w:rPr>
          <w:tab/>
        </w:r>
        <w:r w:rsidR="00EB6BA6" w:rsidRPr="001E2F6E">
          <w:rPr>
            <w:rFonts w:eastAsiaTheme="minorHAnsi" w:cstheme="minorBidi"/>
            <w:noProof/>
            <w:webHidden/>
            <w:sz w:val="16"/>
            <w:szCs w:val="16"/>
          </w:rPr>
          <w:fldChar w:fldCharType="begin"/>
        </w:r>
        <w:r w:rsidR="000728A0" w:rsidRPr="001E2F6E">
          <w:rPr>
            <w:rFonts w:eastAsiaTheme="minorHAnsi" w:cstheme="minorBidi"/>
            <w:noProof/>
            <w:webHidden/>
            <w:sz w:val="16"/>
            <w:szCs w:val="16"/>
          </w:rPr>
          <w:instrText xml:space="preserve"> PAGEREF _Toc392585749 \h </w:instrText>
        </w:r>
        <w:r w:rsidR="00EB6BA6" w:rsidRPr="001E2F6E">
          <w:rPr>
            <w:rFonts w:eastAsiaTheme="minorHAnsi" w:cstheme="minorBidi"/>
            <w:noProof/>
            <w:webHidden/>
            <w:sz w:val="16"/>
            <w:szCs w:val="16"/>
          </w:rPr>
        </w:r>
        <w:r w:rsidR="00EB6BA6" w:rsidRPr="001E2F6E">
          <w:rPr>
            <w:rFonts w:eastAsiaTheme="minorHAnsi" w:cstheme="minorBidi"/>
            <w:noProof/>
            <w:webHidden/>
            <w:sz w:val="16"/>
            <w:szCs w:val="16"/>
          </w:rPr>
          <w:fldChar w:fldCharType="separate"/>
        </w:r>
        <w:r>
          <w:rPr>
            <w:rFonts w:eastAsiaTheme="minorHAnsi" w:cstheme="minorBidi"/>
            <w:noProof/>
            <w:webHidden/>
            <w:sz w:val="16"/>
            <w:szCs w:val="16"/>
          </w:rPr>
          <w:t>48</w:t>
        </w:r>
        <w:r w:rsidR="00EB6BA6" w:rsidRPr="001E2F6E">
          <w:rPr>
            <w:rFonts w:eastAsiaTheme="minorHAnsi" w:cstheme="minorBidi"/>
            <w:noProof/>
            <w:webHidden/>
            <w:sz w:val="16"/>
            <w:szCs w:val="16"/>
          </w:rPr>
          <w:fldChar w:fldCharType="end"/>
        </w:r>
      </w:hyperlink>
    </w:p>
    <w:p w:rsidR="000728A0" w:rsidRPr="001E2F6E" w:rsidRDefault="00A327D4" w:rsidP="00B76DF2">
      <w:pPr>
        <w:pStyle w:val="Tabladeilustraciones"/>
        <w:tabs>
          <w:tab w:val="right" w:leader="dot" w:pos="9072"/>
        </w:tabs>
        <w:spacing w:line="240" w:lineRule="auto"/>
        <w:ind w:left="1134" w:hanging="1134"/>
        <w:rPr>
          <w:rFonts w:eastAsiaTheme="minorHAnsi" w:cstheme="minorBidi"/>
          <w:noProof/>
          <w:sz w:val="16"/>
          <w:szCs w:val="16"/>
        </w:rPr>
      </w:pPr>
      <w:hyperlink w:anchor="_Toc392585750" w:history="1">
        <w:r w:rsidR="000728A0" w:rsidRPr="001E2F6E">
          <w:rPr>
            <w:rFonts w:eastAsiaTheme="minorHAnsi" w:cstheme="minorBidi"/>
            <w:noProof/>
            <w:sz w:val="16"/>
            <w:szCs w:val="16"/>
          </w:rPr>
          <w:t xml:space="preserve">1.15 Taula </w:t>
        </w:r>
        <w:r w:rsidR="00B76DF2" w:rsidRPr="001E2F6E">
          <w:rPr>
            <w:rFonts w:eastAsiaTheme="minorHAnsi" w:cstheme="minorBidi"/>
            <w:noProof/>
            <w:sz w:val="16"/>
            <w:szCs w:val="16"/>
          </w:rPr>
          <w:tab/>
        </w:r>
        <w:r w:rsidR="000728A0" w:rsidRPr="001E2F6E">
          <w:rPr>
            <w:rFonts w:eastAsiaTheme="minorHAnsi" w:cstheme="minorBidi"/>
            <w:noProof/>
            <w:sz w:val="16"/>
            <w:szCs w:val="16"/>
          </w:rPr>
          <w:t>ENPLEGUAREN BANAKETA ADINAREN ETA FORMA JURIDIKOAREN ARABERA (% horizontalak). 2012</w:t>
        </w:r>
        <w:r w:rsidR="000728A0" w:rsidRPr="001E2F6E">
          <w:rPr>
            <w:rFonts w:eastAsiaTheme="minorHAnsi" w:cstheme="minorBidi"/>
            <w:noProof/>
            <w:webHidden/>
            <w:sz w:val="16"/>
            <w:szCs w:val="16"/>
          </w:rPr>
          <w:tab/>
        </w:r>
        <w:r w:rsidR="00EB6BA6" w:rsidRPr="001E2F6E">
          <w:rPr>
            <w:rFonts w:eastAsiaTheme="minorHAnsi" w:cstheme="minorBidi"/>
            <w:noProof/>
            <w:webHidden/>
            <w:sz w:val="16"/>
            <w:szCs w:val="16"/>
          </w:rPr>
          <w:fldChar w:fldCharType="begin"/>
        </w:r>
        <w:r w:rsidR="000728A0" w:rsidRPr="001E2F6E">
          <w:rPr>
            <w:rFonts w:eastAsiaTheme="minorHAnsi" w:cstheme="minorBidi"/>
            <w:noProof/>
            <w:webHidden/>
            <w:sz w:val="16"/>
            <w:szCs w:val="16"/>
          </w:rPr>
          <w:instrText xml:space="preserve"> PAGEREF _Toc392585750 \h </w:instrText>
        </w:r>
        <w:r w:rsidR="00EB6BA6" w:rsidRPr="001E2F6E">
          <w:rPr>
            <w:rFonts w:eastAsiaTheme="minorHAnsi" w:cstheme="minorBidi"/>
            <w:noProof/>
            <w:webHidden/>
            <w:sz w:val="16"/>
            <w:szCs w:val="16"/>
          </w:rPr>
        </w:r>
        <w:r w:rsidR="00EB6BA6" w:rsidRPr="001E2F6E">
          <w:rPr>
            <w:rFonts w:eastAsiaTheme="minorHAnsi" w:cstheme="minorBidi"/>
            <w:noProof/>
            <w:webHidden/>
            <w:sz w:val="16"/>
            <w:szCs w:val="16"/>
          </w:rPr>
          <w:fldChar w:fldCharType="separate"/>
        </w:r>
        <w:r>
          <w:rPr>
            <w:rFonts w:eastAsiaTheme="minorHAnsi" w:cstheme="minorBidi"/>
            <w:noProof/>
            <w:webHidden/>
            <w:sz w:val="16"/>
            <w:szCs w:val="16"/>
          </w:rPr>
          <w:t>48</w:t>
        </w:r>
        <w:r w:rsidR="00EB6BA6" w:rsidRPr="001E2F6E">
          <w:rPr>
            <w:rFonts w:eastAsiaTheme="minorHAnsi" w:cstheme="minorBidi"/>
            <w:noProof/>
            <w:webHidden/>
            <w:sz w:val="16"/>
            <w:szCs w:val="16"/>
          </w:rPr>
          <w:fldChar w:fldCharType="end"/>
        </w:r>
      </w:hyperlink>
    </w:p>
    <w:p w:rsidR="000728A0" w:rsidRPr="001E2F6E" w:rsidRDefault="00A327D4" w:rsidP="00B76DF2">
      <w:pPr>
        <w:pStyle w:val="Tabladeilustraciones"/>
        <w:tabs>
          <w:tab w:val="right" w:leader="dot" w:pos="9072"/>
        </w:tabs>
        <w:spacing w:line="240" w:lineRule="auto"/>
        <w:ind w:left="1134" w:hanging="1134"/>
        <w:rPr>
          <w:rFonts w:eastAsiaTheme="minorHAnsi" w:cstheme="minorBidi"/>
          <w:noProof/>
          <w:sz w:val="16"/>
          <w:szCs w:val="16"/>
        </w:rPr>
      </w:pPr>
      <w:hyperlink w:anchor="_Toc392585751" w:history="1">
        <w:r w:rsidR="000728A0" w:rsidRPr="001E2F6E">
          <w:rPr>
            <w:rFonts w:eastAsiaTheme="minorHAnsi" w:cstheme="minorBidi"/>
            <w:noProof/>
            <w:sz w:val="16"/>
            <w:szCs w:val="16"/>
          </w:rPr>
          <w:t xml:space="preserve">1.16 Taula </w:t>
        </w:r>
        <w:r w:rsidR="00B76DF2" w:rsidRPr="001E2F6E">
          <w:rPr>
            <w:rFonts w:eastAsiaTheme="minorHAnsi" w:cstheme="minorBidi"/>
            <w:noProof/>
            <w:sz w:val="16"/>
            <w:szCs w:val="16"/>
          </w:rPr>
          <w:tab/>
        </w:r>
        <w:r w:rsidR="000728A0" w:rsidRPr="001E2F6E">
          <w:rPr>
            <w:rFonts w:eastAsiaTheme="minorHAnsi" w:cstheme="minorBidi"/>
            <w:noProof/>
            <w:sz w:val="16"/>
            <w:szCs w:val="16"/>
          </w:rPr>
          <w:t>ENPLEGUAREN BANAKETA, KONTRATU BIDEZKO HARREMANETAN ETA ESTABLEZIMENDUAREN FORMA JURIDIKOAREN ARABERA. 2012 (% horizontalak)</w:t>
        </w:r>
        <w:r w:rsidR="000728A0" w:rsidRPr="001E2F6E">
          <w:rPr>
            <w:rFonts w:eastAsiaTheme="minorHAnsi" w:cstheme="minorBidi"/>
            <w:noProof/>
            <w:webHidden/>
            <w:sz w:val="16"/>
            <w:szCs w:val="16"/>
          </w:rPr>
          <w:tab/>
        </w:r>
        <w:r w:rsidR="00EB6BA6" w:rsidRPr="001E2F6E">
          <w:rPr>
            <w:rFonts w:eastAsiaTheme="minorHAnsi" w:cstheme="minorBidi"/>
            <w:noProof/>
            <w:webHidden/>
            <w:sz w:val="16"/>
            <w:szCs w:val="16"/>
          </w:rPr>
          <w:fldChar w:fldCharType="begin"/>
        </w:r>
        <w:r w:rsidR="000728A0" w:rsidRPr="001E2F6E">
          <w:rPr>
            <w:rFonts w:eastAsiaTheme="minorHAnsi" w:cstheme="minorBidi"/>
            <w:noProof/>
            <w:webHidden/>
            <w:sz w:val="16"/>
            <w:szCs w:val="16"/>
          </w:rPr>
          <w:instrText xml:space="preserve"> PAGEREF _Toc392585751 \h </w:instrText>
        </w:r>
        <w:r w:rsidR="00EB6BA6" w:rsidRPr="001E2F6E">
          <w:rPr>
            <w:rFonts w:eastAsiaTheme="minorHAnsi" w:cstheme="minorBidi"/>
            <w:noProof/>
            <w:webHidden/>
            <w:sz w:val="16"/>
            <w:szCs w:val="16"/>
          </w:rPr>
        </w:r>
        <w:r w:rsidR="00EB6BA6" w:rsidRPr="001E2F6E">
          <w:rPr>
            <w:rFonts w:eastAsiaTheme="minorHAnsi" w:cstheme="minorBidi"/>
            <w:noProof/>
            <w:webHidden/>
            <w:sz w:val="16"/>
            <w:szCs w:val="16"/>
          </w:rPr>
          <w:fldChar w:fldCharType="separate"/>
        </w:r>
        <w:r>
          <w:rPr>
            <w:rFonts w:eastAsiaTheme="minorHAnsi" w:cstheme="minorBidi"/>
            <w:noProof/>
            <w:webHidden/>
            <w:sz w:val="16"/>
            <w:szCs w:val="16"/>
          </w:rPr>
          <w:t>48</w:t>
        </w:r>
        <w:r w:rsidR="00EB6BA6" w:rsidRPr="001E2F6E">
          <w:rPr>
            <w:rFonts w:eastAsiaTheme="minorHAnsi" w:cstheme="minorBidi"/>
            <w:noProof/>
            <w:webHidden/>
            <w:sz w:val="16"/>
            <w:szCs w:val="16"/>
          </w:rPr>
          <w:fldChar w:fldCharType="end"/>
        </w:r>
      </w:hyperlink>
    </w:p>
    <w:p w:rsidR="000728A0" w:rsidRPr="001E2F6E" w:rsidRDefault="00A327D4" w:rsidP="00B76DF2">
      <w:pPr>
        <w:pStyle w:val="Tabladeilustraciones"/>
        <w:tabs>
          <w:tab w:val="right" w:leader="dot" w:pos="9072"/>
        </w:tabs>
        <w:spacing w:line="240" w:lineRule="auto"/>
        <w:ind w:left="1134" w:hanging="1134"/>
        <w:rPr>
          <w:rFonts w:eastAsiaTheme="minorHAnsi" w:cstheme="minorBidi"/>
          <w:noProof/>
          <w:sz w:val="16"/>
          <w:szCs w:val="16"/>
        </w:rPr>
      </w:pPr>
      <w:hyperlink w:anchor="_Toc392585752" w:history="1">
        <w:r w:rsidR="000728A0" w:rsidRPr="001E2F6E">
          <w:rPr>
            <w:rFonts w:eastAsiaTheme="minorHAnsi" w:cstheme="minorBidi"/>
            <w:noProof/>
            <w:sz w:val="16"/>
            <w:szCs w:val="16"/>
          </w:rPr>
          <w:t xml:space="preserve">1.17 Taula </w:t>
        </w:r>
        <w:r w:rsidR="00B76DF2" w:rsidRPr="001E2F6E">
          <w:rPr>
            <w:rFonts w:eastAsiaTheme="minorHAnsi" w:cstheme="minorBidi"/>
            <w:noProof/>
            <w:sz w:val="16"/>
            <w:szCs w:val="16"/>
          </w:rPr>
          <w:tab/>
        </w:r>
        <w:r w:rsidR="000728A0" w:rsidRPr="001E2F6E">
          <w:rPr>
            <w:rFonts w:eastAsiaTheme="minorHAnsi" w:cstheme="minorBidi"/>
            <w:noProof/>
            <w:sz w:val="16"/>
            <w:szCs w:val="16"/>
          </w:rPr>
          <w:t>ENPLEGU-BANAKETA FORMA JURIDIKOAREN ETA KONTRATU-MOTAREN ARABERA EAE-KO GIZARTE EKONOMIAN, 2006-2012 (kopuru absolutuak)</w:t>
        </w:r>
        <w:r w:rsidR="000728A0" w:rsidRPr="001E2F6E">
          <w:rPr>
            <w:rFonts w:eastAsiaTheme="minorHAnsi" w:cstheme="minorBidi"/>
            <w:noProof/>
            <w:webHidden/>
            <w:sz w:val="16"/>
            <w:szCs w:val="16"/>
          </w:rPr>
          <w:tab/>
        </w:r>
        <w:r w:rsidR="00EB6BA6" w:rsidRPr="001E2F6E">
          <w:rPr>
            <w:rFonts w:eastAsiaTheme="minorHAnsi" w:cstheme="minorBidi"/>
            <w:noProof/>
            <w:webHidden/>
            <w:sz w:val="16"/>
            <w:szCs w:val="16"/>
          </w:rPr>
          <w:fldChar w:fldCharType="begin"/>
        </w:r>
        <w:r w:rsidR="000728A0" w:rsidRPr="001E2F6E">
          <w:rPr>
            <w:rFonts w:eastAsiaTheme="minorHAnsi" w:cstheme="minorBidi"/>
            <w:noProof/>
            <w:webHidden/>
            <w:sz w:val="16"/>
            <w:szCs w:val="16"/>
          </w:rPr>
          <w:instrText xml:space="preserve"> PAGEREF _Toc392585752 \h </w:instrText>
        </w:r>
        <w:r w:rsidR="00EB6BA6" w:rsidRPr="001E2F6E">
          <w:rPr>
            <w:rFonts w:eastAsiaTheme="minorHAnsi" w:cstheme="minorBidi"/>
            <w:noProof/>
            <w:webHidden/>
            <w:sz w:val="16"/>
            <w:szCs w:val="16"/>
          </w:rPr>
        </w:r>
        <w:r w:rsidR="00EB6BA6" w:rsidRPr="001E2F6E">
          <w:rPr>
            <w:rFonts w:eastAsiaTheme="minorHAnsi" w:cstheme="minorBidi"/>
            <w:noProof/>
            <w:webHidden/>
            <w:sz w:val="16"/>
            <w:szCs w:val="16"/>
          </w:rPr>
          <w:fldChar w:fldCharType="separate"/>
        </w:r>
        <w:r>
          <w:rPr>
            <w:rFonts w:eastAsiaTheme="minorHAnsi" w:cstheme="minorBidi"/>
            <w:noProof/>
            <w:webHidden/>
            <w:sz w:val="16"/>
            <w:szCs w:val="16"/>
          </w:rPr>
          <w:t>49</w:t>
        </w:r>
        <w:r w:rsidR="00EB6BA6" w:rsidRPr="001E2F6E">
          <w:rPr>
            <w:rFonts w:eastAsiaTheme="minorHAnsi" w:cstheme="minorBidi"/>
            <w:noProof/>
            <w:webHidden/>
            <w:sz w:val="16"/>
            <w:szCs w:val="16"/>
          </w:rPr>
          <w:fldChar w:fldCharType="end"/>
        </w:r>
      </w:hyperlink>
    </w:p>
    <w:p w:rsidR="000728A0" w:rsidRPr="001E2F6E" w:rsidRDefault="00A327D4" w:rsidP="00B76DF2">
      <w:pPr>
        <w:pStyle w:val="Tabladeilustraciones"/>
        <w:tabs>
          <w:tab w:val="right" w:leader="dot" w:pos="9072"/>
        </w:tabs>
        <w:spacing w:line="240" w:lineRule="auto"/>
        <w:ind w:left="1134" w:hanging="1134"/>
        <w:rPr>
          <w:rFonts w:eastAsiaTheme="minorHAnsi" w:cstheme="minorBidi"/>
          <w:noProof/>
          <w:sz w:val="16"/>
          <w:szCs w:val="16"/>
        </w:rPr>
      </w:pPr>
      <w:hyperlink w:anchor="_Toc392585753" w:history="1">
        <w:r w:rsidR="000728A0" w:rsidRPr="001E2F6E">
          <w:rPr>
            <w:rFonts w:eastAsiaTheme="minorHAnsi" w:cstheme="minorBidi"/>
            <w:noProof/>
            <w:sz w:val="16"/>
            <w:szCs w:val="16"/>
          </w:rPr>
          <w:t xml:space="preserve">1.18 Taula </w:t>
        </w:r>
        <w:r w:rsidR="00B76DF2" w:rsidRPr="001E2F6E">
          <w:rPr>
            <w:rFonts w:eastAsiaTheme="minorHAnsi" w:cstheme="minorBidi"/>
            <w:noProof/>
            <w:sz w:val="16"/>
            <w:szCs w:val="16"/>
          </w:rPr>
          <w:tab/>
        </w:r>
        <w:r w:rsidR="000728A0" w:rsidRPr="001E2F6E">
          <w:rPr>
            <w:rFonts w:eastAsiaTheme="minorHAnsi" w:cstheme="minorBidi"/>
            <w:noProof/>
            <w:sz w:val="16"/>
            <w:szCs w:val="16"/>
          </w:rPr>
          <w:t>EAE-ko GIZARTE-EKONOMIAKO ENPLEGUAREN BANAKETA FORMA JURIDIKOA ETA KONTRATU MOTAREN ARABERA</w:t>
        </w:r>
        <w:r w:rsidR="000728A0" w:rsidRPr="001E2F6E">
          <w:rPr>
            <w:rFonts w:eastAsiaTheme="minorHAnsi" w:cstheme="minorBidi"/>
            <w:noProof/>
            <w:webHidden/>
            <w:sz w:val="16"/>
            <w:szCs w:val="16"/>
          </w:rPr>
          <w:tab/>
        </w:r>
        <w:r w:rsidR="00EB6BA6" w:rsidRPr="001E2F6E">
          <w:rPr>
            <w:rFonts w:eastAsiaTheme="minorHAnsi" w:cstheme="minorBidi"/>
            <w:noProof/>
            <w:webHidden/>
            <w:sz w:val="16"/>
            <w:szCs w:val="16"/>
          </w:rPr>
          <w:fldChar w:fldCharType="begin"/>
        </w:r>
        <w:r w:rsidR="000728A0" w:rsidRPr="001E2F6E">
          <w:rPr>
            <w:rFonts w:eastAsiaTheme="minorHAnsi" w:cstheme="minorBidi"/>
            <w:noProof/>
            <w:webHidden/>
            <w:sz w:val="16"/>
            <w:szCs w:val="16"/>
          </w:rPr>
          <w:instrText xml:space="preserve"> PAGEREF _Toc392585753 \h </w:instrText>
        </w:r>
        <w:r w:rsidR="00EB6BA6" w:rsidRPr="001E2F6E">
          <w:rPr>
            <w:rFonts w:eastAsiaTheme="minorHAnsi" w:cstheme="minorBidi"/>
            <w:noProof/>
            <w:webHidden/>
            <w:sz w:val="16"/>
            <w:szCs w:val="16"/>
          </w:rPr>
        </w:r>
        <w:r w:rsidR="00EB6BA6" w:rsidRPr="001E2F6E">
          <w:rPr>
            <w:rFonts w:eastAsiaTheme="minorHAnsi" w:cstheme="minorBidi"/>
            <w:noProof/>
            <w:webHidden/>
            <w:sz w:val="16"/>
            <w:szCs w:val="16"/>
          </w:rPr>
          <w:fldChar w:fldCharType="separate"/>
        </w:r>
        <w:r>
          <w:rPr>
            <w:rFonts w:eastAsiaTheme="minorHAnsi" w:cstheme="minorBidi"/>
            <w:noProof/>
            <w:webHidden/>
            <w:sz w:val="16"/>
            <w:szCs w:val="16"/>
          </w:rPr>
          <w:t>49</w:t>
        </w:r>
        <w:r w:rsidR="00EB6BA6" w:rsidRPr="001E2F6E">
          <w:rPr>
            <w:rFonts w:eastAsiaTheme="minorHAnsi" w:cstheme="minorBidi"/>
            <w:noProof/>
            <w:webHidden/>
            <w:sz w:val="16"/>
            <w:szCs w:val="16"/>
          </w:rPr>
          <w:fldChar w:fldCharType="end"/>
        </w:r>
      </w:hyperlink>
    </w:p>
    <w:p w:rsidR="000728A0" w:rsidRPr="001E2F6E" w:rsidRDefault="00A327D4" w:rsidP="00B76DF2">
      <w:pPr>
        <w:pStyle w:val="Tabladeilustraciones"/>
        <w:tabs>
          <w:tab w:val="right" w:leader="dot" w:pos="9072"/>
        </w:tabs>
        <w:spacing w:line="240" w:lineRule="auto"/>
        <w:ind w:left="1134" w:hanging="1134"/>
        <w:rPr>
          <w:rFonts w:eastAsiaTheme="minorHAnsi" w:cstheme="minorBidi"/>
          <w:noProof/>
          <w:sz w:val="16"/>
          <w:szCs w:val="16"/>
        </w:rPr>
      </w:pPr>
      <w:hyperlink w:anchor="_Toc392585754" w:history="1">
        <w:r w:rsidR="000728A0" w:rsidRPr="001E2F6E">
          <w:rPr>
            <w:rFonts w:eastAsiaTheme="minorHAnsi" w:cstheme="minorBidi"/>
            <w:noProof/>
            <w:sz w:val="16"/>
            <w:szCs w:val="16"/>
          </w:rPr>
          <w:t xml:space="preserve">1.19 Taula </w:t>
        </w:r>
        <w:r w:rsidR="00B76DF2" w:rsidRPr="001E2F6E">
          <w:rPr>
            <w:rFonts w:eastAsiaTheme="minorHAnsi" w:cstheme="minorBidi"/>
            <w:noProof/>
            <w:sz w:val="16"/>
            <w:szCs w:val="16"/>
          </w:rPr>
          <w:tab/>
        </w:r>
        <w:r w:rsidR="000728A0" w:rsidRPr="001E2F6E">
          <w:rPr>
            <w:rFonts w:eastAsiaTheme="minorHAnsi" w:cstheme="minorBidi"/>
            <w:noProof/>
            <w:sz w:val="16"/>
            <w:szCs w:val="16"/>
          </w:rPr>
          <w:t>ENPLEGUAREN BANAKETA KONTRATU BIDEZKO HARREMANETAN ETA ESTABLEZIMENDUAREN JARDUERA-SEKTOREAREN ARABERA. 2012 (% horizontalak)</w:t>
        </w:r>
        <w:r w:rsidR="000728A0" w:rsidRPr="001E2F6E">
          <w:rPr>
            <w:rFonts w:eastAsiaTheme="minorHAnsi" w:cstheme="minorBidi"/>
            <w:noProof/>
            <w:webHidden/>
            <w:sz w:val="16"/>
            <w:szCs w:val="16"/>
          </w:rPr>
          <w:tab/>
        </w:r>
        <w:r w:rsidR="00EB6BA6" w:rsidRPr="001E2F6E">
          <w:rPr>
            <w:rFonts w:eastAsiaTheme="minorHAnsi" w:cstheme="minorBidi"/>
            <w:noProof/>
            <w:webHidden/>
            <w:sz w:val="16"/>
            <w:szCs w:val="16"/>
          </w:rPr>
          <w:fldChar w:fldCharType="begin"/>
        </w:r>
        <w:r w:rsidR="000728A0" w:rsidRPr="001E2F6E">
          <w:rPr>
            <w:rFonts w:eastAsiaTheme="minorHAnsi" w:cstheme="minorBidi"/>
            <w:noProof/>
            <w:webHidden/>
            <w:sz w:val="16"/>
            <w:szCs w:val="16"/>
          </w:rPr>
          <w:instrText xml:space="preserve"> PAGEREF _Toc392585754 \h </w:instrText>
        </w:r>
        <w:r w:rsidR="00EB6BA6" w:rsidRPr="001E2F6E">
          <w:rPr>
            <w:rFonts w:eastAsiaTheme="minorHAnsi" w:cstheme="minorBidi"/>
            <w:noProof/>
            <w:webHidden/>
            <w:sz w:val="16"/>
            <w:szCs w:val="16"/>
          </w:rPr>
        </w:r>
        <w:r w:rsidR="00EB6BA6" w:rsidRPr="001E2F6E">
          <w:rPr>
            <w:rFonts w:eastAsiaTheme="minorHAnsi" w:cstheme="minorBidi"/>
            <w:noProof/>
            <w:webHidden/>
            <w:sz w:val="16"/>
            <w:szCs w:val="16"/>
          </w:rPr>
          <w:fldChar w:fldCharType="separate"/>
        </w:r>
        <w:r>
          <w:rPr>
            <w:rFonts w:eastAsiaTheme="minorHAnsi" w:cstheme="minorBidi"/>
            <w:noProof/>
            <w:webHidden/>
            <w:sz w:val="16"/>
            <w:szCs w:val="16"/>
          </w:rPr>
          <w:t>50</w:t>
        </w:r>
        <w:r w:rsidR="00EB6BA6" w:rsidRPr="001E2F6E">
          <w:rPr>
            <w:rFonts w:eastAsiaTheme="minorHAnsi" w:cstheme="minorBidi"/>
            <w:noProof/>
            <w:webHidden/>
            <w:sz w:val="16"/>
            <w:szCs w:val="16"/>
          </w:rPr>
          <w:fldChar w:fldCharType="end"/>
        </w:r>
      </w:hyperlink>
    </w:p>
    <w:p w:rsidR="000728A0" w:rsidRPr="001E2F6E" w:rsidRDefault="00A327D4" w:rsidP="00B76DF2">
      <w:pPr>
        <w:pStyle w:val="Tabladeilustraciones"/>
        <w:tabs>
          <w:tab w:val="right" w:leader="dot" w:pos="9072"/>
        </w:tabs>
        <w:spacing w:line="240" w:lineRule="auto"/>
        <w:ind w:left="1134" w:hanging="1134"/>
        <w:rPr>
          <w:rFonts w:eastAsiaTheme="minorHAnsi" w:cstheme="minorBidi"/>
          <w:noProof/>
          <w:sz w:val="16"/>
          <w:szCs w:val="16"/>
        </w:rPr>
      </w:pPr>
      <w:hyperlink w:anchor="_Toc392585755" w:history="1">
        <w:r w:rsidR="000728A0" w:rsidRPr="001E2F6E">
          <w:rPr>
            <w:rFonts w:eastAsiaTheme="minorHAnsi" w:cstheme="minorBidi"/>
            <w:noProof/>
            <w:sz w:val="16"/>
            <w:szCs w:val="16"/>
          </w:rPr>
          <w:t xml:space="preserve">1.20 Taula </w:t>
        </w:r>
        <w:r w:rsidR="00B76DF2" w:rsidRPr="001E2F6E">
          <w:rPr>
            <w:rFonts w:eastAsiaTheme="minorHAnsi" w:cstheme="minorBidi"/>
            <w:noProof/>
            <w:sz w:val="16"/>
            <w:szCs w:val="16"/>
          </w:rPr>
          <w:tab/>
        </w:r>
        <w:r w:rsidR="000728A0" w:rsidRPr="001E2F6E">
          <w:rPr>
            <w:rFonts w:eastAsiaTheme="minorHAnsi" w:cstheme="minorBidi"/>
            <w:noProof/>
            <w:sz w:val="16"/>
            <w:szCs w:val="16"/>
          </w:rPr>
          <w:t>BEGd-aren ARLOZ ARLOKO HAZKUNDEA 2010-2012 epean (Ohiko prezioak)</w:t>
        </w:r>
        <w:r w:rsidR="000728A0" w:rsidRPr="001E2F6E">
          <w:rPr>
            <w:rFonts w:eastAsiaTheme="minorHAnsi" w:cstheme="minorBidi"/>
            <w:noProof/>
            <w:webHidden/>
            <w:sz w:val="16"/>
            <w:szCs w:val="16"/>
          </w:rPr>
          <w:tab/>
        </w:r>
        <w:r w:rsidR="00EB6BA6" w:rsidRPr="001E2F6E">
          <w:rPr>
            <w:rFonts w:eastAsiaTheme="minorHAnsi" w:cstheme="minorBidi"/>
            <w:noProof/>
            <w:webHidden/>
            <w:sz w:val="16"/>
            <w:szCs w:val="16"/>
          </w:rPr>
          <w:fldChar w:fldCharType="begin"/>
        </w:r>
        <w:r w:rsidR="000728A0" w:rsidRPr="001E2F6E">
          <w:rPr>
            <w:rFonts w:eastAsiaTheme="minorHAnsi" w:cstheme="minorBidi"/>
            <w:noProof/>
            <w:webHidden/>
            <w:sz w:val="16"/>
            <w:szCs w:val="16"/>
          </w:rPr>
          <w:instrText xml:space="preserve"> PAGEREF _Toc392585755 \h </w:instrText>
        </w:r>
        <w:r w:rsidR="00EB6BA6" w:rsidRPr="001E2F6E">
          <w:rPr>
            <w:rFonts w:eastAsiaTheme="minorHAnsi" w:cstheme="minorBidi"/>
            <w:noProof/>
            <w:webHidden/>
            <w:sz w:val="16"/>
            <w:szCs w:val="16"/>
          </w:rPr>
        </w:r>
        <w:r w:rsidR="00EB6BA6" w:rsidRPr="001E2F6E">
          <w:rPr>
            <w:rFonts w:eastAsiaTheme="minorHAnsi" w:cstheme="minorBidi"/>
            <w:noProof/>
            <w:webHidden/>
            <w:sz w:val="16"/>
            <w:szCs w:val="16"/>
          </w:rPr>
          <w:fldChar w:fldCharType="separate"/>
        </w:r>
        <w:r>
          <w:rPr>
            <w:rFonts w:eastAsiaTheme="minorHAnsi" w:cstheme="minorBidi"/>
            <w:noProof/>
            <w:webHidden/>
            <w:sz w:val="16"/>
            <w:szCs w:val="16"/>
          </w:rPr>
          <w:t>50</w:t>
        </w:r>
        <w:r w:rsidR="00EB6BA6" w:rsidRPr="001E2F6E">
          <w:rPr>
            <w:rFonts w:eastAsiaTheme="minorHAnsi" w:cstheme="minorBidi"/>
            <w:noProof/>
            <w:webHidden/>
            <w:sz w:val="16"/>
            <w:szCs w:val="16"/>
          </w:rPr>
          <w:fldChar w:fldCharType="end"/>
        </w:r>
      </w:hyperlink>
    </w:p>
    <w:p w:rsidR="000728A0" w:rsidRPr="001E2F6E" w:rsidRDefault="00A327D4" w:rsidP="00B76DF2">
      <w:pPr>
        <w:pStyle w:val="Tabladeilustraciones"/>
        <w:tabs>
          <w:tab w:val="right" w:leader="dot" w:pos="9072"/>
        </w:tabs>
        <w:spacing w:line="240" w:lineRule="auto"/>
        <w:ind w:left="1134" w:hanging="1134"/>
        <w:rPr>
          <w:rFonts w:eastAsiaTheme="minorHAnsi" w:cstheme="minorBidi"/>
          <w:noProof/>
          <w:sz w:val="16"/>
          <w:szCs w:val="16"/>
        </w:rPr>
      </w:pPr>
      <w:hyperlink w:anchor="_Toc392585756" w:history="1">
        <w:r w:rsidR="000728A0" w:rsidRPr="001E2F6E">
          <w:rPr>
            <w:rFonts w:eastAsiaTheme="minorHAnsi" w:cstheme="minorBidi"/>
            <w:noProof/>
            <w:sz w:val="16"/>
            <w:szCs w:val="16"/>
          </w:rPr>
          <w:t xml:space="preserve">1.21 Taula </w:t>
        </w:r>
        <w:r w:rsidR="00B76DF2" w:rsidRPr="001E2F6E">
          <w:rPr>
            <w:rFonts w:eastAsiaTheme="minorHAnsi" w:cstheme="minorBidi"/>
            <w:noProof/>
            <w:sz w:val="16"/>
            <w:szCs w:val="16"/>
          </w:rPr>
          <w:tab/>
        </w:r>
        <w:r w:rsidR="000728A0" w:rsidRPr="001E2F6E">
          <w:rPr>
            <w:rFonts w:eastAsiaTheme="minorHAnsi" w:cstheme="minorBidi"/>
            <w:noProof/>
            <w:sz w:val="16"/>
            <w:szCs w:val="16"/>
          </w:rPr>
          <w:t>GIZARTE-EKONOMIAK SORTUTAKO BALIO ERANTSI GORDINAREN (BEGd) ARLOZ ARLOKO HAZKUNDEA. 2010 eta 2012 URTEETAKO KONPARAZIOZKO ERREFERENTZIA (zifra absolutuak euro kopurua, milakoan, %bertikalak) (Ohiko prezioak)</w:t>
        </w:r>
        <w:r w:rsidR="000728A0" w:rsidRPr="001E2F6E">
          <w:rPr>
            <w:rFonts w:eastAsiaTheme="minorHAnsi" w:cstheme="minorBidi"/>
            <w:noProof/>
            <w:webHidden/>
            <w:sz w:val="16"/>
            <w:szCs w:val="16"/>
          </w:rPr>
          <w:tab/>
        </w:r>
        <w:r w:rsidR="00EB6BA6" w:rsidRPr="001E2F6E">
          <w:rPr>
            <w:rFonts w:eastAsiaTheme="minorHAnsi" w:cstheme="minorBidi"/>
            <w:noProof/>
            <w:webHidden/>
            <w:sz w:val="16"/>
            <w:szCs w:val="16"/>
          </w:rPr>
          <w:fldChar w:fldCharType="begin"/>
        </w:r>
        <w:r w:rsidR="000728A0" w:rsidRPr="001E2F6E">
          <w:rPr>
            <w:rFonts w:eastAsiaTheme="minorHAnsi" w:cstheme="minorBidi"/>
            <w:noProof/>
            <w:webHidden/>
            <w:sz w:val="16"/>
            <w:szCs w:val="16"/>
          </w:rPr>
          <w:instrText xml:space="preserve"> PAGEREF _Toc392585756 \h </w:instrText>
        </w:r>
        <w:r w:rsidR="00EB6BA6" w:rsidRPr="001E2F6E">
          <w:rPr>
            <w:rFonts w:eastAsiaTheme="minorHAnsi" w:cstheme="minorBidi"/>
            <w:noProof/>
            <w:webHidden/>
            <w:sz w:val="16"/>
            <w:szCs w:val="16"/>
          </w:rPr>
        </w:r>
        <w:r w:rsidR="00EB6BA6" w:rsidRPr="001E2F6E">
          <w:rPr>
            <w:rFonts w:eastAsiaTheme="minorHAnsi" w:cstheme="minorBidi"/>
            <w:noProof/>
            <w:webHidden/>
            <w:sz w:val="16"/>
            <w:szCs w:val="16"/>
          </w:rPr>
          <w:fldChar w:fldCharType="separate"/>
        </w:r>
        <w:r>
          <w:rPr>
            <w:rFonts w:eastAsiaTheme="minorHAnsi" w:cstheme="minorBidi"/>
            <w:noProof/>
            <w:webHidden/>
            <w:sz w:val="16"/>
            <w:szCs w:val="16"/>
          </w:rPr>
          <w:t>50</w:t>
        </w:r>
        <w:r w:rsidR="00EB6BA6" w:rsidRPr="001E2F6E">
          <w:rPr>
            <w:rFonts w:eastAsiaTheme="minorHAnsi" w:cstheme="minorBidi"/>
            <w:noProof/>
            <w:webHidden/>
            <w:sz w:val="16"/>
            <w:szCs w:val="16"/>
          </w:rPr>
          <w:fldChar w:fldCharType="end"/>
        </w:r>
      </w:hyperlink>
    </w:p>
    <w:p w:rsidR="000728A0" w:rsidRPr="001E2F6E" w:rsidRDefault="00A327D4" w:rsidP="00B76DF2">
      <w:pPr>
        <w:pStyle w:val="Tabladeilustraciones"/>
        <w:tabs>
          <w:tab w:val="right" w:leader="dot" w:pos="9072"/>
        </w:tabs>
        <w:spacing w:line="240" w:lineRule="auto"/>
        <w:ind w:left="1134" w:hanging="1134"/>
        <w:rPr>
          <w:rFonts w:eastAsiaTheme="minorHAnsi" w:cstheme="minorBidi"/>
          <w:noProof/>
          <w:sz w:val="16"/>
          <w:szCs w:val="16"/>
        </w:rPr>
      </w:pPr>
      <w:hyperlink w:anchor="_Toc392585757" w:history="1">
        <w:r w:rsidR="000728A0" w:rsidRPr="001E2F6E">
          <w:rPr>
            <w:rFonts w:eastAsiaTheme="minorHAnsi" w:cstheme="minorBidi"/>
            <w:noProof/>
            <w:sz w:val="16"/>
            <w:szCs w:val="16"/>
          </w:rPr>
          <w:t xml:space="preserve">1.22 Taula </w:t>
        </w:r>
        <w:r w:rsidR="00B76DF2" w:rsidRPr="001E2F6E">
          <w:rPr>
            <w:rFonts w:eastAsiaTheme="minorHAnsi" w:cstheme="minorBidi"/>
            <w:noProof/>
            <w:sz w:val="16"/>
            <w:szCs w:val="16"/>
          </w:rPr>
          <w:tab/>
        </w:r>
        <w:r w:rsidR="000728A0" w:rsidRPr="001E2F6E">
          <w:rPr>
            <w:rFonts w:eastAsiaTheme="minorHAnsi" w:cstheme="minorBidi"/>
            <w:noProof/>
            <w:sz w:val="16"/>
            <w:szCs w:val="16"/>
          </w:rPr>
          <w:t>GIZARTE-EKONOMIAREN PARTE HARTZEA ARLOZ ARLOKO BARNE PRODUKTU GORDINEAN. 2010-2012ko KONPARAZIOZKO ERREFERENTZIA</w:t>
        </w:r>
        <w:r w:rsidR="000728A0" w:rsidRPr="001E2F6E">
          <w:rPr>
            <w:rFonts w:eastAsiaTheme="minorHAnsi" w:cstheme="minorBidi"/>
            <w:noProof/>
            <w:webHidden/>
            <w:sz w:val="16"/>
            <w:szCs w:val="16"/>
          </w:rPr>
          <w:tab/>
        </w:r>
        <w:r w:rsidR="00EB6BA6" w:rsidRPr="001E2F6E">
          <w:rPr>
            <w:rFonts w:eastAsiaTheme="minorHAnsi" w:cstheme="minorBidi"/>
            <w:noProof/>
            <w:webHidden/>
            <w:sz w:val="16"/>
            <w:szCs w:val="16"/>
          </w:rPr>
          <w:fldChar w:fldCharType="begin"/>
        </w:r>
        <w:r w:rsidR="000728A0" w:rsidRPr="001E2F6E">
          <w:rPr>
            <w:rFonts w:eastAsiaTheme="minorHAnsi" w:cstheme="minorBidi"/>
            <w:noProof/>
            <w:webHidden/>
            <w:sz w:val="16"/>
            <w:szCs w:val="16"/>
          </w:rPr>
          <w:instrText xml:space="preserve"> PAGEREF _Toc392585757 \h </w:instrText>
        </w:r>
        <w:r w:rsidR="00EB6BA6" w:rsidRPr="001E2F6E">
          <w:rPr>
            <w:rFonts w:eastAsiaTheme="minorHAnsi" w:cstheme="minorBidi"/>
            <w:noProof/>
            <w:webHidden/>
            <w:sz w:val="16"/>
            <w:szCs w:val="16"/>
          </w:rPr>
        </w:r>
        <w:r w:rsidR="00EB6BA6" w:rsidRPr="001E2F6E">
          <w:rPr>
            <w:rFonts w:eastAsiaTheme="minorHAnsi" w:cstheme="minorBidi"/>
            <w:noProof/>
            <w:webHidden/>
            <w:sz w:val="16"/>
            <w:szCs w:val="16"/>
          </w:rPr>
          <w:fldChar w:fldCharType="separate"/>
        </w:r>
        <w:r>
          <w:rPr>
            <w:rFonts w:eastAsiaTheme="minorHAnsi" w:cstheme="minorBidi"/>
            <w:noProof/>
            <w:webHidden/>
            <w:sz w:val="16"/>
            <w:szCs w:val="16"/>
          </w:rPr>
          <w:t>50</w:t>
        </w:r>
        <w:r w:rsidR="00EB6BA6" w:rsidRPr="001E2F6E">
          <w:rPr>
            <w:rFonts w:eastAsiaTheme="minorHAnsi" w:cstheme="minorBidi"/>
            <w:noProof/>
            <w:webHidden/>
            <w:sz w:val="16"/>
            <w:szCs w:val="16"/>
          </w:rPr>
          <w:fldChar w:fldCharType="end"/>
        </w:r>
      </w:hyperlink>
    </w:p>
    <w:p w:rsidR="000728A0" w:rsidRPr="001E2F6E" w:rsidRDefault="00A327D4" w:rsidP="00B76DF2">
      <w:pPr>
        <w:pStyle w:val="Tabladeilustraciones"/>
        <w:tabs>
          <w:tab w:val="right" w:leader="dot" w:pos="9072"/>
        </w:tabs>
        <w:spacing w:line="240" w:lineRule="auto"/>
        <w:ind w:left="1134" w:hanging="1134"/>
        <w:rPr>
          <w:rFonts w:eastAsiaTheme="minorHAnsi" w:cstheme="minorBidi"/>
          <w:noProof/>
          <w:sz w:val="16"/>
          <w:szCs w:val="16"/>
        </w:rPr>
      </w:pPr>
      <w:hyperlink w:anchor="_Toc392585758" w:history="1">
        <w:r w:rsidR="000728A0" w:rsidRPr="001E2F6E">
          <w:rPr>
            <w:rFonts w:eastAsiaTheme="minorHAnsi" w:cstheme="minorBidi"/>
            <w:noProof/>
            <w:sz w:val="16"/>
            <w:szCs w:val="16"/>
          </w:rPr>
          <w:t xml:space="preserve">1.23 Taula </w:t>
        </w:r>
        <w:r w:rsidR="00B76DF2" w:rsidRPr="001E2F6E">
          <w:rPr>
            <w:rFonts w:eastAsiaTheme="minorHAnsi" w:cstheme="minorBidi"/>
            <w:noProof/>
            <w:sz w:val="16"/>
            <w:szCs w:val="16"/>
          </w:rPr>
          <w:tab/>
        </w:r>
        <w:r w:rsidR="000728A0" w:rsidRPr="001E2F6E">
          <w:rPr>
            <w:rFonts w:eastAsiaTheme="minorHAnsi" w:cstheme="minorBidi"/>
            <w:noProof/>
            <w:sz w:val="16"/>
            <w:szCs w:val="16"/>
          </w:rPr>
          <w:t>EAEko EKONOMIA: BARNE PRODUKTU GORDINA ETA HORREN OSAGAIAK URTEAREN ARABERA EAEn. ESKAINTZA ETA ESKAERA. OHIKO PREZIOAK. URTEEN ARTEKO ALDAKETA-TASAK (%) 2010-2012 (a)</w:t>
        </w:r>
        <w:r w:rsidR="000728A0" w:rsidRPr="001E2F6E">
          <w:rPr>
            <w:rFonts w:eastAsiaTheme="minorHAnsi" w:cstheme="minorBidi"/>
            <w:noProof/>
            <w:webHidden/>
            <w:sz w:val="16"/>
            <w:szCs w:val="16"/>
          </w:rPr>
          <w:tab/>
        </w:r>
        <w:r w:rsidR="00EB6BA6" w:rsidRPr="001E2F6E">
          <w:rPr>
            <w:rFonts w:eastAsiaTheme="minorHAnsi" w:cstheme="minorBidi"/>
            <w:noProof/>
            <w:webHidden/>
            <w:sz w:val="16"/>
            <w:szCs w:val="16"/>
          </w:rPr>
          <w:fldChar w:fldCharType="begin"/>
        </w:r>
        <w:r w:rsidR="000728A0" w:rsidRPr="001E2F6E">
          <w:rPr>
            <w:rFonts w:eastAsiaTheme="minorHAnsi" w:cstheme="minorBidi"/>
            <w:noProof/>
            <w:webHidden/>
            <w:sz w:val="16"/>
            <w:szCs w:val="16"/>
          </w:rPr>
          <w:instrText xml:space="preserve"> PAGEREF _Toc392585758 \h </w:instrText>
        </w:r>
        <w:r w:rsidR="00EB6BA6" w:rsidRPr="001E2F6E">
          <w:rPr>
            <w:rFonts w:eastAsiaTheme="minorHAnsi" w:cstheme="minorBidi"/>
            <w:noProof/>
            <w:webHidden/>
            <w:sz w:val="16"/>
            <w:szCs w:val="16"/>
          </w:rPr>
        </w:r>
        <w:r w:rsidR="00EB6BA6" w:rsidRPr="001E2F6E">
          <w:rPr>
            <w:rFonts w:eastAsiaTheme="minorHAnsi" w:cstheme="minorBidi"/>
            <w:noProof/>
            <w:webHidden/>
            <w:sz w:val="16"/>
            <w:szCs w:val="16"/>
          </w:rPr>
          <w:fldChar w:fldCharType="separate"/>
        </w:r>
        <w:r>
          <w:rPr>
            <w:rFonts w:eastAsiaTheme="minorHAnsi" w:cstheme="minorBidi"/>
            <w:noProof/>
            <w:webHidden/>
            <w:sz w:val="16"/>
            <w:szCs w:val="16"/>
          </w:rPr>
          <w:t>50</w:t>
        </w:r>
        <w:r w:rsidR="00EB6BA6" w:rsidRPr="001E2F6E">
          <w:rPr>
            <w:rFonts w:eastAsiaTheme="minorHAnsi" w:cstheme="minorBidi"/>
            <w:noProof/>
            <w:webHidden/>
            <w:sz w:val="16"/>
            <w:szCs w:val="16"/>
          </w:rPr>
          <w:fldChar w:fldCharType="end"/>
        </w:r>
      </w:hyperlink>
    </w:p>
    <w:p w:rsidR="000728A0" w:rsidRPr="001E2F6E" w:rsidRDefault="00A327D4" w:rsidP="00B76DF2">
      <w:pPr>
        <w:pStyle w:val="Tabladeilustraciones"/>
        <w:tabs>
          <w:tab w:val="right" w:leader="dot" w:pos="9072"/>
        </w:tabs>
        <w:spacing w:line="240" w:lineRule="auto"/>
        <w:ind w:left="1134" w:hanging="1134"/>
        <w:rPr>
          <w:rFonts w:eastAsiaTheme="minorHAnsi" w:cstheme="minorBidi"/>
          <w:noProof/>
          <w:sz w:val="16"/>
          <w:szCs w:val="16"/>
        </w:rPr>
      </w:pPr>
      <w:hyperlink w:anchor="_Toc392585759" w:history="1">
        <w:r w:rsidR="000728A0" w:rsidRPr="001E2F6E">
          <w:rPr>
            <w:rFonts w:eastAsiaTheme="minorHAnsi" w:cstheme="minorBidi"/>
            <w:noProof/>
            <w:sz w:val="16"/>
            <w:szCs w:val="16"/>
          </w:rPr>
          <w:t xml:space="preserve">1.24 Taula </w:t>
        </w:r>
        <w:r w:rsidR="00B76DF2" w:rsidRPr="001E2F6E">
          <w:rPr>
            <w:rFonts w:eastAsiaTheme="minorHAnsi" w:cstheme="minorBidi"/>
            <w:noProof/>
            <w:sz w:val="16"/>
            <w:szCs w:val="16"/>
          </w:rPr>
          <w:tab/>
        </w:r>
        <w:r w:rsidR="000728A0" w:rsidRPr="001E2F6E">
          <w:rPr>
            <w:rFonts w:eastAsiaTheme="minorHAnsi" w:cstheme="minorBidi"/>
            <w:noProof/>
            <w:sz w:val="16"/>
            <w:szCs w:val="16"/>
          </w:rPr>
          <w:t>GIZARTE-EKONOMIAREN ALORREKO SEKTOREEN PRODUKTIBITATE ANTZEMANGARRIAREN BILAKAERA 2010-2012 epean. (BEGd euroak/enplegatua. Ohiko prezioak)</w:t>
        </w:r>
        <w:r w:rsidR="000728A0" w:rsidRPr="001E2F6E">
          <w:rPr>
            <w:rFonts w:eastAsiaTheme="minorHAnsi" w:cstheme="minorBidi"/>
            <w:noProof/>
            <w:webHidden/>
            <w:sz w:val="16"/>
            <w:szCs w:val="16"/>
          </w:rPr>
          <w:tab/>
        </w:r>
        <w:r w:rsidR="00EB6BA6" w:rsidRPr="001E2F6E">
          <w:rPr>
            <w:rFonts w:eastAsiaTheme="minorHAnsi" w:cstheme="minorBidi"/>
            <w:noProof/>
            <w:webHidden/>
            <w:sz w:val="16"/>
            <w:szCs w:val="16"/>
          </w:rPr>
          <w:fldChar w:fldCharType="begin"/>
        </w:r>
        <w:r w:rsidR="000728A0" w:rsidRPr="001E2F6E">
          <w:rPr>
            <w:rFonts w:eastAsiaTheme="minorHAnsi" w:cstheme="minorBidi"/>
            <w:noProof/>
            <w:webHidden/>
            <w:sz w:val="16"/>
            <w:szCs w:val="16"/>
          </w:rPr>
          <w:instrText xml:space="preserve"> PAGEREF _Toc392585759 \h </w:instrText>
        </w:r>
        <w:r w:rsidR="00EB6BA6" w:rsidRPr="001E2F6E">
          <w:rPr>
            <w:rFonts w:eastAsiaTheme="minorHAnsi" w:cstheme="minorBidi"/>
            <w:noProof/>
            <w:webHidden/>
            <w:sz w:val="16"/>
            <w:szCs w:val="16"/>
          </w:rPr>
        </w:r>
        <w:r w:rsidR="00EB6BA6" w:rsidRPr="001E2F6E">
          <w:rPr>
            <w:rFonts w:eastAsiaTheme="minorHAnsi" w:cstheme="minorBidi"/>
            <w:noProof/>
            <w:webHidden/>
            <w:sz w:val="16"/>
            <w:szCs w:val="16"/>
          </w:rPr>
          <w:fldChar w:fldCharType="separate"/>
        </w:r>
        <w:r>
          <w:rPr>
            <w:rFonts w:eastAsiaTheme="minorHAnsi" w:cstheme="minorBidi"/>
            <w:noProof/>
            <w:webHidden/>
            <w:sz w:val="16"/>
            <w:szCs w:val="16"/>
          </w:rPr>
          <w:t>51</w:t>
        </w:r>
        <w:r w:rsidR="00EB6BA6" w:rsidRPr="001E2F6E">
          <w:rPr>
            <w:rFonts w:eastAsiaTheme="minorHAnsi" w:cstheme="minorBidi"/>
            <w:noProof/>
            <w:webHidden/>
            <w:sz w:val="16"/>
            <w:szCs w:val="16"/>
          </w:rPr>
          <w:fldChar w:fldCharType="end"/>
        </w:r>
      </w:hyperlink>
    </w:p>
    <w:p w:rsidR="000728A0" w:rsidRPr="001E2F6E" w:rsidRDefault="00A327D4" w:rsidP="00B76DF2">
      <w:pPr>
        <w:pStyle w:val="Tabladeilustraciones"/>
        <w:tabs>
          <w:tab w:val="right" w:leader="dot" w:pos="9072"/>
        </w:tabs>
        <w:spacing w:line="240" w:lineRule="auto"/>
        <w:ind w:left="1134" w:hanging="1134"/>
        <w:rPr>
          <w:rFonts w:eastAsiaTheme="minorHAnsi" w:cstheme="minorBidi"/>
          <w:noProof/>
          <w:sz w:val="16"/>
          <w:szCs w:val="16"/>
        </w:rPr>
      </w:pPr>
      <w:hyperlink w:anchor="_Toc392585760" w:history="1">
        <w:r w:rsidR="000728A0" w:rsidRPr="001E2F6E">
          <w:rPr>
            <w:rFonts w:eastAsiaTheme="minorHAnsi" w:cstheme="minorBidi"/>
            <w:noProof/>
            <w:sz w:val="16"/>
            <w:szCs w:val="16"/>
          </w:rPr>
          <w:t xml:space="preserve">1.25 Taula </w:t>
        </w:r>
        <w:r w:rsidR="00B76DF2" w:rsidRPr="001E2F6E">
          <w:rPr>
            <w:rFonts w:eastAsiaTheme="minorHAnsi" w:cstheme="minorBidi"/>
            <w:noProof/>
            <w:sz w:val="16"/>
            <w:szCs w:val="16"/>
          </w:rPr>
          <w:tab/>
        </w:r>
        <w:r w:rsidR="000728A0" w:rsidRPr="001E2F6E">
          <w:rPr>
            <w:rFonts w:eastAsiaTheme="minorHAnsi" w:cstheme="minorBidi"/>
            <w:noProof/>
            <w:sz w:val="16"/>
            <w:szCs w:val="16"/>
          </w:rPr>
          <w:t>MOOZKINEN ETA CASH FLOWAREN BANAKETA JARDUERA SEKTOREEN ARABERA 2012 (% bertikalak)</w:t>
        </w:r>
        <w:r w:rsidR="000728A0" w:rsidRPr="001E2F6E">
          <w:rPr>
            <w:rFonts w:eastAsiaTheme="minorHAnsi" w:cstheme="minorBidi"/>
            <w:noProof/>
            <w:webHidden/>
            <w:sz w:val="16"/>
            <w:szCs w:val="16"/>
          </w:rPr>
          <w:tab/>
        </w:r>
        <w:r w:rsidR="00EB6BA6" w:rsidRPr="001E2F6E">
          <w:rPr>
            <w:rFonts w:eastAsiaTheme="minorHAnsi" w:cstheme="minorBidi"/>
            <w:noProof/>
            <w:webHidden/>
            <w:sz w:val="16"/>
            <w:szCs w:val="16"/>
          </w:rPr>
          <w:fldChar w:fldCharType="begin"/>
        </w:r>
        <w:r w:rsidR="000728A0" w:rsidRPr="001E2F6E">
          <w:rPr>
            <w:rFonts w:eastAsiaTheme="minorHAnsi" w:cstheme="minorBidi"/>
            <w:noProof/>
            <w:webHidden/>
            <w:sz w:val="16"/>
            <w:szCs w:val="16"/>
          </w:rPr>
          <w:instrText xml:space="preserve"> PAGEREF _Toc392585760 \h </w:instrText>
        </w:r>
        <w:r w:rsidR="00EB6BA6" w:rsidRPr="001E2F6E">
          <w:rPr>
            <w:rFonts w:eastAsiaTheme="minorHAnsi" w:cstheme="minorBidi"/>
            <w:noProof/>
            <w:webHidden/>
            <w:sz w:val="16"/>
            <w:szCs w:val="16"/>
          </w:rPr>
        </w:r>
        <w:r w:rsidR="00EB6BA6" w:rsidRPr="001E2F6E">
          <w:rPr>
            <w:rFonts w:eastAsiaTheme="minorHAnsi" w:cstheme="minorBidi"/>
            <w:noProof/>
            <w:webHidden/>
            <w:sz w:val="16"/>
            <w:szCs w:val="16"/>
          </w:rPr>
          <w:fldChar w:fldCharType="separate"/>
        </w:r>
        <w:r>
          <w:rPr>
            <w:rFonts w:eastAsiaTheme="minorHAnsi" w:cstheme="minorBidi"/>
            <w:noProof/>
            <w:webHidden/>
            <w:sz w:val="16"/>
            <w:szCs w:val="16"/>
          </w:rPr>
          <w:t>51</w:t>
        </w:r>
        <w:r w:rsidR="00EB6BA6" w:rsidRPr="001E2F6E">
          <w:rPr>
            <w:rFonts w:eastAsiaTheme="minorHAnsi" w:cstheme="minorBidi"/>
            <w:noProof/>
            <w:webHidden/>
            <w:sz w:val="16"/>
            <w:szCs w:val="16"/>
          </w:rPr>
          <w:fldChar w:fldCharType="end"/>
        </w:r>
      </w:hyperlink>
    </w:p>
    <w:p w:rsidR="000728A0" w:rsidRPr="001E2F6E" w:rsidRDefault="00A327D4" w:rsidP="00B76DF2">
      <w:pPr>
        <w:pStyle w:val="Tabladeilustraciones"/>
        <w:tabs>
          <w:tab w:val="right" w:leader="dot" w:pos="9072"/>
        </w:tabs>
        <w:spacing w:line="240" w:lineRule="auto"/>
        <w:ind w:left="1134" w:hanging="1134"/>
        <w:rPr>
          <w:rFonts w:eastAsiaTheme="minorHAnsi" w:cstheme="minorBidi"/>
          <w:noProof/>
          <w:sz w:val="16"/>
          <w:szCs w:val="16"/>
        </w:rPr>
      </w:pPr>
      <w:hyperlink w:anchor="_Toc392585761" w:history="1">
        <w:r w:rsidR="000728A0" w:rsidRPr="001E2F6E">
          <w:rPr>
            <w:rFonts w:eastAsiaTheme="minorHAnsi" w:cstheme="minorBidi"/>
            <w:noProof/>
            <w:sz w:val="16"/>
            <w:szCs w:val="16"/>
          </w:rPr>
          <w:t xml:space="preserve">1.26 Taula </w:t>
        </w:r>
        <w:r w:rsidR="00B76DF2" w:rsidRPr="001E2F6E">
          <w:rPr>
            <w:rFonts w:eastAsiaTheme="minorHAnsi" w:cstheme="minorBidi"/>
            <w:noProof/>
            <w:sz w:val="16"/>
            <w:szCs w:val="16"/>
          </w:rPr>
          <w:tab/>
        </w:r>
        <w:r w:rsidR="000728A0" w:rsidRPr="001E2F6E">
          <w:rPr>
            <w:rFonts w:eastAsiaTheme="minorHAnsi" w:cstheme="minorBidi"/>
            <w:noProof/>
            <w:sz w:val="16"/>
            <w:szCs w:val="16"/>
          </w:rPr>
          <w:t>GIZARTE-EKONOMIAREN SARREREN ETA GASTUEN KONTUAK 2010-2012 (%bertikalak eta bilakaera)</w:t>
        </w:r>
        <w:r w:rsidR="000728A0" w:rsidRPr="001E2F6E">
          <w:rPr>
            <w:rFonts w:eastAsiaTheme="minorHAnsi" w:cstheme="minorBidi"/>
            <w:noProof/>
            <w:webHidden/>
            <w:sz w:val="16"/>
            <w:szCs w:val="16"/>
          </w:rPr>
          <w:tab/>
        </w:r>
        <w:r w:rsidR="00EB6BA6" w:rsidRPr="001E2F6E">
          <w:rPr>
            <w:rFonts w:eastAsiaTheme="minorHAnsi" w:cstheme="minorBidi"/>
            <w:noProof/>
            <w:webHidden/>
            <w:sz w:val="16"/>
            <w:szCs w:val="16"/>
          </w:rPr>
          <w:fldChar w:fldCharType="begin"/>
        </w:r>
        <w:r w:rsidR="000728A0" w:rsidRPr="001E2F6E">
          <w:rPr>
            <w:rFonts w:eastAsiaTheme="minorHAnsi" w:cstheme="minorBidi"/>
            <w:noProof/>
            <w:webHidden/>
            <w:sz w:val="16"/>
            <w:szCs w:val="16"/>
          </w:rPr>
          <w:instrText xml:space="preserve"> PAGEREF _Toc392585761 \h </w:instrText>
        </w:r>
        <w:r w:rsidR="00EB6BA6" w:rsidRPr="001E2F6E">
          <w:rPr>
            <w:rFonts w:eastAsiaTheme="minorHAnsi" w:cstheme="minorBidi"/>
            <w:noProof/>
            <w:webHidden/>
            <w:sz w:val="16"/>
            <w:szCs w:val="16"/>
          </w:rPr>
        </w:r>
        <w:r w:rsidR="00EB6BA6" w:rsidRPr="001E2F6E">
          <w:rPr>
            <w:rFonts w:eastAsiaTheme="minorHAnsi" w:cstheme="minorBidi"/>
            <w:noProof/>
            <w:webHidden/>
            <w:sz w:val="16"/>
            <w:szCs w:val="16"/>
          </w:rPr>
          <w:fldChar w:fldCharType="separate"/>
        </w:r>
        <w:r>
          <w:rPr>
            <w:rFonts w:eastAsiaTheme="minorHAnsi" w:cstheme="minorBidi"/>
            <w:noProof/>
            <w:webHidden/>
            <w:sz w:val="16"/>
            <w:szCs w:val="16"/>
          </w:rPr>
          <w:t>52</w:t>
        </w:r>
        <w:r w:rsidR="00EB6BA6" w:rsidRPr="001E2F6E">
          <w:rPr>
            <w:rFonts w:eastAsiaTheme="minorHAnsi" w:cstheme="minorBidi"/>
            <w:noProof/>
            <w:webHidden/>
            <w:sz w:val="16"/>
            <w:szCs w:val="16"/>
          </w:rPr>
          <w:fldChar w:fldCharType="end"/>
        </w:r>
      </w:hyperlink>
    </w:p>
    <w:p w:rsidR="000728A0" w:rsidRPr="001E2F6E" w:rsidRDefault="00A327D4" w:rsidP="00B76DF2">
      <w:pPr>
        <w:pStyle w:val="Tabladeilustraciones"/>
        <w:tabs>
          <w:tab w:val="right" w:leader="dot" w:pos="9072"/>
        </w:tabs>
        <w:spacing w:line="240" w:lineRule="auto"/>
        <w:ind w:left="1134" w:hanging="1134"/>
        <w:rPr>
          <w:rFonts w:eastAsiaTheme="minorHAnsi" w:cstheme="minorBidi"/>
          <w:noProof/>
          <w:sz w:val="16"/>
          <w:szCs w:val="16"/>
        </w:rPr>
      </w:pPr>
      <w:hyperlink w:anchor="_Toc392585762" w:history="1">
        <w:r w:rsidR="000728A0" w:rsidRPr="001E2F6E">
          <w:rPr>
            <w:rFonts w:eastAsiaTheme="minorHAnsi" w:cstheme="minorBidi"/>
            <w:noProof/>
            <w:sz w:val="16"/>
            <w:szCs w:val="16"/>
          </w:rPr>
          <w:t xml:space="preserve">1.27 Taula </w:t>
        </w:r>
        <w:r w:rsidR="00B76DF2" w:rsidRPr="001E2F6E">
          <w:rPr>
            <w:rFonts w:eastAsiaTheme="minorHAnsi" w:cstheme="minorBidi"/>
            <w:noProof/>
            <w:sz w:val="16"/>
            <w:szCs w:val="16"/>
          </w:rPr>
          <w:tab/>
        </w:r>
        <w:r w:rsidR="000728A0" w:rsidRPr="001E2F6E">
          <w:rPr>
            <w:rFonts w:eastAsiaTheme="minorHAnsi" w:cstheme="minorBidi"/>
            <w:noProof/>
            <w:sz w:val="16"/>
            <w:szCs w:val="16"/>
          </w:rPr>
          <w:t>BAZKIDEEK KOOPERATIBETAN EGINDAKO EKARPENEN INTERESAK ETA FINANTZA-GASTUEN GAINEKO PISU ERLATIBOA (66 KONTUA) (zifra absolutuak eurotan eta % horizontalak). 2012</w:t>
        </w:r>
        <w:r w:rsidR="000728A0" w:rsidRPr="001E2F6E">
          <w:rPr>
            <w:rFonts w:eastAsiaTheme="minorHAnsi" w:cstheme="minorBidi"/>
            <w:noProof/>
            <w:webHidden/>
            <w:sz w:val="16"/>
            <w:szCs w:val="16"/>
          </w:rPr>
          <w:tab/>
        </w:r>
        <w:r w:rsidR="00EB6BA6" w:rsidRPr="001E2F6E">
          <w:rPr>
            <w:rFonts w:eastAsiaTheme="minorHAnsi" w:cstheme="minorBidi"/>
            <w:noProof/>
            <w:webHidden/>
            <w:sz w:val="16"/>
            <w:szCs w:val="16"/>
          </w:rPr>
          <w:fldChar w:fldCharType="begin"/>
        </w:r>
        <w:r w:rsidR="000728A0" w:rsidRPr="001E2F6E">
          <w:rPr>
            <w:rFonts w:eastAsiaTheme="minorHAnsi" w:cstheme="minorBidi"/>
            <w:noProof/>
            <w:webHidden/>
            <w:sz w:val="16"/>
            <w:szCs w:val="16"/>
          </w:rPr>
          <w:instrText xml:space="preserve"> PAGEREF _Toc392585762 \h </w:instrText>
        </w:r>
        <w:r w:rsidR="00EB6BA6" w:rsidRPr="001E2F6E">
          <w:rPr>
            <w:rFonts w:eastAsiaTheme="minorHAnsi" w:cstheme="minorBidi"/>
            <w:noProof/>
            <w:webHidden/>
            <w:sz w:val="16"/>
            <w:szCs w:val="16"/>
          </w:rPr>
        </w:r>
        <w:r w:rsidR="00EB6BA6" w:rsidRPr="001E2F6E">
          <w:rPr>
            <w:rFonts w:eastAsiaTheme="minorHAnsi" w:cstheme="minorBidi"/>
            <w:noProof/>
            <w:webHidden/>
            <w:sz w:val="16"/>
            <w:szCs w:val="16"/>
          </w:rPr>
          <w:fldChar w:fldCharType="separate"/>
        </w:r>
        <w:r>
          <w:rPr>
            <w:rFonts w:eastAsiaTheme="minorHAnsi" w:cstheme="minorBidi"/>
            <w:noProof/>
            <w:webHidden/>
            <w:sz w:val="16"/>
            <w:szCs w:val="16"/>
          </w:rPr>
          <w:t>52</w:t>
        </w:r>
        <w:r w:rsidR="00EB6BA6" w:rsidRPr="001E2F6E">
          <w:rPr>
            <w:rFonts w:eastAsiaTheme="minorHAnsi" w:cstheme="minorBidi"/>
            <w:noProof/>
            <w:webHidden/>
            <w:sz w:val="16"/>
            <w:szCs w:val="16"/>
          </w:rPr>
          <w:fldChar w:fldCharType="end"/>
        </w:r>
      </w:hyperlink>
    </w:p>
    <w:p w:rsidR="000728A0" w:rsidRPr="001E2F6E" w:rsidRDefault="00A327D4" w:rsidP="00B76DF2">
      <w:pPr>
        <w:pStyle w:val="Tabladeilustraciones"/>
        <w:tabs>
          <w:tab w:val="right" w:leader="dot" w:pos="9072"/>
        </w:tabs>
        <w:spacing w:line="240" w:lineRule="auto"/>
        <w:ind w:left="1134" w:hanging="1134"/>
        <w:rPr>
          <w:rFonts w:eastAsiaTheme="minorHAnsi" w:cstheme="minorBidi"/>
          <w:noProof/>
          <w:sz w:val="16"/>
          <w:szCs w:val="16"/>
        </w:rPr>
      </w:pPr>
      <w:hyperlink w:anchor="_Toc392585763" w:history="1">
        <w:r w:rsidR="000728A0" w:rsidRPr="001E2F6E">
          <w:rPr>
            <w:rFonts w:eastAsiaTheme="minorHAnsi" w:cstheme="minorBidi"/>
            <w:noProof/>
            <w:sz w:val="16"/>
            <w:szCs w:val="16"/>
          </w:rPr>
          <w:t xml:space="preserve">1.28 Taula </w:t>
        </w:r>
        <w:r w:rsidR="00B76DF2" w:rsidRPr="001E2F6E">
          <w:rPr>
            <w:rFonts w:eastAsiaTheme="minorHAnsi" w:cstheme="minorBidi"/>
            <w:noProof/>
            <w:sz w:val="16"/>
            <w:szCs w:val="16"/>
          </w:rPr>
          <w:tab/>
        </w:r>
        <w:r w:rsidR="000728A0" w:rsidRPr="001E2F6E">
          <w:rPr>
            <w:rFonts w:eastAsiaTheme="minorHAnsi" w:cstheme="minorBidi"/>
            <w:noProof/>
            <w:sz w:val="16"/>
            <w:szCs w:val="16"/>
          </w:rPr>
          <w:t>2012ean GIZARTE-EKONOMIAREN ESTABLEZIMENDUEK IZANDAKO BILAKAERA, FORMA JURIDIKOAREN ARABERA 2010-2012 (zifra absolutuak, % bertikalak)</w:t>
        </w:r>
        <w:r w:rsidR="000728A0" w:rsidRPr="001E2F6E">
          <w:rPr>
            <w:rFonts w:eastAsiaTheme="minorHAnsi" w:cstheme="minorBidi"/>
            <w:noProof/>
            <w:webHidden/>
            <w:sz w:val="16"/>
            <w:szCs w:val="16"/>
          </w:rPr>
          <w:tab/>
        </w:r>
        <w:r w:rsidR="00EB6BA6" w:rsidRPr="001E2F6E">
          <w:rPr>
            <w:rFonts w:eastAsiaTheme="minorHAnsi" w:cstheme="minorBidi"/>
            <w:noProof/>
            <w:webHidden/>
            <w:sz w:val="16"/>
            <w:szCs w:val="16"/>
          </w:rPr>
          <w:fldChar w:fldCharType="begin"/>
        </w:r>
        <w:r w:rsidR="000728A0" w:rsidRPr="001E2F6E">
          <w:rPr>
            <w:rFonts w:eastAsiaTheme="minorHAnsi" w:cstheme="minorBidi"/>
            <w:noProof/>
            <w:webHidden/>
            <w:sz w:val="16"/>
            <w:szCs w:val="16"/>
          </w:rPr>
          <w:instrText xml:space="preserve"> PAGEREF _Toc392585763 \h </w:instrText>
        </w:r>
        <w:r w:rsidR="00EB6BA6" w:rsidRPr="001E2F6E">
          <w:rPr>
            <w:rFonts w:eastAsiaTheme="minorHAnsi" w:cstheme="minorBidi"/>
            <w:noProof/>
            <w:webHidden/>
            <w:sz w:val="16"/>
            <w:szCs w:val="16"/>
          </w:rPr>
        </w:r>
        <w:r w:rsidR="00EB6BA6" w:rsidRPr="001E2F6E">
          <w:rPr>
            <w:rFonts w:eastAsiaTheme="minorHAnsi" w:cstheme="minorBidi"/>
            <w:noProof/>
            <w:webHidden/>
            <w:sz w:val="16"/>
            <w:szCs w:val="16"/>
          </w:rPr>
          <w:fldChar w:fldCharType="separate"/>
        </w:r>
        <w:r>
          <w:rPr>
            <w:rFonts w:eastAsiaTheme="minorHAnsi" w:cstheme="minorBidi"/>
            <w:noProof/>
            <w:webHidden/>
            <w:sz w:val="16"/>
            <w:szCs w:val="16"/>
          </w:rPr>
          <w:t>53</w:t>
        </w:r>
        <w:r w:rsidR="00EB6BA6" w:rsidRPr="001E2F6E">
          <w:rPr>
            <w:rFonts w:eastAsiaTheme="minorHAnsi" w:cstheme="minorBidi"/>
            <w:noProof/>
            <w:webHidden/>
            <w:sz w:val="16"/>
            <w:szCs w:val="16"/>
          </w:rPr>
          <w:fldChar w:fldCharType="end"/>
        </w:r>
      </w:hyperlink>
    </w:p>
    <w:p w:rsidR="000728A0" w:rsidRPr="001E2F6E" w:rsidRDefault="00A327D4" w:rsidP="00B76DF2">
      <w:pPr>
        <w:pStyle w:val="Tabladeilustraciones"/>
        <w:tabs>
          <w:tab w:val="right" w:leader="dot" w:pos="9072"/>
        </w:tabs>
        <w:spacing w:line="240" w:lineRule="auto"/>
        <w:ind w:left="1134" w:hanging="1134"/>
        <w:rPr>
          <w:rFonts w:eastAsiaTheme="minorHAnsi" w:cstheme="minorBidi"/>
          <w:noProof/>
          <w:sz w:val="16"/>
          <w:szCs w:val="16"/>
        </w:rPr>
      </w:pPr>
      <w:hyperlink w:anchor="_Toc392585764" w:history="1">
        <w:r w:rsidR="000728A0" w:rsidRPr="001E2F6E">
          <w:rPr>
            <w:rFonts w:eastAsiaTheme="minorHAnsi" w:cstheme="minorBidi"/>
            <w:noProof/>
            <w:sz w:val="16"/>
            <w:szCs w:val="16"/>
          </w:rPr>
          <w:t xml:space="preserve">1.29 Taula </w:t>
        </w:r>
        <w:r w:rsidR="00B76DF2" w:rsidRPr="001E2F6E">
          <w:rPr>
            <w:rFonts w:eastAsiaTheme="minorHAnsi" w:cstheme="minorBidi"/>
            <w:noProof/>
            <w:sz w:val="16"/>
            <w:szCs w:val="16"/>
          </w:rPr>
          <w:tab/>
        </w:r>
        <w:r w:rsidR="000728A0" w:rsidRPr="001E2F6E">
          <w:rPr>
            <w:rFonts w:eastAsiaTheme="minorHAnsi" w:cstheme="minorBidi"/>
            <w:noProof/>
            <w:sz w:val="16"/>
            <w:szCs w:val="16"/>
          </w:rPr>
          <w:t>2010-2012ean GIZARTE-EKONOMIAREN ALORREKO ENPLEGUEK IZANDAKO BILAKAERA, FORMA JURIDIKOAREN ARABERA 2010-2012 (zifra absolutuak,% bertikalak)</w:t>
        </w:r>
        <w:r w:rsidR="000728A0" w:rsidRPr="001E2F6E">
          <w:rPr>
            <w:rFonts w:eastAsiaTheme="minorHAnsi" w:cstheme="minorBidi"/>
            <w:noProof/>
            <w:webHidden/>
            <w:sz w:val="16"/>
            <w:szCs w:val="16"/>
          </w:rPr>
          <w:tab/>
        </w:r>
        <w:r w:rsidR="00EB6BA6" w:rsidRPr="001E2F6E">
          <w:rPr>
            <w:rFonts w:eastAsiaTheme="minorHAnsi" w:cstheme="minorBidi"/>
            <w:noProof/>
            <w:webHidden/>
            <w:sz w:val="16"/>
            <w:szCs w:val="16"/>
          </w:rPr>
          <w:fldChar w:fldCharType="begin"/>
        </w:r>
        <w:r w:rsidR="000728A0" w:rsidRPr="001E2F6E">
          <w:rPr>
            <w:rFonts w:eastAsiaTheme="minorHAnsi" w:cstheme="minorBidi"/>
            <w:noProof/>
            <w:webHidden/>
            <w:sz w:val="16"/>
            <w:szCs w:val="16"/>
          </w:rPr>
          <w:instrText xml:space="preserve"> PAGEREF _Toc392585764 \h </w:instrText>
        </w:r>
        <w:r w:rsidR="00EB6BA6" w:rsidRPr="001E2F6E">
          <w:rPr>
            <w:rFonts w:eastAsiaTheme="minorHAnsi" w:cstheme="minorBidi"/>
            <w:noProof/>
            <w:webHidden/>
            <w:sz w:val="16"/>
            <w:szCs w:val="16"/>
          </w:rPr>
        </w:r>
        <w:r w:rsidR="00EB6BA6" w:rsidRPr="001E2F6E">
          <w:rPr>
            <w:rFonts w:eastAsiaTheme="minorHAnsi" w:cstheme="minorBidi"/>
            <w:noProof/>
            <w:webHidden/>
            <w:sz w:val="16"/>
            <w:szCs w:val="16"/>
          </w:rPr>
          <w:fldChar w:fldCharType="separate"/>
        </w:r>
        <w:r>
          <w:rPr>
            <w:rFonts w:eastAsiaTheme="minorHAnsi" w:cstheme="minorBidi"/>
            <w:noProof/>
            <w:webHidden/>
            <w:sz w:val="16"/>
            <w:szCs w:val="16"/>
          </w:rPr>
          <w:t>53</w:t>
        </w:r>
        <w:r w:rsidR="00EB6BA6" w:rsidRPr="001E2F6E">
          <w:rPr>
            <w:rFonts w:eastAsiaTheme="minorHAnsi" w:cstheme="minorBidi"/>
            <w:noProof/>
            <w:webHidden/>
            <w:sz w:val="16"/>
            <w:szCs w:val="16"/>
          </w:rPr>
          <w:fldChar w:fldCharType="end"/>
        </w:r>
      </w:hyperlink>
    </w:p>
    <w:p w:rsidR="000728A0" w:rsidRPr="001E2F6E" w:rsidRDefault="00A327D4" w:rsidP="00B76DF2">
      <w:pPr>
        <w:pStyle w:val="Tabladeilustraciones"/>
        <w:tabs>
          <w:tab w:val="right" w:leader="dot" w:pos="9072"/>
        </w:tabs>
        <w:spacing w:line="240" w:lineRule="auto"/>
        <w:ind w:left="1134" w:hanging="1134"/>
        <w:rPr>
          <w:rFonts w:eastAsiaTheme="minorHAnsi" w:cstheme="minorBidi"/>
          <w:noProof/>
          <w:sz w:val="16"/>
          <w:szCs w:val="16"/>
        </w:rPr>
      </w:pPr>
      <w:hyperlink w:anchor="_Toc392585765" w:history="1">
        <w:r w:rsidR="000728A0" w:rsidRPr="001E2F6E">
          <w:rPr>
            <w:rFonts w:eastAsiaTheme="minorHAnsi" w:cstheme="minorBidi"/>
            <w:noProof/>
            <w:sz w:val="16"/>
            <w:szCs w:val="16"/>
          </w:rPr>
          <w:t xml:space="preserve">1.30 Taula </w:t>
        </w:r>
        <w:r w:rsidR="00B76DF2" w:rsidRPr="001E2F6E">
          <w:rPr>
            <w:rFonts w:eastAsiaTheme="minorHAnsi" w:cstheme="minorBidi"/>
            <w:noProof/>
            <w:sz w:val="16"/>
            <w:szCs w:val="16"/>
          </w:rPr>
          <w:tab/>
        </w:r>
        <w:r w:rsidR="000728A0" w:rsidRPr="001E2F6E">
          <w:rPr>
            <w:rFonts w:eastAsiaTheme="minorHAnsi" w:cstheme="minorBidi"/>
            <w:noProof/>
            <w:sz w:val="16"/>
            <w:szCs w:val="16"/>
          </w:rPr>
          <w:t>ESTABLEZIMENDUEN BATEZ BESTEKO TAMAINA, FORMA JURIDIKOAREN ARABERA (ENPLEGATUAK/ESTABLEZIMENDUAK) 2010-2012</w:t>
        </w:r>
        <w:r w:rsidR="000728A0" w:rsidRPr="001E2F6E">
          <w:rPr>
            <w:rFonts w:eastAsiaTheme="minorHAnsi" w:cstheme="minorBidi"/>
            <w:noProof/>
            <w:webHidden/>
            <w:sz w:val="16"/>
            <w:szCs w:val="16"/>
          </w:rPr>
          <w:tab/>
        </w:r>
        <w:r w:rsidR="00EB6BA6" w:rsidRPr="001E2F6E">
          <w:rPr>
            <w:rFonts w:eastAsiaTheme="minorHAnsi" w:cstheme="minorBidi"/>
            <w:noProof/>
            <w:webHidden/>
            <w:sz w:val="16"/>
            <w:szCs w:val="16"/>
          </w:rPr>
          <w:fldChar w:fldCharType="begin"/>
        </w:r>
        <w:r w:rsidR="000728A0" w:rsidRPr="001E2F6E">
          <w:rPr>
            <w:rFonts w:eastAsiaTheme="minorHAnsi" w:cstheme="minorBidi"/>
            <w:noProof/>
            <w:webHidden/>
            <w:sz w:val="16"/>
            <w:szCs w:val="16"/>
          </w:rPr>
          <w:instrText xml:space="preserve"> PAGEREF _Toc392585765 \h </w:instrText>
        </w:r>
        <w:r w:rsidR="00EB6BA6" w:rsidRPr="001E2F6E">
          <w:rPr>
            <w:rFonts w:eastAsiaTheme="minorHAnsi" w:cstheme="minorBidi"/>
            <w:noProof/>
            <w:webHidden/>
            <w:sz w:val="16"/>
            <w:szCs w:val="16"/>
          </w:rPr>
        </w:r>
        <w:r w:rsidR="00EB6BA6" w:rsidRPr="001E2F6E">
          <w:rPr>
            <w:rFonts w:eastAsiaTheme="minorHAnsi" w:cstheme="minorBidi"/>
            <w:noProof/>
            <w:webHidden/>
            <w:sz w:val="16"/>
            <w:szCs w:val="16"/>
          </w:rPr>
          <w:fldChar w:fldCharType="separate"/>
        </w:r>
        <w:r>
          <w:rPr>
            <w:rFonts w:eastAsiaTheme="minorHAnsi" w:cstheme="minorBidi"/>
            <w:noProof/>
            <w:webHidden/>
            <w:sz w:val="16"/>
            <w:szCs w:val="16"/>
          </w:rPr>
          <w:t>54</w:t>
        </w:r>
        <w:r w:rsidR="00EB6BA6" w:rsidRPr="001E2F6E">
          <w:rPr>
            <w:rFonts w:eastAsiaTheme="minorHAnsi" w:cstheme="minorBidi"/>
            <w:noProof/>
            <w:webHidden/>
            <w:sz w:val="16"/>
            <w:szCs w:val="16"/>
          </w:rPr>
          <w:fldChar w:fldCharType="end"/>
        </w:r>
      </w:hyperlink>
    </w:p>
    <w:p w:rsidR="000728A0" w:rsidRPr="001E2F6E" w:rsidRDefault="00A327D4" w:rsidP="00B76DF2">
      <w:pPr>
        <w:pStyle w:val="Tabladeilustraciones"/>
        <w:tabs>
          <w:tab w:val="right" w:leader="dot" w:pos="9072"/>
        </w:tabs>
        <w:spacing w:line="240" w:lineRule="auto"/>
        <w:ind w:left="1134" w:hanging="1134"/>
        <w:rPr>
          <w:rFonts w:eastAsiaTheme="minorHAnsi" w:cstheme="minorBidi"/>
          <w:noProof/>
          <w:sz w:val="16"/>
          <w:szCs w:val="16"/>
        </w:rPr>
      </w:pPr>
      <w:hyperlink w:anchor="_Toc392585766" w:history="1">
        <w:r w:rsidR="000728A0" w:rsidRPr="001E2F6E">
          <w:rPr>
            <w:rFonts w:eastAsiaTheme="minorHAnsi" w:cstheme="minorBidi"/>
            <w:noProof/>
            <w:sz w:val="16"/>
            <w:szCs w:val="16"/>
          </w:rPr>
          <w:t xml:space="preserve">1.31 Taula </w:t>
        </w:r>
        <w:r w:rsidR="00B76DF2" w:rsidRPr="001E2F6E">
          <w:rPr>
            <w:rFonts w:eastAsiaTheme="minorHAnsi" w:cstheme="minorBidi"/>
            <w:noProof/>
            <w:sz w:val="16"/>
            <w:szCs w:val="16"/>
          </w:rPr>
          <w:tab/>
        </w:r>
        <w:r w:rsidR="000728A0" w:rsidRPr="001E2F6E">
          <w:rPr>
            <w:rFonts w:eastAsiaTheme="minorHAnsi" w:cstheme="minorBidi"/>
            <w:noProof/>
            <w:sz w:val="16"/>
            <w:szCs w:val="16"/>
          </w:rPr>
          <w:t>KOOPERATIBEN ENPLEGUAREN ARLOZ ARLOKO EGITURA. 2010 eta 2012 URTEETAKO ERREFERENTZIA. (zifra absolutuak, %bertikalak)</w:t>
        </w:r>
        <w:r w:rsidR="000728A0" w:rsidRPr="001E2F6E">
          <w:rPr>
            <w:rFonts w:eastAsiaTheme="minorHAnsi" w:cstheme="minorBidi"/>
            <w:noProof/>
            <w:webHidden/>
            <w:sz w:val="16"/>
            <w:szCs w:val="16"/>
          </w:rPr>
          <w:tab/>
        </w:r>
        <w:r w:rsidR="00EB6BA6" w:rsidRPr="001E2F6E">
          <w:rPr>
            <w:rFonts w:eastAsiaTheme="minorHAnsi" w:cstheme="minorBidi"/>
            <w:noProof/>
            <w:webHidden/>
            <w:sz w:val="16"/>
            <w:szCs w:val="16"/>
          </w:rPr>
          <w:fldChar w:fldCharType="begin"/>
        </w:r>
        <w:r w:rsidR="000728A0" w:rsidRPr="001E2F6E">
          <w:rPr>
            <w:rFonts w:eastAsiaTheme="minorHAnsi" w:cstheme="minorBidi"/>
            <w:noProof/>
            <w:webHidden/>
            <w:sz w:val="16"/>
            <w:szCs w:val="16"/>
          </w:rPr>
          <w:instrText xml:space="preserve"> PAGEREF _Toc392585766 \h </w:instrText>
        </w:r>
        <w:r w:rsidR="00EB6BA6" w:rsidRPr="001E2F6E">
          <w:rPr>
            <w:rFonts w:eastAsiaTheme="minorHAnsi" w:cstheme="minorBidi"/>
            <w:noProof/>
            <w:webHidden/>
            <w:sz w:val="16"/>
            <w:szCs w:val="16"/>
          </w:rPr>
        </w:r>
        <w:r w:rsidR="00EB6BA6" w:rsidRPr="001E2F6E">
          <w:rPr>
            <w:rFonts w:eastAsiaTheme="minorHAnsi" w:cstheme="minorBidi"/>
            <w:noProof/>
            <w:webHidden/>
            <w:sz w:val="16"/>
            <w:szCs w:val="16"/>
          </w:rPr>
          <w:fldChar w:fldCharType="separate"/>
        </w:r>
        <w:r>
          <w:rPr>
            <w:rFonts w:eastAsiaTheme="minorHAnsi" w:cstheme="minorBidi"/>
            <w:noProof/>
            <w:webHidden/>
            <w:sz w:val="16"/>
            <w:szCs w:val="16"/>
          </w:rPr>
          <w:t>54</w:t>
        </w:r>
        <w:r w:rsidR="00EB6BA6" w:rsidRPr="001E2F6E">
          <w:rPr>
            <w:rFonts w:eastAsiaTheme="minorHAnsi" w:cstheme="minorBidi"/>
            <w:noProof/>
            <w:webHidden/>
            <w:sz w:val="16"/>
            <w:szCs w:val="16"/>
          </w:rPr>
          <w:fldChar w:fldCharType="end"/>
        </w:r>
      </w:hyperlink>
    </w:p>
    <w:p w:rsidR="000728A0" w:rsidRPr="001E2F6E" w:rsidRDefault="00A327D4" w:rsidP="00B76DF2">
      <w:pPr>
        <w:pStyle w:val="Tabladeilustraciones"/>
        <w:tabs>
          <w:tab w:val="right" w:leader="dot" w:pos="9072"/>
        </w:tabs>
        <w:spacing w:line="240" w:lineRule="auto"/>
        <w:ind w:left="1134" w:hanging="1134"/>
        <w:rPr>
          <w:rFonts w:eastAsiaTheme="minorHAnsi" w:cstheme="minorBidi"/>
          <w:noProof/>
          <w:sz w:val="16"/>
          <w:szCs w:val="16"/>
        </w:rPr>
      </w:pPr>
      <w:hyperlink w:anchor="_Toc392585767" w:history="1">
        <w:r w:rsidR="000728A0" w:rsidRPr="001E2F6E">
          <w:rPr>
            <w:rFonts w:eastAsiaTheme="minorHAnsi" w:cstheme="minorBidi"/>
            <w:noProof/>
            <w:sz w:val="16"/>
            <w:szCs w:val="16"/>
          </w:rPr>
          <w:t xml:space="preserve">1.32 Taula </w:t>
        </w:r>
        <w:r w:rsidR="00B76DF2" w:rsidRPr="001E2F6E">
          <w:rPr>
            <w:rFonts w:eastAsiaTheme="minorHAnsi" w:cstheme="minorBidi"/>
            <w:noProof/>
            <w:sz w:val="16"/>
            <w:szCs w:val="16"/>
          </w:rPr>
          <w:tab/>
        </w:r>
        <w:r w:rsidR="000728A0" w:rsidRPr="001E2F6E">
          <w:rPr>
            <w:rFonts w:eastAsiaTheme="minorHAnsi" w:cstheme="minorBidi"/>
            <w:noProof/>
            <w:sz w:val="16"/>
            <w:szCs w:val="16"/>
          </w:rPr>
          <w:t>SOZIETATE LABORALEN EPLEGUAREN ARLOZ ARLOKO EGITURA. 2010 eta 2012 URTEETAKO ERREFERENTZIA. (zifra absolutuak, %bertikalak)</w:t>
        </w:r>
        <w:r w:rsidR="000728A0" w:rsidRPr="001E2F6E">
          <w:rPr>
            <w:rFonts w:eastAsiaTheme="minorHAnsi" w:cstheme="minorBidi"/>
            <w:noProof/>
            <w:webHidden/>
            <w:sz w:val="16"/>
            <w:szCs w:val="16"/>
          </w:rPr>
          <w:tab/>
        </w:r>
        <w:r w:rsidR="00EB6BA6" w:rsidRPr="001E2F6E">
          <w:rPr>
            <w:rFonts w:eastAsiaTheme="minorHAnsi" w:cstheme="minorBidi"/>
            <w:noProof/>
            <w:webHidden/>
            <w:sz w:val="16"/>
            <w:szCs w:val="16"/>
          </w:rPr>
          <w:fldChar w:fldCharType="begin"/>
        </w:r>
        <w:r w:rsidR="000728A0" w:rsidRPr="001E2F6E">
          <w:rPr>
            <w:rFonts w:eastAsiaTheme="minorHAnsi" w:cstheme="minorBidi"/>
            <w:noProof/>
            <w:webHidden/>
            <w:sz w:val="16"/>
            <w:szCs w:val="16"/>
          </w:rPr>
          <w:instrText xml:space="preserve"> PAGEREF _Toc392585767 \h </w:instrText>
        </w:r>
        <w:r w:rsidR="00EB6BA6" w:rsidRPr="001E2F6E">
          <w:rPr>
            <w:rFonts w:eastAsiaTheme="minorHAnsi" w:cstheme="minorBidi"/>
            <w:noProof/>
            <w:webHidden/>
            <w:sz w:val="16"/>
            <w:szCs w:val="16"/>
          </w:rPr>
        </w:r>
        <w:r w:rsidR="00EB6BA6" w:rsidRPr="001E2F6E">
          <w:rPr>
            <w:rFonts w:eastAsiaTheme="minorHAnsi" w:cstheme="minorBidi"/>
            <w:noProof/>
            <w:webHidden/>
            <w:sz w:val="16"/>
            <w:szCs w:val="16"/>
          </w:rPr>
          <w:fldChar w:fldCharType="separate"/>
        </w:r>
        <w:r>
          <w:rPr>
            <w:rFonts w:eastAsiaTheme="minorHAnsi" w:cstheme="minorBidi"/>
            <w:noProof/>
            <w:webHidden/>
            <w:sz w:val="16"/>
            <w:szCs w:val="16"/>
          </w:rPr>
          <w:t>54</w:t>
        </w:r>
        <w:r w:rsidR="00EB6BA6" w:rsidRPr="001E2F6E">
          <w:rPr>
            <w:rFonts w:eastAsiaTheme="minorHAnsi" w:cstheme="minorBidi"/>
            <w:noProof/>
            <w:webHidden/>
            <w:sz w:val="16"/>
            <w:szCs w:val="16"/>
          </w:rPr>
          <w:fldChar w:fldCharType="end"/>
        </w:r>
      </w:hyperlink>
    </w:p>
    <w:p w:rsidR="000728A0" w:rsidRPr="001E2F6E" w:rsidRDefault="00A327D4" w:rsidP="00B76DF2">
      <w:pPr>
        <w:pStyle w:val="Tabladeilustraciones"/>
        <w:tabs>
          <w:tab w:val="right" w:leader="dot" w:pos="9072"/>
        </w:tabs>
        <w:spacing w:line="240" w:lineRule="auto"/>
        <w:ind w:left="1134" w:hanging="1134"/>
        <w:rPr>
          <w:rFonts w:eastAsiaTheme="minorHAnsi" w:cstheme="minorBidi"/>
          <w:noProof/>
          <w:sz w:val="16"/>
          <w:szCs w:val="16"/>
        </w:rPr>
      </w:pPr>
      <w:hyperlink w:anchor="_Toc392585768" w:history="1">
        <w:r w:rsidR="000728A0" w:rsidRPr="001E2F6E">
          <w:rPr>
            <w:rFonts w:eastAsiaTheme="minorHAnsi" w:cstheme="minorBidi"/>
            <w:noProof/>
            <w:sz w:val="16"/>
            <w:szCs w:val="16"/>
          </w:rPr>
          <w:t xml:space="preserve">1.33 Taula </w:t>
        </w:r>
        <w:r w:rsidR="00B76DF2" w:rsidRPr="001E2F6E">
          <w:rPr>
            <w:rFonts w:eastAsiaTheme="minorHAnsi" w:cstheme="minorBidi"/>
            <w:noProof/>
            <w:sz w:val="16"/>
            <w:szCs w:val="16"/>
          </w:rPr>
          <w:tab/>
        </w:r>
        <w:r w:rsidR="000728A0" w:rsidRPr="001E2F6E">
          <w:rPr>
            <w:rFonts w:eastAsiaTheme="minorHAnsi" w:cstheme="minorBidi"/>
            <w:noProof/>
            <w:sz w:val="16"/>
            <w:szCs w:val="16"/>
          </w:rPr>
          <w:t>GIZARTE-EKONOMIAK SORTUTAKO BALIO ERANTSI GORDINAREN (BEGd) BANAKETA, FORMA JURIDIKOAREN ARABERA. KONPARAZIOZKO ERREFERENTZIA 2010 eta 2012. (zifra absolutuak euro kopurua milakoan, %ber.) (Ohiko prezioak)</w:t>
        </w:r>
        <w:r w:rsidR="000728A0" w:rsidRPr="001E2F6E">
          <w:rPr>
            <w:rFonts w:eastAsiaTheme="minorHAnsi" w:cstheme="minorBidi"/>
            <w:noProof/>
            <w:webHidden/>
            <w:sz w:val="16"/>
            <w:szCs w:val="16"/>
          </w:rPr>
          <w:tab/>
        </w:r>
        <w:r w:rsidR="00EB6BA6" w:rsidRPr="001E2F6E">
          <w:rPr>
            <w:rFonts w:eastAsiaTheme="minorHAnsi" w:cstheme="minorBidi"/>
            <w:noProof/>
            <w:webHidden/>
            <w:sz w:val="16"/>
            <w:szCs w:val="16"/>
          </w:rPr>
          <w:fldChar w:fldCharType="begin"/>
        </w:r>
        <w:r w:rsidR="000728A0" w:rsidRPr="001E2F6E">
          <w:rPr>
            <w:rFonts w:eastAsiaTheme="minorHAnsi" w:cstheme="minorBidi"/>
            <w:noProof/>
            <w:webHidden/>
            <w:sz w:val="16"/>
            <w:szCs w:val="16"/>
          </w:rPr>
          <w:instrText xml:space="preserve"> PAGEREF _Toc392585768 \h </w:instrText>
        </w:r>
        <w:r w:rsidR="00EB6BA6" w:rsidRPr="001E2F6E">
          <w:rPr>
            <w:rFonts w:eastAsiaTheme="minorHAnsi" w:cstheme="minorBidi"/>
            <w:noProof/>
            <w:webHidden/>
            <w:sz w:val="16"/>
            <w:szCs w:val="16"/>
          </w:rPr>
        </w:r>
        <w:r w:rsidR="00EB6BA6" w:rsidRPr="001E2F6E">
          <w:rPr>
            <w:rFonts w:eastAsiaTheme="minorHAnsi" w:cstheme="minorBidi"/>
            <w:noProof/>
            <w:webHidden/>
            <w:sz w:val="16"/>
            <w:szCs w:val="16"/>
          </w:rPr>
          <w:fldChar w:fldCharType="separate"/>
        </w:r>
        <w:r>
          <w:rPr>
            <w:rFonts w:eastAsiaTheme="minorHAnsi" w:cstheme="minorBidi"/>
            <w:noProof/>
            <w:webHidden/>
            <w:sz w:val="16"/>
            <w:szCs w:val="16"/>
          </w:rPr>
          <w:t>54</w:t>
        </w:r>
        <w:r w:rsidR="00EB6BA6" w:rsidRPr="001E2F6E">
          <w:rPr>
            <w:rFonts w:eastAsiaTheme="minorHAnsi" w:cstheme="minorBidi"/>
            <w:noProof/>
            <w:webHidden/>
            <w:sz w:val="16"/>
            <w:szCs w:val="16"/>
          </w:rPr>
          <w:fldChar w:fldCharType="end"/>
        </w:r>
      </w:hyperlink>
    </w:p>
    <w:p w:rsidR="000728A0" w:rsidRPr="001E2F6E" w:rsidRDefault="00A327D4" w:rsidP="00B76DF2">
      <w:pPr>
        <w:pStyle w:val="Tabladeilustraciones"/>
        <w:tabs>
          <w:tab w:val="right" w:leader="dot" w:pos="9072"/>
        </w:tabs>
        <w:spacing w:line="240" w:lineRule="auto"/>
        <w:ind w:left="1134" w:hanging="1134"/>
        <w:rPr>
          <w:rFonts w:eastAsiaTheme="minorHAnsi" w:cstheme="minorBidi"/>
          <w:noProof/>
          <w:sz w:val="16"/>
          <w:szCs w:val="16"/>
        </w:rPr>
      </w:pPr>
      <w:hyperlink w:anchor="_Toc392585769" w:history="1">
        <w:r w:rsidR="000728A0" w:rsidRPr="001E2F6E">
          <w:rPr>
            <w:rFonts w:eastAsiaTheme="minorHAnsi" w:cstheme="minorBidi"/>
            <w:noProof/>
            <w:sz w:val="16"/>
            <w:szCs w:val="16"/>
          </w:rPr>
          <w:t xml:space="preserve">1.34 Taula </w:t>
        </w:r>
        <w:r w:rsidR="00B76DF2" w:rsidRPr="001E2F6E">
          <w:rPr>
            <w:rFonts w:eastAsiaTheme="minorHAnsi" w:cstheme="minorBidi"/>
            <w:noProof/>
            <w:sz w:val="16"/>
            <w:szCs w:val="16"/>
          </w:rPr>
          <w:tab/>
        </w:r>
        <w:r w:rsidR="000728A0" w:rsidRPr="001E2F6E">
          <w:rPr>
            <w:rFonts w:eastAsiaTheme="minorHAnsi" w:cstheme="minorBidi"/>
            <w:noProof/>
            <w:sz w:val="16"/>
            <w:szCs w:val="16"/>
          </w:rPr>
          <w:t>BEGd-aren BANAKETA FORMA JURIDIKOA ETA JARDUERA SEKTOREAREN ARABERA. 2012 (zifra absolutuak eta % bertikalak)</w:t>
        </w:r>
        <w:r w:rsidR="000728A0" w:rsidRPr="001E2F6E">
          <w:rPr>
            <w:rFonts w:eastAsiaTheme="minorHAnsi" w:cstheme="minorBidi"/>
            <w:noProof/>
            <w:webHidden/>
            <w:sz w:val="16"/>
            <w:szCs w:val="16"/>
          </w:rPr>
          <w:tab/>
        </w:r>
        <w:r w:rsidR="00EB6BA6" w:rsidRPr="001E2F6E">
          <w:rPr>
            <w:rFonts w:eastAsiaTheme="minorHAnsi" w:cstheme="minorBidi"/>
            <w:noProof/>
            <w:webHidden/>
            <w:sz w:val="16"/>
            <w:szCs w:val="16"/>
          </w:rPr>
          <w:fldChar w:fldCharType="begin"/>
        </w:r>
        <w:r w:rsidR="000728A0" w:rsidRPr="001E2F6E">
          <w:rPr>
            <w:rFonts w:eastAsiaTheme="minorHAnsi" w:cstheme="minorBidi"/>
            <w:noProof/>
            <w:webHidden/>
            <w:sz w:val="16"/>
            <w:szCs w:val="16"/>
          </w:rPr>
          <w:instrText xml:space="preserve"> PAGEREF _Toc392585769 \h </w:instrText>
        </w:r>
        <w:r w:rsidR="00EB6BA6" w:rsidRPr="001E2F6E">
          <w:rPr>
            <w:rFonts w:eastAsiaTheme="minorHAnsi" w:cstheme="minorBidi"/>
            <w:noProof/>
            <w:webHidden/>
            <w:sz w:val="16"/>
            <w:szCs w:val="16"/>
          </w:rPr>
        </w:r>
        <w:r w:rsidR="00EB6BA6" w:rsidRPr="001E2F6E">
          <w:rPr>
            <w:rFonts w:eastAsiaTheme="minorHAnsi" w:cstheme="minorBidi"/>
            <w:noProof/>
            <w:webHidden/>
            <w:sz w:val="16"/>
            <w:szCs w:val="16"/>
          </w:rPr>
          <w:fldChar w:fldCharType="separate"/>
        </w:r>
        <w:r>
          <w:rPr>
            <w:rFonts w:eastAsiaTheme="minorHAnsi" w:cstheme="minorBidi"/>
            <w:noProof/>
            <w:webHidden/>
            <w:sz w:val="16"/>
            <w:szCs w:val="16"/>
          </w:rPr>
          <w:t>55</w:t>
        </w:r>
        <w:r w:rsidR="00EB6BA6" w:rsidRPr="001E2F6E">
          <w:rPr>
            <w:rFonts w:eastAsiaTheme="minorHAnsi" w:cstheme="minorBidi"/>
            <w:noProof/>
            <w:webHidden/>
            <w:sz w:val="16"/>
            <w:szCs w:val="16"/>
          </w:rPr>
          <w:fldChar w:fldCharType="end"/>
        </w:r>
      </w:hyperlink>
    </w:p>
    <w:p w:rsidR="000728A0" w:rsidRPr="001E2F6E" w:rsidRDefault="00A327D4" w:rsidP="00B76DF2">
      <w:pPr>
        <w:pStyle w:val="Tabladeilustraciones"/>
        <w:tabs>
          <w:tab w:val="right" w:leader="dot" w:pos="9072"/>
        </w:tabs>
        <w:spacing w:line="240" w:lineRule="auto"/>
        <w:ind w:left="1134" w:hanging="1134"/>
        <w:rPr>
          <w:rFonts w:eastAsiaTheme="minorHAnsi" w:cstheme="minorBidi"/>
          <w:noProof/>
          <w:sz w:val="16"/>
          <w:szCs w:val="16"/>
        </w:rPr>
      </w:pPr>
      <w:hyperlink w:anchor="_Toc392585770" w:history="1">
        <w:r w:rsidR="000728A0" w:rsidRPr="001E2F6E">
          <w:rPr>
            <w:rFonts w:eastAsiaTheme="minorHAnsi" w:cstheme="minorBidi"/>
            <w:noProof/>
            <w:sz w:val="16"/>
            <w:szCs w:val="16"/>
          </w:rPr>
          <w:t xml:space="preserve">1.35 Taula </w:t>
        </w:r>
        <w:r w:rsidR="00B76DF2" w:rsidRPr="001E2F6E">
          <w:rPr>
            <w:rFonts w:eastAsiaTheme="minorHAnsi" w:cstheme="minorBidi"/>
            <w:noProof/>
            <w:sz w:val="16"/>
            <w:szCs w:val="16"/>
          </w:rPr>
          <w:tab/>
        </w:r>
        <w:r w:rsidR="000728A0" w:rsidRPr="001E2F6E">
          <w:rPr>
            <w:rFonts w:eastAsiaTheme="minorHAnsi" w:cstheme="minorBidi"/>
            <w:noProof/>
            <w:sz w:val="16"/>
            <w:szCs w:val="16"/>
          </w:rPr>
          <w:t>ARLOZ ARLOKO PRODUKTIBITATE ANTZEMANGARRIA KOOPERATIBA, SAL ETA SML SOZIETATEETAN. KONPARAZIOZKO ERREFERENTZIA 2010 eta 2012 (BEGd euroak/enplegatua).</w:t>
        </w:r>
        <w:r w:rsidR="000728A0" w:rsidRPr="001E2F6E">
          <w:rPr>
            <w:rFonts w:eastAsiaTheme="minorHAnsi" w:cstheme="minorBidi"/>
            <w:noProof/>
            <w:webHidden/>
            <w:sz w:val="16"/>
            <w:szCs w:val="16"/>
          </w:rPr>
          <w:tab/>
        </w:r>
        <w:r w:rsidR="00EB6BA6" w:rsidRPr="001E2F6E">
          <w:rPr>
            <w:rFonts w:eastAsiaTheme="minorHAnsi" w:cstheme="minorBidi"/>
            <w:noProof/>
            <w:webHidden/>
            <w:sz w:val="16"/>
            <w:szCs w:val="16"/>
          </w:rPr>
          <w:fldChar w:fldCharType="begin"/>
        </w:r>
        <w:r w:rsidR="000728A0" w:rsidRPr="001E2F6E">
          <w:rPr>
            <w:rFonts w:eastAsiaTheme="minorHAnsi" w:cstheme="minorBidi"/>
            <w:noProof/>
            <w:webHidden/>
            <w:sz w:val="16"/>
            <w:szCs w:val="16"/>
          </w:rPr>
          <w:instrText xml:space="preserve"> PAGEREF _Toc392585770 \h </w:instrText>
        </w:r>
        <w:r w:rsidR="00EB6BA6" w:rsidRPr="001E2F6E">
          <w:rPr>
            <w:rFonts w:eastAsiaTheme="minorHAnsi" w:cstheme="minorBidi"/>
            <w:noProof/>
            <w:webHidden/>
            <w:sz w:val="16"/>
            <w:szCs w:val="16"/>
          </w:rPr>
        </w:r>
        <w:r w:rsidR="00EB6BA6" w:rsidRPr="001E2F6E">
          <w:rPr>
            <w:rFonts w:eastAsiaTheme="minorHAnsi" w:cstheme="minorBidi"/>
            <w:noProof/>
            <w:webHidden/>
            <w:sz w:val="16"/>
            <w:szCs w:val="16"/>
          </w:rPr>
          <w:fldChar w:fldCharType="separate"/>
        </w:r>
        <w:r>
          <w:rPr>
            <w:rFonts w:eastAsiaTheme="minorHAnsi" w:cstheme="minorBidi"/>
            <w:noProof/>
            <w:webHidden/>
            <w:sz w:val="16"/>
            <w:szCs w:val="16"/>
          </w:rPr>
          <w:t>55</w:t>
        </w:r>
        <w:r w:rsidR="00EB6BA6" w:rsidRPr="001E2F6E">
          <w:rPr>
            <w:rFonts w:eastAsiaTheme="minorHAnsi" w:cstheme="minorBidi"/>
            <w:noProof/>
            <w:webHidden/>
            <w:sz w:val="16"/>
            <w:szCs w:val="16"/>
          </w:rPr>
          <w:fldChar w:fldCharType="end"/>
        </w:r>
      </w:hyperlink>
    </w:p>
    <w:p w:rsidR="000728A0" w:rsidRPr="001E2F6E" w:rsidRDefault="00A327D4" w:rsidP="00B76DF2">
      <w:pPr>
        <w:pStyle w:val="Tabladeilustraciones"/>
        <w:tabs>
          <w:tab w:val="right" w:leader="dot" w:pos="9072"/>
        </w:tabs>
        <w:spacing w:line="240" w:lineRule="auto"/>
        <w:ind w:left="1134" w:hanging="1134"/>
        <w:rPr>
          <w:rFonts w:eastAsiaTheme="minorHAnsi" w:cstheme="minorBidi"/>
          <w:noProof/>
          <w:sz w:val="16"/>
          <w:szCs w:val="16"/>
        </w:rPr>
      </w:pPr>
      <w:hyperlink w:anchor="_Toc392585771" w:history="1">
        <w:r w:rsidR="000728A0" w:rsidRPr="001E2F6E">
          <w:rPr>
            <w:rFonts w:eastAsiaTheme="minorHAnsi" w:cstheme="minorBidi"/>
            <w:noProof/>
            <w:sz w:val="16"/>
            <w:szCs w:val="16"/>
          </w:rPr>
          <w:t xml:space="preserve">1.36 Taula </w:t>
        </w:r>
        <w:r w:rsidR="00B76DF2" w:rsidRPr="001E2F6E">
          <w:rPr>
            <w:rFonts w:eastAsiaTheme="minorHAnsi" w:cstheme="minorBidi"/>
            <w:noProof/>
            <w:sz w:val="16"/>
            <w:szCs w:val="16"/>
          </w:rPr>
          <w:tab/>
        </w:r>
        <w:r w:rsidR="000728A0" w:rsidRPr="001E2F6E">
          <w:rPr>
            <w:rFonts w:eastAsiaTheme="minorHAnsi" w:cstheme="minorBidi"/>
            <w:noProof/>
            <w:sz w:val="16"/>
            <w:szCs w:val="16"/>
          </w:rPr>
          <w:t>GIZARTE-EKONOMIAREN ALORREKO ESTABLEZIMENDUEN ETA ENPLEGUEN LURRALDE-BANAKETA. (zifra absolutuak eta %bertikalak). 2012</w:t>
        </w:r>
        <w:r w:rsidR="000728A0" w:rsidRPr="001E2F6E">
          <w:rPr>
            <w:rFonts w:eastAsiaTheme="minorHAnsi" w:cstheme="minorBidi"/>
            <w:noProof/>
            <w:webHidden/>
            <w:sz w:val="16"/>
            <w:szCs w:val="16"/>
          </w:rPr>
          <w:tab/>
        </w:r>
        <w:r w:rsidR="00EB6BA6" w:rsidRPr="001E2F6E">
          <w:rPr>
            <w:rFonts w:eastAsiaTheme="minorHAnsi" w:cstheme="minorBidi"/>
            <w:noProof/>
            <w:webHidden/>
            <w:sz w:val="16"/>
            <w:szCs w:val="16"/>
          </w:rPr>
          <w:fldChar w:fldCharType="begin"/>
        </w:r>
        <w:r w:rsidR="000728A0" w:rsidRPr="001E2F6E">
          <w:rPr>
            <w:rFonts w:eastAsiaTheme="minorHAnsi" w:cstheme="minorBidi"/>
            <w:noProof/>
            <w:webHidden/>
            <w:sz w:val="16"/>
            <w:szCs w:val="16"/>
          </w:rPr>
          <w:instrText xml:space="preserve"> PAGEREF _Toc392585771 \h </w:instrText>
        </w:r>
        <w:r w:rsidR="00EB6BA6" w:rsidRPr="001E2F6E">
          <w:rPr>
            <w:rFonts w:eastAsiaTheme="minorHAnsi" w:cstheme="minorBidi"/>
            <w:noProof/>
            <w:webHidden/>
            <w:sz w:val="16"/>
            <w:szCs w:val="16"/>
          </w:rPr>
        </w:r>
        <w:r w:rsidR="00EB6BA6" w:rsidRPr="001E2F6E">
          <w:rPr>
            <w:rFonts w:eastAsiaTheme="minorHAnsi" w:cstheme="minorBidi"/>
            <w:noProof/>
            <w:webHidden/>
            <w:sz w:val="16"/>
            <w:szCs w:val="16"/>
          </w:rPr>
          <w:fldChar w:fldCharType="separate"/>
        </w:r>
        <w:r>
          <w:rPr>
            <w:rFonts w:eastAsiaTheme="minorHAnsi" w:cstheme="minorBidi"/>
            <w:noProof/>
            <w:webHidden/>
            <w:sz w:val="16"/>
            <w:szCs w:val="16"/>
          </w:rPr>
          <w:t>56</w:t>
        </w:r>
        <w:r w:rsidR="00EB6BA6" w:rsidRPr="001E2F6E">
          <w:rPr>
            <w:rFonts w:eastAsiaTheme="minorHAnsi" w:cstheme="minorBidi"/>
            <w:noProof/>
            <w:webHidden/>
            <w:sz w:val="16"/>
            <w:szCs w:val="16"/>
          </w:rPr>
          <w:fldChar w:fldCharType="end"/>
        </w:r>
      </w:hyperlink>
    </w:p>
    <w:p w:rsidR="000728A0" w:rsidRPr="001E2F6E" w:rsidRDefault="00A327D4" w:rsidP="00B76DF2">
      <w:pPr>
        <w:pStyle w:val="Tabladeilustraciones"/>
        <w:tabs>
          <w:tab w:val="right" w:leader="dot" w:pos="9072"/>
        </w:tabs>
        <w:spacing w:line="240" w:lineRule="auto"/>
        <w:ind w:left="1134" w:hanging="1134"/>
        <w:rPr>
          <w:rFonts w:eastAsiaTheme="minorHAnsi" w:cstheme="minorBidi"/>
          <w:noProof/>
          <w:sz w:val="16"/>
          <w:szCs w:val="16"/>
        </w:rPr>
      </w:pPr>
      <w:hyperlink w:anchor="_Toc392585772" w:history="1">
        <w:r w:rsidR="000728A0" w:rsidRPr="001E2F6E">
          <w:rPr>
            <w:rFonts w:eastAsiaTheme="minorHAnsi" w:cstheme="minorBidi"/>
            <w:noProof/>
            <w:sz w:val="16"/>
            <w:szCs w:val="16"/>
          </w:rPr>
          <w:t xml:space="preserve">1.37 Taula </w:t>
        </w:r>
        <w:r w:rsidR="00B76DF2" w:rsidRPr="001E2F6E">
          <w:rPr>
            <w:rFonts w:eastAsiaTheme="minorHAnsi" w:cstheme="minorBidi"/>
            <w:noProof/>
            <w:sz w:val="16"/>
            <w:szCs w:val="16"/>
          </w:rPr>
          <w:tab/>
        </w:r>
        <w:r w:rsidR="000728A0" w:rsidRPr="001E2F6E">
          <w:rPr>
            <w:rFonts w:eastAsiaTheme="minorHAnsi" w:cstheme="minorBidi"/>
            <w:noProof/>
            <w:sz w:val="16"/>
            <w:szCs w:val="16"/>
          </w:rPr>
          <w:t>GIZARTE-EKONOMIAREN ALORREKO ENPLEGUEN LURRALDE-BANAKETA, FORMA JURIDIKOAREN ARABERA (zifra absolutuak eta %bertikalak). 2012</w:t>
        </w:r>
        <w:r w:rsidR="000728A0" w:rsidRPr="001E2F6E">
          <w:rPr>
            <w:rFonts w:eastAsiaTheme="minorHAnsi" w:cstheme="minorBidi"/>
            <w:noProof/>
            <w:webHidden/>
            <w:sz w:val="16"/>
            <w:szCs w:val="16"/>
          </w:rPr>
          <w:tab/>
        </w:r>
        <w:r w:rsidR="00EB6BA6" w:rsidRPr="001E2F6E">
          <w:rPr>
            <w:rFonts w:eastAsiaTheme="minorHAnsi" w:cstheme="minorBidi"/>
            <w:noProof/>
            <w:webHidden/>
            <w:sz w:val="16"/>
            <w:szCs w:val="16"/>
          </w:rPr>
          <w:fldChar w:fldCharType="begin"/>
        </w:r>
        <w:r w:rsidR="000728A0" w:rsidRPr="001E2F6E">
          <w:rPr>
            <w:rFonts w:eastAsiaTheme="minorHAnsi" w:cstheme="minorBidi"/>
            <w:noProof/>
            <w:webHidden/>
            <w:sz w:val="16"/>
            <w:szCs w:val="16"/>
          </w:rPr>
          <w:instrText xml:space="preserve"> PAGEREF _Toc392585772 \h </w:instrText>
        </w:r>
        <w:r w:rsidR="00EB6BA6" w:rsidRPr="001E2F6E">
          <w:rPr>
            <w:rFonts w:eastAsiaTheme="minorHAnsi" w:cstheme="minorBidi"/>
            <w:noProof/>
            <w:webHidden/>
            <w:sz w:val="16"/>
            <w:szCs w:val="16"/>
          </w:rPr>
        </w:r>
        <w:r w:rsidR="00EB6BA6" w:rsidRPr="001E2F6E">
          <w:rPr>
            <w:rFonts w:eastAsiaTheme="minorHAnsi" w:cstheme="minorBidi"/>
            <w:noProof/>
            <w:webHidden/>
            <w:sz w:val="16"/>
            <w:szCs w:val="16"/>
          </w:rPr>
          <w:fldChar w:fldCharType="separate"/>
        </w:r>
        <w:r>
          <w:rPr>
            <w:rFonts w:eastAsiaTheme="minorHAnsi" w:cstheme="minorBidi"/>
            <w:noProof/>
            <w:webHidden/>
            <w:sz w:val="16"/>
            <w:szCs w:val="16"/>
          </w:rPr>
          <w:t>57</w:t>
        </w:r>
        <w:r w:rsidR="00EB6BA6" w:rsidRPr="001E2F6E">
          <w:rPr>
            <w:rFonts w:eastAsiaTheme="minorHAnsi" w:cstheme="minorBidi"/>
            <w:noProof/>
            <w:webHidden/>
            <w:sz w:val="16"/>
            <w:szCs w:val="16"/>
          </w:rPr>
          <w:fldChar w:fldCharType="end"/>
        </w:r>
      </w:hyperlink>
    </w:p>
    <w:p w:rsidR="000728A0" w:rsidRPr="001E2F6E" w:rsidRDefault="00A327D4" w:rsidP="00B76DF2">
      <w:pPr>
        <w:pStyle w:val="Tabladeilustraciones"/>
        <w:tabs>
          <w:tab w:val="right" w:leader="dot" w:pos="9072"/>
        </w:tabs>
        <w:spacing w:line="240" w:lineRule="auto"/>
        <w:ind w:left="1134" w:hanging="1134"/>
        <w:rPr>
          <w:rFonts w:eastAsiaTheme="minorHAnsi" w:cstheme="minorBidi"/>
          <w:noProof/>
          <w:sz w:val="16"/>
          <w:szCs w:val="16"/>
        </w:rPr>
      </w:pPr>
      <w:hyperlink w:anchor="_Toc392585773" w:history="1">
        <w:r w:rsidR="000728A0" w:rsidRPr="001E2F6E">
          <w:rPr>
            <w:rFonts w:eastAsiaTheme="minorHAnsi" w:cstheme="minorBidi"/>
            <w:noProof/>
            <w:sz w:val="16"/>
            <w:szCs w:val="16"/>
          </w:rPr>
          <w:t xml:space="preserve">1.38 Taula </w:t>
        </w:r>
        <w:r w:rsidR="00B76DF2" w:rsidRPr="001E2F6E">
          <w:rPr>
            <w:rFonts w:eastAsiaTheme="minorHAnsi" w:cstheme="minorBidi"/>
            <w:noProof/>
            <w:sz w:val="16"/>
            <w:szCs w:val="16"/>
          </w:rPr>
          <w:tab/>
        </w:r>
        <w:r w:rsidR="000728A0" w:rsidRPr="001E2F6E">
          <w:rPr>
            <w:rFonts w:eastAsiaTheme="minorHAnsi" w:cstheme="minorBidi"/>
            <w:noProof/>
            <w:sz w:val="16"/>
            <w:szCs w:val="16"/>
          </w:rPr>
          <w:t>GIZARTE-EKONOMIAREN ALORREKO ENPLEGUEN LURRALDE-BANAKETA,  FORMA JURIDIKOAREN ARABERA 2012 (% horizontalak)</w:t>
        </w:r>
        <w:r w:rsidR="000728A0" w:rsidRPr="001E2F6E">
          <w:rPr>
            <w:rFonts w:eastAsiaTheme="minorHAnsi" w:cstheme="minorBidi"/>
            <w:noProof/>
            <w:webHidden/>
            <w:sz w:val="16"/>
            <w:szCs w:val="16"/>
          </w:rPr>
          <w:tab/>
        </w:r>
        <w:r w:rsidR="00EB6BA6" w:rsidRPr="001E2F6E">
          <w:rPr>
            <w:rFonts w:eastAsiaTheme="minorHAnsi" w:cstheme="minorBidi"/>
            <w:noProof/>
            <w:webHidden/>
            <w:sz w:val="16"/>
            <w:szCs w:val="16"/>
          </w:rPr>
          <w:fldChar w:fldCharType="begin"/>
        </w:r>
        <w:r w:rsidR="000728A0" w:rsidRPr="001E2F6E">
          <w:rPr>
            <w:rFonts w:eastAsiaTheme="minorHAnsi" w:cstheme="minorBidi"/>
            <w:noProof/>
            <w:webHidden/>
            <w:sz w:val="16"/>
            <w:szCs w:val="16"/>
          </w:rPr>
          <w:instrText xml:space="preserve"> PAGEREF _Toc392585773 \h </w:instrText>
        </w:r>
        <w:r w:rsidR="00EB6BA6" w:rsidRPr="001E2F6E">
          <w:rPr>
            <w:rFonts w:eastAsiaTheme="minorHAnsi" w:cstheme="minorBidi"/>
            <w:noProof/>
            <w:webHidden/>
            <w:sz w:val="16"/>
            <w:szCs w:val="16"/>
          </w:rPr>
        </w:r>
        <w:r w:rsidR="00EB6BA6" w:rsidRPr="001E2F6E">
          <w:rPr>
            <w:rFonts w:eastAsiaTheme="minorHAnsi" w:cstheme="minorBidi"/>
            <w:noProof/>
            <w:webHidden/>
            <w:sz w:val="16"/>
            <w:szCs w:val="16"/>
          </w:rPr>
          <w:fldChar w:fldCharType="separate"/>
        </w:r>
        <w:r>
          <w:rPr>
            <w:rFonts w:eastAsiaTheme="minorHAnsi" w:cstheme="minorBidi"/>
            <w:noProof/>
            <w:webHidden/>
            <w:sz w:val="16"/>
            <w:szCs w:val="16"/>
          </w:rPr>
          <w:t>57</w:t>
        </w:r>
        <w:r w:rsidR="00EB6BA6" w:rsidRPr="001E2F6E">
          <w:rPr>
            <w:rFonts w:eastAsiaTheme="minorHAnsi" w:cstheme="minorBidi"/>
            <w:noProof/>
            <w:webHidden/>
            <w:sz w:val="16"/>
            <w:szCs w:val="16"/>
          </w:rPr>
          <w:fldChar w:fldCharType="end"/>
        </w:r>
      </w:hyperlink>
    </w:p>
    <w:p w:rsidR="000728A0" w:rsidRPr="001E2F6E" w:rsidRDefault="00A327D4" w:rsidP="00B76DF2">
      <w:pPr>
        <w:pStyle w:val="Tabladeilustraciones"/>
        <w:tabs>
          <w:tab w:val="right" w:leader="dot" w:pos="9072"/>
        </w:tabs>
        <w:spacing w:line="240" w:lineRule="auto"/>
        <w:ind w:left="1134" w:hanging="1134"/>
        <w:rPr>
          <w:rFonts w:eastAsiaTheme="minorHAnsi" w:cstheme="minorBidi"/>
          <w:noProof/>
          <w:sz w:val="16"/>
          <w:szCs w:val="16"/>
        </w:rPr>
      </w:pPr>
      <w:hyperlink w:anchor="_Toc392585774" w:history="1">
        <w:r w:rsidR="000728A0" w:rsidRPr="001E2F6E">
          <w:rPr>
            <w:rFonts w:eastAsiaTheme="minorHAnsi" w:cstheme="minorBidi"/>
            <w:noProof/>
            <w:sz w:val="16"/>
            <w:szCs w:val="16"/>
          </w:rPr>
          <w:t xml:space="preserve">1.39 Taula </w:t>
        </w:r>
        <w:r w:rsidR="00B76DF2" w:rsidRPr="001E2F6E">
          <w:rPr>
            <w:rFonts w:eastAsiaTheme="minorHAnsi" w:cstheme="minorBidi"/>
            <w:noProof/>
            <w:sz w:val="16"/>
            <w:szCs w:val="16"/>
          </w:rPr>
          <w:tab/>
        </w:r>
        <w:r w:rsidR="000728A0" w:rsidRPr="001E2F6E">
          <w:rPr>
            <w:rFonts w:eastAsiaTheme="minorHAnsi" w:cstheme="minorBidi"/>
            <w:noProof/>
            <w:sz w:val="16"/>
            <w:szCs w:val="16"/>
          </w:rPr>
          <w:t>GIZARTE-EKONOMIAREN ALORREKO ENPLEGUEN ARLOZ ARLOKO BANAKETA LURRALDE HISTORIKOAREN ARABERA 2012 (zifra absolutuak eta %bertikalak)</w:t>
        </w:r>
        <w:r w:rsidR="000728A0" w:rsidRPr="001E2F6E">
          <w:rPr>
            <w:rFonts w:eastAsiaTheme="minorHAnsi" w:cstheme="minorBidi"/>
            <w:noProof/>
            <w:webHidden/>
            <w:sz w:val="16"/>
            <w:szCs w:val="16"/>
          </w:rPr>
          <w:tab/>
        </w:r>
        <w:r w:rsidR="00EB6BA6" w:rsidRPr="001E2F6E">
          <w:rPr>
            <w:rFonts w:eastAsiaTheme="minorHAnsi" w:cstheme="minorBidi"/>
            <w:noProof/>
            <w:webHidden/>
            <w:sz w:val="16"/>
            <w:szCs w:val="16"/>
          </w:rPr>
          <w:fldChar w:fldCharType="begin"/>
        </w:r>
        <w:r w:rsidR="000728A0" w:rsidRPr="001E2F6E">
          <w:rPr>
            <w:rFonts w:eastAsiaTheme="minorHAnsi" w:cstheme="minorBidi"/>
            <w:noProof/>
            <w:webHidden/>
            <w:sz w:val="16"/>
            <w:szCs w:val="16"/>
          </w:rPr>
          <w:instrText xml:space="preserve"> PAGEREF _Toc392585774 \h </w:instrText>
        </w:r>
        <w:r w:rsidR="00EB6BA6" w:rsidRPr="001E2F6E">
          <w:rPr>
            <w:rFonts w:eastAsiaTheme="minorHAnsi" w:cstheme="minorBidi"/>
            <w:noProof/>
            <w:webHidden/>
            <w:sz w:val="16"/>
            <w:szCs w:val="16"/>
          </w:rPr>
        </w:r>
        <w:r w:rsidR="00EB6BA6" w:rsidRPr="001E2F6E">
          <w:rPr>
            <w:rFonts w:eastAsiaTheme="minorHAnsi" w:cstheme="minorBidi"/>
            <w:noProof/>
            <w:webHidden/>
            <w:sz w:val="16"/>
            <w:szCs w:val="16"/>
          </w:rPr>
          <w:fldChar w:fldCharType="separate"/>
        </w:r>
        <w:r>
          <w:rPr>
            <w:rFonts w:eastAsiaTheme="minorHAnsi" w:cstheme="minorBidi"/>
            <w:noProof/>
            <w:webHidden/>
            <w:sz w:val="16"/>
            <w:szCs w:val="16"/>
          </w:rPr>
          <w:t>58</w:t>
        </w:r>
        <w:r w:rsidR="00EB6BA6" w:rsidRPr="001E2F6E">
          <w:rPr>
            <w:rFonts w:eastAsiaTheme="minorHAnsi" w:cstheme="minorBidi"/>
            <w:noProof/>
            <w:webHidden/>
            <w:sz w:val="16"/>
            <w:szCs w:val="16"/>
          </w:rPr>
          <w:fldChar w:fldCharType="end"/>
        </w:r>
      </w:hyperlink>
    </w:p>
    <w:p w:rsidR="000728A0" w:rsidRPr="001E2F6E" w:rsidRDefault="00A327D4" w:rsidP="00B76DF2">
      <w:pPr>
        <w:pStyle w:val="Tabladeilustraciones"/>
        <w:tabs>
          <w:tab w:val="right" w:leader="dot" w:pos="9072"/>
        </w:tabs>
        <w:spacing w:line="240" w:lineRule="auto"/>
        <w:ind w:left="1134" w:hanging="1134"/>
        <w:rPr>
          <w:rFonts w:eastAsiaTheme="minorHAnsi" w:cstheme="minorBidi"/>
          <w:noProof/>
          <w:sz w:val="16"/>
          <w:szCs w:val="16"/>
        </w:rPr>
      </w:pPr>
      <w:hyperlink w:anchor="_Toc392585775" w:history="1">
        <w:r w:rsidR="000728A0" w:rsidRPr="001E2F6E">
          <w:rPr>
            <w:rFonts w:eastAsiaTheme="minorHAnsi" w:cstheme="minorBidi"/>
            <w:noProof/>
            <w:sz w:val="16"/>
            <w:szCs w:val="16"/>
          </w:rPr>
          <w:t xml:space="preserve">1.40 Taula </w:t>
        </w:r>
        <w:r w:rsidR="00B76DF2" w:rsidRPr="001E2F6E">
          <w:rPr>
            <w:rFonts w:eastAsiaTheme="minorHAnsi" w:cstheme="minorBidi"/>
            <w:noProof/>
            <w:sz w:val="16"/>
            <w:szCs w:val="16"/>
          </w:rPr>
          <w:tab/>
        </w:r>
        <w:r w:rsidR="000728A0" w:rsidRPr="001E2F6E">
          <w:rPr>
            <w:rFonts w:eastAsiaTheme="minorHAnsi" w:cstheme="minorBidi"/>
            <w:noProof/>
            <w:sz w:val="16"/>
            <w:szCs w:val="16"/>
          </w:rPr>
          <w:t>GIZARTE-EKONOMIAREN INDUSTRIA-ENPLEGUAREN LURRALDE-BANAKETA ETA BILAKAERA. 2010-2012</w:t>
        </w:r>
        <w:r w:rsidR="000728A0" w:rsidRPr="001E2F6E">
          <w:rPr>
            <w:rFonts w:eastAsiaTheme="minorHAnsi" w:cstheme="minorBidi"/>
            <w:noProof/>
            <w:webHidden/>
            <w:sz w:val="16"/>
            <w:szCs w:val="16"/>
          </w:rPr>
          <w:tab/>
        </w:r>
        <w:r w:rsidR="00EB6BA6" w:rsidRPr="001E2F6E">
          <w:rPr>
            <w:rFonts w:eastAsiaTheme="minorHAnsi" w:cstheme="minorBidi"/>
            <w:noProof/>
            <w:webHidden/>
            <w:sz w:val="16"/>
            <w:szCs w:val="16"/>
          </w:rPr>
          <w:fldChar w:fldCharType="begin"/>
        </w:r>
        <w:r w:rsidR="000728A0" w:rsidRPr="001E2F6E">
          <w:rPr>
            <w:rFonts w:eastAsiaTheme="minorHAnsi" w:cstheme="minorBidi"/>
            <w:noProof/>
            <w:webHidden/>
            <w:sz w:val="16"/>
            <w:szCs w:val="16"/>
          </w:rPr>
          <w:instrText xml:space="preserve"> PAGEREF _Toc392585775 \h </w:instrText>
        </w:r>
        <w:r w:rsidR="00EB6BA6" w:rsidRPr="001E2F6E">
          <w:rPr>
            <w:rFonts w:eastAsiaTheme="minorHAnsi" w:cstheme="minorBidi"/>
            <w:noProof/>
            <w:webHidden/>
            <w:sz w:val="16"/>
            <w:szCs w:val="16"/>
          </w:rPr>
        </w:r>
        <w:r w:rsidR="00EB6BA6" w:rsidRPr="001E2F6E">
          <w:rPr>
            <w:rFonts w:eastAsiaTheme="minorHAnsi" w:cstheme="minorBidi"/>
            <w:noProof/>
            <w:webHidden/>
            <w:sz w:val="16"/>
            <w:szCs w:val="16"/>
          </w:rPr>
          <w:fldChar w:fldCharType="separate"/>
        </w:r>
        <w:r>
          <w:rPr>
            <w:rFonts w:eastAsiaTheme="minorHAnsi" w:cstheme="minorBidi"/>
            <w:noProof/>
            <w:webHidden/>
            <w:sz w:val="16"/>
            <w:szCs w:val="16"/>
          </w:rPr>
          <w:t>58</w:t>
        </w:r>
        <w:r w:rsidR="00EB6BA6" w:rsidRPr="001E2F6E">
          <w:rPr>
            <w:rFonts w:eastAsiaTheme="minorHAnsi" w:cstheme="minorBidi"/>
            <w:noProof/>
            <w:webHidden/>
            <w:sz w:val="16"/>
            <w:szCs w:val="16"/>
          </w:rPr>
          <w:fldChar w:fldCharType="end"/>
        </w:r>
      </w:hyperlink>
    </w:p>
    <w:p w:rsidR="000728A0" w:rsidRPr="001E2F6E" w:rsidRDefault="00A327D4" w:rsidP="00B76DF2">
      <w:pPr>
        <w:pStyle w:val="Tabladeilustraciones"/>
        <w:tabs>
          <w:tab w:val="right" w:leader="dot" w:pos="9072"/>
        </w:tabs>
        <w:spacing w:line="240" w:lineRule="auto"/>
        <w:ind w:left="1134" w:hanging="1134"/>
        <w:rPr>
          <w:rFonts w:eastAsiaTheme="minorHAnsi" w:cstheme="minorBidi"/>
          <w:noProof/>
          <w:sz w:val="16"/>
          <w:szCs w:val="16"/>
        </w:rPr>
      </w:pPr>
      <w:hyperlink w:anchor="_Toc392585776" w:history="1">
        <w:r w:rsidR="000728A0" w:rsidRPr="001E2F6E">
          <w:rPr>
            <w:rFonts w:eastAsiaTheme="minorHAnsi" w:cstheme="minorBidi"/>
            <w:noProof/>
            <w:sz w:val="16"/>
            <w:szCs w:val="16"/>
          </w:rPr>
          <w:t xml:space="preserve">1.41 Taula </w:t>
        </w:r>
        <w:r w:rsidR="00B76DF2" w:rsidRPr="001E2F6E">
          <w:rPr>
            <w:rFonts w:eastAsiaTheme="minorHAnsi" w:cstheme="minorBidi"/>
            <w:noProof/>
            <w:sz w:val="16"/>
            <w:szCs w:val="16"/>
          </w:rPr>
          <w:tab/>
        </w:r>
        <w:r w:rsidR="000728A0" w:rsidRPr="001E2F6E">
          <w:rPr>
            <w:rFonts w:eastAsiaTheme="minorHAnsi" w:cstheme="minorBidi"/>
            <w:noProof/>
            <w:sz w:val="16"/>
            <w:szCs w:val="16"/>
          </w:rPr>
          <w:t>INDUSTRIA-ENPLEGUAREN LURRALDE BANAKETA FORMA JURIDIKOAREN ARABERA ETA BERE BILAKAERA 2010-2012</w:t>
        </w:r>
        <w:r w:rsidR="000728A0" w:rsidRPr="001E2F6E">
          <w:rPr>
            <w:rFonts w:eastAsiaTheme="minorHAnsi" w:cstheme="minorBidi"/>
            <w:noProof/>
            <w:webHidden/>
            <w:sz w:val="16"/>
            <w:szCs w:val="16"/>
          </w:rPr>
          <w:tab/>
        </w:r>
        <w:r w:rsidR="00EB6BA6" w:rsidRPr="001E2F6E">
          <w:rPr>
            <w:rFonts w:eastAsiaTheme="minorHAnsi" w:cstheme="minorBidi"/>
            <w:noProof/>
            <w:webHidden/>
            <w:sz w:val="16"/>
            <w:szCs w:val="16"/>
          </w:rPr>
          <w:fldChar w:fldCharType="begin"/>
        </w:r>
        <w:r w:rsidR="000728A0" w:rsidRPr="001E2F6E">
          <w:rPr>
            <w:rFonts w:eastAsiaTheme="minorHAnsi" w:cstheme="minorBidi"/>
            <w:noProof/>
            <w:webHidden/>
            <w:sz w:val="16"/>
            <w:szCs w:val="16"/>
          </w:rPr>
          <w:instrText xml:space="preserve"> PAGEREF _Toc392585776 \h </w:instrText>
        </w:r>
        <w:r w:rsidR="00EB6BA6" w:rsidRPr="001E2F6E">
          <w:rPr>
            <w:rFonts w:eastAsiaTheme="minorHAnsi" w:cstheme="minorBidi"/>
            <w:noProof/>
            <w:webHidden/>
            <w:sz w:val="16"/>
            <w:szCs w:val="16"/>
          </w:rPr>
        </w:r>
        <w:r w:rsidR="00EB6BA6" w:rsidRPr="001E2F6E">
          <w:rPr>
            <w:rFonts w:eastAsiaTheme="minorHAnsi" w:cstheme="minorBidi"/>
            <w:noProof/>
            <w:webHidden/>
            <w:sz w:val="16"/>
            <w:szCs w:val="16"/>
          </w:rPr>
          <w:fldChar w:fldCharType="separate"/>
        </w:r>
        <w:r>
          <w:rPr>
            <w:rFonts w:eastAsiaTheme="minorHAnsi" w:cstheme="minorBidi"/>
            <w:noProof/>
            <w:webHidden/>
            <w:sz w:val="16"/>
            <w:szCs w:val="16"/>
          </w:rPr>
          <w:t>58</w:t>
        </w:r>
        <w:r w:rsidR="00EB6BA6" w:rsidRPr="001E2F6E">
          <w:rPr>
            <w:rFonts w:eastAsiaTheme="minorHAnsi" w:cstheme="minorBidi"/>
            <w:noProof/>
            <w:webHidden/>
            <w:sz w:val="16"/>
            <w:szCs w:val="16"/>
          </w:rPr>
          <w:fldChar w:fldCharType="end"/>
        </w:r>
      </w:hyperlink>
    </w:p>
    <w:p w:rsidR="000728A0" w:rsidRPr="001E2F6E" w:rsidRDefault="00A327D4" w:rsidP="00B76DF2">
      <w:pPr>
        <w:pStyle w:val="Tabladeilustraciones"/>
        <w:tabs>
          <w:tab w:val="right" w:leader="dot" w:pos="9072"/>
        </w:tabs>
        <w:spacing w:line="240" w:lineRule="auto"/>
        <w:ind w:left="1134" w:hanging="1134"/>
        <w:rPr>
          <w:rFonts w:eastAsiaTheme="minorHAnsi" w:cstheme="minorBidi"/>
          <w:noProof/>
          <w:sz w:val="16"/>
          <w:szCs w:val="16"/>
        </w:rPr>
      </w:pPr>
      <w:hyperlink w:anchor="_Toc392585777" w:history="1">
        <w:r w:rsidR="000728A0" w:rsidRPr="001E2F6E">
          <w:rPr>
            <w:rFonts w:eastAsiaTheme="minorHAnsi" w:cstheme="minorBidi"/>
            <w:noProof/>
            <w:sz w:val="16"/>
            <w:szCs w:val="16"/>
          </w:rPr>
          <w:t xml:space="preserve">1.42 Taula </w:t>
        </w:r>
        <w:r w:rsidR="00B76DF2" w:rsidRPr="001E2F6E">
          <w:rPr>
            <w:rFonts w:eastAsiaTheme="minorHAnsi" w:cstheme="minorBidi"/>
            <w:noProof/>
            <w:sz w:val="16"/>
            <w:szCs w:val="16"/>
          </w:rPr>
          <w:tab/>
        </w:r>
        <w:r w:rsidR="000728A0" w:rsidRPr="001E2F6E">
          <w:rPr>
            <w:rFonts w:eastAsiaTheme="minorHAnsi" w:cstheme="minorBidi"/>
            <w:noProof/>
            <w:sz w:val="16"/>
            <w:szCs w:val="16"/>
          </w:rPr>
          <w:t>GIZARTE-EKONOMIAREN ALORREKO ENPLEGUEN ARLOZ ARLOKO BANAKETA,  LURRALDE HISTORIKOAREN ARABERA. (duen garrantzi erlatiboa,%, euskal ekonomia osoari dagokionez). 2012</w:t>
        </w:r>
        <w:r w:rsidR="000728A0" w:rsidRPr="001E2F6E">
          <w:rPr>
            <w:rFonts w:eastAsiaTheme="minorHAnsi" w:cstheme="minorBidi"/>
            <w:noProof/>
            <w:webHidden/>
            <w:sz w:val="16"/>
            <w:szCs w:val="16"/>
          </w:rPr>
          <w:tab/>
        </w:r>
        <w:r w:rsidR="00EB6BA6" w:rsidRPr="001E2F6E">
          <w:rPr>
            <w:rFonts w:eastAsiaTheme="minorHAnsi" w:cstheme="minorBidi"/>
            <w:noProof/>
            <w:webHidden/>
            <w:sz w:val="16"/>
            <w:szCs w:val="16"/>
          </w:rPr>
          <w:fldChar w:fldCharType="begin"/>
        </w:r>
        <w:r w:rsidR="000728A0" w:rsidRPr="001E2F6E">
          <w:rPr>
            <w:rFonts w:eastAsiaTheme="minorHAnsi" w:cstheme="minorBidi"/>
            <w:noProof/>
            <w:webHidden/>
            <w:sz w:val="16"/>
            <w:szCs w:val="16"/>
          </w:rPr>
          <w:instrText xml:space="preserve"> PAGEREF _Toc392585777 \h </w:instrText>
        </w:r>
        <w:r w:rsidR="00EB6BA6" w:rsidRPr="001E2F6E">
          <w:rPr>
            <w:rFonts w:eastAsiaTheme="minorHAnsi" w:cstheme="minorBidi"/>
            <w:noProof/>
            <w:webHidden/>
            <w:sz w:val="16"/>
            <w:szCs w:val="16"/>
          </w:rPr>
        </w:r>
        <w:r w:rsidR="00EB6BA6" w:rsidRPr="001E2F6E">
          <w:rPr>
            <w:rFonts w:eastAsiaTheme="minorHAnsi" w:cstheme="minorBidi"/>
            <w:noProof/>
            <w:webHidden/>
            <w:sz w:val="16"/>
            <w:szCs w:val="16"/>
          </w:rPr>
          <w:fldChar w:fldCharType="separate"/>
        </w:r>
        <w:r>
          <w:rPr>
            <w:rFonts w:eastAsiaTheme="minorHAnsi" w:cstheme="minorBidi"/>
            <w:noProof/>
            <w:webHidden/>
            <w:sz w:val="16"/>
            <w:szCs w:val="16"/>
          </w:rPr>
          <w:t>59</w:t>
        </w:r>
        <w:r w:rsidR="00EB6BA6" w:rsidRPr="001E2F6E">
          <w:rPr>
            <w:rFonts w:eastAsiaTheme="minorHAnsi" w:cstheme="minorBidi"/>
            <w:noProof/>
            <w:webHidden/>
            <w:sz w:val="16"/>
            <w:szCs w:val="16"/>
          </w:rPr>
          <w:fldChar w:fldCharType="end"/>
        </w:r>
      </w:hyperlink>
    </w:p>
    <w:p w:rsidR="000728A0" w:rsidRPr="001E2F6E" w:rsidRDefault="00A327D4" w:rsidP="00B76DF2">
      <w:pPr>
        <w:pStyle w:val="Tabladeilustraciones"/>
        <w:tabs>
          <w:tab w:val="right" w:leader="dot" w:pos="9072"/>
        </w:tabs>
        <w:spacing w:line="240" w:lineRule="auto"/>
        <w:ind w:left="1134" w:hanging="1134"/>
        <w:rPr>
          <w:rFonts w:eastAsiaTheme="minorHAnsi" w:cstheme="minorBidi"/>
          <w:noProof/>
          <w:sz w:val="16"/>
          <w:szCs w:val="16"/>
        </w:rPr>
      </w:pPr>
      <w:hyperlink w:anchor="_Toc392585778" w:history="1">
        <w:r w:rsidR="000728A0" w:rsidRPr="001E2F6E">
          <w:rPr>
            <w:rFonts w:eastAsiaTheme="minorHAnsi" w:cstheme="minorBidi"/>
            <w:noProof/>
            <w:sz w:val="16"/>
            <w:szCs w:val="16"/>
          </w:rPr>
          <w:t xml:space="preserve">1.43 Taula </w:t>
        </w:r>
        <w:r w:rsidR="00B76DF2" w:rsidRPr="001E2F6E">
          <w:rPr>
            <w:rFonts w:eastAsiaTheme="minorHAnsi" w:cstheme="minorBidi"/>
            <w:noProof/>
            <w:sz w:val="16"/>
            <w:szCs w:val="16"/>
          </w:rPr>
          <w:tab/>
        </w:r>
        <w:r w:rsidR="000728A0" w:rsidRPr="001E2F6E">
          <w:rPr>
            <w:rFonts w:eastAsiaTheme="minorHAnsi" w:cstheme="minorBidi"/>
            <w:noProof/>
            <w:sz w:val="16"/>
            <w:szCs w:val="16"/>
          </w:rPr>
          <w:t>GIZARTE-EKONOMIAREN BEGd BALIOAREN LURRALDE-BANAKETA,  FORMA JURIDIKOAREN ARABERA. 2012. (zifra absolutuak euroan. %bertikalak.)</w:t>
        </w:r>
        <w:r w:rsidR="000728A0" w:rsidRPr="001E2F6E">
          <w:rPr>
            <w:rFonts w:eastAsiaTheme="minorHAnsi" w:cstheme="minorBidi"/>
            <w:noProof/>
            <w:webHidden/>
            <w:sz w:val="16"/>
            <w:szCs w:val="16"/>
          </w:rPr>
          <w:tab/>
        </w:r>
        <w:r w:rsidR="00EB6BA6" w:rsidRPr="001E2F6E">
          <w:rPr>
            <w:rFonts w:eastAsiaTheme="minorHAnsi" w:cstheme="minorBidi"/>
            <w:noProof/>
            <w:webHidden/>
            <w:sz w:val="16"/>
            <w:szCs w:val="16"/>
          </w:rPr>
          <w:fldChar w:fldCharType="begin"/>
        </w:r>
        <w:r w:rsidR="000728A0" w:rsidRPr="001E2F6E">
          <w:rPr>
            <w:rFonts w:eastAsiaTheme="minorHAnsi" w:cstheme="minorBidi"/>
            <w:noProof/>
            <w:webHidden/>
            <w:sz w:val="16"/>
            <w:szCs w:val="16"/>
          </w:rPr>
          <w:instrText xml:space="preserve"> PAGEREF _Toc392585778 \h </w:instrText>
        </w:r>
        <w:r w:rsidR="00EB6BA6" w:rsidRPr="001E2F6E">
          <w:rPr>
            <w:rFonts w:eastAsiaTheme="minorHAnsi" w:cstheme="minorBidi"/>
            <w:noProof/>
            <w:webHidden/>
            <w:sz w:val="16"/>
            <w:szCs w:val="16"/>
          </w:rPr>
        </w:r>
        <w:r w:rsidR="00EB6BA6" w:rsidRPr="001E2F6E">
          <w:rPr>
            <w:rFonts w:eastAsiaTheme="minorHAnsi" w:cstheme="minorBidi"/>
            <w:noProof/>
            <w:webHidden/>
            <w:sz w:val="16"/>
            <w:szCs w:val="16"/>
          </w:rPr>
          <w:fldChar w:fldCharType="separate"/>
        </w:r>
        <w:r>
          <w:rPr>
            <w:rFonts w:eastAsiaTheme="minorHAnsi" w:cstheme="minorBidi"/>
            <w:noProof/>
            <w:webHidden/>
            <w:sz w:val="16"/>
            <w:szCs w:val="16"/>
          </w:rPr>
          <w:t>60</w:t>
        </w:r>
        <w:r w:rsidR="00EB6BA6" w:rsidRPr="001E2F6E">
          <w:rPr>
            <w:rFonts w:eastAsiaTheme="minorHAnsi" w:cstheme="minorBidi"/>
            <w:noProof/>
            <w:webHidden/>
            <w:sz w:val="16"/>
            <w:szCs w:val="16"/>
          </w:rPr>
          <w:fldChar w:fldCharType="end"/>
        </w:r>
      </w:hyperlink>
    </w:p>
    <w:p w:rsidR="000728A0" w:rsidRPr="001E2F6E" w:rsidRDefault="00A327D4" w:rsidP="00B76DF2">
      <w:pPr>
        <w:pStyle w:val="Tabladeilustraciones"/>
        <w:tabs>
          <w:tab w:val="right" w:leader="dot" w:pos="9072"/>
        </w:tabs>
        <w:spacing w:line="240" w:lineRule="auto"/>
        <w:ind w:left="1134" w:hanging="1134"/>
        <w:rPr>
          <w:rFonts w:eastAsiaTheme="minorHAnsi" w:cstheme="minorBidi"/>
          <w:noProof/>
          <w:sz w:val="16"/>
          <w:szCs w:val="16"/>
        </w:rPr>
      </w:pPr>
      <w:hyperlink w:anchor="_Toc392585779" w:history="1">
        <w:r w:rsidR="000728A0" w:rsidRPr="001E2F6E">
          <w:rPr>
            <w:rFonts w:eastAsiaTheme="minorHAnsi" w:cstheme="minorBidi"/>
            <w:noProof/>
            <w:sz w:val="16"/>
            <w:szCs w:val="16"/>
          </w:rPr>
          <w:t xml:space="preserve">1.44 Taula </w:t>
        </w:r>
        <w:r w:rsidR="00B76DF2" w:rsidRPr="001E2F6E">
          <w:rPr>
            <w:rFonts w:eastAsiaTheme="minorHAnsi" w:cstheme="minorBidi"/>
            <w:noProof/>
            <w:sz w:val="16"/>
            <w:szCs w:val="16"/>
          </w:rPr>
          <w:tab/>
        </w:r>
        <w:r w:rsidR="000728A0" w:rsidRPr="001E2F6E">
          <w:rPr>
            <w:rFonts w:eastAsiaTheme="minorHAnsi" w:cstheme="minorBidi"/>
            <w:noProof/>
            <w:sz w:val="16"/>
            <w:szCs w:val="16"/>
          </w:rPr>
          <w:t>BEGd BALIOAREN LURRALDE-BANAKETA, FORMA JURIDIKOAREN ARABERA. 2012 (% horizontalak.)</w:t>
        </w:r>
        <w:r w:rsidR="000728A0" w:rsidRPr="001E2F6E">
          <w:rPr>
            <w:rFonts w:eastAsiaTheme="minorHAnsi" w:cstheme="minorBidi"/>
            <w:noProof/>
            <w:webHidden/>
            <w:sz w:val="16"/>
            <w:szCs w:val="16"/>
          </w:rPr>
          <w:tab/>
        </w:r>
        <w:r w:rsidR="00EB6BA6" w:rsidRPr="001E2F6E">
          <w:rPr>
            <w:rFonts w:eastAsiaTheme="minorHAnsi" w:cstheme="minorBidi"/>
            <w:noProof/>
            <w:webHidden/>
            <w:sz w:val="16"/>
            <w:szCs w:val="16"/>
          </w:rPr>
          <w:fldChar w:fldCharType="begin"/>
        </w:r>
        <w:r w:rsidR="000728A0" w:rsidRPr="001E2F6E">
          <w:rPr>
            <w:rFonts w:eastAsiaTheme="minorHAnsi" w:cstheme="minorBidi"/>
            <w:noProof/>
            <w:webHidden/>
            <w:sz w:val="16"/>
            <w:szCs w:val="16"/>
          </w:rPr>
          <w:instrText xml:space="preserve"> PAGEREF _Toc392585779 \h </w:instrText>
        </w:r>
        <w:r w:rsidR="00EB6BA6" w:rsidRPr="001E2F6E">
          <w:rPr>
            <w:rFonts w:eastAsiaTheme="minorHAnsi" w:cstheme="minorBidi"/>
            <w:noProof/>
            <w:webHidden/>
            <w:sz w:val="16"/>
            <w:szCs w:val="16"/>
          </w:rPr>
        </w:r>
        <w:r w:rsidR="00EB6BA6" w:rsidRPr="001E2F6E">
          <w:rPr>
            <w:rFonts w:eastAsiaTheme="minorHAnsi" w:cstheme="minorBidi"/>
            <w:noProof/>
            <w:webHidden/>
            <w:sz w:val="16"/>
            <w:szCs w:val="16"/>
          </w:rPr>
          <w:fldChar w:fldCharType="separate"/>
        </w:r>
        <w:r>
          <w:rPr>
            <w:rFonts w:eastAsiaTheme="minorHAnsi" w:cstheme="minorBidi"/>
            <w:noProof/>
            <w:webHidden/>
            <w:sz w:val="16"/>
            <w:szCs w:val="16"/>
          </w:rPr>
          <w:t>60</w:t>
        </w:r>
        <w:r w:rsidR="00EB6BA6" w:rsidRPr="001E2F6E">
          <w:rPr>
            <w:rFonts w:eastAsiaTheme="minorHAnsi" w:cstheme="minorBidi"/>
            <w:noProof/>
            <w:webHidden/>
            <w:sz w:val="16"/>
            <w:szCs w:val="16"/>
          </w:rPr>
          <w:fldChar w:fldCharType="end"/>
        </w:r>
      </w:hyperlink>
    </w:p>
    <w:p w:rsidR="000728A0" w:rsidRPr="001E2F6E" w:rsidRDefault="00A327D4" w:rsidP="00B76DF2">
      <w:pPr>
        <w:pStyle w:val="Tabladeilustraciones"/>
        <w:tabs>
          <w:tab w:val="right" w:leader="dot" w:pos="9072"/>
        </w:tabs>
        <w:spacing w:line="240" w:lineRule="auto"/>
        <w:ind w:left="1134" w:hanging="1134"/>
        <w:rPr>
          <w:rFonts w:eastAsiaTheme="minorHAnsi" w:cstheme="minorBidi"/>
          <w:noProof/>
          <w:sz w:val="16"/>
          <w:szCs w:val="16"/>
        </w:rPr>
      </w:pPr>
      <w:hyperlink w:anchor="_Toc392585780" w:history="1">
        <w:r w:rsidR="000728A0" w:rsidRPr="001E2F6E">
          <w:rPr>
            <w:rFonts w:eastAsiaTheme="minorHAnsi" w:cstheme="minorBidi"/>
            <w:noProof/>
            <w:sz w:val="16"/>
            <w:szCs w:val="16"/>
          </w:rPr>
          <w:t xml:space="preserve">1.45 Taula </w:t>
        </w:r>
        <w:r w:rsidR="00B76DF2" w:rsidRPr="001E2F6E">
          <w:rPr>
            <w:rFonts w:eastAsiaTheme="minorHAnsi" w:cstheme="minorBidi"/>
            <w:noProof/>
            <w:sz w:val="16"/>
            <w:szCs w:val="16"/>
          </w:rPr>
          <w:tab/>
        </w:r>
        <w:r w:rsidR="000728A0" w:rsidRPr="001E2F6E">
          <w:rPr>
            <w:rFonts w:eastAsiaTheme="minorHAnsi" w:cstheme="minorBidi"/>
            <w:noProof/>
            <w:sz w:val="16"/>
            <w:szCs w:val="16"/>
          </w:rPr>
          <w:t>GIZARTE-EKONOMIAREN BEGd-aren ARLOZ ARLOKO BANAKETA, LURRALDE HISTORIKOAREN ARABERA 2012. (zifra absolutuak euroan, %bertikalak.)</w:t>
        </w:r>
        <w:r w:rsidR="000728A0" w:rsidRPr="001E2F6E">
          <w:rPr>
            <w:rFonts w:eastAsiaTheme="minorHAnsi" w:cstheme="minorBidi"/>
            <w:noProof/>
            <w:webHidden/>
            <w:sz w:val="16"/>
            <w:szCs w:val="16"/>
          </w:rPr>
          <w:tab/>
        </w:r>
        <w:r w:rsidR="00EB6BA6" w:rsidRPr="001E2F6E">
          <w:rPr>
            <w:rFonts w:eastAsiaTheme="minorHAnsi" w:cstheme="minorBidi"/>
            <w:noProof/>
            <w:webHidden/>
            <w:sz w:val="16"/>
            <w:szCs w:val="16"/>
          </w:rPr>
          <w:fldChar w:fldCharType="begin"/>
        </w:r>
        <w:r w:rsidR="000728A0" w:rsidRPr="001E2F6E">
          <w:rPr>
            <w:rFonts w:eastAsiaTheme="minorHAnsi" w:cstheme="minorBidi"/>
            <w:noProof/>
            <w:webHidden/>
            <w:sz w:val="16"/>
            <w:szCs w:val="16"/>
          </w:rPr>
          <w:instrText xml:space="preserve"> PAGEREF _Toc392585780 \h </w:instrText>
        </w:r>
        <w:r w:rsidR="00EB6BA6" w:rsidRPr="001E2F6E">
          <w:rPr>
            <w:rFonts w:eastAsiaTheme="minorHAnsi" w:cstheme="minorBidi"/>
            <w:noProof/>
            <w:webHidden/>
            <w:sz w:val="16"/>
            <w:szCs w:val="16"/>
          </w:rPr>
        </w:r>
        <w:r w:rsidR="00EB6BA6" w:rsidRPr="001E2F6E">
          <w:rPr>
            <w:rFonts w:eastAsiaTheme="minorHAnsi" w:cstheme="minorBidi"/>
            <w:noProof/>
            <w:webHidden/>
            <w:sz w:val="16"/>
            <w:szCs w:val="16"/>
          </w:rPr>
          <w:fldChar w:fldCharType="separate"/>
        </w:r>
        <w:r>
          <w:rPr>
            <w:rFonts w:eastAsiaTheme="minorHAnsi" w:cstheme="minorBidi"/>
            <w:noProof/>
            <w:webHidden/>
            <w:sz w:val="16"/>
            <w:szCs w:val="16"/>
          </w:rPr>
          <w:t>60</w:t>
        </w:r>
        <w:r w:rsidR="00EB6BA6" w:rsidRPr="001E2F6E">
          <w:rPr>
            <w:rFonts w:eastAsiaTheme="minorHAnsi" w:cstheme="minorBidi"/>
            <w:noProof/>
            <w:webHidden/>
            <w:sz w:val="16"/>
            <w:szCs w:val="16"/>
          </w:rPr>
          <w:fldChar w:fldCharType="end"/>
        </w:r>
      </w:hyperlink>
    </w:p>
    <w:p w:rsidR="000728A0" w:rsidRPr="001E2F6E" w:rsidRDefault="00A327D4" w:rsidP="00B76DF2">
      <w:pPr>
        <w:pStyle w:val="Tabladeilustraciones"/>
        <w:tabs>
          <w:tab w:val="right" w:leader="dot" w:pos="9072"/>
        </w:tabs>
        <w:spacing w:line="240" w:lineRule="auto"/>
        <w:ind w:left="1134" w:hanging="1134"/>
        <w:rPr>
          <w:rFonts w:eastAsiaTheme="minorHAnsi" w:cstheme="minorBidi"/>
          <w:noProof/>
          <w:sz w:val="16"/>
          <w:szCs w:val="16"/>
        </w:rPr>
      </w:pPr>
      <w:hyperlink w:anchor="_Toc392585781" w:history="1">
        <w:r w:rsidR="000728A0" w:rsidRPr="001E2F6E">
          <w:rPr>
            <w:rFonts w:eastAsiaTheme="minorHAnsi" w:cstheme="minorBidi"/>
            <w:noProof/>
            <w:sz w:val="16"/>
            <w:szCs w:val="16"/>
          </w:rPr>
          <w:t xml:space="preserve">1.46 Taula </w:t>
        </w:r>
        <w:r w:rsidR="00B76DF2" w:rsidRPr="001E2F6E">
          <w:rPr>
            <w:rFonts w:eastAsiaTheme="minorHAnsi" w:cstheme="minorBidi"/>
            <w:noProof/>
            <w:sz w:val="16"/>
            <w:szCs w:val="16"/>
          </w:rPr>
          <w:tab/>
        </w:r>
        <w:r w:rsidR="000728A0" w:rsidRPr="001E2F6E">
          <w:rPr>
            <w:rFonts w:eastAsiaTheme="minorHAnsi" w:cstheme="minorBidi"/>
            <w:noProof/>
            <w:sz w:val="16"/>
            <w:szCs w:val="16"/>
          </w:rPr>
          <w:t>PRODUKTIBITATE ANTZEMANGARRIA LURRALDE HISTORIKOAREN ARABERA 2008-2012. (Euro kopurua, milakoan /Enplegatua)</w:t>
        </w:r>
        <w:r w:rsidR="000728A0" w:rsidRPr="001E2F6E">
          <w:rPr>
            <w:rFonts w:eastAsiaTheme="minorHAnsi" w:cstheme="minorBidi"/>
            <w:noProof/>
            <w:webHidden/>
            <w:sz w:val="16"/>
            <w:szCs w:val="16"/>
          </w:rPr>
          <w:tab/>
        </w:r>
        <w:r w:rsidR="00EB6BA6" w:rsidRPr="001E2F6E">
          <w:rPr>
            <w:rFonts w:eastAsiaTheme="minorHAnsi" w:cstheme="minorBidi"/>
            <w:noProof/>
            <w:webHidden/>
            <w:sz w:val="16"/>
            <w:szCs w:val="16"/>
          </w:rPr>
          <w:fldChar w:fldCharType="begin"/>
        </w:r>
        <w:r w:rsidR="000728A0" w:rsidRPr="001E2F6E">
          <w:rPr>
            <w:rFonts w:eastAsiaTheme="minorHAnsi" w:cstheme="minorBidi"/>
            <w:noProof/>
            <w:webHidden/>
            <w:sz w:val="16"/>
            <w:szCs w:val="16"/>
          </w:rPr>
          <w:instrText xml:space="preserve"> PAGEREF _Toc392585781 \h </w:instrText>
        </w:r>
        <w:r w:rsidR="00EB6BA6" w:rsidRPr="001E2F6E">
          <w:rPr>
            <w:rFonts w:eastAsiaTheme="minorHAnsi" w:cstheme="minorBidi"/>
            <w:noProof/>
            <w:webHidden/>
            <w:sz w:val="16"/>
            <w:szCs w:val="16"/>
          </w:rPr>
        </w:r>
        <w:r w:rsidR="00EB6BA6" w:rsidRPr="001E2F6E">
          <w:rPr>
            <w:rFonts w:eastAsiaTheme="minorHAnsi" w:cstheme="minorBidi"/>
            <w:noProof/>
            <w:webHidden/>
            <w:sz w:val="16"/>
            <w:szCs w:val="16"/>
          </w:rPr>
          <w:fldChar w:fldCharType="separate"/>
        </w:r>
        <w:r>
          <w:rPr>
            <w:rFonts w:eastAsiaTheme="minorHAnsi" w:cstheme="minorBidi"/>
            <w:noProof/>
            <w:webHidden/>
            <w:sz w:val="16"/>
            <w:szCs w:val="16"/>
          </w:rPr>
          <w:t>60</w:t>
        </w:r>
        <w:r w:rsidR="00EB6BA6" w:rsidRPr="001E2F6E">
          <w:rPr>
            <w:rFonts w:eastAsiaTheme="minorHAnsi" w:cstheme="minorBidi"/>
            <w:noProof/>
            <w:webHidden/>
            <w:sz w:val="16"/>
            <w:szCs w:val="16"/>
          </w:rPr>
          <w:fldChar w:fldCharType="end"/>
        </w:r>
      </w:hyperlink>
    </w:p>
    <w:p w:rsidR="000728A0" w:rsidRPr="001E2F6E" w:rsidRDefault="00A327D4" w:rsidP="00B76DF2">
      <w:pPr>
        <w:pStyle w:val="Tabladeilustraciones"/>
        <w:tabs>
          <w:tab w:val="right" w:leader="dot" w:pos="9072"/>
        </w:tabs>
        <w:spacing w:line="240" w:lineRule="auto"/>
        <w:ind w:left="1134" w:hanging="1134"/>
        <w:rPr>
          <w:rFonts w:eastAsiaTheme="minorHAnsi" w:cstheme="minorBidi"/>
          <w:noProof/>
          <w:sz w:val="16"/>
          <w:szCs w:val="16"/>
        </w:rPr>
      </w:pPr>
      <w:hyperlink w:anchor="_Toc392585782" w:history="1">
        <w:r w:rsidR="000728A0" w:rsidRPr="001E2F6E">
          <w:rPr>
            <w:rFonts w:eastAsiaTheme="minorHAnsi" w:cstheme="minorBidi"/>
            <w:noProof/>
            <w:sz w:val="16"/>
            <w:szCs w:val="16"/>
          </w:rPr>
          <w:t xml:space="preserve">1.47 Taula </w:t>
        </w:r>
        <w:r w:rsidR="00B76DF2" w:rsidRPr="001E2F6E">
          <w:rPr>
            <w:rFonts w:eastAsiaTheme="minorHAnsi" w:cstheme="minorBidi"/>
            <w:noProof/>
            <w:sz w:val="16"/>
            <w:szCs w:val="16"/>
          </w:rPr>
          <w:tab/>
        </w:r>
        <w:r w:rsidR="000728A0" w:rsidRPr="001E2F6E">
          <w:rPr>
            <w:rFonts w:eastAsiaTheme="minorHAnsi" w:cstheme="minorBidi"/>
            <w:noProof/>
            <w:sz w:val="16"/>
            <w:szCs w:val="16"/>
          </w:rPr>
          <w:t>LURRALDE-PRODUKTIBITATE ANTZEMANGARRIA, FORMA JURIDIKOAREN ARABERA. 2012 (Euroak/Enplegatua)</w:t>
        </w:r>
        <w:r w:rsidR="000728A0" w:rsidRPr="001E2F6E">
          <w:rPr>
            <w:rFonts w:eastAsiaTheme="minorHAnsi" w:cstheme="minorBidi"/>
            <w:noProof/>
            <w:webHidden/>
            <w:sz w:val="16"/>
            <w:szCs w:val="16"/>
          </w:rPr>
          <w:tab/>
        </w:r>
        <w:r w:rsidR="00EB6BA6" w:rsidRPr="001E2F6E">
          <w:rPr>
            <w:rFonts w:eastAsiaTheme="minorHAnsi" w:cstheme="minorBidi"/>
            <w:noProof/>
            <w:webHidden/>
            <w:sz w:val="16"/>
            <w:szCs w:val="16"/>
          </w:rPr>
          <w:fldChar w:fldCharType="begin"/>
        </w:r>
        <w:r w:rsidR="000728A0" w:rsidRPr="001E2F6E">
          <w:rPr>
            <w:rFonts w:eastAsiaTheme="minorHAnsi" w:cstheme="minorBidi"/>
            <w:noProof/>
            <w:webHidden/>
            <w:sz w:val="16"/>
            <w:szCs w:val="16"/>
          </w:rPr>
          <w:instrText xml:space="preserve"> PAGEREF _Toc392585782 \h </w:instrText>
        </w:r>
        <w:r w:rsidR="00EB6BA6" w:rsidRPr="001E2F6E">
          <w:rPr>
            <w:rFonts w:eastAsiaTheme="minorHAnsi" w:cstheme="minorBidi"/>
            <w:noProof/>
            <w:webHidden/>
            <w:sz w:val="16"/>
            <w:szCs w:val="16"/>
          </w:rPr>
        </w:r>
        <w:r w:rsidR="00EB6BA6" w:rsidRPr="001E2F6E">
          <w:rPr>
            <w:rFonts w:eastAsiaTheme="minorHAnsi" w:cstheme="minorBidi"/>
            <w:noProof/>
            <w:webHidden/>
            <w:sz w:val="16"/>
            <w:szCs w:val="16"/>
          </w:rPr>
          <w:fldChar w:fldCharType="separate"/>
        </w:r>
        <w:r>
          <w:rPr>
            <w:rFonts w:eastAsiaTheme="minorHAnsi" w:cstheme="minorBidi"/>
            <w:noProof/>
            <w:webHidden/>
            <w:sz w:val="16"/>
            <w:szCs w:val="16"/>
          </w:rPr>
          <w:t>60</w:t>
        </w:r>
        <w:r w:rsidR="00EB6BA6" w:rsidRPr="001E2F6E">
          <w:rPr>
            <w:rFonts w:eastAsiaTheme="minorHAnsi" w:cstheme="minorBidi"/>
            <w:noProof/>
            <w:webHidden/>
            <w:sz w:val="16"/>
            <w:szCs w:val="16"/>
          </w:rPr>
          <w:fldChar w:fldCharType="end"/>
        </w:r>
      </w:hyperlink>
    </w:p>
    <w:p w:rsidR="000728A0" w:rsidRPr="001E2F6E" w:rsidRDefault="00A327D4" w:rsidP="00B76DF2">
      <w:pPr>
        <w:pStyle w:val="Tabladeilustraciones"/>
        <w:tabs>
          <w:tab w:val="right" w:leader="dot" w:pos="9072"/>
        </w:tabs>
        <w:spacing w:line="240" w:lineRule="auto"/>
        <w:ind w:left="1134" w:hanging="1134"/>
        <w:rPr>
          <w:rFonts w:eastAsiaTheme="minorHAnsi" w:cstheme="minorBidi"/>
          <w:noProof/>
          <w:sz w:val="16"/>
          <w:szCs w:val="16"/>
        </w:rPr>
      </w:pPr>
      <w:hyperlink w:anchor="_Toc392585783" w:history="1">
        <w:r w:rsidR="000728A0" w:rsidRPr="001E2F6E">
          <w:rPr>
            <w:rFonts w:eastAsiaTheme="minorHAnsi" w:cstheme="minorBidi"/>
            <w:noProof/>
            <w:sz w:val="16"/>
            <w:szCs w:val="16"/>
          </w:rPr>
          <w:t xml:space="preserve">1.48 Taula </w:t>
        </w:r>
        <w:r w:rsidR="00B76DF2" w:rsidRPr="001E2F6E">
          <w:rPr>
            <w:rFonts w:eastAsiaTheme="minorHAnsi" w:cstheme="minorBidi"/>
            <w:noProof/>
            <w:sz w:val="16"/>
            <w:szCs w:val="16"/>
          </w:rPr>
          <w:tab/>
        </w:r>
        <w:r w:rsidR="000728A0" w:rsidRPr="001E2F6E">
          <w:rPr>
            <w:rFonts w:eastAsiaTheme="minorHAnsi" w:cstheme="minorBidi"/>
            <w:noProof/>
            <w:sz w:val="16"/>
            <w:szCs w:val="16"/>
          </w:rPr>
          <w:t>ESPORTAZIOEN BOLUMENA, ZONAREN ETA BILAKAERAREN ARABERA. 2006, 2008, 2010 eta 2012</w:t>
        </w:r>
        <w:r w:rsidR="000728A0" w:rsidRPr="001E2F6E">
          <w:rPr>
            <w:rFonts w:eastAsiaTheme="minorHAnsi" w:cstheme="minorBidi"/>
            <w:noProof/>
            <w:webHidden/>
            <w:sz w:val="16"/>
            <w:szCs w:val="16"/>
          </w:rPr>
          <w:tab/>
        </w:r>
        <w:r w:rsidR="00EB6BA6" w:rsidRPr="001E2F6E">
          <w:rPr>
            <w:rFonts w:eastAsiaTheme="minorHAnsi" w:cstheme="minorBidi"/>
            <w:noProof/>
            <w:webHidden/>
            <w:sz w:val="16"/>
            <w:szCs w:val="16"/>
          </w:rPr>
          <w:fldChar w:fldCharType="begin"/>
        </w:r>
        <w:r w:rsidR="000728A0" w:rsidRPr="001E2F6E">
          <w:rPr>
            <w:rFonts w:eastAsiaTheme="minorHAnsi" w:cstheme="minorBidi"/>
            <w:noProof/>
            <w:webHidden/>
            <w:sz w:val="16"/>
            <w:szCs w:val="16"/>
          </w:rPr>
          <w:instrText xml:space="preserve"> PAGEREF _Toc392585783 \h </w:instrText>
        </w:r>
        <w:r w:rsidR="00EB6BA6" w:rsidRPr="001E2F6E">
          <w:rPr>
            <w:rFonts w:eastAsiaTheme="minorHAnsi" w:cstheme="minorBidi"/>
            <w:noProof/>
            <w:webHidden/>
            <w:sz w:val="16"/>
            <w:szCs w:val="16"/>
          </w:rPr>
        </w:r>
        <w:r w:rsidR="00EB6BA6" w:rsidRPr="001E2F6E">
          <w:rPr>
            <w:rFonts w:eastAsiaTheme="minorHAnsi" w:cstheme="minorBidi"/>
            <w:noProof/>
            <w:webHidden/>
            <w:sz w:val="16"/>
            <w:szCs w:val="16"/>
          </w:rPr>
          <w:fldChar w:fldCharType="separate"/>
        </w:r>
        <w:r>
          <w:rPr>
            <w:rFonts w:eastAsiaTheme="minorHAnsi" w:cstheme="minorBidi"/>
            <w:noProof/>
            <w:webHidden/>
            <w:sz w:val="16"/>
            <w:szCs w:val="16"/>
          </w:rPr>
          <w:t>62</w:t>
        </w:r>
        <w:r w:rsidR="00EB6BA6" w:rsidRPr="001E2F6E">
          <w:rPr>
            <w:rFonts w:eastAsiaTheme="minorHAnsi" w:cstheme="minorBidi"/>
            <w:noProof/>
            <w:webHidden/>
            <w:sz w:val="16"/>
            <w:szCs w:val="16"/>
          </w:rPr>
          <w:fldChar w:fldCharType="end"/>
        </w:r>
      </w:hyperlink>
    </w:p>
    <w:p w:rsidR="000728A0" w:rsidRPr="001E2F6E" w:rsidRDefault="00A327D4" w:rsidP="00B76DF2">
      <w:pPr>
        <w:pStyle w:val="Tabladeilustraciones"/>
        <w:tabs>
          <w:tab w:val="right" w:leader="dot" w:pos="9072"/>
        </w:tabs>
        <w:spacing w:line="240" w:lineRule="auto"/>
        <w:ind w:left="1134" w:hanging="1134"/>
        <w:rPr>
          <w:rFonts w:eastAsiaTheme="minorHAnsi" w:cstheme="minorBidi"/>
          <w:noProof/>
          <w:sz w:val="16"/>
          <w:szCs w:val="16"/>
        </w:rPr>
      </w:pPr>
      <w:hyperlink w:anchor="_Toc392585784" w:history="1">
        <w:r w:rsidR="000728A0" w:rsidRPr="001E2F6E">
          <w:rPr>
            <w:rFonts w:eastAsiaTheme="minorHAnsi" w:cstheme="minorBidi"/>
            <w:noProof/>
            <w:sz w:val="16"/>
            <w:szCs w:val="16"/>
          </w:rPr>
          <w:t xml:space="preserve">1.49 Taula </w:t>
        </w:r>
        <w:r w:rsidR="00B76DF2" w:rsidRPr="001E2F6E">
          <w:rPr>
            <w:rFonts w:eastAsiaTheme="minorHAnsi" w:cstheme="minorBidi"/>
            <w:noProof/>
            <w:sz w:val="16"/>
            <w:szCs w:val="16"/>
          </w:rPr>
          <w:tab/>
        </w:r>
        <w:r w:rsidR="000728A0" w:rsidRPr="001E2F6E">
          <w:rPr>
            <w:rFonts w:eastAsiaTheme="minorHAnsi" w:cstheme="minorBidi"/>
            <w:noProof/>
            <w:sz w:val="16"/>
            <w:szCs w:val="16"/>
          </w:rPr>
          <w:t>BARNE-SALMENTEN ETA KANPO-SALMENTEN BILAKAERA 2010-2012</w:t>
        </w:r>
        <w:r w:rsidR="000728A0" w:rsidRPr="001E2F6E">
          <w:rPr>
            <w:rFonts w:eastAsiaTheme="minorHAnsi" w:cstheme="minorBidi"/>
            <w:noProof/>
            <w:webHidden/>
            <w:sz w:val="16"/>
            <w:szCs w:val="16"/>
          </w:rPr>
          <w:tab/>
        </w:r>
        <w:r w:rsidR="00EB6BA6" w:rsidRPr="001E2F6E">
          <w:rPr>
            <w:rFonts w:eastAsiaTheme="minorHAnsi" w:cstheme="minorBidi"/>
            <w:noProof/>
            <w:webHidden/>
            <w:sz w:val="16"/>
            <w:szCs w:val="16"/>
          </w:rPr>
          <w:fldChar w:fldCharType="begin"/>
        </w:r>
        <w:r w:rsidR="000728A0" w:rsidRPr="001E2F6E">
          <w:rPr>
            <w:rFonts w:eastAsiaTheme="minorHAnsi" w:cstheme="minorBidi"/>
            <w:noProof/>
            <w:webHidden/>
            <w:sz w:val="16"/>
            <w:szCs w:val="16"/>
          </w:rPr>
          <w:instrText xml:space="preserve"> PAGEREF _Toc392585784 \h </w:instrText>
        </w:r>
        <w:r w:rsidR="00EB6BA6" w:rsidRPr="001E2F6E">
          <w:rPr>
            <w:rFonts w:eastAsiaTheme="minorHAnsi" w:cstheme="minorBidi"/>
            <w:noProof/>
            <w:webHidden/>
            <w:sz w:val="16"/>
            <w:szCs w:val="16"/>
          </w:rPr>
        </w:r>
        <w:r w:rsidR="00EB6BA6" w:rsidRPr="001E2F6E">
          <w:rPr>
            <w:rFonts w:eastAsiaTheme="minorHAnsi" w:cstheme="minorBidi"/>
            <w:noProof/>
            <w:webHidden/>
            <w:sz w:val="16"/>
            <w:szCs w:val="16"/>
          </w:rPr>
          <w:fldChar w:fldCharType="separate"/>
        </w:r>
        <w:r>
          <w:rPr>
            <w:rFonts w:eastAsiaTheme="minorHAnsi" w:cstheme="minorBidi"/>
            <w:noProof/>
            <w:webHidden/>
            <w:sz w:val="16"/>
            <w:szCs w:val="16"/>
          </w:rPr>
          <w:t>62</w:t>
        </w:r>
        <w:r w:rsidR="00EB6BA6" w:rsidRPr="001E2F6E">
          <w:rPr>
            <w:rFonts w:eastAsiaTheme="minorHAnsi" w:cstheme="minorBidi"/>
            <w:noProof/>
            <w:webHidden/>
            <w:sz w:val="16"/>
            <w:szCs w:val="16"/>
          </w:rPr>
          <w:fldChar w:fldCharType="end"/>
        </w:r>
      </w:hyperlink>
    </w:p>
    <w:p w:rsidR="000728A0" w:rsidRPr="001E2F6E" w:rsidRDefault="00A327D4" w:rsidP="00B76DF2">
      <w:pPr>
        <w:pStyle w:val="Tabladeilustraciones"/>
        <w:tabs>
          <w:tab w:val="right" w:leader="dot" w:pos="9072"/>
        </w:tabs>
        <w:spacing w:line="240" w:lineRule="auto"/>
        <w:ind w:left="1134" w:hanging="1134"/>
        <w:rPr>
          <w:rFonts w:eastAsiaTheme="minorHAnsi" w:cstheme="minorBidi"/>
          <w:noProof/>
          <w:sz w:val="16"/>
          <w:szCs w:val="16"/>
        </w:rPr>
      </w:pPr>
      <w:hyperlink w:anchor="_Toc392585785" w:history="1">
        <w:r w:rsidR="000728A0" w:rsidRPr="001E2F6E">
          <w:rPr>
            <w:rFonts w:eastAsiaTheme="minorHAnsi" w:cstheme="minorBidi"/>
            <w:noProof/>
            <w:sz w:val="16"/>
            <w:szCs w:val="16"/>
          </w:rPr>
          <w:t xml:space="preserve">1.50 Taula </w:t>
        </w:r>
        <w:r w:rsidR="00B76DF2" w:rsidRPr="001E2F6E">
          <w:rPr>
            <w:rFonts w:eastAsiaTheme="minorHAnsi" w:cstheme="minorBidi"/>
            <w:noProof/>
            <w:sz w:val="16"/>
            <w:szCs w:val="16"/>
          </w:rPr>
          <w:tab/>
        </w:r>
        <w:r w:rsidR="000728A0" w:rsidRPr="001E2F6E">
          <w:rPr>
            <w:rFonts w:eastAsiaTheme="minorHAnsi" w:cstheme="minorBidi"/>
            <w:noProof/>
            <w:sz w:val="16"/>
            <w:szCs w:val="16"/>
          </w:rPr>
          <w:t>GIZARTE-EKONOMIAREN ESPORTAZIOEN ARLOZ ARLOKO BANAKETA. (zifra absolutuak euro-kopurua,  milakoan, %bertikalak) ETA NEGOZIO-KOPURUAREN GAINEKO PISU ERLATIBOA. 2012</w:t>
        </w:r>
        <w:r w:rsidR="000728A0" w:rsidRPr="001E2F6E">
          <w:rPr>
            <w:rFonts w:eastAsiaTheme="minorHAnsi" w:cstheme="minorBidi"/>
            <w:noProof/>
            <w:webHidden/>
            <w:sz w:val="16"/>
            <w:szCs w:val="16"/>
          </w:rPr>
          <w:tab/>
        </w:r>
        <w:r w:rsidR="00EB6BA6" w:rsidRPr="001E2F6E">
          <w:rPr>
            <w:rFonts w:eastAsiaTheme="minorHAnsi" w:cstheme="minorBidi"/>
            <w:noProof/>
            <w:webHidden/>
            <w:sz w:val="16"/>
            <w:szCs w:val="16"/>
          </w:rPr>
          <w:fldChar w:fldCharType="begin"/>
        </w:r>
        <w:r w:rsidR="000728A0" w:rsidRPr="001E2F6E">
          <w:rPr>
            <w:rFonts w:eastAsiaTheme="minorHAnsi" w:cstheme="minorBidi"/>
            <w:noProof/>
            <w:webHidden/>
            <w:sz w:val="16"/>
            <w:szCs w:val="16"/>
          </w:rPr>
          <w:instrText xml:space="preserve"> PAGEREF _Toc392585785 \h </w:instrText>
        </w:r>
        <w:r w:rsidR="00EB6BA6" w:rsidRPr="001E2F6E">
          <w:rPr>
            <w:rFonts w:eastAsiaTheme="minorHAnsi" w:cstheme="minorBidi"/>
            <w:noProof/>
            <w:webHidden/>
            <w:sz w:val="16"/>
            <w:szCs w:val="16"/>
          </w:rPr>
        </w:r>
        <w:r w:rsidR="00EB6BA6" w:rsidRPr="001E2F6E">
          <w:rPr>
            <w:rFonts w:eastAsiaTheme="minorHAnsi" w:cstheme="minorBidi"/>
            <w:noProof/>
            <w:webHidden/>
            <w:sz w:val="16"/>
            <w:szCs w:val="16"/>
          </w:rPr>
          <w:fldChar w:fldCharType="separate"/>
        </w:r>
        <w:r>
          <w:rPr>
            <w:rFonts w:eastAsiaTheme="minorHAnsi" w:cstheme="minorBidi"/>
            <w:noProof/>
            <w:webHidden/>
            <w:sz w:val="16"/>
            <w:szCs w:val="16"/>
          </w:rPr>
          <w:t>62</w:t>
        </w:r>
        <w:r w:rsidR="00EB6BA6" w:rsidRPr="001E2F6E">
          <w:rPr>
            <w:rFonts w:eastAsiaTheme="minorHAnsi" w:cstheme="minorBidi"/>
            <w:noProof/>
            <w:webHidden/>
            <w:sz w:val="16"/>
            <w:szCs w:val="16"/>
          </w:rPr>
          <w:fldChar w:fldCharType="end"/>
        </w:r>
      </w:hyperlink>
    </w:p>
    <w:p w:rsidR="000728A0" w:rsidRPr="001E2F6E" w:rsidRDefault="00A327D4" w:rsidP="00B76DF2">
      <w:pPr>
        <w:pStyle w:val="Tabladeilustraciones"/>
        <w:tabs>
          <w:tab w:val="right" w:leader="dot" w:pos="9072"/>
        </w:tabs>
        <w:spacing w:line="240" w:lineRule="auto"/>
        <w:ind w:left="1134" w:hanging="1134"/>
        <w:rPr>
          <w:rFonts w:eastAsiaTheme="minorHAnsi" w:cstheme="minorBidi"/>
          <w:noProof/>
          <w:sz w:val="16"/>
          <w:szCs w:val="16"/>
        </w:rPr>
      </w:pPr>
      <w:hyperlink w:anchor="_Toc392585786" w:history="1">
        <w:r w:rsidR="000728A0" w:rsidRPr="001E2F6E">
          <w:rPr>
            <w:rFonts w:eastAsiaTheme="minorHAnsi" w:cstheme="minorBidi"/>
            <w:noProof/>
            <w:sz w:val="16"/>
            <w:szCs w:val="16"/>
          </w:rPr>
          <w:t xml:space="preserve">1.51 Taula </w:t>
        </w:r>
        <w:r w:rsidR="00B76DF2" w:rsidRPr="001E2F6E">
          <w:rPr>
            <w:rFonts w:eastAsiaTheme="minorHAnsi" w:cstheme="minorBidi"/>
            <w:noProof/>
            <w:sz w:val="16"/>
            <w:szCs w:val="16"/>
          </w:rPr>
          <w:tab/>
        </w:r>
        <w:r w:rsidR="000728A0" w:rsidRPr="001E2F6E">
          <w:rPr>
            <w:rFonts w:eastAsiaTheme="minorHAnsi" w:cstheme="minorBidi"/>
            <w:noProof/>
            <w:sz w:val="16"/>
            <w:szCs w:val="16"/>
          </w:rPr>
          <w:t>GIZARTE-EKONOMIAKO ESPORTAZIOEN SEKTORE-BANAKETA FORMA JURIDIKOAREN ARABERA (zifra absolutuak milioika eurotan eta % horizontalak). 2012</w:t>
        </w:r>
        <w:r w:rsidR="000728A0" w:rsidRPr="001E2F6E">
          <w:rPr>
            <w:rFonts w:eastAsiaTheme="minorHAnsi" w:cstheme="minorBidi"/>
            <w:noProof/>
            <w:webHidden/>
            <w:sz w:val="16"/>
            <w:szCs w:val="16"/>
          </w:rPr>
          <w:tab/>
        </w:r>
        <w:r w:rsidR="00EB6BA6" w:rsidRPr="001E2F6E">
          <w:rPr>
            <w:rFonts w:eastAsiaTheme="minorHAnsi" w:cstheme="minorBidi"/>
            <w:noProof/>
            <w:webHidden/>
            <w:sz w:val="16"/>
            <w:szCs w:val="16"/>
          </w:rPr>
          <w:fldChar w:fldCharType="begin"/>
        </w:r>
        <w:r w:rsidR="000728A0" w:rsidRPr="001E2F6E">
          <w:rPr>
            <w:rFonts w:eastAsiaTheme="minorHAnsi" w:cstheme="minorBidi"/>
            <w:noProof/>
            <w:webHidden/>
            <w:sz w:val="16"/>
            <w:szCs w:val="16"/>
          </w:rPr>
          <w:instrText xml:space="preserve"> PAGEREF _Toc392585786 \h </w:instrText>
        </w:r>
        <w:r w:rsidR="00EB6BA6" w:rsidRPr="001E2F6E">
          <w:rPr>
            <w:rFonts w:eastAsiaTheme="minorHAnsi" w:cstheme="minorBidi"/>
            <w:noProof/>
            <w:webHidden/>
            <w:sz w:val="16"/>
            <w:szCs w:val="16"/>
          </w:rPr>
        </w:r>
        <w:r w:rsidR="00EB6BA6" w:rsidRPr="001E2F6E">
          <w:rPr>
            <w:rFonts w:eastAsiaTheme="minorHAnsi" w:cstheme="minorBidi"/>
            <w:noProof/>
            <w:webHidden/>
            <w:sz w:val="16"/>
            <w:szCs w:val="16"/>
          </w:rPr>
          <w:fldChar w:fldCharType="separate"/>
        </w:r>
        <w:r>
          <w:rPr>
            <w:rFonts w:eastAsiaTheme="minorHAnsi" w:cstheme="minorBidi"/>
            <w:noProof/>
            <w:webHidden/>
            <w:sz w:val="16"/>
            <w:szCs w:val="16"/>
          </w:rPr>
          <w:t>62</w:t>
        </w:r>
        <w:r w:rsidR="00EB6BA6" w:rsidRPr="001E2F6E">
          <w:rPr>
            <w:rFonts w:eastAsiaTheme="minorHAnsi" w:cstheme="minorBidi"/>
            <w:noProof/>
            <w:webHidden/>
            <w:sz w:val="16"/>
            <w:szCs w:val="16"/>
          </w:rPr>
          <w:fldChar w:fldCharType="end"/>
        </w:r>
      </w:hyperlink>
    </w:p>
    <w:p w:rsidR="000728A0" w:rsidRPr="001E2F6E" w:rsidRDefault="00A327D4" w:rsidP="00B76DF2">
      <w:pPr>
        <w:pStyle w:val="Tabladeilustraciones"/>
        <w:tabs>
          <w:tab w:val="right" w:leader="dot" w:pos="9072"/>
        </w:tabs>
        <w:spacing w:line="240" w:lineRule="auto"/>
        <w:ind w:left="1134" w:hanging="1134"/>
        <w:rPr>
          <w:rFonts w:eastAsiaTheme="minorHAnsi" w:cstheme="minorBidi"/>
          <w:noProof/>
          <w:sz w:val="16"/>
          <w:szCs w:val="16"/>
        </w:rPr>
      </w:pPr>
      <w:hyperlink w:anchor="_Toc392585787" w:history="1">
        <w:r w:rsidR="000728A0" w:rsidRPr="001E2F6E">
          <w:rPr>
            <w:rFonts w:eastAsiaTheme="minorHAnsi" w:cstheme="minorBidi"/>
            <w:noProof/>
            <w:sz w:val="16"/>
            <w:szCs w:val="16"/>
          </w:rPr>
          <w:t xml:space="preserve">1.52 Taula </w:t>
        </w:r>
        <w:r w:rsidR="00B76DF2" w:rsidRPr="001E2F6E">
          <w:rPr>
            <w:rFonts w:eastAsiaTheme="minorHAnsi" w:cstheme="minorBidi"/>
            <w:noProof/>
            <w:sz w:val="16"/>
            <w:szCs w:val="16"/>
          </w:rPr>
          <w:tab/>
        </w:r>
        <w:r w:rsidR="000728A0" w:rsidRPr="001E2F6E">
          <w:rPr>
            <w:rFonts w:eastAsiaTheme="minorHAnsi" w:cstheme="minorBidi"/>
            <w:noProof/>
            <w:sz w:val="16"/>
            <w:szCs w:val="16"/>
          </w:rPr>
          <w:t>ESPORTAZIOEN BOLUMENA, ENPLEGU-MAILAREN ETA FORMA JURIDIKOAREN ARABERA 2012 (zifra absolutuak eta %bertikalak)</w:t>
        </w:r>
        <w:r w:rsidR="000728A0" w:rsidRPr="001E2F6E">
          <w:rPr>
            <w:rFonts w:eastAsiaTheme="minorHAnsi" w:cstheme="minorBidi"/>
            <w:noProof/>
            <w:webHidden/>
            <w:sz w:val="16"/>
            <w:szCs w:val="16"/>
          </w:rPr>
          <w:tab/>
        </w:r>
        <w:r w:rsidR="00EB6BA6" w:rsidRPr="001E2F6E">
          <w:rPr>
            <w:rFonts w:eastAsiaTheme="minorHAnsi" w:cstheme="minorBidi"/>
            <w:noProof/>
            <w:webHidden/>
            <w:sz w:val="16"/>
            <w:szCs w:val="16"/>
          </w:rPr>
          <w:fldChar w:fldCharType="begin"/>
        </w:r>
        <w:r w:rsidR="000728A0" w:rsidRPr="001E2F6E">
          <w:rPr>
            <w:rFonts w:eastAsiaTheme="minorHAnsi" w:cstheme="minorBidi"/>
            <w:noProof/>
            <w:webHidden/>
            <w:sz w:val="16"/>
            <w:szCs w:val="16"/>
          </w:rPr>
          <w:instrText xml:space="preserve"> PAGEREF _Toc392585787 \h </w:instrText>
        </w:r>
        <w:r w:rsidR="00EB6BA6" w:rsidRPr="001E2F6E">
          <w:rPr>
            <w:rFonts w:eastAsiaTheme="minorHAnsi" w:cstheme="minorBidi"/>
            <w:noProof/>
            <w:webHidden/>
            <w:sz w:val="16"/>
            <w:szCs w:val="16"/>
          </w:rPr>
        </w:r>
        <w:r w:rsidR="00EB6BA6" w:rsidRPr="001E2F6E">
          <w:rPr>
            <w:rFonts w:eastAsiaTheme="minorHAnsi" w:cstheme="minorBidi"/>
            <w:noProof/>
            <w:webHidden/>
            <w:sz w:val="16"/>
            <w:szCs w:val="16"/>
          </w:rPr>
          <w:fldChar w:fldCharType="separate"/>
        </w:r>
        <w:r>
          <w:rPr>
            <w:rFonts w:eastAsiaTheme="minorHAnsi" w:cstheme="minorBidi"/>
            <w:noProof/>
            <w:webHidden/>
            <w:sz w:val="16"/>
            <w:szCs w:val="16"/>
          </w:rPr>
          <w:t>63</w:t>
        </w:r>
        <w:r w:rsidR="00EB6BA6" w:rsidRPr="001E2F6E">
          <w:rPr>
            <w:rFonts w:eastAsiaTheme="minorHAnsi" w:cstheme="minorBidi"/>
            <w:noProof/>
            <w:webHidden/>
            <w:sz w:val="16"/>
            <w:szCs w:val="16"/>
          </w:rPr>
          <w:fldChar w:fldCharType="end"/>
        </w:r>
      </w:hyperlink>
    </w:p>
    <w:p w:rsidR="000728A0" w:rsidRPr="001E2F6E" w:rsidRDefault="00A327D4" w:rsidP="00B76DF2">
      <w:pPr>
        <w:pStyle w:val="Tabladeilustraciones"/>
        <w:tabs>
          <w:tab w:val="right" w:leader="dot" w:pos="9072"/>
        </w:tabs>
        <w:spacing w:line="240" w:lineRule="auto"/>
        <w:ind w:left="1134" w:hanging="1134"/>
        <w:rPr>
          <w:rFonts w:eastAsiaTheme="minorHAnsi" w:cstheme="minorBidi"/>
          <w:noProof/>
          <w:sz w:val="16"/>
          <w:szCs w:val="16"/>
        </w:rPr>
      </w:pPr>
      <w:hyperlink w:anchor="_Toc392585788" w:history="1">
        <w:r w:rsidR="000728A0" w:rsidRPr="001E2F6E">
          <w:rPr>
            <w:rFonts w:eastAsiaTheme="minorHAnsi" w:cstheme="minorBidi"/>
            <w:noProof/>
            <w:sz w:val="16"/>
            <w:szCs w:val="16"/>
          </w:rPr>
          <w:t xml:space="preserve">1.53 Taula </w:t>
        </w:r>
        <w:r w:rsidR="00B76DF2" w:rsidRPr="001E2F6E">
          <w:rPr>
            <w:rFonts w:eastAsiaTheme="minorHAnsi" w:cstheme="minorBidi"/>
            <w:noProof/>
            <w:sz w:val="16"/>
            <w:szCs w:val="16"/>
          </w:rPr>
          <w:tab/>
        </w:r>
        <w:r w:rsidR="000728A0" w:rsidRPr="001E2F6E">
          <w:rPr>
            <w:rFonts w:eastAsiaTheme="minorHAnsi" w:cstheme="minorBidi"/>
            <w:noProof/>
            <w:sz w:val="16"/>
            <w:szCs w:val="16"/>
          </w:rPr>
          <w:t>ESPORTAZIOEN BOLUMENAREN PISU ERLATIBOA, FORMA JURIDIKOAREN ETA ENPLEGU-MAILAREN ARABERA (%horizontalak). 2012</w:t>
        </w:r>
        <w:r w:rsidR="000728A0" w:rsidRPr="001E2F6E">
          <w:rPr>
            <w:rFonts w:eastAsiaTheme="minorHAnsi" w:cstheme="minorBidi"/>
            <w:noProof/>
            <w:webHidden/>
            <w:sz w:val="16"/>
            <w:szCs w:val="16"/>
          </w:rPr>
          <w:tab/>
        </w:r>
        <w:r w:rsidR="00EB6BA6" w:rsidRPr="001E2F6E">
          <w:rPr>
            <w:rFonts w:eastAsiaTheme="minorHAnsi" w:cstheme="minorBidi"/>
            <w:noProof/>
            <w:webHidden/>
            <w:sz w:val="16"/>
            <w:szCs w:val="16"/>
          </w:rPr>
          <w:fldChar w:fldCharType="begin"/>
        </w:r>
        <w:r w:rsidR="000728A0" w:rsidRPr="001E2F6E">
          <w:rPr>
            <w:rFonts w:eastAsiaTheme="minorHAnsi" w:cstheme="minorBidi"/>
            <w:noProof/>
            <w:webHidden/>
            <w:sz w:val="16"/>
            <w:szCs w:val="16"/>
          </w:rPr>
          <w:instrText xml:space="preserve"> PAGEREF _Toc392585788 \h </w:instrText>
        </w:r>
        <w:r w:rsidR="00EB6BA6" w:rsidRPr="001E2F6E">
          <w:rPr>
            <w:rFonts w:eastAsiaTheme="minorHAnsi" w:cstheme="minorBidi"/>
            <w:noProof/>
            <w:webHidden/>
            <w:sz w:val="16"/>
            <w:szCs w:val="16"/>
          </w:rPr>
        </w:r>
        <w:r w:rsidR="00EB6BA6" w:rsidRPr="001E2F6E">
          <w:rPr>
            <w:rFonts w:eastAsiaTheme="minorHAnsi" w:cstheme="minorBidi"/>
            <w:noProof/>
            <w:webHidden/>
            <w:sz w:val="16"/>
            <w:szCs w:val="16"/>
          </w:rPr>
          <w:fldChar w:fldCharType="separate"/>
        </w:r>
        <w:r>
          <w:rPr>
            <w:rFonts w:eastAsiaTheme="minorHAnsi" w:cstheme="minorBidi"/>
            <w:noProof/>
            <w:webHidden/>
            <w:sz w:val="16"/>
            <w:szCs w:val="16"/>
          </w:rPr>
          <w:t>63</w:t>
        </w:r>
        <w:r w:rsidR="00EB6BA6" w:rsidRPr="001E2F6E">
          <w:rPr>
            <w:rFonts w:eastAsiaTheme="minorHAnsi" w:cstheme="minorBidi"/>
            <w:noProof/>
            <w:webHidden/>
            <w:sz w:val="16"/>
            <w:szCs w:val="16"/>
          </w:rPr>
          <w:fldChar w:fldCharType="end"/>
        </w:r>
      </w:hyperlink>
    </w:p>
    <w:p w:rsidR="000728A0" w:rsidRPr="001E2F6E" w:rsidRDefault="00A327D4" w:rsidP="00B76DF2">
      <w:pPr>
        <w:pStyle w:val="Tabladeilustraciones"/>
        <w:tabs>
          <w:tab w:val="right" w:leader="dot" w:pos="9072"/>
        </w:tabs>
        <w:spacing w:line="240" w:lineRule="auto"/>
        <w:ind w:left="1134" w:hanging="1134"/>
        <w:rPr>
          <w:rFonts w:eastAsiaTheme="minorHAnsi" w:cstheme="minorBidi"/>
          <w:noProof/>
          <w:sz w:val="16"/>
          <w:szCs w:val="16"/>
        </w:rPr>
      </w:pPr>
      <w:hyperlink w:anchor="_Toc392585789" w:history="1">
        <w:r w:rsidR="000728A0" w:rsidRPr="001E2F6E">
          <w:rPr>
            <w:rFonts w:eastAsiaTheme="minorHAnsi" w:cstheme="minorBidi"/>
            <w:noProof/>
            <w:sz w:val="16"/>
            <w:szCs w:val="16"/>
          </w:rPr>
          <w:t xml:space="preserve">1.54 Taula </w:t>
        </w:r>
        <w:r w:rsidR="00B76DF2" w:rsidRPr="001E2F6E">
          <w:rPr>
            <w:rFonts w:eastAsiaTheme="minorHAnsi" w:cstheme="minorBidi"/>
            <w:noProof/>
            <w:sz w:val="16"/>
            <w:szCs w:val="16"/>
          </w:rPr>
          <w:tab/>
        </w:r>
        <w:r w:rsidR="000728A0" w:rsidRPr="001E2F6E">
          <w:rPr>
            <w:rFonts w:eastAsiaTheme="minorHAnsi" w:cstheme="minorBidi"/>
            <w:noProof/>
            <w:sz w:val="16"/>
            <w:szCs w:val="16"/>
          </w:rPr>
          <w:t>GIZARTE-EKONOMIAREN FUNTS PROPIOEN ARLOZ ARLOKO BANAKETA. 2010 eta 2012 (zifra absolutuak euro kopurua  milakoan, %bertikalak)</w:t>
        </w:r>
        <w:r w:rsidR="000728A0" w:rsidRPr="001E2F6E">
          <w:rPr>
            <w:rFonts w:eastAsiaTheme="minorHAnsi" w:cstheme="minorBidi"/>
            <w:noProof/>
            <w:webHidden/>
            <w:sz w:val="16"/>
            <w:szCs w:val="16"/>
          </w:rPr>
          <w:tab/>
        </w:r>
        <w:r w:rsidR="00EB6BA6" w:rsidRPr="001E2F6E">
          <w:rPr>
            <w:rFonts w:eastAsiaTheme="minorHAnsi" w:cstheme="minorBidi"/>
            <w:noProof/>
            <w:webHidden/>
            <w:sz w:val="16"/>
            <w:szCs w:val="16"/>
          </w:rPr>
          <w:fldChar w:fldCharType="begin"/>
        </w:r>
        <w:r w:rsidR="000728A0" w:rsidRPr="001E2F6E">
          <w:rPr>
            <w:rFonts w:eastAsiaTheme="minorHAnsi" w:cstheme="minorBidi"/>
            <w:noProof/>
            <w:webHidden/>
            <w:sz w:val="16"/>
            <w:szCs w:val="16"/>
          </w:rPr>
          <w:instrText xml:space="preserve"> PAGEREF _Toc392585789 \h </w:instrText>
        </w:r>
        <w:r w:rsidR="00EB6BA6" w:rsidRPr="001E2F6E">
          <w:rPr>
            <w:rFonts w:eastAsiaTheme="minorHAnsi" w:cstheme="minorBidi"/>
            <w:noProof/>
            <w:webHidden/>
            <w:sz w:val="16"/>
            <w:szCs w:val="16"/>
          </w:rPr>
        </w:r>
        <w:r w:rsidR="00EB6BA6" w:rsidRPr="001E2F6E">
          <w:rPr>
            <w:rFonts w:eastAsiaTheme="minorHAnsi" w:cstheme="minorBidi"/>
            <w:noProof/>
            <w:webHidden/>
            <w:sz w:val="16"/>
            <w:szCs w:val="16"/>
          </w:rPr>
          <w:fldChar w:fldCharType="separate"/>
        </w:r>
        <w:r>
          <w:rPr>
            <w:rFonts w:eastAsiaTheme="minorHAnsi" w:cstheme="minorBidi"/>
            <w:noProof/>
            <w:webHidden/>
            <w:sz w:val="16"/>
            <w:szCs w:val="16"/>
          </w:rPr>
          <w:t>65</w:t>
        </w:r>
        <w:r w:rsidR="00EB6BA6" w:rsidRPr="001E2F6E">
          <w:rPr>
            <w:rFonts w:eastAsiaTheme="minorHAnsi" w:cstheme="minorBidi"/>
            <w:noProof/>
            <w:webHidden/>
            <w:sz w:val="16"/>
            <w:szCs w:val="16"/>
          </w:rPr>
          <w:fldChar w:fldCharType="end"/>
        </w:r>
      </w:hyperlink>
    </w:p>
    <w:p w:rsidR="000728A0" w:rsidRPr="001E2F6E" w:rsidRDefault="00A327D4" w:rsidP="00B76DF2">
      <w:pPr>
        <w:pStyle w:val="Tabladeilustraciones"/>
        <w:tabs>
          <w:tab w:val="right" w:leader="dot" w:pos="9072"/>
        </w:tabs>
        <w:spacing w:line="240" w:lineRule="auto"/>
        <w:ind w:left="1134" w:hanging="1134"/>
        <w:rPr>
          <w:rFonts w:eastAsiaTheme="minorHAnsi" w:cstheme="minorBidi"/>
          <w:noProof/>
          <w:sz w:val="16"/>
          <w:szCs w:val="16"/>
        </w:rPr>
      </w:pPr>
      <w:hyperlink w:anchor="_Toc392585790" w:history="1">
        <w:r w:rsidR="000728A0" w:rsidRPr="001E2F6E">
          <w:rPr>
            <w:rFonts w:eastAsiaTheme="minorHAnsi" w:cstheme="minorBidi"/>
            <w:noProof/>
            <w:sz w:val="16"/>
            <w:szCs w:val="16"/>
          </w:rPr>
          <w:t xml:space="preserve">1.55 Taula </w:t>
        </w:r>
        <w:r w:rsidR="00B76DF2" w:rsidRPr="001E2F6E">
          <w:rPr>
            <w:rFonts w:eastAsiaTheme="minorHAnsi" w:cstheme="minorBidi"/>
            <w:noProof/>
            <w:sz w:val="16"/>
            <w:szCs w:val="16"/>
          </w:rPr>
          <w:tab/>
        </w:r>
        <w:r w:rsidR="000728A0" w:rsidRPr="001E2F6E">
          <w:rPr>
            <w:rFonts w:eastAsiaTheme="minorHAnsi" w:cstheme="minorBidi"/>
            <w:noProof/>
            <w:sz w:val="16"/>
            <w:szCs w:val="16"/>
          </w:rPr>
          <w:t>GIZARTE-EKONOMIAREN FUNTS PROPIOEN ARLOZ ARLOKO BANAKETA. FUNTS PROPIOEN GAINEKO ERRENTAGARRITASUNARI BURUZKO ERREFERENTZIA  (zifra absolutuak euro -kopurua milakoan.) 2012</w:t>
        </w:r>
        <w:r w:rsidR="000728A0" w:rsidRPr="001E2F6E">
          <w:rPr>
            <w:rFonts w:eastAsiaTheme="minorHAnsi" w:cstheme="minorBidi"/>
            <w:noProof/>
            <w:webHidden/>
            <w:sz w:val="16"/>
            <w:szCs w:val="16"/>
          </w:rPr>
          <w:tab/>
        </w:r>
        <w:r w:rsidR="00EB6BA6" w:rsidRPr="001E2F6E">
          <w:rPr>
            <w:rFonts w:eastAsiaTheme="minorHAnsi" w:cstheme="minorBidi"/>
            <w:noProof/>
            <w:webHidden/>
            <w:sz w:val="16"/>
            <w:szCs w:val="16"/>
          </w:rPr>
          <w:fldChar w:fldCharType="begin"/>
        </w:r>
        <w:r w:rsidR="000728A0" w:rsidRPr="001E2F6E">
          <w:rPr>
            <w:rFonts w:eastAsiaTheme="minorHAnsi" w:cstheme="minorBidi"/>
            <w:noProof/>
            <w:webHidden/>
            <w:sz w:val="16"/>
            <w:szCs w:val="16"/>
          </w:rPr>
          <w:instrText xml:space="preserve"> PAGEREF _Toc392585790 \h </w:instrText>
        </w:r>
        <w:r w:rsidR="00EB6BA6" w:rsidRPr="001E2F6E">
          <w:rPr>
            <w:rFonts w:eastAsiaTheme="minorHAnsi" w:cstheme="minorBidi"/>
            <w:noProof/>
            <w:webHidden/>
            <w:sz w:val="16"/>
            <w:szCs w:val="16"/>
          </w:rPr>
        </w:r>
        <w:r w:rsidR="00EB6BA6" w:rsidRPr="001E2F6E">
          <w:rPr>
            <w:rFonts w:eastAsiaTheme="minorHAnsi" w:cstheme="minorBidi"/>
            <w:noProof/>
            <w:webHidden/>
            <w:sz w:val="16"/>
            <w:szCs w:val="16"/>
          </w:rPr>
          <w:fldChar w:fldCharType="separate"/>
        </w:r>
        <w:r>
          <w:rPr>
            <w:rFonts w:eastAsiaTheme="minorHAnsi" w:cstheme="minorBidi"/>
            <w:noProof/>
            <w:webHidden/>
            <w:sz w:val="16"/>
            <w:szCs w:val="16"/>
          </w:rPr>
          <w:t>65</w:t>
        </w:r>
        <w:r w:rsidR="00EB6BA6" w:rsidRPr="001E2F6E">
          <w:rPr>
            <w:rFonts w:eastAsiaTheme="minorHAnsi" w:cstheme="minorBidi"/>
            <w:noProof/>
            <w:webHidden/>
            <w:sz w:val="16"/>
            <w:szCs w:val="16"/>
          </w:rPr>
          <w:fldChar w:fldCharType="end"/>
        </w:r>
      </w:hyperlink>
    </w:p>
    <w:p w:rsidR="000728A0" w:rsidRPr="001E2F6E" w:rsidRDefault="00A327D4" w:rsidP="00B76DF2">
      <w:pPr>
        <w:pStyle w:val="Tabladeilustraciones"/>
        <w:tabs>
          <w:tab w:val="right" w:leader="dot" w:pos="9072"/>
        </w:tabs>
        <w:spacing w:line="240" w:lineRule="auto"/>
        <w:ind w:left="1134" w:hanging="1134"/>
        <w:rPr>
          <w:rFonts w:eastAsiaTheme="minorHAnsi" w:cstheme="minorBidi"/>
          <w:noProof/>
          <w:sz w:val="16"/>
          <w:szCs w:val="16"/>
        </w:rPr>
      </w:pPr>
      <w:hyperlink w:anchor="_Toc392585791" w:history="1">
        <w:r w:rsidR="000728A0" w:rsidRPr="001E2F6E">
          <w:rPr>
            <w:rFonts w:eastAsiaTheme="minorHAnsi" w:cstheme="minorBidi"/>
            <w:noProof/>
            <w:sz w:val="16"/>
            <w:szCs w:val="16"/>
          </w:rPr>
          <w:t xml:space="preserve">1.56 Taula </w:t>
        </w:r>
        <w:r w:rsidR="00B76DF2" w:rsidRPr="001E2F6E">
          <w:rPr>
            <w:rFonts w:eastAsiaTheme="minorHAnsi" w:cstheme="minorBidi"/>
            <w:noProof/>
            <w:sz w:val="16"/>
            <w:szCs w:val="16"/>
          </w:rPr>
          <w:tab/>
        </w:r>
        <w:r w:rsidR="000728A0" w:rsidRPr="001E2F6E">
          <w:rPr>
            <w:rFonts w:eastAsiaTheme="minorHAnsi" w:cstheme="minorBidi"/>
            <w:noProof/>
            <w:sz w:val="16"/>
            <w:szCs w:val="16"/>
          </w:rPr>
          <w:t>GIZARTE-EKONOMIAREN FUNTS PROPIOEN ARLOZ ARLOKO BANAKETA, FORMA JURIDIKOAREN ARABERA. 2012 (z.a. euroan eta % horizontalak)</w:t>
        </w:r>
        <w:r w:rsidR="000728A0" w:rsidRPr="001E2F6E">
          <w:rPr>
            <w:rFonts w:eastAsiaTheme="minorHAnsi" w:cstheme="minorBidi"/>
            <w:noProof/>
            <w:webHidden/>
            <w:sz w:val="16"/>
            <w:szCs w:val="16"/>
          </w:rPr>
          <w:tab/>
        </w:r>
        <w:r w:rsidR="00EB6BA6" w:rsidRPr="001E2F6E">
          <w:rPr>
            <w:rFonts w:eastAsiaTheme="minorHAnsi" w:cstheme="minorBidi"/>
            <w:noProof/>
            <w:webHidden/>
            <w:sz w:val="16"/>
            <w:szCs w:val="16"/>
          </w:rPr>
          <w:fldChar w:fldCharType="begin"/>
        </w:r>
        <w:r w:rsidR="000728A0" w:rsidRPr="001E2F6E">
          <w:rPr>
            <w:rFonts w:eastAsiaTheme="minorHAnsi" w:cstheme="minorBidi"/>
            <w:noProof/>
            <w:webHidden/>
            <w:sz w:val="16"/>
            <w:szCs w:val="16"/>
          </w:rPr>
          <w:instrText xml:space="preserve"> PAGEREF _Toc392585791 \h </w:instrText>
        </w:r>
        <w:r w:rsidR="00EB6BA6" w:rsidRPr="001E2F6E">
          <w:rPr>
            <w:rFonts w:eastAsiaTheme="minorHAnsi" w:cstheme="minorBidi"/>
            <w:noProof/>
            <w:webHidden/>
            <w:sz w:val="16"/>
            <w:szCs w:val="16"/>
          </w:rPr>
        </w:r>
        <w:r w:rsidR="00EB6BA6" w:rsidRPr="001E2F6E">
          <w:rPr>
            <w:rFonts w:eastAsiaTheme="minorHAnsi" w:cstheme="minorBidi"/>
            <w:noProof/>
            <w:webHidden/>
            <w:sz w:val="16"/>
            <w:szCs w:val="16"/>
          </w:rPr>
          <w:fldChar w:fldCharType="separate"/>
        </w:r>
        <w:r>
          <w:rPr>
            <w:rFonts w:eastAsiaTheme="minorHAnsi" w:cstheme="minorBidi"/>
            <w:noProof/>
            <w:webHidden/>
            <w:sz w:val="16"/>
            <w:szCs w:val="16"/>
          </w:rPr>
          <w:t>65</w:t>
        </w:r>
        <w:r w:rsidR="00EB6BA6" w:rsidRPr="001E2F6E">
          <w:rPr>
            <w:rFonts w:eastAsiaTheme="minorHAnsi" w:cstheme="minorBidi"/>
            <w:noProof/>
            <w:webHidden/>
            <w:sz w:val="16"/>
            <w:szCs w:val="16"/>
          </w:rPr>
          <w:fldChar w:fldCharType="end"/>
        </w:r>
      </w:hyperlink>
    </w:p>
    <w:p w:rsidR="000728A0" w:rsidRPr="001E2F6E" w:rsidRDefault="00A327D4" w:rsidP="00B76DF2">
      <w:pPr>
        <w:pStyle w:val="Tabladeilustraciones"/>
        <w:tabs>
          <w:tab w:val="right" w:leader="dot" w:pos="9072"/>
        </w:tabs>
        <w:spacing w:line="240" w:lineRule="auto"/>
        <w:ind w:left="1134" w:hanging="1134"/>
        <w:rPr>
          <w:rFonts w:eastAsiaTheme="minorHAnsi" w:cstheme="minorBidi"/>
          <w:noProof/>
          <w:sz w:val="16"/>
          <w:szCs w:val="16"/>
        </w:rPr>
      </w:pPr>
      <w:hyperlink w:anchor="_Toc392585792" w:history="1">
        <w:r w:rsidR="000728A0" w:rsidRPr="001E2F6E">
          <w:rPr>
            <w:rFonts w:eastAsiaTheme="minorHAnsi" w:cstheme="minorBidi"/>
            <w:noProof/>
            <w:sz w:val="16"/>
            <w:szCs w:val="16"/>
          </w:rPr>
          <w:t xml:space="preserve">1.57 Taula </w:t>
        </w:r>
        <w:r w:rsidR="00B76DF2" w:rsidRPr="001E2F6E">
          <w:rPr>
            <w:rFonts w:eastAsiaTheme="minorHAnsi" w:cstheme="minorBidi"/>
            <w:noProof/>
            <w:sz w:val="16"/>
            <w:szCs w:val="16"/>
          </w:rPr>
          <w:tab/>
        </w:r>
        <w:r w:rsidR="000728A0" w:rsidRPr="001E2F6E">
          <w:rPr>
            <w:rFonts w:eastAsiaTheme="minorHAnsi" w:cstheme="minorBidi"/>
            <w:noProof/>
            <w:sz w:val="16"/>
            <w:szCs w:val="16"/>
          </w:rPr>
          <w:t>GIZARTE-EKONOMIAREN FUNTS PROPIOEN ARLOZ ARLOKO BANAKETA, LURRALDE HISTORIKOAREN ARABERA. 2012. (zifra absolutuak euroan eta %bertikalak)</w:t>
        </w:r>
        <w:r w:rsidR="000728A0" w:rsidRPr="001E2F6E">
          <w:rPr>
            <w:rFonts w:eastAsiaTheme="minorHAnsi" w:cstheme="minorBidi"/>
            <w:noProof/>
            <w:webHidden/>
            <w:sz w:val="16"/>
            <w:szCs w:val="16"/>
          </w:rPr>
          <w:tab/>
        </w:r>
        <w:r w:rsidR="00EB6BA6" w:rsidRPr="001E2F6E">
          <w:rPr>
            <w:rFonts w:eastAsiaTheme="minorHAnsi" w:cstheme="minorBidi"/>
            <w:noProof/>
            <w:webHidden/>
            <w:sz w:val="16"/>
            <w:szCs w:val="16"/>
          </w:rPr>
          <w:fldChar w:fldCharType="begin"/>
        </w:r>
        <w:r w:rsidR="000728A0" w:rsidRPr="001E2F6E">
          <w:rPr>
            <w:rFonts w:eastAsiaTheme="minorHAnsi" w:cstheme="minorBidi"/>
            <w:noProof/>
            <w:webHidden/>
            <w:sz w:val="16"/>
            <w:szCs w:val="16"/>
          </w:rPr>
          <w:instrText xml:space="preserve"> PAGEREF _Toc392585792 \h </w:instrText>
        </w:r>
        <w:r w:rsidR="00EB6BA6" w:rsidRPr="001E2F6E">
          <w:rPr>
            <w:rFonts w:eastAsiaTheme="minorHAnsi" w:cstheme="minorBidi"/>
            <w:noProof/>
            <w:webHidden/>
            <w:sz w:val="16"/>
            <w:szCs w:val="16"/>
          </w:rPr>
        </w:r>
        <w:r w:rsidR="00EB6BA6" w:rsidRPr="001E2F6E">
          <w:rPr>
            <w:rFonts w:eastAsiaTheme="minorHAnsi" w:cstheme="minorBidi"/>
            <w:noProof/>
            <w:webHidden/>
            <w:sz w:val="16"/>
            <w:szCs w:val="16"/>
          </w:rPr>
          <w:fldChar w:fldCharType="separate"/>
        </w:r>
        <w:r>
          <w:rPr>
            <w:rFonts w:eastAsiaTheme="minorHAnsi" w:cstheme="minorBidi"/>
            <w:noProof/>
            <w:webHidden/>
            <w:sz w:val="16"/>
            <w:szCs w:val="16"/>
          </w:rPr>
          <w:t>66</w:t>
        </w:r>
        <w:r w:rsidR="00EB6BA6" w:rsidRPr="001E2F6E">
          <w:rPr>
            <w:rFonts w:eastAsiaTheme="minorHAnsi" w:cstheme="minorBidi"/>
            <w:noProof/>
            <w:webHidden/>
            <w:sz w:val="16"/>
            <w:szCs w:val="16"/>
          </w:rPr>
          <w:fldChar w:fldCharType="end"/>
        </w:r>
      </w:hyperlink>
    </w:p>
    <w:p w:rsidR="000728A0" w:rsidRPr="001E2F6E" w:rsidRDefault="00A327D4" w:rsidP="00B76DF2">
      <w:pPr>
        <w:pStyle w:val="Tabladeilustraciones"/>
        <w:tabs>
          <w:tab w:val="right" w:leader="dot" w:pos="9072"/>
        </w:tabs>
        <w:spacing w:line="240" w:lineRule="auto"/>
        <w:ind w:left="1134" w:hanging="1134"/>
        <w:rPr>
          <w:rFonts w:eastAsiaTheme="minorHAnsi" w:cstheme="minorBidi"/>
          <w:noProof/>
          <w:sz w:val="16"/>
          <w:szCs w:val="16"/>
        </w:rPr>
      </w:pPr>
      <w:hyperlink w:anchor="_Toc392585793" w:history="1">
        <w:r w:rsidR="000728A0" w:rsidRPr="001E2F6E">
          <w:rPr>
            <w:rFonts w:eastAsiaTheme="minorHAnsi" w:cstheme="minorBidi"/>
            <w:noProof/>
            <w:sz w:val="16"/>
            <w:szCs w:val="16"/>
          </w:rPr>
          <w:t xml:space="preserve">1.58 Taula </w:t>
        </w:r>
        <w:r w:rsidR="00B76DF2" w:rsidRPr="001E2F6E">
          <w:rPr>
            <w:rFonts w:eastAsiaTheme="minorHAnsi" w:cstheme="minorBidi"/>
            <w:noProof/>
            <w:sz w:val="16"/>
            <w:szCs w:val="16"/>
          </w:rPr>
          <w:tab/>
        </w:r>
        <w:r w:rsidR="000728A0" w:rsidRPr="001E2F6E">
          <w:rPr>
            <w:rFonts w:eastAsiaTheme="minorHAnsi" w:cstheme="minorBidi"/>
            <w:noProof/>
            <w:sz w:val="16"/>
            <w:szCs w:val="16"/>
          </w:rPr>
          <w:t>ZORPETZE-RATIOAK, JARDUERA-SEKTOREAREN ARABERA. 2012 (% kanpoko funtsak/Funts propioak)</w:t>
        </w:r>
        <w:r w:rsidR="000728A0" w:rsidRPr="001E2F6E">
          <w:rPr>
            <w:rFonts w:eastAsiaTheme="minorHAnsi" w:cstheme="minorBidi"/>
            <w:noProof/>
            <w:webHidden/>
            <w:sz w:val="16"/>
            <w:szCs w:val="16"/>
          </w:rPr>
          <w:tab/>
        </w:r>
        <w:r w:rsidR="00EB6BA6" w:rsidRPr="001E2F6E">
          <w:rPr>
            <w:rFonts w:eastAsiaTheme="minorHAnsi" w:cstheme="minorBidi"/>
            <w:noProof/>
            <w:webHidden/>
            <w:sz w:val="16"/>
            <w:szCs w:val="16"/>
          </w:rPr>
          <w:fldChar w:fldCharType="begin"/>
        </w:r>
        <w:r w:rsidR="000728A0" w:rsidRPr="001E2F6E">
          <w:rPr>
            <w:rFonts w:eastAsiaTheme="minorHAnsi" w:cstheme="minorBidi"/>
            <w:noProof/>
            <w:webHidden/>
            <w:sz w:val="16"/>
            <w:szCs w:val="16"/>
          </w:rPr>
          <w:instrText xml:space="preserve"> PAGEREF _Toc392585793 \h </w:instrText>
        </w:r>
        <w:r w:rsidR="00EB6BA6" w:rsidRPr="001E2F6E">
          <w:rPr>
            <w:rFonts w:eastAsiaTheme="minorHAnsi" w:cstheme="minorBidi"/>
            <w:noProof/>
            <w:webHidden/>
            <w:sz w:val="16"/>
            <w:szCs w:val="16"/>
          </w:rPr>
        </w:r>
        <w:r w:rsidR="00EB6BA6" w:rsidRPr="001E2F6E">
          <w:rPr>
            <w:rFonts w:eastAsiaTheme="minorHAnsi" w:cstheme="minorBidi"/>
            <w:noProof/>
            <w:webHidden/>
            <w:sz w:val="16"/>
            <w:szCs w:val="16"/>
          </w:rPr>
          <w:fldChar w:fldCharType="separate"/>
        </w:r>
        <w:r>
          <w:rPr>
            <w:rFonts w:eastAsiaTheme="minorHAnsi" w:cstheme="minorBidi"/>
            <w:noProof/>
            <w:webHidden/>
            <w:sz w:val="16"/>
            <w:szCs w:val="16"/>
          </w:rPr>
          <w:t>66</w:t>
        </w:r>
        <w:r w:rsidR="00EB6BA6" w:rsidRPr="001E2F6E">
          <w:rPr>
            <w:rFonts w:eastAsiaTheme="minorHAnsi" w:cstheme="minorBidi"/>
            <w:noProof/>
            <w:webHidden/>
            <w:sz w:val="16"/>
            <w:szCs w:val="16"/>
          </w:rPr>
          <w:fldChar w:fldCharType="end"/>
        </w:r>
      </w:hyperlink>
    </w:p>
    <w:p w:rsidR="000728A0" w:rsidRPr="001E2F6E" w:rsidRDefault="00A327D4" w:rsidP="00B76DF2">
      <w:pPr>
        <w:pStyle w:val="Tabladeilustraciones"/>
        <w:tabs>
          <w:tab w:val="right" w:leader="dot" w:pos="9072"/>
        </w:tabs>
        <w:spacing w:line="240" w:lineRule="auto"/>
        <w:ind w:left="1134" w:hanging="1134"/>
        <w:rPr>
          <w:rFonts w:eastAsiaTheme="minorHAnsi" w:cstheme="minorBidi"/>
          <w:noProof/>
          <w:sz w:val="16"/>
          <w:szCs w:val="16"/>
        </w:rPr>
      </w:pPr>
      <w:hyperlink w:anchor="_Toc392585794" w:history="1">
        <w:r w:rsidR="000728A0" w:rsidRPr="001E2F6E">
          <w:rPr>
            <w:rFonts w:eastAsiaTheme="minorHAnsi" w:cstheme="minorBidi"/>
            <w:noProof/>
            <w:sz w:val="16"/>
            <w:szCs w:val="16"/>
          </w:rPr>
          <w:t xml:space="preserve">1.59 Taula </w:t>
        </w:r>
        <w:r w:rsidR="00B76DF2" w:rsidRPr="001E2F6E">
          <w:rPr>
            <w:rFonts w:eastAsiaTheme="minorHAnsi" w:cstheme="minorBidi"/>
            <w:noProof/>
            <w:sz w:val="16"/>
            <w:szCs w:val="16"/>
          </w:rPr>
          <w:tab/>
        </w:r>
        <w:r w:rsidR="000728A0" w:rsidRPr="001E2F6E">
          <w:rPr>
            <w:rFonts w:eastAsiaTheme="minorHAnsi" w:cstheme="minorBidi"/>
            <w:noProof/>
            <w:sz w:val="16"/>
            <w:szCs w:val="16"/>
          </w:rPr>
          <w:t>BERME-RATIOAK, JARDUERA-SEKTOREAREN ARABERA. 2012 (% aktiboa guztira/Galdagarria guztira)</w:t>
        </w:r>
        <w:r w:rsidR="000728A0" w:rsidRPr="001E2F6E">
          <w:rPr>
            <w:rFonts w:eastAsiaTheme="minorHAnsi" w:cstheme="minorBidi"/>
            <w:noProof/>
            <w:webHidden/>
            <w:sz w:val="16"/>
            <w:szCs w:val="16"/>
          </w:rPr>
          <w:tab/>
        </w:r>
        <w:r w:rsidR="00EB6BA6" w:rsidRPr="001E2F6E">
          <w:rPr>
            <w:rFonts w:eastAsiaTheme="minorHAnsi" w:cstheme="minorBidi"/>
            <w:noProof/>
            <w:webHidden/>
            <w:sz w:val="16"/>
            <w:szCs w:val="16"/>
          </w:rPr>
          <w:fldChar w:fldCharType="begin"/>
        </w:r>
        <w:r w:rsidR="000728A0" w:rsidRPr="001E2F6E">
          <w:rPr>
            <w:rFonts w:eastAsiaTheme="minorHAnsi" w:cstheme="minorBidi"/>
            <w:noProof/>
            <w:webHidden/>
            <w:sz w:val="16"/>
            <w:szCs w:val="16"/>
          </w:rPr>
          <w:instrText xml:space="preserve"> PAGEREF _Toc392585794 \h </w:instrText>
        </w:r>
        <w:r w:rsidR="00EB6BA6" w:rsidRPr="001E2F6E">
          <w:rPr>
            <w:rFonts w:eastAsiaTheme="minorHAnsi" w:cstheme="minorBidi"/>
            <w:noProof/>
            <w:webHidden/>
            <w:sz w:val="16"/>
            <w:szCs w:val="16"/>
          </w:rPr>
        </w:r>
        <w:r w:rsidR="00EB6BA6" w:rsidRPr="001E2F6E">
          <w:rPr>
            <w:rFonts w:eastAsiaTheme="minorHAnsi" w:cstheme="minorBidi"/>
            <w:noProof/>
            <w:webHidden/>
            <w:sz w:val="16"/>
            <w:szCs w:val="16"/>
          </w:rPr>
          <w:fldChar w:fldCharType="separate"/>
        </w:r>
        <w:r>
          <w:rPr>
            <w:rFonts w:eastAsiaTheme="minorHAnsi" w:cstheme="minorBidi"/>
            <w:noProof/>
            <w:webHidden/>
            <w:sz w:val="16"/>
            <w:szCs w:val="16"/>
          </w:rPr>
          <w:t>66</w:t>
        </w:r>
        <w:r w:rsidR="00EB6BA6" w:rsidRPr="001E2F6E">
          <w:rPr>
            <w:rFonts w:eastAsiaTheme="minorHAnsi" w:cstheme="minorBidi"/>
            <w:noProof/>
            <w:webHidden/>
            <w:sz w:val="16"/>
            <w:szCs w:val="16"/>
          </w:rPr>
          <w:fldChar w:fldCharType="end"/>
        </w:r>
      </w:hyperlink>
    </w:p>
    <w:p w:rsidR="000728A0" w:rsidRPr="001E2F6E" w:rsidRDefault="00A327D4" w:rsidP="00B76DF2">
      <w:pPr>
        <w:pStyle w:val="Tabladeilustraciones"/>
        <w:tabs>
          <w:tab w:val="right" w:leader="dot" w:pos="9072"/>
        </w:tabs>
        <w:spacing w:line="240" w:lineRule="auto"/>
        <w:ind w:left="1134" w:hanging="1134"/>
        <w:rPr>
          <w:rFonts w:eastAsiaTheme="minorHAnsi" w:cstheme="minorBidi"/>
          <w:noProof/>
          <w:sz w:val="16"/>
          <w:szCs w:val="16"/>
        </w:rPr>
      </w:pPr>
      <w:hyperlink w:anchor="_Toc392585795" w:history="1">
        <w:r w:rsidR="000728A0" w:rsidRPr="001E2F6E">
          <w:rPr>
            <w:rFonts w:eastAsiaTheme="minorHAnsi" w:cstheme="minorBidi"/>
            <w:noProof/>
            <w:sz w:val="16"/>
            <w:szCs w:val="16"/>
          </w:rPr>
          <w:t xml:space="preserve">1.60 Taula </w:t>
        </w:r>
        <w:r w:rsidR="00B76DF2" w:rsidRPr="001E2F6E">
          <w:rPr>
            <w:rFonts w:eastAsiaTheme="minorHAnsi" w:cstheme="minorBidi"/>
            <w:noProof/>
            <w:sz w:val="16"/>
            <w:szCs w:val="16"/>
          </w:rPr>
          <w:tab/>
        </w:r>
        <w:r w:rsidR="000728A0" w:rsidRPr="001E2F6E">
          <w:rPr>
            <w:rFonts w:eastAsiaTheme="minorHAnsi" w:cstheme="minorBidi"/>
            <w:noProof/>
            <w:sz w:val="16"/>
            <w:szCs w:val="16"/>
          </w:rPr>
          <w:t>ZORPETZE-RATIOAK, FORMA JURIDIKOAREN ARABERA. 2012 (% Kanpoko funtsak/Funts propioak)</w:t>
        </w:r>
        <w:r w:rsidR="000728A0" w:rsidRPr="001E2F6E">
          <w:rPr>
            <w:rFonts w:eastAsiaTheme="minorHAnsi" w:cstheme="minorBidi"/>
            <w:noProof/>
            <w:webHidden/>
            <w:sz w:val="16"/>
            <w:szCs w:val="16"/>
          </w:rPr>
          <w:tab/>
        </w:r>
        <w:r w:rsidR="00EB6BA6" w:rsidRPr="001E2F6E">
          <w:rPr>
            <w:rFonts w:eastAsiaTheme="minorHAnsi" w:cstheme="minorBidi"/>
            <w:noProof/>
            <w:webHidden/>
            <w:sz w:val="16"/>
            <w:szCs w:val="16"/>
          </w:rPr>
          <w:fldChar w:fldCharType="begin"/>
        </w:r>
        <w:r w:rsidR="000728A0" w:rsidRPr="001E2F6E">
          <w:rPr>
            <w:rFonts w:eastAsiaTheme="minorHAnsi" w:cstheme="minorBidi"/>
            <w:noProof/>
            <w:webHidden/>
            <w:sz w:val="16"/>
            <w:szCs w:val="16"/>
          </w:rPr>
          <w:instrText xml:space="preserve"> PAGEREF _Toc392585795 \h </w:instrText>
        </w:r>
        <w:r w:rsidR="00EB6BA6" w:rsidRPr="001E2F6E">
          <w:rPr>
            <w:rFonts w:eastAsiaTheme="minorHAnsi" w:cstheme="minorBidi"/>
            <w:noProof/>
            <w:webHidden/>
            <w:sz w:val="16"/>
            <w:szCs w:val="16"/>
          </w:rPr>
        </w:r>
        <w:r w:rsidR="00EB6BA6" w:rsidRPr="001E2F6E">
          <w:rPr>
            <w:rFonts w:eastAsiaTheme="minorHAnsi" w:cstheme="minorBidi"/>
            <w:noProof/>
            <w:webHidden/>
            <w:sz w:val="16"/>
            <w:szCs w:val="16"/>
          </w:rPr>
          <w:fldChar w:fldCharType="separate"/>
        </w:r>
        <w:r>
          <w:rPr>
            <w:rFonts w:eastAsiaTheme="minorHAnsi" w:cstheme="minorBidi"/>
            <w:noProof/>
            <w:webHidden/>
            <w:sz w:val="16"/>
            <w:szCs w:val="16"/>
          </w:rPr>
          <w:t>66</w:t>
        </w:r>
        <w:r w:rsidR="00EB6BA6" w:rsidRPr="001E2F6E">
          <w:rPr>
            <w:rFonts w:eastAsiaTheme="minorHAnsi" w:cstheme="minorBidi"/>
            <w:noProof/>
            <w:webHidden/>
            <w:sz w:val="16"/>
            <w:szCs w:val="16"/>
          </w:rPr>
          <w:fldChar w:fldCharType="end"/>
        </w:r>
      </w:hyperlink>
    </w:p>
    <w:p w:rsidR="000728A0" w:rsidRPr="001E2F6E" w:rsidRDefault="00A327D4" w:rsidP="00B76DF2">
      <w:pPr>
        <w:pStyle w:val="Tabladeilustraciones"/>
        <w:tabs>
          <w:tab w:val="right" w:leader="dot" w:pos="9072"/>
        </w:tabs>
        <w:spacing w:line="240" w:lineRule="auto"/>
        <w:ind w:left="1134" w:hanging="1134"/>
        <w:rPr>
          <w:rFonts w:eastAsiaTheme="minorHAnsi" w:cstheme="minorBidi"/>
          <w:noProof/>
          <w:sz w:val="16"/>
          <w:szCs w:val="16"/>
        </w:rPr>
      </w:pPr>
      <w:hyperlink w:anchor="_Toc392585796" w:history="1">
        <w:r w:rsidR="000728A0" w:rsidRPr="001E2F6E">
          <w:rPr>
            <w:rFonts w:eastAsiaTheme="minorHAnsi" w:cstheme="minorBidi"/>
            <w:noProof/>
            <w:sz w:val="16"/>
            <w:szCs w:val="16"/>
          </w:rPr>
          <w:t xml:space="preserve">1.61 Taula </w:t>
        </w:r>
        <w:r w:rsidR="00B76DF2" w:rsidRPr="001E2F6E">
          <w:rPr>
            <w:rFonts w:eastAsiaTheme="minorHAnsi" w:cstheme="minorBidi"/>
            <w:noProof/>
            <w:sz w:val="16"/>
            <w:szCs w:val="16"/>
          </w:rPr>
          <w:tab/>
        </w:r>
        <w:r w:rsidR="000728A0" w:rsidRPr="001E2F6E">
          <w:rPr>
            <w:rFonts w:eastAsiaTheme="minorHAnsi" w:cstheme="minorBidi"/>
            <w:noProof/>
            <w:sz w:val="16"/>
            <w:szCs w:val="16"/>
          </w:rPr>
          <w:t>BERME-RATIOAK, FORMA JURIDIKOAREN ARABERA. 2012 (% aktiboa guztira/Galdagarria guztira)</w:t>
        </w:r>
        <w:r w:rsidR="000728A0" w:rsidRPr="001E2F6E">
          <w:rPr>
            <w:rFonts w:eastAsiaTheme="minorHAnsi" w:cstheme="minorBidi"/>
            <w:noProof/>
            <w:webHidden/>
            <w:sz w:val="16"/>
            <w:szCs w:val="16"/>
          </w:rPr>
          <w:tab/>
        </w:r>
        <w:r w:rsidR="00EB6BA6" w:rsidRPr="001E2F6E">
          <w:rPr>
            <w:rFonts w:eastAsiaTheme="minorHAnsi" w:cstheme="minorBidi"/>
            <w:noProof/>
            <w:webHidden/>
            <w:sz w:val="16"/>
            <w:szCs w:val="16"/>
          </w:rPr>
          <w:fldChar w:fldCharType="begin"/>
        </w:r>
        <w:r w:rsidR="000728A0" w:rsidRPr="001E2F6E">
          <w:rPr>
            <w:rFonts w:eastAsiaTheme="minorHAnsi" w:cstheme="minorBidi"/>
            <w:noProof/>
            <w:webHidden/>
            <w:sz w:val="16"/>
            <w:szCs w:val="16"/>
          </w:rPr>
          <w:instrText xml:space="preserve"> PAGEREF _Toc392585796 \h </w:instrText>
        </w:r>
        <w:r w:rsidR="00EB6BA6" w:rsidRPr="001E2F6E">
          <w:rPr>
            <w:rFonts w:eastAsiaTheme="minorHAnsi" w:cstheme="minorBidi"/>
            <w:noProof/>
            <w:webHidden/>
            <w:sz w:val="16"/>
            <w:szCs w:val="16"/>
          </w:rPr>
        </w:r>
        <w:r w:rsidR="00EB6BA6" w:rsidRPr="001E2F6E">
          <w:rPr>
            <w:rFonts w:eastAsiaTheme="minorHAnsi" w:cstheme="minorBidi"/>
            <w:noProof/>
            <w:webHidden/>
            <w:sz w:val="16"/>
            <w:szCs w:val="16"/>
          </w:rPr>
          <w:fldChar w:fldCharType="separate"/>
        </w:r>
        <w:r>
          <w:rPr>
            <w:rFonts w:eastAsiaTheme="minorHAnsi" w:cstheme="minorBidi"/>
            <w:noProof/>
            <w:webHidden/>
            <w:sz w:val="16"/>
            <w:szCs w:val="16"/>
          </w:rPr>
          <w:t>66</w:t>
        </w:r>
        <w:r w:rsidR="00EB6BA6" w:rsidRPr="001E2F6E">
          <w:rPr>
            <w:rFonts w:eastAsiaTheme="minorHAnsi" w:cstheme="minorBidi"/>
            <w:noProof/>
            <w:webHidden/>
            <w:sz w:val="16"/>
            <w:szCs w:val="16"/>
          </w:rPr>
          <w:fldChar w:fldCharType="end"/>
        </w:r>
      </w:hyperlink>
    </w:p>
    <w:p w:rsidR="000728A0" w:rsidRPr="001E2F6E" w:rsidRDefault="00A327D4" w:rsidP="00B76DF2">
      <w:pPr>
        <w:pStyle w:val="Tabladeilustraciones"/>
        <w:tabs>
          <w:tab w:val="right" w:leader="dot" w:pos="9072"/>
        </w:tabs>
        <w:spacing w:line="240" w:lineRule="auto"/>
        <w:ind w:left="1134" w:hanging="1134"/>
        <w:rPr>
          <w:rFonts w:eastAsiaTheme="minorHAnsi" w:cstheme="minorBidi"/>
          <w:noProof/>
          <w:sz w:val="16"/>
          <w:szCs w:val="16"/>
        </w:rPr>
      </w:pPr>
      <w:hyperlink w:anchor="_Toc392585797" w:history="1">
        <w:r w:rsidR="000728A0" w:rsidRPr="001E2F6E">
          <w:rPr>
            <w:rFonts w:cstheme="minorBidi"/>
            <w:noProof/>
            <w:sz w:val="16"/>
            <w:szCs w:val="16"/>
          </w:rPr>
          <w:t xml:space="preserve">1.62 Taula </w:t>
        </w:r>
        <w:r w:rsidR="00B76DF2" w:rsidRPr="001E2F6E">
          <w:rPr>
            <w:rFonts w:cstheme="minorBidi"/>
            <w:noProof/>
            <w:sz w:val="16"/>
            <w:szCs w:val="16"/>
          </w:rPr>
          <w:tab/>
        </w:r>
        <w:r w:rsidR="000728A0" w:rsidRPr="001E2F6E">
          <w:rPr>
            <w:rFonts w:cstheme="minorBidi"/>
            <w:noProof/>
            <w:sz w:val="16"/>
            <w:szCs w:val="16"/>
          </w:rPr>
          <w:t>ZORPETZE-RATIOAK, ENPRESEN TAMAINAREN ARABERA. 2012  (% Kanpoko Funtsak/Funts Propioak)</w:t>
        </w:r>
        <w:r w:rsidR="000728A0" w:rsidRPr="001E2F6E">
          <w:rPr>
            <w:rFonts w:eastAsiaTheme="minorHAnsi" w:cstheme="minorBidi"/>
            <w:noProof/>
            <w:webHidden/>
            <w:sz w:val="16"/>
            <w:szCs w:val="16"/>
          </w:rPr>
          <w:tab/>
        </w:r>
        <w:r w:rsidR="00EB6BA6" w:rsidRPr="001E2F6E">
          <w:rPr>
            <w:rFonts w:eastAsiaTheme="minorHAnsi" w:cstheme="minorBidi"/>
            <w:noProof/>
            <w:webHidden/>
            <w:sz w:val="16"/>
            <w:szCs w:val="16"/>
          </w:rPr>
          <w:fldChar w:fldCharType="begin"/>
        </w:r>
        <w:r w:rsidR="000728A0" w:rsidRPr="001E2F6E">
          <w:rPr>
            <w:rFonts w:eastAsiaTheme="minorHAnsi" w:cstheme="minorBidi"/>
            <w:noProof/>
            <w:webHidden/>
            <w:sz w:val="16"/>
            <w:szCs w:val="16"/>
          </w:rPr>
          <w:instrText xml:space="preserve"> PAGEREF _Toc392585797 \h </w:instrText>
        </w:r>
        <w:r w:rsidR="00EB6BA6" w:rsidRPr="001E2F6E">
          <w:rPr>
            <w:rFonts w:eastAsiaTheme="minorHAnsi" w:cstheme="minorBidi"/>
            <w:noProof/>
            <w:webHidden/>
            <w:sz w:val="16"/>
            <w:szCs w:val="16"/>
          </w:rPr>
        </w:r>
        <w:r w:rsidR="00EB6BA6" w:rsidRPr="001E2F6E">
          <w:rPr>
            <w:rFonts w:eastAsiaTheme="minorHAnsi" w:cstheme="minorBidi"/>
            <w:noProof/>
            <w:webHidden/>
            <w:sz w:val="16"/>
            <w:szCs w:val="16"/>
          </w:rPr>
          <w:fldChar w:fldCharType="separate"/>
        </w:r>
        <w:r>
          <w:rPr>
            <w:rFonts w:eastAsiaTheme="minorHAnsi" w:cstheme="minorBidi"/>
            <w:noProof/>
            <w:webHidden/>
            <w:sz w:val="16"/>
            <w:szCs w:val="16"/>
          </w:rPr>
          <w:t>67</w:t>
        </w:r>
        <w:r w:rsidR="00EB6BA6" w:rsidRPr="001E2F6E">
          <w:rPr>
            <w:rFonts w:eastAsiaTheme="minorHAnsi" w:cstheme="minorBidi"/>
            <w:noProof/>
            <w:webHidden/>
            <w:sz w:val="16"/>
            <w:szCs w:val="16"/>
          </w:rPr>
          <w:fldChar w:fldCharType="end"/>
        </w:r>
      </w:hyperlink>
    </w:p>
    <w:p w:rsidR="000728A0" w:rsidRPr="001E2F6E" w:rsidRDefault="00A327D4" w:rsidP="00B76DF2">
      <w:pPr>
        <w:pStyle w:val="Tabladeilustraciones"/>
        <w:tabs>
          <w:tab w:val="right" w:leader="dot" w:pos="9072"/>
        </w:tabs>
        <w:spacing w:line="240" w:lineRule="auto"/>
        <w:ind w:left="1134" w:hanging="1134"/>
        <w:rPr>
          <w:rFonts w:eastAsiaTheme="minorHAnsi" w:cstheme="minorBidi"/>
          <w:noProof/>
          <w:sz w:val="16"/>
          <w:szCs w:val="16"/>
        </w:rPr>
      </w:pPr>
      <w:hyperlink w:anchor="_Toc392585798" w:history="1">
        <w:r w:rsidR="000728A0" w:rsidRPr="001E2F6E">
          <w:rPr>
            <w:rFonts w:eastAsiaTheme="minorHAnsi" w:cstheme="minorBidi"/>
            <w:noProof/>
            <w:sz w:val="16"/>
            <w:szCs w:val="16"/>
          </w:rPr>
          <w:t xml:space="preserve">1.63 Taula </w:t>
        </w:r>
        <w:r w:rsidR="00B76DF2" w:rsidRPr="001E2F6E">
          <w:rPr>
            <w:rFonts w:eastAsiaTheme="minorHAnsi" w:cstheme="minorBidi"/>
            <w:noProof/>
            <w:sz w:val="16"/>
            <w:szCs w:val="16"/>
          </w:rPr>
          <w:tab/>
        </w:r>
        <w:r w:rsidR="000728A0" w:rsidRPr="001E2F6E">
          <w:rPr>
            <w:rFonts w:eastAsiaTheme="minorHAnsi" w:cstheme="minorBidi"/>
            <w:noProof/>
            <w:sz w:val="16"/>
            <w:szCs w:val="16"/>
          </w:rPr>
          <w:t>GIZARTE-EKONOMIAREN INBESTIMENDU MATERIALEN ARLOZ ARLOKO BANAKETA, FORMA JURIDIKOAREN ARABERA. 2012 (zifra absolutuak euroan eta % bertikalak)</w:t>
        </w:r>
        <w:r w:rsidR="000728A0" w:rsidRPr="001E2F6E">
          <w:rPr>
            <w:rFonts w:eastAsiaTheme="minorHAnsi" w:cstheme="minorBidi"/>
            <w:noProof/>
            <w:webHidden/>
            <w:sz w:val="16"/>
            <w:szCs w:val="16"/>
          </w:rPr>
          <w:tab/>
        </w:r>
        <w:r w:rsidR="00EB6BA6" w:rsidRPr="001E2F6E">
          <w:rPr>
            <w:rFonts w:eastAsiaTheme="minorHAnsi" w:cstheme="minorBidi"/>
            <w:noProof/>
            <w:webHidden/>
            <w:sz w:val="16"/>
            <w:szCs w:val="16"/>
          </w:rPr>
          <w:fldChar w:fldCharType="begin"/>
        </w:r>
        <w:r w:rsidR="000728A0" w:rsidRPr="001E2F6E">
          <w:rPr>
            <w:rFonts w:eastAsiaTheme="minorHAnsi" w:cstheme="minorBidi"/>
            <w:noProof/>
            <w:webHidden/>
            <w:sz w:val="16"/>
            <w:szCs w:val="16"/>
          </w:rPr>
          <w:instrText xml:space="preserve"> PAGEREF _Toc392585798 \h </w:instrText>
        </w:r>
        <w:r w:rsidR="00EB6BA6" w:rsidRPr="001E2F6E">
          <w:rPr>
            <w:rFonts w:eastAsiaTheme="minorHAnsi" w:cstheme="minorBidi"/>
            <w:noProof/>
            <w:webHidden/>
            <w:sz w:val="16"/>
            <w:szCs w:val="16"/>
          </w:rPr>
        </w:r>
        <w:r w:rsidR="00EB6BA6" w:rsidRPr="001E2F6E">
          <w:rPr>
            <w:rFonts w:eastAsiaTheme="minorHAnsi" w:cstheme="minorBidi"/>
            <w:noProof/>
            <w:webHidden/>
            <w:sz w:val="16"/>
            <w:szCs w:val="16"/>
          </w:rPr>
          <w:fldChar w:fldCharType="separate"/>
        </w:r>
        <w:r>
          <w:rPr>
            <w:rFonts w:eastAsiaTheme="minorHAnsi" w:cstheme="minorBidi"/>
            <w:noProof/>
            <w:webHidden/>
            <w:sz w:val="16"/>
            <w:szCs w:val="16"/>
          </w:rPr>
          <w:t>67</w:t>
        </w:r>
        <w:r w:rsidR="00EB6BA6" w:rsidRPr="001E2F6E">
          <w:rPr>
            <w:rFonts w:eastAsiaTheme="minorHAnsi" w:cstheme="minorBidi"/>
            <w:noProof/>
            <w:webHidden/>
            <w:sz w:val="16"/>
            <w:szCs w:val="16"/>
          </w:rPr>
          <w:fldChar w:fldCharType="end"/>
        </w:r>
      </w:hyperlink>
    </w:p>
    <w:p w:rsidR="000728A0" w:rsidRPr="001E2F6E" w:rsidRDefault="00A327D4" w:rsidP="00B76DF2">
      <w:pPr>
        <w:pStyle w:val="Tabladeilustraciones"/>
        <w:tabs>
          <w:tab w:val="right" w:leader="dot" w:pos="9072"/>
        </w:tabs>
        <w:spacing w:line="240" w:lineRule="auto"/>
        <w:ind w:left="1134" w:hanging="1134"/>
        <w:rPr>
          <w:rFonts w:eastAsiaTheme="minorHAnsi" w:cstheme="minorBidi"/>
          <w:noProof/>
          <w:sz w:val="16"/>
          <w:szCs w:val="16"/>
        </w:rPr>
      </w:pPr>
      <w:hyperlink w:anchor="_Toc392585799" w:history="1">
        <w:r w:rsidR="000728A0" w:rsidRPr="001E2F6E">
          <w:rPr>
            <w:rFonts w:eastAsiaTheme="minorHAnsi" w:cstheme="minorBidi"/>
            <w:noProof/>
            <w:sz w:val="16"/>
            <w:szCs w:val="16"/>
          </w:rPr>
          <w:t xml:space="preserve">1.64 Taula </w:t>
        </w:r>
        <w:r w:rsidR="00B76DF2" w:rsidRPr="001E2F6E">
          <w:rPr>
            <w:rFonts w:eastAsiaTheme="minorHAnsi" w:cstheme="minorBidi"/>
            <w:noProof/>
            <w:sz w:val="16"/>
            <w:szCs w:val="16"/>
          </w:rPr>
          <w:tab/>
        </w:r>
        <w:r w:rsidR="000728A0" w:rsidRPr="001E2F6E">
          <w:rPr>
            <w:rFonts w:eastAsiaTheme="minorHAnsi" w:cstheme="minorBidi"/>
            <w:noProof/>
            <w:sz w:val="16"/>
            <w:szCs w:val="16"/>
          </w:rPr>
          <w:t>ENPLEGUKO INBESTIMENDU-RATIOAK, FORMA JURIDIKOAREN ARABERA. 2012</w:t>
        </w:r>
        <w:r w:rsidR="000728A0" w:rsidRPr="001E2F6E">
          <w:rPr>
            <w:rFonts w:eastAsiaTheme="minorHAnsi" w:cstheme="minorBidi"/>
            <w:noProof/>
            <w:webHidden/>
            <w:sz w:val="16"/>
            <w:szCs w:val="16"/>
          </w:rPr>
          <w:tab/>
        </w:r>
        <w:r w:rsidR="00EB6BA6" w:rsidRPr="001E2F6E">
          <w:rPr>
            <w:rFonts w:eastAsiaTheme="minorHAnsi" w:cstheme="minorBidi"/>
            <w:noProof/>
            <w:webHidden/>
            <w:sz w:val="16"/>
            <w:szCs w:val="16"/>
          </w:rPr>
          <w:fldChar w:fldCharType="begin"/>
        </w:r>
        <w:r w:rsidR="000728A0" w:rsidRPr="001E2F6E">
          <w:rPr>
            <w:rFonts w:eastAsiaTheme="minorHAnsi" w:cstheme="minorBidi"/>
            <w:noProof/>
            <w:webHidden/>
            <w:sz w:val="16"/>
            <w:szCs w:val="16"/>
          </w:rPr>
          <w:instrText xml:space="preserve"> PAGEREF _Toc392585799 \h </w:instrText>
        </w:r>
        <w:r w:rsidR="00EB6BA6" w:rsidRPr="001E2F6E">
          <w:rPr>
            <w:rFonts w:eastAsiaTheme="minorHAnsi" w:cstheme="minorBidi"/>
            <w:noProof/>
            <w:webHidden/>
            <w:sz w:val="16"/>
            <w:szCs w:val="16"/>
          </w:rPr>
        </w:r>
        <w:r w:rsidR="00EB6BA6" w:rsidRPr="001E2F6E">
          <w:rPr>
            <w:rFonts w:eastAsiaTheme="minorHAnsi" w:cstheme="minorBidi"/>
            <w:noProof/>
            <w:webHidden/>
            <w:sz w:val="16"/>
            <w:szCs w:val="16"/>
          </w:rPr>
          <w:fldChar w:fldCharType="separate"/>
        </w:r>
        <w:r>
          <w:rPr>
            <w:rFonts w:eastAsiaTheme="minorHAnsi" w:cstheme="minorBidi"/>
            <w:noProof/>
            <w:webHidden/>
            <w:sz w:val="16"/>
            <w:szCs w:val="16"/>
          </w:rPr>
          <w:t>67</w:t>
        </w:r>
        <w:r w:rsidR="00EB6BA6" w:rsidRPr="001E2F6E">
          <w:rPr>
            <w:rFonts w:eastAsiaTheme="minorHAnsi" w:cstheme="minorBidi"/>
            <w:noProof/>
            <w:webHidden/>
            <w:sz w:val="16"/>
            <w:szCs w:val="16"/>
          </w:rPr>
          <w:fldChar w:fldCharType="end"/>
        </w:r>
      </w:hyperlink>
    </w:p>
    <w:p w:rsidR="000728A0" w:rsidRPr="001E2F6E" w:rsidRDefault="00A327D4" w:rsidP="00B76DF2">
      <w:pPr>
        <w:pStyle w:val="Tabladeilustraciones"/>
        <w:tabs>
          <w:tab w:val="right" w:leader="dot" w:pos="9072"/>
        </w:tabs>
        <w:spacing w:line="240" w:lineRule="auto"/>
        <w:ind w:left="1134" w:hanging="1134"/>
        <w:rPr>
          <w:rFonts w:eastAsiaTheme="minorHAnsi" w:cstheme="minorBidi"/>
          <w:noProof/>
          <w:sz w:val="16"/>
          <w:szCs w:val="16"/>
        </w:rPr>
      </w:pPr>
      <w:hyperlink w:anchor="_Toc392585800" w:history="1">
        <w:r w:rsidR="000728A0" w:rsidRPr="001E2F6E">
          <w:rPr>
            <w:rFonts w:eastAsiaTheme="minorHAnsi" w:cstheme="minorBidi"/>
            <w:noProof/>
            <w:sz w:val="16"/>
            <w:szCs w:val="16"/>
          </w:rPr>
          <w:t xml:space="preserve">1.65 Taula </w:t>
        </w:r>
        <w:r w:rsidR="00B76DF2" w:rsidRPr="001E2F6E">
          <w:rPr>
            <w:rFonts w:eastAsiaTheme="minorHAnsi" w:cstheme="minorBidi"/>
            <w:noProof/>
            <w:sz w:val="16"/>
            <w:szCs w:val="16"/>
          </w:rPr>
          <w:tab/>
        </w:r>
        <w:r w:rsidR="000728A0" w:rsidRPr="001E2F6E">
          <w:rPr>
            <w:rFonts w:eastAsiaTheme="minorHAnsi" w:cstheme="minorBidi"/>
            <w:noProof/>
            <w:sz w:val="16"/>
            <w:szCs w:val="16"/>
          </w:rPr>
          <w:t>2012an GIZARTE-EKONOMIAK IBILGETU MATERIALEAN EGINDAKO INBESTIMENDUEN ARLOZ ARLOKO BANAKETA, LURRALDE HISTORIKOAREN ARABERA 2010 (zifra absolutuak eta %bertikalak)</w:t>
        </w:r>
        <w:r w:rsidR="000728A0" w:rsidRPr="001E2F6E">
          <w:rPr>
            <w:rFonts w:eastAsiaTheme="minorHAnsi" w:cstheme="minorBidi"/>
            <w:noProof/>
            <w:webHidden/>
            <w:sz w:val="16"/>
            <w:szCs w:val="16"/>
          </w:rPr>
          <w:tab/>
        </w:r>
        <w:r w:rsidR="00EB6BA6" w:rsidRPr="001E2F6E">
          <w:rPr>
            <w:rFonts w:eastAsiaTheme="minorHAnsi" w:cstheme="minorBidi"/>
            <w:noProof/>
            <w:webHidden/>
            <w:sz w:val="16"/>
            <w:szCs w:val="16"/>
          </w:rPr>
          <w:fldChar w:fldCharType="begin"/>
        </w:r>
        <w:r w:rsidR="000728A0" w:rsidRPr="001E2F6E">
          <w:rPr>
            <w:rFonts w:eastAsiaTheme="minorHAnsi" w:cstheme="minorBidi"/>
            <w:noProof/>
            <w:webHidden/>
            <w:sz w:val="16"/>
            <w:szCs w:val="16"/>
          </w:rPr>
          <w:instrText xml:space="preserve"> PAGEREF _Toc392585800 \h </w:instrText>
        </w:r>
        <w:r w:rsidR="00EB6BA6" w:rsidRPr="001E2F6E">
          <w:rPr>
            <w:rFonts w:eastAsiaTheme="minorHAnsi" w:cstheme="minorBidi"/>
            <w:noProof/>
            <w:webHidden/>
            <w:sz w:val="16"/>
            <w:szCs w:val="16"/>
          </w:rPr>
        </w:r>
        <w:r w:rsidR="00EB6BA6" w:rsidRPr="001E2F6E">
          <w:rPr>
            <w:rFonts w:eastAsiaTheme="minorHAnsi" w:cstheme="minorBidi"/>
            <w:noProof/>
            <w:webHidden/>
            <w:sz w:val="16"/>
            <w:szCs w:val="16"/>
          </w:rPr>
          <w:fldChar w:fldCharType="separate"/>
        </w:r>
        <w:r>
          <w:rPr>
            <w:rFonts w:eastAsiaTheme="minorHAnsi" w:cstheme="minorBidi"/>
            <w:noProof/>
            <w:webHidden/>
            <w:sz w:val="16"/>
            <w:szCs w:val="16"/>
          </w:rPr>
          <w:t>67</w:t>
        </w:r>
        <w:r w:rsidR="00EB6BA6" w:rsidRPr="001E2F6E">
          <w:rPr>
            <w:rFonts w:eastAsiaTheme="minorHAnsi" w:cstheme="minorBidi"/>
            <w:noProof/>
            <w:webHidden/>
            <w:sz w:val="16"/>
            <w:szCs w:val="16"/>
          </w:rPr>
          <w:fldChar w:fldCharType="end"/>
        </w:r>
      </w:hyperlink>
    </w:p>
    <w:p w:rsidR="000728A0" w:rsidRPr="001E2F6E" w:rsidRDefault="00A327D4" w:rsidP="00B76DF2">
      <w:pPr>
        <w:pStyle w:val="Tabladeilustraciones"/>
        <w:tabs>
          <w:tab w:val="right" w:leader="dot" w:pos="9072"/>
        </w:tabs>
        <w:spacing w:line="240" w:lineRule="auto"/>
        <w:ind w:left="1134" w:hanging="1134"/>
        <w:rPr>
          <w:rFonts w:eastAsiaTheme="minorHAnsi" w:cstheme="minorBidi"/>
          <w:noProof/>
          <w:sz w:val="16"/>
          <w:szCs w:val="16"/>
        </w:rPr>
      </w:pPr>
      <w:hyperlink w:anchor="_Toc392585801" w:history="1">
        <w:r w:rsidR="000728A0" w:rsidRPr="001E2F6E">
          <w:rPr>
            <w:rFonts w:eastAsiaTheme="minorHAnsi" w:cstheme="minorBidi"/>
            <w:noProof/>
            <w:sz w:val="16"/>
            <w:szCs w:val="16"/>
          </w:rPr>
          <w:t xml:space="preserve">1.66 Taula </w:t>
        </w:r>
        <w:r w:rsidR="00B76DF2" w:rsidRPr="001E2F6E">
          <w:rPr>
            <w:rFonts w:eastAsiaTheme="minorHAnsi" w:cstheme="minorBidi"/>
            <w:noProof/>
            <w:sz w:val="16"/>
            <w:szCs w:val="16"/>
          </w:rPr>
          <w:tab/>
        </w:r>
        <w:r w:rsidR="000728A0" w:rsidRPr="001E2F6E">
          <w:rPr>
            <w:rFonts w:eastAsiaTheme="minorHAnsi" w:cstheme="minorBidi"/>
            <w:noProof/>
            <w:sz w:val="16"/>
            <w:szCs w:val="16"/>
          </w:rPr>
          <w:t>GIZARTE-EKONOMIAREN INBESTIMENDU UKIEZINEN ARLOZ ARLOKO BANAKETA, LURRALDE HISTORIKOAREN ARABERA 2012 (zifra absolutuak euroan eta %bertikalak)</w:t>
        </w:r>
        <w:r w:rsidR="000728A0" w:rsidRPr="001E2F6E">
          <w:rPr>
            <w:rFonts w:eastAsiaTheme="minorHAnsi" w:cstheme="minorBidi"/>
            <w:noProof/>
            <w:webHidden/>
            <w:sz w:val="16"/>
            <w:szCs w:val="16"/>
          </w:rPr>
          <w:tab/>
        </w:r>
        <w:r w:rsidR="00EB6BA6" w:rsidRPr="001E2F6E">
          <w:rPr>
            <w:rFonts w:eastAsiaTheme="minorHAnsi" w:cstheme="minorBidi"/>
            <w:noProof/>
            <w:webHidden/>
            <w:sz w:val="16"/>
            <w:szCs w:val="16"/>
          </w:rPr>
          <w:fldChar w:fldCharType="begin"/>
        </w:r>
        <w:r w:rsidR="000728A0" w:rsidRPr="001E2F6E">
          <w:rPr>
            <w:rFonts w:eastAsiaTheme="minorHAnsi" w:cstheme="minorBidi"/>
            <w:noProof/>
            <w:webHidden/>
            <w:sz w:val="16"/>
            <w:szCs w:val="16"/>
          </w:rPr>
          <w:instrText xml:space="preserve"> PAGEREF _Toc392585801 \h </w:instrText>
        </w:r>
        <w:r w:rsidR="00EB6BA6" w:rsidRPr="001E2F6E">
          <w:rPr>
            <w:rFonts w:eastAsiaTheme="minorHAnsi" w:cstheme="minorBidi"/>
            <w:noProof/>
            <w:webHidden/>
            <w:sz w:val="16"/>
            <w:szCs w:val="16"/>
          </w:rPr>
        </w:r>
        <w:r w:rsidR="00EB6BA6" w:rsidRPr="001E2F6E">
          <w:rPr>
            <w:rFonts w:eastAsiaTheme="minorHAnsi" w:cstheme="minorBidi"/>
            <w:noProof/>
            <w:webHidden/>
            <w:sz w:val="16"/>
            <w:szCs w:val="16"/>
          </w:rPr>
          <w:fldChar w:fldCharType="separate"/>
        </w:r>
        <w:r>
          <w:rPr>
            <w:rFonts w:eastAsiaTheme="minorHAnsi" w:cstheme="minorBidi"/>
            <w:noProof/>
            <w:webHidden/>
            <w:sz w:val="16"/>
            <w:szCs w:val="16"/>
          </w:rPr>
          <w:t>68</w:t>
        </w:r>
        <w:r w:rsidR="00EB6BA6" w:rsidRPr="001E2F6E">
          <w:rPr>
            <w:rFonts w:eastAsiaTheme="minorHAnsi" w:cstheme="minorBidi"/>
            <w:noProof/>
            <w:webHidden/>
            <w:sz w:val="16"/>
            <w:szCs w:val="16"/>
          </w:rPr>
          <w:fldChar w:fldCharType="end"/>
        </w:r>
      </w:hyperlink>
    </w:p>
    <w:p w:rsidR="000728A0" w:rsidRPr="001E2F6E" w:rsidRDefault="00A327D4" w:rsidP="00B76DF2">
      <w:pPr>
        <w:pStyle w:val="Tabladeilustraciones"/>
        <w:tabs>
          <w:tab w:val="right" w:leader="dot" w:pos="9072"/>
        </w:tabs>
        <w:spacing w:line="240" w:lineRule="auto"/>
        <w:ind w:left="1134" w:hanging="1134"/>
        <w:rPr>
          <w:rFonts w:eastAsiaTheme="minorHAnsi" w:cstheme="minorBidi"/>
          <w:noProof/>
          <w:sz w:val="16"/>
          <w:szCs w:val="16"/>
        </w:rPr>
      </w:pPr>
      <w:hyperlink w:anchor="_Toc392585802" w:history="1">
        <w:r w:rsidR="000728A0" w:rsidRPr="001E2F6E">
          <w:rPr>
            <w:rFonts w:eastAsiaTheme="minorHAnsi" w:cstheme="minorBidi"/>
            <w:noProof/>
            <w:sz w:val="16"/>
            <w:szCs w:val="16"/>
          </w:rPr>
          <w:t xml:space="preserve">1.67 Taula </w:t>
        </w:r>
        <w:r w:rsidR="00B76DF2" w:rsidRPr="001E2F6E">
          <w:rPr>
            <w:rFonts w:eastAsiaTheme="minorHAnsi" w:cstheme="minorBidi"/>
            <w:noProof/>
            <w:sz w:val="16"/>
            <w:szCs w:val="16"/>
          </w:rPr>
          <w:tab/>
        </w:r>
        <w:r w:rsidR="000728A0" w:rsidRPr="001E2F6E">
          <w:rPr>
            <w:rFonts w:eastAsiaTheme="minorHAnsi" w:cstheme="minorBidi"/>
            <w:noProof/>
            <w:sz w:val="16"/>
            <w:szCs w:val="16"/>
          </w:rPr>
          <w:t>GIZARTE-EKONOMIAREN INBESTIMENDU UKIEZINEN ARLOZ ARLOKO BANAKETA, LURRALDE HISTORIKOAREN ARABERA 2012 (zifra absolutuak euroan eta %bertikalak)</w:t>
        </w:r>
        <w:r w:rsidR="000728A0" w:rsidRPr="001E2F6E">
          <w:rPr>
            <w:rFonts w:eastAsiaTheme="minorHAnsi" w:cstheme="minorBidi"/>
            <w:noProof/>
            <w:webHidden/>
            <w:sz w:val="16"/>
            <w:szCs w:val="16"/>
          </w:rPr>
          <w:tab/>
        </w:r>
        <w:r w:rsidR="00EB6BA6" w:rsidRPr="001E2F6E">
          <w:rPr>
            <w:rFonts w:eastAsiaTheme="minorHAnsi" w:cstheme="minorBidi"/>
            <w:noProof/>
            <w:webHidden/>
            <w:sz w:val="16"/>
            <w:szCs w:val="16"/>
          </w:rPr>
          <w:fldChar w:fldCharType="begin"/>
        </w:r>
        <w:r w:rsidR="000728A0" w:rsidRPr="001E2F6E">
          <w:rPr>
            <w:rFonts w:eastAsiaTheme="minorHAnsi" w:cstheme="minorBidi"/>
            <w:noProof/>
            <w:webHidden/>
            <w:sz w:val="16"/>
            <w:szCs w:val="16"/>
          </w:rPr>
          <w:instrText xml:space="preserve"> PAGEREF _Toc392585802 \h </w:instrText>
        </w:r>
        <w:r w:rsidR="00EB6BA6" w:rsidRPr="001E2F6E">
          <w:rPr>
            <w:rFonts w:eastAsiaTheme="minorHAnsi" w:cstheme="minorBidi"/>
            <w:noProof/>
            <w:webHidden/>
            <w:sz w:val="16"/>
            <w:szCs w:val="16"/>
          </w:rPr>
        </w:r>
        <w:r w:rsidR="00EB6BA6" w:rsidRPr="001E2F6E">
          <w:rPr>
            <w:rFonts w:eastAsiaTheme="minorHAnsi" w:cstheme="minorBidi"/>
            <w:noProof/>
            <w:webHidden/>
            <w:sz w:val="16"/>
            <w:szCs w:val="16"/>
          </w:rPr>
          <w:fldChar w:fldCharType="separate"/>
        </w:r>
        <w:r>
          <w:rPr>
            <w:rFonts w:eastAsiaTheme="minorHAnsi" w:cstheme="minorBidi"/>
            <w:noProof/>
            <w:webHidden/>
            <w:sz w:val="16"/>
            <w:szCs w:val="16"/>
          </w:rPr>
          <w:t>68</w:t>
        </w:r>
        <w:r w:rsidR="00EB6BA6" w:rsidRPr="001E2F6E">
          <w:rPr>
            <w:rFonts w:eastAsiaTheme="minorHAnsi" w:cstheme="minorBidi"/>
            <w:noProof/>
            <w:webHidden/>
            <w:sz w:val="16"/>
            <w:szCs w:val="16"/>
          </w:rPr>
          <w:fldChar w:fldCharType="end"/>
        </w:r>
      </w:hyperlink>
    </w:p>
    <w:p w:rsidR="000728A0" w:rsidRPr="001E2F6E" w:rsidRDefault="00A327D4" w:rsidP="00B76DF2">
      <w:pPr>
        <w:pStyle w:val="Tabladeilustraciones"/>
        <w:tabs>
          <w:tab w:val="right" w:leader="dot" w:pos="9072"/>
        </w:tabs>
        <w:spacing w:line="240" w:lineRule="auto"/>
        <w:ind w:left="1134" w:hanging="1134"/>
        <w:rPr>
          <w:rFonts w:eastAsiaTheme="minorHAnsi" w:cstheme="minorBidi"/>
          <w:noProof/>
          <w:sz w:val="16"/>
          <w:szCs w:val="16"/>
        </w:rPr>
      </w:pPr>
      <w:hyperlink w:anchor="_Toc392585803" w:history="1">
        <w:r w:rsidR="000728A0" w:rsidRPr="001E2F6E">
          <w:rPr>
            <w:rFonts w:eastAsiaTheme="minorHAnsi" w:cstheme="minorBidi"/>
            <w:noProof/>
            <w:sz w:val="16"/>
            <w:szCs w:val="16"/>
          </w:rPr>
          <w:t xml:space="preserve">1.68 Taula </w:t>
        </w:r>
        <w:r w:rsidR="00B76DF2" w:rsidRPr="001E2F6E">
          <w:rPr>
            <w:rFonts w:eastAsiaTheme="minorHAnsi" w:cstheme="minorBidi"/>
            <w:noProof/>
            <w:sz w:val="16"/>
            <w:szCs w:val="16"/>
          </w:rPr>
          <w:tab/>
        </w:r>
        <w:r w:rsidR="000728A0" w:rsidRPr="001E2F6E">
          <w:rPr>
            <w:rFonts w:eastAsiaTheme="minorHAnsi" w:cstheme="minorBidi"/>
            <w:noProof/>
            <w:sz w:val="16"/>
            <w:szCs w:val="16"/>
          </w:rPr>
          <w:t>KAPITALEKO DIRULAGUNTZA OFIZIALEN HAZKUNDEAREN ARLOZ ARLOKO BANAKETA. 2012</w:t>
        </w:r>
        <w:r w:rsidR="000728A0" w:rsidRPr="001E2F6E">
          <w:rPr>
            <w:rFonts w:eastAsiaTheme="minorHAnsi" w:cstheme="minorBidi"/>
            <w:noProof/>
            <w:webHidden/>
            <w:sz w:val="16"/>
            <w:szCs w:val="16"/>
          </w:rPr>
          <w:tab/>
        </w:r>
        <w:r w:rsidR="00EB6BA6" w:rsidRPr="001E2F6E">
          <w:rPr>
            <w:rFonts w:eastAsiaTheme="minorHAnsi" w:cstheme="minorBidi"/>
            <w:noProof/>
            <w:webHidden/>
            <w:sz w:val="16"/>
            <w:szCs w:val="16"/>
          </w:rPr>
          <w:fldChar w:fldCharType="begin"/>
        </w:r>
        <w:r w:rsidR="000728A0" w:rsidRPr="001E2F6E">
          <w:rPr>
            <w:rFonts w:eastAsiaTheme="minorHAnsi" w:cstheme="minorBidi"/>
            <w:noProof/>
            <w:webHidden/>
            <w:sz w:val="16"/>
            <w:szCs w:val="16"/>
          </w:rPr>
          <w:instrText xml:space="preserve"> PAGEREF _Toc392585803 \h </w:instrText>
        </w:r>
        <w:r w:rsidR="00EB6BA6" w:rsidRPr="001E2F6E">
          <w:rPr>
            <w:rFonts w:eastAsiaTheme="minorHAnsi" w:cstheme="minorBidi"/>
            <w:noProof/>
            <w:webHidden/>
            <w:sz w:val="16"/>
            <w:szCs w:val="16"/>
          </w:rPr>
        </w:r>
        <w:r w:rsidR="00EB6BA6" w:rsidRPr="001E2F6E">
          <w:rPr>
            <w:rFonts w:eastAsiaTheme="minorHAnsi" w:cstheme="minorBidi"/>
            <w:noProof/>
            <w:webHidden/>
            <w:sz w:val="16"/>
            <w:szCs w:val="16"/>
          </w:rPr>
          <w:fldChar w:fldCharType="separate"/>
        </w:r>
        <w:r>
          <w:rPr>
            <w:rFonts w:eastAsiaTheme="minorHAnsi" w:cstheme="minorBidi"/>
            <w:noProof/>
            <w:webHidden/>
            <w:sz w:val="16"/>
            <w:szCs w:val="16"/>
          </w:rPr>
          <w:t>68</w:t>
        </w:r>
        <w:r w:rsidR="00EB6BA6" w:rsidRPr="001E2F6E">
          <w:rPr>
            <w:rFonts w:eastAsiaTheme="minorHAnsi" w:cstheme="minorBidi"/>
            <w:noProof/>
            <w:webHidden/>
            <w:sz w:val="16"/>
            <w:szCs w:val="16"/>
          </w:rPr>
          <w:fldChar w:fldCharType="end"/>
        </w:r>
      </w:hyperlink>
    </w:p>
    <w:p w:rsidR="000728A0" w:rsidRPr="001E2F6E" w:rsidRDefault="00A327D4" w:rsidP="00B76DF2">
      <w:pPr>
        <w:pStyle w:val="Tabladeilustraciones"/>
        <w:tabs>
          <w:tab w:val="right" w:leader="dot" w:pos="9072"/>
        </w:tabs>
        <w:spacing w:line="240" w:lineRule="auto"/>
        <w:ind w:left="1134" w:hanging="1134"/>
        <w:rPr>
          <w:rFonts w:eastAsiaTheme="minorHAnsi" w:cstheme="minorBidi"/>
          <w:noProof/>
          <w:sz w:val="16"/>
          <w:szCs w:val="16"/>
        </w:rPr>
      </w:pPr>
      <w:hyperlink w:anchor="_Toc392585804" w:history="1">
        <w:r w:rsidR="000728A0" w:rsidRPr="001E2F6E">
          <w:rPr>
            <w:rFonts w:eastAsiaTheme="minorHAnsi" w:cstheme="minorBidi"/>
            <w:noProof/>
            <w:sz w:val="16"/>
            <w:szCs w:val="16"/>
          </w:rPr>
          <w:t xml:space="preserve">1.69 Taula </w:t>
        </w:r>
        <w:r w:rsidR="00B76DF2" w:rsidRPr="001E2F6E">
          <w:rPr>
            <w:rFonts w:eastAsiaTheme="minorHAnsi" w:cstheme="minorBidi"/>
            <w:noProof/>
            <w:sz w:val="16"/>
            <w:szCs w:val="16"/>
          </w:rPr>
          <w:tab/>
        </w:r>
        <w:r w:rsidR="000728A0" w:rsidRPr="001E2F6E">
          <w:rPr>
            <w:rFonts w:eastAsiaTheme="minorHAnsi" w:cstheme="minorBidi"/>
            <w:noProof/>
            <w:sz w:val="16"/>
            <w:szCs w:val="16"/>
          </w:rPr>
          <w:t>EKITALDIAREN EMAITZARI TRANSFERITUTAKO DIRULAGUNTZA, DOHAINTZA ETA KAPITAL LEGATUEN EGITURA SEKTORIALA (746). 2012</w:t>
        </w:r>
        <w:r w:rsidR="000728A0" w:rsidRPr="001E2F6E">
          <w:rPr>
            <w:rFonts w:eastAsiaTheme="minorHAnsi" w:cstheme="minorBidi"/>
            <w:noProof/>
            <w:webHidden/>
            <w:sz w:val="16"/>
            <w:szCs w:val="16"/>
          </w:rPr>
          <w:tab/>
        </w:r>
        <w:r w:rsidR="00EB6BA6" w:rsidRPr="001E2F6E">
          <w:rPr>
            <w:rFonts w:eastAsiaTheme="minorHAnsi" w:cstheme="minorBidi"/>
            <w:noProof/>
            <w:webHidden/>
            <w:sz w:val="16"/>
            <w:szCs w:val="16"/>
          </w:rPr>
          <w:fldChar w:fldCharType="begin"/>
        </w:r>
        <w:r w:rsidR="000728A0" w:rsidRPr="001E2F6E">
          <w:rPr>
            <w:rFonts w:eastAsiaTheme="minorHAnsi" w:cstheme="minorBidi"/>
            <w:noProof/>
            <w:webHidden/>
            <w:sz w:val="16"/>
            <w:szCs w:val="16"/>
          </w:rPr>
          <w:instrText xml:space="preserve"> PAGEREF _Toc392585804 \h </w:instrText>
        </w:r>
        <w:r w:rsidR="00EB6BA6" w:rsidRPr="001E2F6E">
          <w:rPr>
            <w:rFonts w:eastAsiaTheme="minorHAnsi" w:cstheme="minorBidi"/>
            <w:noProof/>
            <w:webHidden/>
            <w:sz w:val="16"/>
            <w:szCs w:val="16"/>
          </w:rPr>
        </w:r>
        <w:r w:rsidR="00EB6BA6" w:rsidRPr="001E2F6E">
          <w:rPr>
            <w:rFonts w:eastAsiaTheme="minorHAnsi" w:cstheme="minorBidi"/>
            <w:noProof/>
            <w:webHidden/>
            <w:sz w:val="16"/>
            <w:szCs w:val="16"/>
          </w:rPr>
          <w:fldChar w:fldCharType="separate"/>
        </w:r>
        <w:r>
          <w:rPr>
            <w:rFonts w:eastAsiaTheme="minorHAnsi" w:cstheme="minorBidi"/>
            <w:noProof/>
            <w:webHidden/>
            <w:sz w:val="16"/>
            <w:szCs w:val="16"/>
          </w:rPr>
          <w:t>68</w:t>
        </w:r>
        <w:r w:rsidR="00EB6BA6" w:rsidRPr="001E2F6E">
          <w:rPr>
            <w:rFonts w:eastAsiaTheme="minorHAnsi" w:cstheme="minorBidi"/>
            <w:noProof/>
            <w:webHidden/>
            <w:sz w:val="16"/>
            <w:szCs w:val="16"/>
          </w:rPr>
          <w:fldChar w:fldCharType="end"/>
        </w:r>
      </w:hyperlink>
    </w:p>
    <w:p w:rsidR="000728A0" w:rsidRPr="001E2F6E" w:rsidRDefault="00A327D4" w:rsidP="00B76DF2">
      <w:pPr>
        <w:pStyle w:val="Tabladeilustraciones"/>
        <w:tabs>
          <w:tab w:val="right" w:leader="dot" w:pos="9072"/>
        </w:tabs>
        <w:spacing w:line="240" w:lineRule="auto"/>
        <w:ind w:left="1134" w:hanging="1134"/>
        <w:rPr>
          <w:rFonts w:eastAsiaTheme="minorHAnsi" w:cstheme="minorBidi"/>
          <w:noProof/>
          <w:sz w:val="16"/>
          <w:szCs w:val="16"/>
        </w:rPr>
      </w:pPr>
      <w:hyperlink w:anchor="_Toc392585805" w:history="1">
        <w:r w:rsidR="000728A0" w:rsidRPr="001E2F6E">
          <w:rPr>
            <w:rFonts w:eastAsiaTheme="minorHAnsi" w:cstheme="minorBidi"/>
            <w:noProof/>
            <w:sz w:val="16"/>
            <w:szCs w:val="16"/>
          </w:rPr>
          <w:t xml:space="preserve">1.70 Taula </w:t>
        </w:r>
        <w:r w:rsidR="00B76DF2" w:rsidRPr="001E2F6E">
          <w:rPr>
            <w:rFonts w:eastAsiaTheme="minorHAnsi" w:cstheme="minorBidi"/>
            <w:noProof/>
            <w:sz w:val="16"/>
            <w:szCs w:val="16"/>
          </w:rPr>
          <w:tab/>
        </w:r>
        <w:r w:rsidR="000728A0" w:rsidRPr="001E2F6E">
          <w:rPr>
            <w:rFonts w:eastAsiaTheme="minorHAnsi" w:cstheme="minorBidi"/>
            <w:noProof/>
            <w:sz w:val="16"/>
            <w:szCs w:val="16"/>
          </w:rPr>
          <w:t>KOOPERATIBEN EMAITZEN KONTUAK, JARDUERA-SEKTOREAREN ARABERA. 2012 (zifra absolutuak Euroan) (Ohiko prezioak)</w:t>
        </w:r>
        <w:r w:rsidR="000728A0" w:rsidRPr="001E2F6E">
          <w:rPr>
            <w:rFonts w:eastAsiaTheme="minorHAnsi" w:cstheme="minorBidi"/>
            <w:noProof/>
            <w:webHidden/>
            <w:sz w:val="16"/>
            <w:szCs w:val="16"/>
          </w:rPr>
          <w:tab/>
        </w:r>
        <w:r w:rsidR="00EB6BA6" w:rsidRPr="001E2F6E">
          <w:rPr>
            <w:rFonts w:eastAsiaTheme="minorHAnsi" w:cstheme="minorBidi"/>
            <w:noProof/>
            <w:webHidden/>
            <w:sz w:val="16"/>
            <w:szCs w:val="16"/>
          </w:rPr>
          <w:fldChar w:fldCharType="begin"/>
        </w:r>
        <w:r w:rsidR="000728A0" w:rsidRPr="001E2F6E">
          <w:rPr>
            <w:rFonts w:eastAsiaTheme="minorHAnsi" w:cstheme="minorBidi"/>
            <w:noProof/>
            <w:webHidden/>
            <w:sz w:val="16"/>
            <w:szCs w:val="16"/>
          </w:rPr>
          <w:instrText xml:space="preserve"> PAGEREF _Toc392585805 \h </w:instrText>
        </w:r>
        <w:r w:rsidR="00EB6BA6" w:rsidRPr="001E2F6E">
          <w:rPr>
            <w:rFonts w:eastAsiaTheme="minorHAnsi" w:cstheme="minorBidi"/>
            <w:noProof/>
            <w:webHidden/>
            <w:sz w:val="16"/>
            <w:szCs w:val="16"/>
          </w:rPr>
        </w:r>
        <w:r w:rsidR="00EB6BA6" w:rsidRPr="001E2F6E">
          <w:rPr>
            <w:rFonts w:eastAsiaTheme="minorHAnsi" w:cstheme="minorBidi"/>
            <w:noProof/>
            <w:webHidden/>
            <w:sz w:val="16"/>
            <w:szCs w:val="16"/>
          </w:rPr>
          <w:fldChar w:fldCharType="separate"/>
        </w:r>
        <w:r>
          <w:rPr>
            <w:rFonts w:eastAsiaTheme="minorHAnsi" w:cstheme="minorBidi"/>
            <w:noProof/>
            <w:webHidden/>
            <w:sz w:val="16"/>
            <w:szCs w:val="16"/>
          </w:rPr>
          <w:t>69</w:t>
        </w:r>
        <w:r w:rsidR="00EB6BA6" w:rsidRPr="001E2F6E">
          <w:rPr>
            <w:rFonts w:eastAsiaTheme="minorHAnsi" w:cstheme="minorBidi"/>
            <w:noProof/>
            <w:webHidden/>
            <w:sz w:val="16"/>
            <w:szCs w:val="16"/>
          </w:rPr>
          <w:fldChar w:fldCharType="end"/>
        </w:r>
      </w:hyperlink>
    </w:p>
    <w:p w:rsidR="000728A0" w:rsidRPr="001E2F6E" w:rsidRDefault="00A327D4" w:rsidP="00B76DF2">
      <w:pPr>
        <w:pStyle w:val="Tabladeilustraciones"/>
        <w:tabs>
          <w:tab w:val="right" w:leader="dot" w:pos="9072"/>
        </w:tabs>
        <w:spacing w:line="240" w:lineRule="auto"/>
        <w:ind w:left="1134" w:hanging="1134"/>
        <w:rPr>
          <w:rFonts w:eastAsiaTheme="minorHAnsi" w:cstheme="minorBidi"/>
          <w:noProof/>
          <w:sz w:val="16"/>
          <w:szCs w:val="16"/>
        </w:rPr>
      </w:pPr>
      <w:hyperlink w:anchor="_Toc392585806" w:history="1">
        <w:r w:rsidR="000728A0" w:rsidRPr="001E2F6E">
          <w:rPr>
            <w:rFonts w:eastAsiaTheme="minorHAnsi" w:cstheme="minorBidi"/>
            <w:noProof/>
            <w:sz w:val="16"/>
            <w:szCs w:val="16"/>
          </w:rPr>
          <w:t xml:space="preserve">1.71 Taula </w:t>
        </w:r>
        <w:r w:rsidR="00B76DF2" w:rsidRPr="001E2F6E">
          <w:rPr>
            <w:rFonts w:eastAsiaTheme="minorHAnsi" w:cstheme="minorBidi"/>
            <w:noProof/>
            <w:sz w:val="16"/>
            <w:szCs w:val="16"/>
          </w:rPr>
          <w:tab/>
        </w:r>
        <w:r w:rsidR="000728A0" w:rsidRPr="001E2F6E">
          <w:rPr>
            <w:rFonts w:eastAsiaTheme="minorHAnsi" w:cstheme="minorBidi"/>
            <w:noProof/>
            <w:sz w:val="16"/>
            <w:szCs w:val="16"/>
          </w:rPr>
          <w:t>LSA SOZIETATEEN EMAITZEN KONTUAK, JARDUERA-SEKTOREAREN ARABERA. 2012  (zifra absolutuak Euroan) (Ohiko prezioak)</w:t>
        </w:r>
        <w:r w:rsidR="000728A0" w:rsidRPr="001E2F6E">
          <w:rPr>
            <w:rFonts w:eastAsiaTheme="minorHAnsi" w:cstheme="minorBidi"/>
            <w:noProof/>
            <w:webHidden/>
            <w:sz w:val="16"/>
            <w:szCs w:val="16"/>
          </w:rPr>
          <w:tab/>
        </w:r>
        <w:r w:rsidR="00EB6BA6" w:rsidRPr="001E2F6E">
          <w:rPr>
            <w:rFonts w:eastAsiaTheme="minorHAnsi" w:cstheme="minorBidi"/>
            <w:noProof/>
            <w:webHidden/>
            <w:sz w:val="16"/>
            <w:szCs w:val="16"/>
          </w:rPr>
          <w:fldChar w:fldCharType="begin"/>
        </w:r>
        <w:r w:rsidR="000728A0" w:rsidRPr="001E2F6E">
          <w:rPr>
            <w:rFonts w:eastAsiaTheme="minorHAnsi" w:cstheme="minorBidi"/>
            <w:noProof/>
            <w:webHidden/>
            <w:sz w:val="16"/>
            <w:szCs w:val="16"/>
          </w:rPr>
          <w:instrText xml:space="preserve"> PAGEREF _Toc392585806 \h </w:instrText>
        </w:r>
        <w:r w:rsidR="00EB6BA6" w:rsidRPr="001E2F6E">
          <w:rPr>
            <w:rFonts w:eastAsiaTheme="minorHAnsi" w:cstheme="minorBidi"/>
            <w:noProof/>
            <w:webHidden/>
            <w:sz w:val="16"/>
            <w:szCs w:val="16"/>
          </w:rPr>
        </w:r>
        <w:r w:rsidR="00EB6BA6" w:rsidRPr="001E2F6E">
          <w:rPr>
            <w:rFonts w:eastAsiaTheme="minorHAnsi" w:cstheme="minorBidi"/>
            <w:noProof/>
            <w:webHidden/>
            <w:sz w:val="16"/>
            <w:szCs w:val="16"/>
          </w:rPr>
          <w:fldChar w:fldCharType="separate"/>
        </w:r>
        <w:r>
          <w:rPr>
            <w:rFonts w:eastAsiaTheme="minorHAnsi" w:cstheme="minorBidi"/>
            <w:noProof/>
            <w:webHidden/>
            <w:sz w:val="16"/>
            <w:szCs w:val="16"/>
          </w:rPr>
          <w:t>69</w:t>
        </w:r>
        <w:r w:rsidR="00EB6BA6" w:rsidRPr="001E2F6E">
          <w:rPr>
            <w:rFonts w:eastAsiaTheme="minorHAnsi" w:cstheme="minorBidi"/>
            <w:noProof/>
            <w:webHidden/>
            <w:sz w:val="16"/>
            <w:szCs w:val="16"/>
          </w:rPr>
          <w:fldChar w:fldCharType="end"/>
        </w:r>
      </w:hyperlink>
    </w:p>
    <w:p w:rsidR="000728A0" w:rsidRPr="001E2F6E" w:rsidRDefault="00A327D4" w:rsidP="00B76DF2">
      <w:pPr>
        <w:pStyle w:val="Tabladeilustraciones"/>
        <w:tabs>
          <w:tab w:val="right" w:leader="dot" w:pos="9072"/>
        </w:tabs>
        <w:spacing w:line="240" w:lineRule="auto"/>
        <w:ind w:left="1134" w:hanging="1134"/>
        <w:rPr>
          <w:rFonts w:eastAsiaTheme="minorHAnsi" w:cstheme="minorBidi"/>
          <w:noProof/>
          <w:sz w:val="16"/>
          <w:szCs w:val="16"/>
        </w:rPr>
      </w:pPr>
      <w:hyperlink w:anchor="_Toc392585807" w:history="1">
        <w:r w:rsidR="000728A0" w:rsidRPr="001E2F6E">
          <w:rPr>
            <w:rFonts w:eastAsiaTheme="minorHAnsi" w:cstheme="minorBidi"/>
            <w:noProof/>
            <w:sz w:val="16"/>
            <w:szCs w:val="16"/>
          </w:rPr>
          <w:t xml:space="preserve">1.72 Taula </w:t>
        </w:r>
        <w:r w:rsidR="00B76DF2" w:rsidRPr="001E2F6E">
          <w:rPr>
            <w:rFonts w:eastAsiaTheme="minorHAnsi" w:cstheme="minorBidi"/>
            <w:noProof/>
            <w:sz w:val="16"/>
            <w:szCs w:val="16"/>
          </w:rPr>
          <w:tab/>
        </w:r>
        <w:r w:rsidR="000728A0" w:rsidRPr="001E2F6E">
          <w:rPr>
            <w:rFonts w:eastAsiaTheme="minorHAnsi" w:cstheme="minorBidi"/>
            <w:noProof/>
            <w:sz w:val="16"/>
            <w:szCs w:val="16"/>
          </w:rPr>
          <w:t>LSM SOZIETATEEN EMAITZEN KONTUAK, JARDUERA-SEKTOREAREN ARABERA. 2012  (zifra absolutuak. Euroan) (Ohiko prezioak)</w:t>
        </w:r>
        <w:r w:rsidR="000728A0" w:rsidRPr="001E2F6E">
          <w:rPr>
            <w:rFonts w:eastAsiaTheme="minorHAnsi" w:cstheme="minorBidi"/>
            <w:noProof/>
            <w:webHidden/>
            <w:sz w:val="16"/>
            <w:szCs w:val="16"/>
          </w:rPr>
          <w:tab/>
        </w:r>
        <w:r w:rsidR="00EB6BA6" w:rsidRPr="001E2F6E">
          <w:rPr>
            <w:rFonts w:eastAsiaTheme="minorHAnsi" w:cstheme="minorBidi"/>
            <w:noProof/>
            <w:webHidden/>
            <w:sz w:val="16"/>
            <w:szCs w:val="16"/>
          </w:rPr>
          <w:fldChar w:fldCharType="begin"/>
        </w:r>
        <w:r w:rsidR="000728A0" w:rsidRPr="001E2F6E">
          <w:rPr>
            <w:rFonts w:eastAsiaTheme="minorHAnsi" w:cstheme="minorBidi"/>
            <w:noProof/>
            <w:webHidden/>
            <w:sz w:val="16"/>
            <w:szCs w:val="16"/>
          </w:rPr>
          <w:instrText xml:space="preserve"> PAGEREF _Toc392585807 \h </w:instrText>
        </w:r>
        <w:r w:rsidR="00EB6BA6" w:rsidRPr="001E2F6E">
          <w:rPr>
            <w:rFonts w:eastAsiaTheme="minorHAnsi" w:cstheme="minorBidi"/>
            <w:noProof/>
            <w:webHidden/>
            <w:sz w:val="16"/>
            <w:szCs w:val="16"/>
          </w:rPr>
        </w:r>
        <w:r w:rsidR="00EB6BA6" w:rsidRPr="001E2F6E">
          <w:rPr>
            <w:rFonts w:eastAsiaTheme="minorHAnsi" w:cstheme="minorBidi"/>
            <w:noProof/>
            <w:webHidden/>
            <w:sz w:val="16"/>
            <w:szCs w:val="16"/>
          </w:rPr>
          <w:fldChar w:fldCharType="separate"/>
        </w:r>
        <w:r>
          <w:rPr>
            <w:rFonts w:eastAsiaTheme="minorHAnsi" w:cstheme="minorBidi"/>
            <w:noProof/>
            <w:webHidden/>
            <w:sz w:val="16"/>
            <w:szCs w:val="16"/>
          </w:rPr>
          <w:t>70</w:t>
        </w:r>
        <w:r w:rsidR="00EB6BA6" w:rsidRPr="001E2F6E">
          <w:rPr>
            <w:rFonts w:eastAsiaTheme="minorHAnsi" w:cstheme="minorBidi"/>
            <w:noProof/>
            <w:webHidden/>
            <w:sz w:val="16"/>
            <w:szCs w:val="16"/>
          </w:rPr>
          <w:fldChar w:fldCharType="end"/>
        </w:r>
      </w:hyperlink>
    </w:p>
    <w:p w:rsidR="000728A0" w:rsidRPr="001E2F6E" w:rsidRDefault="00A327D4" w:rsidP="00B76DF2">
      <w:pPr>
        <w:pStyle w:val="Tabladeilustraciones"/>
        <w:tabs>
          <w:tab w:val="right" w:leader="dot" w:pos="9072"/>
        </w:tabs>
        <w:spacing w:line="240" w:lineRule="auto"/>
        <w:ind w:left="1134" w:hanging="1134"/>
        <w:rPr>
          <w:rFonts w:eastAsiaTheme="minorHAnsi" w:cstheme="minorBidi"/>
          <w:noProof/>
          <w:sz w:val="16"/>
          <w:szCs w:val="16"/>
        </w:rPr>
      </w:pPr>
      <w:hyperlink w:anchor="_Toc392585808" w:history="1">
        <w:r w:rsidR="000728A0" w:rsidRPr="001E2F6E">
          <w:rPr>
            <w:rFonts w:eastAsiaTheme="minorHAnsi" w:cstheme="minorBidi"/>
            <w:noProof/>
            <w:sz w:val="16"/>
            <w:szCs w:val="16"/>
          </w:rPr>
          <w:t xml:space="preserve">1.73 Taula </w:t>
        </w:r>
        <w:r w:rsidR="00B76DF2" w:rsidRPr="001E2F6E">
          <w:rPr>
            <w:rFonts w:eastAsiaTheme="minorHAnsi" w:cstheme="minorBidi"/>
            <w:noProof/>
            <w:sz w:val="16"/>
            <w:szCs w:val="16"/>
          </w:rPr>
          <w:tab/>
        </w:r>
        <w:r w:rsidR="000728A0" w:rsidRPr="001E2F6E">
          <w:rPr>
            <w:rFonts w:eastAsiaTheme="minorHAnsi" w:cstheme="minorBidi"/>
            <w:noProof/>
            <w:sz w:val="16"/>
            <w:szCs w:val="16"/>
          </w:rPr>
          <w:t>GIZARTE-EKONOMIAREN EMAITZEN KONTUA, JARDUERA-SEKTOREAREN ARABERA. 2012. ARABA (zifra absolutuak Euroan) (Ohiko prezioak)</w:t>
        </w:r>
        <w:r w:rsidR="000728A0" w:rsidRPr="001E2F6E">
          <w:rPr>
            <w:rFonts w:eastAsiaTheme="minorHAnsi" w:cstheme="minorBidi"/>
            <w:noProof/>
            <w:webHidden/>
            <w:sz w:val="16"/>
            <w:szCs w:val="16"/>
          </w:rPr>
          <w:tab/>
        </w:r>
        <w:r w:rsidR="00EB6BA6" w:rsidRPr="001E2F6E">
          <w:rPr>
            <w:rFonts w:eastAsiaTheme="minorHAnsi" w:cstheme="minorBidi"/>
            <w:noProof/>
            <w:webHidden/>
            <w:sz w:val="16"/>
            <w:szCs w:val="16"/>
          </w:rPr>
          <w:fldChar w:fldCharType="begin"/>
        </w:r>
        <w:r w:rsidR="000728A0" w:rsidRPr="001E2F6E">
          <w:rPr>
            <w:rFonts w:eastAsiaTheme="minorHAnsi" w:cstheme="minorBidi"/>
            <w:noProof/>
            <w:webHidden/>
            <w:sz w:val="16"/>
            <w:szCs w:val="16"/>
          </w:rPr>
          <w:instrText xml:space="preserve"> PAGEREF _Toc392585808 \h </w:instrText>
        </w:r>
        <w:r w:rsidR="00EB6BA6" w:rsidRPr="001E2F6E">
          <w:rPr>
            <w:rFonts w:eastAsiaTheme="minorHAnsi" w:cstheme="minorBidi"/>
            <w:noProof/>
            <w:webHidden/>
            <w:sz w:val="16"/>
            <w:szCs w:val="16"/>
          </w:rPr>
        </w:r>
        <w:r w:rsidR="00EB6BA6" w:rsidRPr="001E2F6E">
          <w:rPr>
            <w:rFonts w:eastAsiaTheme="minorHAnsi" w:cstheme="minorBidi"/>
            <w:noProof/>
            <w:webHidden/>
            <w:sz w:val="16"/>
            <w:szCs w:val="16"/>
          </w:rPr>
          <w:fldChar w:fldCharType="separate"/>
        </w:r>
        <w:r>
          <w:rPr>
            <w:rFonts w:eastAsiaTheme="minorHAnsi" w:cstheme="minorBidi"/>
            <w:noProof/>
            <w:webHidden/>
            <w:sz w:val="16"/>
            <w:szCs w:val="16"/>
          </w:rPr>
          <w:t>70</w:t>
        </w:r>
        <w:r w:rsidR="00EB6BA6" w:rsidRPr="001E2F6E">
          <w:rPr>
            <w:rFonts w:eastAsiaTheme="minorHAnsi" w:cstheme="minorBidi"/>
            <w:noProof/>
            <w:webHidden/>
            <w:sz w:val="16"/>
            <w:szCs w:val="16"/>
          </w:rPr>
          <w:fldChar w:fldCharType="end"/>
        </w:r>
      </w:hyperlink>
    </w:p>
    <w:p w:rsidR="000728A0" w:rsidRPr="001E2F6E" w:rsidRDefault="00A327D4" w:rsidP="00B76DF2">
      <w:pPr>
        <w:pStyle w:val="Tabladeilustraciones"/>
        <w:tabs>
          <w:tab w:val="right" w:leader="dot" w:pos="9072"/>
        </w:tabs>
        <w:spacing w:line="240" w:lineRule="auto"/>
        <w:ind w:left="1134" w:hanging="1134"/>
        <w:rPr>
          <w:rFonts w:eastAsiaTheme="minorHAnsi" w:cstheme="minorBidi"/>
          <w:noProof/>
          <w:sz w:val="16"/>
          <w:szCs w:val="16"/>
        </w:rPr>
      </w:pPr>
      <w:hyperlink w:anchor="_Toc392585809" w:history="1">
        <w:r w:rsidR="000728A0" w:rsidRPr="001E2F6E">
          <w:rPr>
            <w:rFonts w:eastAsiaTheme="minorHAnsi" w:cstheme="minorBidi"/>
            <w:noProof/>
            <w:sz w:val="16"/>
            <w:szCs w:val="16"/>
          </w:rPr>
          <w:t xml:space="preserve">1.74 Taula </w:t>
        </w:r>
        <w:r w:rsidR="00B76DF2" w:rsidRPr="001E2F6E">
          <w:rPr>
            <w:rFonts w:eastAsiaTheme="minorHAnsi" w:cstheme="minorBidi"/>
            <w:noProof/>
            <w:sz w:val="16"/>
            <w:szCs w:val="16"/>
          </w:rPr>
          <w:tab/>
        </w:r>
        <w:r w:rsidR="000728A0" w:rsidRPr="001E2F6E">
          <w:rPr>
            <w:rFonts w:eastAsiaTheme="minorHAnsi" w:cstheme="minorBidi"/>
            <w:noProof/>
            <w:sz w:val="16"/>
            <w:szCs w:val="16"/>
          </w:rPr>
          <w:t>GIZARTE-EKONOMIAREN EMAITZEN KONTUA, JARDUERA-SEKTOREAREN ARABERA. 2012. BIZKAIA. (zifra absolutuak Euroan) (Ohiko prezioak)</w:t>
        </w:r>
        <w:r w:rsidR="000728A0" w:rsidRPr="001E2F6E">
          <w:rPr>
            <w:rFonts w:eastAsiaTheme="minorHAnsi" w:cstheme="minorBidi"/>
            <w:noProof/>
            <w:webHidden/>
            <w:sz w:val="16"/>
            <w:szCs w:val="16"/>
          </w:rPr>
          <w:tab/>
        </w:r>
        <w:r w:rsidR="00EB6BA6" w:rsidRPr="001E2F6E">
          <w:rPr>
            <w:rFonts w:eastAsiaTheme="minorHAnsi" w:cstheme="minorBidi"/>
            <w:noProof/>
            <w:webHidden/>
            <w:sz w:val="16"/>
            <w:szCs w:val="16"/>
          </w:rPr>
          <w:fldChar w:fldCharType="begin"/>
        </w:r>
        <w:r w:rsidR="000728A0" w:rsidRPr="001E2F6E">
          <w:rPr>
            <w:rFonts w:eastAsiaTheme="minorHAnsi" w:cstheme="minorBidi"/>
            <w:noProof/>
            <w:webHidden/>
            <w:sz w:val="16"/>
            <w:szCs w:val="16"/>
          </w:rPr>
          <w:instrText xml:space="preserve"> PAGEREF _Toc392585809 \h </w:instrText>
        </w:r>
        <w:r w:rsidR="00EB6BA6" w:rsidRPr="001E2F6E">
          <w:rPr>
            <w:rFonts w:eastAsiaTheme="minorHAnsi" w:cstheme="minorBidi"/>
            <w:noProof/>
            <w:webHidden/>
            <w:sz w:val="16"/>
            <w:szCs w:val="16"/>
          </w:rPr>
        </w:r>
        <w:r w:rsidR="00EB6BA6" w:rsidRPr="001E2F6E">
          <w:rPr>
            <w:rFonts w:eastAsiaTheme="minorHAnsi" w:cstheme="minorBidi"/>
            <w:noProof/>
            <w:webHidden/>
            <w:sz w:val="16"/>
            <w:szCs w:val="16"/>
          </w:rPr>
          <w:fldChar w:fldCharType="separate"/>
        </w:r>
        <w:r>
          <w:rPr>
            <w:rFonts w:eastAsiaTheme="minorHAnsi" w:cstheme="minorBidi"/>
            <w:noProof/>
            <w:webHidden/>
            <w:sz w:val="16"/>
            <w:szCs w:val="16"/>
          </w:rPr>
          <w:t>71</w:t>
        </w:r>
        <w:r w:rsidR="00EB6BA6" w:rsidRPr="001E2F6E">
          <w:rPr>
            <w:rFonts w:eastAsiaTheme="minorHAnsi" w:cstheme="minorBidi"/>
            <w:noProof/>
            <w:webHidden/>
            <w:sz w:val="16"/>
            <w:szCs w:val="16"/>
          </w:rPr>
          <w:fldChar w:fldCharType="end"/>
        </w:r>
      </w:hyperlink>
    </w:p>
    <w:p w:rsidR="000728A0" w:rsidRPr="001E2F6E" w:rsidRDefault="00A327D4" w:rsidP="00B76DF2">
      <w:pPr>
        <w:pStyle w:val="Tabladeilustraciones"/>
        <w:tabs>
          <w:tab w:val="right" w:leader="dot" w:pos="9072"/>
        </w:tabs>
        <w:spacing w:line="240" w:lineRule="auto"/>
        <w:ind w:left="1134" w:hanging="1134"/>
        <w:rPr>
          <w:rFonts w:eastAsiaTheme="minorHAnsi" w:cstheme="minorBidi"/>
          <w:noProof/>
          <w:sz w:val="16"/>
          <w:szCs w:val="16"/>
        </w:rPr>
      </w:pPr>
      <w:hyperlink w:anchor="_Toc392585810" w:history="1">
        <w:r w:rsidR="000728A0" w:rsidRPr="001E2F6E">
          <w:rPr>
            <w:rFonts w:eastAsiaTheme="minorHAnsi" w:cstheme="minorBidi"/>
            <w:noProof/>
            <w:sz w:val="16"/>
            <w:szCs w:val="16"/>
          </w:rPr>
          <w:t xml:space="preserve">1.75 Taula </w:t>
        </w:r>
        <w:r w:rsidR="00B76DF2" w:rsidRPr="001E2F6E">
          <w:rPr>
            <w:rFonts w:eastAsiaTheme="minorHAnsi" w:cstheme="minorBidi"/>
            <w:noProof/>
            <w:sz w:val="16"/>
            <w:szCs w:val="16"/>
          </w:rPr>
          <w:tab/>
        </w:r>
        <w:r w:rsidR="000728A0" w:rsidRPr="001E2F6E">
          <w:rPr>
            <w:rFonts w:eastAsiaTheme="minorHAnsi" w:cstheme="minorBidi"/>
            <w:noProof/>
            <w:sz w:val="16"/>
            <w:szCs w:val="16"/>
          </w:rPr>
          <w:t>GIZARTE-EKONOMIAREN EMAITZEN KONTUA, JARDUERA-SEKTOREAREN ARABERA. 2012. GIPUZKOA  (zifra absolutuak Euroan) (Ohiko prezioak)</w:t>
        </w:r>
        <w:r w:rsidR="000728A0" w:rsidRPr="001E2F6E">
          <w:rPr>
            <w:rFonts w:eastAsiaTheme="minorHAnsi" w:cstheme="minorBidi"/>
            <w:noProof/>
            <w:webHidden/>
            <w:sz w:val="16"/>
            <w:szCs w:val="16"/>
          </w:rPr>
          <w:tab/>
        </w:r>
        <w:r w:rsidR="00EB6BA6" w:rsidRPr="001E2F6E">
          <w:rPr>
            <w:rFonts w:eastAsiaTheme="minorHAnsi" w:cstheme="minorBidi"/>
            <w:noProof/>
            <w:webHidden/>
            <w:sz w:val="16"/>
            <w:szCs w:val="16"/>
          </w:rPr>
          <w:fldChar w:fldCharType="begin"/>
        </w:r>
        <w:r w:rsidR="000728A0" w:rsidRPr="001E2F6E">
          <w:rPr>
            <w:rFonts w:eastAsiaTheme="minorHAnsi" w:cstheme="minorBidi"/>
            <w:noProof/>
            <w:webHidden/>
            <w:sz w:val="16"/>
            <w:szCs w:val="16"/>
          </w:rPr>
          <w:instrText xml:space="preserve"> PAGEREF _Toc392585810 \h </w:instrText>
        </w:r>
        <w:r w:rsidR="00EB6BA6" w:rsidRPr="001E2F6E">
          <w:rPr>
            <w:rFonts w:eastAsiaTheme="minorHAnsi" w:cstheme="minorBidi"/>
            <w:noProof/>
            <w:webHidden/>
            <w:sz w:val="16"/>
            <w:szCs w:val="16"/>
          </w:rPr>
        </w:r>
        <w:r w:rsidR="00EB6BA6" w:rsidRPr="001E2F6E">
          <w:rPr>
            <w:rFonts w:eastAsiaTheme="minorHAnsi" w:cstheme="minorBidi"/>
            <w:noProof/>
            <w:webHidden/>
            <w:sz w:val="16"/>
            <w:szCs w:val="16"/>
          </w:rPr>
          <w:fldChar w:fldCharType="separate"/>
        </w:r>
        <w:r>
          <w:rPr>
            <w:rFonts w:eastAsiaTheme="minorHAnsi" w:cstheme="minorBidi"/>
            <w:noProof/>
            <w:webHidden/>
            <w:sz w:val="16"/>
            <w:szCs w:val="16"/>
          </w:rPr>
          <w:t>71</w:t>
        </w:r>
        <w:r w:rsidR="00EB6BA6" w:rsidRPr="001E2F6E">
          <w:rPr>
            <w:rFonts w:eastAsiaTheme="minorHAnsi" w:cstheme="minorBidi"/>
            <w:noProof/>
            <w:webHidden/>
            <w:sz w:val="16"/>
            <w:szCs w:val="16"/>
          </w:rPr>
          <w:fldChar w:fldCharType="end"/>
        </w:r>
      </w:hyperlink>
    </w:p>
    <w:p w:rsidR="00195BE7" w:rsidRPr="001E2F6E" w:rsidRDefault="00EB6BA6" w:rsidP="00195BE7">
      <w:pPr>
        <w:pStyle w:val="Tabladeilustraciones"/>
        <w:tabs>
          <w:tab w:val="right" w:leader="dot" w:pos="9072"/>
        </w:tabs>
        <w:spacing w:line="240" w:lineRule="auto"/>
        <w:ind w:left="1134" w:hanging="1134"/>
        <w:rPr>
          <w:rFonts w:eastAsiaTheme="minorHAnsi" w:cstheme="minorBidi"/>
          <w:sz w:val="16"/>
          <w:szCs w:val="16"/>
        </w:rPr>
      </w:pPr>
      <w:r w:rsidRPr="001E2F6E">
        <w:rPr>
          <w:rFonts w:eastAsiaTheme="minorHAnsi" w:cstheme="minorBidi"/>
          <w:sz w:val="16"/>
          <w:szCs w:val="16"/>
        </w:rPr>
        <w:fldChar w:fldCharType="end"/>
      </w:r>
    </w:p>
    <w:p w:rsidR="000728A0" w:rsidRPr="001E2F6E" w:rsidRDefault="00EB6BA6" w:rsidP="00B76DF2">
      <w:pPr>
        <w:pStyle w:val="Tabladeilustraciones"/>
        <w:tabs>
          <w:tab w:val="right" w:leader="dot" w:pos="9072"/>
        </w:tabs>
        <w:spacing w:line="240" w:lineRule="auto"/>
        <w:ind w:left="1134" w:hanging="1134"/>
        <w:rPr>
          <w:rFonts w:eastAsiaTheme="minorHAnsi" w:cstheme="minorBidi"/>
          <w:noProof/>
          <w:sz w:val="16"/>
          <w:szCs w:val="16"/>
        </w:rPr>
      </w:pPr>
      <w:r w:rsidRPr="001E2F6E">
        <w:rPr>
          <w:rFonts w:eastAsiaTheme="minorHAnsi" w:cstheme="minorBidi"/>
          <w:sz w:val="16"/>
          <w:szCs w:val="16"/>
        </w:rPr>
        <w:fldChar w:fldCharType="begin"/>
      </w:r>
      <w:r w:rsidR="00195BE7" w:rsidRPr="001E2F6E">
        <w:rPr>
          <w:rFonts w:eastAsiaTheme="minorHAnsi" w:cstheme="minorBidi"/>
          <w:sz w:val="16"/>
          <w:szCs w:val="16"/>
        </w:rPr>
        <w:instrText xml:space="preserve"> TOC \h \z \c "Gráfico 1." </w:instrText>
      </w:r>
      <w:r w:rsidRPr="001E2F6E">
        <w:rPr>
          <w:rFonts w:eastAsiaTheme="minorHAnsi" w:cstheme="minorBidi"/>
          <w:sz w:val="16"/>
          <w:szCs w:val="16"/>
        </w:rPr>
        <w:fldChar w:fldCharType="separate"/>
      </w:r>
      <w:hyperlink w:anchor="_Toc392585811" w:history="1">
        <w:r w:rsidR="000728A0" w:rsidRPr="001E2F6E">
          <w:rPr>
            <w:rFonts w:eastAsiaTheme="minorHAnsi" w:cstheme="minorBidi"/>
            <w:noProof/>
            <w:sz w:val="16"/>
            <w:szCs w:val="16"/>
          </w:rPr>
          <w:t xml:space="preserve">1.1 Irudia </w:t>
        </w:r>
        <w:r w:rsidR="00E84501" w:rsidRPr="001E2F6E">
          <w:rPr>
            <w:rFonts w:eastAsiaTheme="minorHAnsi" w:cstheme="minorBidi"/>
            <w:noProof/>
            <w:sz w:val="16"/>
            <w:szCs w:val="16"/>
          </w:rPr>
          <w:tab/>
        </w:r>
        <w:r w:rsidR="000728A0" w:rsidRPr="001E2F6E">
          <w:rPr>
            <w:rFonts w:eastAsiaTheme="minorHAnsi" w:cstheme="minorBidi"/>
            <w:noProof/>
            <w:sz w:val="16"/>
            <w:szCs w:val="16"/>
          </w:rPr>
          <w:t>GIZARTE-EKONOMIAREN ALORREKO ESTABLEZIMENDUEN ETA ENPLEGUAREN BILAKAERA 1994-2012</w:t>
        </w:r>
        <w:r w:rsidR="000728A0" w:rsidRPr="001E2F6E">
          <w:rPr>
            <w:rFonts w:eastAsiaTheme="minorHAnsi" w:cstheme="minorBidi"/>
            <w:noProof/>
            <w:webHidden/>
            <w:sz w:val="16"/>
            <w:szCs w:val="16"/>
          </w:rPr>
          <w:tab/>
        </w:r>
        <w:r w:rsidRPr="001E2F6E">
          <w:rPr>
            <w:rFonts w:eastAsiaTheme="minorHAnsi" w:cstheme="minorBidi"/>
            <w:noProof/>
            <w:webHidden/>
            <w:sz w:val="16"/>
            <w:szCs w:val="16"/>
          </w:rPr>
          <w:fldChar w:fldCharType="begin"/>
        </w:r>
        <w:r w:rsidR="000728A0" w:rsidRPr="001E2F6E">
          <w:rPr>
            <w:rFonts w:eastAsiaTheme="minorHAnsi" w:cstheme="minorBidi"/>
            <w:noProof/>
            <w:webHidden/>
            <w:sz w:val="16"/>
            <w:szCs w:val="16"/>
          </w:rPr>
          <w:instrText xml:space="preserve"> PAGEREF _Toc392585811 \h </w:instrText>
        </w:r>
        <w:r w:rsidRPr="001E2F6E">
          <w:rPr>
            <w:rFonts w:eastAsiaTheme="minorHAnsi" w:cstheme="minorBidi"/>
            <w:noProof/>
            <w:webHidden/>
            <w:sz w:val="16"/>
            <w:szCs w:val="16"/>
          </w:rPr>
        </w:r>
        <w:r w:rsidRPr="001E2F6E">
          <w:rPr>
            <w:rFonts w:eastAsiaTheme="minorHAnsi" w:cstheme="minorBidi"/>
            <w:noProof/>
            <w:webHidden/>
            <w:sz w:val="16"/>
            <w:szCs w:val="16"/>
          </w:rPr>
          <w:fldChar w:fldCharType="separate"/>
        </w:r>
        <w:r w:rsidR="00A327D4">
          <w:rPr>
            <w:rFonts w:eastAsiaTheme="minorHAnsi" w:cstheme="minorBidi"/>
            <w:noProof/>
            <w:webHidden/>
            <w:sz w:val="16"/>
            <w:szCs w:val="16"/>
          </w:rPr>
          <w:t>43</w:t>
        </w:r>
        <w:r w:rsidRPr="001E2F6E">
          <w:rPr>
            <w:rFonts w:eastAsiaTheme="minorHAnsi" w:cstheme="minorBidi"/>
            <w:noProof/>
            <w:webHidden/>
            <w:sz w:val="16"/>
            <w:szCs w:val="16"/>
          </w:rPr>
          <w:fldChar w:fldCharType="end"/>
        </w:r>
      </w:hyperlink>
    </w:p>
    <w:p w:rsidR="000728A0" w:rsidRPr="001E2F6E" w:rsidRDefault="00A327D4" w:rsidP="00B76DF2">
      <w:pPr>
        <w:pStyle w:val="Tabladeilustraciones"/>
        <w:tabs>
          <w:tab w:val="right" w:leader="dot" w:pos="9072"/>
        </w:tabs>
        <w:spacing w:line="240" w:lineRule="auto"/>
        <w:ind w:left="1134" w:hanging="1134"/>
        <w:rPr>
          <w:rFonts w:eastAsiaTheme="minorHAnsi" w:cstheme="minorBidi"/>
          <w:noProof/>
          <w:sz w:val="16"/>
          <w:szCs w:val="16"/>
        </w:rPr>
      </w:pPr>
      <w:hyperlink w:anchor="_Toc392585812" w:history="1">
        <w:r w:rsidR="000728A0" w:rsidRPr="001E2F6E">
          <w:rPr>
            <w:rFonts w:eastAsiaTheme="minorHAnsi" w:cstheme="minorBidi"/>
            <w:noProof/>
            <w:sz w:val="16"/>
            <w:szCs w:val="16"/>
          </w:rPr>
          <w:t xml:space="preserve">1.2 Irudia </w:t>
        </w:r>
        <w:r w:rsidR="00E84501" w:rsidRPr="001E2F6E">
          <w:rPr>
            <w:rFonts w:eastAsiaTheme="minorHAnsi" w:cstheme="minorBidi"/>
            <w:noProof/>
            <w:sz w:val="16"/>
            <w:szCs w:val="16"/>
          </w:rPr>
          <w:tab/>
        </w:r>
        <w:r w:rsidR="000728A0" w:rsidRPr="001E2F6E">
          <w:rPr>
            <w:rFonts w:eastAsiaTheme="minorHAnsi" w:cstheme="minorBidi"/>
            <w:noProof/>
            <w:sz w:val="16"/>
            <w:szCs w:val="16"/>
          </w:rPr>
          <w:t>GIZARTE-EKONOMIAREN ENPLEGUAK EAEko EKONOMIAN DUEN PISU ERLATIBOAREN BILAKAERA 1994-2012 (% EAEko enpleguen kopuru osoarekiko)</w:t>
        </w:r>
        <w:r w:rsidR="000728A0" w:rsidRPr="001E2F6E">
          <w:rPr>
            <w:rFonts w:eastAsiaTheme="minorHAnsi" w:cstheme="minorBidi"/>
            <w:noProof/>
            <w:webHidden/>
            <w:sz w:val="16"/>
            <w:szCs w:val="16"/>
          </w:rPr>
          <w:tab/>
        </w:r>
        <w:r w:rsidR="00EB6BA6" w:rsidRPr="001E2F6E">
          <w:rPr>
            <w:rFonts w:eastAsiaTheme="minorHAnsi" w:cstheme="minorBidi"/>
            <w:noProof/>
            <w:webHidden/>
            <w:sz w:val="16"/>
            <w:szCs w:val="16"/>
          </w:rPr>
          <w:fldChar w:fldCharType="begin"/>
        </w:r>
        <w:r w:rsidR="000728A0" w:rsidRPr="001E2F6E">
          <w:rPr>
            <w:rFonts w:eastAsiaTheme="minorHAnsi" w:cstheme="minorBidi"/>
            <w:noProof/>
            <w:webHidden/>
            <w:sz w:val="16"/>
            <w:szCs w:val="16"/>
          </w:rPr>
          <w:instrText xml:space="preserve"> PAGEREF _Toc392585812 \h </w:instrText>
        </w:r>
        <w:r w:rsidR="00EB6BA6" w:rsidRPr="001E2F6E">
          <w:rPr>
            <w:rFonts w:eastAsiaTheme="minorHAnsi" w:cstheme="minorBidi"/>
            <w:noProof/>
            <w:webHidden/>
            <w:sz w:val="16"/>
            <w:szCs w:val="16"/>
          </w:rPr>
        </w:r>
        <w:r w:rsidR="00EB6BA6" w:rsidRPr="001E2F6E">
          <w:rPr>
            <w:rFonts w:eastAsiaTheme="minorHAnsi" w:cstheme="minorBidi"/>
            <w:noProof/>
            <w:webHidden/>
            <w:sz w:val="16"/>
            <w:szCs w:val="16"/>
          </w:rPr>
          <w:fldChar w:fldCharType="separate"/>
        </w:r>
        <w:r>
          <w:rPr>
            <w:rFonts w:eastAsiaTheme="minorHAnsi" w:cstheme="minorBidi"/>
            <w:noProof/>
            <w:webHidden/>
            <w:sz w:val="16"/>
            <w:szCs w:val="16"/>
          </w:rPr>
          <w:t>44</w:t>
        </w:r>
        <w:r w:rsidR="00EB6BA6" w:rsidRPr="001E2F6E">
          <w:rPr>
            <w:rFonts w:eastAsiaTheme="minorHAnsi" w:cstheme="minorBidi"/>
            <w:noProof/>
            <w:webHidden/>
            <w:sz w:val="16"/>
            <w:szCs w:val="16"/>
          </w:rPr>
          <w:fldChar w:fldCharType="end"/>
        </w:r>
      </w:hyperlink>
    </w:p>
    <w:p w:rsidR="000728A0" w:rsidRPr="001E2F6E" w:rsidRDefault="00A327D4" w:rsidP="00B76DF2">
      <w:pPr>
        <w:pStyle w:val="Tabladeilustraciones"/>
        <w:tabs>
          <w:tab w:val="right" w:leader="dot" w:pos="9072"/>
        </w:tabs>
        <w:spacing w:line="240" w:lineRule="auto"/>
        <w:ind w:left="1134" w:hanging="1134"/>
        <w:rPr>
          <w:rFonts w:eastAsiaTheme="minorHAnsi" w:cstheme="minorBidi"/>
          <w:noProof/>
          <w:sz w:val="16"/>
          <w:szCs w:val="16"/>
        </w:rPr>
      </w:pPr>
      <w:hyperlink w:anchor="_Toc392585813" w:history="1">
        <w:r w:rsidR="000728A0" w:rsidRPr="001E2F6E">
          <w:rPr>
            <w:rFonts w:eastAsiaTheme="minorHAnsi" w:cstheme="minorBidi"/>
            <w:noProof/>
            <w:sz w:val="16"/>
            <w:szCs w:val="16"/>
          </w:rPr>
          <w:t xml:space="preserve">1.3 Irudia </w:t>
        </w:r>
        <w:r w:rsidR="00E84501" w:rsidRPr="001E2F6E">
          <w:rPr>
            <w:rFonts w:eastAsiaTheme="minorHAnsi" w:cstheme="minorBidi"/>
            <w:noProof/>
            <w:sz w:val="16"/>
            <w:szCs w:val="16"/>
          </w:rPr>
          <w:tab/>
        </w:r>
        <w:r w:rsidR="000728A0" w:rsidRPr="001E2F6E">
          <w:rPr>
            <w:rFonts w:eastAsiaTheme="minorHAnsi" w:cstheme="minorBidi"/>
            <w:noProof/>
            <w:sz w:val="16"/>
            <w:szCs w:val="16"/>
          </w:rPr>
          <w:t>GIZARTE-EKONOMIAREN INDUSTRIA-ENPLEGUAREN ETA HIRUGARREN SEKTOREKO ENPLEGUAREN BILAKAERA  (Hazkunde-tasak 2008-2010 eta 2010-2012 biurtekoetan)</w:t>
        </w:r>
        <w:r w:rsidR="000728A0" w:rsidRPr="001E2F6E">
          <w:rPr>
            <w:rFonts w:eastAsiaTheme="minorHAnsi" w:cstheme="minorBidi"/>
            <w:noProof/>
            <w:webHidden/>
            <w:sz w:val="16"/>
            <w:szCs w:val="16"/>
          </w:rPr>
          <w:tab/>
        </w:r>
        <w:r w:rsidR="00EB6BA6" w:rsidRPr="001E2F6E">
          <w:rPr>
            <w:rFonts w:eastAsiaTheme="minorHAnsi" w:cstheme="minorBidi"/>
            <w:noProof/>
            <w:webHidden/>
            <w:sz w:val="16"/>
            <w:szCs w:val="16"/>
          </w:rPr>
          <w:fldChar w:fldCharType="begin"/>
        </w:r>
        <w:r w:rsidR="000728A0" w:rsidRPr="001E2F6E">
          <w:rPr>
            <w:rFonts w:eastAsiaTheme="minorHAnsi" w:cstheme="minorBidi"/>
            <w:noProof/>
            <w:webHidden/>
            <w:sz w:val="16"/>
            <w:szCs w:val="16"/>
          </w:rPr>
          <w:instrText xml:space="preserve"> PAGEREF _Toc392585813 \h </w:instrText>
        </w:r>
        <w:r w:rsidR="00EB6BA6" w:rsidRPr="001E2F6E">
          <w:rPr>
            <w:rFonts w:eastAsiaTheme="minorHAnsi" w:cstheme="minorBidi"/>
            <w:noProof/>
            <w:webHidden/>
            <w:sz w:val="16"/>
            <w:szCs w:val="16"/>
          </w:rPr>
        </w:r>
        <w:r w:rsidR="00EB6BA6" w:rsidRPr="001E2F6E">
          <w:rPr>
            <w:rFonts w:eastAsiaTheme="minorHAnsi" w:cstheme="minorBidi"/>
            <w:noProof/>
            <w:webHidden/>
            <w:sz w:val="16"/>
            <w:szCs w:val="16"/>
          </w:rPr>
          <w:fldChar w:fldCharType="separate"/>
        </w:r>
        <w:r>
          <w:rPr>
            <w:rFonts w:eastAsiaTheme="minorHAnsi" w:cstheme="minorBidi"/>
            <w:noProof/>
            <w:webHidden/>
            <w:sz w:val="16"/>
            <w:szCs w:val="16"/>
          </w:rPr>
          <w:t>45</w:t>
        </w:r>
        <w:r w:rsidR="00EB6BA6" w:rsidRPr="001E2F6E">
          <w:rPr>
            <w:rFonts w:eastAsiaTheme="minorHAnsi" w:cstheme="minorBidi"/>
            <w:noProof/>
            <w:webHidden/>
            <w:sz w:val="16"/>
            <w:szCs w:val="16"/>
          </w:rPr>
          <w:fldChar w:fldCharType="end"/>
        </w:r>
      </w:hyperlink>
    </w:p>
    <w:p w:rsidR="000728A0" w:rsidRPr="001E2F6E" w:rsidRDefault="00A327D4" w:rsidP="00B76DF2">
      <w:pPr>
        <w:pStyle w:val="Tabladeilustraciones"/>
        <w:tabs>
          <w:tab w:val="right" w:leader="dot" w:pos="9072"/>
        </w:tabs>
        <w:spacing w:line="240" w:lineRule="auto"/>
        <w:ind w:left="1134" w:hanging="1134"/>
        <w:rPr>
          <w:rFonts w:eastAsiaTheme="minorHAnsi" w:cstheme="minorBidi"/>
          <w:noProof/>
          <w:sz w:val="16"/>
          <w:szCs w:val="16"/>
        </w:rPr>
      </w:pPr>
      <w:hyperlink w:anchor="_Toc392585814" w:history="1">
        <w:r w:rsidR="000728A0" w:rsidRPr="001E2F6E">
          <w:rPr>
            <w:rFonts w:eastAsiaTheme="minorHAnsi" w:cstheme="minorBidi"/>
            <w:noProof/>
            <w:sz w:val="16"/>
            <w:szCs w:val="16"/>
          </w:rPr>
          <w:t xml:space="preserve">1.4 Irudia </w:t>
        </w:r>
        <w:r w:rsidR="00E84501" w:rsidRPr="001E2F6E">
          <w:rPr>
            <w:rFonts w:eastAsiaTheme="minorHAnsi" w:cstheme="minorBidi"/>
            <w:noProof/>
            <w:sz w:val="16"/>
            <w:szCs w:val="16"/>
          </w:rPr>
          <w:tab/>
        </w:r>
        <w:r w:rsidR="000728A0" w:rsidRPr="001E2F6E">
          <w:rPr>
            <w:rFonts w:eastAsiaTheme="minorHAnsi" w:cstheme="minorBidi"/>
            <w:noProof/>
            <w:sz w:val="16"/>
            <w:szCs w:val="16"/>
          </w:rPr>
          <w:t>ENPLEGUAREN ARLOZ ARLOKO BANAKETAREN KONPARATIBA, EAEko EKONOMIAN ETA GIZARTE-EKONOMIAN. (%bertikalak, eremu bakoitzeko enplegu osoari dagokionez)</w:t>
        </w:r>
        <w:r w:rsidR="000728A0" w:rsidRPr="001E2F6E">
          <w:rPr>
            <w:rFonts w:eastAsiaTheme="minorHAnsi" w:cstheme="minorBidi"/>
            <w:noProof/>
            <w:webHidden/>
            <w:sz w:val="16"/>
            <w:szCs w:val="16"/>
          </w:rPr>
          <w:tab/>
        </w:r>
        <w:r w:rsidR="00EB6BA6" w:rsidRPr="001E2F6E">
          <w:rPr>
            <w:rFonts w:eastAsiaTheme="minorHAnsi" w:cstheme="minorBidi"/>
            <w:noProof/>
            <w:webHidden/>
            <w:sz w:val="16"/>
            <w:szCs w:val="16"/>
          </w:rPr>
          <w:fldChar w:fldCharType="begin"/>
        </w:r>
        <w:r w:rsidR="000728A0" w:rsidRPr="001E2F6E">
          <w:rPr>
            <w:rFonts w:eastAsiaTheme="minorHAnsi" w:cstheme="minorBidi"/>
            <w:noProof/>
            <w:webHidden/>
            <w:sz w:val="16"/>
            <w:szCs w:val="16"/>
          </w:rPr>
          <w:instrText xml:space="preserve"> PAGEREF _Toc392585814 \h </w:instrText>
        </w:r>
        <w:r w:rsidR="00EB6BA6" w:rsidRPr="001E2F6E">
          <w:rPr>
            <w:rFonts w:eastAsiaTheme="minorHAnsi" w:cstheme="minorBidi"/>
            <w:noProof/>
            <w:webHidden/>
            <w:sz w:val="16"/>
            <w:szCs w:val="16"/>
          </w:rPr>
        </w:r>
        <w:r w:rsidR="00EB6BA6" w:rsidRPr="001E2F6E">
          <w:rPr>
            <w:rFonts w:eastAsiaTheme="minorHAnsi" w:cstheme="minorBidi"/>
            <w:noProof/>
            <w:webHidden/>
            <w:sz w:val="16"/>
            <w:szCs w:val="16"/>
          </w:rPr>
          <w:fldChar w:fldCharType="separate"/>
        </w:r>
        <w:r>
          <w:rPr>
            <w:rFonts w:eastAsiaTheme="minorHAnsi" w:cstheme="minorBidi"/>
            <w:noProof/>
            <w:webHidden/>
            <w:sz w:val="16"/>
            <w:szCs w:val="16"/>
          </w:rPr>
          <w:t>46</w:t>
        </w:r>
        <w:r w:rsidR="00EB6BA6" w:rsidRPr="001E2F6E">
          <w:rPr>
            <w:rFonts w:eastAsiaTheme="minorHAnsi" w:cstheme="minorBidi"/>
            <w:noProof/>
            <w:webHidden/>
            <w:sz w:val="16"/>
            <w:szCs w:val="16"/>
          </w:rPr>
          <w:fldChar w:fldCharType="end"/>
        </w:r>
      </w:hyperlink>
    </w:p>
    <w:p w:rsidR="000728A0" w:rsidRPr="001E2F6E" w:rsidRDefault="00A327D4" w:rsidP="00B76DF2">
      <w:pPr>
        <w:pStyle w:val="Tabladeilustraciones"/>
        <w:tabs>
          <w:tab w:val="right" w:leader="dot" w:pos="9072"/>
        </w:tabs>
        <w:spacing w:line="240" w:lineRule="auto"/>
        <w:ind w:left="1134" w:hanging="1134"/>
        <w:rPr>
          <w:rFonts w:eastAsiaTheme="minorHAnsi" w:cstheme="minorBidi"/>
          <w:noProof/>
          <w:sz w:val="16"/>
          <w:szCs w:val="16"/>
        </w:rPr>
      </w:pPr>
      <w:hyperlink w:anchor="_Toc392585815" w:history="1">
        <w:r w:rsidR="000728A0" w:rsidRPr="001E2F6E">
          <w:rPr>
            <w:rFonts w:eastAsiaTheme="minorHAnsi" w:cstheme="minorBidi"/>
            <w:noProof/>
            <w:sz w:val="16"/>
            <w:szCs w:val="16"/>
          </w:rPr>
          <w:t xml:space="preserve">1.5 Irudia </w:t>
        </w:r>
        <w:r w:rsidR="00E84501" w:rsidRPr="001E2F6E">
          <w:rPr>
            <w:rFonts w:eastAsiaTheme="minorHAnsi" w:cstheme="minorBidi"/>
            <w:noProof/>
            <w:sz w:val="16"/>
            <w:szCs w:val="16"/>
          </w:rPr>
          <w:tab/>
        </w:r>
        <w:r w:rsidR="000728A0" w:rsidRPr="001E2F6E">
          <w:rPr>
            <w:rFonts w:eastAsiaTheme="minorHAnsi" w:cstheme="minorBidi"/>
            <w:noProof/>
            <w:sz w:val="16"/>
            <w:szCs w:val="16"/>
          </w:rPr>
          <w:t>GIZARTE-EKONOMIAREN GARRANTZI ERLATIBOA EAEko EKONOMIAN (Enpleguaren pisu erlatiboa). 2008-2012</w:t>
        </w:r>
        <w:r w:rsidR="000728A0" w:rsidRPr="001E2F6E">
          <w:rPr>
            <w:rFonts w:eastAsiaTheme="minorHAnsi" w:cstheme="minorBidi"/>
            <w:noProof/>
            <w:webHidden/>
            <w:sz w:val="16"/>
            <w:szCs w:val="16"/>
          </w:rPr>
          <w:tab/>
        </w:r>
        <w:r w:rsidR="00EB6BA6" w:rsidRPr="001E2F6E">
          <w:rPr>
            <w:rFonts w:eastAsiaTheme="minorHAnsi" w:cstheme="minorBidi"/>
            <w:noProof/>
            <w:webHidden/>
            <w:sz w:val="16"/>
            <w:szCs w:val="16"/>
          </w:rPr>
          <w:fldChar w:fldCharType="begin"/>
        </w:r>
        <w:r w:rsidR="000728A0" w:rsidRPr="001E2F6E">
          <w:rPr>
            <w:rFonts w:eastAsiaTheme="minorHAnsi" w:cstheme="minorBidi"/>
            <w:noProof/>
            <w:webHidden/>
            <w:sz w:val="16"/>
            <w:szCs w:val="16"/>
          </w:rPr>
          <w:instrText xml:space="preserve"> PAGEREF _Toc392585815 \h </w:instrText>
        </w:r>
        <w:r w:rsidR="00EB6BA6" w:rsidRPr="001E2F6E">
          <w:rPr>
            <w:rFonts w:eastAsiaTheme="minorHAnsi" w:cstheme="minorBidi"/>
            <w:noProof/>
            <w:webHidden/>
            <w:sz w:val="16"/>
            <w:szCs w:val="16"/>
          </w:rPr>
        </w:r>
        <w:r w:rsidR="00EB6BA6" w:rsidRPr="001E2F6E">
          <w:rPr>
            <w:rFonts w:eastAsiaTheme="minorHAnsi" w:cstheme="minorBidi"/>
            <w:noProof/>
            <w:webHidden/>
            <w:sz w:val="16"/>
            <w:szCs w:val="16"/>
          </w:rPr>
          <w:fldChar w:fldCharType="separate"/>
        </w:r>
        <w:r>
          <w:rPr>
            <w:rFonts w:eastAsiaTheme="minorHAnsi" w:cstheme="minorBidi"/>
            <w:noProof/>
            <w:webHidden/>
            <w:sz w:val="16"/>
            <w:szCs w:val="16"/>
          </w:rPr>
          <w:t>46</w:t>
        </w:r>
        <w:r w:rsidR="00EB6BA6" w:rsidRPr="001E2F6E">
          <w:rPr>
            <w:rFonts w:eastAsiaTheme="minorHAnsi" w:cstheme="minorBidi"/>
            <w:noProof/>
            <w:webHidden/>
            <w:sz w:val="16"/>
            <w:szCs w:val="16"/>
          </w:rPr>
          <w:fldChar w:fldCharType="end"/>
        </w:r>
      </w:hyperlink>
    </w:p>
    <w:p w:rsidR="000728A0" w:rsidRPr="001E2F6E" w:rsidRDefault="00A327D4" w:rsidP="00B76DF2">
      <w:pPr>
        <w:pStyle w:val="Tabladeilustraciones"/>
        <w:tabs>
          <w:tab w:val="right" w:leader="dot" w:pos="9072"/>
        </w:tabs>
        <w:spacing w:line="240" w:lineRule="auto"/>
        <w:ind w:left="1134" w:hanging="1134"/>
        <w:rPr>
          <w:rFonts w:eastAsiaTheme="minorHAnsi" w:cstheme="minorBidi"/>
          <w:noProof/>
          <w:sz w:val="16"/>
          <w:szCs w:val="16"/>
        </w:rPr>
      </w:pPr>
      <w:hyperlink w:anchor="_Toc392585816" w:history="1">
        <w:r w:rsidR="000728A0" w:rsidRPr="001E2F6E">
          <w:rPr>
            <w:rFonts w:eastAsiaTheme="minorHAnsi" w:cstheme="minorBidi"/>
            <w:noProof/>
            <w:sz w:val="16"/>
            <w:szCs w:val="16"/>
          </w:rPr>
          <w:t xml:space="preserve">1.6 Irudia </w:t>
        </w:r>
        <w:r w:rsidR="00E84501" w:rsidRPr="001E2F6E">
          <w:rPr>
            <w:rFonts w:eastAsiaTheme="minorHAnsi" w:cstheme="minorBidi"/>
            <w:noProof/>
            <w:sz w:val="16"/>
            <w:szCs w:val="16"/>
          </w:rPr>
          <w:tab/>
        </w:r>
        <w:r w:rsidR="000728A0" w:rsidRPr="001E2F6E">
          <w:rPr>
            <w:rFonts w:eastAsiaTheme="minorHAnsi" w:cstheme="minorBidi"/>
            <w:noProof/>
            <w:sz w:val="16"/>
            <w:szCs w:val="16"/>
          </w:rPr>
          <w:t>BAZKIDE-KOLEKTIBOAREN PISU ERLATIBOA (Portzentajea enplegu osoarekiko). 1996-2012</w:t>
        </w:r>
        <w:r w:rsidR="000728A0" w:rsidRPr="001E2F6E">
          <w:rPr>
            <w:rFonts w:eastAsiaTheme="minorHAnsi" w:cstheme="minorBidi"/>
            <w:noProof/>
            <w:webHidden/>
            <w:sz w:val="16"/>
            <w:szCs w:val="16"/>
          </w:rPr>
          <w:tab/>
        </w:r>
        <w:r w:rsidR="00EB6BA6" w:rsidRPr="001E2F6E">
          <w:rPr>
            <w:rFonts w:eastAsiaTheme="minorHAnsi" w:cstheme="minorBidi"/>
            <w:noProof/>
            <w:webHidden/>
            <w:sz w:val="16"/>
            <w:szCs w:val="16"/>
          </w:rPr>
          <w:fldChar w:fldCharType="begin"/>
        </w:r>
        <w:r w:rsidR="000728A0" w:rsidRPr="001E2F6E">
          <w:rPr>
            <w:rFonts w:eastAsiaTheme="minorHAnsi" w:cstheme="minorBidi"/>
            <w:noProof/>
            <w:webHidden/>
            <w:sz w:val="16"/>
            <w:szCs w:val="16"/>
          </w:rPr>
          <w:instrText xml:space="preserve"> PAGEREF _Toc392585816 \h </w:instrText>
        </w:r>
        <w:r w:rsidR="00EB6BA6" w:rsidRPr="001E2F6E">
          <w:rPr>
            <w:rFonts w:eastAsiaTheme="minorHAnsi" w:cstheme="minorBidi"/>
            <w:noProof/>
            <w:webHidden/>
            <w:sz w:val="16"/>
            <w:szCs w:val="16"/>
          </w:rPr>
        </w:r>
        <w:r w:rsidR="00EB6BA6" w:rsidRPr="001E2F6E">
          <w:rPr>
            <w:rFonts w:eastAsiaTheme="minorHAnsi" w:cstheme="minorBidi"/>
            <w:noProof/>
            <w:webHidden/>
            <w:sz w:val="16"/>
            <w:szCs w:val="16"/>
          </w:rPr>
          <w:fldChar w:fldCharType="separate"/>
        </w:r>
        <w:r>
          <w:rPr>
            <w:rFonts w:eastAsiaTheme="minorHAnsi" w:cstheme="minorBidi"/>
            <w:noProof/>
            <w:webHidden/>
            <w:sz w:val="16"/>
            <w:szCs w:val="16"/>
          </w:rPr>
          <w:t>49</w:t>
        </w:r>
        <w:r w:rsidR="00EB6BA6" w:rsidRPr="001E2F6E">
          <w:rPr>
            <w:rFonts w:eastAsiaTheme="minorHAnsi" w:cstheme="minorBidi"/>
            <w:noProof/>
            <w:webHidden/>
            <w:sz w:val="16"/>
            <w:szCs w:val="16"/>
          </w:rPr>
          <w:fldChar w:fldCharType="end"/>
        </w:r>
      </w:hyperlink>
    </w:p>
    <w:p w:rsidR="000728A0" w:rsidRPr="001E2F6E" w:rsidRDefault="00A327D4" w:rsidP="00B76DF2">
      <w:pPr>
        <w:pStyle w:val="Tabladeilustraciones"/>
        <w:tabs>
          <w:tab w:val="right" w:leader="dot" w:pos="9072"/>
        </w:tabs>
        <w:spacing w:line="240" w:lineRule="auto"/>
        <w:ind w:left="1134" w:hanging="1134"/>
        <w:rPr>
          <w:rFonts w:eastAsiaTheme="minorHAnsi" w:cstheme="minorBidi"/>
          <w:noProof/>
          <w:sz w:val="16"/>
          <w:szCs w:val="16"/>
        </w:rPr>
      </w:pPr>
      <w:hyperlink w:anchor="_Toc392585817" w:history="1">
        <w:r w:rsidR="000728A0" w:rsidRPr="001E2F6E">
          <w:rPr>
            <w:rFonts w:eastAsiaTheme="minorHAnsi" w:cstheme="minorBidi"/>
            <w:noProof/>
            <w:sz w:val="16"/>
            <w:szCs w:val="16"/>
          </w:rPr>
          <w:t xml:space="preserve">1.7 Irudia </w:t>
        </w:r>
        <w:r w:rsidR="00E84501" w:rsidRPr="001E2F6E">
          <w:rPr>
            <w:rFonts w:eastAsiaTheme="minorHAnsi" w:cstheme="minorBidi"/>
            <w:noProof/>
            <w:sz w:val="16"/>
            <w:szCs w:val="16"/>
          </w:rPr>
          <w:tab/>
        </w:r>
        <w:r w:rsidR="000728A0" w:rsidRPr="001E2F6E">
          <w:rPr>
            <w:rFonts w:eastAsiaTheme="minorHAnsi" w:cstheme="minorBidi"/>
            <w:noProof/>
            <w:sz w:val="16"/>
            <w:szCs w:val="16"/>
          </w:rPr>
          <w:t>GIZARTE-EKONOMIAREN EMAITZA EKONOMIKOEN (MOZKINAK) ETA CASH FLOWaren BILAKAERA. 2002-2012 (zifra absolutuak euro kopurua, milakoan)</w:t>
        </w:r>
        <w:r w:rsidR="000728A0" w:rsidRPr="001E2F6E">
          <w:rPr>
            <w:rFonts w:eastAsiaTheme="minorHAnsi" w:cstheme="minorBidi"/>
            <w:noProof/>
            <w:webHidden/>
            <w:sz w:val="16"/>
            <w:szCs w:val="16"/>
          </w:rPr>
          <w:tab/>
        </w:r>
        <w:r w:rsidR="00EB6BA6" w:rsidRPr="001E2F6E">
          <w:rPr>
            <w:rFonts w:eastAsiaTheme="minorHAnsi" w:cstheme="minorBidi"/>
            <w:noProof/>
            <w:webHidden/>
            <w:sz w:val="16"/>
            <w:szCs w:val="16"/>
          </w:rPr>
          <w:fldChar w:fldCharType="begin"/>
        </w:r>
        <w:r w:rsidR="000728A0" w:rsidRPr="001E2F6E">
          <w:rPr>
            <w:rFonts w:eastAsiaTheme="minorHAnsi" w:cstheme="minorBidi"/>
            <w:noProof/>
            <w:webHidden/>
            <w:sz w:val="16"/>
            <w:szCs w:val="16"/>
          </w:rPr>
          <w:instrText xml:space="preserve"> PAGEREF _Toc392585817 \h </w:instrText>
        </w:r>
        <w:r w:rsidR="00EB6BA6" w:rsidRPr="001E2F6E">
          <w:rPr>
            <w:rFonts w:eastAsiaTheme="minorHAnsi" w:cstheme="minorBidi"/>
            <w:noProof/>
            <w:webHidden/>
            <w:sz w:val="16"/>
            <w:szCs w:val="16"/>
          </w:rPr>
        </w:r>
        <w:r w:rsidR="00EB6BA6" w:rsidRPr="001E2F6E">
          <w:rPr>
            <w:rFonts w:eastAsiaTheme="minorHAnsi" w:cstheme="minorBidi"/>
            <w:noProof/>
            <w:webHidden/>
            <w:sz w:val="16"/>
            <w:szCs w:val="16"/>
          </w:rPr>
          <w:fldChar w:fldCharType="separate"/>
        </w:r>
        <w:r>
          <w:rPr>
            <w:rFonts w:eastAsiaTheme="minorHAnsi" w:cstheme="minorBidi"/>
            <w:noProof/>
            <w:webHidden/>
            <w:sz w:val="16"/>
            <w:szCs w:val="16"/>
          </w:rPr>
          <w:t>51</w:t>
        </w:r>
        <w:r w:rsidR="00EB6BA6" w:rsidRPr="001E2F6E">
          <w:rPr>
            <w:rFonts w:eastAsiaTheme="minorHAnsi" w:cstheme="minorBidi"/>
            <w:noProof/>
            <w:webHidden/>
            <w:sz w:val="16"/>
            <w:szCs w:val="16"/>
          </w:rPr>
          <w:fldChar w:fldCharType="end"/>
        </w:r>
      </w:hyperlink>
    </w:p>
    <w:p w:rsidR="000728A0" w:rsidRPr="001E2F6E" w:rsidRDefault="00A327D4" w:rsidP="00B76DF2">
      <w:pPr>
        <w:pStyle w:val="Tabladeilustraciones"/>
        <w:tabs>
          <w:tab w:val="right" w:leader="dot" w:pos="9072"/>
        </w:tabs>
        <w:spacing w:line="240" w:lineRule="auto"/>
        <w:ind w:left="1134" w:hanging="1134"/>
        <w:rPr>
          <w:rFonts w:eastAsiaTheme="minorHAnsi" w:cstheme="minorBidi"/>
          <w:noProof/>
          <w:sz w:val="16"/>
          <w:szCs w:val="16"/>
        </w:rPr>
      </w:pPr>
      <w:hyperlink w:anchor="_Toc392585818" w:history="1">
        <w:r w:rsidR="000728A0" w:rsidRPr="001E2F6E">
          <w:rPr>
            <w:rFonts w:eastAsiaTheme="minorHAnsi" w:cstheme="minorBidi"/>
            <w:noProof/>
            <w:sz w:val="16"/>
            <w:szCs w:val="16"/>
          </w:rPr>
          <w:t xml:space="preserve">1.8 Irudia </w:t>
        </w:r>
        <w:r w:rsidR="00E84501" w:rsidRPr="001E2F6E">
          <w:rPr>
            <w:rFonts w:eastAsiaTheme="minorHAnsi" w:cstheme="minorBidi"/>
            <w:noProof/>
            <w:sz w:val="16"/>
            <w:szCs w:val="16"/>
          </w:rPr>
          <w:tab/>
        </w:r>
        <w:r w:rsidR="000728A0" w:rsidRPr="001E2F6E">
          <w:rPr>
            <w:rFonts w:eastAsiaTheme="minorHAnsi" w:cstheme="minorBidi"/>
            <w:noProof/>
            <w:sz w:val="16"/>
            <w:szCs w:val="16"/>
          </w:rPr>
          <w:t>ENPLEGUEN ETA ESTABLEZIMENDUEN BANAKETA, FORMA JURIDIKOAREN ARABERA. 2012.</w:t>
        </w:r>
        <w:r w:rsidR="000728A0" w:rsidRPr="001E2F6E">
          <w:rPr>
            <w:rFonts w:eastAsiaTheme="minorHAnsi" w:cstheme="minorBidi"/>
            <w:noProof/>
            <w:webHidden/>
            <w:sz w:val="16"/>
            <w:szCs w:val="16"/>
          </w:rPr>
          <w:tab/>
        </w:r>
        <w:r w:rsidR="00EB6BA6" w:rsidRPr="001E2F6E">
          <w:rPr>
            <w:rFonts w:eastAsiaTheme="minorHAnsi" w:cstheme="minorBidi"/>
            <w:noProof/>
            <w:webHidden/>
            <w:sz w:val="16"/>
            <w:szCs w:val="16"/>
          </w:rPr>
          <w:fldChar w:fldCharType="begin"/>
        </w:r>
        <w:r w:rsidR="000728A0" w:rsidRPr="001E2F6E">
          <w:rPr>
            <w:rFonts w:eastAsiaTheme="minorHAnsi" w:cstheme="minorBidi"/>
            <w:noProof/>
            <w:webHidden/>
            <w:sz w:val="16"/>
            <w:szCs w:val="16"/>
          </w:rPr>
          <w:instrText xml:space="preserve"> PAGEREF _Toc392585818 \h </w:instrText>
        </w:r>
        <w:r w:rsidR="00EB6BA6" w:rsidRPr="001E2F6E">
          <w:rPr>
            <w:rFonts w:eastAsiaTheme="minorHAnsi" w:cstheme="minorBidi"/>
            <w:noProof/>
            <w:webHidden/>
            <w:sz w:val="16"/>
            <w:szCs w:val="16"/>
          </w:rPr>
        </w:r>
        <w:r w:rsidR="00EB6BA6" w:rsidRPr="001E2F6E">
          <w:rPr>
            <w:rFonts w:eastAsiaTheme="minorHAnsi" w:cstheme="minorBidi"/>
            <w:noProof/>
            <w:webHidden/>
            <w:sz w:val="16"/>
            <w:szCs w:val="16"/>
          </w:rPr>
          <w:fldChar w:fldCharType="separate"/>
        </w:r>
        <w:r>
          <w:rPr>
            <w:rFonts w:eastAsiaTheme="minorHAnsi" w:cstheme="minorBidi"/>
            <w:noProof/>
            <w:webHidden/>
            <w:sz w:val="16"/>
            <w:szCs w:val="16"/>
          </w:rPr>
          <w:t>53</w:t>
        </w:r>
        <w:r w:rsidR="00EB6BA6" w:rsidRPr="001E2F6E">
          <w:rPr>
            <w:rFonts w:eastAsiaTheme="minorHAnsi" w:cstheme="minorBidi"/>
            <w:noProof/>
            <w:webHidden/>
            <w:sz w:val="16"/>
            <w:szCs w:val="16"/>
          </w:rPr>
          <w:fldChar w:fldCharType="end"/>
        </w:r>
      </w:hyperlink>
    </w:p>
    <w:p w:rsidR="000728A0" w:rsidRPr="001E2F6E" w:rsidRDefault="00A327D4" w:rsidP="00B76DF2">
      <w:pPr>
        <w:pStyle w:val="Tabladeilustraciones"/>
        <w:tabs>
          <w:tab w:val="right" w:leader="dot" w:pos="9072"/>
        </w:tabs>
        <w:spacing w:line="240" w:lineRule="auto"/>
        <w:ind w:left="1134" w:hanging="1134"/>
        <w:rPr>
          <w:rFonts w:eastAsiaTheme="minorHAnsi" w:cstheme="minorBidi"/>
          <w:noProof/>
          <w:sz w:val="16"/>
          <w:szCs w:val="16"/>
        </w:rPr>
      </w:pPr>
      <w:hyperlink w:anchor="_Toc392585819" w:history="1">
        <w:r w:rsidR="000728A0" w:rsidRPr="001E2F6E">
          <w:rPr>
            <w:rFonts w:eastAsiaTheme="minorHAnsi" w:cstheme="minorBidi"/>
            <w:noProof/>
            <w:sz w:val="16"/>
            <w:szCs w:val="16"/>
          </w:rPr>
          <w:t xml:space="preserve">1.9 Irudia </w:t>
        </w:r>
        <w:r w:rsidR="00E84501" w:rsidRPr="001E2F6E">
          <w:rPr>
            <w:rFonts w:eastAsiaTheme="minorHAnsi" w:cstheme="minorBidi"/>
            <w:noProof/>
            <w:sz w:val="16"/>
            <w:szCs w:val="16"/>
          </w:rPr>
          <w:tab/>
        </w:r>
        <w:r w:rsidR="000728A0" w:rsidRPr="001E2F6E">
          <w:rPr>
            <w:rFonts w:eastAsiaTheme="minorHAnsi" w:cstheme="minorBidi"/>
            <w:noProof/>
            <w:sz w:val="16"/>
            <w:szCs w:val="16"/>
          </w:rPr>
          <w:t>BEGd BALIOAREN BANAKETA, FORMA JURIDIKOAREN ARABERA. 2012 (%ber.)</w:t>
        </w:r>
        <w:r w:rsidR="000728A0" w:rsidRPr="001E2F6E">
          <w:rPr>
            <w:rFonts w:eastAsiaTheme="minorHAnsi" w:cstheme="minorBidi"/>
            <w:noProof/>
            <w:webHidden/>
            <w:sz w:val="16"/>
            <w:szCs w:val="16"/>
          </w:rPr>
          <w:tab/>
        </w:r>
        <w:r w:rsidR="00EB6BA6" w:rsidRPr="001E2F6E">
          <w:rPr>
            <w:rFonts w:eastAsiaTheme="minorHAnsi" w:cstheme="minorBidi"/>
            <w:noProof/>
            <w:webHidden/>
            <w:sz w:val="16"/>
            <w:szCs w:val="16"/>
          </w:rPr>
          <w:fldChar w:fldCharType="begin"/>
        </w:r>
        <w:r w:rsidR="000728A0" w:rsidRPr="001E2F6E">
          <w:rPr>
            <w:rFonts w:eastAsiaTheme="minorHAnsi" w:cstheme="minorBidi"/>
            <w:noProof/>
            <w:webHidden/>
            <w:sz w:val="16"/>
            <w:szCs w:val="16"/>
          </w:rPr>
          <w:instrText xml:space="preserve"> PAGEREF _Toc392585819 \h </w:instrText>
        </w:r>
        <w:r w:rsidR="00EB6BA6" w:rsidRPr="001E2F6E">
          <w:rPr>
            <w:rFonts w:eastAsiaTheme="minorHAnsi" w:cstheme="minorBidi"/>
            <w:noProof/>
            <w:webHidden/>
            <w:sz w:val="16"/>
            <w:szCs w:val="16"/>
          </w:rPr>
        </w:r>
        <w:r w:rsidR="00EB6BA6" w:rsidRPr="001E2F6E">
          <w:rPr>
            <w:rFonts w:eastAsiaTheme="minorHAnsi" w:cstheme="minorBidi"/>
            <w:noProof/>
            <w:webHidden/>
            <w:sz w:val="16"/>
            <w:szCs w:val="16"/>
          </w:rPr>
          <w:fldChar w:fldCharType="separate"/>
        </w:r>
        <w:r>
          <w:rPr>
            <w:rFonts w:eastAsiaTheme="minorHAnsi" w:cstheme="minorBidi"/>
            <w:noProof/>
            <w:webHidden/>
            <w:sz w:val="16"/>
            <w:szCs w:val="16"/>
          </w:rPr>
          <w:t>55</w:t>
        </w:r>
        <w:r w:rsidR="00EB6BA6" w:rsidRPr="001E2F6E">
          <w:rPr>
            <w:rFonts w:eastAsiaTheme="minorHAnsi" w:cstheme="minorBidi"/>
            <w:noProof/>
            <w:webHidden/>
            <w:sz w:val="16"/>
            <w:szCs w:val="16"/>
          </w:rPr>
          <w:fldChar w:fldCharType="end"/>
        </w:r>
      </w:hyperlink>
    </w:p>
    <w:p w:rsidR="000728A0" w:rsidRPr="001E2F6E" w:rsidRDefault="00A327D4" w:rsidP="00B76DF2">
      <w:pPr>
        <w:pStyle w:val="Tabladeilustraciones"/>
        <w:tabs>
          <w:tab w:val="right" w:leader="dot" w:pos="9072"/>
        </w:tabs>
        <w:spacing w:line="240" w:lineRule="auto"/>
        <w:ind w:left="1134" w:hanging="1134"/>
        <w:rPr>
          <w:rFonts w:eastAsiaTheme="minorHAnsi" w:cstheme="minorBidi"/>
          <w:noProof/>
          <w:sz w:val="16"/>
          <w:szCs w:val="16"/>
        </w:rPr>
      </w:pPr>
      <w:hyperlink w:anchor="_Toc392585820" w:history="1">
        <w:r w:rsidR="000728A0" w:rsidRPr="001E2F6E">
          <w:rPr>
            <w:rFonts w:eastAsiaTheme="minorHAnsi" w:cstheme="minorBidi"/>
            <w:noProof/>
            <w:sz w:val="16"/>
            <w:szCs w:val="16"/>
          </w:rPr>
          <w:t xml:space="preserve">1.10 Irudia </w:t>
        </w:r>
        <w:r w:rsidR="00E84501" w:rsidRPr="001E2F6E">
          <w:rPr>
            <w:rFonts w:eastAsiaTheme="minorHAnsi" w:cstheme="minorBidi"/>
            <w:noProof/>
            <w:sz w:val="16"/>
            <w:szCs w:val="16"/>
          </w:rPr>
          <w:tab/>
        </w:r>
        <w:r w:rsidR="000728A0" w:rsidRPr="001E2F6E">
          <w:rPr>
            <w:rFonts w:eastAsiaTheme="minorHAnsi" w:cstheme="minorBidi"/>
            <w:noProof/>
            <w:sz w:val="16"/>
            <w:szCs w:val="16"/>
          </w:rPr>
          <w:t>GIZARTE-EKONOMIAREN ALORREKO ESTABLEZIMENDUEN LURRALDE-BANAKETAREN BILAKAERA. 2010-2012</w:t>
        </w:r>
        <w:r w:rsidR="000728A0" w:rsidRPr="001E2F6E">
          <w:rPr>
            <w:rFonts w:eastAsiaTheme="minorHAnsi" w:cstheme="minorBidi"/>
            <w:noProof/>
            <w:webHidden/>
            <w:sz w:val="16"/>
            <w:szCs w:val="16"/>
          </w:rPr>
          <w:tab/>
        </w:r>
        <w:r w:rsidR="00EB6BA6" w:rsidRPr="001E2F6E">
          <w:rPr>
            <w:rFonts w:eastAsiaTheme="minorHAnsi" w:cstheme="minorBidi"/>
            <w:noProof/>
            <w:webHidden/>
            <w:sz w:val="16"/>
            <w:szCs w:val="16"/>
          </w:rPr>
          <w:fldChar w:fldCharType="begin"/>
        </w:r>
        <w:r w:rsidR="000728A0" w:rsidRPr="001E2F6E">
          <w:rPr>
            <w:rFonts w:eastAsiaTheme="minorHAnsi" w:cstheme="minorBidi"/>
            <w:noProof/>
            <w:webHidden/>
            <w:sz w:val="16"/>
            <w:szCs w:val="16"/>
          </w:rPr>
          <w:instrText xml:space="preserve"> PAGEREF _Toc392585820 \h </w:instrText>
        </w:r>
        <w:r w:rsidR="00EB6BA6" w:rsidRPr="001E2F6E">
          <w:rPr>
            <w:rFonts w:eastAsiaTheme="minorHAnsi" w:cstheme="minorBidi"/>
            <w:noProof/>
            <w:webHidden/>
            <w:sz w:val="16"/>
            <w:szCs w:val="16"/>
          </w:rPr>
        </w:r>
        <w:r w:rsidR="00EB6BA6" w:rsidRPr="001E2F6E">
          <w:rPr>
            <w:rFonts w:eastAsiaTheme="minorHAnsi" w:cstheme="minorBidi"/>
            <w:noProof/>
            <w:webHidden/>
            <w:sz w:val="16"/>
            <w:szCs w:val="16"/>
          </w:rPr>
          <w:fldChar w:fldCharType="separate"/>
        </w:r>
        <w:r>
          <w:rPr>
            <w:rFonts w:eastAsiaTheme="minorHAnsi" w:cstheme="minorBidi"/>
            <w:noProof/>
            <w:webHidden/>
            <w:sz w:val="16"/>
            <w:szCs w:val="16"/>
          </w:rPr>
          <w:t>56</w:t>
        </w:r>
        <w:r w:rsidR="00EB6BA6" w:rsidRPr="001E2F6E">
          <w:rPr>
            <w:rFonts w:eastAsiaTheme="minorHAnsi" w:cstheme="minorBidi"/>
            <w:noProof/>
            <w:webHidden/>
            <w:sz w:val="16"/>
            <w:szCs w:val="16"/>
          </w:rPr>
          <w:fldChar w:fldCharType="end"/>
        </w:r>
      </w:hyperlink>
    </w:p>
    <w:p w:rsidR="000728A0" w:rsidRPr="001E2F6E" w:rsidRDefault="00A327D4" w:rsidP="00B76DF2">
      <w:pPr>
        <w:pStyle w:val="Tabladeilustraciones"/>
        <w:tabs>
          <w:tab w:val="right" w:leader="dot" w:pos="9072"/>
        </w:tabs>
        <w:spacing w:line="240" w:lineRule="auto"/>
        <w:ind w:left="1134" w:hanging="1134"/>
        <w:rPr>
          <w:rFonts w:eastAsiaTheme="minorHAnsi" w:cstheme="minorBidi"/>
          <w:noProof/>
          <w:sz w:val="16"/>
          <w:szCs w:val="16"/>
        </w:rPr>
      </w:pPr>
      <w:hyperlink w:anchor="_Toc392585821" w:history="1">
        <w:r w:rsidR="000728A0" w:rsidRPr="001E2F6E">
          <w:rPr>
            <w:rFonts w:eastAsiaTheme="minorHAnsi" w:cstheme="minorBidi"/>
            <w:noProof/>
            <w:sz w:val="16"/>
            <w:szCs w:val="16"/>
          </w:rPr>
          <w:t xml:space="preserve">1.11 Irudia </w:t>
        </w:r>
        <w:r w:rsidR="00E84501" w:rsidRPr="001E2F6E">
          <w:rPr>
            <w:rFonts w:eastAsiaTheme="minorHAnsi" w:cstheme="minorBidi"/>
            <w:noProof/>
            <w:sz w:val="16"/>
            <w:szCs w:val="16"/>
          </w:rPr>
          <w:tab/>
        </w:r>
        <w:r w:rsidR="000728A0" w:rsidRPr="001E2F6E">
          <w:rPr>
            <w:rFonts w:eastAsiaTheme="minorHAnsi" w:cstheme="minorBidi"/>
            <w:noProof/>
            <w:sz w:val="16"/>
            <w:szCs w:val="16"/>
          </w:rPr>
          <w:t>GIZARTE-EKONOMIAREN ALORREKO ENPLEGUAREN LURRALDE-BANAKETAREN BILAKAERA. 2010-2012</w:t>
        </w:r>
        <w:r w:rsidR="000728A0" w:rsidRPr="001E2F6E">
          <w:rPr>
            <w:rFonts w:eastAsiaTheme="minorHAnsi" w:cstheme="minorBidi"/>
            <w:noProof/>
            <w:webHidden/>
            <w:sz w:val="16"/>
            <w:szCs w:val="16"/>
          </w:rPr>
          <w:tab/>
        </w:r>
        <w:r w:rsidR="00EB6BA6" w:rsidRPr="001E2F6E">
          <w:rPr>
            <w:rFonts w:eastAsiaTheme="minorHAnsi" w:cstheme="minorBidi"/>
            <w:noProof/>
            <w:webHidden/>
            <w:sz w:val="16"/>
            <w:szCs w:val="16"/>
          </w:rPr>
          <w:fldChar w:fldCharType="begin"/>
        </w:r>
        <w:r w:rsidR="000728A0" w:rsidRPr="001E2F6E">
          <w:rPr>
            <w:rFonts w:eastAsiaTheme="minorHAnsi" w:cstheme="minorBidi"/>
            <w:noProof/>
            <w:webHidden/>
            <w:sz w:val="16"/>
            <w:szCs w:val="16"/>
          </w:rPr>
          <w:instrText xml:space="preserve"> PAGEREF _Toc392585821 \h </w:instrText>
        </w:r>
        <w:r w:rsidR="00EB6BA6" w:rsidRPr="001E2F6E">
          <w:rPr>
            <w:rFonts w:eastAsiaTheme="minorHAnsi" w:cstheme="minorBidi"/>
            <w:noProof/>
            <w:webHidden/>
            <w:sz w:val="16"/>
            <w:szCs w:val="16"/>
          </w:rPr>
        </w:r>
        <w:r w:rsidR="00EB6BA6" w:rsidRPr="001E2F6E">
          <w:rPr>
            <w:rFonts w:eastAsiaTheme="minorHAnsi" w:cstheme="minorBidi"/>
            <w:noProof/>
            <w:webHidden/>
            <w:sz w:val="16"/>
            <w:szCs w:val="16"/>
          </w:rPr>
          <w:fldChar w:fldCharType="separate"/>
        </w:r>
        <w:r>
          <w:rPr>
            <w:rFonts w:eastAsiaTheme="minorHAnsi" w:cstheme="minorBidi"/>
            <w:noProof/>
            <w:webHidden/>
            <w:sz w:val="16"/>
            <w:szCs w:val="16"/>
          </w:rPr>
          <w:t>56</w:t>
        </w:r>
        <w:r w:rsidR="00EB6BA6" w:rsidRPr="001E2F6E">
          <w:rPr>
            <w:rFonts w:eastAsiaTheme="minorHAnsi" w:cstheme="minorBidi"/>
            <w:noProof/>
            <w:webHidden/>
            <w:sz w:val="16"/>
            <w:szCs w:val="16"/>
          </w:rPr>
          <w:fldChar w:fldCharType="end"/>
        </w:r>
      </w:hyperlink>
    </w:p>
    <w:p w:rsidR="000728A0" w:rsidRPr="001E2F6E" w:rsidRDefault="00A327D4" w:rsidP="00B76DF2">
      <w:pPr>
        <w:pStyle w:val="Tabladeilustraciones"/>
        <w:tabs>
          <w:tab w:val="right" w:leader="dot" w:pos="9072"/>
        </w:tabs>
        <w:spacing w:line="240" w:lineRule="auto"/>
        <w:ind w:left="1134" w:hanging="1134"/>
        <w:rPr>
          <w:rFonts w:eastAsiaTheme="minorHAnsi" w:cstheme="minorBidi"/>
          <w:noProof/>
          <w:sz w:val="16"/>
          <w:szCs w:val="16"/>
        </w:rPr>
      </w:pPr>
      <w:hyperlink w:anchor="_Toc392585822" w:history="1">
        <w:r w:rsidR="000728A0" w:rsidRPr="001E2F6E">
          <w:rPr>
            <w:rFonts w:eastAsiaTheme="minorHAnsi" w:cstheme="minorBidi"/>
            <w:noProof/>
            <w:sz w:val="16"/>
            <w:szCs w:val="16"/>
          </w:rPr>
          <w:t xml:space="preserve">1.12 Irudia </w:t>
        </w:r>
        <w:r w:rsidR="00E84501" w:rsidRPr="001E2F6E">
          <w:rPr>
            <w:rFonts w:eastAsiaTheme="minorHAnsi" w:cstheme="minorBidi"/>
            <w:noProof/>
            <w:sz w:val="16"/>
            <w:szCs w:val="16"/>
          </w:rPr>
          <w:tab/>
        </w:r>
        <w:r w:rsidR="000728A0" w:rsidRPr="001E2F6E">
          <w:rPr>
            <w:rFonts w:eastAsiaTheme="minorHAnsi" w:cstheme="minorBidi"/>
            <w:noProof/>
            <w:sz w:val="16"/>
            <w:szCs w:val="16"/>
          </w:rPr>
          <w:t>GIZARTE-EKONOMIAK EAEko EKONOMIAN DUEN GARRANTZI ERLATIBOA (Enpleguaren pisu erlatiboa Lurralde Historikoaren arabera). 2010-2012</w:t>
        </w:r>
        <w:r w:rsidR="000728A0" w:rsidRPr="001E2F6E">
          <w:rPr>
            <w:rFonts w:eastAsiaTheme="minorHAnsi" w:cstheme="minorBidi"/>
            <w:noProof/>
            <w:webHidden/>
            <w:sz w:val="16"/>
            <w:szCs w:val="16"/>
          </w:rPr>
          <w:tab/>
        </w:r>
        <w:r w:rsidR="00EB6BA6" w:rsidRPr="001E2F6E">
          <w:rPr>
            <w:rFonts w:eastAsiaTheme="minorHAnsi" w:cstheme="minorBidi"/>
            <w:noProof/>
            <w:webHidden/>
            <w:sz w:val="16"/>
            <w:szCs w:val="16"/>
          </w:rPr>
          <w:fldChar w:fldCharType="begin"/>
        </w:r>
        <w:r w:rsidR="000728A0" w:rsidRPr="001E2F6E">
          <w:rPr>
            <w:rFonts w:eastAsiaTheme="minorHAnsi" w:cstheme="minorBidi"/>
            <w:noProof/>
            <w:webHidden/>
            <w:sz w:val="16"/>
            <w:szCs w:val="16"/>
          </w:rPr>
          <w:instrText xml:space="preserve"> PAGEREF _Toc392585822 \h </w:instrText>
        </w:r>
        <w:r w:rsidR="00EB6BA6" w:rsidRPr="001E2F6E">
          <w:rPr>
            <w:rFonts w:eastAsiaTheme="minorHAnsi" w:cstheme="minorBidi"/>
            <w:noProof/>
            <w:webHidden/>
            <w:sz w:val="16"/>
            <w:szCs w:val="16"/>
          </w:rPr>
        </w:r>
        <w:r w:rsidR="00EB6BA6" w:rsidRPr="001E2F6E">
          <w:rPr>
            <w:rFonts w:eastAsiaTheme="minorHAnsi" w:cstheme="minorBidi"/>
            <w:noProof/>
            <w:webHidden/>
            <w:sz w:val="16"/>
            <w:szCs w:val="16"/>
          </w:rPr>
          <w:fldChar w:fldCharType="separate"/>
        </w:r>
        <w:r>
          <w:rPr>
            <w:rFonts w:eastAsiaTheme="minorHAnsi" w:cstheme="minorBidi"/>
            <w:noProof/>
            <w:webHidden/>
            <w:sz w:val="16"/>
            <w:szCs w:val="16"/>
          </w:rPr>
          <w:t>57</w:t>
        </w:r>
        <w:r w:rsidR="00EB6BA6" w:rsidRPr="001E2F6E">
          <w:rPr>
            <w:rFonts w:eastAsiaTheme="minorHAnsi" w:cstheme="minorBidi"/>
            <w:noProof/>
            <w:webHidden/>
            <w:sz w:val="16"/>
            <w:szCs w:val="16"/>
          </w:rPr>
          <w:fldChar w:fldCharType="end"/>
        </w:r>
      </w:hyperlink>
    </w:p>
    <w:p w:rsidR="000728A0" w:rsidRPr="001E2F6E" w:rsidRDefault="00A327D4" w:rsidP="00B76DF2">
      <w:pPr>
        <w:pStyle w:val="Tabladeilustraciones"/>
        <w:tabs>
          <w:tab w:val="right" w:leader="dot" w:pos="9072"/>
        </w:tabs>
        <w:spacing w:line="240" w:lineRule="auto"/>
        <w:ind w:left="1134" w:hanging="1134"/>
        <w:rPr>
          <w:rFonts w:eastAsiaTheme="minorHAnsi" w:cstheme="minorBidi"/>
          <w:noProof/>
          <w:sz w:val="16"/>
          <w:szCs w:val="16"/>
        </w:rPr>
      </w:pPr>
      <w:hyperlink w:anchor="_Toc392585823" w:history="1">
        <w:r w:rsidR="000728A0" w:rsidRPr="001E2F6E">
          <w:rPr>
            <w:rFonts w:eastAsiaTheme="minorHAnsi" w:cstheme="minorBidi"/>
            <w:noProof/>
            <w:sz w:val="16"/>
            <w:szCs w:val="16"/>
          </w:rPr>
          <w:t xml:space="preserve">1.13 Irudia </w:t>
        </w:r>
        <w:r w:rsidR="00E84501" w:rsidRPr="001E2F6E">
          <w:rPr>
            <w:rFonts w:eastAsiaTheme="minorHAnsi" w:cstheme="minorBidi"/>
            <w:noProof/>
            <w:sz w:val="16"/>
            <w:szCs w:val="16"/>
          </w:rPr>
          <w:tab/>
        </w:r>
        <w:r w:rsidR="000728A0" w:rsidRPr="001E2F6E">
          <w:rPr>
            <w:rFonts w:eastAsiaTheme="minorHAnsi" w:cstheme="minorBidi"/>
            <w:noProof/>
            <w:sz w:val="16"/>
            <w:szCs w:val="16"/>
          </w:rPr>
          <w:t>GIZARTE-EKONOMIAREN BEGd BALIOAREN LURRALDE-BANAKETAREN BILAKAERA. 2010-2012</w:t>
        </w:r>
        <w:r w:rsidR="000728A0" w:rsidRPr="001E2F6E">
          <w:rPr>
            <w:rFonts w:eastAsiaTheme="minorHAnsi" w:cstheme="minorBidi"/>
            <w:noProof/>
            <w:webHidden/>
            <w:sz w:val="16"/>
            <w:szCs w:val="16"/>
          </w:rPr>
          <w:tab/>
        </w:r>
        <w:r w:rsidR="00EB6BA6" w:rsidRPr="001E2F6E">
          <w:rPr>
            <w:rFonts w:eastAsiaTheme="minorHAnsi" w:cstheme="minorBidi"/>
            <w:noProof/>
            <w:webHidden/>
            <w:sz w:val="16"/>
            <w:szCs w:val="16"/>
          </w:rPr>
          <w:fldChar w:fldCharType="begin"/>
        </w:r>
        <w:r w:rsidR="000728A0" w:rsidRPr="001E2F6E">
          <w:rPr>
            <w:rFonts w:eastAsiaTheme="minorHAnsi" w:cstheme="minorBidi"/>
            <w:noProof/>
            <w:webHidden/>
            <w:sz w:val="16"/>
            <w:szCs w:val="16"/>
          </w:rPr>
          <w:instrText xml:space="preserve"> PAGEREF _Toc392585823 \h </w:instrText>
        </w:r>
        <w:r w:rsidR="00EB6BA6" w:rsidRPr="001E2F6E">
          <w:rPr>
            <w:rFonts w:eastAsiaTheme="minorHAnsi" w:cstheme="minorBidi"/>
            <w:noProof/>
            <w:webHidden/>
            <w:sz w:val="16"/>
            <w:szCs w:val="16"/>
          </w:rPr>
        </w:r>
        <w:r w:rsidR="00EB6BA6" w:rsidRPr="001E2F6E">
          <w:rPr>
            <w:rFonts w:eastAsiaTheme="minorHAnsi" w:cstheme="minorBidi"/>
            <w:noProof/>
            <w:webHidden/>
            <w:sz w:val="16"/>
            <w:szCs w:val="16"/>
          </w:rPr>
          <w:fldChar w:fldCharType="separate"/>
        </w:r>
        <w:r>
          <w:rPr>
            <w:rFonts w:eastAsiaTheme="minorHAnsi" w:cstheme="minorBidi"/>
            <w:noProof/>
            <w:webHidden/>
            <w:sz w:val="16"/>
            <w:szCs w:val="16"/>
          </w:rPr>
          <w:t>59</w:t>
        </w:r>
        <w:r w:rsidR="00EB6BA6" w:rsidRPr="001E2F6E">
          <w:rPr>
            <w:rFonts w:eastAsiaTheme="minorHAnsi" w:cstheme="minorBidi"/>
            <w:noProof/>
            <w:webHidden/>
            <w:sz w:val="16"/>
            <w:szCs w:val="16"/>
          </w:rPr>
          <w:fldChar w:fldCharType="end"/>
        </w:r>
      </w:hyperlink>
    </w:p>
    <w:p w:rsidR="000728A0" w:rsidRPr="001E2F6E" w:rsidRDefault="00A327D4" w:rsidP="00B76DF2">
      <w:pPr>
        <w:pStyle w:val="Tabladeilustraciones"/>
        <w:tabs>
          <w:tab w:val="right" w:leader="dot" w:pos="9072"/>
        </w:tabs>
        <w:spacing w:line="240" w:lineRule="auto"/>
        <w:ind w:left="1134" w:hanging="1134"/>
        <w:rPr>
          <w:rFonts w:eastAsiaTheme="minorHAnsi" w:cstheme="minorBidi"/>
          <w:noProof/>
          <w:sz w:val="16"/>
          <w:szCs w:val="16"/>
        </w:rPr>
      </w:pPr>
      <w:hyperlink w:anchor="_Toc392585824" w:history="1">
        <w:r w:rsidR="000728A0" w:rsidRPr="001E2F6E">
          <w:rPr>
            <w:rFonts w:eastAsiaTheme="minorHAnsi" w:cstheme="minorBidi"/>
            <w:noProof/>
            <w:sz w:val="16"/>
            <w:szCs w:val="16"/>
          </w:rPr>
          <w:t xml:space="preserve">1.14 Irudia </w:t>
        </w:r>
        <w:r w:rsidR="00E84501" w:rsidRPr="001E2F6E">
          <w:rPr>
            <w:rFonts w:eastAsiaTheme="minorHAnsi" w:cstheme="minorBidi"/>
            <w:noProof/>
            <w:sz w:val="16"/>
            <w:szCs w:val="16"/>
          </w:rPr>
          <w:tab/>
        </w:r>
        <w:r w:rsidR="000728A0" w:rsidRPr="001E2F6E">
          <w:rPr>
            <w:rFonts w:eastAsiaTheme="minorHAnsi" w:cstheme="minorBidi"/>
            <w:noProof/>
            <w:sz w:val="16"/>
            <w:szCs w:val="16"/>
          </w:rPr>
          <w:t>KANPOKO MERKATUETARAKO IREKITZE-MAILAREN BILAKAERA (esportazioen bolumena fakturazio osoaren gainean). 1994-2012</w:t>
        </w:r>
        <w:r w:rsidR="000728A0" w:rsidRPr="001E2F6E">
          <w:rPr>
            <w:rFonts w:eastAsiaTheme="minorHAnsi" w:cstheme="minorBidi"/>
            <w:noProof/>
            <w:webHidden/>
            <w:sz w:val="16"/>
            <w:szCs w:val="16"/>
          </w:rPr>
          <w:tab/>
        </w:r>
        <w:r w:rsidR="00EB6BA6" w:rsidRPr="001E2F6E">
          <w:rPr>
            <w:rFonts w:eastAsiaTheme="minorHAnsi" w:cstheme="minorBidi"/>
            <w:noProof/>
            <w:webHidden/>
            <w:sz w:val="16"/>
            <w:szCs w:val="16"/>
          </w:rPr>
          <w:fldChar w:fldCharType="begin"/>
        </w:r>
        <w:r w:rsidR="000728A0" w:rsidRPr="001E2F6E">
          <w:rPr>
            <w:rFonts w:eastAsiaTheme="minorHAnsi" w:cstheme="minorBidi"/>
            <w:noProof/>
            <w:webHidden/>
            <w:sz w:val="16"/>
            <w:szCs w:val="16"/>
          </w:rPr>
          <w:instrText xml:space="preserve"> PAGEREF _Toc392585824 \h </w:instrText>
        </w:r>
        <w:r w:rsidR="00EB6BA6" w:rsidRPr="001E2F6E">
          <w:rPr>
            <w:rFonts w:eastAsiaTheme="minorHAnsi" w:cstheme="minorBidi"/>
            <w:noProof/>
            <w:webHidden/>
            <w:sz w:val="16"/>
            <w:szCs w:val="16"/>
          </w:rPr>
        </w:r>
        <w:r w:rsidR="00EB6BA6" w:rsidRPr="001E2F6E">
          <w:rPr>
            <w:rFonts w:eastAsiaTheme="minorHAnsi" w:cstheme="minorBidi"/>
            <w:noProof/>
            <w:webHidden/>
            <w:sz w:val="16"/>
            <w:szCs w:val="16"/>
          </w:rPr>
          <w:fldChar w:fldCharType="separate"/>
        </w:r>
        <w:r>
          <w:rPr>
            <w:rFonts w:eastAsiaTheme="minorHAnsi" w:cstheme="minorBidi"/>
            <w:noProof/>
            <w:webHidden/>
            <w:sz w:val="16"/>
            <w:szCs w:val="16"/>
          </w:rPr>
          <w:t>61</w:t>
        </w:r>
        <w:r w:rsidR="00EB6BA6" w:rsidRPr="001E2F6E">
          <w:rPr>
            <w:rFonts w:eastAsiaTheme="minorHAnsi" w:cstheme="minorBidi"/>
            <w:noProof/>
            <w:webHidden/>
            <w:sz w:val="16"/>
            <w:szCs w:val="16"/>
          </w:rPr>
          <w:fldChar w:fldCharType="end"/>
        </w:r>
      </w:hyperlink>
    </w:p>
    <w:p w:rsidR="000728A0" w:rsidRPr="001E2F6E" w:rsidRDefault="00A327D4" w:rsidP="00B76DF2">
      <w:pPr>
        <w:pStyle w:val="Tabladeilustraciones"/>
        <w:tabs>
          <w:tab w:val="right" w:leader="dot" w:pos="9072"/>
        </w:tabs>
        <w:spacing w:line="240" w:lineRule="auto"/>
        <w:ind w:left="1134" w:hanging="1134"/>
        <w:rPr>
          <w:rFonts w:eastAsiaTheme="minorHAnsi" w:cstheme="minorBidi"/>
          <w:noProof/>
          <w:sz w:val="16"/>
          <w:szCs w:val="16"/>
        </w:rPr>
      </w:pPr>
      <w:hyperlink w:anchor="_Toc392585825" w:history="1">
        <w:r w:rsidR="000728A0" w:rsidRPr="001E2F6E">
          <w:rPr>
            <w:rFonts w:eastAsiaTheme="minorHAnsi" w:cstheme="minorBidi"/>
            <w:noProof/>
            <w:sz w:val="16"/>
            <w:szCs w:val="16"/>
          </w:rPr>
          <w:t xml:space="preserve">1.15 Irudia </w:t>
        </w:r>
        <w:r w:rsidR="00E84501" w:rsidRPr="001E2F6E">
          <w:rPr>
            <w:rFonts w:eastAsiaTheme="minorHAnsi" w:cstheme="minorBidi"/>
            <w:noProof/>
            <w:sz w:val="16"/>
            <w:szCs w:val="16"/>
          </w:rPr>
          <w:tab/>
        </w:r>
        <w:r w:rsidR="000728A0" w:rsidRPr="001E2F6E">
          <w:rPr>
            <w:rFonts w:eastAsiaTheme="minorHAnsi" w:cstheme="minorBidi"/>
            <w:noProof/>
            <w:sz w:val="16"/>
            <w:szCs w:val="16"/>
          </w:rPr>
          <w:t>ESPORTAZIOEK ENPRESA ESPORTATZAILEEN FAKTURAZIO OSOAREN GAINEAN DUTEN PISU ERLATIBOAREN BILAKAERA. 2012</w:t>
        </w:r>
        <w:r w:rsidR="000728A0" w:rsidRPr="001E2F6E">
          <w:rPr>
            <w:rFonts w:eastAsiaTheme="minorHAnsi" w:cstheme="minorBidi"/>
            <w:noProof/>
            <w:webHidden/>
            <w:sz w:val="16"/>
            <w:szCs w:val="16"/>
          </w:rPr>
          <w:tab/>
        </w:r>
        <w:r w:rsidR="00EB6BA6" w:rsidRPr="001E2F6E">
          <w:rPr>
            <w:rFonts w:eastAsiaTheme="minorHAnsi" w:cstheme="minorBidi"/>
            <w:noProof/>
            <w:webHidden/>
            <w:sz w:val="16"/>
            <w:szCs w:val="16"/>
          </w:rPr>
          <w:fldChar w:fldCharType="begin"/>
        </w:r>
        <w:r w:rsidR="000728A0" w:rsidRPr="001E2F6E">
          <w:rPr>
            <w:rFonts w:eastAsiaTheme="minorHAnsi" w:cstheme="minorBidi"/>
            <w:noProof/>
            <w:webHidden/>
            <w:sz w:val="16"/>
            <w:szCs w:val="16"/>
          </w:rPr>
          <w:instrText xml:space="preserve"> PAGEREF _Toc392585825 \h </w:instrText>
        </w:r>
        <w:r w:rsidR="00EB6BA6" w:rsidRPr="001E2F6E">
          <w:rPr>
            <w:rFonts w:eastAsiaTheme="minorHAnsi" w:cstheme="minorBidi"/>
            <w:noProof/>
            <w:webHidden/>
            <w:sz w:val="16"/>
            <w:szCs w:val="16"/>
          </w:rPr>
        </w:r>
        <w:r w:rsidR="00EB6BA6" w:rsidRPr="001E2F6E">
          <w:rPr>
            <w:rFonts w:eastAsiaTheme="minorHAnsi" w:cstheme="minorBidi"/>
            <w:noProof/>
            <w:webHidden/>
            <w:sz w:val="16"/>
            <w:szCs w:val="16"/>
          </w:rPr>
          <w:fldChar w:fldCharType="separate"/>
        </w:r>
        <w:r>
          <w:rPr>
            <w:rFonts w:eastAsiaTheme="minorHAnsi" w:cstheme="minorBidi"/>
            <w:noProof/>
            <w:webHidden/>
            <w:sz w:val="16"/>
            <w:szCs w:val="16"/>
          </w:rPr>
          <w:t>61</w:t>
        </w:r>
        <w:r w:rsidR="00EB6BA6" w:rsidRPr="001E2F6E">
          <w:rPr>
            <w:rFonts w:eastAsiaTheme="minorHAnsi" w:cstheme="minorBidi"/>
            <w:noProof/>
            <w:webHidden/>
            <w:sz w:val="16"/>
            <w:szCs w:val="16"/>
          </w:rPr>
          <w:fldChar w:fldCharType="end"/>
        </w:r>
      </w:hyperlink>
    </w:p>
    <w:p w:rsidR="000728A0" w:rsidRPr="001E2F6E" w:rsidRDefault="00A327D4" w:rsidP="00B76DF2">
      <w:pPr>
        <w:pStyle w:val="Tabladeilustraciones"/>
        <w:tabs>
          <w:tab w:val="right" w:leader="dot" w:pos="9072"/>
        </w:tabs>
        <w:spacing w:line="240" w:lineRule="auto"/>
        <w:ind w:left="1134" w:hanging="1134"/>
        <w:rPr>
          <w:rFonts w:eastAsiaTheme="minorHAnsi" w:cstheme="minorBidi"/>
          <w:noProof/>
          <w:sz w:val="16"/>
          <w:szCs w:val="16"/>
        </w:rPr>
      </w:pPr>
      <w:hyperlink w:anchor="_Toc392585826" w:history="1">
        <w:r w:rsidR="000728A0" w:rsidRPr="001E2F6E">
          <w:rPr>
            <w:rFonts w:cstheme="minorBidi"/>
            <w:noProof/>
            <w:sz w:val="16"/>
            <w:szCs w:val="16"/>
          </w:rPr>
          <w:t xml:space="preserve">1.16 Irudia </w:t>
        </w:r>
        <w:r w:rsidR="00E84501" w:rsidRPr="001E2F6E">
          <w:rPr>
            <w:rFonts w:cstheme="minorBidi"/>
            <w:noProof/>
            <w:sz w:val="16"/>
            <w:szCs w:val="16"/>
          </w:rPr>
          <w:tab/>
        </w:r>
        <w:r w:rsidR="000728A0" w:rsidRPr="001E2F6E">
          <w:rPr>
            <w:rFonts w:eastAsiaTheme="minorHAnsi" w:cstheme="minorBidi"/>
            <w:noProof/>
            <w:sz w:val="16"/>
            <w:szCs w:val="16"/>
          </w:rPr>
          <w:t>GIZARTE-EKONOMIAREN ALORREKO ENPRESEN ESPORTAZIOEN NORAKOA. 2012</w:t>
        </w:r>
        <w:r w:rsidR="000728A0" w:rsidRPr="001E2F6E">
          <w:rPr>
            <w:rFonts w:eastAsiaTheme="minorHAnsi" w:cstheme="minorBidi"/>
            <w:noProof/>
            <w:webHidden/>
            <w:sz w:val="16"/>
            <w:szCs w:val="16"/>
          </w:rPr>
          <w:tab/>
        </w:r>
        <w:r w:rsidR="00EB6BA6" w:rsidRPr="001E2F6E">
          <w:rPr>
            <w:rFonts w:eastAsiaTheme="minorHAnsi" w:cstheme="minorBidi"/>
            <w:noProof/>
            <w:webHidden/>
            <w:sz w:val="16"/>
            <w:szCs w:val="16"/>
          </w:rPr>
          <w:fldChar w:fldCharType="begin"/>
        </w:r>
        <w:r w:rsidR="000728A0" w:rsidRPr="001E2F6E">
          <w:rPr>
            <w:rFonts w:eastAsiaTheme="minorHAnsi" w:cstheme="minorBidi"/>
            <w:noProof/>
            <w:webHidden/>
            <w:sz w:val="16"/>
            <w:szCs w:val="16"/>
          </w:rPr>
          <w:instrText xml:space="preserve"> PAGEREF _Toc392585826 \h </w:instrText>
        </w:r>
        <w:r w:rsidR="00EB6BA6" w:rsidRPr="001E2F6E">
          <w:rPr>
            <w:rFonts w:eastAsiaTheme="minorHAnsi" w:cstheme="minorBidi"/>
            <w:noProof/>
            <w:webHidden/>
            <w:sz w:val="16"/>
            <w:szCs w:val="16"/>
          </w:rPr>
        </w:r>
        <w:r w:rsidR="00EB6BA6" w:rsidRPr="001E2F6E">
          <w:rPr>
            <w:rFonts w:eastAsiaTheme="minorHAnsi" w:cstheme="minorBidi"/>
            <w:noProof/>
            <w:webHidden/>
            <w:sz w:val="16"/>
            <w:szCs w:val="16"/>
          </w:rPr>
          <w:fldChar w:fldCharType="separate"/>
        </w:r>
        <w:r>
          <w:rPr>
            <w:rFonts w:eastAsiaTheme="minorHAnsi" w:cstheme="minorBidi"/>
            <w:noProof/>
            <w:webHidden/>
            <w:sz w:val="16"/>
            <w:szCs w:val="16"/>
          </w:rPr>
          <w:t>61</w:t>
        </w:r>
        <w:r w:rsidR="00EB6BA6" w:rsidRPr="001E2F6E">
          <w:rPr>
            <w:rFonts w:eastAsiaTheme="minorHAnsi" w:cstheme="minorBidi"/>
            <w:noProof/>
            <w:webHidden/>
            <w:sz w:val="16"/>
            <w:szCs w:val="16"/>
          </w:rPr>
          <w:fldChar w:fldCharType="end"/>
        </w:r>
      </w:hyperlink>
    </w:p>
    <w:p w:rsidR="000728A0" w:rsidRPr="001E2F6E" w:rsidRDefault="00A327D4" w:rsidP="00B76DF2">
      <w:pPr>
        <w:pStyle w:val="Tabladeilustraciones"/>
        <w:tabs>
          <w:tab w:val="right" w:leader="dot" w:pos="9072"/>
        </w:tabs>
        <w:spacing w:line="240" w:lineRule="auto"/>
        <w:ind w:left="1134" w:hanging="1134"/>
        <w:rPr>
          <w:rFonts w:eastAsiaTheme="minorHAnsi" w:cstheme="minorBidi"/>
          <w:noProof/>
          <w:sz w:val="16"/>
          <w:szCs w:val="16"/>
        </w:rPr>
      </w:pPr>
      <w:hyperlink w:anchor="_Toc392585827" w:history="1">
        <w:r w:rsidR="000728A0" w:rsidRPr="001E2F6E">
          <w:rPr>
            <w:rFonts w:eastAsiaTheme="minorHAnsi" w:cstheme="minorBidi"/>
            <w:noProof/>
            <w:sz w:val="16"/>
            <w:szCs w:val="16"/>
          </w:rPr>
          <w:t xml:space="preserve">1.17 Irudia </w:t>
        </w:r>
        <w:r w:rsidR="00E84501" w:rsidRPr="001E2F6E">
          <w:rPr>
            <w:rFonts w:eastAsiaTheme="minorHAnsi" w:cstheme="minorBidi"/>
            <w:noProof/>
            <w:sz w:val="16"/>
            <w:szCs w:val="16"/>
          </w:rPr>
          <w:tab/>
        </w:r>
        <w:r w:rsidR="000728A0" w:rsidRPr="001E2F6E">
          <w:rPr>
            <w:rFonts w:eastAsiaTheme="minorHAnsi" w:cstheme="minorBidi"/>
            <w:noProof/>
            <w:sz w:val="16"/>
            <w:szCs w:val="16"/>
          </w:rPr>
          <w:t>ESPORTAZIOEN PISU ERLATIBOAREN KONPARATIBA FAKTURAZIOARI DAGOKIONEZ. 2008-2012. (esportazioen %, fakturazioaren arabera)</w:t>
        </w:r>
        <w:r w:rsidR="000728A0" w:rsidRPr="001E2F6E">
          <w:rPr>
            <w:rFonts w:eastAsiaTheme="minorHAnsi" w:cstheme="minorBidi"/>
            <w:noProof/>
            <w:webHidden/>
            <w:sz w:val="16"/>
            <w:szCs w:val="16"/>
          </w:rPr>
          <w:tab/>
        </w:r>
        <w:r w:rsidR="00EB6BA6" w:rsidRPr="001E2F6E">
          <w:rPr>
            <w:rFonts w:eastAsiaTheme="minorHAnsi" w:cstheme="minorBidi"/>
            <w:noProof/>
            <w:webHidden/>
            <w:sz w:val="16"/>
            <w:szCs w:val="16"/>
          </w:rPr>
          <w:fldChar w:fldCharType="begin"/>
        </w:r>
        <w:r w:rsidR="000728A0" w:rsidRPr="001E2F6E">
          <w:rPr>
            <w:rFonts w:eastAsiaTheme="minorHAnsi" w:cstheme="minorBidi"/>
            <w:noProof/>
            <w:webHidden/>
            <w:sz w:val="16"/>
            <w:szCs w:val="16"/>
          </w:rPr>
          <w:instrText xml:space="preserve"> PAGEREF _Toc392585827 \h </w:instrText>
        </w:r>
        <w:r w:rsidR="00EB6BA6" w:rsidRPr="001E2F6E">
          <w:rPr>
            <w:rFonts w:eastAsiaTheme="minorHAnsi" w:cstheme="minorBidi"/>
            <w:noProof/>
            <w:webHidden/>
            <w:sz w:val="16"/>
            <w:szCs w:val="16"/>
          </w:rPr>
        </w:r>
        <w:r w:rsidR="00EB6BA6" w:rsidRPr="001E2F6E">
          <w:rPr>
            <w:rFonts w:eastAsiaTheme="minorHAnsi" w:cstheme="minorBidi"/>
            <w:noProof/>
            <w:webHidden/>
            <w:sz w:val="16"/>
            <w:szCs w:val="16"/>
          </w:rPr>
          <w:fldChar w:fldCharType="separate"/>
        </w:r>
        <w:r>
          <w:rPr>
            <w:rFonts w:eastAsiaTheme="minorHAnsi" w:cstheme="minorBidi"/>
            <w:noProof/>
            <w:webHidden/>
            <w:sz w:val="16"/>
            <w:szCs w:val="16"/>
          </w:rPr>
          <w:t>63</w:t>
        </w:r>
        <w:r w:rsidR="00EB6BA6" w:rsidRPr="001E2F6E">
          <w:rPr>
            <w:rFonts w:eastAsiaTheme="minorHAnsi" w:cstheme="minorBidi"/>
            <w:noProof/>
            <w:webHidden/>
            <w:sz w:val="16"/>
            <w:szCs w:val="16"/>
          </w:rPr>
          <w:fldChar w:fldCharType="end"/>
        </w:r>
      </w:hyperlink>
    </w:p>
    <w:p w:rsidR="000728A0" w:rsidRPr="001E2F6E" w:rsidRDefault="00A327D4" w:rsidP="00B76DF2">
      <w:pPr>
        <w:pStyle w:val="Tabladeilustraciones"/>
        <w:tabs>
          <w:tab w:val="right" w:leader="dot" w:pos="9072"/>
        </w:tabs>
        <w:spacing w:line="240" w:lineRule="auto"/>
        <w:ind w:left="1134" w:hanging="1134"/>
        <w:rPr>
          <w:rFonts w:eastAsiaTheme="minorHAnsi" w:cstheme="minorBidi"/>
          <w:noProof/>
          <w:sz w:val="16"/>
          <w:szCs w:val="16"/>
        </w:rPr>
      </w:pPr>
      <w:hyperlink w:anchor="_Toc392585828" w:history="1">
        <w:r w:rsidR="000728A0" w:rsidRPr="001E2F6E">
          <w:rPr>
            <w:rFonts w:eastAsiaTheme="minorHAnsi" w:cstheme="minorBidi"/>
            <w:noProof/>
            <w:sz w:val="16"/>
            <w:szCs w:val="16"/>
          </w:rPr>
          <w:t xml:space="preserve">1.18 Irudia </w:t>
        </w:r>
        <w:r w:rsidR="00E84501" w:rsidRPr="001E2F6E">
          <w:rPr>
            <w:rFonts w:eastAsiaTheme="minorHAnsi" w:cstheme="minorBidi"/>
            <w:noProof/>
            <w:sz w:val="16"/>
            <w:szCs w:val="16"/>
          </w:rPr>
          <w:tab/>
        </w:r>
        <w:r w:rsidR="000728A0" w:rsidRPr="001E2F6E">
          <w:rPr>
            <w:rFonts w:eastAsiaTheme="minorHAnsi" w:cstheme="minorBidi"/>
            <w:noProof/>
            <w:sz w:val="16"/>
            <w:szCs w:val="16"/>
          </w:rPr>
          <w:t>GIZARTE-EKONOMIAREN ENPRESEN ESPORTAZIOEN JATORRIZKO LURRALDEA. 2012 (esportazioen bolumen osoaren %, jatorrizko Lurralde Historikoaren arabera)</w:t>
        </w:r>
        <w:r w:rsidR="000728A0" w:rsidRPr="001E2F6E">
          <w:rPr>
            <w:rFonts w:eastAsiaTheme="minorHAnsi" w:cstheme="minorBidi"/>
            <w:noProof/>
            <w:webHidden/>
            <w:sz w:val="16"/>
            <w:szCs w:val="16"/>
          </w:rPr>
          <w:tab/>
        </w:r>
        <w:r w:rsidR="00EB6BA6" w:rsidRPr="001E2F6E">
          <w:rPr>
            <w:rFonts w:eastAsiaTheme="minorHAnsi" w:cstheme="minorBidi"/>
            <w:noProof/>
            <w:webHidden/>
            <w:sz w:val="16"/>
            <w:szCs w:val="16"/>
          </w:rPr>
          <w:fldChar w:fldCharType="begin"/>
        </w:r>
        <w:r w:rsidR="000728A0" w:rsidRPr="001E2F6E">
          <w:rPr>
            <w:rFonts w:eastAsiaTheme="minorHAnsi" w:cstheme="minorBidi"/>
            <w:noProof/>
            <w:webHidden/>
            <w:sz w:val="16"/>
            <w:szCs w:val="16"/>
          </w:rPr>
          <w:instrText xml:space="preserve"> PAGEREF _Toc392585828 \h </w:instrText>
        </w:r>
        <w:r w:rsidR="00EB6BA6" w:rsidRPr="001E2F6E">
          <w:rPr>
            <w:rFonts w:eastAsiaTheme="minorHAnsi" w:cstheme="minorBidi"/>
            <w:noProof/>
            <w:webHidden/>
            <w:sz w:val="16"/>
            <w:szCs w:val="16"/>
          </w:rPr>
        </w:r>
        <w:r w:rsidR="00EB6BA6" w:rsidRPr="001E2F6E">
          <w:rPr>
            <w:rFonts w:eastAsiaTheme="minorHAnsi" w:cstheme="minorBidi"/>
            <w:noProof/>
            <w:webHidden/>
            <w:sz w:val="16"/>
            <w:szCs w:val="16"/>
          </w:rPr>
          <w:fldChar w:fldCharType="separate"/>
        </w:r>
        <w:r>
          <w:rPr>
            <w:rFonts w:eastAsiaTheme="minorHAnsi" w:cstheme="minorBidi"/>
            <w:noProof/>
            <w:webHidden/>
            <w:sz w:val="16"/>
            <w:szCs w:val="16"/>
          </w:rPr>
          <w:t>64</w:t>
        </w:r>
        <w:r w:rsidR="00EB6BA6" w:rsidRPr="001E2F6E">
          <w:rPr>
            <w:rFonts w:eastAsiaTheme="minorHAnsi" w:cstheme="minorBidi"/>
            <w:noProof/>
            <w:webHidden/>
            <w:sz w:val="16"/>
            <w:szCs w:val="16"/>
          </w:rPr>
          <w:fldChar w:fldCharType="end"/>
        </w:r>
      </w:hyperlink>
    </w:p>
    <w:p w:rsidR="000728A0" w:rsidRPr="001E2F6E" w:rsidRDefault="00A327D4" w:rsidP="00B76DF2">
      <w:pPr>
        <w:pStyle w:val="Tabladeilustraciones"/>
        <w:tabs>
          <w:tab w:val="right" w:leader="dot" w:pos="9072"/>
        </w:tabs>
        <w:spacing w:line="240" w:lineRule="auto"/>
        <w:ind w:left="1134" w:hanging="1134"/>
        <w:rPr>
          <w:rFonts w:eastAsiaTheme="minorHAnsi" w:cstheme="minorBidi"/>
          <w:noProof/>
          <w:sz w:val="16"/>
          <w:szCs w:val="16"/>
        </w:rPr>
      </w:pPr>
      <w:hyperlink w:anchor="_Toc392585829" w:history="1">
        <w:r w:rsidR="000728A0" w:rsidRPr="001E2F6E">
          <w:rPr>
            <w:rFonts w:eastAsiaTheme="minorHAnsi" w:cstheme="minorBidi"/>
            <w:noProof/>
            <w:sz w:val="16"/>
            <w:szCs w:val="16"/>
          </w:rPr>
          <w:t xml:space="preserve">1.19 Irudia </w:t>
        </w:r>
        <w:r w:rsidR="00E84501" w:rsidRPr="001E2F6E">
          <w:rPr>
            <w:rFonts w:eastAsiaTheme="minorHAnsi" w:cstheme="minorBidi"/>
            <w:noProof/>
            <w:sz w:val="16"/>
            <w:szCs w:val="16"/>
          </w:rPr>
          <w:tab/>
        </w:r>
        <w:r w:rsidR="000728A0" w:rsidRPr="001E2F6E">
          <w:rPr>
            <w:rFonts w:eastAsiaTheme="minorHAnsi" w:cstheme="minorBidi"/>
            <w:noProof/>
            <w:sz w:val="16"/>
            <w:szCs w:val="16"/>
          </w:rPr>
          <w:t>BATEZ BESTEKO FUNTS PROPIOAK, ESTABLEZIMENDUAREN ETA JARDUERA-SEKTOREAREN ARABERA (Euroan). 2012</w:t>
        </w:r>
        <w:r w:rsidR="000728A0" w:rsidRPr="001E2F6E">
          <w:rPr>
            <w:rFonts w:eastAsiaTheme="minorHAnsi" w:cstheme="minorBidi"/>
            <w:noProof/>
            <w:webHidden/>
            <w:sz w:val="16"/>
            <w:szCs w:val="16"/>
          </w:rPr>
          <w:tab/>
        </w:r>
        <w:r w:rsidR="00EB6BA6" w:rsidRPr="001E2F6E">
          <w:rPr>
            <w:rFonts w:eastAsiaTheme="minorHAnsi" w:cstheme="minorBidi"/>
            <w:noProof/>
            <w:webHidden/>
            <w:sz w:val="16"/>
            <w:szCs w:val="16"/>
          </w:rPr>
          <w:fldChar w:fldCharType="begin"/>
        </w:r>
        <w:r w:rsidR="000728A0" w:rsidRPr="001E2F6E">
          <w:rPr>
            <w:rFonts w:eastAsiaTheme="minorHAnsi" w:cstheme="minorBidi"/>
            <w:noProof/>
            <w:webHidden/>
            <w:sz w:val="16"/>
            <w:szCs w:val="16"/>
          </w:rPr>
          <w:instrText xml:space="preserve"> PAGEREF _Toc392585829 \h </w:instrText>
        </w:r>
        <w:r w:rsidR="00EB6BA6" w:rsidRPr="001E2F6E">
          <w:rPr>
            <w:rFonts w:eastAsiaTheme="minorHAnsi" w:cstheme="minorBidi"/>
            <w:noProof/>
            <w:webHidden/>
            <w:sz w:val="16"/>
            <w:szCs w:val="16"/>
          </w:rPr>
        </w:r>
        <w:r w:rsidR="00EB6BA6" w:rsidRPr="001E2F6E">
          <w:rPr>
            <w:rFonts w:eastAsiaTheme="minorHAnsi" w:cstheme="minorBidi"/>
            <w:noProof/>
            <w:webHidden/>
            <w:sz w:val="16"/>
            <w:szCs w:val="16"/>
          </w:rPr>
          <w:fldChar w:fldCharType="separate"/>
        </w:r>
        <w:r>
          <w:rPr>
            <w:rFonts w:eastAsiaTheme="minorHAnsi" w:cstheme="minorBidi"/>
            <w:noProof/>
            <w:webHidden/>
            <w:sz w:val="16"/>
            <w:szCs w:val="16"/>
          </w:rPr>
          <w:t>65</w:t>
        </w:r>
        <w:r w:rsidR="00EB6BA6" w:rsidRPr="001E2F6E">
          <w:rPr>
            <w:rFonts w:eastAsiaTheme="minorHAnsi" w:cstheme="minorBidi"/>
            <w:noProof/>
            <w:webHidden/>
            <w:sz w:val="16"/>
            <w:szCs w:val="16"/>
          </w:rPr>
          <w:fldChar w:fldCharType="end"/>
        </w:r>
      </w:hyperlink>
    </w:p>
    <w:p w:rsidR="00195BE7" w:rsidRPr="001E2F6E" w:rsidRDefault="00EB6BA6" w:rsidP="00195BE7">
      <w:pPr>
        <w:pStyle w:val="Tabladeilustraciones"/>
        <w:tabs>
          <w:tab w:val="right" w:leader="dot" w:pos="9072"/>
        </w:tabs>
        <w:spacing w:line="240" w:lineRule="auto"/>
        <w:ind w:left="1134" w:hanging="1134"/>
        <w:rPr>
          <w:rStyle w:val="Hipervnculo"/>
          <w:noProof/>
          <w:sz w:val="16"/>
          <w:szCs w:val="16"/>
        </w:rPr>
      </w:pPr>
      <w:r w:rsidRPr="001E2F6E">
        <w:rPr>
          <w:rFonts w:eastAsiaTheme="minorHAnsi" w:cstheme="minorBidi"/>
          <w:sz w:val="16"/>
          <w:szCs w:val="16"/>
        </w:rPr>
        <w:fldChar w:fldCharType="end"/>
      </w:r>
    </w:p>
    <w:p w:rsidR="00B76DF2" w:rsidRPr="001E2F6E" w:rsidRDefault="00A327D4" w:rsidP="00B76DF2">
      <w:pPr>
        <w:pStyle w:val="TDC1"/>
        <w:tabs>
          <w:tab w:val="left" w:pos="426"/>
          <w:tab w:val="left" w:pos="851"/>
          <w:tab w:val="left" w:pos="1276"/>
          <w:tab w:val="right" w:leader="dot" w:pos="9072"/>
        </w:tabs>
        <w:spacing w:after="0" w:line="240" w:lineRule="auto"/>
        <w:rPr>
          <w:rStyle w:val="Hipervnculo"/>
          <w:rFonts w:eastAsiaTheme="minorHAnsi" w:cs="Arial"/>
          <w:b/>
          <w:color w:val="auto"/>
          <w:u w:val="none"/>
        </w:rPr>
      </w:pPr>
      <w:hyperlink w:anchor="_Toc392585688" w:history="1">
        <w:r w:rsidR="00B76DF2" w:rsidRPr="001E2F6E">
          <w:rPr>
            <w:rStyle w:val="Hipervnculo"/>
            <w:rFonts w:eastAsiaTheme="minorHAnsi" w:cs="Arial"/>
            <w:b/>
            <w:noProof/>
            <w:color w:val="auto"/>
            <w:sz w:val="18"/>
            <w:szCs w:val="18"/>
            <w:u w:val="none"/>
          </w:rPr>
          <w:t xml:space="preserve">II.- </w:t>
        </w:r>
        <w:r w:rsidR="00B76DF2" w:rsidRPr="001E2F6E">
          <w:rPr>
            <w:rStyle w:val="Hipervnculo"/>
            <w:rFonts w:eastAsiaTheme="minorHAnsi" w:cs="Arial"/>
            <w:b/>
            <w:color w:val="auto"/>
            <w:u w:val="none"/>
          </w:rPr>
          <w:tab/>
        </w:r>
        <w:r w:rsidR="00B76DF2" w:rsidRPr="001E2F6E">
          <w:rPr>
            <w:rStyle w:val="Hipervnculo"/>
            <w:rFonts w:eastAsiaTheme="minorHAnsi" w:cs="Arial"/>
            <w:b/>
            <w:noProof/>
            <w:color w:val="auto"/>
            <w:sz w:val="18"/>
            <w:szCs w:val="18"/>
            <w:u w:val="none"/>
          </w:rPr>
          <w:t>GIZARTE-EKONOMIAREN KONTUEN AURRERAPENA 2013</w:t>
        </w:r>
        <w:r w:rsidR="00B76DF2" w:rsidRPr="001E2F6E">
          <w:rPr>
            <w:rStyle w:val="Hipervnculo"/>
            <w:rFonts w:eastAsiaTheme="minorHAnsi" w:cs="Arial"/>
            <w:b/>
            <w:webHidden/>
            <w:color w:val="auto"/>
            <w:u w:val="none"/>
          </w:rPr>
          <w:tab/>
        </w:r>
        <w:r w:rsidR="00EB6BA6" w:rsidRPr="001E2F6E">
          <w:rPr>
            <w:rStyle w:val="Hipervnculo"/>
            <w:rFonts w:eastAsiaTheme="minorHAnsi" w:cs="Arial"/>
            <w:b/>
            <w:webHidden/>
            <w:color w:val="auto"/>
            <w:u w:val="none"/>
          </w:rPr>
          <w:fldChar w:fldCharType="begin"/>
        </w:r>
        <w:r w:rsidR="00B76DF2" w:rsidRPr="001E2F6E">
          <w:rPr>
            <w:rStyle w:val="Hipervnculo"/>
            <w:rFonts w:eastAsiaTheme="minorHAnsi" w:cs="Arial"/>
            <w:b/>
            <w:webHidden/>
            <w:color w:val="auto"/>
            <w:u w:val="none"/>
          </w:rPr>
          <w:instrText xml:space="preserve"> PAGEREF _Toc392585688 \h </w:instrText>
        </w:r>
        <w:r w:rsidR="00EB6BA6" w:rsidRPr="001E2F6E">
          <w:rPr>
            <w:rStyle w:val="Hipervnculo"/>
            <w:rFonts w:eastAsiaTheme="minorHAnsi" w:cs="Arial"/>
            <w:b/>
            <w:webHidden/>
            <w:color w:val="auto"/>
            <w:u w:val="none"/>
          </w:rPr>
        </w:r>
        <w:r w:rsidR="00EB6BA6" w:rsidRPr="001E2F6E">
          <w:rPr>
            <w:rStyle w:val="Hipervnculo"/>
            <w:rFonts w:eastAsiaTheme="minorHAnsi" w:cs="Arial"/>
            <w:b/>
            <w:webHidden/>
            <w:color w:val="auto"/>
            <w:u w:val="none"/>
          </w:rPr>
          <w:fldChar w:fldCharType="separate"/>
        </w:r>
        <w:r>
          <w:rPr>
            <w:rStyle w:val="Hipervnculo"/>
            <w:rFonts w:eastAsiaTheme="minorHAnsi" w:cs="Arial"/>
            <w:b/>
            <w:noProof/>
            <w:webHidden/>
            <w:color w:val="auto"/>
            <w:u w:val="none"/>
          </w:rPr>
          <w:t>72</w:t>
        </w:r>
        <w:r w:rsidR="00EB6BA6" w:rsidRPr="001E2F6E">
          <w:rPr>
            <w:rStyle w:val="Hipervnculo"/>
            <w:rFonts w:eastAsiaTheme="minorHAnsi" w:cs="Arial"/>
            <w:b/>
            <w:webHidden/>
            <w:color w:val="auto"/>
            <w:u w:val="none"/>
          </w:rPr>
          <w:fldChar w:fldCharType="end"/>
        </w:r>
      </w:hyperlink>
    </w:p>
    <w:p w:rsidR="00195BE7" w:rsidRPr="001E2F6E" w:rsidRDefault="00195BE7" w:rsidP="00195BE7">
      <w:pPr>
        <w:pStyle w:val="Tabladeilustraciones"/>
        <w:tabs>
          <w:tab w:val="right" w:leader="dot" w:pos="9072"/>
        </w:tabs>
        <w:spacing w:line="240" w:lineRule="auto"/>
        <w:ind w:left="1134" w:hanging="1134"/>
        <w:rPr>
          <w:rStyle w:val="Hipervnculo"/>
          <w:noProof/>
          <w:sz w:val="16"/>
          <w:szCs w:val="16"/>
        </w:rPr>
      </w:pPr>
    </w:p>
    <w:p w:rsidR="000728A0" w:rsidRPr="001E2F6E" w:rsidRDefault="00EB6BA6" w:rsidP="00E84501">
      <w:pPr>
        <w:pStyle w:val="Tabladeilustraciones"/>
        <w:tabs>
          <w:tab w:val="right" w:leader="dot" w:pos="9072"/>
        </w:tabs>
        <w:spacing w:line="240" w:lineRule="auto"/>
        <w:ind w:left="1134" w:hanging="1134"/>
        <w:rPr>
          <w:rFonts w:eastAsiaTheme="minorHAnsi" w:cstheme="minorBidi"/>
          <w:noProof/>
          <w:sz w:val="16"/>
          <w:szCs w:val="16"/>
        </w:rPr>
      </w:pPr>
      <w:r w:rsidRPr="001E2F6E">
        <w:rPr>
          <w:rFonts w:eastAsiaTheme="minorHAnsi" w:cstheme="minorBidi"/>
        </w:rPr>
        <w:fldChar w:fldCharType="begin"/>
      </w:r>
      <w:r w:rsidR="00195BE7" w:rsidRPr="001E2F6E">
        <w:rPr>
          <w:rFonts w:eastAsiaTheme="minorHAnsi" w:cstheme="minorBidi"/>
        </w:rPr>
        <w:instrText xml:space="preserve"> TOC \h \z \c "Cuadro 2." </w:instrText>
      </w:r>
      <w:r w:rsidRPr="001E2F6E">
        <w:rPr>
          <w:rFonts w:eastAsiaTheme="minorHAnsi" w:cstheme="minorBidi"/>
        </w:rPr>
        <w:fldChar w:fldCharType="separate"/>
      </w:r>
      <w:hyperlink w:anchor="_Toc392585830" w:history="1">
        <w:r w:rsidR="000728A0" w:rsidRPr="001E2F6E">
          <w:rPr>
            <w:rFonts w:eastAsiaTheme="minorHAnsi" w:cstheme="minorBidi"/>
            <w:noProof/>
            <w:sz w:val="16"/>
            <w:szCs w:val="16"/>
          </w:rPr>
          <w:t xml:space="preserve">2.1 Taula </w:t>
        </w:r>
        <w:r w:rsidR="00E84501" w:rsidRPr="001E2F6E">
          <w:rPr>
            <w:rFonts w:eastAsiaTheme="minorHAnsi" w:cstheme="minorBidi"/>
            <w:noProof/>
            <w:sz w:val="16"/>
            <w:szCs w:val="16"/>
          </w:rPr>
          <w:tab/>
        </w:r>
        <w:r w:rsidR="000728A0" w:rsidRPr="001E2F6E">
          <w:rPr>
            <w:rFonts w:eastAsiaTheme="minorHAnsi" w:cstheme="minorBidi"/>
            <w:noProof/>
            <w:sz w:val="16"/>
            <w:szCs w:val="16"/>
          </w:rPr>
          <w:t>JARDUERA SEKTOREAREN ARABERAKO AZTERKETA. AURREIKUSITAKO ENPLEGUAREN ETA FAKTURAZIOAREN BILAKAERA. 2012-2013</w:t>
        </w:r>
        <w:r w:rsidR="000728A0" w:rsidRPr="001E2F6E">
          <w:rPr>
            <w:rFonts w:eastAsiaTheme="minorHAnsi" w:cstheme="minorBidi"/>
            <w:noProof/>
            <w:webHidden/>
            <w:sz w:val="16"/>
            <w:szCs w:val="16"/>
          </w:rPr>
          <w:tab/>
        </w:r>
        <w:r w:rsidRPr="001E2F6E">
          <w:rPr>
            <w:rFonts w:eastAsiaTheme="minorHAnsi" w:cstheme="minorBidi"/>
            <w:noProof/>
            <w:webHidden/>
            <w:sz w:val="16"/>
            <w:szCs w:val="16"/>
          </w:rPr>
          <w:fldChar w:fldCharType="begin"/>
        </w:r>
        <w:r w:rsidR="000728A0" w:rsidRPr="001E2F6E">
          <w:rPr>
            <w:rFonts w:eastAsiaTheme="minorHAnsi" w:cstheme="minorBidi"/>
            <w:noProof/>
            <w:webHidden/>
            <w:sz w:val="16"/>
            <w:szCs w:val="16"/>
          </w:rPr>
          <w:instrText xml:space="preserve"> PAGEREF _Toc392585830 \h </w:instrText>
        </w:r>
        <w:r w:rsidRPr="001E2F6E">
          <w:rPr>
            <w:rFonts w:eastAsiaTheme="minorHAnsi" w:cstheme="minorBidi"/>
            <w:noProof/>
            <w:webHidden/>
            <w:sz w:val="16"/>
            <w:szCs w:val="16"/>
          </w:rPr>
        </w:r>
        <w:r w:rsidRPr="001E2F6E">
          <w:rPr>
            <w:rFonts w:eastAsiaTheme="minorHAnsi" w:cstheme="minorBidi"/>
            <w:noProof/>
            <w:webHidden/>
            <w:sz w:val="16"/>
            <w:szCs w:val="16"/>
          </w:rPr>
          <w:fldChar w:fldCharType="separate"/>
        </w:r>
        <w:r w:rsidR="00A327D4">
          <w:rPr>
            <w:rFonts w:eastAsiaTheme="minorHAnsi" w:cstheme="minorBidi"/>
            <w:noProof/>
            <w:webHidden/>
            <w:sz w:val="16"/>
            <w:szCs w:val="16"/>
          </w:rPr>
          <w:t>72</w:t>
        </w:r>
        <w:r w:rsidRPr="001E2F6E">
          <w:rPr>
            <w:rFonts w:eastAsiaTheme="minorHAnsi" w:cstheme="minorBidi"/>
            <w:noProof/>
            <w:webHidden/>
            <w:sz w:val="16"/>
            <w:szCs w:val="16"/>
          </w:rPr>
          <w:fldChar w:fldCharType="end"/>
        </w:r>
      </w:hyperlink>
    </w:p>
    <w:p w:rsidR="000728A0" w:rsidRPr="001E2F6E" w:rsidRDefault="00A327D4" w:rsidP="00E84501">
      <w:pPr>
        <w:pStyle w:val="Tabladeilustraciones"/>
        <w:tabs>
          <w:tab w:val="right" w:leader="dot" w:pos="9072"/>
        </w:tabs>
        <w:spacing w:line="240" w:lineRule="auto"/>
        <w:ind w:left="1134" w:hanging="1134"/>
        <w:rPr>
          <w:rFonts w:eastAsiaTheme="minorHAnsi" w:cstheme="minorBidi"/>
          <w:noProof/>
          <w:sz w:val="16"/>
          <w:szCs w:val="16"/>
        </w:rPr>
      </w:pPr>
      <w:hyperlink w:anchor="_Toc392585831" w:history="1">
        <w:r w:rsidR="000728A0" w:rsidRPr="001E2F6E">
          <w:rPr>
            <w:rFonts w:eastAsiaTheme="minorHAnsi" w:cstheme="minorBidi"/>
            <w:noProof/>
            <w:sz w:val="16"/>
            <w:szCs w:val="16"/>
          </w:rPr>
          <w:t xml:space="preserve">2.2 Taula </w:t>
        </w:r>
        <w:r w:rsidR="00E84501" w:rsidRPr="001E2F6E">
          <w:rPr>
            <w:rFonts w:eastAsiaTheme="minorHAnsi" w:cstheme="minorBidi"/>
            <w:noProof/>
            <w:sz w:val="16"/>
            <w:szCs w:val="16"/>
          </w:rPr>
          <w:tab/>
        </w:r>
        <w:r w:rsidR="000728A0" w:rsidRPr="001E2F6E">
          <w:rPr>
            <w:rFonts w:eastAsiaTheme="minorHAnsi" w:cstheme="minorBidi"/>
            <w:noProof/>
            <w:sz w:val="16"/>
            <w:szCs w:val="16"/>
          </w:rPr>
          <w:t>FORMA JURIDIKOAREN ARABERAKO AZTERKETA. AURREIKUSITAKO ENPLEGUAREN ETA FAKTURAZIOAREN BILAKAERA. 2012-2013</w:t>
        </w:r>
        <w:r w:rsidR="000728A0" w:rsidRPr="001E2F6E">
          <w:rPr>
            <w:rFonts w:eastAsiaTheme="minorHAnsi" w:cstheme="minorBidi"/>
            <w:noProof/>
            <w:webHidden/>
            <w:sz w:val="16"/>
            <w:szCs w:val="16"/>
          </w:rPr>
          <w:tab/>
        </w:r>
        <w:r w:rsidR="00EB6BA6" w:rsidRPr="001E2F6E">
          <w:rPr>
            <w:rFonts w:eastAsiaTheme="minorHAnsi" w:cstheme="minorBidi"/>
            <w:noProof/>
            <w:webHidden/>
            <w:sz w:val="16"/>
            <w:szCs w:val="16"/>
          </w:rPr>
          <w:fldChar w:fldCharType="begin"/>
        </w:r>
        <w:r w:rsidR="000728A0" w:rsidRPr="001E2F6E">
          <w:rPr>
            <w:rFonts w:eastAsiaTheme="minorHAnsi" w:cstheme="minorBidi"/>
            <w:noProof/>
            <w:webHidden/>
            <w:sz w:val="16"/>
            <w:szCs w:val="16"/>
          </w:rPr>
          <w:instrText xml:space="preserve"> PAGEREF _Toc392585831 \h </w:instrText>
        </w:r>
        <w:r w:rsidR="00EB6BA6" w:rsidRPr="001E2F6E">
          <w:rPr>
            <w:rFonts w:eastAsiaTheme="minorHAnsi" w:cstheme="minorBidi"/>
            <w:noProof/>
            <w:webHidden/>
            <w:sz w:val="16"/>
            <w:szCs w:val="16"/>
          </w:rPr>
        </w:r>
        <w:r w:rsidR="00EB6BA6" w:rsidRPr="001E2F6E">
          <w:rPr>
            <w:rFonts w:eastAsiaTheme="minorHAnsi" w:cstheme="minorBidi"/>
            <w:noProof/>
            <w:webHidden/>
            <w:sz w:val="16"/>
            <w:szCs w:val="16"/>
          </w:rPr>
          <w:fldChar w:fldCharType="separate"/>
        </w:r>
        <w:r>
          <w:rPr>
            <w:rFonts w:eastAsiaTheme="minorHAnsi" w:cstheme="minorBidi"/>
            <w:noProof/>
            <w:webHidden/>
            <w:sz w:val="16"/>
            <w:szCs w:val="16"/>
          </w:rPr>
          <w:t>72</w:t>
        </w:r>
        <w:r w:rsidR="00EB6BA6" w:rsidRPr="001E2F6E">
          <w:rPr>
            <w:rFonts w:eastAsiaTheme="minorHAnsi" w:cstheme="minorBidi"/>
            <w:noProof/>
            <w:webHidden/>
            <w:sz w:val="16"/>
            <w:szCs w:val="16"/>
          </w:rPr>
          <w:fldChar w:fldCharType="end"/>
        </w:r>
      </w:hyperlink>
    </w:p>
    <w:p w:rsidR="000728A0" w:rsidRPr="001E2F6E" w:rsidRDefault="00A327D4" w:rsidP="00E84501">
      <w:pPr>
        <w:pStyle w:val="Tabladeilustraciones"/>
        <w:tabs>
          <w:tab w:val="right" w:leader="dot" w:pos="9072"/>
        </w:tabs>
        <w:spacing w:line="240" w:lineRule="auto"/>
        <w:ind w:left="1134" w:hanging="1134"/>
        <w:rPr>
          <w:rFonts w:eastAsiaTheme="minorHAnsi" w:cstheme="minorBidi"/>
          <w:noProof/>
          <w:sz w:val="16"/>
          <w:szCs w:val="16"/>
        </w:rPr>
      </w:pPr>
      <w:hyperlink w:anchor="_Toc392585832" w:history="1">
        <w:r w:rsidR="000728A0" w:rsidRPr="001E2F6E">
          <w:rPr>
            <w:rFonts w:eastAsiaTheme="minorHAnsi" w:cstheme="minorBidi"/>
            <w:noProof/>
            <w:sz w:val="16"/>
            <w:szCs w:val="16"/>
          </w:rPr>
          <w:t xml:space="preserve">2.3 Taula  </w:t>
        </w:r>
        <w:r w:rsidR="00E84501" w:rsidRPr="001E2F6E">
          <w:rPr>
            <w:rFonts w:eastAsiaTheme="minorHAnsi" w:cstheme="minorBidi"/>
            <w:noProof/>
            <w:sz w:val="16"/>
            <w:szCs w:val="16"/>
          </w:rPr>
          <w:tab/>
        </w:r>
        <w:r w:rsidR="000728A0" w:rsidRPr="001E2F6E">
          <w:rPr>
            <w:rFonts w:eastAsiaTheme="minorHAnsi" w:cstheme="minorBidi"/>
            <w:noProof/>
            <w:sz w:val="16"/>
            <w:szCs w:val="16"/>
          </w:rPr>
          <w:t>LURRALDE HISTORIKOAREN ARABERAKO AZTERKETA. AURREIKUSITAKO ENPLEGUAREN ETA FAKTURAZIOAREN BILAKAERA. 2012-2013</w:t>
        </w:r>
        <w:r w:rsidR="000728A0" w:rsidRPr="001E2F6E">
          <w:rPr>
            <w:rFonts w:eastAsiaTheme="minorHAnsi" w:cstheme="minorBidi"/>
            <w:noProof/>
            <w:webHidden/>
            <w:sz w:val="16"/>
            <w:szCs w:val="16"/>
          </w:rPr>
          <w:tab/>
        </w:r>
        <w:r w:rsidR="00EB6BA6" w:rsidRPr="001E2F6E">
          <w:rPr>
            <w:rFonts w:eastAsiaTheme="minorHAnsi" w:cstheme="minorBidi"/>
            <w:noProof/>
            <w:webHidden/>
            <w:sz w:val="16"/>
            <w:szCs w:val="16"/>
          </w:rPr>
          <w:fldChar w:fldCharType="begin"/>
        </w:r>
        <w:r w:rsidR="000728A0" w:rsidRPr="001E2F6E">
          <w:rPr>
            <w:rFonts w:eastAsiaTheme="minorHAnsi" w:cstheme="minorBidi"/>
            <w:noProof/>
            <w:webHidden/>
            <w:sz w:val="16"/>
            <w:szCs w:val="16"/>
          </w:rPr>
          <w:instrText xml:space="preserve"> PAGEREF _Toc392585832 \h </w:instrText>
        </w:r>
        <w:r w:rsidR="00EB6BA6" w:rsidRPr="001E2F6E">
          <w:rPr>
            <w:rFonts w:eastAsiaTheme="minorHAnsi" w:cstheme="minorBidi"/>
            <w:noProof/>
            <w:webHidden/>
            <w:sz w:val="16"/>
            <w:szCs w:val="16"/>
          </w:rPr>
        </w:r>
        <w:r w:rsidR="00EB6BA6" w:rsidRPr="001E2F6E">
          <w:rPr>
            <w:rFonts w:eastAsiaTheme="minorHAnsi" w:cstheme="minorBidi"/>
            <w:noProof/>
            <w:webHidden/>
            <w:sz w:val="16"/>
            <w:szCs w:val="16"/>
          </w:rPr>
          <w:fldChar w:fldCharType="separate"/>
        </w:r>
        <w:r>
          <w:rPr>
            <w:rFonts w:eastAsiaTheme="minorHAnsi" w:cstheme="minorBidi"/>
            <w:noProof/>
            <w:webHidden/>
            <w:sz w:val="16"/>
            <w:szCs w:val="16"/>
          </w:rPr>
          <w:t>72</w:t>
        </w:r>
        <w:r w:rsidR="00EB6BA6" w:rsidRPr="001E2F6E">
          <w:rPr>
            <w:rFonts w:eastAsiaTheme="minorHAnsi" w:cstheme="minorBidi"/>
            <w:noProof/>
            <w:webHidden/>
            <w:sz w:val="16"/>
            <w:szCs w:val="16"/>
          </w:rPr>
          <w:fldChar w:fldCharType="end"/>
        </w:r>
      </w:hyperlink>
    </w:p>
    <w:p w:rsidR="00195BE7" w:rsidRPr="001E2F6E" w:rsidRDefault="00EB6BA6" w:rsidP="00195BE7">
      <w:pPr>
        <w:pStyle w:val="Tabladeilustraciones"/>
        <w:tabs>
          <w:tab w:val="right" w:leader="dot" w:pos="9072"/>
        </w:tabs>
        <w:spacing w:line="240" w:lineRule="auto"/>
        <w:ind w:left="1134" w:hanging="1134"/>
        <w:rPr>
          <w:rFonts w:eastAsiaTheme="minorHAnsi" w:cstheme="minorBidi"/>
        </w:rPr>
      </w:pPr>
      <w:r w:rsidRPr="001E2F6E">
        <w:rPr>
          <w:rFonts w:eastAsiaTheme="minorHAnsi" w:cstheme="minorBidi"/>
        </w:rPr>
        <w:fldChar w:fldCharType="end"/>
      </w:r>
    </w:p>
    <w:p w:rsidR="000728A0" w:rsidRPr="001E2F6E" w:rsidRDefault="00EB6BA6" w:rsidP="00E84501">
      <w:pPr>
        <w:pStyle w:val="Tabladeilustraciones"/>
        <w:tabs>
          <w:tab w:val="right" w:leader="dot" w:pos="9072"/>
        </w:tabs>
        <w:spacing w:line="240" w:lineRule="auto"/>
        <w:ind w:left="1134" w:hanging="1134"/>
        <w:rPr>
          <w:rFonts w:eastAsiaTheme="minorHAnsi" w:cstheme="minorBidi"/>
          <w:noProof/>
          <w:sz w:val="16"/>
          <w:szCs w:val="16"/>
        </w:rPr>
      </w:pPr>
      <w:r w:rsidRPr="001E2F6E">
        <w:rPr>
          <w:rFonts w:eastAsiaTheme="minorHAnsi" w:cstheme="minorBidi"/>
        </w:rPr>
        <w:fldChar w:fldCharType="begin"/>
      </w:r>
      <w:r w:rsidR="00195BE7" w:rsidRPr="001E2F6E">
        <w:rPr>
          <w:rFonts w:eastAsiaTheme="minorHAnsi" w:cstheme="minorBidi"/>
        </w:rPr>
        <w:instrText xml:space="preserve"> TOC \h \z \c "Gráfico 2." </w:instrText>
      </w:r>
      <w:r w:rsidRPr="001E2F6E">
        <w:rPr>
          <w:rFonts w:eastAsiaTheme="minorHAnsi" w:cstheme="minorBidi"/>
        </w:rPr>
        <w:fldChar w:fldCharType="separate"/>
      </w:r>
      <w:hyperlink w:anchor="_Toc392585833" w:history="1">
        <w:r w:rsidR="000728A0" w:rsidRPr="001E2F6E">
          <w:rPr>
            <w:rFonts w:eastAsiaTheme="minorHAnsi" w:cstheme="minorBidi"/>
            <w:noProof/>
            <w:sz w:val="16"/>
            <w:szCs w:val="16"/>
          </w:rPr>
          <w:t xml:space="preserve">2.1 Irudia </w:t>
        </w:r>
        <w:r w:rsidR="00E84501" w:rsidRPr="001E2F6E">
          <w:rPr>
            <w:rFonts w:eastAsiaTheme="minorHAnsi" w:cstheme="minorBidi"/>
            <w:noProof/>
            <w:sz w:val="16"/>
            <w:szCs w:val="16"/>
          </w:rPr>
          <w:tab/>
        </w:r>
        <w:r w:rsidR="000728A0" w:rsidRPr="001E2F6E">
          <w:rPr>
            <w:rFonts w:eastAsiaTheme="minorHAnsi" w:cstheme="minorBidi"/>
            <w:noProof/>
            <w:sz w:val="16"/>
            <w:szCs w:val="16"/>
          </w:rPr>
          <w:t>GIZARTE-EKONOMIAREN ALORREKO ESTABLEZIMENDUEN ETA ENPLEGUAREN BILAKAERA 1994-2013</w:t>
        </w:r>
        <w:r w:rsidR="000728A0" w:rsidRPr="001E2F6E">
          <w:rPr>
            <w:rFonts w:eastAsiaTheme="minorHAnsi" w:cstheme="minorBidi"/>
            <w:noProof/>
            <w:webHidden/>
            <w:sz w:val="16"/>
            <w:szCs w:val="16"/>
          </w:rPr>
          <w:tab/>
        </w:r>
        <w:r w:rsidRPr="001E2F6E">
          <w:rPr>
            <w:rFonts w:eastAsiaTheme="minorHAnsi" w:cstheme="minorBidi"/>
            <w:noProof/>
            <w:webHidden/>
            <w:sz w:val="16"/>
            <w:szCs w:val="16"/>
          </w:rPr>
          <w:fldChar w:fldCharType="begin"/>
        </w:r>
        <w:r w:rsidR="000728A0" w:rsidRPr="001E2F6E">
          <w:rPr>
            <w:rFonts w:eastAsiaTheme="minorHAnsi" w:cstheme="minorBidi"/>
            <w:noProof/>
            <w:webHidden/>
            <w:sz w:val="16"/>
            <w:szCs w:val="16"/>
          </w:rPr>
          <w:instrText xml:space="preserve"> PAGEREF _Toc392585833 \h </w:instrText>
        </w:r>
        <w:r w:rsidRPr="001E2F6E">
          <w:rPr>
            <w:rFonts w:eastAsiaTheme="minorHAnsi" w:cstheme="minorBidi"/>
            <w:noProof/>
            <w:webHidden/>
            <w:sz w:val="16"/>
            <w:szCs w:val="16"/>
          </w:rPr>
        </w:r>
        <w:r w:rsidRPr="001E2F6E">
          <w:rPr>
            <w:rFonts w:eastAsiaTheme="minorHAnsi" w:cstheme="minorBidi"/>
            <w:noProof/>
            <w:webHidden/>
            <w:sz w:val="16"/>
            <w:szCs w:val="16"/>
          </w:rPr>
          <w:fldChar w:fldCharType="separate"/>
        </w:r>
        <w:r w:rsidR="00A327D4">
          <w:rPr>
            <w:rFonts w:eastAsiaTheme="minorHAnsi" w:cstheme="minorBidi"/>
            <w:noProof/>
            <w:webHidden/>
            <w:sz w:val="16"/>
            <w:szCs w:val="16"/>
          </w:rPr>
          <w:t>72</w:t>
        </w:r>
        <w:r w:rsidRPr="001E2F6E">
          <w:rPr>
            <w:rFonts w:eastAsiaTheme="minorHAnsi" w:cstheme="minorBidi"/>
            <w:noProof/>
            <w:webHidden/>
            <w:sz w:val="16"/>
            <w:szCs w:val="16"/>
          </w:rPr>
          <w:fldChar w:fldCharType="end"/>
        </w:r>
      </w:hyperlink>
    </w:p>
    <w:p w:rsidR="000728A0" w:rsidRPr="001E2F6E" w:rsidRDefault="00A327D4" w:rsidP="00E84501">
      <w:pPr>
        <w:pStyle w:val="Tabladeilustraciones"/>
        <w:tabs>
          <w:tab w:val="right" w:leader="dot" w:pos="9072"/>
        </w:tabs>
        <w:spacing w:line="240" w:lineRule="auto"/>
        <w:ind w:left="1134" w:hanging="1134"/>
        <w:rPr>
          <w:rFonts w:eastAsiaTheme="minorHAnsi" w:cstheme="minorBidi"/>
          <w:noProof/>
          <w:sz w:val="16"/>
          <w:szCs w:val="16"/>
        </w:rPr>
      </w:pPr>
      <w:hyperlink w:anchor="_Toc392585834" w:history="1">
        <w:r w:rsidR="000728A0" w:rsidRPr="001E2F6E">
          <w:rPr>
            <w:rFonts w:eastAsiaTheme="minorHAnsi" w:cstheme="minorBidi"/>
            <w:noProof/>
            <w:sz w:val="16"/>
            <w:szCs w:val="16"/>
          </w:rPr>
          <w:t xml:space="preserve">2.2 Irudia. </w:t>
        </w:r>
        <w:r w:rsidR="00E84501" w:rsidRPr="001E2F6E">
          <w:rPr>
            <w:rFonts w:eastAsiaTheme="minorHAnsi" w:cstheme="minorBidi"/>
            <w:noProof/>
            <w:sz w:val="16"/>
            <w:szCs w:val="16"/>
          </w:rPr>
          <w:tab/>
        </w:r>
        <w:r w:rsidR="000728A0" w:rsidRPr="001E2F6E">
          <w:rPr>
            <w:rFonts w:eastAsiaTheme="minorHAnsi" w:cstheme="minorBidi"/>
            <w:noProof/>
            <w:sz w:val="16"/>
            <w:szCs w:val="16"/>
          </w:rPr>
          <w:t>FAKTURAZIOAREN BILAKAERA 2006 - 2013 (MILAKA EURO)</w:t>
        </w:r>
        <w:r w:rsidR="000728A0" w:rsidRPr="001E2F6E">
          <w:rPr>
            <w:rFonts w:eastAsiaTheme="minorHAnsi" w:cstheme="minorBidi"/>
            <w:noProof/>
            <w:webHidden/>
            <w:sz w:val="16"/>
            <w:szCs w:val="16"/>
          </w:rPr>
          <w:tab/>
        </w:r>
        <w:r w:rsidR="00EB6BA6" w:rsidRPr="001E2F6E">
          <w:rPr>
            <w:rFonts w:eastAsiaTheme="minorHAnsi" w:cstheme="minorBidi"/>
            <w:noProof/>
            <w:webHidden/>
            <w:sz w:val="16"/>
            <w:szCs w:val="16"/>
          </w:rPr>
          <w:fldChar w:fldCharType="begin"/>
        </w:r>
        <w:r w:rsidR="000728A0" w:rsidRPr="001E2F6E">
          <w:rPr>
            <w:rFonts w:eastAsiaTheme="minorHAnsi" w:cstheme="minorBidi"/>
            <w:noProof/>
            <w:webHidden/>
            <w:sz w:val="16"/>
            <w:szCs w:val="16"/>
          </w:rPr>
          <w:instrText xml:space="preserve"> PAGEREF _Toc392585834 \h </w:instrText>
        </w:r>
        <w:r w:rsidR="00EB6BA6" w:rsidRPr="001E2F6E">
          <w:rPr>
            <w:rFonts w:eastAsiaTheme="minorHAnsi" w:cstheme="minorBidi"/>
            <w:noProof/>
            <w:webHidden/>
            <w:sz w:val="16"/>
            <w:szCs w:val="16"/>
          </w:rPr>
        </w:r>
        <w:r w:rsidR="00EB6BA6" w:rsidRPr="001E2F6E">
          <w:rPr>
            <w:rFonts w:eastAsiaTheme="minorHAnsi" w:cstheme="minorBidi"/>
            <w:noProof/>
            <w:webHidden/>
            <w:sz w:val="16"/>
            <w:szCs w:val="16"/>
          </w:rPr>
          <w:fldChar w:fldCharType="separate"/>
        </w:r>
        <w:r>
          <w:rPr>
            <w:rFonts w:eastAsiaTheme="minorHAnsi" w:cstheme="minorBidi"/>
            <w:noProof/>
            <w:webHidden/>
            <w:sz w:val="16"/>
            <w:szCs w:val="16"/>
          </w:rPr>
          <w:t>72</w:t>
        </w:r>
        <w:r w:rsidR="00EB6BA6" w:rsidRPr="001E2F6E">
          <w:rPr>
            <w:rFonts w:eastAsiaTheme="minorHAnsi" w:cstheme="minorBidi"/>
            <w:noProof/>
            <w:webHidden/>
            <w:sz w:val="16"/>
            <w:szCs w:val="16"/>
          </w:rPr>
          <w:fldChar w:fldCharType="end"/>
        </w:r>
      </w:hyperlink>
    </w:p>
    <w:p w:rsidR="00195BE7" w:rsidRPr="001E2F6E" w:rsidRDefault="00EB6BA6" w:rsidP="00195BE7">
      <w:pPr>
        <w:pStyle w:val="Tabladeilustraciones"/>
        <w:tabs>
          <w:tab w:val="right" w:leader="dot" w:pos="9072"/>
        </w:tabs>
        <w:spacing w:line="240" w:lineRule="auto"/>
        <w:ind w:left="1134" w:hanging="1134"/>
        <w:rPr>
          <w:noProof/>
          <w:sz w:val="16"/>
          <w:szCs w:val="16"/>
        </w:rPr>
      </w:pPr>
      <w:r w:rsidRPr="001E2F6E">
        <w:rPr>
          <w:rFonts w:eastAsiaTheme="minorHAnsi" w:cstheme="minorBidi"/>
        </w:rPr>
        <w:fldChar w:fldCharType="end"/>
      </w:r>
      <w:r w:rsidRPr="001E2F6E">
        <w:rPr>
          <w:rStyle w:val="Hipervnculo"/>
          <w:noProof/>
          <w:sz w:val="16"/>
          <w:szCs w:val="16"/>
        </w:rPr>
        <w:fldChar w:fldCharType="begin"/>
      </w:r>
      <w:r w:rsidR="00195BE7" w:rsidRPr="001E2F6E">
        <w:rPr>
          <w:rStyle w:val="Hipervnculo"/>
          <w:noProof/>
          <w:sz w:val="16"/>
          <w:szCs w:val="16"/>
        </w:rPr>
        <w:instrText xml:space="preserve"> TOC \h \z \c "Gráfico 2." </w:instrText>
      </w:r>
      <w:r w:rsidRPr="001E2F6E">
        <w:rPr>
          <w:rStyle w:val="Hipervnculo"/>
          <w:noProof/>
          <w:sz w:val="16"/>
          <w:szCs w:val="16"/>
        </w:rPr>
        <w:fldChar w:fldCharType="separate"/>
      </w:r>
    </w:p>
    <w:p w:rsidR="00B76DF2" w:rsidRPr="001E2F6E" w:rsidRDefault="00EB6BA6" w:rsidP="00B76DF2">
      <w:pPr>
        <w:pStyle w:val="TDC1"/>
        <w:tabs>
          <w:tab w:val="left" w:pos="426"/>
          <w:tab w:val="left" w:pos="851"/>
          <w:tab w:val="left" w:pos="1276"/>
          <w:tab w:val="right" w:leader="dot" w:pos="9072"/>
        </w:tabs>
        <w:spacing w:after="0" w:line="240" w:lineRule="auto"/>
        <w:ind w:left="426" w:hanging="426"/>
        <w:rPr>
          <w:rStyle w:val="Hipervnculo"/>
          <w:rFonts w:eastAsiaTheme="minorHAnsi" w:cs="Arial"/>
          <w:b/>
          <w:color w:val="auto"/>
          <w:u w:val="none"/>
        </w:rPr>
      </w:pPr>
      <w:r w:rsidRPr="001E2F6E">
        <w:rPr>
          <w:rStyle w:val="Hipervnculo"/>
          <w:noProof/>
          <w:sz w:val="16"/>
          <w:szCs w:val="16"/>
        </w:rPr>
        <w:fldChar w:fldCharType="end"/>
      </w:r>
      <w:hyperlink w:anchor="_Toc392585689" w:history="1">
        <w:r w:rsidR="00B76DF2" w:rsidRPr="001E2F6E">
          <w:rPr>
            <w:rStyle w:val="Hipervnculo"/>
            <w:rFonts w:eastAsiaTheme="minorHAnsi" w:cs="Arial"/>
            <w:b/>
            <w:noProof/>
            <w:color w:val="auto"/>
            <w:sz w:val="18"/>
            <w:szCs w:val="18"/>
            <w:u w:val="none"/>
          </w:rPr>
          <w:t>III.-</w:t>
        </w:r>
        <w:r w:rsidR="00B76DF2" w:rsidRPr="001E2F6E">
          <w:rPr>
            <w:rStyle w:val="Hipervnculo"/>
            <w:rFonts w:eastAsiaTheme="minorHAnsi" w:cs="Arial"/>
            <w:b/>
            <w:color w:val="auto"/>
            <w:u w:val="none"/>
          </w:rPr>
          <w:tab/>
        </w:r>
        <w:r w:rsidR="00B76DF2" w:rsidRPr="001E2F6E">
          <w:rPr>
            <w:rStyle w:val="Hipervnculo"/>
            <w:rFonts w:eastAsiaTheme="minorHAnsi" w:cs="Arial"/>
            <w:b/>
            <w:noProof/>
            <w:color w:val="auto"/>
            <w:sz w:val="18"/>
            <w:szCs w:val="18"/>
            <w:u w:val="none"/>
          </w:rPr>
          <w:t>GIZARTE-EKONOMIAK KRISIARI AURRE EGITEKO ESTRATEGIAK ETA KUDEAKETARAKO-TRESNAK GIZARTE-EKONOMIA KLASIKOAN (GEFK)</w:t>
        </w:r>
        <w:r w:rsidR="00B76DF2" w:rsidRPr="001E2F6E">
          <w:rPr>
            <w:rStyle w:val="Hipervnculo"/>
            <w:rFonts w:eastAsiaTheme="minorHAnsi" w:cs="Arial"/>
            <w:b/>
            <w:webHidden/>
            <w:color w:val="auto"/>
            <w:u w:val="none"/>
          </w:rPr>
          <w:tab/>
        </w:r>
        <w:r w:rsidRPr="001E2F6E">
          <w:rPr>
            <w:rStyle w:val="Hipervnculo"/>
            <w:rFonts w:eastAsiaTheme="minorHAnsi" w:cs="Arial"/>
            <w:b/>
            <w:webHidden/>
            <w:color w:val="auto"/>
            <w:u w:val="none"/>
          </w:rPr>
          <w:fldChar w:fldCharType="begin"/>
        </w:r>
        <w:r w:rsidR="00B76DF2" w:rsidRPr="001E2F6E">
          <w:rPr>
            <w:rStyle w:val="Hipervnculo"/>
            <w:rFonts w:eastAsiaTheme="minorHAnsi" w:cs="Arial"/>
            <w:b/>
            <w:webHidden/>
            <w:color w:val="auto"/>
            <w:u w:val="none"/>
          </w:rPr>
          <w:instrText xml:space="preserve"> PAGEREF _Toc392585689 \h </w:instrText>
        </w:r>
        <w:r w:rsidRPr="001E2F6E">
          <w:rPr>
            <w:rStyle w:val="Hipervnculo"/>
            <w:rFonts w:eastAsiaTheme="minorHAnsi" w:cs="Arial"/>
            <w:b/>
            <w:webHidden/>
            <w:color w:val="auto"/>
            <w:u w:val="none"/>
          </w:rPr>
        </w:r>
        <w:r w:rsidRPr="001E2F6E">
          <w:rPr>
            <w:rStyle w:val="Hipervnculo"/>
            <w:rFonts w:eastAsiaTheme="minorHAnsi" w:cs="Arial"/>
            <w:b/>
            <w:webHidden/>
            <w:color w:val="auto"/>
            <w:u w:val="none"/>
          </w:rPr>
          <w:fldChar w:fldCharType="separate"/>
        </w:r>
        <w:r w:rsidR="00A327D4">
          <w:rPr>
            <w:rStyle w:val="Hipervnculo"/>
            <w:rFonts w:eastAsiaTheme="minorHAnsi" w:cs="Arial"/>
            <w:b/>
            <w:noProof/>
            <w:webHidden/>
            <w:color w:val="auto"/>
            <w:u w:val="none"/>
          </w:rPr>
          <w:t>73</w:t>
        </w:r>
        <w:r w:rsidRPr="001E2F6E">
          <w:rPr>
            <w:rStyle w:val="Hipervnculo"/>
            <w:rFonts w:eastAsiaTheme="minorHAnsi" w:cs="Arial"/>
            <w:b/>
            <w:webHidden/>
            <w:color w:val="auto"/>
            <w:u w:val="none"/>
          </w:rPr>
          <w:fldChar w:fldCharType="end"/>
        </w:r>
      </w:hyperlink>
    </w:p>
    <w:p w:rsidR="00195BE7" w:rsidRPr="001E2F6E" w:rsidRDefault="00195BE7" w:rsidP="00B76DF2">
      <w:pPr>
        <w:pStyle w:val="TDC1"/>
        <w:tabs>
          <w:tab w:val="left" w:pos="426"/>
          <w:tab w:val="left" w:pos="567"/>
          <w:tab w:val="left" w:pos="1701"/>
          <w:tab w:val="right" w:leader="dot" w:pos="9072"/>
        </w:tabs>
        <w:spacing w:after="0" w:line="240" w:lineRule="auto"/>
        <w:ind w:left="426" w:hanging="426"/>
        <w:rPr>
          <w:rStyle w:val="Hipervnculo"/>
          <w:noProof/>
          <w:sz w:val="16"/>
          <w:szCs w:val="16"/>
        </w:rPr>
      </w:pPr>
    </w:p>
    <w:p w:rsidR="000728A0" w:rsidRPr="001E2F6E" w:rsidRDefault="00EB6BA6" w:rsidP="00E84501">
      <w:pPr>
        <w:pStyle w:val="Tabladeilustraciones"/>
        <w:tabs>
          <w:tab w:val="right" w:leader="dot" w:pos="9072"/>
        </w:tabs>
        <w:spacing w:line="240" w:lineRule="auto"/>
        <w:ind w:left="1134" w:hanging="1134"/>
        <w:rPr>
          <w:rFonts w:eastAsiaTheme="minorHAnsi" w:cstheme="minorBidi"/>
          <w:noProof/>
          <w:sz w:val="16"/>
          <w:szCs w:val="16"/>
        </w:rPr>
      </w:pPr>
      <w:r w:rsidRPr="001E2F6E">
        <w:rPr>
          <w:rFonts w:eastAsiaTheme="minorHAnsi" w:cstheme="minorBidi"/>
        </w:rPr>
        <w:fldChar w:fldCharType="begin"/>
      </w:r>
      <w:r w:rsidR="00195BE7" w:rsidRPr="001E2F6E">
        <w:rPr>
          <w:rFonts w:eastAsiaTheme="minorHAnsi" w:cstheme="minorBidi"/>
        </w:rPr>
        <w:instrText xml:space="preserve"> TOC \h \z \c "Cuadro 3." </w:instrText>
      </w:r>
      <w:r w:rsidRPr="001E2F6E">
        <w:rPr>
          <w:rFonts w:eastAsiaTheme="minorHAnsi" w:cstheme="minorBidi"/>
        </w:rPr>
        <w:fldChar w:fldCharType="separate"/>
      </w:r>
      <w:hyperlink w:anchor="_Toc392585835" w:history="1">
        <w:r w:rsidR="000728A0" w:rsidRPr="001E2F6E">
          <w:rPr>
            <w:rFonts w:eastAsiaTheme="minorHAnsi" w:cstheme="minorBidi"/>
            <w:noProof/>
            <w:sz w:val="16"/>
            <w:szCs w:val="16"/>
          </w:rPr>
          <w:t xml:space="preserve">3.1 Taula </w:t>
        </w:r>
        <w:r w:rsidR="00E84501" w:rsidRPr="001E2F6E">
          <w:rPr>
            <w:rFonts w:eastAsiaTheme="minorHAnsi" w:cstheme="minorBidi"/>
            <w:noProof/>
            <w:sz w:val="16"/>
            <w:szCs w:val="16"/>
          </w:rPr>
          <w:tab/>
        </w:r>
        <w:r w:rsidR="000728A0" w:rsidRPr="001E2F6E">
          <w:rPr>
            <w:rFonts w:eastAsiaTheme="minorHAnsi" w:cstheme="minorBidi"/>
            <w:noProof/>
            <w:sz w:val="16"/>
            <w:szCs w:val="16"/>
          </w:rPr>
          <w:t>ENPRESA-KUDEAKETARAKO TRESNEN ERABILERA. 2012 (Kudeaketarako tresnak dituzten enpresen %)</w:t>
        </w:r>
        <w:r w:rsidR="000728A0" w:rsidRPr="001E2F6E">
          <w:rPr>
            <w:rFonts w:eastAsiaTheme="minorHAnsi" w:cstheme="minorBidi"/>
            <w:noProof/>
            <w:webHidden/>
            <w:sz w:val="16"/>
            <w:szCs w:val="16"/>
          </w:rPr>
          <w:tab/>
        </w:r>
        <w:r w:rsidRPr="001E2F6E">
          <w:rPr>
            <w:rFonts w:eastAsiaTheme="minorHAnsi" w:cstheme="minorBidi"/>
            <w:noProof/>
            <w:webHidden/>
            <w:sz w:val="16"/>
            <w:szCs w:val="16"/>
          </w:rPr>
          <w:fldChar w:fldCharType="begin"/>
        </w:r>
        <w:r w:rsidR="000728A0" w:rsidRPr="001E2F6E">
          <w:rPr>
            <w:rFonts w:eastAsiaTheme="minorHAnsi" w:cstheme="minorBidi"/>
            <w:noProof/>
            <w:webHidden/>
            <w:sz w:val="16"/>
            <w:szCs w:val="16"/>
          </w:rPr>
          <w:instrText xml:space="preserve"> PAGEREF _Toc392585835 \h </w:instrText>
        </w:r>
        <w:r w:rsidRPr="001E2F6E">
          <w:rPr>
            <w:rFonts w:eastAsiaTheme="minorHAnsi" w:cstheme="minorBidi"/>
            <w:noProof/>
            <w:webHidden/>
            <w:sz w:val="16"/>
            <w:szCs w:val="16"/>
          </w:rPr>
        </w:r>
        <w:r w:rsidRPr="001E2F6E">
          <w:rPr>
            <w:rFonts w:eastAsiaTheme="minorHAnsi" w:cstheme="minorBidi"/>
            <w:noProof/>
            <w:webHidden/>
            <w:sz w:val="16"/>
            <w:szCs w:val="16"/>
          </w:rPr>
          <w:fldChar w:fldCharType="separate"/>
        </w:r>
        <w:r w:rsidR="00A327D4">
          <w:rPr>
            <w:rFonts w:eastAsiaTheme="minorHAnsi" w:cstheme="minorBidi"/>
            <w:noProof/>
            <w:webHidden/>
            <w:sz w:val="16"/>
            <w:szCs w:val="16"/>
          </w:rPr>
          <w:t>75</w:t>
        </w:r>
        <w:r w:rsidRPr="001E2F6E">
          <w:rPr>
            <w:rFonts w:eastAsiaTheme="minorHAnsi" w:cstheme="minorBidi"/>
            <w:noProof/>
            <w:webHidden/>
            <w:sz w:val="16"/>
            <w:szCs w:val="16"/>
          </w:rPr>
          <w:fldChar w:fldCharType="end"/>
        </w:r>
      </w:hyperlink>
    </w:p>
    <w:p w:rsidR="000728A0" w:rsidRPr="001E2F6E" w:rsidRDefault="00A327D4" w:rsidP="00E84501">
      <w:pPr>
        <w:pStyle w:val="Tabladeilustraciones"/>
        <w:tabs>
          <w:tab w:val="right" w:leader="dot" w:pos="9072"/>
        </w:tabs>
        <w:spacing w:line="240" w:lineRule="auto"/>
        <w:ind w:left="1134" w:hanging="1134"/>
        <w:rPr>
          <w:rFonts w:eastAsiaTheme="minorHAnsi" w:cstheme="minorBidi"/>
          <w:noProof/>
          <w:sz w:val="16"/>
          <w:szCs w:val="16"/>
        </w:rPr>
      </w:pPr>
      <w:hyperlink w:anchor="_Toc392585836" w:history="1">
        <w:r w:rsidR="000728A0" w:rsidRPr="001E2F6E">
          <w:rPr>
            <w:rFonts w:eastAsiaTheme="minorHAnsi" w:cstheme="minorBidi"/>
            <w:noProof/>
            <w:sz w:val="16"/>
            <w:szCs w:val="16"/>
          </w:rPr>
          <w:t xml:space="preserve">3.2 Taula </w:t>
        </w:r>
        <w:r w:rsidR="00E84501" w:rsidRPr="001E2F6E">
          <w:rPr>
            <w:rFonts w:eastAsiaTheme="minorHAnsi" w:cstheme="minorBidi"/>
            <w:noProof/>
            <w:sz w:val="16"/>
            <w:szCs w:val="16"/>
          </w:rPr>
          <w:tab/>
        </w:r>
        <w:r w:rsidR="000728A0" w:rsidRPr="001E2F6E">
          <w:rPr>
            <w:rFonts w:eastAsiaTheme="minorHAnsi" w:cstheme="minorBidi"/>
            <w:noProof/>
            <w:sz w:val="16"/>
            <w:szCs w:val="16"/>
          </w:rPr>
          <w:t>ENPRESA-KUDEAKETARAKO TRESNEN ERABILERA, ENPRESA TAMAINAREN ARABERA. 2012 (Kudeaketarako tresnak dituzten enpresen %)</w:t>
        </w:r>
        <w:r w:rsidR="000728A0" w:rsidRPr="001E2F6E">
          <w:rPr>
            <w:rFonts w:eastAsiaTheme="minorHAnsi" w:cstheme="minorBidi"/>
            <w:noProof/>
            <w:webHidden/>
            <w:sz w:val="16"/>
            <w:szCs w:val="16"/>
          </w:rPr>
          <w:tab/>
        </w:r>
        <w:r w:rsidR="00EB6BA6" w:rsidRPr="001E2F6E">
          <w:rPr>
            <w:rFonts w:eastAsiaTheme="minorHAnsi" w:cstheme="minorBidi"/>
            <w:noProof/>
            <w:webHidden/>
            <w:sz w:val="16"/>
            <w:szCs w:val="16"/>
          </w:rPr>
          <w:fldChar w:fldCharType="begin"/>
        </w:r>
        <w:r w:rsidR="000728A0" w:rsidRPr="001E2F6E">
          <w:rPr>
            <w:rFonts w:eastAsiaTheme="minorHAnsi" w:cstheme="minorBidi"/>
            <w:noProof/>
            <w:webHidden/>
            <w:sz w:val="16"/>
            <w:szCs w:val="16"/>
          </w:rPr>
          <w:instrText xml:space="preserve"> PAGEREF _Toc392585836 \h </w:instrText>
        </w:r>
        <w:r w:rsidR="00EB6BA6" w:rsidRPr="001E2F6E">
          <w:rPr>
            <w:rFonts w:eastAsiaTheme="minorHAnsi" w:cstheme="minorBidi"/>
            <w:noProof/>
            <w:webHidden/>
            <w:sz w:val="16"/>
            <w:szCs w:val="16"/>
          </w:rPr>
        </w:r>
        <w:r w:rsidR="00EB6BA6" w:rsidRPr="001E2F6E">
          <w:rPr>
            <w:rFonts w:eastAsiaTheme="minorHAnsi" w:cstheme="minorBidi"/>
            <w:noProof/>
            <w:webHidden/>
            <w:sz w:val="16"/>
            <w:szCs w:val="16"/>
          </w:rPr>
          <w:fldChar w:fldCharType="separate"/>
        </w:r>
        <w:r>
          <w:rPr>
            <w:rFonts w:eastAsiaTheme="minorHAnsi" w:cstheme="minorBidi"/>
            <w:noProof/>
            <w:webHidden/>
            <w:sz w:val="16"/>
            <w:szCs w:val="16"/>
          </w:rPr>
          <w:t>75</w:t>
        </w:r>
        <w:r w:rsidR="00EB6BA6" w:rsidRPr="001E2F6E">
          <w:rPr>
            <w:rFonts w:eastAsiaTheme="minorHAnsi" w:cstheme="minorBidi"/>
            <w:noProof/>
            <w:webHidden/>
            <w:sz w:val="16"/>
            <w:szCs w:val="16"/>
          </w:rPr>
          <w:fldChar w:fldCharType="end"/>
        </w:r>
      </w:hyperlink>
    </w:p>
    <w:p w:rsidR="000728A0" w:rsidRPr="001E2F6E" w:rsidRDefault="00A327D4" w:rsidP="00E84501">
      <w:pPr>
        <w:pStyle w:val="Tabladeilustraciones"/>
        <w:tabs>
          <w:tab w:val="right" w:leader="dot" w:pos="9072"/>
        </w:tabs>
        <w:spacing w:line="240" w:lineRule="auto"/>
        <w:ind w:left="1134" w:hanging="1134"/>
        <w:rPr>
          <w:rFonts w:eastAsiaTheme="minorHAnsi" w:cstheme="minorBidi"/>
          <w:noProof/>
          <w:sz w:val="16"/>
          <w:szCs w:val="16"/>
        </w:rPr>
      </w:pPr>
      <w:hyperlink w:anchor="_Toc392585837" w:history="1">
        <w:r w:rsidR="000728A0" w:rsidRPr="001E2F6E">
          <w:rPr>
            <w:rFonts w:eastAsiaTheme="minorHAnsi" w:cstheme="minorBidi"/>
            <w:noProof/>
            <w:sz w:val="16"/>
            <w:szCs w:val="16"/>
          </w:rPr>
          <w:t xml:space="preserve">3.3 Taula </w:t>
        </w:r>
        <w:r w:rsidR="00E84501" w:rsidRPr="001E2F6E">
          <w:rPr>
            <w:rFonts w:eastAsiaTheme="minorHAnsi" w:cstheme="minorBidi"/>
            <w:noProof/>
            <w:sz w:val="16"/>
            <w:szCs w:val="16"/>
          </w:rPr>
          <w:tab/>
        </w:r>
        <w:r w:rsidR="000728A0" w:rsidRPr="001E2F6E">
          <w:rPr>
            <w:rFonts w:eastAsiaTheme="minorHAnsi" w:cstheme="minorBidi"/>
            <w:noProof/>
            <w:sz w:val="16"/>
            <w:szCs w:val="16"/>
          </w:rPr>
          <w:t>ENPRESA-KUDEAKETARAKO TRESNEN ERABILERA, ENPRESAREN TAMAINAREN ETA IZAERA JURIDIKOAREN ARABERA. 2012  (Kudeaketarako tresnak dituzten enpresen %)</w:t>
        </w:r>
        <w:r w:rsidR="000728A0" w:rsidRPr="001E2F6E">
          <w:rPr>
            <w:rFonts w:eastAsiaTheme="minorHAnsi" w:cstheme="minorBidi"/>
            <w:noProof/>
            <w:webHidden/>
            <w:sz w:val="16"/>
            <w:szCs w:val="16"/>
          </w:rPr>
          <w:tab/>
        </w:r>
        <w:r w:rsidR="00EB6BA6" w:rsidRPr="001E2F6E">
          <w:rPr>
            <w:rFonts w:eastAsiaTheme="minorHAnsi" w:cstheme="minorBidi"/>
            <w:noProof/>
            <w:webHidden/>
            <w:sz w:val="16"/>
            <w:szCs w:val="16"/>
          </w:rPr>
          <w:fldChar w:fldCharType="begin"/>
        </w:r>
        <w:r w:rsidR="000728A0" w:rsidRPr="001E2F6E">
          <w:rPr>
            <w:rFonts w:eastAsiaTheme="minorHAnsi" w:cstheme="minorBidi"/>
            <w:noProof/>
            <w:webHidden/>
            <w:sz w:val="16"/>
            <w:szCs w:val="16"/>
          </w:rPr>
          <w:instrText xml:space="preserve"> PAGEREF _Toc392585837 \h </w:instrText>
        </w:r>
        <w:r w:rsidR="00EB6BA6" w:rsidRPr="001E2F6E">
          <w:rPr>
            <w:rFonts w:eastAsiaTheme="minorHAnsi" w:cstheme="minorBidi"/>
            <w:noProof/>
            <w:webHidden/>
            <w:sz w:val="16"/>
            <w:szCs w:val="16"/>
          </w:rPr>
        </w:r>
        <w:r w:rsidR="00EB6BA6" w:rsidRPr="001E2F6E">
          <w:rPr>
            <w:rFonts w:eastAsiaTheme="minorHAnsi" w:cstheme="minorBidi"/>
            <w:noProof/>
            <w:webHidden/>
            <w:sz w:val="16"/>
            <w:szCs w:val="16"/>
          </w:rPr>
          <w:fldChar w:fldCharType="separate"/>
        </w:r>
        <w:r>
          <w:rPr>
            <w:rFonts w:eastAsiaTheme="minorHAnsi" w:cstheme="minorBidi"/>
            <w:noProof/>
            <w:webHidden/>
            <w:sz w:val="16"/>
            <w:szCs w:val="16"/>
          </w:rPr>
          <w:t>75</w:t>
        </w:r>
        <w:r w:rsidR="00EB6BA6" w:rsidRPr="001E2F6E">
          <w:rPr>
            <w:rFonts w:eastAsiaTheme="minorHAnsi" w:cstheme="minorBidi"/>
            <w:noProof/>
            <w:webHidden/>
            <w:sz w:val="16"/>
            <w:szCs w:val="16"/>
          </w:rPr>
          <w:fldChar w:fldCharType="end"/>
        </w:r>
      </w:hyperlink>
    </w:p>
    <w:p w:rsidR="000728A0" w:rsidRPr="001E2F6E" w:rsidRDefault="00A327D4" w:rsidP="00E84501">
      <w:pPr>
        <w:pStyle w:val="Tabladeilustraciones"/>
        <w:tabs>
          <w:tab w:val="right" w:leader="dot" w:pos="9072"/>
        </w:tabs>
        <w:spacing w:line="240" w:lineRule="auto"/>
        <w:ind w:left="1134" w:hanging="1134"/>
        <w:rPr>
          <w:rFonts w:eastAsiaTheme="minorHAnsi" w:cstheme="minorBidi"/>
          <w:noProof/>
          <w:sz w:val="16"/>
          <w:szCs w:val="16"/>
        </w:rPr>
      </w:pPr>
      <w:hyperlink w:anchor="_Toc392585838" w:history="1">
        <w:r w:rsidR="000728A0" w:rsidRPr="001E2F6E">
          <w:rPr>
            <w:rFonts w:eastAsiaTheme="minorHAnsi" w:cstheme="minorBidi"/>
            <w:noProof/>
            <w:sz w:val="16"/>
            <w:szCs w:val="16"/>
          </w:rPr>
          <w:t xml:space="preserve">3.4 Taula </w:t>
        </w:r>
        <w:r w:rsidR="00E84501" w:rsidRPr="001E2F6E">
          <w:rPr>
            <w:rFonts w:eastAsiaTheme="minorHAnsi" w:cstheme="minorBidi"/>
            <w:noProof/>
            <w:sz w:val="16"/>
            <w:szCs w:val="16"/>
          </w:rPr>
          <w:tab/>
        </w:r>
        <w:r w:rsidR="000728A0" w:rsidRPr="001E2F6E">
          <w:rPr>
            <w:rFonts w:eastAsiaTheme="minorHAnsi" w:cstheme="minorBidi"/>
            <w:noProof/>
            <w:sz w:val="16"/>
            <w:szCs w:val="16"/>
          </w:rPr>
          <w:t>KUDEAKETARAKO TRESNAK EZARTZEKO JOERA, ENPRESAREN TAMAINAREN ARABERA. 2012</w:t>
        </w:r>
        <w:r w:rsidR="000728A0" w:rsidRPr="001E2F6E">
          <w:rPr>
            <w:rFonts w:eastAsiaTheme="minorHAnsi" w:cstheme="minorBidi"/>
            <w:noProof/>
            <w:webHidden/>
            <w:sz w:val="16"/>
            <w:szCs w:val="16"/>
          </w:rPr>
          <w:tab/>
        </w:r>
        <w:r w:rsidR="00EB6BA6" w:rsidRPr="001E2F6E">
          <w:rPr>
            <w:rFonts w:eastAsiaTheme="minorHAnsi" w:cstheme="minorBidi"/>
            <w:noProof/>
            <w:webHidden/>
            <w:sz w:val="16"/>
            <w:szCs w:val="16"/>
          </w:rPr>
          <w:fldChar w:fldCharType="begin"/>
        </w:r>
        <w:r w:rsidR="000728A0" w:rsidRPr="001E2F6E">
          <w:rPr>
            <w:rFonts w:eastAsiaTheme="minorHAnsi" w:cstheme="minorBidi"/>
            <w:noProof/>
            <w:webHidden/>
            <w:sz w:val="16"/>
            <w:szCs w:val="16"/>
          </w:rPr>
          <w:instrText xml:space="preserve"> PAGEREF _Toc392585838 \h </w:instrText>
        </w:r>
        <w:r w:rsidR="00EB6BA6" w:rsidRPr="001E2F6E">
          <w:rPr>
            <w:rFonts w:eastAsiaTheme="minorHAnsi" w:cstheme="minorBidi"/>
            <w:noProof/>
            <w:webHidden/>
            <w:sz w:val="16"/>
            <w:szCs w:val="16"/>
          </w:rPr>
        </w:r>
        <w:r w:rsidR="00EB6BA6" w:rsidRPr="001E2F6E">
          <w:rPr>
            <w:rFonts w:eastAsiaTheme="minorHAnsi" w:cstheme="minorBidi"/>
            <w:noProof/>
            <w:webHidden/>
            <w:sz w:val="16"/>
            <w:szCs w:val="16"/>
          </w:rPr>
          <w:fldChar w:fldCharType="separate"/>
        </w:r>
        <w:r>
          <w:rPr>
            <w:rFonts w:eastAsiaTheme="minorHAnsi" w:cstheme="minorBidi"/>
            <w:noProof/>
            <w:webHidden/>
            <w:sz w:val="16"/>
            <w:szCs w:val="16"/>
          </w:rPr>
          <w:t>76</w:t>
        </w:r>
        <w:r w:rsidR="00EB6BA6" w:rsidRPr="001E2F6E">
          <w:rPr>
            <w:rFonts w:eastAsiaTheme="minorHAnsi" w:cstheme="minorBidi"/>
            <w:noProof/>
            <w:webHidden/>
            <w:sz w:val="16"/>
            <w:szCs w:val="16"/>
          </w:rPr>
          <w:fldChar w:fldCharType="end"/>
        </w:r>
      </w:hyperlink>
    </w:p>
    <w:p w:rsidR="000728A0" w:rsidRPr="001E2F6E" w:rsidRDefault="00A327D4" w:rsidP="00E84501">
      <w:pPr>
        <w:pStyle w:val="Tabladeilustraciones"/>
        <w:tabs>
          <w:tab w:val="right" w:leader="dot" w:pos="9072"/>
        </w:tabs>
        <w:spacing w:line="240" w:lineRule="auto"/>
        <w:ind w:left="1134" w:hanging="1134"/>
        <w:rPr>
          <w:rFonts w:eastAsiaTheme="minorHAnsi" w:cstheme="minorBidi"/>
          <w:noProof/>
          <w:sz w:val="16"/>
          <w:szCs w:val="16"/>
        </w:rPr>
      </w:pPr>
      <w:hyperlink w:anchor="_Toc392585839" w:history="1">
        <w:r w:rsidR="000728A0" w:rsidRPr="001E2F6E">
          <w:rPr>
            <w:rFonts w:eastAsiaTheme="minorHAnsi" w:cstheme="minorBidi"/>
            <w:noProof/>
            <w:sz w:val="16"/>
            <w:szCs w:val="16"/>
          </w:rPr>
          <w:t xml:space="preserve">3.5 Taula </w:t>
        </w:r>
        <w:r w:rsidR="00E84501" w:rsidRPr="001E2F6E">
          <w:rPr>
            <w:rFonts w:eastAsiaTheme="minorHAnsi" w:cstheme="minorBidi"/>
            <w:noProof/>
            <w:sz w:val="16"/>
            <w:szCs w:val="16"/>
          </w:rPr>
          <w:tab/>
        </w:r>
        <w:r w:rsidR="000728A0" w:rsidRPr="001E2F6E">
          <w:rPr>
            <w:rFonts w:eastAsiaTheme="minorHAnsi" w:cstheme="minorBidi"/>
            <w:noProof/>
            <w:sz w:val="16"/>
            <w:szCs w:val="16"/>
          </w:rPr>
          <w:t>LANEKO ARRISKUEI AURRE EGITEKO SISTEMEN EZARPENA, JARDUERA-SEKTOREAREN ARABERA. 2012</w:t>
        </w:r>
        <w:r w:rsidR="000728A0" w:rsidRPr="001E2F6E">
          <w:rPr>
            <w:rFonts w:eastAsiaTheme="minorHAnsi" w:cstheme="minorBidi"/>
            <w:noProof/>
            <w:webHidden/>
            <w:sz w:val="16"/>
            <w:szCs w:val="16"/>
          </w:rPr>
          <w:tab/>
        </w:r>
        <w:r w:rsidR="00EB6BA6" w:rsidRPr="001E2F6E">
          <w:rPr>
            <w:rFonts w:eastAsiaTheme="minorHAnsi" w:cstheme="minorBidi"/>
            <w:noProof/>
            <w:webHidden/>
            <w:sz w:val="16"/>
            <w:szCs w:val="16"/>
          </w:rPr>
          <w:fldChar w:fldCharType="begin"/>
        </w:r>
        <w:r w:rsidR="000728A0" w:rsidRPr="001E2F6E">
          <w:rPr>
            <w:rFonts w:eastAsiaTheme="minorHAnsi" w:cstheme="minorBidi"/>
            <w:noProof/>
            <w:webHidden/>
            <w:sz w:val="16"/>
            <w:szCs w:val="16"/>
          </w:rPr>
          <w:instrText xml:space="preserve"> PAGEREF _Toc392585839 \h </w:instrText>
        </w:r>
        <w:r w:rsidR="00EB6BA6" w:rsidRPr="001E2F6E">
          <w:rPr>
            <w:rFonts w:eastAsiaTheme="minorHAnsi" w:cstheme="minorBidi"/>
            <w:noProof/>
            <w:webHidden/>
            <w:sz w:val="16"/>
            <w:szCs w:val="16"/>
          </w:rPr>
        </w:r>
        <w:r w:rsidR="00EB6BA6" w:rsidRPr="001E2F6E">
          <w:rPr>
            <w:rFonts w:eastAsiaTheme="minorHAnsi" w:cstheme="minorBidi"/>
            <w:noProof/>
            <w:webHidden/>
            <w:sz w:val="16"/>
            <w:szCs w:val="16"/>
          </w:rPr>
          <w:fldChar w:fldCharType="separate"/>
        </w:r>
        <w:r>
          <w:rPr>
            <w:rFonts w:eastAsiaTheme="minorHAnsi" w:cstheme="minorBidi"/>
            <w:noProof/>
            <w:webHidden/>
            <w:sz w:val="16"/>
            <w:szCs w:val="16"/>
          </w:rPr>
          <w:t>77</w:t>
        </w:r>
        <w:r w:rsidR="00EB6BA6" w:rsidRPr="001E2F6E">
          <w:rPr>
            <w:rFonts w:eastAsiaTheme="minorHAnsi" w:cstheme="minorBidi"/>
            <w:noProof/>
            <w:webHidden/>
            <w:sz w:val="16"/>
            <w:szCs w:val="16"/>
          </w:rPr>
          <w:fldChar w:fldCharType="end"/>
        </w:r>
      </w:hyperlink>
    </w:p>
    <w:p w:rsidR="000728A0" w:rsidRPr="001E2F6E" w:rsidRDefault="00A327D4" w:rsidP="00E84501">
      <w:pPr>
        <w:pStyle w:val="Tabladeilustraciones"/>
        <w:tabs>
          <w:tab w:val="right" w:leader="dot" w:pos="9072"/>
        </w:tabs>
        <w:spacing w:line="240" w:lineRule="auto"/>
        <w:ind w:left="1134" w:hanging="1134"/>
        <w:rPr>
          <w:rFonts w:eastAsiaTheme="minorHAnsi" w:cstheme="minorBidi"/>
          <w:noProof/>
          <w:sz w:val="16"/>
          <w:szCs w:val="16"/>
        </w:rPr>
      </w:pPr>
      <w:hyperlink w:anchor="_Toc392585840" w:history="1">
        <w:r w:rsidR="000728A0" w:rsidRPr="001E2F6E">
          <w:rPr>
            <w:rFonts w:eastAsiaTheme="minorHAnsi" w:cstheme="minorBidi"/>
            <w:noProof/>
            <w:sz w:val="16"/>
            <w:szCs w:val="16"/>
          </w:rPr>
          <w:t xml:space="preserve">3.6 Taula </w:t>
        </w:r>
        <w:r w:rsidR="00E84501" w:rsidRPr="001E2F6E">
          <w:rPr>
            <w:rFonts w:eastAsiaTheme="minorHAnsi" w:cstheme="minorBidi"/>
            <w:noProof/>
            <w:sz w:val="16"/>
            <w:szCs w:val="16"/>
          </w:rPr>
          <w:tab/>
        </w:r>
        <w:r w:rsidR="000728A0" w:rsidRPr="001E2F6E">
          <w:rPr>
            <w:rFonts w:eastAsiaTheme="minorHAnsi" w:cstheme="minorBidi"/>
            <w:noProof/>
            <w:sz w:val="16"/>
            <w:szCs w:val="16"/>
          </w:rPr>
          <w:t>LANEKO ARRISKUEI AURRE EGITEKO SISTEMEN EZARPENA, ENPRESAREN TAMAINAREN ARABERA. 2012</w:t>
        </w:r>
        <w:r w:rsidR="000728A0" w:rsidRPr="001E2F6E">
          <w:rPr>
            <w:rFonts w:eastAsiaTheme="minorHAnsi" w:cstheme="minorBidi"/>
            <w:noProof/>
            <w:webHidden/>
            <w:sz w:val="16"/>
            <w:szCs w:val="16"/>
          </w:rPr>
          <w:tab/>
        </w:r>
        <w:r w:rsidR="00EB6BA6" w:rsidRPr="001E2F6E">
          <w:rPr>
            <w:rFonts w:eastAsiaTheme="minorHAnsi" w:cstheme="minorBidi"/>
            <w:noProof/>
            <w:webHidden/>
            <w:sz w:val="16"/>
            <w:szCs w:val="16"/>
          </w:rPr>
          <w:fldChar w:fldCharType="begin"/>
        </w:r>
        <w:r w:rsidR="000728A0" w:rsidRPr="001E2F6E">
          <w:rPr>
            <w:rFonts w:eastAsiaTheme="minorHAnsi" w:cstheme="minorBidi"/>
            <w:noProof/>
            <w:webHidden/>
            <w:sz w:val="16"/>
            <w:szCs w:val="16"/>
          </w:rPr>
          <w:instrText xml:space="preserve"> PAGEREF _Toc392585840 \h </w:instrText>
        </w:r>
        <w:r w:rsidR="00EB6BA6" w:rsidRPr="001E2F6E">
          <w:rPr>
            <w:rFonts w:eastAsiaTheme="minorHAnsi" w:cstheme="minorBidi"/>
            <w:noProof/>
            <w:webHidden/>
            <w:sz w:val="16"/>
            <w:szCs w:val="16"/>
          </w:rPr>
        </w:r>
        <w:r w:rsidR="00EB6BA6" w:rsidRPr="001E2F6E">
          <w:rPr>
            <w:rFonts w:eastAsiaTheme="minorHAnsi" w:cstheme="minorBidi"/>
            <w:noProof/>
            <w:webHidden/>
            <w:sz w:val="16"/>
            <w:szCs w:val="16"/>
          </w:rPr>
          <w:fldChar w:fldCharType="separate"/>
        </w:r>
        <w:r>
          <w:rPr>
            <w:rFonts w:eastAsiaTheme="minorHAnsi" w:cstheme="minorBidi"/>
            <w:noProof/>
            <w:webHidden/>
            <w:sz w:val="16"/>
            <w:szCs w:val="16"/>
          </w:rPr>
          <w:t>77</w:t>
        </w:r>
        <w:r w:rsidR="00EB6BA6" w:rsidRPr="001E2F6E">
          <w:rPr>
            <w:rFonts w:eastAsiaTheme="minorHAnsi" w:cstheme="minorBidi"/>
            <w:noProof/>
            <w:webHidden/>
            <w:sz w:val="16"/>
            <w:szCs w:val="16"/>
          </w:rPr>
          <w:fldChar w:fldCharType="end"/>
        </w:r>
      </w:hyperlink>
    </w:p>
    <w:p w:rsidR="000728A0" w:rsidRPr="001E2F6E" w:rsidRDefault="00A327D4" w:rsidP="00E84501">
      <w:pPr>
        <w:pStyle w:val="Tabladeilustraciones"/>
        <w:tabs>
          <w:tab w:val="right" w:leader="dot" w:pos="9072"/>
        </w:tabs>
        <w:spacing w:line="240" w:lineRule="auto"/>
        <w:ind w:left="1134" w:hanging="1134"/>
        <w:rPr>
          <w:rFonts w:eastAsiaTheme="minorHAnsi" w:cstheme="minorBidi"/>
          <w:noProof/>
          <w:sz w:val="16"/>
          <w:szCs w:val="16"/>
        </w:rPr>
      </w:pPr>
      <w:hyperlink w:anchor="_Toc392585841" w:history="1">
        <w:r w:rsidR="000728A0" w:rsidRPr="001E2F6E">
          <w:rPr>
            <w:rFonts w:eastAsiaTheme="minorHAnsi" w:cstheme="minorBidi"/>
            <w:noProof/>
            <w:sz w:val="16"/>
            <w:szCs w:val="16"/>
          </w:rPr>
          <w:t xml:space="preserve">3.7 Taula </w:t>
        </w:r>
        <w:r w:rsidR="00E84501" w:rsidRPr="001E2F6E">
          <w:rPr>
            <w:rFonts w:eastAsiaTheme="minorHAnsi" w:cstheme="minorBidi"/>
            <w:noProof/>
            <w:sz w:val="16"/>
            <w:szCs w:val="16"/>
          </w:rPr>
          <w:tab/>
        </w:r>
        <w:r w:rsidR="000728A0" w:rsidRPr="001E2F6E">
          <w:rPr>
            <w:rFonts w:eastAsiaTheme="minorHAnsi" w:cstheme="minorBidi"/>
            <w:noProof/>
            <w:sz w:val="16"/>
            <w:szCs w:val="16"/>
          </w:rPr>
          <w:t>GIZARTE-EKONOMIAREN ALORREKO ENPRESEN LANKIDETZA-HARREMANAK, FORMA JURIDIKOAREN ARABERA. 2012</w:t>
        </w:r>
        <w:r w:rsidR="000728A0" w:rsidRPr="001E2F6E">
          <w:rPr>
            <w:rFonts w:eastAsiaTheme="minorHAnsi" w:cstheme="minorBidi"/>
            <w:noProof/>
            <w:webHidden/>
            <w:sz w:val="16"/>
            <w:szCs w:val="16"/>
          </w:rPr>
          <w:tab/>
        </w:r>
        <w:r w:rsidR="00EB6BA6" w:rsidRPr="001E2F6E">
          <w:rPr>
            <w:rFonts w:eastAsiaTheme="minorHAnsi" w:cstheme="minorBidi"/>
            <w:noProof/>
            <w:webHidden/>
            <w:sz w:val="16"/>
            <w:szCs w:val="16"/>
          </w:rPr>
          <w:fldChar w:fldCharType="begin"/>
        </w:r>
        <w:r w:rsidR="000728A0" w:rsidRPr="001E2F6E">
          <w:rPr>
            <w:rFonts w:eastAsiaTheme="minorHAnsi" w:cstheme="minorBidi"/>
            <w:noProof/>
            <w:webHidden/>
            <w:sz w:val="16"/>
            <w:szCs w:val="16"/>
          </w:rPr>
          <w:instrText xml:space="preserve"> PAGEREF _Toc392585841 \h </w:instrText>
        </w:r>
        <w:r w:rsidR="00EB6BA6" w:rsidRPr="001E2F6E">
          <w:rPr>
            <w:rFonts w:eastAsiaTheme="minorHAnsi" w:cstheme="minorBidi"/>
            <w:noProof/>
            <w:webHidden/>
            <w:sz w:val="16"/>
            <w:szCs w:val="16"/>
          </w:rPr>
        </w:r>
        <w:r w:rsidR="00EB6BA6" w:rsidRPr="001E2F6E">
          <w:rPr>
            <w:rFonts w:eastAsiaTheme="minorHAnsi" w:cstheme="minorBidi"/>
            <w:noProof/>
            <w:webHidden/>
            <w:sz w:val="16"/>
            <w:szCs w:val="16"/>
          </w:rPr>
          <w:fldChar w:fldCharType="separate"/>
        </w:r>
        <w:r>
          <w:rPr>
            <w:rFonts w:eastAsiaTheme="minorHAnsi" w:cstheme="minorBidi"/>
            <w:noProof/>
            <w:webHidden/>
            <w:sz w:val="16"/>
            <w:szCs w:val="16"/>
          </w:rPr>
          <w:t>78</w:t>
        </w:r>
        <w:r w:rsidR="00EB6BA6" w:rsidRPr="001E2F6E">
          <w:rPr>
            <w:rFonts w:eastAsiaTheme="minorHAnsi" w:cstheme="minorBidi"/>
            <w:noProof/>
            <w:webHidden/>
            <w:sz w:val="16"/>
            <w:szCs w:val="16"/>
          </w:rPr>
          <w:fldChar w:fldCharType="end"/>
        </w:r>
      </w:hyperlink>
    </w:p>
    <w:p w:rsidR="000728A0" w:rsidRPr="001E2F6E" w:rsidRDefault="00A327D4" w:rsidP="00E84501">
      <w:pPr>
        <w:pStyle w:val="Tabladeilustraciones"/>
        <w:tabs>
          <w:tab w:val="right" w:leader="dot" w:pos="9072"/>
        </w:tabs>
        <w:spacing w:line="240" w:lineRule="auto"/>
        <w:ind w:left="1134" w:hanging="1134"/>
        <w:rPr>
          <w:rFonts w:eastAsiaTheme="minorHAnsi" w:cstheme="minorBidi"/>
          <w:noProof/>
          <w:sz w:val="16"/>
          <w:szCs w:val="16"/>
        </w:rPr>
      </w:pPr>
      <w:hyperlink w:anchor="_Toc392585842" w:history="1">
        <w:r w:rsidR="000728A0" w:rsidRPr="001E2F6E">
          <w:rPr>
            <w:rFonts w:eastAsiaTheme="minorHAnsi" w:cstheme="minorBidi"/>
            <w:noProof/>
            <w:sz w:val="16"/>
            <w:szCs w:val="16"/>
          </w:rPr>
          <w:t xml:space="preserve">3.8 Taula </w:t>
        </w:r>
        <w:r w:rsidR="00E84501" w:rsidRPr="001E2F6E">
          <w:rPr>
            <w:rFonts w:eastAsiaTheme="minorHAnsi" w:cstheme="minorBidi"/>
            <w:noProof/>
            <w:sz w:val="16"/>
            <w:szCs w:val="16"/>
          </w:rPr>
          <w:tab/>
        </w:r>
        <w:r w:rsidR="000728A0" w:rsidRPr="001E2F6E">
          <w:rPr>
            <w:rFonts w:eastAsiaTheme="minorHAnsi" w:cstheme="minorBidi"/>
            <w:noProof/>
            <w:sz w:val="16"/>
            <w:szCs w:val="16"/>
          </w:rPr>
          <w:t>LANKIDETZA-HARREMANAK IZATEKO AUKERATZEN DIREN ENPRESEN FORMA JURIDIKOA, FORMA JURIDIKOAREN ARABERA. 2012</w:t>
        </w:r>
        <w:r w:rsidR="000728A0" w:rsidRPr="001E2F6E">
          <w:rPr>
            <w:rFonts w:eastAsiaTheme="minorHAnsi" w:cstheme="minorBidi"/>
            <w:noProof/>
            <w:webHidden/>
            <w:sz w:val="16"/>
            <w:szCs w:val="16"/>
          </w:rPr>
          <w:tab/>
        </w:r>
        <w:r w:rsidR="00EB6BA6" w:rsidRPr="001E2F6E">
          <w:rPr>
            <w:rFonts w:eastAsiaTheme="minorHAnsi" w:cstheme="minorBidi"/>
            <w:noProof/>
            <w:webHidden/>
            <w:sz w:val="16"/>
            <w:szCs w:val="16"/>
          </w:rPr>
          <w:fldChar w:fldCharType="begin"/>
        </w:r>
        <w:r w:rsidR="000728A0" w:rsidRPr="001E2F6E">
          <w:rPr>
            <w:rFonts w:eastAsiaTheme="minorHAnsi" w:cstheme="minorBidi"/>
            <w:noProof/>
            <w:webHidden/>
            <w:sz w:val="16"/>
            <w:szCs w:val="16"/>
          </w:rPr>
          <w:instrText xml:space="preserve"> PAGEREF _Toc392585842 \h </w:instrText>
        </w:r>
        <w:r w:rsidR="00EB6BA6" w:rsidRPr="001E2F6E">
          <w:rPr>
            <w:rFonts w:eastAsiaTheme="minorHAnsi" w:cstheme="minorBidi"/>
            <w:noProof/>
            <w:webHidden/>
            <w:sz w:val="16"/>
            <w:szCs w:val="16"/>
          </w:rPr>
        </w:r>
        <w:r w:rsidR="00EB6BA6" w:rsidRPr="001E2F6E">
          <w:rPr>
            <w:rFonts w:eastAsiaTheme="minorHAnsi" w:cstheme="minorBidi"/>
            <w:noProof/>
            <w:webHidden/>
            <w:sz w:val="16"/>
            <w:szCs w:val="16"/>
          </w:rPr>
          <w:fldChar w:fldCharType="separate"/>
        </w:r>
        <w:r>
          <w:rPr>
            <w:rFonts w:eastAsiaTheme="minorHAnsi" w:cstheme="minorBidi"/>
            <w:noProof/>
            <w:webHidden/>
            <w:sz w:val="16"/>
            <w:szCs w:val="16"/>
          </w:rPr>
          <w:t>78</w:t>
        </w:r>
        <w:r w:rsidR="00EB6BA6" w:rsidRPr="001E2F6E">
          <w:rPr>
            <w:rFonts w:eastAsiaTheme="minorHAnsi" w:cstheme="minorBidi"/>
            <w:noProof/>
            <w:webHidden/>
            <w:sz w:val="16"/>
            <w:szCs w:val="16"/>
          </w:rPr>
          <w:fldChar w:fldCharType="end"/>
        </w:r>
      </w:hyperlink>
    </w:p>
    <w:p w:rsidR="000728A0" w:rsidRPr="001E2F6E" w:rsidRDefault="00A327D4" w:rsidP="00E84501">
      <w:pPr>
        <w:pStyle w:val="Tabladeilustraciones"/>
        <w:tabs>
          <w:tab w:val="right" w:leader="dot" w:pos="9072"/>
        </w:tabs>
        <w:spacing w:line="240" w:lineRule="auto"/>
        <w:ind w:left="1134" w:hanging="1134"/>
        <w:rPr>
          <w:rFonts w:eastAsiaTheme="minorHAnsi" w:cstheme="minorBidi"/>
          <w:noProof/>
          <w:sz w:val="16"/>
          <w:szCs w:val="16"/>
        </w:rPr>
      </w:pPr>
      <w:hyperlink w:anchor="_Toc392585843" w:history="1">
        <w:r w:rsidR="000728A0" w:rsidRPr="001E2F6E">
          <w:rPr>
            <w:rFonts w:eastAsiaTheme="minorHAnsi" w:cstheme="minorBidi"/>
            <w:noProof/>
            <w:sz w:val="16"/>
            <w:szCs w:val="16"/>
          </w:rPr>
          <w:t xml:space="preserve">3.9 Taula </w:t>
        </w:r>
        <w:r w:rsidR="00E84501" w:rsidRPr="001E2F6E">
          <w:rPr>
            <w:rFonts w:eastAsiaTheme="minorHAnsi" w:cstheme="minorBidi"/>
            <w:noProof/>
            <w:sz w:val="16"/>
            <w:szCs w:val="16"/>
          </w:rPr>
          <w:tab/>
        </w:r>
        <w:r w:rsidR="000728A0" w:rsidRPr="001E2F6E">
          <w:rPr>
            <w:rFonts w:eastAsiaTheme="minorHAnsi" w:cstheme="minorBidi"/>
            <w:noProof/>
            <w:sz w:val="16"/>
            <w:szCs w:val="16"/>
          </w:rPr>
          <w:t>ENPRESEN KOKAPEN GEOGRAFIKOA, FORMA JURIDIKOAREN ARABERA. 2012</w:t>
        </w:r>
        <w:r w:rsidR="000728A0" w:rsidRPr="001E2F6E">
          <w:rPr>
            <w:rFonts w:eastAsiaTheme="minorHAnsi" w:cstheme="minorBidi"/>
            <w:noProof/>
            <w:webHidden/>
            <w:sz w:val="16"/>
            <w:szCs w:val="16"/>
          </w:rPr>
          <w:tab/>
        </w:r>
        <w:r w:rsidR="00EB6BA6" w:rsidRPr="001E2F6E">
          <w:rPr>
            <w:rFonts w:eastAsiaTheme="minorHAnsi" w:cstheme="minorBidi"/>
            <w:noProof/>
            <w:webHidden/>
            <w:sz w:val="16"/>
            <w:szCs w:val="16"/>
          </w:rPr>
          <w:fldChar w:fldCharType="begin"/>
        </w:r>
        <w:r w:rsidR="000728A0" w:rsidRPr="001E2F6E">
          <w:rPr>
            <w:rFonts w:eastAsiaTheme="minorHAnsi" w:cstheme="minorBidi"/>
            <w:noProof/>
            <w:webHidden/>
            <w:sz w:val="16"/>
            <w:szCs w:val="16"/>
          </w:rPr>
          <w:instrText xml:space="preserve"> PAGEREF _Toc392585843 \h </w:instrText>
        </w:r>
        <w:r w:rsidR="00EB6BA6" w:rsidRPr="001E2F6E">
          <w:rPr>
            <w:rFonts w:eastAsiaTheme="minorHAnsi" w:cstheme="minorBidi"/>
            <w:noProof/>
            <w:webHidden/>
            <w:sz w:val="16"/>
            <w:szCs w:val="16"/>
          </w:rPr>
        </w:r>
        <w:r w:rsidR="00EB6BA6" w:rsidRPr="001E2F6E">
          <w:rPr>
            <w:rFonts w:eastAsiaTheme="minorHAnsi" w:cstheme="minorBidi"/>
            <w:noProof/>
            <w:webHidden/>
            <w:sz w:val="16"/>
            <w:szCs w:val="16"/>
          </w:rPr>
          <w:fldChar w:fldCharType="separate"/>
        </w:r>
        <w:r>
          <w:rPr>
            <w:rFonts w:eastAsiaTheme="minorHAnsi" w:cstheme="minorBidi"/>
            <w:noProof/>
            <w:webHidden/>
            <w:sz w:val="16"/>
            <w:szCs w:val="16"/>
          </w:rPr>
          <w:t>79</w:t>
        </w:r>
        <w:r w:rsidR="00EB6BA6" w:rsidRPr="001E2F6E">
          <w:rPr>
            <w:rFonts w:eastAsiaTheme="minorHAnsi" w:cstheme="minorBidi"/>
            <w:noProof/>
            <w:webHidden/>
            <w:sz w:val="16"/>
            <w:szCs w:val="16"/>
          </w:rPr>
          <w:fldChar w:fldCharType="end"/>
        </w:r>
      </w:hyperlink>
    </w:p>
    <w:p w:rsidR="000728A0" w:rsidRPr="001E2F6E" w:rsidRDefault="00EB6BA6" w:rsidP="00195BE7">
      <w:pPr>
        <w:pStyle w:val="Tabladeilustraciones"/>
        <w:tabs>
          <w:tab w:val="right" w:leader="dot" w:pos="9072"/>
        </w:tabs>
        <w:spacing w:line="240" w:lineRule="auto"/>
        <w:ind w:left="1134" w:hanging="1134"/>
        <w:rPr>
          <w:rFonts w:eastAsiaTheme="minorHAnsi" w:cstheme="minorBidi"/>
          <w:noProof/>
          <w:sz w:val="16"/>
          <w:szCs w:val="16"/>
        </w:rPr>
      </w:pPr>
      <w:r w:rsidRPr="001E2F6E">
        <w:rPr>
          <w:rFonts w:eastAsiaTheme="minorHAnsi" w:cstheme="minorBidi"/>
        </w:rPr>
        <w:fldChar w:fldCharType="end"/>
      </w:r>
      <w:r w:rsidRPr="001E2F6E">
        <w:rPr>
          <w:rFonts w:eastAsiaTheme="minorHAnsi" w:cstheme="minorBidi"/>
        </w:rPr>
        <w:fldChar w:fldCharType="begin"/>
      </w:r>
      <w:r w:rsidR="00195BE7" w:rsidRPr="001E2F6E">
        <w:rPr>
          <w:rFonts w:eastAsiaTheme="minorHAnsi" w:cstheme="minorBidi"/>
        </w:rPr>
        <w:instrText xml:space="preserve"> TOC \h \z \c "Gráfico 3." </w:instrText>
      </w:r>
      <w:r w:rsidRPr="001E2F6E">
        <w:rPr>
          <w:rFonts w:eastAsiaTheme="minorHAnsi" w:cstheme="minorBidi"/>
        </w:rPr>
        <w:fldChar w:fldCharType="separate"/>
      </w:r>
    </w:p>
    <w:p w:rsidR="000728A0" w:rsidRPr="001E2F6E" w:rsidRDefault="00A327D4" w:rsidP="00E84501">
      <w:pPr>
        <w:pStyle w:val="Tabladeilustraciones"/>
        <w:tabs>
          <w:tab w:val="right" w:leader="dot" w:pos="9072"/>
        </w:tabs>
        <w:spacing w:line="240" w:lineRule="auto"/>
        <w:ind w:left="1134" w:hanging="1134"/>
        <w:rPr>
          <w:rFonts w:eastAsiaTheme="minorHAnsi" w:cstheme="minorBidi"/>
          <w:noProof/>
          <w:sz w:val="16"/>
          <w:szCs w:val="16"/>
        </w:rPr>
      </w:pPr>
      <w:hyperlink w:anchor="_Toc392585844" w:history="1">
        <w:r w:rsidR="000728A0" w:rsidRPr="001E2F6E">
          <w:rPr>
            <w:rFonts w:eastAsiaTheme="minorHAnsi" w:cstheme="minorBidi"/>
            <w:noProof/>
            <w:sz w:val="16"/>
            <w:szCs w:val="16"/>
          </w:rPr>
          <w:t xml:space="preserve">3.1 Irudia </w:t>
        </w:r>
        <w:r w:rsidR="00E84501" w:rsidRPr="001E2F6E">
          <w:rPr>
            <w:rFonts w:eastAsiaTheme="minorHAnsi" w:cstheme="minorBidi"/>
            <w:noProof/>
            <w:sz w:val="16"/>
            <w:szCs w:val="16"/>
          </w:rPr>
          <w:tab/>
        </w:r>
        <w:r w:rsidR="000728A0" w:rsidRPr="001E2F6E">
          <w:rPr>
            <w:rFonts w:eastAsiaTheme="minorHAnsi" w:cstheme="minorBidi"/>
            <w:noProof/>
            <w:sz w:val="16"/>
            <w:szCs w:val="16"/>
          </w:rPr>
          <w:t>KRISIAREN AURREAN NEURRIAK HARTU DITUZTEN ENPRESEN EHUNEKOA 2012 (%)</w:t>
        </w:r>
        <w:r w:rsidR="000728A0" w:rsidRPr="001E2F6E">
          <w:rPr>
            <w:rFonts w:eastAsiaTheme="minorHAnsi" w:cstheme="minorBidi"/>
            <w:noProof/>
            <w:webHidden/>
            <w:sz w:val="16"/>
            <w:szCs w:val="16"/>
          </w:rPr>
          <w:tab/>
        </w:r>
        <w:r w:rsidR="00EB6BA6" w:rsidRPr="001E2F6E">
          <w:rPr>
            <w:rFonts w:eastAsiaTheme="minorHAnsi" w:cstheme="minorBidi"/>
            <w:noProof/>
            <w:webHidden/>
            <w:sz w:val="16"/>
            <w:szCs w:val="16"/>
          </w:rPr>
          <w:fldChar w:fldCharType="begin"/>
        </w:r>
        <w:r w:rsidR="000728A0" w:rsidRPr="001E2F6E">
          <w:rPr>
            <w:rFonts w:eastAsiaTheme="minorHAnsi" w:cstheme="minorBidi"/>
            <w:noProof/>
            <w:webHidden/>
            <w:sz w:val="16"/>
            <w:szCs w:val="16"/>
          </w:rPr>
          <w:instrText xml:space="preserve"> PAGEREF _Toc392585844 \h </w:instrText>
        </w:r>
        <w:r w:rsidR="00EB6BA6" w:rsidRPr="001E2F6E">
          <w:rPr>
            <w:rFonts w:eastAsiaTheme="minorHAnsi" w:cstheme="minorBidi"/>
            <w:noProof/>
            <w:webHidden/>
            <w:sz w:val="16"/>
            <w:szCs w:val="16"/>
          </w:rPr>
        </w:r>
        <w:r w:rsidR="00EB6BA6" w:rsidRPr="001E2F6E">
          <w:rPr>
            <w:rFonts w:eastAsiaTheme="minorHAnsi" w:cstheme="minorBidi"/>
            <w:noProof/>
            <w:webHidden/>
            <w:sz w:val="16"/>
            <w:szCs w:val="16"/>
          </w:rPr>
          <w:fldChar w:fldCharType="separate"/>
        </w:r>
        <w:r>
          <w:rPr>
            <w:rFonts w:eastAsiaTheme="minorHAnsi" w:cstheme="minorBidi"/>
            <w:noProof/>
            <w:webHidden/>
            <w:sz w:val="16"/>
            <w:szCs w:val="16"/>
          </w:rPr>
          <w:t>73</w:t>
        </w:r>
        <w:r w:rsidR="00EB6BA6" w:rsidRPr="001E2F6E">
          <w:rPr>
            <w:rFonts w:eastAsiaTheme="minorHAnsi" w:cstheme="minorBidi"/>
            <w:noProof/>
            <w:webHidden/>
            <w:sz w:val="16"/>
            <w:szCs w:val="16"/>
          </w:rPr>
          <w:fldChar w:fldCharType="end"/>
        </w:r>
      </w:hyperlink>
    </w:p>
    <w:p w:rsidR="000728A0" w:rsidRPr="001E2F6E" w:rsidRDefault="00A327D4" w:rsidP="00E84501">
      <w:pPr>
        <w:pStyle w:val="Tabladeilustraciones"/>
        <w:tabs>
          <w:tab w:val="right" w:leader="dot" w:pos="9072"/>
        </w:tabs>
        <w:spacing w:line="240" w:lineRule="auto"/>
        <w:ind w:left="1134" w:hanging="1134"/>
        <w:rPr>
          <w:rFonts w:eastAsiaTheme="minorHAnsi" w:cstheme="minorBidi"/>
          <w:noProof/>
          <w:sz w:val="16"/>
          <w:szCs w:val="16"/>
        </w:rPr>
      </w:pPr>
      <w:hyperlink w:anchor="_Toc392585845" w:history="1">
        <w:r w:rsidR="000728A0" w:rsidRPr="001E2F6E">
          <w:rPr>
            <w:rFonts w:eastAsiaTheme="minorHAnsi" w:cstheme="minorBidi"/>
            <w:noProof/>
            <w:sz w:val="16"/>
            <w:szCs w:val="16"/>
          </w:rPr>
          <w:t xml:space="preserve">3.2 Irudia </w:t>
        </w:r>
        <w:r w:rsidR="00E84501" w:rsidRPr="001E2F6E">
          <w:rPr>
            <w:rFonts w:eastAsiaTheme="minorHAnsi" w:cstheme="minorBidi"/>
            <w:noProof/>
            <w:sz w:val="16"/>
            <w:szCs w:val="16"/>
          </w:rPr>
          <w:tab/>
        </w:r>
        <w:r w:rsidR="000728A0" w:rsidRPr="001E2F6E">
          <w:rPr>
            <w:rFonts w:eastAsiaTheme="minorHAnsi" w:cstheme="minorBidi"/>
            <w:noProof/>
            <w:sz w:val="16"/>
            <w:szCs w:val="16"/>
          </w:rPr>
          <w:t>SOLDATA-DOIKUNTZAK EGIN DITUZTEN ENPRESEN EHUNEKOA</w:t>
        </w:r>
        <w:r w:rsidR="000728A0" w:rsidRPr="001E2F6E">
          <w:rPr>
            <w:rFonts w:eastAsiaTheme="minorHAnsi" w:cstheme="minorBidi"/>
            <w:noProof/>
            <w:webHidden/>
            <w:sz w:val="16"/>
            <w:szCs w:val="16"/>
          </w:rPr>
          <w:tab/>
        </w:r>
        <w:r w:rsidR="00EB6BA6" w:rsidRPr="001E2F6E">
          <w:rPr>
            <w:rFonts w:eastAsiaTheme="minorHAnsi" w:cstheme="minorBidi"/>
            <w:noProof/>
            <w:webHidden/>
            <w:sz w:val="16"/>
            <w:szCs w:val="16"/>
          </w:rPr>
          <w:fldChar w:fldCharType="begin"/>
        </w:r>
        <w:r w:rsidR="000728A0" w:rsidRPr="001E2F6E">
          <w:rPr>
            <w:rFonts w:eastAsiaTheme="minorHAnsi" w:cstheme="minorBidi"/>
            <w:noProof/>
            <w:webHidden/>
            <w:sz w:val="16"/>
            <w:szCs w:val="16"/>
          </w:rPr>
          <w:instrText xml:space="preserve"> PAGEREF _Toc392585845 \h </w:instrText>
        </w:r>
        <w:r w:rsidR="00EB6BA6" w:rsidRPr="001E2F6E">
          <w:rPr>
            <w:rFonts w:eastAsiaTheme="minorHAnsi" w:cstheme="minorBidi"/>
            <w:noProof/>
            <w:webHidden/>
            <w:sz w:val="16"/>
            <w:szCs w:val="16"/>
          </w:rPr>
        </w:r>
        <w:r w:rsidR="00EB6BA6" w:rsidRPr="001E2F6E">
          <w:rPr>
            <w:rFonts w:eastAsiaTheme="minorHAnsi" w:cstheme="minorBidi"/>
            <w:noProof/>
            <w:webHidden/>
            <w:sz w:val="16"/>
            <w:szCs w:val="16"/>
          </w:rPr>
          <w:fldChar w:fldCharType="separate"/>
        </w:r>
        <w:r>
          <w:rPr>
            <w:rFonts w:eastAsiaTheme="minorHAnsi" w:cstheme="minorBidi"/>
            <w:noProof/>
            <w:webHidden/>
            <w:sz w:val="16"/>
            <w:szCs w:val="16"/>
          </w:rPr>
          <w:t>73</w:t>
        </w:r>
        <w:r w:rsidR="00EB6BA6" w:rsidRPr="001E2F6E">
          <w:rPr>
            <w:rFonts w:eastAsiaTheme="minorHAnsi" w:cstheme="minorBidi"/>
            <w:noProof/>
            <w:webHidden/>
            <w:sz w:val="16"/>
            <w:szCs w:val="16"/>
          </w:rPr>
          <w:fldChar w:fldCharType="end"/>
        </w:r>
      </w:hyperlink>
    </w:p>
    <w:p w:rsidR="000728A0" w:rsidRPr="001E2F6E" w:rsidRDefault="00A327D4" w:rsidP="00E84501">
      <w:pPr>
        <w:pStyle w:val="Tabladeilustraciones"/>
        <w:tabs>
          <w:tab w:val="right" w:leader="dot" w:pos="9072"/>
        </w:tabs>
        <w:spacing w:line="240" w:lineRule="auto"/>
        <w:ind w:left="1134" w:hanging="1134"/>
        <w:rPr>
          <w:rFonts w:eastAsiaTheme="minorHAnsi" w:cstheme="minorBidi"/>
          <w:noProof/>
          <w:sz w:val="16"/>
          <w:szCs w:val="16"/>
        </w:rPr>
      </w:pPr>
      <w:hyperlink w:anchor="_Toc392585846" w:history="1">
        <w:r w:rsidR="000728A0" w:rsidRPr="001E2F6E">
          <w:rPr>
            <w:rFonts w:eastAsiaTheme="minorHAnsi" w:cstheme="minorBidi"/>
            <w:noProof/>
            <w:sz w:val="16"/>
            <w:szCs w:val="16"/>
          </w:rPr>
          <w:t xml:space="preserve">3.3 Irudia </w:t>
        </w:r>
        <w:r w:rsidR="00E84501" w:rsidRPr="001E2F6E">
          <w:rPr>
            <w:rFonts w:eastAsiaTheme="minorHAnsi" w:cstheme="minorBidi"/>
            <w:noProof/>
            <w:sz w:val="16"/>
            <w:szCs w:val="16"/>
          </w:rPr>
          <w:tab/>
        </w:r>
        <w:r w:rsidR="000728A0" w:rsidRPr="001E2F6E">
          <w:rPr>
            <w:rFonts w:eastAsiaTheme="minorHAnsi" w:cstheme="minorBidi"/>
            <w:noProof/>
            <w:sz w:val="16"/>
            <w:szCs w:val="16"/>
          </w:rPr>
          <w:t>PERTSONALEAN ETA DEDIKAZIO-ORDUETAN DOIKUNTZAK EGIN DITUZTEN ENPRESEN EHUNEKOA</w:t>
        </w:r>
        <w:r w:rsidR="000728A0" w:rsidRPr="001E2F6E">
          <w:rPr>
            <w:rFonts w:eastAsiaTheme="minorHAnsi" w:cstheme="minorBidi"/>
            <w:noProof/>
            <w:webHidden/>
            <w:sz w:val="16"/>
            <w:szCs w:val="16"/>
          </w:rPr>
          <w:tab/>
        </w:r>
        <w:r w:rsidR="00EB6BA6" w:rsidRPr="001E2F6E">
          <w:rPr>
            <w:rFonts w:eastAsiaTheme="minorHAnsi" w:cstheme="minorBidi"/>
            <w:noProof/>
            <w:webHidden/>
            <w:sz w:val="16"/>
            <w:szCs w:val="16"/>
          </w:rPr>
          <w:fldChar w:fldCharType="begin"/>
        </w:r>
        <w:r w:rsidR="000728A0" w:rsidRPr="001E2F6E">
          <w:rPr>
            <w:rFonts w:eastAsiaTheme="minorHAnsi" w:cstheme="minorBidi"/>
            <w:noProof/>
            <w:webHidden/>
            <w:sz w:val="16"/>
            <w:szCs w:val="16"/>
          </w:rPr>
          <w:instrText xml:space="preserve"> PAGEREF _Toc392585846 \h </w:instrText>
        </w:r>
        <w:r w:rsidR="00EB6BA6" w:rsidRPr="001E2F6E">
          <w:rPr>
            <w:rFonts w:eastAsiaTheme="minorHAnsi" w:cstheme="minorBidi"/>
            <w:noProof/>
            <w:webHidden/>
            <w:sz w:val="16"/>
            <w:szCs w:val="16"/>
          </w:rPr>
        </w:r>
        <w:r w:rsidR="00EB6BA6" w:rsidRPr="001E2F6E">
          <w:rPr>
            <w:rFonts w:eastAsiaTheme="minorHAnsi" w:cstheme="minorBidi"/>
            <w:noProof/>
            <w:webHidden/>
            <w:sz w:val="16"/>
            <w:szCs w:val="16"/>
          </w:rPr>
          <w:fldChar w:fldCharType="separate"/>
        </w:r>
        <w:r>
          <w:rPr>
            <w:rFonts w:eastAsiaTheme="minorHAnsi" w:cstheme="minorBidi"/>
            <w:noProof/>
            <w:webHidden/>
            <w:sz w:val="16"/>
            <w:szCs w:val="16"/>
          </w:rPr>
          <w:t>74</w:t>
        </w:r>
        <w:r w:rsidR="00EB6BA6" w:rsidRPr="001E2F6E">
          <w:rPr>
            <w:rFonts w:eastAsiaTheme="minorHAnsi" w:cstheme="minorBidi"/>
            <w:noProof/>
            <w:webHidden/>
            <w:sz w:val="16"/>
            <w:szCs w:val="16"/>
          </w:rPr>
          <w:fldChar w:fldCharType="end"/>
        </w:r>
      </w:hyperlink>
    </w:p>
    <w:p w:rsidR="000728A0" w:rsidRPr="001E2F6E" w:rsidRDefault="00A327D4" w:rsidP="00E84501">
      <w:pPr>
        <w:pStyle w:val="Tabladeilustraciones"/>
        <w:tabs>
          <w:tab w:val="right" w:leader="dot" w:pos="9072"/>
        </w:tabs>
        <w:spacing w:line="240" w:lineRule="auto"/>
        <w:ind w:left="1134" w:hanging="1134"/>
        <w:rPr>
          <w:rFonts w:eastAsiaTheme="minorHAnsi" w:cstheme="minorBidi"/>
          <w:noProof/>
          <w:sz w:val="16"/>
          <w:szCs w:val="16"/>
        </w:rPr>
      </w:pPr>
      <w:hyperlink w:anchor="_Toc392585847" w:history="1">
        <w:r w:rsidR="000728A0" w:rsidRPr="001E2F6E">
          <w:rPr>
            <w:rFonts w:eastAsiaTheme="minorHAnsi" w:cstheme="minorBidi"/>
            <w:noProof/>
            <w:sz w:val="16"/>
            <w:szCs w:val="16"/>
          </w:rPr>
          <w:t xml:space="preserve">3.4 Irudia </w:t>
        </w:r>
        <w:r w:rsidR="00E84501" w:rsidRPr="001E2F6E">
          <w:rPr>
            <w:rFonts w:eastAsiaTheme="minorHAnsi" w:cstheme="minorBidi"/>
            <w:noProof/>
            <w:sz w:val="16"/>
            <w:szCs w:val="16"/>
          </w:rPr>
          <w:tab/>
        </w:r>
        <w:r w:rsidR="000728A0" w:rsidRPr="001E2F6E">
          <w:rPr>
            <w:rFonts w:eastAsiaTheme="minorHAnsi" w:cstheme="minorBidi"/>
            <w:noProof/>
            <w:sz w:val="16"/>
            <w:szCs w:val="16"/>
          </w:rPr>
          <w:t>KOOPERATIBEN ARTEKO LANKIDETZA-AKORDIO SOLIDARIOAK EGIN DITUZTEN ENPRESEN EHUNEKOA</w:t>
        </w:r>
        <w:r w:rsidR="000728A0" w:rsidRPr="001E2F6E">
          <w:rPr>
            <w:rFonts w:eastAsiaTheme="minorHAnsi" w:cstheme="minorBidi"/>
            <w:noProof/>
            <w:webHidden/>
            <w:sz w:val="16"/>
            <w:szCs w:val="16"/>
          </w:rPr>
          <w:tab/>
        </w:r>
        <w:r w:rsidR="00EB6BA6" w:rsidRPr="001E2F6E">
          <w:rPr>
            <w:rFonts w:eastAsiaTheme="minorHAnsi" w:cstheme="minorBidi"/>
            <w:noProof/>
            <w:webHidden/>
            <w:sz w:val="16"/>
            <w:szCs w:val="16"/>
          </w:rPr>
          <w:fldChar w:fldCharType="begin"/>
        </w:r>
        <w:r w:rsidR="000728A0" w:rsidRPr="001E2F6E">
          <w:rPr>
            <w:rFonts w:eastAsiaTheme="minorHAnsi" w:cstheme="minorBidi"/>
            <w:noProof/>
            <w:webHidden/>
            <w:sz w:val="16"/>
            <w:szCs w:val="16"/>
          </w:rPr>
          <w:instrText xml:space="preserve"> PAGEREF _Toc392585847 \h </w:instrText>
        </w:r>
        <w:r w:rsidR="00EB6BA6" w:rsidRPr="001E2F6E">
          <w:rPr>
            <w:rFonts w:eastAsiaTheme="minorHAnsi" w:cstheme="minorBidi"/>
            <w:noProof/>
            <w:webHidden/>
            <w:sz w:val="16"/>
            <w:szCs w:val="16"/>
          </w:rPr>
        </w:r>
        <w:r w:rsidR="00EB6BA6" w:rsidRPr="001E2F6E">
          <w:rPr>
            <w:rFonts w:eastAsiaTheme="minorHAnsi" w:cstheme="minorBidi"/>
            <w:noProof/>
            <w:webHidden/>
            <w:sz w:val="16"/>
            <w:szCs w:val="16"/>
          </w:rPr>
          <w:fldChar w:fldCharType="separate"/>
        </w:r>
        <w:r>
          <w:rPr>
            <w:rFonts w:eastAsiaTheme="minorHAnsi" w:cstheme="minorBidi"/>
            <w:noProof/>
            <w:webHidden/>
            <w:sz w:val="16"/>
            <w:szCs w:val="16"/>
          </w:rPr>
          <w:t>74</w:t>
        </w:r>
        <w:r w:rsidR="00EB6BA6" w:rsidRPr="001E2F6E">
          <w:rPr>
            <w:rFonts w:eastAsiaTheme="minorHAnsi" w:cstheme="minorBidi"/>
            <w:noProof/>
            <w:webHidden/>
            <w:sz w:val="16"/>
            <w:szCs w:val="16"/>
          </w:rPr>
          <w:fldChar w:fldCharType="end"/>
        </w:r>
      </w:hyperlink>
    </w:p>
    <w:p w:rsidR="000728A0" w:rsidRPr="001E2F6E" w:rsidRDefault="00A327D4" w:rsidP="00E84501">
      <w:pPr>
        <w:pStyle w:val="Tabladeilustraciones"/>
        <w:tabs>
          <w:tab w:val="right" w:leader="dot" w:pos="9072"/>
        </w:tabs>
        <w:spacing w:line="240" w:lineRule="auto"/>
        <w:ind w:left="1134" w:hanging="1134"/>
        <w:rPr>
          <w:rFonts w:eastAsiaTheme="minorHAnsi" w:cstheme="minorBidi"/>
          <w:noProof/>
          <w:sz w:val="16"/>
          <w:szCs w:val="16"/>
        </w:rPr>
      </w:pPr>
      <w:hyperlink w:anchor="_Toc392585848" w:history="1">
        <w:r w:rsidR="000728A0" w:rsidRPr="001E2F6E">
          <w:rPr>
            <w:rFonts w:eastAsiaTheme="minorHAnsi" w:cstheme="minorBidi"/>
            <w:noProof/>
            <w:sz w:val="16"/>
            <w:szCs w:val="16"/>
          </w:rPr>
          <w:t xml:space="preserve">3.5 Irudia </w:t>
        </w:r>
        <w:r w:rsidR="00E84501" w:rsidRPr="001E2F6E">
          <w:rPr>
            <w:rFonts w:eastAsiaTheme="minorHAnsi" w:cstheme="minorBidi"/>
            <w:noProof/>
            <w:sz w:val="16"/>
            <w:szCs w:val="16"/>
          </w:rPr>
          <w:tab/>
        </w:r>
        <w:r w:rsidR="000728A0" w:rsidRPr="001E2F6E">
          <w:rPr>
            <w:rFonts w:eastAsiaTheme="minorHAnsi" w:cstheme="minorBidi"/>
            <w:noProof/>
            <w:sz w:val="16"/>
            <w:szCs w:val="16"/>
          </w:rPr>
          <w:t>INGURUMENAREKIN LOTUTAKO JARDUERAREN BAT BURUTZEN DUTEN ENPRESEN PORTZENTAJEA, ENPLEGU-MAILAREN ARABERA 2012 (maila guztietako enpresa guztien %)</w:t>
        </w:r>
        <w:r w:rsidR="000728A0" w:rsidRPr="001E2F6E">
          <w:rPr>
            <w:rFonts w:eastAsiaTheme="minorHAnsi" w:cstheme="minorBidi"/>
            <w:noProof/>
            <w:webHidden/>
            <w:sz w:val="16"/>
            <w:szCs w:val="16"/>
          </w:rPr>
          <w:tab/>
        </w:r>
        <w:r w:rsidR="00EB6BA6" w:rsidRPr="001E2F6E">
          <w:rPr>
            <w:rFonts w:eastAsiaTheme="minorHAnsi" w:cstheme="minorBidi"/>
            <w:noProof/>
            <w:webHidden/>
            <w:sz w:val="16"/>
            <w:szCs w:val="16"/>
          </w:rPr>
          <w:fldChar w:fldCharType="begin"/>
        </w:r>
        <w:r w:rsidR="000728A0" w:rsidRPr="001E2F6E">
          <w:rPr>
            <w:rFonts w:eastAsiaTheme="minorHAnsi" w:cstheme="minorBidi"/>
            <w:noProof/>
            <w:webHidden/>
            <w:sz w:val="16"/>
            <w:szCs w:val="16"/>
          </w:rPr>
          <w:instrText xml:space="preserve"> PAGEREF _Toc392585848 \h </w:instrText>
        </w:r>
        <w:r w:rsidR="00EB6BA6" w:rsidRPr="001E2F6E">
          <w:rPr>
            <w:rFonts w:eastAsiaTheme="minorHAnsi" w:cstheme="minorBidi"/>
            <w:noProof/>
            <w:webHidden/>
            <w:sz w:val="16"/>
            <w:szCs w:val="16"/>
          </w:rPr>
        </w:r>
        <w:r w:rsidR="00EB6BA6" w:rsidRPr="001E2F6E">
          <w:rPr>
            <w:rFonts w:eastAsiaTheme="minorHAnsi" w:cstheme="minorBidi"/>
            <w:noProof/>
            <w:webHidden/>
            <w:sz w:val="16"/>
            <w:szCs w:val="16"/>
          </w:rPr>
          <w:fldChar w:fldCharType="separate"/>
        </w:r>
        <w:r>
          <w:rPr>
            <w:rFonts w:eastAsiaTheme="minorHAnsi" w:cstheme="minorBidi"/>
            <w:noProof/>
            <w:webHidden/>
            <w:sz w:val="16"/>
            <w:szCs w:val="16"/>
          </w:rPr>
          <w:t>77</w:t>
        </w:r>
        <w:r w:rsidR="00EB6BA6" w:rsidRPr="001E2F6E">
          <w:rPr>
            <w:rFonts w:eastAsiaTheme="minorHAnsi" w:cstheme="minorBidi"/>
            <w:noProof/>
            <w:webHidden/>
            <w:sz w:val="16"/>
            <w:szCs w:val="16"/>
          </w:rPr>
          <w:fldChar w:fldCharType="end"/>
        </w:r>
      </w:hyperlink>
    </w:p>
    <w:p w:rsidR="000728A0" w:rsidRPr="001E2F6E" w:rsidRDefault="00A327D4" w:rsidP="00E84501">
      <w:pPr>
        <w:pStyle w:val="Tabladeilustraciones"/>
        <w:tabs>
          <w:tab w:val="right" w:leader="dot" w:pos="9072"/>
        </w:tabs>
        <w:spacing w:line="240" w:lineRule="auto"/>
        <w:ind w:left="1134" w:hanging="1134"/>
        <w:rPr>
          <w:rFonts w:eastAsiaTheme="minorHAnsi" w:cstheme="minorBidi"/>
          <w:noProof/>
          <w:sz w:val="16"/>
          <w:szCs w:val="16"/>
        </w:rPr>
      </w:pPr>
      <w:hyperlink w:anchor="_Toc392585849" w:history="1">
        <w:r w:rsidR="000728A0" w:rsidRPr="001E2F6E">
          <w:rPr>
            <w:rFonts w:eastAsiaTheme="minorHAnsi" w:cstheme="minorBidi"/>
            <w:noProof/>
            <w:sz w:val="16"/>
            <w:szCs w:val="16"/>
          </w:rPr>
          <w:t xml:space="preserve">3.6 Irudia </w:t>
        </w:r>
        <w:r w:rsidR="00E84501" w:rsidRPr="001E2F6E">
          <w:rPr>
            <w:rFonts w:eastAsiaTheme="minorHAnsi" w:cstheme="minorBidi"/>
            <w:noProof/>
            <w:sz w:val="16"/>
            <w:szCs w:val="16"/>
          </w:rPr>
          <w:tab/>
        </w:r>
        <w:r w:rsidR="000728A0" w:rsidRPr="001E2F6E">
          <w:rPr>
            <w:rFonts w:eastAsiaTheme="minorHAnsi" w:cstheme="minorBidi"/>
            <w:noProof/>
            <w:sz w:val="16"/>
            <w:szCs w:val="16"/>
          </w:rPr>
          <w:t>PRESTAKUNTZA KOOPERATIBA ETA SOZIETATE LABORALEN ALORREKOA, ENPRESAREN TAMAINAREN ARABERA (alor honetan jarduerak burutzen dituzten enpresen %, enplegu-mailaren arabera). 2012</w:t>
        </w:r>
        <w:r w:rsidR="000728A0" w:rsidRPr="001E2F6E">
          <w:rPr>
            <w:rFonts w:eastAsiaTheme="minorHAnsi" w:cstheme="minorBidi"/>
            <w:noProof/>
            <w:webHidden/>
            <w:sz w:val="16"/>
            <w:szCs w:val="16"/>
          </w:rPr>
          <w:tab/>
        </w:r>
        <w:r w:rsidR="00EB6BA6" w:rsidRPr="001E2F6E">
          <w:rPr>
            <w:rFonts w:eastAsiaTheme="minorHAnsi" w:cstheme="minorBidi"/>
            <w:noProof/>
            <w:webHidden/>
            <w:sz w:val="16"/>
            <w:szCs w:val="16"/>
          </w:rPr>
          <w:fldChar w:fldCharType="begin"/>
        </w:r>
        <w:r w:rsidR="000728A0" w:rsidRPr="001E2F6E">
          <w:rPr>
            <w:rFonts w:eastAsiaTheme="minorHAnsi" w:cstheme="minorBidi"/>
            <w:noProof/>
            <w:webHidden/>
            <w:sz w:val="16"/>
            <w:szCs w:val="16"/>
          </w:rPr>
          <w:instrText xml:space="preserve"> PAGEREF _Toc392585849 \h </w:instrText>
        </w:r>
        <w:r w:rsidR="00EB6BA6" w:rsidRPr="001E2F6E">
          <w:rPr>
            <w:rFonts w:eastAsiaTheme="minorHAnsi" w:cstheme="minorBidi"/>
            <w:noProof/>
            <w:webHidden/>
            <w:sz w:val="16"/>
            <w:szCs w:val="16"/>
          </w:rPr>
        </w:r>
        <w:r w:rsidR="00EB6BA6" w:rsidRPr="001E2F6E">
          <w:rPr>
            <w:rFonts w:eastAsiaTheme="minorHAnsi" w:cstheme="minorBidi"/>
            <w:noProof/>
            <w:webHidden/>
            <w:sz w:val="16"/>
            <w:szCs w:val="16"/>
          </w:rPr>
          <w:fldChar w:fldCharType="separate"/>
        </w:r>
        <w:r>
          <w:rPr>
            <w:rFonts w:eastAsiaTheme="minorHAnsi" w:cstheme="minorBidi"/>
            <w:noProof/>
            <w:webHidden/>
            <w:sz w:val="16"/>
            <w:szCs w:val="16"/>
          </w:rPr>
          <w:t>77</w:t>
        </w:r>
        <w:r w:rsidR="00EB6BA6" w:rsidRPr="001E2F6E">
          <w:rPr>
            <w:rFonts w:eastAsiaTheme="minorHAnsi" w:cstheme="minorBidi"/>
            <w:noProof/>
            <w:webHidden/>
            <w:sz w:val="16"/>
            <w:szCs w:val="16"/>
          </w:rPr>
          <w:fldChar w:fldCharType="end"/>
        </w:r>
      </w:hyperlink>
    </w:p>
    <w:p w:rsidR="000728A0" w:rsidRPr="001E2F6E" w:rsidRDefault="00A327D4" w:rsidP="00E84501">
      <w:pPr>
        <w:pStyle w:val="Tabladeilustraciones"/>
        <w:tabs>
          <w:tab w:val="right" w:leader="dot" w:pos="9072"/>
        </w:tabs>
        <w:spacing w:line="240" w:lineRule="auto"/>
        <w:ind w:left="1134" w:hanging="1134"/>
        <w:rPr>
          <w:rFonts w:eastAsiaTheme="minorHAnsi" w:cstheme="minorBidi"/>
          <w:noProof/>
          <w:sz w:val="16"/>
          <w:szCs w:val="16"/>
        </w:rPr>
      </w:pPr>
      <w:hyperlink w:anchor="_Toc392585850" w:history="1">
        <w:r w:rsidR="000728A0" w:rsidRPr="001E2F6E">
          <w:rPr>
            <w:rFonts w:eastAsiaTheme="minorHAnsi" w:cstheme="minorBidi"/>
            <w:noProof/>
            <w:sz w:val="16"/>
            <w:szCs w:val="16"/>
          </w:rPr>
          <w:t xml:space="preserve">3.7 Irudia </w:t>
        </w:r>
        <w:r w:rsidR="00E84501" w:rsidRPr="001E2F6E">
          <w:rPr>
            <w:rFonts w:eastAsiaTheme="minorHAnsi" w:cstheme="minorBidi"/>
            <w:noProof/>
            <w:sz w:val="16"/>
            <w:szCs w:val="16"/>
          </w:rPr>
          <w:tab/>
        </w:r>
        <w:r w:rsidR="000728A0" w:rsidRPr="001E2F6E">
          <w:rPr>
            <w:rFonts w:eastAsiaTheme="minorHAnsi" w:cstheme="minorBidi"/>
            <w:noProof/>
            <w:sz w:val="16"/>
            <w:szCs w:val="16"/>
          </w:rPr>
          <w:t>PRESTAKUNTZA KOOPERATIBOA ETA SOZIETATE LABORALEN INGURUKOA. Prestakuntza jaso dutenak 2012</w:t>
        </w:r>
        <w:r w:rsidR="000728A0" w:rsidRPr="001E2F6E">
          <w:rPr>
            <w:rFonts w:eastAsiaTheme="minorHAnsi" w:cstheme="minorBidi"/>
            <w:noProof/>
            <w:webHidden/>
            <w:sz w:val="16"/>
            <w:szCs w:val="16"/>
          </w:rPr>
          <w:tab/>
        </w:r>
        <w:r w:rsidR="00EB6BA6" w:rsidRPr="001E2F6E">
          <w:rPr>
            <w:rFonts w:eastAsiaTheme="minorHAnsi" w:cstheme="minorBidi"/>
            <w:noProof/>
            <w:webHidden/>
            <w:sz w:val="16"/>
            <w:szCs w:val="16"/>
          </w:rPr>
          <w:fldChar w:fldCharType="begin"/>
        </w:r>
        <w:r w:rsidR="000728A0" w:rsidRPr="001E2F6E">
          <w:rPr>
            <w:rFonts w:eastAsiaTheme="minorHAnsi" w:cstheme="minorBidi"/>
            <w:noProof/>
            <w:webHidden/>
            <w:sz w:val="16"/>
            <w:szCs w:val="16"/>
          </w:rPr>
          <w:instrText xml:space="preserve"> PAGEREF _Toc392585850 \h </w:instrText>
        </w:r>
        <w:r w:rsidR="00EB6BA6" w:rsidRPr="001E2F6E">
          <w:rPr>
            <w:rFonts w:eastAsiaTheme="minorHAnsi" w:cstheme="minorBidi"/>
            <w:noProof/>
            <w:webHidden/>
            <w:sz w:val="16"/>
            <w:szCs w:val="16"/>
          </w:rPr>
        </w:r>
        <w:r w:rsidR="00EB6BA6" w:rsidRPr="001E2F6E">
          <w:rPr>
            <w:rFonts w:eastAsiaTheme="minorHAnsi" w:cstheme="minorBidi"/>
            <w:noProof/>
            <w:webHidden/>
            <w:sz w:val="16"/>
            <w:szCs w:val="16"/>
          </w:rPr>
          <w:fldChar w:fldCharType="separate"/>
        </w:r>
        <w:r>
          <w:rPr>
            <w:rFonts w:eastAsiaTheme="minorHAnsi" w:cstheme="minorBidi"/>
            <w:noProof/>
            <w:webHidden/>
            <w:sz w:val="16"/>
            <w:szCs w:val="16"/>
          </w:rPr>
          <w:t>77</w:t>
        </w:r>
        <w:r w:rsidR="00EB6BA6" w:rsidRPr="001E2F6E">
          <w:rPr>
            <w:rFonts w:eastAsiaTheme="minorHAnsi" w:cstheme="minorBidi"/>
            <w:noProof/>
            <w:webHidden/>
            <w:sz w:val="16"/>
            <w:szCs w:val="16"/>
          </w:rPr>
          <w:fldChar w:fldCharType="end"/>
        </w:r>
      </w:hyperlink>
    </w:p>
    <w:p w:rsidR="000728A0" w:rsidRPr="001E2F6E" w:rsidRDefault="00A327D4" w:rsidP="00E84501">
      <w:pPr>
        <w:pStyle w:val="Tabladeilustraciones"/>
        <w:tabs>
          <w:tab w:val="right" w:leader="dot" w:pos="9072"/>
        </w:tabs>
        <w:spacing w:line="240" w:lineRule="auto"/>
        <w:ind w:left="1134" w:hanging="1134"/>
        <w:rPr>
          <w:rFonts w:eastAsiaTheme="minorHAnsi" w:cstheme="minorBidi"/>
          <w:noProof/>
          <w:sz w:val="16"/>
          <w:szCs w:val="16"/>
        </w:rPr>
      </w:pPr>
      <w:hyperlink w:anchor="_Toc392585851" w:history="1">
        <w:r w:rsidR="000728A0" w:rsidRPr="001E2F6E">
          <w:rPr>
            <w:rFonts w:eastAsiaTheme="minorHAnsi" w:cstheme="minorBidi"/>
            <w:noProof/>
            <w:sz w:val="16"/>
            <w:szCs w:val="16"/>
          </w:rPr>
          <w:t xml:space="preserve">3.8 Irudia </w:t>
        </w:r>
        <w:r w:rsidR="00E84501" w:rsidRPr="001E2F6E">
          <w:rPr>
            <w:rFonts w:eastAsiaTheme="minorHAnsi" w:cstheme="minorBidi"/>
            <w:noProof/>
            <w:sz w:val="16"/>
            <w:szCs w:val="16"/>
          </w:rPr>
          <w:tab/>
        </w:r>
        <w:r w:rsidR="000728A0" w:rsidRPr="001E2F6E">
          <w:rPr>
            <w:rFonts w:eastAsiaTheme="minorHAnsi" w:cstheme="minorBidi"/>
            <w:noProof/>
            <w:sz w:val="16"/>
            <w:szCs w:val="16"/>
          </w:rPr>
          <w:t>GIZARTE-EKONOMIAREN ALORREKO ENPRESEN ARTEKO LANKIDETZA-HARREMANEN IZAERA. 2010 (enpresa -ehunekoa kopuru osoarekiko)</w:t>
        </w:r>
        <w:r w:rsidR="000728A0" w:rsidRPr="001E2F6E">
          <w:rPr>
            <w:rFonts w:eastAsiaTheme="minorHAnsi" w:cstheme="minorBidi"/>
            <w:noProof/>
            <w:webHidden/>
            <w:sz w:val="16"/>
            <w:szCs w:val="16"/>
          </w:rPr>
          <w:tab/>
        </w:r>
        <w:r w:rsidR="00EB6BA6" w:rsidRPr="001E2F6E">
          <w:rPr>
            <w:rFonts w:eastAsiaTheme="minorHAnsi" w:cstheme="minorBidi"/>
            <w:noProof/>
            <w:webHidden/>
            <w:sz w:val="16"/>
            <w:szCs w:val="16"/>
          </w:rPr>
          <w:fldChar w:fldCharType="begin"/>
        </w:r>
        <w:r w:rsidR="000728A0" w:rsidRPr="001E2F6E">
          <w:rPr>
            <w:rFonts w:eastAsiaTheme="minorHAnsi" w:cstheme="minorBidi"/>
            <w:noProof/>
            <w:webHidden/>
            <w:sz w:val="16"/>
            <w:szCs w:val="16"/>
          </w:rPr>
          <w:instrText xml:space="preserve"> PAGEREF _Toc392585851 \h </w:instrText>
        </w:r>
        <w:r w:rsidR="00EB6BA6" w:rsidRPr="001E2F6E">
          <w:rPr>
            <w:rFonts w:eastAsiaTheme="minorHAnsi" w:cstheme="minorBidi"/>
            <w:noProof/>
            <w:webHidden/>
            <w:sz w:val="16"/>
            <w:szCs w:val="16"/>
          </w:rPr>
        </w:r>
        <w:r w:rsidR="00EB6BA6" w:rsidRPr="001E2F6E">
          <w:rPr>
            <w:rFonts w:eastAsiaTheme="minorHAnsi" w:cstheme="minorBidi"/>
            <w:noProof/>
            <w:webHidden/>
            <w:sz w:val="16"/>
            <w:szCs w:val="16"/>
          </w:rPr>
          <w:fldChar w:fldCharType="separate"/>
        </w:r>
        <w:r>
          <w:rPr>
            <w:rFonts w:eastAsiaTheme="minorHAnsi" w:cstheme="minorBidi"/>
            <w:noProof/>
            <w:webHidden/>
            <w:sz w:val="16"/>
            <w:szCs w:val="16"/>
          </w:rPr>
          <w:t>78</w:t>
        </w:r>
        <w:r w:rsidR="00EB6BA6" w:rsidRPr="001E2F6E">
          <w:rPr>
            <w:rFonts w:eastAsiaTheme="minorHAnsi" w:cstheme="minorBidi"/>
            <w:noProof/>
            <w:webHidden/>
            <w:sz w:val="16"/>
            <w:szCs w:val="16"/>
          </w:rPr>
          <w:fldChar w:fldCharType="end"/>
        </w:r>
      </w:hyperlink>
    </w:p>
    <w:p w:rsidR="000728A0" w:rsidRPr="001E2F6E" w:rsidRDefault="00A327D4" w:rsidP="00E84501">
      <w:pPr>
        <w:pStyle w:val="Tabladeilustraciones"/>
        <w:tabs>
          <w:tab w:val="right" w:leader="dot" w:pos="9072"/>
        </w:tabs>
        <w:spacing w:line="240" w:lineRule="auto"/>
        <w:ind w:left="1134" w:hanging="1134"/>
        <w:rPr>
          <w:rFonts w:eastAsiaTheme="minorHAnsi" w:cstheme="minorBidi"/>
          <w:noProof/>
          <w:sz w:val="16"/>
          <w:szCs w:val="16"/>
        </w:rPr>
      </w:pPr>
      <w:hyperlink w:anchor="_Toc392585852" w:history="1">
        <w:r w:rsidR="000728A0" w:rsidRPr="001E2F6E">
          <w:rPr>
            <w:rFonts w:eastAsiaTheme="minorHAnsi" w:cstheme="minorBidi"/>
            <w:noProof/>
            <w:sz w:val="16"/>
            <w:szCs w:val="16"/>
          </w:rPr>
          <w:t xml:space="preserve">3.9 Irudia </w:t>
        </w:r>
        <w:r w:rsidR="00E84501" w:rsidRPr="001E2F6E">
          <w:rPr>
            <w:rFonts w:eastAsiaTheme="minorHAnsi" w:cstheme="minorBidi"/>
            <w:noProof/>
            <w:sz w:val="16"/>
            <w:szCs w:val="16"/>
          </w:rPr>
          <w:tab/>
        </w:r>
        <w:r w:rsidR="000728A0" w:rsidRPr="001E2F6E">
          <w:rPr>
            <w:rFonts w:eastAsiaTheme="minorHAnsi" w:cstheme="minorBidi"/>
            <w:noProof/>
            <w:sz w:val="16"/>
            <w:szCs w:val="16"/>
          </w:rPr>
          <w:t>ENPRESEN ARTEKO LANKIDETZA, ESTABLEZIMENDUAREN TAMAINAREN ARABERA. 2012 (enpresa portzentajea kopuru osoarekiko)</w:t>
        </w:r>
        <w:r w:rsidR="000728A0" w:rsidRPr="001E2F6E">
          <w:rPr>
            <w:rFonts w:eastAsiaTheme="minorHAnsi" w:cstheme="minorBidi"/>
            <w:noProof/>
            <w:webHidden/>
            <w:sz w:val="16"/>
            <w:szCs w:val="16"/>
          </w:rPr>
          <w:tab/>
        </w:r>
        <w:r w:rsidR="00EB6BA6" w:rsidRPr="001E2F6E">
          <w:rPr>
            <w:rFonts w:eastAsiaTheme="minorHAnsi" w:cstheme="minorBidi"/>
            <w:noProof/>
            <w:webHidden/>
            <w:sz w:val="16"/>
            <w:szCs w:val="16"/>
          </w:rPr>
          <w:fldChar w:fldCharType="begin"/>
        </w:r>
        <w:r w:rsidR="000728A0" w:rsidRPr="001E2F6E">
          <w:rPr>
            <w:rFonts w:eastAsiaTheme="minorHAnsi" w:cstheme="minorBidi"/>
            <w:noProof/>
            <w:webHidden/>
            <w:sz w:val="16"/>
            <w:szCs w:val="16"/>
          </w:rPr>
          <w:instrText xml:space="preserve"> PAGEREF _Toc392585852 \h </w:instrText>
        </w:r>
        <w:r w:rsidR="00EB6BA6" w:rsidRPr="001E2F6E">
          <w:rPr>
            <w:rFonts w:eastAsiaTheme="minorHAnsi" w:cstheme="minorBidi"/>
            <w:noProof/>
            <w:webHidden/>
            <w:sz w:val="16"/>
            <w:szCs w:val="16"/>
          </w:rPr>
        </w:r>
        <w:r w:rsidR="00EB6BA6" w:rsidRPr="001E2F6E">
          <w:rPr>
            <w:rFonts w:eastAsiaTheme="minorHAnsi" w:cstheme="minorBidi"/>
            <w:noProof/>
            <w:webHidden/>
            <w:sz w:val="16"/>
            <w:szCs w:val="16"/>
          </w:rPr>
          <w:fldChar w:fldCharType="separate"/>
        </w:r>
        <w:r>
          <w:rPr>
            <w:rFonts w:eastAsiaTheme="minorHAnsi" w:cstheme="minorBidi"/>
            <w:noProof/>
            <w:webHidden/>
            <w:sz w:val="16"/>
            <w:szCs w:val="16"/>
          </w:rPr>
          <w:t>78</w:t>
        </w:r>
        <w:r w:rsidR="00EB6BA6" w:rsidRPr="001E2F6E">
          <w:rPr>
            <w:rFonts w:eastAsiaTheme="minorHAnsi" w:cstheme="minorBidi"/>
            <w:noProof/>
            <w:webHidden/>
            <w:sz w:val="16"/>
            <w:szCs w:val="16"/>
          </w:rPr>
          <w:fldChar w:fldCharType="end"/>
        </w:r>
      </w:hyperlink>
    </w:p>
    <w:p w:rsidR="000728A0" w:rsidRPr="001E2F6E" w:rsidRDefault="00A327D4" w:rsidP="00E84501">
      <w:pPr>
        <w:pStyle w:val="Tabladeilustraciones"/>
        <w:tabs>
          <w:tab w:val="right" w:leader="dot" w:pos="9072"/>
        </w:tabs>
        <w:spacing w:line="240" w:lineRule="auto"/>
        <w:ind w:left="1134" w:hanging="1134"/>
        <w:rPr>
          <w:rFonts w:eastAsiaTheme="minorHAnsi" w:cstheme="minorBidi"/>
          <w:noProof/>
          <w:sz w:val="16"/>
          <w:szCs w:val="16"/>
        </w:rPr>
      </w:pPr>
      <w:hyperlink w:anchor="_Toc392585853" w:history="1">
        <w:r w:rsidR="000728A0" w:rsidRPr="001E2F6E">
          <w:rPr>
            <w:rFonts w:eastAsiaTheme="minorHAnsi" w:cstheme="minorBidi"/>
            <w:noProof/>
            <w:sz w:val="16"/>
            <w:szCs w:val="16"/>
          </w:rPr>
          <w:t xml:space="preserve">3.10 Irudia </w:t>
        </w:r>
        <w:r w:rsidR="00E84501" w:rsidRPr="001E2F6E">
          <w:rPr>
            <w:rFonts w:eastAsiaTheme="minorHAnsi" w:cstheme="minorBidi"/>
            <w:noProof/>
            <w:sz w:val="16"/>
            <w:szCs w:val="16"/>
          </w:rPr>
          <w:tab/>
        </w:r>
        <w:r w:rsidR="000728A0" w:rsidRPr="001E2F6E">
          <w:rPr>
            <w:rFonts w:eastAsiaTheme="minorHAnsi" w:cstheme="minorBidi"/>
            <w:noProof/>
            <w:sz w:val="16"/>
            <w:szCs w:val="16"/>
          </w:rPr>
          <w:t>ENPRESA-ELKARTEREN BATEKO KIDE DEN ENPRESEN EHUNEKOA, FORMA JURIDIKO ETA TAMAINAREN ARABERA 2012</w:t>
        </w:r>
        <w:r w:rsidR="000728A0" w:rsidRPr="001E2F6E">
          <w:rPr>
            <w:rFonts w:eastAsiaTheme="minorHAnsi" w:cstheme="minorBidi"/>
            <w:noProof/>
            <w:webHidden/>
            <w:sz w:val="16"/>
            <w:szCs w:val="16"/>
          </w:rPr>
          <w:tab/>
        </w:r>
        <w:r w:rsidR="00EB6BA6" w:rsidRPr="001E2F6E">
          <w:rPr>
            <w:rFonts w:eastAsiaTheme="minorHAnsi" w:cstheme="minorBidi"/>
            <w:noProof/>
            <w:webHidden/>
            <w:sz w:val="16"/>
            <w:szCs w:val="16"/>
          </w:rPr>
          <w:fldChar w:fldCharType="begin"/>
        </w:r>
        <w:r w:rsidR="000728A0" w:rsidRPr="001E2F6E">
          <w:rPr>
            <w:rFonts w:eastAsiaTheme="minorHAnsi" w:cstheme="minorBidi"/>
            <w:noProof/>
            <w:webHidden/>
            <w:sz w:val="16"/>
            <w:szCs w:val="16"/>
          </w:rPr>
          <w:instrText xml:space="preserve"> PAGEREF _Toc392585853 \h </w:instrText>
        </w:r>
        <w:r w:rsidR="00EB6BA6" w:rsidRPr="001E2F6E">
          <w:rPr>
            <w:rFonts w:eastAsiaTheme="minorHAnsi" w:cstheme="minorBidi"/>
            <w:noProof/>
            <w:webHidden/>
            <w:sz w:val="16"/>
            <w:szCs w:val="16"/>
          </w:rPr>
        </w:r>
        <w:r w:rsidR="00EB6BA6" w:rsidRPr="001E2F6E">
          <w:rPr>
            <w:rFonts w:eastAsiaTheme="minorHAnsi" w:cstheme="minorBidi"/>
            <w:noProof/>
            <w:webHidden/>
            <w:sz w:val="16"/>
            <w:szCs w:val="16"/>
          </w:rPr>
          <w:fldChar w:fldCharType="separate"/>
        </w:r>
        <w:r>
          <w:rPr>
            <w:rFonts w:eastAsiaTheme="minorHAnsi" w:cstheme="minorBidi"/>
            <w:noProof/>
            <w:webHidden/>
            <w:sz w:val="16"/>
            <w:szCs w:val="16"/>
          </w:rPr>
          <w:t>79</w:t>
        </w:r>
        <w:r w:rsidR="00EB6BA6" w:rsidRPr="001E2F6E">
          <w:rPr>
            <w:rFonts w:eastAsiaTheme="minorHAnsi" w:cstheme="minorBidi"/>
            <w:noProof/>
            <w:webHidden/>
            <w:sz w:val="16"/>
            <w:szCs w:val="16"/>
          </w:rPr>
          <w:fldChar w:fldCharType="end"/>
        </w:r>
      </w:hyperlink>
    </w:p>
    <w:p w:rsidR="00195BE7" w:rsidRPr="001E2F6E" w:rsidRDefault="00EB6BA6" w:rsidP="00E84501">
      <w:pPr>
        <w:pStyle w:val="Tabladeilustraciones"/>
        <w:tabs>
          <w:tab w:val="right" w:leader="dot" w:pos="9072"/>
        </w:tabs>
        <w:spacing w:line="240" w:lineRule="auto"/>
        <w:ind w:left="1134" w:hanging="1134"/>
        <w:rPr>
          <w:rStyle w:val="Hipervnculo"/>
          <w:noProof/>
          <w:sz w:val="16"/>
          <w:szCs w:val="16"/>
        </w:rPr>
      </w:pPr>
      <w:r w:rsidRPr="001E2F6E">
        <w:rPr>
          <w:rFonts w:eastAsiaTheme="minorHAnsi" w:cstheme="minorBidi"/>
        </w:rPr>
        <w:fldChar w:fldCharType="end"/>
      </w:r>
    </w:p>
    <w:p w:rsidR="00195BE7" w:rsidRPr="001E2F6E" w:rsidRDefault="00195BE7" w:rsidP="00195BE7">
      <w:pPr>
        <w:rPr>
          <w:rStyle w:val="Hipervnculo"/>
          <w:noProof/>
          <w:sz w:val="16"/>
          <w:szCs w:val="16"/>
        </w:rPr>
      </w:pPr>
    </w:p>
    <w:p w:rsidR="00B76DF2" w:rsidRPr="001E2F6E" w:rsidRDefault="00A327D4" w:rsidP="00B76DF2">
      <w:pPr>
        <w:pStyle w:val="TDC1"/>
        <w:tabs>
          <w:tab w:val="left" w:pos="426"/>
          <w:tab w:val="left" w:pos="851"/>
          <w:tab w:val="left" w:pos="1276"/>
          <w:tab w:val="right" w:leader="dot" w:pos="9072"/>
        </w:tabs>
        <w:spacing w:after="0" w:line="240" w:lineRule="auto"/>
        <w:rPr>
          <w:rStyle w:val="Hipervnculo"/>
          <w:rFonts w:eastAsiaTheme="minorHAnsi" w:cs="Arial"/>
          <w:b/>
          <w:color w:val="auto"/>
          <w:u w:val="none"/>
        </w:rPr>
      </w:pPr>
      <w:hyperlink w:anchor="_Toc392585697" w:history="1">
        <w:r w:rsidR="00B76DF2" w:rsidRPr="001E2F6E">
          <w:rPr>
            <w:rStyle w:val="Hipervnculo"/>
            <w:rFonts w:eastAsiaTheme="minorHAnsi" w:cs="Arial"/>
            <w:b/>
            <w:noProof/>
            <w:color w:val="auto"/>
            <w:sz w:val="18"/>
            <w:szCs w:val="18"/>
            <w:u w:val="none"/>
          </w:rPr>
          <w:t xml:space="preserve">IV.- </w:t>
        </w:r>
        <w:r w:rsidR="00B76DF2" w:rsidRPr="001E2F6E">
          <w:rPr>
            <w:rStyle w:val="Hipervnculo"/>
            <w:rFonts w:eastAsiaTheme="minorHAnsi" w:cs="Arial"/>
            <w:b/>
            <w:color w:val="auto"/>
            <w:u w:val="none"/>
          </w:rPr>
          <w:tab/>
        </w:r>
        <w:r w:rsidR="00B76DF2" w:rsidRPr="001E2F6E">
          <w:rPr>
            <w:rStyle w:val="Hipervnculo"/>
            <w:rFonts w:eastAsiaTheme="minorHAnsi" w:cs="Arial"/>
            <w:b/>
            <w:noProof/>
            <w:color w:val="auto"/>
            <w:sz w:val="18"/>
            <w:szCs w:val="18"/>
            <w:u w:val="none"/>
          </w:rPr>
          <w:t>GIZARTE EKONOMIAREN FORMA BERRIAK (GEFB)</w:t>
        </w:r>
        <w:r w:rsidR="00B76DF2" w:rsidRPr="001E2F6E">
          <w:rPr>
            <w:rStyle w:val="Hipervnculo"/>
            <w:rFonts w:eastAsiaTheme="minorHAnsi" w:cs="Arial"/>
            <w:b/>
            <w:webHidden/>
            <w:color w:val="auto"/>
            <w:u w:val="none"/>
          </w:rPr>
          <w:tab/>
        </w:r>
        <w:r w:rsidR="00EB6BA6" w:rsidRPr="001E2F6E">
          <w:rPr>
            <w:rStyle w:val="Hipervnculo"/>
            <w:rFonts w:eastAsiaTheme="minorHAnsi" w:cs="Arial"/>
            <w:b/>
            <w:webHidden/>
            <w:color w:val="auto"/>
            <w:u w:val="none"/>
          </w:rPr>
          <w:fldChar w:fldCharType="begin"/>
        </w:r>
        <w:r w:rsidR="00B76DF2" w:rsidRPr="001E2F6E">
          <w:rPr>
            <w:rStyle w:val="Hipervnculo"/>
            <w:rFonts w:eastAsiaTheme="minorHAnsi" w:cs="Arial"/>
            <w:b/>
            <w:webHidden/>
            <w:color w:val="auto"/>
            <w:u w:val="none"/>
          </w:rPr>
          <w:instrText xml:space="preserve"> PAGEREF _Toc392585697 \h </w:instrText>
        </w:r>
        <w:r w:rsidR="00EB6BA6" w:rsidRPr="001E2F6E">
          <w:rPr>
            <w:rStyle w:val="Hipervnculo"/>
            <w:rFonts w:eastAsiaTheme="minorHAnsi" w:cs="Arial"/>
            <w:b/>
            <w:webHidden/>
            <w:color w:val="auto"/>
            <w:u w:val="none"/>
          </w:rPr>
        </w:r>
        <w:r w:rsidR="00EB6BA6" w:rsidRPr="001E2F6E">
          <w:rPr>
            <w:rStyle w:val="Hipervnculo"/>
            <w:rFonts w:eastAsiaTheme="minorHAnsi" w:cs="Arial"/>
            <w:b/>
            <w:webHidden/>
            <w:color w:val="auto"/>
            <w:u w:val="none"/>
          </w:rPr>
          <w:fldChar w:fldCharType="separate"/>
        </w:r>
        <w:r>
          <w:rPr>
            <w:rStyle w:val="Hipervnculo"/>
            <w:rFonts w:eastAsiaTheme="minorHAnsi" w:cs="Arial"/>
            <w:b/>
            <w:noProof/>
            <w:webHidden/>
            <w:color w:val="auto"/>
            <w:u w:val="none"/>
          </w:rPr>
          <w:t>80</w:t>
        </w:r>
        <w:r w:rsidR="00EB6BA6" w:rsidRPr="001E2F6E">
          <w:rPr>
            <w:rStyle w:val="Hipervnculo"/>
            <w:rFonts w:eastAsiaTheme="minorHAnsi" w:cs="Arial"/>
            <w:b/>
            <w:webHidden/>
            <w:color w:val="auto"/>
            <w:u w:val="none"/>
          </w:rPr>
          <w:fldChar w:fldCharType="end"/>
        </w:r>
      </w:hyperlink>
    </w:p>
    <w:p w:rsidR="00195BE7" w:rsidRPr="001E2F6E" w:rsidRDefault="00195BE7" w:rsidP="00195BE7">
      <w:pPr>
        <w:pStyle w:val="Tabladeilustraciones"/>
        <w:tabs>
          <w:tab w:val="right" w:leader="dot" w:pos="9072"/>
        </w:tabs>
        <w:spacing w:line="240" w:lineRule="auto"/>
        <w:ind w:left="1134" w:hanging="1134"/>
        <w:rPr>
          <w:rFonts w:eastAsiaTheme="minorHAnsi" w:cstheme="minorBidi"/>
        </w:rPr>
      </w:pPr>
    </w:p>
    <w:p w:rsidR="000728A0" w:rsidRPr="001E2F6E" w:rsidRDefault="00EB6BA6" w:rsidP="00E84501">
      <w:pPr>
        <w:pStyle w:val="Tabladeilustraciones"/>
        <w:tabs>
          <w:tab w:val="right" w:leader="dot" w:pos="9072"/>
        </w:tabs>
        <w:spacing w:line="240" w:lineRule="auto"/>
        <w:ind w:left="1134" w:hanging="1134"/>
        <w:rPr>
          <w:rFonts w:eastAsiaTheme="minorHAnsi" w:cstheme="minorBidi"/>
          <w:noProof/>
          <w:sz w:val="16"/>
          <w:szCs w:val="16"/>
        </w:rPr>
      </w:pPr>
      <w:r w:rsidRPr="001E2F6E">
        <w:rPr>
          <w:rFonts w:eastAsiaTheme="minorHAnsi" w:cstheme="minorBidi"/>
        </w:rPr>
        <w:fldChar w:fldCharType="begin"/>
      </w:r>
      <w:r w:rsidR="00195BE7" w:rsidRPr="001E2F6E">
        <w:rPr>
          <w:rFonts w:eastAsiaTheme="minorHAnsi" w:cstheme="minorBidi"/>
        </w:rPr>
        <w:instrText xml:space="preserve"> TOC \h \z \c "Cuadro 4." </w:instrText>
      </w:r>
      <w:r w:rsidRPr="001E2F6E">
        <w:rPr>
          <w:rFonts w:eastAsiaTheme="minorHAnsi" w:cstheme="minorBidi"/>
        </w:rPr>
        <w:fldChar w:fldCharType="separate"/>
      </w:r>
      <w:hyperlink w:anchor="_Toc392585854" w:history="1">
        <w:r w:rsidR="000728A0" w:rsidRPr="001E2F6E">
          <w:rPr>
            <w:rFonts w:cstheme="minorBidi"/>
            <w:noProof/>
            <w:sz w:val="16"/>
            <w:szCs w:val="16"/>
          </w:rPr>
          <w:t xml:space="preserve">4.1 Taula </w:t>
        </w:r>
        <w:r w:rsidR="00E84501" w:rsidRPr="001E2F6E">
          <w:rPr>
            <w:rFonts w:cstheme="minorBidi"/>
            <w:noProof/>
            <w:sz w:val="16"/>
            <w:szCs w:val="16"/>
          </w:rPr>
          <w:tab/>
        </w:r>
        <w:r w:rsidR="000728A0" w:rsidRPr="001E2F6E">
          <w:rPr>
            <w:rFonts w:eastAsiaTheme="minorHAnsi" w:cstheme="minorBidi"/>
            <w:noProof/>
            <w:sz w:val="16"/>
            <w:szCs w:val="16"/>
          </w:rPr>
          <w:t>USTIAPEN- ETA FINANTZA-SARREREN BANAKETA FUNDAZIOETAN 2012 (zifra absolutuak eta % bertikalak)</w:t>
        </w:r>
        <w:r w:rsidR="000728A0" w:rsidRPr="001E2F6E">
          <w:rPr>
            <w:rFonts w:eastAsiaTheme="minorHAnsi" w:cstheme="minorBidi"/>
            <w:noProof/>
            <w:webHidden/>
            <w:sz w:val="16"/>
            <w:szCs w:val="16"/>
          </w:rPr>
          <w:tab/>
        </w:r>
        <w:r w:rsidRPr="001E2F6E">
          <w:rPr>
            <w:rFonts w:eastAsiaTheme="minorHAnsi" w:cstheme="minorBidi"/>
            <w:noProof/>
            <w:webHidden/>
            <w:sz w:val="16"/>
            <w:szCs w:val="16"/>
          </w:rPr>
          <w:fldChar w:fldCharType="begin"/>
        </w:r>
        <w:r w:rsidR="000728A0" w:rsidRPr="001E2F6E">
          <w:rPr>
            <w:rFonts w:eastAsiaTheme="minorHAnsi" w:cstheme="minorBidi"/>
            <w:noProof/>
            <w:webHidden/>
            <w:sz w:val="16"/>
            <w:szCs w:val="16"/>
          </w:rPr>
          <w:instrText xml:space="preserve"> PAGEREF _Toc392585854 \h </w:instrText>
        </w:r>
        <w:r w:rsidRPr="001E2F6E">
          <w:rPr>
            <w:rFonts w:eastAsiaTheme="minorHAnsi" w:cstheme="minorBidi"/>
            <w:noProof/>
            <w:webHidden/>
            <w:sz w:val="16"/>
            <w:szCs w:val="16"/>
          </w:rPr>
        </w:r>
        <w:r w:rsidRPr="001E2F6E">
          <w:rPr>
            <w:rFonts w:eastAsiaTheme="minorHAnsi" w:cstheme="minorBidi"/>
            <w:noProof/>
            <w:webHidden/>
            <w:sz w:val="16"/>
            <w:szCs w:val="16"/>
          </w:rPr>
          <w:fldChar w:fldCharType="separate"/>
        </w:r>
        <w:r w:rsidR="00A327D4">
          <w:rPr>
            <w:rFonts w:eastAsiaTheme="minorHAnsi" w:cstheme="minorBidi"/>
            <w:noProof/>
            <w:webHidden/>
            <w:sz w:val="16"/>
            <w:szCs w:val="16"/>
          </w:rPr>
          <w:t>81</w:t>
        </w:r>
        <w:r w:rsidRPr="001E2F6E">
          <w:rPr>
            <w:rFonts w:eastAsiaTheme="minorHAnsi" w:cstheme="minorBidi"/>
            <w:noProof/>
            <w:webHidden/>
            <w:sz w:val="16"/>
            <w:szCs w:val="16"/>
          </w:rPr>
          <w:fldChar w:fldCharType="end"/>
        </w:r>
      </w:hyperlink>
    </w:p>
    <w:p w:rsidR="000728A0" w:rsidRPr="001E2F6E" w:rsidRDefault="00A327D4" w:rsidP="00E84501">
      <w:pPr>
        <w:pStyle w:val="Tabladeilustraciones"/>
        <w:tabs>
          <w:tab w:val="right" w:leader="dot" w:pos="9072"/>
        </w:tabs>
        <w:spacing w:line="240" w:lineRule="auto"/>
        <w:ind w:left="1134" w:hanging="1134"/>
        <w:rPr>
          <w:rFonts w:eastAsiaTheme="minorHAnsi" w:cstheme="minorBidi"/>
          <w:noProof/>
          <w:sz w:val="16"/>
          <w:szCs w:val="16"/>
        </w:rPr>
      </w:pPr>
      <w:hyperlink w:anchor="_Toc392585855" w:history="1">
        <w:r w:rsidR="000728A0" w:rsidRPr="001E2F6E">
          <w:rPr>
            <w:rFonts w:eastAsiaTheme="minorHAnsi" w:cstheme="minorBidi"/>
            <w:noProof/>
            <w:sz w:val="16"/>
            <w:szCs w:val="16"/>
          </w:rPr>
          <w:t xml:space="preserve">4.2 Taula </w:t>
        </w:r>
        <w:r w:rsidR="00E84501" w:rsidRPr="001E2F6E">
          <w:rPr>
            <w:rFonts w:eastAsiaTheme="minorHAnsi" w:cstheme="minorBidi"/>
            <w:noProof/>
            <w:sz w:val="16"/>
            <w:szCs w:val="16"/>
          </w:rPr>
          <w:tab/>
        </w:r>
        <w:r w:rsidR="000728A0" w:rsidRPr="001E2F6E">
          <w:rPr>
            <w:rFonts w:eastAsiaTheme="minorHAnsi" w:cstheme="minorBidi"/>
            <w:noProof/>
            <w:sz w:val="16"/>
            <w:szCs w:val="16"/>
          </w:rPr>
          <w:t>USTIAPEN- ETA FINANTZA-SARREREN BANAKETA ELKARTEETAN 2012</w:t>
        </w:r>
        <w:r w:rsidR="000728A0" w:rsidRPr="001E2F6E">
          <w:rPr>
            <w:rFonts w:eastAsiaTheme="minorHAnsi" w:cstheme="minorBidi"/>
            <w:noProof/>
            <w:webHidden/>
            <w:sz w:val="16"/>
            <w:szCs w:val="16"/>
          </w:rPr>
          <w:tab/>
        </w:r>
        <w:r w:rsidR="00EB6BA6" w:rsidRPr="001E2F6E">
          <w:rPr>
            <w:rFonts w:eastAsiaTheme="minorHAnsi" w:cstheme="minorBidi"/>
            <w:noProof/>
            <w:webHidden/>
            <w:sz w:val="16"/>
            <w:szCs w:val="16"/>
          </w:rPr>
          <w:fldChar w:fldCharType="begin"/>
        </w:r>
        <w:r w:rsidR="000728A0" w:rsidRPr="001E2F6E">
          <w:rPr>
            <w:rFonts w:eastAsiaTheme="minorHAnsi" w:cstheme="minorBidi"/>
            <w:noProof/>
            <w:webHidden/>
            <w:sz w:val="16"/>
            <w:szCs w:val="16"/>
          </w:rPr>
          <w:instrText xml:space="preserve"> PAGEREF _Toc392585855 \h </w:instrText>
        </w:r>
        <w:r w:rsidR="00EB6BA6" w:rsidRPr="001E2F6E">
          <w:rPr>
            <w:rFonts w:eastAsiaTheme="minorHAnsi" w:cstheme="minorBidi"/>
            <w:noProof/>
            <w:webHidden/>
            <w:sz w:val="16"/>
            <w:szCs w:val="16"/>
          </w:rPr>
        </w:r>
        <w:r w:rsidR="00EB6BA6" w:rsidRPr="001E2F6E">
          <w:rPr>
            <w:rFonts w:eastAsiaTheme="minorHAnsi" w:cstheme="minorBidi"/>
            <w:noProof/>
            <w:webHidden/>
            <w:sz w:val="16"/>
            <w:szCs w:val="16"/>
          </w:rPr>
          <w:fldChar w:fldCharType="separate"/>
        </w:r>
        <w:r>
          <w:rPr>
            <w:rFonts w:eastAsiaTheme="minorHAnsi" w:cstheme="minorBidi"/>
            <w:noProof/>
            <w:webHidden/>
            <w:sz w:val="16"/>
            <w:szCs w:val="16"/>
          </w:rPr>
          <w:t>81</w:t>
        </w:r>
        <w:r w:rsidR="00EB6BA6" w:rsidRPr="001E2F6E">
          <w:rPr>
            <w:rFonts w:eastAsiaTheme="minorHAnsi" w:cstheme="minorBidi"/>
            <w:noProof/>
            <w:webHidden/>
            <w:sz w:val="16"/>
            <w:szCs w:val="16"/>
          </w:rPr>
          <w:fldChar w:fldCharType="end"/>
        </w:r>
      </w:hyperlink>
    </w:p>
    <w:p w:rsidR="000728A0" w:rsidRPr="001E2F6E" w:rsidRDefault="00A327D4" w:rsidP="00E84501">
      <w:pPr>
        <w:pStyle w:val="Tabladeilustraciones"/>
        <w:tabs>
          <w:tab w:val="right" w:leader="dot" w:pos="9072"/>
        </w:tabs>
        <w:spacing w:line="240" w:lineRule="auto"/>
        <w:ind w:left="1134" w:hanging="1134"/>
        <w:rPr>
          <w:rFonts w:eastAsiaTheme="minorHAnsi" w:cstheme="minorBidi"/>
          <w:noProof/>
          <w:sz w:val="16"/>
          <w:szCs w:val="16"/>
        </w:rPr>
      </w:pPr>
      <w:hyperlink w:anchor="_Toc392585856" w:history="1">
        <w:r w:rsidR="000728A0" w:rsidRPr="001E2F6E">
          <w:rPr>
            <w:rFonts w:eastAsiaTheme="minorHAnsi" w:cstheme="minorBidi"/>
            <w:noProof/>
            <w:sz w:val="16"/>
            <w:szCs w:val="16"/>
          </w:rPr>
          <w:t xml:space="preserve">4.3 Taula </w:t>
        </w:r>
        <w:r w:rsidR="00E84501" w:rsidRPr="001E2F6E">
          <w:rPr>
            <w:rFonts w:eastAsiaTheme="minorHAnsi" w:cstheme="minorBidi"/>
            <w:noProof/>
            <w:sz w:val="16"/>
            <w:szCs w:val="16"/>
          </w:rPr>
          <w:tab/>
        </w:r>
        <w:r w:rsidR="000728A0" w:rsidRPr="001E2F6E">
          <w:rPr>
            <w:rFonts w:eastAsiaTheme="minorHAnsi" w:cstheme="minorBidi"/>
            <w:noProof/>
            <w:sz w:val="16"/>
            <w:szCs w:val="16"/>
          </w:rPr>
          <w:t>FUNDAZIO ETA ONURA PUBLIKOKO ELKARTEEN BEGd-aren BANAKETA 2012 (zifra absolutuak eta % bertikalak)</w:t>
        </w:r>
        <w:r w:rsidR="000728A0" w:rsidRPr="001E2F6E">
          <w:rPr>
            <w:rFonts w:eastAsiaTheme="minorHAnsi" w:cstheme="minorBidi"/>
            <w:noProof/>
            <w:webHidden/>
            <w:sz w:val="16"/>
            <w:szCs w:val="16"/>
          </w:rPr>
          <w:tab/>
        </w:r>
        <w:r w:rsidR="00EB6BA6" w:rsidRPr="001E2F6E">
          <w:rPr>
            <w:rFonts w:eastAsiaTheme="minorHAnsi" w:cstheme="minorBidi"/>
            <w:noProof/>
            <w:webHidden/>
            <w:sz w:val="16"/>
            <w:szCs w:val="16"/>
          </w:rPr>
          <w:fldChar w:fldCharType="begin"/>
        </w:r>
        <w:r w:rsidR="000728A0" w:rsidRPr="001E2F6E">
          <w:rPr>
            <w:rFonts w:eastAsiaTheme="minorHAnsi" w:cstheme="minorBidi"/>
            <w:noProof/>
            <w:webHidden/>
            <w:sz w:val="16"/>
            <w:szCs w:val="16"/>
          </w:rPr>
          <w:instrText xml:space="preserve"> PAGEREF _Toc392585856 \h </w:instrText>
        </w:r>
        <w:r w:rsidR="00EB6BA6" w:rsidRPr="001E2F6E">
          <w:rPr>
            <w:rFonts w:eastAsiaTheme="minorHAnsi" w:cstheme="minorBidi"/>
            <w:noProof/>
            <w:webHidden/>
            <w:sz w:val="16"/>
            <w:szCs w:val="16"/>
          </w:rPr>
        </w:r>
        <w:r w:rsidR="00EB6BA6" w:rsidRPr="001E2F6E">
          <w:rPr>
            <w:rFonts w:eastAsiaTheme="minorHAnsi" w:cstheme="minorBidi"/>
            <w:noProof/>
            <w:webHidden/>
            <w:sz w:val="16"/>
            <w:szCs w:val="16"/>
          </w:rPr>
          <w:fldChar w:fldCharType="separate"/>
        </w:r>
        <w:r>
          <w:rPr>
            <w:rFonts w:eastAsiaTheme="minorHAnsi" w:cstheme="minorBidi"/>
            <w:noProof/>
            <w:webHidden/>
            <w:sz w:val="16"/>
            <w:szCs w:val="16"/>
          </w:rPr>
          <w:t>81</w:t>
        </w:r>
        <w:r w:rsidR="00EB6BA6" w:rsidRPr="001E2F6E">
          <w:rPr>
            <w:rFonts w:eastAsiaTheme="minorHAnsi" w:cstheme="minorBidi"/>
            <w:noProof/>
            <w:webHidden/>
            <w:sz w:val="16"/>
            <w:szCs w:val="16"/>
          </w:rPr>
          <w:fldChar w:fldCharType="end"/>
        </w:r>
      </w:hyperlink>
    </w:p>
    <w:p w:rsidR="000728A0" w:rsidRPr="001E2F6E" w:rsidRDefault="00A327D4" w:rsidP="00E84501">
      <w:pPr>
        <w:pStyle w:val="Tabladeilustraciones"/>
        <w:tabs>
          <w:tab w:val="right" w:leader="dot" w:pos="9072"/>
        </w:tabs>
        <w:spacing w:line="240" w:lineRule="auto"/>
        <w:ind w:left="1134" w:hanging="1134"/>
        <w:rPr>
          <w:rFonts w:eastAsiaTheme="minorHAnsi" w:cstheme="minorBidi"/>
          <w:noProof/>
          <w:sz w:val="16"/>
          <w:szCs w:val="16"/>
        </w:rPr>
      </w:pPr>
      <w:hyperlink w:anchor="_Toc392585857" w:history="1">
        <w:r w:rsidR="000728A0" w:rsidRPr="001E2F6E">
          <w:rPr>
            <w:rFonts w:eastAsiaTheme="minorHAnsi" w:cstheme="minorBidi"/>
            <w:noProof/>
            <w:sz w:val="16"/>
            <w:szCs w:val="16"/>
          </w:rPr>
          <w:t xml:space="preserve">4.4 Taula </w:t>
        </w:r>
        <w:r w:rsidR="00E84501" w:rsidRPr="001E2F6E">
          <w:rPr>
            <w:rFonts w:eastAsiaTheme="minorHAnsi" w:cstheme="minorBidi"/>
            <w:noProof/>
            <w:sz w:val="16"/>
            <w:szCs w:val="16"/>
          </w:rPr>
          <w:tab/>
        </w:r>
        <w:r w:rsidR="000728A0" w:rsidRPr="001E2F6E">
          <w:rPr>
            <w:rFonts w:eastAsiaTheme="minorHAnsi" w:cstheme="minorBidi"/>
            <w:noProof/>
            <w:sz w:val="16"/>
            <w:szCs w:val="16"/>
          </w:rPr>
          <w:t>USTIAPEN- ETA FINANTZA-SARREREN BANAKETA ENPLEGU-ZENTRO BEREZIETAN 2012. (zifra absolutuak eta %bertikalak)</w:t>
        </w:r>
        <w:r w:rsidR="000728A0" w:rsidRPr="001E2F6E">
          <w:rPr>
            <w:rFonts w:eastAsiaTheme="minorHAnsi" w:cstheme="minorBidi"/>
            <w:noProof/>
            <w:webHidden/>
            <w:sz w:val="16"/>
            <w:szCs w:val="16"/>
          </w:rPr>
          <w:tab/>
        </w:r>
        <w:r w:rsidR="00EB6BA6" w:rsidRPr="001E2F6E">
          <w:rPr>
            <w:rFonts w:eastAsiaTheme="minorHAnsi" w:cstheme="minorBidi"/>
            <w:noProof/>
            <w:webHidden/>
            <w:sz w:val="16"/>
            <w:szCs w:val="16"/>
          </w:rPr>
          <w:fldChar w:fldCharType="begin"/>
        </w:r>
        <w:r w:rsidR="000728A0" w:rsidRPr="001E2F6E">
          <w:rPr>
            <w:rFonts w:eastAsiaTheme="minorHAnsi" w:cstheme="minorBidi"/>
            <w:noProof/>
            <w:webHidden/>
            <w:sz w:val="16"/>
            <w:szCs w:val="16"/>
          </w:rPr>
          <w:instrText xml:space="preserve"> PAGEREF _Toc392585857 \h </w:instrText>
        </w:r>
        <w:r w:rsidR="00EB6BA6" w:rsidRPr="001E2F6E">
          <w:rPr>
            <w:rFonts w:eastAsiaTheme="minorHAnsi" w:cstheme="minorBidi"/>
            <w:noProof/>
            <w:webHidden/>
            <w:sz w:val="16"/>
            <w:szCs w:val="16"/>
          </w:rPr>
        </w:r>
        <w:r w:rsidR="00EB6BA6" w:rsidRPr="001E2F6E">
          <w:rPr>
            <w:rFonts w:eastAsiaTheme="minorHAnsi" w:cstheme="minorBidi"/>
            <w:noProof/>
            <w:webHidden/>
            <w:sz w:val="16"/>
            <w:szCs w:val="16"/>
          </w:rPr>
          <w:fldChar w:fldCharType="separate"/>
        </w:r>
        <w:r>
          <w:rPr>
            <w:rFonts w:eastAsiaTheme="minorHAnsi" w:cstheme="minorBidi"/>
            <w:noProof/>
            <w:webHidden/>
            <w:sz w:val="16"/>
            <w:szCs w:val="16"/>
          </w:rPr>
          <w:t>83</w:t>
        </w:r>
        <w:r w:rsidR="00EB6BA6" w:rsidRPr="001E2F6E">
          <w:rPr>
            <w:rFonts w:eastAsiaTheme="minorHAnsi" w:cstheme="minorBidi"/>
            <w:noProof/>
            <w:webHidden/>
            <w:sz w:val="16"/>
            <w:szCs w:val="16"/>
          </w:rPr>
          <w:fldChar w:fldCharType="end"/>
        </w:r>
      </w:hyperlink>
    </w:p>
    <w:p w:rsidR="000728A0" w:rsidRPr="001E2F6E" w:rsidRDefault="00A327D4" w:rsidP="00E84501">
      <w:pPr>
        <w:pStyle w:val="Tabladeilustraciones"/>
        <w:tabs>
          <w:tab w:val="right" w:leader="dot" w:pos="9072"/>
        </w:tabs>
        <w:spacing w:line="240" w:lineRule="auto"/>
        <w:ind w:left="1134" w:hanging="1134"/>
        <w:rPr>
          <w:rFonts w:eastAsiaTheme="minorHAnsi" w:cstheme="minorBidi"/>
          <w:noProof/>
          <w:sz w:val="16"/>
          <w:szCs w:val="16"/>
        </w:rPr>
      </w:pPr>
      <w:hyperlink w:anchor="_Toc392585858" w:history="1">
        <w:r w:rsidR="000728A0" w:rsidRPr="001E2F6E">
          <w:rPr>
            <w:rFonts w:eastAsiaTheme="minorHAnsi" w:cstheme="minorBidi"/>
            <w:noProof/>
            <w:sz w:val="16"/>
            <w:szCs w:val="16"/>
          </w:rPr>
          <w:t xml:space="preserve">4.5 Taula </w:t>
        </w:r>
        <w:r w:rsidR="00E84501" w:rsidRPr="001E2F6E">
          <w:rPr>
            <w:rFonts w:eastAsiaTheme="minorHAnsi" w:cstheme="minorBidi"/>
            <w:noProof/>
            <w:sz w:val="16"/>
            <w:szCs w:val="16"/>
          </w:rPr>
          <w:tab/>
        </w:r>
        <w:r w:rsidR="000728A0" w:rsidRPr="001E2F6E">
          <w:rPr>
            <w:rFonts w:eastAsiaTheme="minorHAnsi" w:cstheme="minorBidi"/>
            <w:noProof/>
            <w:sz w:val="16"/>
            <w:szCs w:val="16"/>
          </w:rPr>
          <w:t>ENPLEGU-ZENTRO BEREZIEN BEGd-aren BANAKETA 2012 (zifra absolutuak eta % bertikalak)</w:t>
        </w:r>
        <w:r w:rsidR="000728A0" w:rsidRPr="001E2F6E">
          <w:rPr>
            <w:rFonts w:eastAsiaTheme="minorHAnsi" w:cstheme="minorBidi"/>
            <w:noProof/>
            <w:webHidden/>
            <w:sz w:val="16"/>
            <w:szCs w:val="16"/>
          </w:rPr>
          <w:tab/>
        </w:r>
        <w:r w:rsidR="00EB6BA6" w:rsidRPr="001E2F6E">
          <w:rPr>
            <w:rFonts w:eastAsiaTheme="minorHAnsi" w:cstheme="minorBidi"/>
            <w:noProof/>
            <w:webHidden/>
            <w:sz w:val="16"/>
            <w:szCs w:val="16"/>
          </w:rPr>
          <w:fldChar w:fldCharType="begin"/>
        </w:r>
        <w:r w:rsidR="000728A0" w:rsidRPr="001E2F6E">
          <w:rPr>
            <w:rFonts w:eastAsiaTheme="minorHAnsi" w:cstheme="minorBidi"/>
            <w:noProof/>
            <w:webHidden/>
            <w:sz w:val="16"/>
            <w:szCs w:val="16"/>
          </w:rPr>
          <w:instrText xml:space="preserve"> PAGEREF _Toc392585858 \h </w:instrText>
        </w:r>
        <w:r w:rsidR="00EB6BA6" w:rsidRPr="001E2F6E">
          <w:rPr>
            <w:rFonts w:eastAsiaTheme="minorHAnsi" w:cstheme="minorBidi"/>
            <w:noProof/>
            <w:webHidden/>
            <w:sz w:val="16"/>
            <w:szCs w:val="16"/>
          </w:rPr>
        </w:r>
        <w:r w:rsidR="00EB6BA6" w:rsidRPr="001E2F6E">
          <w:rPr>
            <w:rFonts w:eastAsiaTheme="minorHAnsi" w:cstheme="minorBidi"/>
            <w:noProof/>
            <w:webHidden/>
            <w:sz w:val="16"/>
            <w:szCs w:val="16"/>
          </w:rPr>
          <w:fldChar w:fldCharType="separate"/>
        </w:r>
        <w:r>
          <w:rPr>
            <w:rFonts w:eastAsiaTheme="minorHAnsi" w:cstheme="minorBidi"/>
            <w:noProof/>
            <w:webHidden/>
            <w:sz w:val="16"/>
            <w:szCs w:val="16"/>
          </w:rPr>
          <w:t>83</w:t>
        </w:r>
        <w:r w:rsidR="00EB6BA6" w:rsidRPr="001E2F6E">
          <w:rPr>
            <w:rFonts w:eastAsiaTheme="minorHAnsi" w:cstheme="minorBidi"/>
            <w:noProof/>
            <w:webHidden/>
            <w:sz w:val="16"/>
            <w:szCs w:val="16"/>
          </w:rPr>
          <w:fldChar w:fldCharType="end"/>
        </w:r>
      </w:hyperlink>
    </w:p>
    <w:p w:rsidR="000728A0" w:rsidRPr="001E2F6E" w:rsidRDefault="00A327D4" w:rsidP="00E84501">
      <w:pPr>
        <w:pStyle w:val="Tabladeilustraciones"/>
        <w:tabs>
          <w:tab w:val="right" w:leader="dot" w:pos="9072"/>
        </w:tabs>
        <w:spacing w:line="240" w:lineRule="auto"/>
        <w:ind w:left="1134" w:hanging="1134"/>
        <w:rPr>
          <w:rFonts w:eastAsiaTheme="minorHAnsi" w:cstheme="minorBidi"/>
          <w:noProof/>
          <w:sz w:val="16"/>
          <w:szCs w:val="16"/>
        </w:rPr>
      </w:pPr>
      <w:hyperlink w:anchor="_Toc392585859" w:history="1">
        <w:r w:rsidR="000728A0" w:rsidRPr="001E2F6E">
          <w:rPr>
            <w:rFonts w:eastAsiaTheme="minorHAnsi" w:cstheme="minorBidi"/>
            <w:noProof/>
            <w:sz w:val="16"/>
            <w:szCs w:val="16"/>
          </w:rPr>
          <w:t xml:space="preserve">4.6 Taula </w:t>
        </w:r>
        <w:r w:rsidR="00E84501" w:rsidRPr="001E2F6E">
          <w:rPr>
            <w:rFonts w:eastAsiaTheme="minorHAnsi" w:cstheme="minorBidi"/>
            <w:noProof/>
            <w:sz w:val="16"/>
            <w:szCs w:val="16"/>
          </w:rPr>
          <w:tab/>
        </w:r>
        <w:r w:rsidR="000728A0" w:rsidRPr="001E2F6E">
          <w:rPr>
            <w:rFonts w:eastAsiaTheme="minorHAnsi" w:cstheme="minorBidi"/>
            <w:noProof/>
            <w:sz w:val="16"/>
            <w:szCs w:val="16"/>
          </w:rPr>
          <w:t>USTIAPEN-SARREREN BANAKETA LANERATZEKO ENPRESATAN 2012  (zifra absolutuak eta % bertikalak)</w:t>
        </w:r>
        <w:r w:rsidR="000728A0" w:rsidRPr="001E2F6E">
          <w:rPr>
            <w:rFonts w:eastAsiaTheme="minorHAnsi" w:cstheme="minorBidi"/>
            <w:noProof/>
            <w:webHidden/>
            <w:sz w:val="16"/>
            <w:szCs w:val="16"/>
          </w:rPr>
          <w:tab/>
        </w:r>
        <w:r w:rsidR="00EB6BA6" w:rsidRPr="001E2F6E">
          <w:rPr>
            <w:rFonts w:eastAsiaTheme="minorHAnsi" w:cstheme="minorBidi"/>
            <w:noProof/>
            <w:webHidden/>
            <w:sz w:val="16"/>
            <w:szCs w:val="16"/>
          </w:rPr>
          <w:fldChar w:fldCharType="begin"/>
        </w:r>
        <w:r w:rsidR="000728A0" w:rsidRPr="001E2F6E">
          <w:rPr>
            <w:rFonts w:eastAsiaTheme="minorHAnsi" w:cstheme="minorBidi"/>
            <w:noProof/>
            <w:webHidden/>
            <w:sz w:val="16"/>
            <w:szCs w:val="16"/>
          </w:rPr>
          <w:instrText xml:space="preserve"> PAGEREF _Toc392585859 \h </w:instrText>
        </w:r>
        <w:r w:rsidR="00EB6BA6" w:rsidRPr="001E2F6E">
          <w:rPr>
            <w:rFonts w:eastAsiaTheme="minorHAnsi" w:cstheme="minorBidi"/>
            <w:noProof/>
            <w:webHidden/>
            <w:sz w:val="16"/>
            <w:szCs w:val="16"/>
          </w:rPr>
        </w:r>
        <w:r w:rsidR="00EB6BA6" w:rsidRPr="001E2F6E">
          <w:rPr>
            <w:rFonts w:eastAsiaTheme="minorHAnsi" w:cstheme="minorBidi"/>
            <w:noProof/>
            <w:webHidden/>
            <w:sz w:val="16"/>
            <w:szCs w:val="16"/>
          </w:rPr>
          <w:fldChar w:fldCharType="separate"/>
        </w:r>
        <w:r>
          <w:rPr>
            <w:rFonts w:eastAsiaTheme="minorHAnsi" w:cstheme="minorBidi"/>
            <w:noProof/>
            <w:webHidden/>
            <w:sz w:val="16"/>
            <w:szCs w:val="16"/>
          </w:rPr>
          <w:t>84</w:t>
        </w:r>
        <w:r w:rsidR="00EB6BA6" w:rsidRPr="001E2F6E">
          <w:rPr>
            <w:rFonts w:eastAsiaTheme="minorHAnsi" w:cstheme="minorBidi"/>
            <w:noProof/>
            <w:webHidden/>
            <w:sz w:val="16"/>
            <w:szCs w:val="16"/>
          </w:rPr>
          <w:fldChar w:fldCharType="end"/>
        </w:r>
      </w:hyperlink>
    </w:p>
    <w:p w:rsidR="000728A0" w:rsidRPr="001E2F6E" w:rsidRDefault="00A327D4" w:rsidP="00E84501">
      <w:pPr>
        <w:pStyle w:val="Tabladeilustraciones"/>
        <w:tabs>
          <w:tab w:val="right" w:leader="dot" w:pos="9072"/>
        </w:tabs>
        <w:spacing w:line="240" w:lineRule="auto"/>
        <w:ind w:left="1134" w:hanging="1134"/>
        <w:rPr>
          <w:rFonts w:eastAsiaTheme="minorHAnsi" w:cstheme="minorBidi"/>
          <w:noProof/>
          <w:sz w:val="16"/>
          <w:szCs w:val="16"/>
        </w:rPr>
      </w:pPr>
      <w:hyperlink w:anchor="_Toc392585860" w:history="1">
        <w:r w:rsidR="000728A0" w:rsidRPr="001E2F6E">
          <w:rPr>
            <w:rFonts w:eastAsiaTheme="minorHAnsi" w:cstheme="minorBidi"/>
            <w:noProof/>
            <w:sz w:val="16"/>
            <w:szCs w:val="16"/>
          </w:rPr>
          <w:t xml:space="preserve">4.7 Taula </w:t>
        </w:r>
        <w:r w:rsidR="00E84501" w:rsidRPr="001E2F6E">
          <w:rPr>
            <w:rFonts w:eastAsiaTheme="minorHAnsi" w:cstheme="minorBidi"/>
            <w:noProof/>
            <w:sz w:val="16"/>
            <w:szCs w:val="16"/>
          </w:rPr>
          <w:tab/>
        </w:r>
        <w:r w:rsidR="000728A0" w:rsidRPr="001E2F6E">
          <w:rPr>
            <w:rFonts w:eastAsiaTheme="minorHAnsi" w:cstheme="minorBidi"/>
            <w:noProof/>
            <w:sz w:val="16"/>
            <w:szCs w:val="16"/>
          </w:rPr>
          <w:t>BEGd-aren BANAKETA LANERATZEKO ENPRESATAN 2012 (z.a. eta %bertikalak.)</w:t>
        </w:r>
        <w:r w:rsidR="000728A0" w:rsidRPr="001E2F6E">
          <w:rPr>
            <w:rFonts w:eastAsiaTheme="minorHAnsi" w:cstheme="minorBidi"/>
            <w:noProof/>
            <w:webHidden/>
            <w:sz w:val="16"/>
            <w:szCs w:val="16"/>
          </w:rPr>
          <w:tab/>
        </w:r>
        <w:r w:rsidR="00EB6BA6" w:rsidRPr="001E2F6E">
          <w:rPr>
            <w:rFonts w:eastAsiaTheme="minorHAnsi" w:cstheme="minorBidi"/>
            <w:noProof/>
            <w:webHidden/>
            <w:sz w:val="16"/>
            <w:szCs w:val="16"/>
          </w:rPr>
          <w:fldChar w:fldCharType="begin"/>
        </w:r>
        <w:r w:rsidR="000728A0" w:rsidRPr="001E2F6E">
          <w:rPr>
            <w:rFonts w:eastAsiaTheme="minorHAnsi" w:cstheme="minorBidi"/>
            <w:noProof/>
            <w:webHidden/>
            <w:sz w:val="16"/>
            <w:szCs w:val="16"/>
          </w:rPr>
          <w:instrText xml:space="preserve"> PAGEREF _Toc392585860 \h </w:instrText>
        </w:r>
        <w:r w:rsidR="00EB6BA6" w:rsidRPr="001E2F6E">
          <w:rPr>
            <w:rFonts w:eastAsiaTheme="minorHAnsi" w:cstheme="minorBidi"/>
            <w:noProof/>
            <w:webHidden/>
            <w:sz w:val="16"/>
            <w:szCs w:val="16"/>
          </w:rPr>
        </w:r>
        <w:r w:rsidR="00EB6BA6" w:rsidRPr="001E2F6E">
          <w:rPr>
            <w:rFonts w:eastAsiaTheme="minorHAnsi" w:cstheme="minorBidi"/>
            <w:noProof/>
            <w:webHidden/>
            <w:sz w:val="16"/>
            <w:szCs w:val="16"/>
          </w:rPr>
          <w:fldChar w:fldCharType="separate"/>
        </w:r>
        <w:r>
          <w:rPr>
            <w:rFonts w:eastAsiaTheme="minorHAnsi" w:cstheme="minorBidi"/>
            <w:noProof/>
            <w:webHidden/>
            <w:sz w:val="16"/>
            <w:szCs w:val="16"/>
          </w:rPr>
          <w:t>85</w:t>
        </w:r>
        <w:r w:rsidR="00EB6BA6" w:rsidRPr="001E2F6E">
          <w:rPr>
            <w:rFonts w:eastAsiaTheme="minorHAnsi" w:cstheme="minorBidi"/>
            <w:noProof/>
            <w:webHidden/>
            <w:sz w:val="16"/>
            <w:szCs w:val="16"/>
          </w:rPr>
          <w:fldChar w:fldCharType="end"/>
        </w:r>
      </w:hyperlink>
    </w:p>
    <w:p w:rsidR="000728A0" w:rsidRPr="001E2F6E" w:rsidRDefault="00A327D4" w:rsidP="00E84501">
      <w:pPr>
        <w:pStyle w:val="Tabladeilustraciones"/>
        <w:tabs>
          <w:tab w:val="right" w:leader="dot" w:pos="9072"/>
        </w:tabs>
        <w:spacing w:line="240" w:lineRule="auto"/>
        <w:ind w:left="1134" w:hanging="1134"/>
        <w:rPr>
          <w:rFonts w:eastAsiaTheme="minorHAnsi" w:cstheme="minorBidi"/>
          <w:noProof/>
          <w:sz w:val="16"/>
          <w:szCs w:val="16"/>
        </w:rPr>
      </w:pPr>
      <w:hyperlink w:anchor="_Toc392585861" w:history="1">
        <w:r w:rsidR="000728A0" w:rsidRPr="001E2F6E">
          <w:rPr>
            <w:rFonts w:eastAsiaTheme="minorHAnsi" w:cstheme="minorBidi"/>
            <w:noProof/>
            <w:sz w:val="16"/>
            <w:szCs w:val="16"/>
          </w:rPr>
          <w:t xml:space="preserve">4.8 Taula </w:t>
        </w:r>
        <w:r w:rsidR="00E84501" w:rsidRPr="001E2F6E">
          <w:rPr>
            <w:rFonts w:eastAsiaTheme="minorHAnsi" w:cstheme="minorBidi"/>
            <w:noProof/>
            <w:sz w:val="16"/>
            <w:szCs w:val="16"/>
          </w:rPr>
          <w:tab/>
        </w:r>
        <w:r w:rsidR="000728A0" w:rsidRPr="001E2F6E">
          <w:rPr>
            <w:rFonts w:eastAsiaTheme="minorHAnsi" w:cstheme="minorBidi"/>
            <w:noProof/>
            <w:sz w:val="16"/>
            <w:szCs w:val="16"/>
          </w:rPr>
          <w:t>BGAE-MOTEN BANAKETA – KOPURUA ETA ONDASUNA 2012 (zifra absolutuak)</w:t>
        </w:r>
        <w:r w:rsidR="000728A0" w:rsidRPr="001E2F6E">
          <w:rPr>
            <w:rFonts w:eastAsiaTheme="minorHAnsi" w:cstheme="minorBidi"/>
            <w:noProof/>
            <w:webHidden/>
            <w:sz w:val="16"/>
            <w:szCs w:val="16"/>
          </w:rPr>
          <w:tab/>
        </w:r>
        <w:r w:rsidR="00EB6BA6" w:rsidRPr="001E2F6E">
          <w:rPr>
            <w:rFonts w:eastAsiaTheme="minorHAnsi" w:cstheme="minorBidi"/>
            <w:noProof/>
            <w:webHidden/>
            <w:sz w:val="16"/>
            <w:szCs w:val="16"/>
          </w:rPr>
          <w:fldChar w:fldCharType="begin"/>
        </w:r>
        <w:r w:rsidR="000728A0" w:rsidRPr="001E2F6E">
          <w:rPr>
            <w:rFonts w:eastAsiaTheme="minorHAnsi" w:cstheme="minorBidi"/>
            <w:noProof/>
            <w:webHidden/>
            <w:sz w:val="16"/>
            <w:szCs w:val="16"/>
          </w:rPr>
          <w:instrText xml:space="preserve"> PAGEREF _Toc392585861 \h </w:instrText>
        </w:r>
        <w:r w:rsidR="00EB6BA6" w:rsidRPr="001E2F6E">
          <w:rPr>
            <w:rFonts w:eastAsiaTheme="minorHAnsi" w:cstheme="minorBidi"/>
            <w:noProof/>
            <w:webHidden/>
            <w:sz w:val="16"/>
            <w:szCs w:val="16"/>
          </w:rPr>
        </w:r>
        <w:r w:rsidR="00EB6BA6" w:rsidRPr="001E2F6E">
          <w:rPr>
            <w:rFonts w:eastAsiaTheme="minorHAnsi" w:cstheme="minorBidi"/>
            <w:noProof/>
            <w:webHidden/>
            <w:sz w:val="16"/>
            <w:szCs w:val="16"/>
          </w:rPr>
          <w:fldChar w:fldCharType="separate"/>
        </w:r>
        <w:r>
          <w:rPr>
            <w:rFonts w:eastAsiaTheme="minorHAnsi" w:cstheme="minorBidi"/>
            <w:noProof/>
            <w:webHidden/>
            <w:sz w:val="16"/>
            <w:szCs w:val="16"/>
          </w:rPr>
          <w:t>86</w:t>
        </w:r>
        <w:r w:rsidR="00EB6BA6" w:rsidRPr="001E2F6E">
          <w:rPr>
            <w:rFonts w:eastAsiaTheme="minorHAnsi" w:cstheme="minorBidi"/>
            <w:noProof/>
            <w:webHidden/>
            <w:sz w:val="16"/>
            <w:szCs w:val="16"/>
          </w:rPr>
          <w:fldChar w:fldCharType="end"/>
        </w:r>
      </w:hyperlink>
    </w:p>
    <w:p w:rsidR="000728A0" w:rsidRPr="001E2F6E" w:rsidRDefault="00A327D4" w:rsidP="00E84501">
      <w:pPr>
        <w:pStyle w:val="Tabladeilustraciones"/>
        <w:tabs>
          <w:tab w:val="right" w:leader="dot" w:pos="9072"/>
        </w:tabs>
        <w:spacing w:line="240" w:lineRule="auto"/>
        <w:ind w:left="1134" w:hanging="1134"/>
        <w:rPr>
          <w:rFonts w:eastAsiaTheme="minorHAnsi" w:cstheme="minorBidi"/>
          <w:noProof/>
          <w:sz w:val="16"/>
          <w:szCs w:val="16"/>
        </w:rPr>
      </w:pPr>
      <w:hyperlink w:anchor="_Toc392585862" w:history="1">
        <w:r w:rsidR="000728A0" w:rsidRPr="001E2F6E">
          <w:rPr>
            <w:rFonts w:eastAsiaTheme="minorHAnsi" w:cstheme="minorBidi"/>
            <w:noProof/>
            <w:sz w:val="16"/>
            <w:szCs w:val="16"/>
          </w:rPr>
          <w:t xml:space="preserve">4.9 Taula </w:t>
        </w:r>
        <w:r w:rsidR="00E84501" w:rsidRPr="001E2F6E">
          <w:rPr>
            <w:rFonts w:eastAsiaTheme="minorHAnsi" w:cstheme="minorBidi"/>
            <w:noProof/>
            <w:sz w:val="16"/>
            <w:szCs w:val="16"/>
          </w:rPr>
          <w:tab/>
        </w:r>
        <w:r w:rsidR="000728A0" w:rsidRPr="001E2F6E">
          <w:rPr>
            <w:rFonts w:eastAsiaTheme="minorHAnsi" w:cstheme="minorBidi"/>
            <w:noProof/>
            <w:sz w:val="16"/>
            <w:szCs w:val="16"/>
          </w:rPr>
          <w:t>EKITALDIKO KUOTA-BANAKETA BGAE-MOTEN ARABERA 2012 (zifra absolutuak</w:t>
        </w:r>
        <w:r w:rsidR="000728A0" w:rsidRPr="001E2F6E">
          <w:rPr>
            <w:rFonts w:eastAsiaTheme="minorHAnsi" w:cstheme="minorBidi"/>
            <w:noProof/>
            <w:webHidden/>
            <w:sz w:val="16"/>
            <w:szCs w:val="16"/>
          </w:rPr>
          <w:tab/>
        </w:r>
        <w:r w:rsidR="00EB6BA6" w:rsidRPr="001E2F6E">
          <w:rPr>
            <w:rFonts w:eastAsiaTheme="minorHAnsi" w:cstheme="minorBidi"/>
            <w:noProof/>
            <w:webHidden/>
            <w:sz w:val="16"/>
            <w:szCs w:val="16"/>
          </w:rPr>
          <w:fldChar w:fldCharType="begin"/>
        </w:r>
        <w:r w:rsidR="000728A0" w:rsidRPr="001E2F6E">
          <w:rPr>
            <w:rFonts w:eastAsiaTheme="minorHAnsi" w:cstheme="minorBidi"/>
            <w:noProof/>
            <w:webHidden/>
            <w:sz w:val="16"/>
            <w:szCs w:val="16"/>
          </w:rPr>
          <w:instrText xml:space="preserve"> PAGEREF _Toc392585862 \h </w:instrText>
        </w:r>
        <w:r w:rsidR="00EB6BA6" w:rsidRPr="001E2F6E">
          <w:rPr>
            <w:rFonts w:eastAsiaTheme="minorHAnsi" w:cstheme="minorBidi"/>
            <w:noProof/>
            <w:webHidden/>
            <w:sz w:val="16"/>
            <w:szCs w:val="16"/>
          </w:rPr>
        </w:r>
        <w:r w:rsidR="00EB6BA6" w:rsidRPr="001E2F6E">
          <w:rPr>
            <w:rFonts w:eastAsiaTheme="minorHAnsi" w:cstheme="minorBidi"/>
            <w:noProof/>
            <w:webHidden/>
            <w:sz w:val="16"/>
            <w:szCs w:val="16"/>
          </w:rPr>
          <w:fldChar w:fldCharType="separate"/>
        </w:r>
        <w:r>
          <w:rPr>
            <w:rFonts w:eastAsiaTheme="minorHAnsi" w:cstheme="minorBidi"/>
            <w:noProof/>
            <w:webHidden/>
            <w:sz w:val="16"/>
            <w:szCs w:val="16"/>
          </w:rPr>
          <w:t>86</w:t>
        </w:r>
        <w:r w:rsidR="00EB6BA6" w:rsidRPr="001E2F6E">
          <w:rPr>
            <w:rFonts w:eastAsiaTheme="minorHAnsi" w:cstheme="minorBidi"/>
            <w:noProof/>
            <w:webHidden/>
            <w:sz w:val="16"/>
            <w:szCs w:val="16"/>
          </w:rPr>
          <w:fldChar w:fldCharType="end"/>
        </w:r>
      </w:hyperlink>
    </w:p>
    <w:p w:rsidR="000728A0" w:rsidRPr="001E2F6E" w:rsidRDefault="00A327D4" w:rsidP="00E84501">
      <w:pPr>
        <w:pStyle w:val="Tabladeilustraciones"/>
        <w:tabs>
          <w:tab w:val="right" w:leader="dot" w:pos="9072"/>
        </w:tabs>
        <w:spacing w:line="240" w:lineRule="auto"/>
        <w:ind w:left="1134" w:hanging="1134"/>
        <w:rPr>
          <w:rFonts w:eastAsiaTheme="minorHAnsi" w:cstheme="minorBidi"/>
          <w:noProof/>
          <w:sz w:val="16"/>
          <w:szCs w:val="16"/>
        </w:rPr>
      </w:pPr>
      <w:hyperlink w:anchor="_Toc392585863" w:history="1">
        <w:r w:rsidR="000728A0" w:rsidRPr="001E2F6E">
          <w:rPr>
            <w:rFonts w:eastAsiaTheme="minorHAnsi" w:cstheme="minorBidi"/>
            <w:noProof/>
            <w:sz w:val="16"/>
            <w:szCs w:val="16"/>
          </w:rPr>
          <w:t xml:space="preserve">4.10 Taula </w:t>
        </w:r>
        <w:r w:rsidR="00E84501" w:rsidRPr="001E2F6E">
          <w:rPr>
            <w:rFonts w:eastAsiaTheme="minorHAnsi" w:cstheme="minorBidi"/>
            <w:noProof/>
            <w:sz w:val="16"/>
            <w:szCs w:val="16"/>
          </w:rPr>
          <w:tab/>
        </w:r>
        <w:r w:rsidR="000728A0" w:rsidRPr="001E2F6E">
          <w:rPr>
            <w:rFonts w:eastAsiaTheme="minorHAnsi" w:cstheme="minorBidi"/>
            <w:noProof/>
            <w:sz w:val="16"/>
            <w:szCs w:val="16"/>
          </w:rPr>
          <w:t>BEGd-aren BANAKETA BGAEak 2012 (zifra absolutuak eta %bertikalak)</w:t>
        </w:r>
        <w:r w:rsidR="000728A0" w:rsidRPr="001E2F6E">
          <w:rPr>
            <w:rFonts w:eastAsiaTheme="minorHAnsi" w:cstheme="minorBidi"/>
            <w:noProof/>
            <w:webHidden/>
            <w:sz w:val="16"/>
            <w:szCs w:val="16"/>
          </w:rPr>
          <w:tab/>
        </w:r>
        <w:r w:rsidR="00EB6BA6" w:rsidRPr="001E2F6E">
          <w:rPr>
            <w:rFonts w:eastAsiaTheme="minorHAnsi" w:cstheme="minorBidi"/>
            <w:noProof/>
            <w:webHidden/>
            <w:sz w:val="16"/>
            <w:szCs w:val="16"/>
          </w:rPr>
          <w:fldChar w:fldCharType="begin"/>
        </w:r>
        <w:r w:rsidR="000728A0" w:rsidRPr="001E2F6E">
          <w:rPr>
            <w:rFonts w:eastAsiaTheme="minorHAnsi" w:cstheme="minorBidi"/>
            <w:noProof/>
            <w:webHidden/>
            <w:sz w:val="16"/>
            <w:szCs w:val="16"/>
          </w:rPr>
          <w:instrText xml:space="preserve"> PAGEREF _Toc392585863 \h </w:instrText>
        </w:r>
        <w:r w:rsidR="00EB6BA6" w:rsidRPr="001E2F6E">
          <w:rPr>
            <w:rFonts w:eastAsiaTheme="minorHAnsi" w:cstheme="minorBidi"/>
            <w:noProof/>
            <w:webHidden/>
            <w:sz w:val="16"/>
            <w:szCs w:val="16"/>
          </w:rPr>
        </w:r>
        <w:r w:rsidR="00EB6BA6" w:rsidRPr="001E2F6E">
          <w:rPr>
            <w:rFonts w:eastAsiaTheme="minorHAnsi" w:cstheme="minorBidi"/>
            <w:noProof/>
            <w:webHidden/>
            <w:sz w:val="16"/>
            <w:szCs w:val="16"/>
          </w:rPr>
          <w:fldChar w:fldCharType="separate"/>
        </w:r>
        <w:r>
          <w:rPr>
            <w:rFonts w:eastAsiaTheme="minorHAnsi" w:cstheme="minorBidi"/>
            <w:noProof/>
            <w:webHidden/>
            <w:sz w:val="16"/>
            <w:szCs w:val="16"/>
          </w:rPr>
          <w:t>86</w:t>
        </w:r>
        <w:r w:rsidR="00EB6BA6" w:rsidRPr="001E2F6E">
          <w:rPr>
            <w:rFonts w:eastAsiaTheme="minorHAnsi" w:cstheme="minorBidi"/>
            <w:noProof/>
            <w:webHidden/>
            <w:sz w:val="16"/>
            <w:szCs w:val="16"/>
          </w:rPr>
          <w:fldChar w:fldCharType="end"/>
        </w:r>
      </w:hyperlink>
    </w:p>
    <w:p w:rsidR="000728A0" w:rsidRPr="001E2F6E" w:rsidRDefault="00A327D4" w:rsidP="00E84501">
      <w:pPr>
        <w:pStyle w:val="Tabladeilustraciones"/>
        <w:tabs>
          <w:tab w:val="right" w:leader="dot" w:pos="9072"/>
        </w:tabs>
        <w:spacing w:line="240" w:lineRule="auto"/>
        <w:ind w:left="1134" w:hanging="1134"/>
        <w:rPr>
          <w:rFonts w:eastAsiaTheme="minorHAnsi" w:cstheme="minorBidi"/>
          <w:noProof/>
          <w:sz w:val="16"/>
          <w:szCs w:val="16"/>
        </w:rPr>
      </w:pPr>
      <w:hyperlink w:anchor="_Toc392585864" w:history="1">
        <w:r w:rsidR="000728A0" w:rsidRPr="001E2F6E">
          <w:rPr>
            <w:rFonts w:eastAsiaTheme="minorHAnsi" w:cstheme="minorBidi"/>
            <w:noProof/>
            <w:sz w:val="16"/>
            <w:szCs w:val="16"/>
          </w:rPr>
          <w:t xml:space="preserve">4.11 Taula </w:t>
        </w:r>
        <w:r w:rsidR="00E84501" w:rsidRPr="001E2F6E">
          <w:rPr>
            <w:rFonts w:eastAsiaTheme="minorHAnsi" w:cstheme="minorBidi"/>
            <w:noProof/>
            <w:sz w:val="16"/>
            <w:szCs w:val="16"/>
          </w:rPr>
          <w:tab/>
        </w:r>
        <w:r w:rsidR="000728A0" w:rsidRPr="001E2F6E">
          <w:rPr>
            <w:rFonts w:eastAsiaTheme="minorHAnsi" w:cstheme="minorBidi"/>
            <w:noProof/>
            <w:sz w:val="16"/>
            <w:szCs w:val="16"/>
          </w:rPr>
          <w:t>USTIAPEN- ETA FINANTZA-SARREREN BANAKETA ARRANTZALE-KOFRADIETAN 2012 (zifra absolutuak eta %ber.)</w:t>
        </w:r>
        <w:r w:rsidR="000728A0" w:rsidRPr="001E2F6E">
          <w:rPr>
            <w:rFonts w:eastAsiaTheme="minorHAnsi" w:cstheme="minorBidi"/>
            <w:noProof/>
            <w:webHidden/>
            <w:sz w:val="16"/>
            <w:szCs w:val="16"/>
          </w:rPr>
          <w:tab/>
        </w:r>
        <w:r w:rsidR="00EB6BA6" w:rsidRPr="001E2F6E">
          <w:rPr>
            <w:rFonts w:eastAsiaTheme="minorHAnsi" w:cstheme="minorBidi"/>
            <w:noProof/>
            <w:webHidden/>
            <w:sz w:val="16"/>
            <w:szCs w:val="16"/>
          </w:rPr>
          <w:fldChar w:fldCharType="begin"/>
        </w:r>
        <w:r w:rsidR="000728A0" w:rsidRPr="001E2F6E">
          <w:rPr>
            <w:rFonts w:eastAsiaTheme="minorHAnsi" w:cstheme="minorBidi"/>
            <w:noProof/>
            <w:webHidden/>
            <w:sz w:val="16"/>
            <w:szCs w:val="16"/>
          </w:rPr>
          <w:instrText xml:space="preserve"> PAGEREF _Toc392585864 \h </w:instrText>
        </w:r>
        <w:r w:rsidR="00EB6BA6" w:rsidRPr="001E2F6E">
          <w:rPr>
            <w:rFonts w:eastAsiaTheme="minorHAnsi" w:cstheme="minorBidi"/>
            <w:noProof/>
            <w:webHidden/>
            <w:sz w:val="16"/>
            <w:szCs w:val="16"/>
          </w:rPr>
        </w:r>
        <w:r w:rsidR="00EB6BA6" w:rsidRPr="001E2F6E">
          <w:rPr>
            <w:rFonts w:eastAsiaTheme="minorHAnsi" w:cstheme="minorBidi"/>
            <w:noProof/>
            <w:webHidden/>
            <w:sz w:val="16"/>
            <w:szCs w:val="16"/>
          </w:rPr>
          <w:fldChar w:fldCharType="separate"/>
        </w:r>
        <w:r>
          <w:rPr>
            <w:rFonts w:eastAsiaTheme="minorHAnsi" w:cstheme="minorBidi"/>
            <w:noProof/>
            <w:webHidden/>
            <w:sz w:val="16"/>
            <w:szCs w:val="16"/>
          </w:rPr>
          <w:t>87</w:t>
        </w:r>
        <w:r w:rsidR="00EB6BA6" w:rsidRPr="001E2F6E">
          <w:rPr>
            <w:rFonts w:eastAsiaTheme="minorHAnsi" w:cstheme="minorBidi"/>
            <w:noProof/>
            <w:webHidden/>
            <w:sz w:val="16"/>
            <w:szCs w:val="16"/>
          </w:rPr>
          <w:fldChar w:fldCharType="end"/>
        </w:r>
      </w:hyperlink>
    </w:p>
    <w:p w:rsidR="000728A0" w:rsidRPr="001E2F6E" w:rsidRDefault="00A327D4" w:rsidP="00E84501">
      <w:pPr>
        <w:pStyle w:val="Tabladeilustraciones"/>
        <w:tabs>
          <w:tab w:val="right" w:leader="dot" w:pos="9072"/>
        </w:tabs>
        <w:spacing w:line="240" w:lineRule="auto"/>
        <w:ind w:left="1134" w:hanging="1134"/>
        <w:rPr>
          <w:rFonts w:eastAsiaTheme="minorHAnsi" w:cstheme="minorBidi"/>
          <w:noProof/>
          <w:sz w:val="16"/>
          <w:szCs w:val="16"/>
        </w:rPr>
      </w:pPr>
      <w:hyperlink w:anchor="_Toc392585865" w:history="1">
        <w:r w:rsidR="000728A0" w:rsidRPr="001E2F6E">
          <w:rPr>
            <w:rFonts w:eastAsiaTheme="minorHAnsi" w:cstheme="minorBidi"/>
            <w:noProof/>
            <w:sz w:val="16"/>
            <w:szCs w:val="16"/>
          </w:rPr>
          <w:t xml:space="preserve">4.12 Taula </w:t>
        </w:r>
        <w:r w:rsidR="00E84501" w:rsidRPr="001E2F6E">
          <w:rPr>
            <w:rFonts w:eastAsiaTheme="minorHAnsi" w:cstheme="minorBidi"/>
            <w:noProof/>
            <w:sz w:val="16"/>
            <w:szCs w:val="16"/>
          </w:rPr>
          <w:tab/>
        </w:r>
        <w:r w:rsidR="000728A0" w:rsidRPr="001E2F6E">
          <w:rPr>
            <w:rFonts w:eastAsiaTheme="minorHAnsi" w:cstheme="minorBidi"/>
            <w:noProof/>
            <w:sz w:val="16"/>
            <w:szCs w:val="16"/>
          </w:rPr>
          <w:t>BEGd-ren BANAKETA ARRANTZALE KOFRADIAK 2012 (zifra absolutuak eta % bertikalak)</w:t>
        </w:r>
        <w:r w:rsidR="000728A0" w:rsidRPr="001E2F6E">
          <w:rPr>
            <w:rFonts w:eastAsiaTheme="minorHAnsi" w:cstheme="minorBidi"/>
            <w:noProof/>
            <w:webHidden/>
            <w:sz w:val="16"/>
            <w:szCs w:val="16"/>
          </w:rPr>
          <w:tab/>
        </w:r>
        <w:r w:rsidR="00EB6BA6" w:rsidRPr="001E2F6E">
          <w:rPr>
            <w:rFonts w:eastAsiaTheme="minorHAnsi" w:cstheme="minorBidi"/>
            <w:noProof/>
            <w:webHidden/>
            <w:sz w:val="16"/>
            <w:szCs w:val="16"/>
          </w:rPr>
          <w:fldChar w:fldCharType="begin"/>
        </w:r>
        <w:r w:rsidR="000728A0" w:rsidRPr="001E2F6E">
          <w:rPr>
            <w:rFonts w:eastAsiaTheme="minorHAnsi" w:cstheme="minorBidi"/>
            <w:noProof/>
            <w:webHidden/>
            <w:sz w:val="16"/>
            <w:szCs w:val="16"/>
          </w:rPr>
          <w:instrText xml:space="preserve"> PAGEREF _Toc392585865 \h </w:instrText>
        </w:r>
        <w:r w:rsidR="00EB6BA6" w:rsidRPr="001E2F6E">
          <w:rPr>
            <w:rFonts w:eastAsiaTheme="minorHAnsi" w:cstheme="minorBidi"/>
            <w:noProof/>
            <w:webHidden/>
            <w:sz w:val="16"/>
            <w:szCs w:val="16"/>
          </w:rPr>
        </w:r>
        <w:r w:rsidR="00EB6BA6" w:rsidRPr="001E2F6E">
          <w:rPr>
            <w:rFonts w:eastAsiaTheme="minorHAnsi" w:cstheme="minorBidi"/>
            <w:noProof/>
            <w:webHidden/>
            <w:sz w:val="16"/>
            <w:szCs w:val="16"/>
          </w:rPr>
          <w:fldChar w:fldCharType="separate"/>
        </w:r>
        <w:r>
          <w:rPr>
            <w:rFonts w:eastAsiaTheme="minorHAnsi" w:cstheme="minorBidi"/>
            <w:noProof/>
            <w:webHidden/>
            <w:sz w:val="16"/>
            <w:szCs w:val="16"/>
          </w:rPr>
          <w:t>88</w:t>
        </w:r>
        <w:r w:rsidR="00EB6BA6" w:rsidRPr="001E2F6E">
          <w:rPr>
            <w:rFonts w:eastAsiaTheme="minorHAnsi" w:cstheme="minorBidi"/>
            <w:noProof/>
            <w:webHidden/>
            <w:sz w:val="16"/>
            <w:szCs w:val="16"/>
          </w:rPr>
          <w:fldChar w:fldCharType="end"/>
        </w:r>
      </w:hyperlink>
    </w:p>
    <w:p w:rsidR="000728A0" w:rsidRPr="001E2F6E" w:rsidRDefault="00A327D4" w:rsidP="00E84501">
      <w:pPr>
        <w:pStyle w:val="Tabladeilustraciones"/>
        <w:tabs>
          <w:tab w:val="right" w:leader="dot" w:pos="9072"/>
        </w:tabs>
        <w:spacing w:line="240" w:lineRule="auto"/>
        <w:ind w:left="1134" w:hanging="1134"/>
        <w:rPr>
          <w:rFonts w:eastAsiaTheme="minorHAnsi" w:cstheme="minorBidi"/>
          <w:noProof/>
          <w:sz w:val="16"/>
          <w:szCs w:val="16"/>
        </w:rPr>
      </w:pPr>
      <w:hyperlink w:anchor="_Toc392585866" w:history="1">
        <w:r w:rsidR="000728A0" w:rsidRPr="001E2F6E">
          <w:rPr>
            <w:rFonts w:eastAsiaTheme="minorHAnsi" w:cstheme="minorBidi"/>
            <w:noProof/>
            <w:sz w:val="16"/>
            <w:szCs w:val="16"/>
          </w:rPr>
          <w:t xml:space="preserve">4.13 Taula </w:t>
        </w:r>
        <w:r w:rsidR="00E84501" w:rsidRPr="001E2F6E">
          <w:rPr>
            <w:rFonts w:eastAsiaTheme="minorHAnsi" w:cstheme="minorBidi"/>
            <w:noProof/>
            <w:sz w:val="16"/>
            <w:szCs w:val="16"/>
          </w:rPr>
          <w:tab/>
        </w:r>
        <w:r w:rsidR="000728A0" w:rsidRPr="001E2F6E">
          <w:rPr>
            <w:rFonts w:eastAsiaTheme="minorHAnsi" w:cstheme="minorBidi"/>
            <w:noProof/>
            <w:sz w:val="16"/>
            <w:szCs w:val="16"/>
          </w:rPr>
          <w:t>USTIAPEN-SARREREN BANAKETA ENSetan 2012 (zifra absolutuak eta % bertikalak)</w:t>
        </w:r>
        <w:r w:rsidR="000728A0" w:rsidRPr="001E2F6E">
          <w:rPr>
            <w:rFonts w:eastAsiaTheme="minorHAnsi" w:cstheme="minorBidi"/>
            <w:noProof/>
            <w:webHidden/>
            <w:sz w:val="16"/>
            <w:szCs w:val="16"/>
          </w:rPr>
          <w:tab/>
        </w:r>
        <w:r w:rsidR="00EB6BA6" w:rsidRPr="001E2F6E">
          <w:rPr>
            <w:rFonts w:eastAsiaTheme="minorHAnsi" w:cstheme="minorBidi"/>
            <w:noProof/>
            <w:webHidden/>
            <w:sz w:val="16"/>
            <w:szCs w:val="16"/>
          </w:rPr>
          <w:fldChar w:fldCharType="begin"/>
        </w:r>
        <w:r w:rsidR="000728A0" w:rsidRPr="001E2F6E">
          <w:rPr>
            <w:rFonts w:eastAsiaTheme="minorHAnsi" w:cstheme="minorBidi"/>
            <w:noProof/>
            <w:webHidden/>
            <w:sz w:val="16"/>
            <w:szCs w:val="16"/>
          </w:rPr>
          <w:instrText xml:space="preserve"> PAGEREF _Toc392585866 \h </w:instrText>
        </w:r>
        <w:r w:rsidR="00EB6BA6" w:rsidRPr="001E2F6E">
          <w:rPr>
            <w:rFonts w:eastAsiaTheme="minorHAnsi" w:cstheme="minorBidi"/>
            <w:noProof/>
            <w:webHidden/>
            <w:sz w:val="16"/>
            <w:szCs w:val="16"/>
          </w:rPr>
        </w:r>
        <w:r w:rsidR="00EB6BA6" w:rsidRPr="001E2F6E">
          <w:rPr>
            <w:rFonts w:eastAsiaTheme="minorHAnsi" w:cstheme="minorBidi"/>
            <w:noProof/>
            <w:webHidden/>
            <w:sz w:val="16"/>
            <w:szCs w:val="16"/>
          </w:rPr>
          <w:fldChar w:fldCharType="separate"/>
        </w:r>
        <w:r>
          <w:rPr>
            <w:rFonts w:eastAsiaTheme="minorHAnsi" w:cstheme="minorBidi"/>
            <w:noProof/>
            <w:webHidden/>
            <w:sz w:val="16"/>
            <w:szCs w:val="16"/>
          </w:rPr>
          <w:t>89</w:t>
        </w:r>
        <w:r w:rsidR="00EB6BA6" w:rsidRPr="001E2F6E">
          <w:rPr>
            <w:rFonts w:eastAsiaTheme="minorHAnsi" w:cstheme="minorBidi"/>
            <w:noProof/>
            <w:webHidden/>
            <w:sz w:val="16"/>
            <w:szCs w:val="16"/>
          </w:rPr>
          <w:fldChar w:fldCharType="end"/>
        </w:r>
      </w:hyperlink>
    </w:p>
    <w:p w:rsidR="000728A0" w:rsidRPr="001E2F6E" w:rsidRDefault="00A327D4" w:rsidP="00E84501">
      <w:pPr>
        <w:pStyle w:val="Tabladeilustraciones"/>
        <w:tabs>
          <w:tab w:val="right" w:leader="dot" w:pos="9072"/>
        </w:tabs>
        <w:spacing w:line="240" w:lineRule="auto"/>
        <w:ind w:left="1134" w:hanging="1134"/>
        <w:rPr>
          <w:rFonts w:eastAsiaTheme="minorHAnsi" w:cstheme="minorBidi"/>
          <w:noProof/>
          <w:sz w:val="16"/>
          <w:szCs w:val="16"/>
        </w:rPr>
      </w:pPr>
      <w:hyperlink w:anchor="_Toc392585867" w:history="1">
        <w:r w:rsidR="000728A0" w:rsidRPr="001E2F6E">
          <w:rPr>
            <w:rFonts w:eastAsiaTheme="minorHAnsi" w:cstheme="minorBidi"/>
            <w:noProof/>
            <w:sz w:val="16"/>
            <w:szCs w:val="16"/>
          </w:rPr>
          <w:t xml:space="preserve">4.14 Taula </w:t>
        </w:r>
        <w:r w:rsidR="00E84501" w:rsidRPr="001E2F6E">
          <w:rPr>
            <w:rFonts w:eastAsiaTheme="minorHAnsi" w:cstheme="minorBidi"/>
            <w:noProof/>
            <w:sz w:val="16"/>
            <w:szCs w:val="16"/>
          </w:rPr>
          <w:tab/>
        </w:r>
        <w:r w:rsidR="000728A0" w:rsidRPr="001E2F6E">
          <w:rPr>
            <w:rFonts w:eastAsiaTheme="minorHAnsi" w:cstheme="minorBidi"/>
            <w:noProof/>
            <w:sz w:val="16"/>
            <w:szCs w:val="16"/>
          </w:rPr>
          <w:t>BEGd-aren BANAKETA ENSak 2012 (zifra absolutuak eta % bertikalak)</w:t>
        </w:r>
        <w:r w:rsidR="000728A0" w:rsidRPr="001E2F6E">
          <w:rPr>
            <w:rFonts w:eastAsiaTheme="minorHAnsi" w:cstheme="minorBidi"/>
            <w:noProof/>
            <w:webHidden/>
            <w:sz w:val="16"/>
            <w:szCs w:val="16"/>
          </w:rPr>
          <w:tab/>
        </w:r>
        <w:r w:rsidR="00EB6BA6" w:rsidRPr="001E2F6E">
          <w:rPr>
            <w:rFonts w:eastAsiaTheme="minorHAnsi" w:cstheme="minorBidi"/>
            <w:noProof/>
            <w:webHidden/>
            <w:sz w:val="16"/>
            <w:szCs w:val="16"/>
          </w:rPr>
          <w:fldChar w:fldCharType="begin"/>
        </w:r>
        <w:r w:rsidR="000728A0" w:rsidRPr="001E2F6E">
          <w:rPr>
            <w:rFonts w:eastAsiaTheme="minorHAnsi" w:cstheme="minorBidi"/>
            <w:noProof/>
            <w:webHidden/>
            <w:sz w:val="16"/>
            <w:szCs w:val="16"/>
          </w:rPr>
          <w:instrText xml:space="preserve"> PAGEREF _Toc392585867 \h </w:instrText>
        </w:r>
        <w:r w:rsidR="00EB6BA6" w:rsidRPr="001E2F6E">
          <w:rPr>
            <w:rFonts w:eastAsiaTheme="minorHAnsi" w:cstheme="minorBidi"/>
            <w:noProof/>
            <w:webHidden/>
            <w:sz w:val="16"/>
            <w:szCs w:val="16"/>
          </w:rPr>
        </w:r>
        <w:r w:rsidR="00EB6BA6" w:rsidRPr="001E2F6E">
          <w:rPr>
            <w:rFonts w:eastAsiaTheme="minorHAnsi" w:cstheme="minorBidi"/>
            <w:noProof/>
            <w:webHidden/>
            <w:sz w:val="16"/>
            <w:szCs w:val="16"/>
          </w:rPr>
          <w:fldChar w:fldCharType="separate"/>
        </w:r>
        <w:r>
          <w:rPr>
            <w:rFonts w:eastAsiaTheme="minorHAnsi" w:cstheme="minorBidi"/>
            <w:noProof/>
            <w:webHidden/>
            <w:sz w:val="16"/>
            <w:szCs w:val="16"/>
          </w:rPr>
          <w:t>89</w:t>
        </w:r>
        <w:r w:rsidR="00EB6BA6" w:rsidRPr="001E2F6E">
          <w:rPr>
            <w:rFonts w:eastAsiaTheme="minorHAnsi" w:cstheme="minorBidi"/>
            <w:noProof/>
            <w:webHidden/>
            <w:sz w:val="16"/>
            <w:szCs w:val="16"/>
          </w:rPr>
          <w:fldChar w:fldCharType="end"/>
        </w:r>
      </w:hyperlink>
    </w:p>
    <w:p w:rsidR="000728A0" w:rsidRPr="001E2F6E" w:rsidRDefault="00A327D4" w:rsidP="00E84501">
      <w:pPr>
        <w:pStyle w:val="Tabladeilustraciones"/>
        <w:tabs>
          <w:tab w:val="right" w:leader="dot" w:pos="9072"/>
        </w:tabs>
        <w:spacing w:line="240" w:lineRule="auto"/>
        <w:ind w:left="1134" w:hanging="1134"/>
        <w:rPr>
          <w:rFonts w:eastAsiaTheme="minorHAnsi" w:cstheme="minorBidi"/>
          <w:noProof/>
          <w:sz w:val="16"/>
          <w:szCs w:val="16"/>
        </w:rPr>
      </w:pPr>
      <w:hyperlink w:anchor="_Toc392585868" w:history="1">
        <w:r w:rsidR="000728A0" w:rsidRPr="001E2F6E">
          <w:rPr>
            <w:rFonts w:eastAsiaTheme="minorHAnsi" w:cstheme="minorBidi"/>
            <w:noProof/>
            <w:sz w:val="16"/>
            <w:szCs w:val="16"/>
          </w:rPr>
          <w:t xml:space="preserve">Taula 4.15 </w:t>
        </w:r>
        <w:r w:rsidR="00E84501" w:rsidRPr="001E2F6E">
          <w:rPr>
            <w:rFonts w:eastAsiaTheme="minorHAnsi" w:cstheme="minorBidi"/>
            <w:noProof/>
            <w:sz w:val="16"/>
            <w:szCs w:val="16"/>
          </w:rPr>
          <w:tab/>
        </w:r>
        <w:r w:rsidR="000728A0" w:rsidRPr="001E2F6E">
          <w:rPr>
            <w:rFonts w:eastAsiaTheme="minorHAnsi" w:cstheme="minorBidi"/>
            <w:noProof/>
            <w:sz w:val="16"/>
            <w:szCs w:val="16"/>
          </w:rPr>
          <w:t>ERAKUNDE-KOPURUAREN ALORREZ ALORREKO BANAKETA –UNIBERTSOA ETA LAGINA- 2012 (zifra absolutuak)</w:t>
        </w:r>
        <w:r w:rsidR="000728A0" w:rsidRPr="001E2F6E">
          <w:rPr>
            <w:rFonts w:eastAsiaTheme="minorHAnsi" w:cstheme="minorBidi"/>
            <w:noProof/>
            <w:webHidden/>
            <w:sz w:val="16"/>
            <w:szCs w:val="16"/>
          </w:rPr>
          <w:tab/>
        </w:r>
        <w:r w:rsidR="00EB6BA6" w:rsidRPr="001E2F6E">
          <w:rPr>
            <w:rFonts w:eastAsiaTheme="minorHAnsi" w:cstheme="minorBidi"/>
            <w:noProof/>
            <w:webHidden/>
            <w:sz w:val="16"/>
            <w:szCs w:val="16"/>
          </w:rPr>
          <w:fldChar w:fldCharType="begin"/>
        </w:r>
        <w:r w:rsidR="000728A0" w:rsidRPr="001E2F6E">
          <w:rPr>
            <w:rFonts w:eastAsiaTheme="minorHAnsi" w:cstheme="minorBidi"/>
            <w:noProof/>
            <w:webHidden/>
            <w:sz w:val="16"/>
            <w:szCs w:val="16"/>
          </w:rPr>
          <w:instrText xml:space="preserve"> PAGEREF _Toc392585868 \h </w:instrText>
        </w:r>
        <w:r w:rsidR="00EB6BA6" w:rsidRPr="001E2F6E">
          <w:rPr>
            <w:rFonts w:eastAsiaTheme="minorHAnsi" w:cstheme="minorBidi"/>
            <w:noProof/>
            <w:webHidden/>
            <w:sz w:val="16"/>
            <w:szCs w:val="16"/>
          </w:rPr>
        </w:r>
        <w:r w:rsidR="00EB6BA6" w:rsidRPr="001E2F6E">
          <w:rPr>
            <w:rFonts w:eastAsiaTheme="minorHAnsi" w:cstheme="minorBidi"/>
            <w:noProof/>
            <w:webHidden/>
            <w:sz w:val="16"/>
            <w:szCs w:val="16"/>
          </w:rPr>
          <w:fldChar w:fldCharType="separate"/>
        </w:r>
        <w:r>
          <w:rPr>
            <w:rFonts w:eastAsiaTheme="minorHAnsi" w:cstheme="minorBidi"/>
            <w:noProof/>
            <w:webHidden/>
            <w:sz w:val="16"/>
            <w:szCs w:val="16"/>
          </w:rPr>
          <w:t>90</w:t>
        </w:r>
        <w:r w:rsidR="00EB6BA6" w:rsidRPr="001E2F6E">
          <w:rPr>
            <w:rFonts w:eastAsiaTheme="minorHAnsi" w:cstheme="minorBidi"/>
            <w:noProof/>
            <w:webHidden/>
            <w:sz w:val="16"/>
            <w:szCs w:val="16"/>
          </w:rPr>
          <w:fldChar w:fldCharType="end"/>
        </w:r>
      </w:hyperlink>
    </w:p>
    <w:p w:rsidR="000728A0" w:rsidRPr="001E2F6E" w:rsidRDefault="00A327D4" w:rsidP="00E84501">
      <w:pPr>
        <w:pStyle w:val="Tabladeilustraciones"/>
        <w:tabs>
          <w:tab w:val="right" w:leader="dot" w:pos="9072"/>
        </w:tabs>
        <w:spacing w:line="240" w:lineRule="auto"/>
        <w:ind w:left="1134" w:hanging="1134"/>
        <w:rPr>
          <w:rFonts w:eastAsiaTheme="minorHAnsi" w:cstheme="minorBidi"/>
          <w:noProof/>
          <w:sz w:val="16"/>
          <w:szCs w:val="16"/>
        </w:rPr>
      </w:pPr>
      <w:hyperlink w:anchor="_Toc392585869" w:history="1">
        <w:r w:rsidR="000728A0" w:rsidRPr="001E2F6E">
          <w:rPr>
            <w:rFonts w:eastAsiaTheme="minorHAnsi" w:cstheme="minorBidi"/>
            <w:noProof/>
            <w:sz w:val="16"/>
            <w:szCs w:val="16"/>
          </w:rPr>
          <w:t xml:space="preserve">4.16 Taula </w:t>
        </w:r>
        <w:r w:rsidR="00E84501" w:rsidRPr="001E2F6E">
          <w:rPr>
            <w:rFonts w:eastAsiaTheme="minorHAnsi" w:cstheme="minorBidi"/>
            <w:noProof/>
            <w:sz w:val="16"/>
            <w:szCs w:val="16"/>
          </w:rPr>
          <w:tab/>
        </w:r>
        <w:r w:rsidR="000728A0" w:rsidRPr="001E2F6E">
          <w:rPr>
            <w:rFonts w:eastAsiaTheme="minorHAnsi" w:cstheme="minorBidi"/>
            <w:noProof/>
            <w:sz w:val="16"/>
            <w:szCs w:val="16"/>
          </w:rPr>
          <w:t>URTEKOTUTAKO ENPLEGU ORDAINDUAREN ALORREZ ALORREKO BANAKETA GIZARTE-EKONOMIAREN FORMA BERRIAK 2012 (zifra absolutuak eta %bertikalak)</w:t>
        </w:r>
        <w:r w:rsidR="000728A0" w:rsidRPr="001E2F6E">
          <w:rPr>
            <w:rFonts w:eastAsiaTheme="minorHAnsi" w:cstheme="minorBidi"/>
            <w:noProof/>
            <w:webHidden/>
            <w:sz w:val="16"/>
            <w:szCs w:val="16"/>
          </w:rPr>
          <w:tab/>
        </w:r>
        <w:r w:rsidR="00EB6BA6" w:rsidRPr="001E2F6E">
          <w:rPr>
            <w:rFonts w:eastAsiaTheme="minorHAnsi" w:cstheme="minorBidi"/>
            <w:noProof/>
            <w:webHidden/>
            <w:sz w:val="16"/>
            <w:szCs w:val="16"/>
          </w:rPr>
          <w:fldChar w:fldCharType="begin"/>
        </w:r>
        <w:r w:rsidR="000728A0" w:rsidRPr="001E2F6E">
          <w:rPr>
            <w:rFonts w:eastAsiaTheme="minorHAnsi" w:cstheme="minorBidi"/>
            <w:noProof/>
            <w:webHidden/>
            <w:sz w:val="16"/>
            <w:szCs w:val="16"/>
          </w:rPr>
          <w:instrText xml:space="preserve"> PAGEREF _Toc392585869 \h </w:instrText>
        </w:r>
        <w:r w:rsidR="00EB6BA6" w:rsidRPr="001E2F6E">
          <w:rPr>
            <w:rFonts w:eastAsiaTheme="minorHAnsi" w:cstheme="minorBidi"/>
            <w:noProof/>
            <w:webHidden/>
            <w:sz w:val="16"/>
            <w:szCs w:val="16"/>
          </w:rPr>
        </w:r>
        <w:r w:rsidR="00EB6BA6" w:rsidRPr="001E2F6E">
          <w:rPr>
            <w:rFonts w:eastAsiaTheme="minorHAnsi" w:cstheme="minorBidi"/>
            <w:noProof/>
            <w:webHidden/>
            <w:sz w:val="16"/>
            <w:szCs w:val="16"/>
          </w:rPr>
          <w:fldChar w:fldCharType="separate"/>
        </w:r>
        <w:r>
          <w:rPr>
            <w:rFonts w:eastAsiaTheme="minorHAnsi" w:cstheme="minorBidi"/>
            <w:noProof/>
            <w:webHidden/>
            <w:sz w:val="16"/>
            <w:szCs w:val="16"/>
          </w:rPr>
          <w:t>90</w:t>
        </w:r>
        <w:r w:rsidR="00EB6BA6" w:rsidRPr="001E2F6E">
          <w:rPr>
            <w:rFonts w:eastAsiaTheme="minorHAnsi" w:cstheme="minorBidi"/>
            <w:noProof/>
            <w:webHidden/>
            <w:sz w:val="16"/>
            <w:szCs w:val="16"/>
          </w:rPr>
          <w:fldChar w:fldCharType="end"/>
        </w:r>
      </w:hyperlink>
    </w:p>
    <w:p w:rsidR="000728A0" w:rsidRPr="001E2F6E" w:rsidRDefault="00A327D4" w:rsidP="00E84501">
      <w:pPr>
        <w:pStyle w:val="Tabladeilustraciones"/>
        <w:tabs>
          <w:tab w:val="right" w:leader="dot" w:pos="9072"/>
        </w:tabs>
        <w:spacing w:line="240" w:lineRule="auto"/>
        <w:ind w:left="1134" w:hanging="1134"/>
        <w:rPr>
          <w:rFonts w:eastAsiaTheme="minorHAnsi" w:cstheme="minorBidi"/>
          <w:noProof/>
          <w:sz w:val="16"/>
          <w:szCs w:val="16"/>
        </w:rPr>
      </w:pPr>
      <w:hyperlink w:anchor="_Toc392585870" w:history="1">
        <w:r w:rsidR="000728A0" w:rsidRPr="001E2F6E">
          <w:rPr>
            <w:rFonts w:eastAsiaTheme="minorHAnsi" w:cstheme="minorBidi"/>
            <w:noProof/>
            <w:sz w:val="16"/>
            <w:szCs w:val="16"/>
          </w:rPr>
          <w:t xml:space="preserve">4.17 Taula </w:t>
        </w:r>
        <w:r w:rsidR="00E84501" w:rsidRPr="001E2F6E">
          <w:rPr>
            <w:rFonts w:eastAsiaTheme="minorHAnsi" w:cstheme="minorBidi"/>
            <w:noProof/>
            <w:sz w:val="16"/>
            <w:szCs w:val="16"/>
          </w:rPr>
          <w:tab/>
        </w:r>
        <w:r w:rsidR="000728A0" w:rsidRPr="001E2F6E">
          <w:rPr>
            <w:rFonts w:eastAsiaTheme="minorHAnsi" w:cstheme="minorBidi"/>
            <w:noProof/>
            <w:sz w:val="16"/>
            <w:szCs w:val="16"/>
          </w:rPr>
          <w:t>FAKTURAZIOAREN ALORREZ ALORREKO BANAKETA GIZARTE-EKONOMIAREN FORMA BERRIAK 2012 (zifra absolutuak eta %bertikalak)</w:t>
        </w:r>
        <w:r w:rsidR="000728A0" w:rsidRPr="001E2F6E">
          <w:rPr>
            <w:rFonts w:eastAsiaTheme="minorHAnsi" w:cstheme="minorBidi"/>
            <w:noProof/>
            <w:webHidden/>
            <w:sz w:val="16"/>
            <w:szCs w:val="16"/>
          </w:rPr>
          <w:tab/>
        </w:r>
        <w:r w:rsidR="00EB6BA6" w:rsidRPr="001E2F6E">
          <w:rPr>
            <w:rFonts w:eastAsiaTheme="minorHAnsi" w:cstheme="minorBidi"/>
            <w:noProof/>
            <w:webHidden/>
            <w:sz w:val="16"/>
            <w:szCs w:val="16"/>
          </w:rPr>
          <w:fldChar w:fldCharType="begin"/>
        </w:r>
        <w:r w:rsidR="000728A0" w:rsidRPr="001E2F6E">
          <w:rPr>
            <w:rFonts w:eastAsiaTheme="minorHAnsi" w:cstheme="minorBidi"/>
            <w:noProof/>
            <w:webHidden/>
            <w:sz w:val="16"/>
            <w:szCs w:val="16"/>
          </w:rPr>
          <w:instrText xml:space="preserve"> PAGEREF _Toc392585870 \h </w:instrText>
        </w:r>
        <w:r w:rsidR="00EB6BA6" w:rsidRPr="001E2F6E">
          <w:rPr>
            <w:rFonts w:eastAsiaTheme="minorHAnsi" w:cstheme="minorBidi"/>
            <w:noProof/>
            <w:webHidden/>
            <w:sz w:val="16"/>
            <w:szCs w:val="16"/>
          </w:rPr>
        </w:r>
        <w:r w:rsidR="00EB6BA6" w:rsidRPr="001E2F6E">
          <w:rPr>
            <w:rFonts w:eastAsiaTheme="minorHAnsi" w:cstheme="minorBidi"/>
            <w:noProof/>
            <w:webHidden/>
            <w:sz w:val="16"/>
            <w:szCs w:val="16"/>
          </w:rPr>
          <w:fldChar w:fldCharType="separate"/>
        </w:r>
        <w:r>
          <w:rPr>
            <w:rFonts w:eastAsiaTheme="minorHAnsi" w:cstheme="minorBidi"/>
            <w:noProof/>
            <w:webHidden/>
            <w:sz w:val="16"/>
            <w:szCs w:val="16"/>
          </w:rPr>
          <w:t>90</w:t>
        </w:r>
        <w:r w:rsidR="00EB6BA6" w:rsidRPr="001E2F6E">
          <w:rPr>
            <w:rFonts w:eastAsiaTheme="minorHAnsi" w:cstheme="minorBidi"/>
            <w:noProof/>
            <w:webHidden/>
            <w:sz w:val="16"/>
            <w:szCs w:val="16"/>
          </w:rPr>
          <w:fldChar w:fldCharType="end"/>
        </w:r>
      </w:hyperlink>
    </w:p>
    <w:p w:rsidR="000728A0" w:rsidRPr="001E2F6E" w:rsidRDefault="00A327D4" w:rsidP="00E84501">
      <w:pPr>
        <w:pStyle w:val="Tabladeilustraciones"/>
        <w:tabs>
          <w:tab w:val="right" w:leader="dot" w:pos="9072"/>
        </w:tabs>
        <w:spacing w:line="240" w:lineRule="auto"/>
        <w:ind w:left="1134" w:hanging="1134"/>
        <w:rPr>
          <w:rFonts w:eastAsiaTheme="minorHAnsi" w:cstheme="minorBidi"/>
          <w:noProof/>
          <w:sz w:val="16"/>
          <w:szCs w:val="16"/>
        </w:rPr>
      </w:pPr>
      <w:hyperlink w:anchor="_Toc392585871" w:history="1">
        <w:r w:rsidR="000728A0" w:rsidRPr="001E2F6E">
          <w:rPr>
            <w:rFonts w:eastAsiaTheme="minorHAnsi" w:cstheme="minorBidi"/>
            <w:noProof/>
            <w:sz w:val="16"/>
            <w:szCs w:val="16"/>
          </w:rPr>
          <w:t xml:space="preserve">4.18 Taula </w:t>
        </w:r>
        <w:r w:rsidR="00E84501" w:rsidRPr="001E2F6E">
          <w:rPr>
            <w:rFonts w:eastAsiaTheme="minorHAnsi" w:cstheme="minorBidi"/>
            <w:noProof/>
            <w:sz w:val="16"/>
            <w:szCs w:val="16"/>
          </w:rPr>
          <w:tab/>
        </w:r>
        <w:r w:rsidR="000728A0" w:rsidRPr="001E2F6E">
          <w:rPr>
            <w:rFonts w:eastAsiaTheme="minorHAnsi" w:cstheme="minorBidi"/>
            <w:noProof/>
            <w:sz w:val="16"/>
            <w:szCs w:val="16"/>
          </w:rPr>
          <w:t>LANGILEEN GASTUEN ALORREZ ALORREKO BANAKETA GIZARTE-EKONOMIAREN FORMA BERRIAK 2012 (z.a. eta %bertikalak)</w:t>
        </w:r>
        <w:r w:rsidR="000728A0" w:rsidRPr="001E2F6E">
          <w:rPr>
            <w:rFonts w:eastAsiaTheme="minorHAnsi" w:cstheme="minorBidi"/>
            <w:noProof/>
            <w:webHidden/>
            <w:sz w:val="16"/>
            <w:szCs w:val="16"/>
          </w:rPr>
          <w:tab/>
        </w:r>
        <w:r w:rsidR="00EB6BA6" w:rsidRPr="001E2F6E">
          <w:rPr>
            <w:rFonts w:eastAsiaTheme="minorHAnsi" w:cstheme="minorBidi"/>
            <w:noProof/>
            <w:webHidden/>
            <w:sz w:val="16"/>
            <w:szCs w:val="16"/>
          </w:rPr>
          <w:fldChar w:fldCharType="begin"/>
        </w:r>
        <w:r w:rsidR="000728A0" w:rsidRPr="001E2F6E">
          <w:rPr>
            <w:rFonts w:eastAsiaTheme="minorHAnsi" w:cstheme="minorBidi"/>
            <w:noProof/>
            <w:webHidden/>
            <w:sz w:val="16"/>
            <w:szCs w:val="16"/>
          </w:rPr>
          <w:instrText xml:space="preserve"> PAGEREF _Toc392585871 \h </w:instrText>
        </w:r>
        <w:r w:rsidR="00EB6BA6" w:rsidRPr="001E2F6E">
          <w:rPr>
            <w:rFonts w:eastAsiaTheme="minorHAnsi" w:cstheme="minorBidi"/>
            <w:noProof/>
            <w:webHidden/>
            <w:sz w:val="16"/>
            <w:szCs w:val="16"/>
          </w:rPr>
        </w:r>
        <w:r w:rsidR="00EB6BA6" w:rsidRPr="001E2F6E">
          <w:rPr>
            <w:rFonts w:eastAsiaTheme="minorHAnsi" w:cstheme="minorBidi"/>
            <w:noProof/>
            <w:webHidden/>
            <w:sz w:val="16"/>
            <w:szCs w:val="16"/>
          </w:rPr>
          <w:fldChar w:fldCharType="separate"/>
        </w:r>
        <w:r>
          <w:rPr>
            <w:rFonts w:eastAsiaTheme="minorHAnsi" w:cstheme="minorBidi"/>
            <w:noProof/>
            <w:webHidden/>
            <w:sz w:val="16"/>
            <w:szCs w:val="16"/>
          </w:rPr>
          <w:t>90</w:t>
        </w:r>
        <w:r w:rsidR="00EB6BA6" w:rsidRPr="001E2F6E">
          <w:rPr>
            <w:rFonts w:eastAsiaTheme="minorHAnsi" w:cstheme="minorBidi"/>
            <w:noProof/>
            <w:webHidden/>
            <w:sz w:val="16"/>
            <w:szCs w:val="16"/>
          </w:rPr>
          <w:fldChar w:fldCharType="end"/>
        </w:r>
      </w:hyperlink>
    </w:p>
    <w:p w:rsidR="000728A0" w:rsidRPr="001E2F6E" w:rsidRDefault="00A327D4" w:rsidP="00E84501">
      <w:pPr>
        <w:pStyle w:val="Tabladeilustraciones"/>
        <w:tabs>
          <w:tab w:val="right" w:leader="dot" w:pos="9072"/>
        </w:tabs>
        <w:spacing w:line="240" w:lineRule="auto"/>
        <w:ind w:left="1134" w:hanging="1134"/>
        <w:rPr>
          <w:rFonts w:eastAsiaTheme="minorHAnsi" w:cstheme="minorBidi"/>
          <w:noProof/>
          <w:sz w:val="16"/>
          <w:szCs w:val="16"/>
        </w:rPr>
      </w:pPr>
      <w:hyperlink w:anchor="_Toc392585872" w:history="1">
        <w:r w:rsidR="000728A0" w:rsidRPr="001E2F6E">
          <w:rPr>
            <w:rFonts w:eastAsiaTheme="minorHAnsi" w:cstheme="minorBidi"/>
            <w:noProof/>
            <w:sz w:val="16"/>
            <w:szCs w:val="16"/>
          </w:rPr>
          <w:t xml:space="preserve">4.19 Taula </w:t>
        </w:r>
        <w:r w:rsidR="00E84501" w:rsidRPr="001E2F6E">
          <w:rPr>
            <w:rFonts w:eastAsiaTheme="minorHAnsi" w:cstheme="minorBidi"/>
            <w:noProof/>
            <w:sz w:val="16"/>
            <w:szCs w:val="16"/>
          </w:rPr>
          <w:tab/>
        </w:r>
        <w:r w:rsidR="000728A0" w:rsidRPr="001E2F6E">
          <w:rPr>
            <w:rFonts w:eastAsiaTheme="minorHAnsi" w:cstheme="minorBidi"/>
            <w:noProof/>
            <w:sz w:val="16"/>
            <w:szCs w:val="16"/>
          </w:rPr>
          <w:t>ZERGA AURREKO MOZKINAREN ALORREZ ALORREKO BANAKETA GIZARTE-EKONOMIAREN FORMA BERRIAK 2012 (zifra absolutuak eta % bertikalak)</w:t>
        </w:r>
        <w:r w:rsidR="000728A0" w:rsidRPr="001E2F6E">
          <w:rPr>
            <w:rFonts w:eastAsiaTheme="minorHAnsi" w:cstheme="minorBidi"/>
            <w:noProof/>
            <w:webHidden/>
            <w:sz w:val="16"/>
            <w:szCs w:val="16"/>
          </w:rPr>
          <w:tab/>
        </w:r>
        <w:r w:rsidR="00EB6BA6" w:rsidRPr="001E2F6E">
          <w:rPr>
            <w:rFonts w:eastAsiaTheme="minorHAnsi" w:cstheme="minorBidi"/>
            <w:noProof/>
            <w:webHidden/>
            <w:sz w:val="16"/>
            <w:szCs w:val="16"/>
          </w:rPr>
          <w:fldChar w:fldCharType="begin"/>
        </w:r>
        <w:r w:rsidR="000728A0" w:rsidRPr="001E2F6E">
          <w:rPr>
            <w:rFonts w:eastAsiaTheme="minorHAnsi" w:cstheme="minorBidi"/>
            <w:noProof/>
            <w:webHidden/>
            <w:sz w:val="16"/>
            <w:szCs w:val="16"/>
          </w:rPr>
          <w:instrText xml:space="preserve"> PAGEREF _Toc392585872 \h </w:instrText>
        </w:r>
        <w:r w:rsidR="00EB6BA6" w:rsidRPr="001E2F6E">
          <w:rPr>
            <w:rFonts w:eastAsiaTheme="minorHAnsi" w:cstheme="minorBidi"/>
            <w:noProof/>
            <w:webHidden/>
            <w:sz w:val="16"/>
            <w:szCs w:val="16"/>
          </w:rPr>
        </w:r>
        <w:r w:rsidR="00EB6BA6" w:rsidRPr="001E2F6E">
          <w:rPr>
            <w:rFonts w:eastAsiaTheme="minorHAnsi" w:cstheme="minorBidi"/>
            <w:noProof/>
            <w:webHidden/>
            <w:sz w:val="16"/>
            <w:szCs w:val="16"/>
          </w:rPr>
          <w:fldChar w:fldCharType="separate"/>
        </w:r>
        <w:r>
          <w:rPr>
            <w:rFonts w:eastAsiaTheme="minorHAnsi" w:cstheme="minorBidi"/>
            <w:noProof/>
            <w:webHidden/>
            <w:sz w:val="16"/>
            <w:szCs w:val="16"/>
          </w:rPr>
          <w:t>91</w:t>
        </w:r>
        <w:r w:rsidR="00EB6BA6" w:rsidRPr="001E2F6E">
          <w:rPr>
            <w:rFonts w:eastAsiaTheme="minorHAnsi" w:cstheme="minorBidi"/>
            <w:noProof/>
            <w:webHidden/>
            <w:sz w:val="16"/>
            <w:szCs w:val="16"/>
          </w:rPr>
          <w:fldChar w:fldCharType="end"/>
        </w:r>
      </w:hyperlink>
    </w:p>
    <w:p w:rsidR="000728A0" w:rsidRPr="001E2F6E" w:rsidRDefault="00A327D4" w:rsidP="00E84501">
      <w:pPr>
        <w:pStyle w:val="Tabladeilustraciones"/>
        <w:tabs>
          <w:tab w:val="right" w:leader="dot" w:pos="9072"/>
        </w:tabs>
        <w:spacing w:line="240" w:lineRule="auto"/>
        <w:ind w:left="1134" w:hanging="1134"/>
        <w:rPr>
          <w:rFonts w:eastAsiaTheme="minorHAnsi" w:cstheme="minorBidi"/>
          <w:noProof/>
          <w:sz w:val="16"/>
          <w:szCs w:val="16"/>
        </w:rPr>
      </w:pPr>
      <w:hyperlink w:anchor="_Toc392585873" w:history="1">
        <w:r w:rsidR="000728A0" w:rsidRPr="001E2F6E">
          <w:rPr>
            <w:rFonts w:eastAsiaTheme="minorHAnsi" w:cstheme="minorBidi"/>
            <w:noProof/>
            <w:sz w:val="16"/>
            <w:szCs w:val="16"/>
          </w:rPr>
          <w:t xml:space="preserve">4.20 Taula </w:t>
        </w:r>
        <w:r w:rsidR="00E84501" w:rsidRPr="001E2F6E">
          <w:rPr>
            <w:rFonts w:eastAsiaTheme="minorHAnsi" w:cstheme="minorBidi"/>
            <w:noProof/>
            <w:sz w:val="16"/>
            <w:szCs w:val="16"/>
          </w:rPr>
          <w:tab/>
        </w:r>
        <w:r w:rsidR="000728A0" w:rsidRPr="001E2F6E">
          <w:rPr>
            <w:rFonts w:eastAsiaTheme="minorHAnsi" w:cstheme="minorBidi"/>
            <w:noProof/>
            <w:sz w:val="16"/>
            <w:szCs w:val="16"/>
          </w:rPr>
          <w:t>ZERGEN AURREKO MOZKINAREN BANAKETA GEFB SEGMENTUEN ARABERA 2012</w:t>
        </w:r>
        <w:r w:rsidR="000728A0" w:rsidRPr="001E2F6E">
          <w:rPr>
            <w:rFonts w:eastAsiaTheme="minorHAnsi" w:cstheme="minorBidi"/>
            <w:noProof/>
            <w:webHidden/>
            <w:sz w:val="16"/>
            <w:szCs w:val="16"/>
          </w:rPr>
          <w:tab/>
        </w:r>
        <w:r w:rsidR="00EB6BA6" w:rsidRPr="001E2F6E">
          <w:rPr>
            <w:rFonts w:eastAsiaTheme="minorHAnsi" w:cstheme="minorBidi"/>
            <w:noProof/>
            <w:webHidden/>
            <w:sz w:val="16"/>
            <w:szCs w:val="16"/>
          </w:rPr>
          <w:fldChar w:fldCharType="begin"/>
        </w:r>
        <w:r w:rsidR="000728A0" w:rsidRPr="001E2F6E">
          <w:rPr>
            <w:rFonts w:eastAsiaTheme="minorHAnsi" w:cstheme="minorBidi"/>
            <w:noProof/>
            <w:webHidden/>
            <w:sz w:val="16"/>
            <w:szCs w:val="16"/>
          </w:rPr>
          <w:instrText xml:space="preserve"> PAGEREF _Toc392585873 \h </w:instrText>
        </w:r>
        <w:r w:rsidR="00EB6BA6" w:rsidRPr="001E2F6E">
          <w:rPr>
            <w:rFonts w:eastAsiaTheme="minorHAnsi" w:cstheme="minorBidi"/>
            <w:noProof/>
            <w:webHidden/>
            <w:sz w:val="16"/>
            <w:szCs w:val="16"/>
          </w:rPr>
        </w:r>
        <w:r w:rsidR="00EB6BA6" w:rsidRPr="001E2F6E">
          <w:rPr>
            <w:rFonts w:eastAsiaTheme="minorHAnsi" w:cstheme="minorBidi"/>
            <w:noProof/>
            <w:webHidden/>
            <w:sz w:val="16"/>
            <w:szCs w:val="16"/>
          </w:rPr>
          <w:fldChar w:fldCharType="separate"/>
        </w:r>
        <w:r>
          <w:rPr>
            <w:rFonts w:eastAsiaTheme="minorHAnsi" w:cstheme="minorBidi"/>
            <w:noProof/>
            <w:webHidden/>
            <w:sz w:val="16"/>
            <w:szCs w:val="16"/>
          </w:rPr>
          <w:t>91</w:t>
        </w:r>
        <w:r w:rsidR="00EB6BA6" w:rsidRPr="001E2F6E">
          <w:rPr>
            <w:rFonts w:eastAsiaTheme="minorHAnsi" w:cstheme="minorBidi"/>
            <w:noProof/>
            <w:webHidden/>
            <w:sz w:val="16"/>
            <w:szCs w:val="16"/>
          </w:rPr>
          <w:fldChar w:fldCharType="end"/>
        </w:r>
      </w:hyperlink>
    </w:p>
    <w:p w:rsidR="000728A0" w:rsidRPr="001E2F6E" w:rsidRDefault="00A327D4" w:rsidP="00E84501">
      <w:pPr>
        <w:pStyle w:val="Tabladeilustraciones"/>
        <w:tabs>
          <w:tab w:val="right" w:leader="dot" w:pos="9072"/>
        </w:tabs>
        <w:spacing w:line="240" w:lineRule="auto"/>
        <w:ind w:left="1134" w:hanging="1134"/>
        <w:rPr>
          <w:rFonts w:eastAsiaTheme="minorHAnsi" w:cstheme="minorBidi"/>
          <w:noProof/>
          <w:sz w:val="16"/>
          <w:szCs w:val="16"/>
        </w:rPr>
      </w:pPr>
      <w:hyperlink w:anchor="_Toc392585874" w:history="1">
        <w:r w:rsidR="000728A0" w:rsidRPr="001E2F6E">
          <w:rPr>
            <w:rFonts w:eastAsiaTheme="minorHAnsi" w:cstheme="minorBidi"/>
            <w:noProof/>
            <w:sz w:val="16"/>
            <w:szCs w:val="16"/>
          </w:rPr>
          <w:t xml:space="preserve">4.21 Taula </w:t>
        </w:r>
        <w:r w:rsidR="00E84501" w:rsidRPr="001E2F6E">
          <w:rPr>
            <w:rFonts w:eastAsiaTheme="minorHAnsi" w:cstheme="minorBidi"/>
            <w:noProof/>
            <w:sz w:val="16"/>
            <w:szCs w:val="16"/>
          </w:rPr>
          <w:tab/>
        </w:r>
        <w:r w:rsidR="000728A0" w:rsidRPr="001E2F6E">
          <w:rPr>
            <w:rFonts w:eastAsiaTheme="minorHAnsi" w:cstheme="minorBidi"/>
            <w:noProof/>
            <w:sz w:val="16"/>
            <w:szCs w:val="16"/>
          </w:rPr>
          <w:t>MAGNITUDE NAGUSIAK GIZARTE-EKONOMIAREN FORMA BERRIAK + GIZARTE-EKONOMIAREN KONTUAK 2012 (zifra absolutuak eta %)</w:t>
        </w:r>
        <w:r w:rsidR="000728A0" w:rsidRPr="001E2F6E">
          <w:rPr>
            <w:rFonts w:eastAsiaTheme="minorHAnsi" w:cstheme="minorBidi"/>
            <w:noProof/>
            <w:webHidden/>
            <w:sz w:val="16"/>
            <w:szCs w:val="16"/>
          </w:rPr>
          <w:tab/>
        </w:r>
        <w:r w:rsidR="00EB6BA6" w:rsidRPr="001E2F6E">
          <w:rPr>
            <w:rFonts w:eastAsiaTheme="minorHAnsi" w:cstheme="minorBidi"/>
            <w:noProof/>
            <w:webHidden/>
            <w:sz w:val="16"/>
            <w:szCs w:val="16"/>
          </w:rPr>
          <w:fldChar w:fldCharType="begin"/>
        </w:r>
        <w:r w:rsidR="000728A0" w:rsidRPr="001E2F6E">
          <w:rPr>
            <w:rFonts w:eastAsiaTheme="minorHAnsi" w:cstheme="minorBidi"/>
            <w:noProof/>
            <w:webHidden/>
            <w:sz w:val="16"/>
            <w:szCs w:val="16"/>
          </w:rPr>
          <w:instrText xml:space="preserve"> PAGEREF _Toc392585874 \h </w:instrText>
        </w:r>
        <w:r w:rsidR="00EB6BA6" w:rsidRPr="001E2F6E">
          <w:rPr>
            <w:rFonts w:eastAsiaTheme="minorHAnsi" w:cstheme="minorBidi"/>
            <w:noProof/>
            <w:webHidden/>
            <w:sz w:val="16"/>
            <w:szCs w:val="16"/>
          </w:rPr>
        </w:r>
        <w:r w:rsidR="00EB6BA6" w:rsidRPr="001E2F6E">
          <w:rPr>
            <w:rFonts w:eastAsiaTheme="minorHAnsi" w:cstheme="minorBidi"/>
            <w:noProof/>
            <w:webHidden/>
            <w:sz w:val="16"/>
            <w:szCs w:val="16"/>
          </w:rPr>
          <w:fldChar w:fldCharType="separate"/>
        </w:r>
        <w:r>
          <w:rPr>
            <w:rFonts w:eastAsiaTheme="minorHAnsi" w:cstheme="minorBidi"/>
            <w:noProof/>
            <w:webHidden/>
            <w:sz w:val="16"/>
            <w:szCs w:val="16"/>
          </w:rPr>
          <w:t>91</w:t>
        </w:r>
        <w:r w:rsidR="00EB6BA6" w:rsidRPr="001E2F6E">
          <w:rPr>
            <w:rFonts w:eastAsiaTheme="minorHAnsi" w:cstheme="minorBidi"/>
            <w:noProof/>
            <w:webHidden/>
            <w:sz w:val="16"/>
            <w:szCs w:val="16"/>
          </w:rPr>
          <w:fldChar w:fldCharType="end"/>
        </w:r>
      </w:hyperlink>
    </w:p>
    <w:p w:rsidR="00195BE7" w:rsidRPr="001E2F6E" w:rsidRDefault="00EB6BA6" w:rsidP="00195BE7">
      <w:pPr>
        <w:pStyle w:val="Tabladeilustraciones"/>
        <w:tabs>
          <w:tab w:val="right" w:leader="dot" w:pos="9072"/>
        </w:tabs>
        <w:spacing w:line="240" w:lineRule="auto"/>
        <w:ind w:left="1134" w:hanging="1134"/>
        <w:rPr>
          <w:rFonts w:eastAsiaTheme="minorHAnsi" w:cstheme="minorBidi"/>
        </w:rPr>
      </w:pPr>
      <w:r w:rsidRPr="001E2F6E">
        <w:rPr>
          <w:rFonts w:eastAsiaTheme="minorHAnsi" w:cstheme="minorBidi"/>
        </w:rPr>
        <w:fldChar w:fldCharType="end"/>
      </w:r>
    </w:p>
    <w:p w:rsidR="000728A0" w:rsidRPr="001E2F6E" w:rsidRDefault="00EB6BA6" w:rsidP="00E84501">
      <w:pPr>
        <w:pStyle w:val="Tabladeilustraciones"/>
        <w:tabs>
          <w:tab w:val="right" w:leader="dot" w:pos="9072"/>
        </w:tabs>
        <w:spacing w:line="240" w:lineRule="auto"/>
        <w:ind w:left="1134" w:hanging="1134"/>
        <w:rPr>
          <w:rFonts w:eastAsiaTheme="minorHAnsi" w:cstheme="minorBidi"/>
          <w:noProof/>
          <w:sz w:val="16"/>
          <w:szCs w:val="16"/>
        </w:rPr>
      </w:pPr>
      <w:r w:rsidRPr="001E2F6E">
        <w:rPr>
          <w:rFonts w:cstheme="minorBidi"/>
        </w:rPr>
        <w:fldChar w:fldCharType="begin"/>
      </w:r>
      <w:r w:rsidR="00195BE7" w:rsidRPr="001E2F6E">
        <w:rPr>
          <w:rFonts w:eastAsiaTheme="minorHAnsi" w:cstheme="minorBidi"/>
        </w:rPr>
        <w:instrText xml:space="preserve"> TOC \h \z \c "Gráfico 4." </w:instrText>
      </w:r>
      <w:r w:rsidRPr="001E2F6E">
        <w:rPr>
          <w:rFonts w:cstheme="minorBidi"/>
        </w:rPr>
        <w:fldChar w:fldCharType="separate"/>
      </w:r>
      <w:hyperlink w:anchor="_Toc392585875" w:history="1">
        <w:r w:rsidR="000728A0" w:rsidRPr="001E2F6E">
          <w:rPr>
            <w:rFonts w:eastAsiaTheme="minorHAnsi" w:cstheme="minorBidi"/>
            <w:noProof/>
            <w:sz w:val="16"/>
            <w:szCs w:val="16"/>
          </w:rPr>
          <w:t xml:space="preserve">4.1 Irudia </w:t>
        </w:r>
        <w:r w:rsidR="00E84501" w:rsidRPr="001E2F6E">
          <w:rPr>
            <w:rFonts w:eastAsiaTheme="minorHAnsi" w:cstheme="minorBidi"/>
            <w:noProof/>
            <w:sz w:val="16"/>
            <w:szCs w:val="16"/>
          </w:rPr>
          <w:tab/>
        </w:r>
        <w:r w:rsidR="000728A0" w:rsidRPr="001E2F6E">
          <w:rPr>
            <w:rFonts w:eastAsiaTheme="minorHAnsi" w:cstheme="minorBidi"/>
            <w:noProof/>
            <w:sz w:val="16"/>
            <w:szCs w:val="16"/>
          </w:rPr>
          <w:t>FUNDAZIO ETA ONURA PUBLIKOKO ELKARTEEN KOPURUA 2012 (zifra absolutuak)</w:t>
        </w:r>
        <w:r w:rsidR="000728A0" w:rsidRPr="001E2F6E">
          <w:rPr>
            <w:rFonts w:eastAsiaTheme="minorHAnsi" w:cstheme="minorBidi"/>
            <w:noProof/>
            <w:webHidden/>
            <w:sz w:val="16"/>
            <w:szCs w:val="16"/>
          </w:rPr>
          <w:tab/>
        </w:r>
        <w:r w:rsidRPr="001E2F6E">
          <w:rPr>
            <w:rFonts w:eastAsiaTheme="minorHAnsi" w:cstheme="minorBidi"/>
            <w:noProof/>
            <w:webHidden/>
            <w:sz w:val="16"/>
            <w:szCs w:val="16"/>
          </w:rPr>
          <w:fldChar w:fldCharType="begin"/>
        </w:r>
        <w:r w:rsidR="000728A0" w:rsidRPr="001E2F6E">
          <w:rPr>
            <w:rFonts w:eastAsiaTheme="minorHAnsi" w:cstheme="minorBidi"/>
            <w:noProof/>
            <w:webHidden/>
            <w:sz w:val="16"/>
            <w:szCs w:val="16"/>
          </w:rPr>
          <w:instrText xml:space="preserve"> PAGEREF _Toc392585875 \h </w:instrText>
        </w:r>
        <w:r w:rsidRPr="001E2F6E">
          <w:rPr>
            <w:rFonts w:eastAsiaTheme="minorHAnsi" w:cstheme="minorBidi"/>
            <w:noProof/>
            <w:webHidden/>
            <w:sz w:val="16"/>
            <w:szCs w:val="16"/>
          </w:rPr>
        </w:r>
        <w:r w:rsidRPr="001E2F6E">
          <w:rPr>
            <w:rFonts w:eastAsiaTheme="minorHAnsi" w:cstheme="minorBidi"/>
            <w:noProof/>
            <w:webHidden/>
            <w:sz w:val="16"/>
            <w:szCs w:val="16"/>
          </w:rPr>
          <w:fldChar w:fldCharType="separate"/>
        </w:r>
        <w:r w:rsidR="00A327D4">
          <w:rPr>
            <w:rFonts w:eastAsiaTheme="minorHAnsi" w:cstheme="minorBidi"/>
            <w:noProof/>
            <w:webHidden/>
            <w:sz w:val="16"/>
            <w:szCs w:val="16"/>
          </w:rPr>
          <w:t>80</w:t>
        </w:r>
        <w:r w:rsidRPr="001E2F6E">
          <w:rPr>
            <w:rFonts w:eastAsiaTheme="minorHAnsi" w:cstheme="minorBidi"/>
            <w:noProof/>
            <w:webHidden/>
            <w:sz w:val="16"/>
            <w:szCs w:val="16"/>
          </w:rPr>
          <w:fldChar w:fldCharType="end"/>
        </w:r>
      </w:hyperlink>
    </w:p>
    <w:p w:rsidR="000728A0" w:rsidRPr="001E2F6E" w:rsidRDefault="00A327D4" w:rsidP="00E84501">
      <w:pPr>
        <w:pStyle w:val="Tabladeilustraciones"/>
        <w:tabs>
          <w:tab w:val="right" w:leader="dot" w:pos="9072"/>
        </w:tabs>
        <w:spacing w:line="240" w:lineRule="auto"/>
        <w:ind w:left="1134" w:hanging="1134"/>
        <w:rPr>
          <w:rFonts w:eastAsiaTheme="minorHAnsi" w:cstheme="minorBidi"/>
          <w:noProof/>
          <w:sz w:val="16"/>
          <w:szCs w:val="16"/>
        </w:rPr>
      </w:pPr>
      <w:hyperlink w:anchor="_Toc392585876" w:history="1">
        <w:r w:rsidR="000728A0" w:rsidRPr="001E2F6E">
          <w:rPr>
            <w:rFonts w:eastAsiaTheme="minorHAnsi" w:cstheme="minorBidi"/>
            <w:noProof/>
            <w:sz w:val="16"/>
            <w:szCs w:val="16"/>
          </w:rPr>
          <w:t xml:space="preserve">4.2 Irudia </w:t>
        </w:r>
        <w:r w:rsidR="00E84501" w:rsidRPr="001E2F6E">
          <w:rPr>
            <w:rFonts w:eastAsiaTheme="minorHAnsi" w:cstheme="minorBidi"/>
            <w:noProof/>
            <w:sz w:val="16"/>
            <w:szCs w:val="16"/>
          </w:rPr>
          <w:tab/>
        </w:r>
        <w:r w:rsidR="000728A0" w:rsidRPr="001E2F6E">
          <w:rPr>
            <w:rFonts w:eastAsiaTheme="minorHAnsi" w:cstheme="minorBidi"/>
            <w:noProof/>
            <w:sz w:val="16"/>
            <w:szCs w:val="16"/>
          </w:rPr>
          <w:t>FUNDAZIOEN ETA ONURA PUBLIKOKO ELKARTEEN ENPLEGU-BANAKETA 2012 (zifra absolutuak)</w:t>
        </w:r>
        <w:r w:rsidR="000728A0" w:rsidRPr="001E2F6E">
          <w:rPr>
            <w:rFonts w:eastAsiaTheme="minorHAnsi" w:cstheme="minorBidi"/>
            <w:noProof/>
            <w:webHidden/>
            <w:sz w:val="16"/>
            <w:szCs w:val="16"/>
          </w:rPr>
          <w:tab/>
        </w:r>
        <w:r w:rsidR="00EB6BA6" w:rsidRPr="001E2F6E">
          <w:rPr>
            <w:rFonts w:eastAsiaTheme="minorHAnsi" w:cstheme="minorBidi"/>
            <w:noProof/>
            <w:webHidden/>
            <w:sz w:val="16"/>
            <w:szCs w:val="16"/>
          </w:rPr>
          <w:fldChar w:fldCharType="begin"/>
        </w:r>
        <w:r w:rsidR="000728A0" w:rsidRPr="001E2F6E">
          <w:rPr>
            <w:rFonts w:eastAsiaTheme="minorHAnsi" w:cstheme="minorBidi"/>
            <w:noProof/>
            <w:webHidden/>
            <w:sz w:val="16"/>
            <w:szCs w:val="16"/>
          </w:rPr>
          <w:instrText xml:space="preserve"> PAGEREF _Toc392585876 \h </w:instrText>
        </w:r>
        <w:r w:rsidR="00EB6BA6" w:rsidRPr="001E2F6E">
          <w:rPr>
            <w:rFonts w:eastAsiaTheme="minorHAnsi" w:cstheme="minorBidi"/>
            <w:noProof/>
            <w:webHidden/>
            <w:sz w:val="16"/>
            <w:szCs w:val="16"/>
          </w:rPr>
        </w:r>
        <w:r w:rsidR="00EB6BA6" w:rsidRPr="001E2F6E">
          <w:rPr>
            <w:rFonts w:eastAsiaTheme="minorHAnsi" w:cstheme="minorBidi"/>
            <w:noProof/>
            <w:webHidden/>
            <w:sz w:val="16"/>
            <w:szCs w:val="16"/>
          </w:rPr>
          <w:fldChar w:fldCharType="separate"/>
        </w:r>
        <w:r>
          <w:rPr>
            <w:rFonts w:eastAsiaTheme="minorHAnsi" w:cstheme="minorBidi"/>
            <w:noProof/>
            <w:webHidden/>
            <w:sz w:val="16"/>
            <w:szCs w:val="16"/>
          </w:rPr>
          <w:t>80</w:t>
        </w:r>
        <w:r w:rsidR="00EB6BA6" w:rsidRPr="001E2F6E">
          <w:rPr>
            <w:rFonts w:eastAsiaTheme="minorHAnsi" w:cstheme="minorBidi"/>
            <w:noProof/>
            <w:webHidden/>
            <w:sz w:val="16"/>
            <w:szCs w:val="16"/>
          </w:rPr>
          <w:fldChar w:fldCharType="end"/>
        </w:r>
      </w:hyperlink>
    </w:p>
    <w:p w:rsidR="000728A0" w:rsidRPr="001E2F6E" w:rsidRDefault="00A327D4" w:rsidP="00E84501">
      <w:pPr>
        <w:pStyle w:val="Tabladeilustraciones"/>
        <w:tabs>
          <w:tab w:val="right" w:leader="dot" w:pos="9072"/>
        </w:tabs>
        <w:spacing w:line="240" w:lineRule="auto"/>
        <w:ind w:left="1134" w:hanging="1134"/>
        <w:rPr>
          <w:rFonts w:eastAsiaTheme="minorHAnsi" w:cstheme="minorBidi"/>
          <w:noProof/>
          <w:sz w:val="16"/>
          <w:szCs w:val="16"/>
        </w:rPr>
      </w:pPr>
      <w:hyperlink w:anchor="_Toc392585877" w:history="1">
        <w:r w:rsidR="000728A0" w:rsidRPr="001E2F6E">
          <w:rPr>
            <w:rFonts w:eastAsiaTheme="minorHAnsi" w:cstheme="minorBidi"/>
            <w:noProof/>
            <w:sz w:val="16"/>
            <w:szCs w:val="16"/>
          </w:rPr>
          <w:t xml:space="preserve">4.3 Irudia </w:t>
        </w:r>
        <w:r w:rsidR="00E84501" w:rsidRPr="001E2F6E">
          <w:rPr>
            <w:rFonts w:eastAsiaTheme="minorHAnsi" w:cstheme="minorBidi"/>
            <w:noProof/>
            <w:sz w:val="16"/>
            <w:szCs w:val="16"/>
          </w:rPr>
          <w:tab/>
        </w:r>
        <w:r w:rsidR="000728A0" w:rsidRPr="001E2F6E">
          <w:rPr>
            <w:rFonts w:eastAsiaTheme="minorHAnsi" w:cstheme="minorBidi"/>
            <w:noProof/>
            <w:sz w:val="16"/>
            <w:szCs w:val="16"/>
          </w:rPr>
          <w:t>ENPLEGU-ZENTRO BEREZIEN ARLOKO ENPRESA-ERAKUNDEEN LURRALDE-BANAKETA. 2012 (zifra absolutuak eta %)</w:t>
        </w:r>
        <w:r w:rsidR="000728A0" w:rsidRPr="001E2F6E">
          <w:rPr>
            <w:rFonts w:eastAsiaTheme="minorHAnsi" w:cstheme="minorBidi"/>
            <w:noProof/>
            <w:webHidden/>
            <w:sz w:val="16"/>
            <w:szCs w:val="16"/>
          </w:rPr>
          <w:tab/>
        </w:r>
        <w:r w:rsidR="00EB6BA6" w:rsidRPr="001E2F6E">
          <w:rPr>
            <w:rFonts w:eastAsiaTheme="minorHAnsi" w:cstheme="minorBidi"/>
            <w:noProof/>
            <w:webHidden/>
            <w:sz w:val="16"/>
            <w:szCs w:val="16"/>
          </w:rPr>
          <w:fldChar w:fldCharType="begin"/>
        </w:r>
        <w:r w:rsidR="000728A0" w:rsidRPr="001E2F6E">
          <w:rPr>
            <w:rFonts w:eastAsiaTheme="minorHAnsi" w:cstheme="minorBidi"/>
            <w:noProof/>
            <w:webHidden/>
            <w:sz w:val="16"/>
            <w:szCs w:val="16"/>
          </w:rPr>
          <w:instrText xml:space="preserve"> PAGEREF _Toc392585877 \h </w:instrText>
        </w:r>
        <w:r w:rsidR="00EB6BA6" w:rsidRPr="001E2F6E">
          <w:rPr>
            <w:rFonts w:eastAsiaTheme="minorHAnsi" w:cstheme="minorBidi"/>
            <w:noProof/>
            <w:webHidden/>
            <w:sz w:val="16"/>
            <w:szCs w:val="16"/>
          </w:rPr>
        </w:r>
        <w:r w:rsidR="00EB6BA6" w:rsidRPr="001E2F6E">
          <w:rPr>
            <w:rFonts w:eastAsiaTheme="minorHAnsi" w:cstheme="minorBidi"/>
            <w:noProof/>
            <w:webHidden/>
            <w:sz w:val="16"/>
            <w:szCs w:val="16"/>
          </w:rPr>
          <w:fldChar w:fldCharType="separate"/>
        </w:r>
        <w:r>
          <w:rPr>
            <w:rFonts w:eastAsiaTheme="minorHAnsi" w:cstheme="minorBidi"/>
            <w:noProof/>
            <w:webHidden/>
            <w:sz w:val="16"/>
            <w:szCs w:val="16"/>
          </w:rPr>
          <w:t>82</w:t>
        </w:r>
        <w:r w:rsidR="00EB6BA6" w:rsidRPr="001E2F6E">
          <w:rPr>
            <w:rFonts w:eastAsiaTheme="minorHAnsi" w:cstheme="minorBidi"/>
            <w:noProof/>
            <w:webHidden/>
            <w:sz w:val="16"/>
            <w:szCs w:val="16"/>
          </w:rPr>
          <w:fldChar w:fldCharType="end"/>
        </w:r>
      </w:hyperlink>
    </w:p>
    <w:p w:rsidR="000728A0" w:rsidRPr="001E2F6E" w:rsidRDefault="00A327D4" w:rsidP="00E84501">
      <w:pPr>
        <w:pStyle w:val="Tabladeilustraciones"/>
        <w:tabs>
          <w:tab w:val="right" w:leader="dot" w:pos="9072"/>
        </w:tabs>
        <w:spacing w:line="240" w:lineRule="auto"/>
        <w:ind w:left="1134" w:hanging="1134"/>
        <w:rPr>
          <w:rFonts w:eastAsiaTheme="minorHAnsi" w:cstheme="minorBidi"/>
          <w:noProof/>
          <w:sz w:val="16"/>
          <w:szCs w:val="16"/>
        </w:rPr>
      </w:pPr>
      <w:hyperlink w:anchor="_Toc392585878" w:history="1">
        <w:r w:rsidR="000728A0" w:rsidRPr="001E2F6E">
          <w:rPr>
            <w:rFonts w:eastAsiaTheme="minorHAnsi" w:cstheme="minorBidi"/>
            <w:noProof/>
            <w:sz w:val="16"/>
            <w:szCs w:val="16"/>
          </w:rPr>
          <w:t xml:space="preserve">4.4 Irudia </w:t>
        </w:r>
        <w:r w:rsidR="00E84501" w:rsidRPr="001E2F6E">
          <w:rPr>
            <w:rFonts w:eastAsiaTheme="minorHAnsi" w:cstheme="minorBidi"/>
            <w:noProof/>
            <w:sz w:val="16"/>
            <w:szCs w:val="16"/>
          </w:rPr>
          <w:tab/>
        </w:r>
        <w:r w:rsidR="000728A0" w:rsidRPr="001E2F6E">
          <w:rPr>
            <w:rFonts w:eastAsiaTheme="minorHAnsi" w:cstheme="minorBidi"/>
            <w:noProof/>
            <w:sz w:val="16"/>
            <w:szCs w:val="16"/>
          </w:rPr>
          <w:t>ENPLEGU-ZENTRO BEREZIEN ENPLEGUAREN LURRALDE-BANAKETA. 2012 (zifra absolutuak eta %)</w:t>
        </w:r>
        <w:r w:rsidR="000728A0" w:rsidRPr="001E2F6E">
          <w:rPr>
            <w:rFonts w:eastAsiaTheme="minorHAnsi" w:cstheme="minorBidi"/>
            <w:noProof/>
            <w:webHidden/>
            <w:sz w:val="16"/>
            <w:szCs w:val="16"/>
          </w:rPr>
          <w:tab/>
        </w:r>
        <w:r w:rsidR="00EB6BA6" w:rsidRPr="001E2F6E">
          <w:rPr>
            <w:rFonts w:eastAsiaTheme="minorHAnsi" w:cstheme="minorBidi"/>
            <w:noProof/>
            <w:webHidden/>
            <w:sz w:val="16"/>
            <w:szCs w:val="16"/>
          </w:rPr>
          <w:fldChar w:fldCharType="begin"/>
        </w:r>
        <w:r w:rsidR="000728A0" w:rsidRPr="001E2F6E">
          <w:rPr>
            <w:rFonts w:eastAsiaTheme="minorHAnsi" w:cstheme="minorBidi"/>
            <w:noProof/>
            <w:webHidden/>
            <w:sz w:val="16"/>
            <w:szCs w:val="16"/>
          </w:rPr>
          <w:instrText xml:space="preserve"> PAGEREF _Toc392585878 \h </w:instrText>
        </w:r>
        <w:r w:rsidR="00EB6BA6" w:rsidRPr="001E2F6E">
          <w:rPr>
            <w:rFonts w:eastAsiaTheme="minorHAnsi" w:cstheme="minorBidi"/>
            <w:noProof/>
            <w:webHidden/>
            <w:sz w:val="16"/>
            <w:szCs w:val="16"/>
          </w:rPr>
        </w:r>
        <w:r w:rsidR="00EB6BA6" w:rsidRPr="001E2F6E">
          <w:rPr>
            <w:rFonts w:eastAsiaTheme="minorHAnsi" w:cstheme="minorBidi"/>
            <w:noProof/>
            <w:webHidden/>
            <w:sz w:val="16"/>
            <w:szCs w:val="16"/>
          </w:rPr>
          <w:fldChar w:fldCharType="separate"/>
        </w:r>
        <w:r>
          <w:rPr>
            <w:rFonts w:eastAsiaTheme="minorHAnsi" w:cstheme="minorBidi"/>
            <w:noProof/>
            <w:webHidden/>
            <w:sz w:val="16"/>
            <w:szCs w:val="16"/>
          </w:rPr>
          <w:t>82</w:t>
        </w:r>
        <w:r w:rsidR="00EB6BA6" w:rsidRPr="001E2F6E">
          <w:rPr>
            <w:rFonts w:eastAsiaTheme="minorHAnsi" w:cstheme="minorBidi"/>
            <w:noProof/>
            <w:webHidden/>
            <w:sz w:val="16"/>
            <w:szCs w:val="16"/>
          </w:rPr>
          <w:fldChar w:fldCharType="end"/>
        </w:r>
      </w:hyperlink>
    </w:p>
    <w:p w:rsidR="000728A0" w:rsidRPr="001E2F6E" w:rsidRDefault="00A327D4" w:rsidP="00E84501">
      <w:pPr>
        <w:pStyle w:val="Tabladeilustraciones"/>
        <w:tabs>
          <w:tab w:val="right" w:leader="dot" w:pos="9072"/>
        </w:tabs>
        <w:spacing w:line="240" w:lineRule="auto"/>
        <w:ind w:left="1134" w:hanging="1134"/>
        <w:rPr>
          <w:rFonts w:eastAsiaTheme="minorHAnsi" w:cstheme="minorBidi"/>
          <w:noProof/>
          <w:sz w:val="16"/>
          <w:szCs w:val="16"/>
        </w:rPr>
      </w:pPr>
      <w:hyperlink w:anchor="_Toc392585879" w:history="1">
        <w:r w:rsidR="000728A0" w:rsidRPr="001E2F6E">
          <w:rPr>
            <w:rFonts w:eastAsiaTheme="minorHAnsi" w:cstheme="minorBidi"/>
            <w:noProof/>
            <w:sz w:val="16"/>
            <w:szCs w:val="16"/>
          </w:rPr>
          <w:t xml:space="preserve">4.5 Irudia </w:t>
        </w:r>
        <w:r w:rsidR="00E84501" w:rsidRPr="001E2F6E">
          <w:rPr>
            <w:rFonts w:eastAsiaTheme="minorHAnsi" w:cstheme="minorBidi"/>
            <w:noProof/>
            <w:sz w:val="16"/>
            <w:szCs w:val="16"/>
          </w:rPr>
          <w:tab/>
        </w:r>
        <w:r w:rsidR="000728A0" w:rsidRPr="001E2F6E">
          <w:rPr>
            <w:rFonts w:eastAsiaTheme="minorHAnsi" w:cstheme="minorBidi"/>
            <w:noProof/>
            <w:sz w:val="16"/>
            <w:szCs w:val="16"/>
          </w:rPr>
          <w:t>LANERATZEKO ENPRESEN LURRALDE-BANAKETA 2012 (zifra absolutuak eta %)</w:t>
        </w:r>
        <w:r w:rsidR="000728A0" w:rsidRPr="001E2F6E">
          <w:rPr>
            <w:rFonts w:eastAsiaTheme="minorHAnsi" w:cstheme="minorBidi"/>
            <w:noProof/>
            <w:webHidden/>
            <w:sz w:val="16"/>
            <w:szCs w:val="16"/>
          </w:rPr>
          <w:tab/>
        </w:r>
        <w:r w:rsidR="00EB6BA6" w:rsidRPr="001E2F6E">
          <w:rPr>
            <w:rFonts w:eastAsiaTheme="minorHAnsi" w:cstheme="minorBidi"/>
            <w:noProof/>
            <w:webHidden/>
            <w:sz w:val="16"/>
            <w:szCs w:val="16"/>
          </w:rPr>
          <w:fldChar w:fldCharType="begin"/>
        </w:r>
        <w:r w:rsidR="000728A0" w:rsidRPr="001E2F6E">
          <w:rPr>
            <w:rFonts w:eastAsiaTheme="minorHAnsi" w:cstheme="minorBidi"/>
            <w:noProof/>
            <w:webHidden/>
            <w:sz w:val="16"/>
            <w:szCs w:val="16"/>
          </w:rPr>
          <w:instrText xml:space="preserve"> PAGEREF _Toc392585879 \h </w:instrText>
        </w:r>
        <w:r w:rsidR="00EB6BA6" w:rsidRPr="001E2F6E">
          <w:rPr>
            <w:rFonts w:eastAsiaTheme="minorHAnsi" w:cstheme="minorBidi"/>
            <w:noProof/>
            <w:webHidden/>
            <w:sz w:val="16"/>
            <w:szCs w:val="16"/>
          </w:rPr>
        </w:r>
        <w:r w:rsidR="00EB6BA6" w:rsidRPr="001E2F6E">
          <w:rPr>
            <w:rFonts w:eastAsiaTheme="minorHAnsi" w:cstheme="minorBidi"/>
            <w:noProof/>
            <w:webHidden/>
            <w:sz w:val="16"/>
            <w:szCs w:val="16"/>
          </w:rPr>
          <w:fldChar w:fldCharType="separate"/>
        </w:r>
        <w:r>
          <w:rPr>
            <w:rFonts w:eastAsiaTheme="minorHAnsi" w:cstheme="minorBidi"/>
            <w:noProof/>
            <w:webHidden/>
            <w:sz w:val="16"/>
            <w:szCs w:val="16"/>
          </w:rPr>
          <w:t>84</w:t>
        </w:r>
        <w:r w:rsidR="00EB6BA6" w:rsidRPr="001E2F6E">
          <w:rPr>
            <w:rFonts w:eastAsiaTheme="minorHAnsi" w:cstheme="minorBidi"/>
            <w:noProof/>
            <w:webHidden/>
            <w:sz w:val="16"/>
            <w:szCs w:val="16"/>
          </w:rPr>
          <w:fldChar w:fldCharType="end"/>
        </w:r>
      </w:hyperlink>
    </w:p>
    <w:p w:rsidR="000728A0" w:rsidRPr="001E2F6E" w:rsidRDefault="00A327D4" w:rsidP="00E84501">
      <w:pPr>
        <w:pStyle w:val="Tabladeilustraciones"/>
        <w:tabs>
          <w:tab w:val="right" w:leader="dot" w:pos="9072"/>
        </w:tabs>
        <w:spacing w:line="240" w:lineRule="auto"/>
        <w:ind w:left="1134" w:hanging="1134"/>
        <w:rPr>
          <w:rFonts w:eastAsiaTheme="minorHAnsi" w:cstheme="minorBidi"/>
          <w:noProof/>
          <w:sz w:val="16"/>
          <w:szCs w:val="16"/>
        </w:rPr>
      </w:pPr>
      <w:hyperlink w:anchor="_Toc392585880" w:history="1">
        <w:r w:rsidR="000728A0" w:rsidRPr="001E2F6E">
          <w:rPr>
            <w:rFonts w:eastAsiaTheme="minorHAnsi" w:cstheme="minorBidi"/>
            <w:noProof/>
            <w:sz w:val="16"/>
            <w:szCs w:val="16"/>
          </w:rPr>
          <w:t xml:space="preserve">4.6 Irudia </w:t>
        </w:r>
        <w:r w:rsidR="00E84501" w:rsidRPr="001E2F6E">
          <w:rPr>
            <w:rFonts w:eastAsiaTheme="minorHAnsi" w:cstheme="minorBidi"/>
            <w:noProof/>
            <w:sz w:val="16"/>
            <w:szCs w:val="16"/>
          </w:rPr>
          <w:tab/>
        </w:r>
        <w:r w:rsidR="000728A0" w:rsidRPr="001E2F6E">
          <w:rPr>
            <w:rFonts w:eastAsiaTheme="minorHAnsi" w:cstheme="minorBidi"/>
            <w:noProof/>
            <w:sz w:val="16"/>
            <w:szCs w:val="16"/>
          </w:rPr>
          <w:t>ARRANTZALE-KOFRADIEN ETA FEDERAZIOEN LURRALDE-BANAKETA 2012 (zifra absolutuak eta%)</w:t>
        </w:r>
        <w:r w:rsidR="000728A0" w:rsidRPr="001E2F6E">
          <w:rPr>
            <w:rFonts w:eastAsiaTheme="minorHAnsi" w:cstheme="minorBidi"/>
            <w:noProof/>
            <w:webHidden/>
            <w:sz w:val="16"/>
            <w:szCs w:val="16"/>
          </w:rPr>
          <w:tab/>
        </w:r>
        <w:r w:rsidR="00EB6BA6" w:rsidRPr="001E2F6E">
          <w:rPr>
            <w:rFonts w:eastAsiaTheme="minorHAnsi" w:cstheme="minorBidi"/>
            <w:noProof/>
            <w:webHidden/>
            <w:sz w:val="16"/>
            <w:szCs w:val="16"/>
          </w:rPr>
          <w:fldChar w:fldCharType="begin"/>
        </w:r>
        <w:r w:rsidR="000728A0" w:rsidRPr="001E2F6E">
          <w:rPr>
            <w:rFonts w:eastAsiaTheme="minorHAnsi" w:cstheme="minorBidi"/>
            <w:noProof/>
            <w:webHidden/>
            <w:sz w:val="16"/>
            <w:szCs w:val="16"/>
          </w:rPr>
          <w:instrText xml:space="preserve"> PAGEREF _Toc392585880 \h </w:instrText>
        </w:r>
        <w:r w:rsidR="00EB6BA6" w:rsidRPr="001E2F6E">
          <w:rPr>
            <w:rFonts w:eastAsiaTheme="minorHAnsi" w:cstheme="minorBidi"/>
            <w:noProof/>
            <w:webHidden/>
            <w:sz w:val="16"/>
            <w:szCs w:val="16"/>
          </w:rPr>
        </w:r>
        <w:r w:rsidR="00EB6BA6" w:rsidRPr="001E2F6E">
          <w:rPr>
            <w:rFonts w:eastAsiaTheme="minorHAnsi" w:cstheme="minorBidi"/>
            <w:noProof/>
            <w:webHidden/>
            <w:sz w:val="16"/>
            <w:szCs w:val="16"/>
          </w:rPr>
          <w:fldChar w:fldCharType="separate"/>
        </w:r>
        <w:r>
          <w:rPr>
            <w:rFonts w:eastAsiaTheme="minorHAnsi" w:cstheme="minorBidi"/>
            <w:noProof/>
            <w:webHidden/>
            <w:sz w:val="16"/>
            <w:szCs w:val="16"/>
          </w:rPr>
          <w:t>87</w:t>
        </w:r>
        <w:r w:rsidR="00EB6BA6" w:rsidRPr="001E2F6E">
          <w:rPr>
            <w:rFonts w:eastAsiaTheme="minorHAnsi" w:cstheme="minorBidi"/>
            <w:noProof/>
            <w:webHidden/>
            <w:sz w:val="16"/>
            <w:szCs w:val="16"/>
          </w:rPr>
          <w:fldChar w:fldCharType="end"/>
        </w:r>
      </w:hyperlink>
    </w:p>
    <w:p w:rsidR="00195BE7" w:rsidRPr="00E84501" w:rsidRDefault="00EB6BA6" w:rsidP="00E84501">
      <w:pPr>
        <w:pStyle w:val="Tabladeilustraciones"/>
        <w:tabs>
          <w:tab w:val="right" w:leader="dot" w:pos="9072"/>
        </w:tabs>
        <w:spacing w:line="240" w:lineRule="auto"/>
        <w:ind w:left="1134" w:hanging="1134"/>
        <w:rPr>
          <w:rFonts w:eastAsiaTheme="minorHAnsi" w:cstheme="minorBidi"/>
          <w:sz w:val="16"/>
          <w:szCs w:val="16"/>
        </w:rPr>
      </w:pPr>
      <w:r w:rsidRPr="001E2F6E">
        <w:rPr>
          <w:rFonts w:eastAsiaTheme="minorHAnsi" w:cstheme="minorBidi"/>
        </w:rPr>
        <w:fldChar w:fldCharType="end"/>
      </w:r>
    </w:p>
    <w:p w:rsidR="00D64E67" w:rsidRPr="00E84501" w:rsidRDefault="00D64E67" w:rsidP="00E84501">
      <w:pPr>
        <w:pStyle w:val="Tabladeilustraciones"/>
        <w:tabs>
          <w:tab w:val="right" w:leader="dot" w:pos="9072"/>
        </w:tabs>
        <w:spacing w:line="240" w:lineRule="auto"/>
        <w:ind w:left="1134" w:hanging="1134"/>
        <w:rPr>
          <w:rFonts w:eastAsiaTheme="minorHAnsi" w:cstheme="minorBidi"/>
          <w:sz w:val="16"/>
          <w:szCs w:val="16"/>
        </w:rPr>
      </w:pPr>
    </w:p>
    <w:sectPr w:rsidR="00D64E67" w:rsidRPr="00E84501" w:rsidSect="00F11E46">
      <w:headerReference w:type="even" r:id="rId80"/>
      <w:headerReference w:type="default" r:id="rId81"/>
      <w:footerReference w:type="even" r:id="rId82"/>
      <w:footerReference w:type="default" r:id="rId83"/>
      <w:headerReference w:type="first" r:id="rId84"/>
      <w:pgSz w:w="11906" w:h="16838" w:code="9"/>
      <w:pgMar w:top="1616" w:right="1474" w:bottom="1219" w:left="1644" w:header="567"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327D4" w:rsidRDefault="00A327D4" w:rsidP="00787593">
      <w:pPr>
        <w:spacing w:line="240" w:lineRule="auto"/>
      </w:pPr>
      <w:r>
        <w:separator/>
      </w:r>
    </w:p>
  </w:endnote>
  <w:endnote w:type="continuationSeparator" w:id="0">
    <w:p w:rsidR="00A327D4" w:rsidRDefault="00A327D4" w:rsidP="0078759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Narrow">
    <w:panose1 w:val="020B0506020202030204"/>
    <w:charset w:val="00"/>
    <w:family w:val="swiss"/>
    <w:pitch w:val="variable"/>
    <w:sig w:usb0="00000287" w:usb1="00000800" w:usb2="00000000" w:usb3="00000000" w:csb0="0000009F" w:csb1="00000000"/>
  </w:font>
  <w:font w:name="CG Times">
    <w:altName w:val="Times New Roman"/>
    <w:panose1 w:val="00000000000000000000"/>
    <w:charset w:val="00"/>
    <w:family w:val="roman"/>
    <w:notTrueTyp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Zurich Cn BT">
    <w:altName w:val="Arial Narrow"/>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Monotype Sorts">
    <w:altName w:val="ZapfDingbats"/>
    <w:panose1 w:val="05010101010101010101"/>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27D4" w:rsidRPr="00E60057" w:rsidRDefault="00A327D4">
    <w:pPr>
      <w:pStyle w:val="Piedepgina"/>
      <w:rPr>
        <w:sz w:val="18"/>
        <w:szCs w:val="18"/>
      </w:rPr>
    </w:pPr>
    <w:r w:rsidRPr="00E60057">
      <w:rPr>
        <w:sz w:val="18"/>
        <w:szCs w:val="18"/>
      </w:rPr>
      <w:fldChar w:fldCharType="begin"/>
    </w:r>
    <w:r w:rsidRPr="00E60057">
      <w:rPr>
        <w:sz w:val="18"/>
        <w:szCs w:val="18"/>
      </w:rPr>
      <w:instrText xml:space="preserve"> PAGE   \* MERGEFORMAT </w:instrText>
    </w:r>
    <w:r w:rsidRPr="00E60057">
      <w:rPr>
        <w:sz w:val="18"/>
        <w:szCs w:val="18"/>
      </w:rPr>
      <w:fldChar w:fldCharType="separate"/>
    </w:r>
    <w:r w:rsidR="00D850B1">
      <w:rPr>
        <w:noProof/>
        <w:sz w:val="18"/>
        <w:szCs w:val="18"/>
      </w:rPr>
      <w:t>96</w:t>
    </w:r>
    <w:r w:rsidRPr="00E60057">
      <w:rPr>
        <w:sz w:val="18"/>
        <w:szCs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27D4" w:rsidRPr="00E60057" w:rsidRDefault="00A327D4">
    <w:pPr>
      <w:pStyle w:val="Piedepgina"/>
      <w:jc w:val="right"/>
      <w:rPr>
        <w:sz w:val="18"/>
        <w:szCs w:val="18"/>
      </w:rPr>
    </w:pPr>
    <w:r w:rsidRPr="00E60057">
      <w:rPr>
        <w:sz w:val="18"/>
        <w:szCs w:val="18"/>
      </w:rPr>
      <w:fldChar w:fldCharType="begin"/>
    </w:r>
    <w:r w:rsidRPr="00E60057">
      <w:rPr>
        <w:sz w:val="18"/>
        <w:szCs w:val="18"/>
      </w:rPr>
      <w:instrText xml:space="preserve"> PAGE   \* MERGEFORMAT </w:instrText>
    </w:r>
    <w:r w:rsidRPr="00E60057">
      <w:rPr>
        <w:sz w:val="18"/>
        <w:szCs w:val="18"/>
      </w:rPr>
      <w:fldChar w:fldCharType="separate"/>
    </w:r>
    <w:r w:rsidR="00D850B1">
      <w:rPr>
        <w:noProof/>
        <w:sz w:val="18"/>
        <w:szCs w:val="18"/>
      </w:rPr>
      <w:t>97</w:t>
    </w:r>
    <w:r w:rsidRPr="00E60057">
      <w:rPr>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327D4" w:rsidRDefault="00A327D4" w:rsidP="00787593">
      <w:pPr>
        <w:spacing w:line="240" w:lineRule="auto"/>
      </w:pPr>
      <w:r>
        <w:separator/>
      </w:r>
    </w:p>
  </w:footnote>
  <w:footnote w:type="continuationSeparator" w:id="0">
    <w:p w:rsidR="00A327D4" w:rsidRDefault="00A327D4" w:rsidP="00787593">
      <w:pPr>
        <w:spacing w:line="240" w:lineRule="auto"/>
      </w:pPr>
      <w:r>
        <w:continuationSeparator/>
      </w:r>
    </w:p>
  </w:footnote>
  <w:footnote w:id="1">
    <w:p w:rsidR="00A327D4" w:rsidRPr="009A00F2" w:rsidRDefault="00A327D4" w:rsidP="000A6A3A">
      <w:pPr>
        <w:spacing w:line="240" w:lineRule="auto"/>
        <w:ind w:left="227" w:hanging="227"/>
        <w:rPr>
          <w:sz w:val="16"/>
          <w:szCs w:val="16"/>
        </w:rPr>
      </w:pPr>
      <w:r w:rsidRPr="009A00F2">
        <w:rPr>
          <w:rStyle w:val="Refdenotaalpie"/>
          <w:rFonts w:cs="Arial"/>
          <w:sz w:val="16"/>
          <w:szCs w:val="16"/>
        </w:rPr>
        <w:footnoteRef/>
      </w:r>
      <w:r w:rsidRPr="009A00F2">
        <w:rPr>
          <w:sz w:val="16"/>
          <w:szCs w:val="16"/>
        </w:rPr>
        <w:tab/>
      </w:r>
      <w:r w:rsidRPr="006970A1">
        <w:rPr>
          <w:sz w:val="16"/>
          <w:szCs w:val="16"/>
          <w:lang w:val="eu-ES"/>
        </w:rPr>
        <w:t>Gizarte Ekonomiaren forma klasikoetan, kooperatiben eta lan-sozietateen sektoreko enpresak eta establezimenduak daude.</w:t>
      </w:r>
    </w:p>
    <w:p w:rsidR="00A327D4" w:rsidRDefault="00A327D4" w:rsidP="000A6A3A">
      <w:pPr>
        <w:spacing w:line="240" w:lineRule="auto"/>
        <w:ind w:left="227" w:hanging="227"/>
      </w:pPr>
    </w:p>
  </w:footnote>
  <w:footnote w:id="2">
    <w:p w:rsidR="00A327D4" w:rsidRPr="009A00F2" w:rsidRDefault="00A327D4" w:rsidP="000A6A3A">
      <w:pPr>
        <w:spacing w:line="240" w:lineRule="auto"/>
        <w:ind w:left="227" w:hanging="227"/>
        <w:rPr>
          <w:sz w:val="16"/>
          <w:szCs w:val="16"/>
          <w:lang w:val="es-ES_tradnl" w:eastAsia="es-ES"/>
        </w:rPr>
      </w:pPr>
      <w:r w:rsidRPr="009A00F2">
        <w:rPr>
          <w:rStyle w:val="Refdenotaalpie"/>
          <w:rFonts w:cs="Arial"/>
          <w:sz w:val="16"/>
          <w:szCs w:val="16"/>
        </w:rPr>
        <w:footnoteRef/>
      </w:r>
      <w:r w:rsidRPr="009A00F2">
        <w:rPr>
          <w:sz w:val="16"/>
          <w:szCs w:val="16"/>
        </w:rPr>
        <w:tab/>
      </w:r>
      <w:r w:rsidRPr="006970A1">
        <w:rPr>
          <w:sz w:val="16"/>
          <w:szCs w:val="16"/>
          <w:lang w:val="eu-ES" w:eastAsia="es-ES"/>
        </w:rPr>
        <w:t>Gizarte Ekonomiaren Estatistika oso espezifikoa da, eta beraz, enpleguaren dinamikaren emaitzen azterketa ez dator zehazki bat enpresen bilakaerarekin berarekin (itxierak, irekierak, langile-kopuruaren hazkundeak edo beherakadak, etab.), eta enpresak azterketaren esparru formalean sartzeko eta irteteko prozesuak ere adierazten ditu.</w:t>
      </w:r>
      <w:r w:rsidRPr="009A00F2">
        <w:rPr>
          <w:sz w:val="16"/>
          <w:szCs w:val="16"/>
          <w:lang w:val="es-ES_tradnl" w:eastAsia="es-ES"/>
        </w:rPr>
        <w:t xml:space="preserve"> </w:t>
      </w:r>
      <w:r w:rsidRPr="006970A1">
        <w:rPr>
          <w:sz w:val="16"/>
          <w:szCs w:val="16"/>
          <w:lang w:val="eu-ES" w:eastAsia="es-ES"/>
        </w:rPr>
        <w:t>Ildo horretan, aurreko urteetatik hautematen da lan-sozietateak merkataritza-sozietate bihurtzeko joera nabarmena dagoela, eta horrek eragina du Gizarte Ekonomiako enplegu-bolumenean.</w:t>
      </w:r>
      <w:r w:rsidRPr="009A00F2">
        <w:rPr>
          <w:sz w:val="16"/>
          <w:szCs w:val="16"/>
          <w:lang w:val="es-ES_tradnl" w:eastAsia="es-ES"/>
        </w:rPr>
        <w:t xml:space="preserve"> </w:t>
      </w:r>
    </w:p>
    <w:p w:rsidR="00A327D4" w:rsidRDefault="00A327D4" w:rsidP="000A6A3A">
      <w:pPr>
        <w:spacing w:line="240" w:lineRule="auto"/>
        <w:ind w:left="227"/>
      </w:pPr>
      <w:r w:rsidRPr="006970A1">
        <w:rPr>
          <w:sz w:val="16"/>
          <w:szCs w:val="16"/>
          <w:lang w:val="eu-ES" w:eastAsia="es-ES"/>
        </w:rPr>
        <w:t>2010-2012 denboraldia kontuan hartuta, ikus daiteke enplegu-beherakada lan-sozietate bat merkataritza-sozietate bihurtzearekin lotuta dagoela, neurri batean; izan ere, lan-sozietate horrek 2.000 lanpostu baino gehiago ditu.</w:t>
      </w:r>
      <w:r w:rsidRPr="009A00F2">
        <w:rPr>
          <w:sz w:val="16"/>
          <w:szCs w:val="16"/>
          <w:lang w:val="es-ES_tradnl" w:eastAsia="es-ES"/>
        </w:rPr>
        <w:t xml:space="preserve"> </w:t>
      </w:r>
      <w:r w:rsidRPr="006970A1">
        <w:rPr>
          <w:sz w:val="16"/>
          <w:szCs w:val="16"/>
          <w:lang w:val="eu-ES" w:eastAsia="es-ES"/>
        </w:rPr>
        <w:t xml:space="preserve">Lan-sozietate horren kasua alde batera utziz gero, kooperatiba eta lan-sozietateetako enplegua </w:t>
      </w:r>
      <w:r w:rsidRPr="006970A1">
        <w:rPr>
          <w:spacing w:val="60"/>
          <w:sz w:val="16"/>
          <w:szCs w:val="16"/>
          <w:lang w:val="eu-ES" w:eastAsia="es-ES"/>
        </w:rPr>
        <w:t>%</w:t>
      </w:r>
      <w:r w:rsidRPr="006970A1">
        <w:rPr>
          <w:sz w:val="16"/>
          <w:szCs w:val="16"/>
          <w:lang w:val="eu-ES" w:eastAsia="es-ES"/>
        </w:rPr>
        <w:t>3 txikitu zen 2010-2012 denboraldian.</w:t>
      </w:r>
      <w:r w:rsidRPr="009A00F2">
        <w:rPr>
          <w:sz w:val="16"/>
          <w:szCs w:val="16"/>
          <w:lang w:val="es-ES_tradnl" w:eastAsia="es-ES"/>
        </w:rPr>
        <w:t xml:space="preserve"> </w:t>
      </w:r>
      <w:r w:rsidRPr="006970A1">
        <w:rPr>
          <w:sz w:val="16"/>
          <w:szCs w:val="16"/>
          <w:lang w:val="eu-ES" w:eastAsia="es-ES"/>
        </w:rPr>
        <w:t>Beraz, faktore hori aintzat hartzen badugu, 2010-2012 denboraldiko enplegu-galera apur bat txikiagoa izango litzateke 2008-2010 denboraldikoa baino.</w:t>
      </w:r>
    </w:p>
  </w:footnote>
  <w:footnote w:id="3">
    <w:p w:rsidR="00A327D4" w:rsidRPr="004A7052" w:rsidRDefault="00A327D4" w:rsidP="00D43F20">
      <w:pPr>
        <w:spacing w:line="240" w:lineRule="auto"/>
        <w:ind w:left="227" w:hanging="227"/>
        <w:rPr>
          <w:lang w:val="eu-ES"/>
        </w:rPr>
      </w:pPr>
      <w:r w:rsidRPr="009A00F2">
        <w:rPr>
          <w:rStyle w:val="Refdenotaalpie"/>
          <w:rFonts w:cs="Arial"/>
          <w:sz w:val="16"/>
          <w:szCs w:val="16"/>
        </w:rPr>
        <w:footnoteRef/>
      </w:r>
      <w:r w:rsidRPr="009A00F2">
        <w:rPr>
          <w:sz w:val="16"/>
          <w:szCs w:val="16"/>
        </w:rPr>
        <w:tab/>
      </w:r>
      <w:r w:rsidRPr="006970A1">
        <w:rPr>
          <w:sz w:val="16"/>
          <w:szCs w:val="16"/>
          <w:lang w:val="eu-ES"/>
        </w:rPr>
        <w:t>Dena den, aipatu behar da 2010-2012 denboraldiak ekarri zuela benetako joera-aldaketa.</w:t>
      </w:r>
      <w:r w:rsidRPr="009A00F2">
        <w:rPr>
          <w:sz w:val="16"/>
          <w:szCs w:val="16"/>
        </w:rPr>
        <w:t xml:space="preserve"> </w:t>
      </w:r>
      <w:r w:rsidRPr="006970A1">
        <w:rPr>
          <w:sz w:val="16"/>
          <w:szCs w:val="16"/>
          <w:lang w:val="eu-ES"/>
        </w:rPr>
        <w:t xml:space="preserve">Ildo horretan, denboraldi horretan, beherakada apur bat txikiagoa izango zen Gizarte Ekonomian; izan ere, merkataritza-ekonomiara igarotako sozietateak kontuan hartu gabe (2. oharrean adierazitakoaren arabera), enplegua </w:t>
      </w:r>
      <w:r w:rsidRPr="006970A1">
        <w:rPr>
          <w:spacing w:val="60"/>
          <w:sz w:val="16"/>
          <w:szCs w:val="16"/>
          <w:lang w:val="eu-ES"/>
        </w:rPr>
        <w:t>%</w:t>
      </w:r>
      <w:r w:rsidRPr="006970A1">
        <w:rPr>
          <w:sz w:val="16"/>
          <w:szCs w:val="16"/>
          <w:lang w:val="eu-ES"/>
        </w:rPr>
        <w:t>3 txikitu zen</w:t>
      </w:r>
      <w:r w:rsidRPr="006970A1">
        <w:rPr>
          <w:sz w:val="16"/>
          <w:szCs w:val="16"/>
          <w:lang w:val="eu-ES" w:eastAsia="es-ES"/>
        </w:rPr>
        <w:t>. Hortaz, 2010etik 2012ra bitartean, beherakada txikiagoa izango zen EAEko sektore ekonomikoetan oro har gertatutakoa baino.</w:t>
      </w:r>
    </w:p>
  </w:footnote>
  <w:footnote w:id="4">
    <w:p w:rsidR="00A327D4" w:rsidRPr="00A105C6" w:rsidRDefault="00A327D4" w:rsidP="00523912">
      <w:pPr>
        <w:pStyle w:val="Textonotapie"/>
        <w:ind w:left="227" w:hanging="227"/>
        <w:rPr>
          <w:lang w:val="eu-ES"/>
        </w:rPr>
      </w:pPr>
      <w:r w:rsidRPr="009A00F2">
        <w:rPr>
          <w:rStyle w:val="Refdenotaalpie"/>
          <w:rFonts w:ascii="Arial" w:hAnsi="Arial" w:cs="Arial"/>
          <w:sz w:val="16"/>
          <w:szCs w:val="16"/>
        </w:rPr>
        <w:footnoteRef/>
      </w:r>
      <w:r w:rsidRPr="0036752D">
        <w:rPr>
          <w:rFonts w:ascii="Arial" w:hAnsi="Arial" w:cs="Arial"/>
          <w:sz w:val="16"/>
          <w:szCs w:val="16"/>
          <w:lang w:val="eu-ES"/>
        </w:rPr>
        <w:t xml:space="preserve"> </w:t>
      </w:r>
      <w:r w:rsidRPr="0036752D">
        <w:rPr>
          <w:rFonts w:ascii="Arial" w:hAnsi="Arial" w:cs="Arial"/>
          <w:sz w:val="16"/>
          <w:szCs w:val="16"/>
          <w:lang w:val="eu-ES"/>
        </w:rPr>
        <w:tab/>
      </w:r>
      <w:r w:rsidRPr="006970A1">
        <w:rPr>
          <w:rFonts w:ascii="Arial" w:hAnsi="Arial" w:cs="Arial"/>
          <w:sz w:val="16"/>
          <w:szCs w:val="16"/>
          <w:lang w:val="eu-ES"/>
        </w:rPr>
        <w:t>2010etik 2012ra bitartean, lan-sozietateak merkataritza-sozietate bihurtzean, 2.912 lanpostu galdu ziren Gizarte Ekonomian.</w:t>
      </w:r>
      <w:r w:rsidRPr="0036752D">
        <w:rPr>
          <w:rFonts w:ascii="Arial" w:hAnsi="Arial" w:cs="Arial"/>
          <w:sz w:val="16"/>
          <w:szCs w:val="16"/>
          <w:lang w:val="eu-ES"/>
        </w:rPr>
        <w:t xml:space="preserve"> </w:t>
      </w:r>
      <w:r w:rsidRPr="006970A1">
        <w:rPr>
          <w:rFonts w:ascii="Arial" w:hAnsi="Arial" w:cs="Arial"/>
          <w:sz w:val="16"/>
          <w:szCs w:val="16"/>
          <w:lang w:val="eu-ES"/>
        </w:rPr>
        <w:t>Lanpostu horietako gehienak zerbitzu-sektorean galdu ziren (2.748 lanpostu galdu ziren, eta industrian eta eraikuntzan, berriz, 148 eta 16, hurrenez hurren).</w:t>
      </w:r>
    </w:p>
  </w:footnote>
  <w:footnote w:id="5">
    <w:p w:rsidR="00A327D4" w:rsidRPr="004A7052" w:rsidRDefault="00A327D4" w:rsidP="00D43F20">
      <w:pPr>
        <w:spacing w:line="240" w:lineRule="auto"/>
        <w:ind w:left="227" w:hanging="227"/>
        <w:rPr>
          <w:lang w:val="eu-ES"/>
        </w:rPr>
      </w:pPr>
      <w:r w:rsidRPr="00A95E68">
        <w:rPr>
          <w:rStyle w:val="Refdenotaalpie"/>
          <w:rFonts w:cs="Arial"/>
          <w:sz w:val="16"/>
          <w:szCs w:val="16"/>
        </w:rPr>
        <w:footnoteRef/>
      </w:r>
      <w:r w:rsidRPr="006970A1">
        <w:rPr>
          <w:sz w:val="16"/>
          <w:szCs w:val="16"/>
          <w:lang w:val="eu-ES"/>
        </w:rPr>
        <w:t xml:space="preserve"> </w:t>
      </w:r>
      <w:r w:rsidRPr="006970A1">
        <w:rPr>
          <w:sz w:val="16"/>
          <w:szCs w:val="16"/>
          <w:lang w:val="eu-ES"/>
        </w:rPr>
        <w:tab/>
        <w:t xml:space="preserve">Hain zuzen ere, Gizarte Ekonomiako hirugarren sektorean, 2012ko enplegu-maila handiagoa zen 2006koa baino. </w:t>
      </w:r>
      <w:r w:rsidRPr="006970A1">
        <w:rPr>
          <w:sz w:val="16"/>
          <w:szCs w:val="16"/>
          <w:lang w:val="eu-ES" w:eastAsia="es-ES"/>
        </w:rPr>
        <w:t xml:space="preserve">2012an merkataritza-sozietate bihurtutako lan-sozietateen eragina alde batera utzita, egiazta daiteke Gizarte Ekonomiako hirugarren sektoreko enpleguak gora egin zuela 2006tik 2012ra; izan ere, ia 2.000 lanpostu garbi gehiago zeuden 2012an, 2006an baino </w:t>
      </w:r>
      <w:r w:rsidRPr="006970A1">
        <w:rPr>
          <w:spacing w:val="60"/>
          <w:sz w:val="16"/>
          <w:szCs w:val="16"/>
          <w:lang w:val="eu-ES" w:eastAsia="es-ES"/>
        </w:rPr>
        <w:t>%</w:t>
      </w:r>
      <w:r w:rsidRPr="006970A1">
        <w:rPr>
          <w:sz w:val="16"/>
          <w:szCs w:val="16"/>
          <w:lang w:val="eu-ES" w:eastAsia="es-ES"/>
        </w:rPr>
        <w:t>6,7 gehiago.</w:t>
      </w:r>
    </w:p>
  </w:footnote>
  <w:footnote w:id="6">
    <w:p w:rsidR="00A327D4" w:rsidRPr="004A7052" w:rsidRDefault="00A327D4" w:rsidP="00D43F20">
      <w:pPr>
        <w:pStyle w:val="Textonotapie"/>
        <w:ind w:left="227" w:hanging="227"/>
        <w:rPr>
          <w:lang w:val="eu-ES"/>
        </w:rPr>
      </w:pPr>
      <w:r w:rsidRPr="00A95E68">
        <w:rPr>
          <w:rStyle w:val="Refdenotaalpie"/>
          <w:rFonts w:ascii="Arial" w:hAnsi="Arial" w:cs="Arial"/>
          <w:sz w:val="16"/>
          <w:szCs w:val="16"/>
        </w:rPr>
        <w:footnoteRef/>
      </w:r>
      <w:r w:rsidRPr="0036752D">
        <w:rPr>
          <w:rFonts w:ascii="Arial" w:hAnsi="Arial" w:cs="Arial"/>
          <w:sz w:val="16"/>
          <w:szCs w:val="16"/>
          <w:lang w:val="eu-ES"/>
        </w:rPr>
        <w:t xml:space="preserve"> </w:t>
      </w:r>
      <w:r w:rsidRPr="0036752D">
        <w:rPr>
          <w:rFonts w:ascii="Arial" w:hAnsi="Arial" w:cs="Arial"/>
          <w:sz w:val="16"/>
          <w:szCs w:val="16"/>
          <w:lang w:val="eu-ES"/>
        </w:rPr>
        <w:tab/>
      </w:r>
      <w:r w:rsidRPr="006970A1">
        <w:rPr>
          <w:rFonts w:ascii="Arial" w:hAnsi="Arial" w:cs="Arial"/>
          <w:sz w:val="16"/>
          <w:szCs w:val="16"/>
          <w:lang w:val="eu-ES"/>
        </w:rPr>
        <w:t>Testuinguru horretan, gogoratu behar da 2013aren amaieran Gizarte Ekonomiako enpresa handietako baten konkurtso-prozesua hasi zela.</w:t>
      </w:r>
      <w:r w:rsidRPr="0036752D">
        <w:rPr>
          <w:rFonts w:ascii="Arial" w:hAnsi="Arial" w:cs="Arial"/>
          <w:sz w:val="16"/>
          <w:szCs w:val="16"/>
          <w:lang w:val="eu-ES"/>
        </w:rPr>
        <w:t xml:space="preserve"> </w:t>
      </w:r>
      <w:r w:rsidRPr="006970A1">
        <w:rPr>
          <w:rFonts w:ascii="Arial" w:hAnsi="Arial" w:cs="Arial"/>
          <w:sz w:val="16"/>
          <w:szCs w:val="16"/>
          <w:lang w:val="eu-ES"/>
        </w:rPr>
        <w:t>Prozesu hori 2013ko azaroan hasi zenez, galdutako enpleguak ez du eraginik izan 2013ko Aurrerapenean erregistratutako guztizko lanpostu-kopuruan, eta ekitaldi hartan urtekotutako enplegu osoa hartzen da kontuan.</w:t>
      </w:r>
    </w:p>
  </w:footnote>
  <w:footnote w:id="7">
    <w:p w:rsidR="00A327D4" w:rsidRPr="00A105C6" w:rsidRDefault="00A327D4">
      <w:pPr>
        <w:pStyle w:val="Textonotapie"/>
        <w:rPr>
          <w:lang w:val="eu-ES"/>
        </w:rPr>
      </w:pPr>
      <w:r w:rsidRPr="009934E1">
        <w:rPr>
          <w:rStyle w:val="Refdenotaalpie"/>
          <w:rFonts w:ascii="Arial" w:hAnsi="Arial" w:cs="Arial"/>
          <w:sz w:val="16"/>
          <w:szCs w:val="16"/>
        </w:rPr>
        <w:footnoteRef/>
      </w:r>
      <w:r w:rsidRPr="006970A1">
        <w:rPr>
          <w:rFonts w:ascii="Arial" w:hAnsi="Arial" w:cs="Arial"/>
          <w:sz w:val="16"/>
          <w:szCs w:val="16"/>
          <w:lang w:val="nb-NO"/>
        </w:rPr>
        <w:t xml:space="preserve"> </w:t>
      </w:r>
      <w:r w:rsidRPr="006970A1">
        <w:rPr>
          <w:rFonts w:ascii="Arial" w:hAnsi="Arial" w:cs="Arial"/>
          <w:sz w:val="16"/>
          <w:szCs w:val="16"/>
          <w:lang w:val="eu-ES"/>
        </w:rPr>
        <w:t>2006., 2007. eta 2008. ekitaldietako batez besteko fakturazioa.</w:t>
      </w:r>
    </w:p>
  </w:footnote>
  <w:footnote w:id="8">
    <w:p w:rsidR="00A327D4" w:rsidRPr="00A105C6" w:rsidRDefault="00A327D4">
      <w:pPr>
        <w:pStyle w:val="Textonotapie"/>
        <w:rPr>
          <w:lang w:val="eu-ES"/>
        </w:rPr>
      </w:pPr>
      <w:r w:rsidRPr="009934E1">
        <w:rPr>
          <w:rStyle w:val="Refdenotaalpie"/>
          <w:rFonts w:ascii="Arial" w:hAnsi="Arial" w:cs="Arial"/>
          <w:sz w:val="16"/>
          <w:szCs w:val="16"/>
        </w:rPr>
        <w:footnoteRef/>
      </w:r>
      <w:r w:rsidRPr="006970A1">
        <w:rPr>
          <w:rFonts w:ascii="Arial" w:hAnsi="Arial" w:cs="Arial"/>
          <w:sz w:val="16"/>
          <w:szCs w:val="16"/>
          <w:lang w:val="nb-NO"/>
        </w:rPr>
        <w:t xml:space="preserve"> </w:t>
      </w:r>
      <w:r w:rsidRPr="006970A1">
        <w:rPr>
          <w:rFonts w:ascii="Arial" w:hAnsi="Arial" w:cs="Arial"/>
          <w:sz w:val="16"/>
          <w:szCs w:val="16"/>
          <w:lang w:val="eu-ES"/>
        </w:rPr>
        <w:t>2012. eta 2013. ekitaldietako batez besteko fakturazioa.</w:t>
      </w:r>
    </w:p>
  </w:footnote>
  <w:footnote w:id="9">
    <w:p w:rsidR="00A327D4" w:rsidRPr="004A7052" w:rsidRDefault="00A327D4" w:rsidP="00D43F20">
      <w:pPr>
        <w:pStyle w:val="Textonotapie"/>
        <w:ind w:left="227" w:hanging="227"/>
        <w:rPr>
          <w:lang w:val="eu-ES"/>
        </w:rPr>
      </w:pPr>
      <w:r w:rsidRPr="00781D09">
        <w:rPr>
          <w:rStyle w:val="Refdenotaalpie"/>
          <w:rFonts w:ascii="Arial" w:hAnsi="Arial" w:cs="Arial"/>
          <w:sz w:val="16"/>
          <w:szCs w:val="16"/>
        </w:rPr>
        <w:footnoteRef/>
      </w:r>
      <w:r w:rsidRPr="006970A1">
        <w:rPr>
          <w:rFonts w:ascii="Arial" w:hAnsi="Arial" w:cs="Arial"/>
          <w:sz w:val="16"/>
          <w:szCs w:val="16"/>
          <w:lang w:val="nb-NO"/>
        </w:rPr>
        <w:t xml:space="preserve"> </w:t>
      </w:r>
      <w:r w:rsidRPr="006970A1">
        <w:rPr>
          <w:rFonts w:ascii="Arial" w:hAnsi="Arial" w:cs="Arial"/>
          <w:sz w:val="16"/>
          <w:szCs w:val="16"/>
          <w:lang w:val="nb-NO"/>
        </w:rPr>
        <w:tab/>
      </w:r>
      <w:r w:rsidRPr="006970A1">
        <w:rPr>
          <w:rFonts w:ascii="Arial" w:hAnsi="Arial" w:cs="Arial"/>
          <w:sz w:val="16"/>
          <w:szCs w:val="16"/>
          <w:lang w:val="eu-ES"/>
        </w:rPr>
        <w:t xml:space="preserve">2008. eta 2010. ekitaldietako emaitzen eta </w:t>
      </w:r>
      <w:r w:rsidRPr="006970A1">
        <w:rPr>
          <w:rFonts w:ascii="Arial" w:hAnsi="Arial" w:cs="Arial"/>
          <w:i/>
          <w:iCs/>
          <w:sz w:val="16"/>
          <w:szCs w:val="16"/>
          <w:lang w:val="eu-ES"/>
        </w:rPr>
        <w:t>Cash Flow</w:t>
      </w:r>
      <w:r w:rsidRPr="006970A1">
        <w:rPr>
          <w:rFonts w:ascii="Arial" w:hAnsi="Arial" w:cs="Arial"/>
          <w:sz w:val="16"/>
          <w:szCs w:val="16"/>
          <w:lang w:val="eu-ES"/>
        </w:rPr>
        <w:t>aren partidekin lotutako zenbatekoak aldatu egin dira, 2012. ekitaldiko ohiz kanpoko partiden esleipenaren ondorioz (67., 69. eta 63. kontuak). Ohiz kanpoko partida horiek atzeraeginezko ondorioarekin periodifikatuko dira 2008. ekitaldira arte (hau da, finantza-krisiaren aurreko ekitaldira arte).</w:t>
      </w:r>
    </w:p>
  </w:footnote>
  <w:footnote w:id="10">
    <w:p w:rsidR="00A327D4" w:rsidRPr="004A7052" w:rsidRDefault="00A327D4" w:rsidP="00EE5076">
      <w:pPr>
        <w:pStyle w:val="Textonotapie"/>
        <w:ind w:left="227" w:hanging="227"/>
        <w:rPr>
          <w:lang w:val="eu-ES"/>
        </w:rPr>
      </w:pPr>
      <w:r w:rsidRPr="00781D09">
        <w:rPr>
          <w:rStyle w:val="Refdenotaalpie"/>
          <w:rFonts w:ascii="Arial" w:hAnsi="Arial" w:cs="Arial"/>
          <w:sz w:val="16"/>
          <w:szCs w:val="16"/>
        </w:rPr>
        <w:footnoteRef/>
      </w:r>
      <w:r w:rsidRPr="00554DEF">
        <w:rPr>
          <w:rFonts w:ascii="Arial" w:hAnsi="Arial" w:cs="Arial"/>
          <w:sz w:val="16"/>
          <w:szCs w:val="16"/>
          <w:lang w:val="eu-ES"/>
        </w:rPr>
        <w:t xml:space="preserve"> </w:t>
      </w:r>
      <w:r w:rsidRPr="00554DEF">
        <w:rPr>
          <w:rFonts w:ascii="Arial" w:hAnsi="Arial" w:cs="Arial"/>
          <w:sz w:val="16"/>
          <w:szCs w:val="16"/>
          <w:lang w:val="eu-ES"/>
        </w:rPr>
        <w:tab/>
      </w:r>
      <w:r w:rsidRPr="006970A1">
        <w:rPr>
          <w:rFonts w:ascii="Arial" w:hAnsi="Arial" w:cs="Arial"/>
          <w:sz w:val="16"/>
          <w:szCs w:val="16"/>
          <w:lang w:val="eu-ES"/>
        </w:rPr>
        <w:t>Zerbitzu-sektoreko zenbait adarretan, enpresen bat-egiteak gertatu ziren, eta hein handi batean, horrek azaltzen du Gizarte Ekonomiaren Fondo Propioak txikitu izana.</w:t>
      </w:r>
      <w:r w:rsidRPr="00554DEF">
        <w:rPr>
          <w:rFonts w:ascii="Arial" w:hAnsi="Arial" w:cs="Arial"/>
          <w:sz w:val="16"/>
          <w:szCs w:val="16"/>
          <w:lang w:val="eu-ES"/>
        </w:rPr>
        <w:t xml:space="preserve"> </w:t>
      </w:r>
      <w:r w:rsidRPr="006970A1">
        <w:rPr>
          <w:rFonts w:ascii="Arial" w:hAnsi="Arial" w:cs="Arial"/>
          <w:sz w:val="16"/>
          <w:szCs w:val="16"/>
          <w:lang w:val="eu-ES"/>
        </w:rPr>
        <w:t>Bat-egite horietako batzuk egiteko, aurreko ekitaldietan kontura pilatutako erreserba boluntarioen zati bat esleitu behar izan zen (erreserba boluntarioak Fondo Propioen osagai nagusia dira).</w:t>
      </w:r>
    </w:p>
  </w:footnote>
  <w:footnote w:id="11">
    <w:p w:rsidR="00A327D4" w:rsidRPr="004A7052" w:rsidRDefault="00A327D4" w:rsidP="00D43F20">
      <w:pPr>
        <w:spacing w:line="240" w:lineRule="auto"/>
        <w:ind w:left="227" w:hanging="227"/>
        <w:rPr>
          <w:lang w:val="eu-ES"/>
        </w:rPr>
      </w:pPr>
    </w:p>
  </w:footnote>
  <w:footnote w:id="12">
    <w:p w:rsidR="00A327D4" w:rsidRPr="004A7052" w:rsidRDefault="00A327D4" w:rsidP="00D43F20">
      <w:pPr>
        <w:pStyle w:val="Textonotapie"/>
        <w:ind w:left="227" w:hanging="227"/>
        <w:rPr>
          <w:lang w:val="eu-ES"/>
        </w:rPr>
      </w:pPr>
      <w:r w:rsidRPr="00781D09">
        <w:rPr>
          <w:rStyle w:val="Refdenotaalpie"/>
          <w:rFonts w:ascii="Arial" w:hAnsi="Arial" w:cs="Arial"/>
          <w:sz w:val="16"/>
          <w:szCs w:val="16"/>
        </w:rPr>
        <w:footnoteRef/>
      </w:r>
      <w:r w:rsidRPr="006970A1">
        <w:rPr>
          <w:rFonts w:ascii="Arial" w:hAnsi="Arial" w:cs="Arial"/>
          <w:sz w:val="16"/>
          <w:szCs w:val="16"/>
          <w:lang w:val="eu-ES"/>
        </w:rPr>
        <w:t xml:space="preserve"> </w:t>
      </w:r>
      <w:r w:rsidRPr="006970A1">
        <w:rPr>
          <w:rFonts w:ascii="Arial" w:hAnsi="Arial" w:cs="Arial"/>
          <w:sz w:val="16"/>
          <w:szCs w:val="16"/>
          <w:lang w:val="eu-ES"/>
        </w:rPr>
        <w:tab/>
        <w:t>Doitua, 2012. ekitaldiarekin alderatzeko.</w:t>
      </w:r>
    </w:p>
  </w:footnote>
  <w:footnote w:id="13">
    <w:p w:rsidR="00A327D4" w:rsidRPr="004A7052" w:rsidRDefault="00A327D4" w:rsidP="0028529A">
      <w:pPr>
        <w:pStyle w:val="Textonotapie"/>
        <w:ind w:left="227" w:hanging="227"/>
        <w:rPr>
          <w:lang w:val="eu-ES"/>
        </w:rPr>
      </w:pPr>
      <w:r w:rsidRPr="00781D09">
        <w:rPr>
          <w:rStyle w:val="Refdenotaalpie"/>
          <w:rFonts w:ascii="Arial" w:hAnsi="Arial" w:cs="Arial"/>
          <w:sz w:val="16"/>
          <w:szCs w:val="16"/>
        </w:rPr>
        <w:footnoteRef/>
      </w:r>
      <w:r w:rsidRPr="006970A1">
        <w:rPr>
          <w:rFonts w:ascii="Arial" w:hAnsi="Arial" w:cs="Arial"/>
          <w:sz w:val="16"/>
          <w:szCs w:val="16"/>
          <w:lang w:val="eu-ES"/>
        </w:rPr>
        <w:tab/>
        <w:t>2010etik 2012ra bitartean zerbitzu-sektoreko enpresa adierazgarriek forma juridikoa aldatu zuten, eta horrek neurri handiago batean azaltzen du lan-sozietateetan denboraldi hartan gertatutako beherakada (5.268 lanpostu 2010ean, eta 2.319 lanpostu 2012an). 2012an, Gizarte Ekonomiak 2.700 lanpostu baino zertxobait gehiago galdu zituen, lan-sozietate batzuk merkataritza-sozietate bihurtzean.</w:t>
      </w:r>
    </w:p>
  </w:footnote>
  <w:footnote w:id="14">
    <w:p w:rsidR="00A327D4" w:rsidRPr="004A7052" w:rsidRDefault="00A327D4" w:rsidP="00D43F20">
      <w:pPr>
        <w:pStyle w:val="Textonotapie"/>
        <w:ind w:left="227" w:hanging="227"/>
        <w:rPr>
          <w:lang w:val="eu-ES"/>
        </w:rPr>
      </w:pPr>
      <w:r w:rsidRPr="00E968C7">
        <w:rPr>
          <w:rStyle w:val="Refdenotaalpie"/>
          <w:rFonts w:ascii="Arial" w:hAnsi="Arial" w:cs="Arial"/>
          <w:sz w:val="16"/>
          <w:szCs w:val="16"/>
        </w:rPr>
        <w:footnoteRef/>
      </w:r>
      <w:r w:rsidRPr="006970A1">
        <w:rPr>
          <w:rFonts w:ascii="Arial" w:hAnsi="Arial" w:cs="Arial"/>
          <w:sz w:val="16"/>
          <w:szCs w:val="16"/>
          <w:lang w:val="eu-ES"/>
        </w:rPr>
        <w:tab/>
        <w:t>Adierazi behar da beherakadarik handiena Araban gertatu zela; izan ere, Bizkaian, eraginaren zati handi bat lanpostuak Gizarte Ekonomiatik kanpoko forma juridikoetara igaro izanaren ondorio izan zen.</w:t>
      </w:r>
    </w:p>
  </w:footnote>
  <w:footnote w:id="15">
    <w:p w:rsidR="00A327D4" w:rsidRPr="004A7052" w:rsidRDefault="00A327D4" w:rsidP="008D3DF1">
      <w:pPr>
        <w:spacing w:line="240" w:lineRule="auto"/>
        <w:ind w:left="227" w:hanging="227"/>
        <w:rPr>
          <w:lang w:val="eu-ES"/>
        </w:rPr>
      </w:pPr>
      <w:r w:rsidRPr="00E7466B">
        <w:rPr>
          <w:rStyle w:val="Refdenotaalpie"/>
          <w:rFonts w:cs="Arial"/>
          <w:sz w:val="16"/>
          <w:szCs w:val="16"/>
        </w:rPr>
        <w:footnoteRef/>
      </w:r>
      <w:r w:rsidRPr="006970A1">
        <w:rPr>
          <w:sz w:val="16"/>
          <w:szCs w:val="16"/>
          <w:lang w:val="eu-ES"/>
        </w:rPr>
        <w:t xml:space="preserve"> </w:t>
      </w:r>
      <w:r w:rsidRPr="006970A1">
        <w:rPr>
          <w:sz w:val="16"/>
          <w:szCs w:val="16"/>
          <w:lang w:val="eu-ES"/>
        </w:rPr>
        <w:tab/>
        <w:t>Enplegu-zentro bereziekin eta gizarteratze-enpresekin lotutako bikoizketa-efektua kendu da; izan ere, bi erakunde-mota horien forma juridikoak Gizarte Ekonomia klasikoarekin du zerikusia (kooperatibak, lan-sozietate mugatuak eta lan-sozietate anonimoak)</w:t>
      </w:r>
    </w:p>
  </w:footnote>
  <w:footnote w:id="16">
    <w:p w:rsidR="00A327D4" w:rsidRPr="004A7052" w:rsidRDefault="00A327D4" w:rsidP="00D43F20">
      <w:pPr>
        <w:pStyle w:val="Textonotapie"/>
        <w:ind w:left="227" w:hanging="227"/>
        <w:rPr>
          <w:lang w:val="eu-ES"/>
        </w:rPr>
      </w:pPr>
      <w:r w:rsidRPr="00E7466B">
        <w:rPr>
          <w:rStyle w:val="Refdenotaalpie"/>
          <w:rFonts w:ascii="Arial" w:hAnsi="Arial" w:cs="Arial"/>
          <w:sz w:val="16"/>
          <w:szCs w:val="16"/>
        </w:rPr>
        <w:footnoteRef/>
      </w:r>
      <w:r w:rsidRPr="006970A1">
        <w:rPr>
          <w:rFonts w:ascii="Arial" w:hAnsi="Arial" w:cs="Arial"/>
          <w:sz w:val="16"/>
          <w:szCs w:val="16"/>
          <w:lang w:val="eu-ES"/>
        </w:rPr>
        <w:t xml:space="preserve"> </w:t>
      </w:r>
      <w:r w:rsidRPr="006970A1">
        <w:rPr>
          <w:rFonts w:ascii="Arial" w:hAnsi="Arial" w:cs="Arial"/>
          <w:sz w:val="16"/>
          <w:szCs w:val="16"/>
          <w:lang w:val="eu-ES"/>
        </w:rPr>
        <w:tab/>
        <w:t>Informazio hori Euskadiko Borondatezko Gizarte Aurreikuspeneko Erakundeen Federaziotik lortu dugu.</w:t>
      </w:r>
    </w:p>
  </w:footnote>
  <w:footnote w:id="17">
    <w:p w:rsidR="00A327D4" w:rsidRPr="00195BE7" w:rsidRDefault="00A327D4" w:rsidP="00195BE7">
      <w:pPr>
        <w:spacing w:line="240" w:lineRule="auto"/>
        <w:ind w:left="227" w:hanging="227"/>
        <w:rPr>
          <w:sz w:val="16"/>
          <w:szCs w:val="16"/>
          <w:lang w:val="eu-ES"/>
        </w:rPr>
      </w:pPr>
    </w:p>
  </w:footnote>
  <w:footnote w:id="18">
    <w:p w:rsidR="00A327D4" w:rsidRPr="00462130" w:rsidRDefault="00A327D4" w:rsidP="00195BE7">
      <w:pPr>
        <w:pStyle w:val="Textonotapie"/>
        <w:ind w:left="227" w:hanging="227"/>
        <w:rPr>
          <w:rFonts w:ascii="Arial" w:hAnsi="Arial" w:cs="Arial"/>
          <w:sz w:val="16"/>
          <w:szCs w:val="16"/>
          <w:lang w:val="eu-ES"/>
        </w:rPr>
      </w:pPr>
      <w:r w:rsidRPr="00462130">
        <w:rPr>
          <w:rStyle w:val="Refdenotaalpie"/>
          <w:rFonts w:ascii="Arial" w:hAnsi="Arial" w:cs="Arial"/>
          <w:sz w:val="16"/>
          <w:szCs w:val="16"/>
          <w:lang w:val="eu-ES"/>
        </w:rPr>
        <w:footnoteRef/>
      </w:r>
      <w:r w:rsidRPr="00462130">
        <w:rPr>
          <w:rFonts w:ascii="Arial" w:hAnsi="Arial" w:cs="Arial"/>
          <w:sz w:val="16"/>
          <w:szCs w:val="16"/>
          <w:lang w:val="eu-ES"/>
        </w:rPr>
        <w:t xml:space="preserve"> 2012ko ekitaldiarekin alderatzeko egokitu beharra, banku-sektorean erabilitako neurketa-unitatean izandako akatsagatik.</w:t>
      </w:r>
    </w:p>
  </w:footnote>
  <w:footnote w:id="19">
    <w:p w:rsidR="00A327D4" w:rsidRPr="00462130" w:rsidRDefault="00A327D4" w:rsidP="00195BE7">
      <w:pPr>
        <w:pStyle w:val="Textonotapie"/>
        <w:rPr>
          <w:rFonts w:ascii="Arial" w:hAnsi="Arial" w:cs="Arial"/>
          <w:sz w:val="16"/>
          <w:szCs w:val="16"/>
          <w:lang w:val="eu-ES"/>
        </w:rPr>
      </w:pPr>
      <w:r w:rsidRPr="00462130">
        <w:rPr>
          <w:rStyle w:val="Refdenotaalpie"/>
          <w:rFonts w:ascii="Arial" w:hAnsi="Arial" w:cs="Arial"/>
          <w:sz w:val="16"/>
          <w:szCs w:val="16"/>
          <w:lang w:val="eu-ES"/>
        </w:rPr>
        <w:footnoteRef/>
      </w:r>
      <w:r w:rsidRPr="00462130">
        <w:rPr>
          <w:rFonts w:ascii="Arial" w:hAnsi="Arial" w:cs="Arial"/>
          <w:sz w:val="16"/>
          <w:szCs w:val="16"/>
          <w:lang w:val="eu-ES"/>
        </w:rPr>
        <w:t xml:space="preserve"> Fondo Propioen estaldura maila neurtzea ahalbideratzen duten ratioak Zorpetzea (Besteren Fondoak/Fondo Propioak) eta Bermea (Aktiboa Guztira/Galdagarria Guztira) dira. Printzipioz, eta finantza-kudeaketari dagokionez, ratio hauek 1etik 2rako eta 1,5etik 2rako tartean egon beharko lukete hurrenez hurren, zorpetze maila eta baliabide propioen estaldura egokiak izan daitezen.</w:t>
      </w:r>
    </w:p>
  </w:footnote>
  <w:footnote w:id="20">
    <w:p w:rsidR="00A327D4" w:rsidRPr="00A105C6" w:rsidRDefault="00A327D4" w:rsidP="00195BE7">
      <w:pPr>
        <w:pStyle w:val="Textonotapie"/>
        <w:tabs>
          <w:tab w:val="left" w:pos="284"/>
        </w:tabs>
        <w:ind w:left="227" w:hanging="227"/>
        <w:rPr>
          <w:rFonts w:ascii="Arial" w:hAnsi="Arial" w:cs="Arial"/>
          <w:sz w:val="16"/>
          <w:szCs w:val="16"/>
          <w:lang w:val="eu-ES"/>
        </w:rPr>
      </w:pPr>
      <w:r w:rsidRPr="00EC3A1A">
        <w:rPr>
          <w:rStyle w:val="Refdenotaalpie"/>
          <w:rFonts w:ascii="Arial" w:hAnsi="Arial" w:cs="Arial"/>
          <w:sz w:val="16"/>
          <w:szCs w:val="16"/>
        </w:rPr>
        <w:footnoteRef/>
      </w:r>
      <w:r w:rsidRPr="00A105C6">
        <w:rPr>
          <w:rFonts w:ascii="Arial" w:hAnsi="Arial" w:cs="Arial"/>
          <w:sz w:val="16"/>
          <w:szCs w:val="16"/>
          <w:lang w:val="eu-ES"/>
        </w:rPr>
        <w:t xml:space="preserve"> </w:t>
      </w:r>
      <w:r w:rsidRPr="00A105C6">
        <w:rPr>
          <w:rFonts w:ascii="Arial" w:hAnsi="Arial" w:cs="Arial"/>
          <w:sz w:val="16"/>
          <w:szCs w:val="16"/>
          <w:lang w:val="eu-ES"/>
        </w:rPr>
        <w:tab/>
      </w:r>
      <w:r w:rsidRPr="00D24CEA">
        <w:rPr>
          <w:rFonts w:ascii="Arial" w:hAnsi="Arial" w:cs="Arial"/>
          <w:sz w:val="16"/>
          <w:szCs w:val="16"/>
          <w:lang w:val="eu-ES"/>
        </w:rPr>
        <w:t>2.1. (Ibilgetu immateriala) eta 2.2. (Ibilgetu materiala) Kontuen hazkundea 20</w:t>
      </w:r>
      <w:r>
        <w:rPr>
          <w:rFonts w:ascii="Arial" w:hAnsi="Arial" w:cs="Arial"/>
          <w:sz w:val="16"/>
          <w:szCs w:val="16"/>
          <w:lang w:val="eu-ES"/>
        </w:rPr>
        <w:t>11</w:t>
      </w:r>
      <w:r w:rsidRPr="00D24CEA">
        <w:rPr>
          <w:rFonts w:ascii="Arial" w:hAnsi="Arial" w:cs="Arial"/>
          <w:sz w:val="16"/>
          <w:szCs w:val="16"/>
          <w:lang w:val="eu-ES"/>
        </w:rPr>
        <w:t>arekiko</w:t>
      </w:r>
    </w:p>
  </w:footnote>
  <w:footnote w:id="21">
    <w:p w:rsidR="00A327D4" w:rsidRPr="00A105C6" w:rsidRDefault="00A327D4" w:rsidP="00195BE7">
      <w:pPr>
        <w:pStyle w:val="Textonotapie"/>
        <w:tabs>
          <w:tab w:val="left" w:pos="284"/>
        </w:tabs>
        <w:ind w:left="227" w:hanging="227"/>
        <w:rPr>
          <w:rFonts w:ascii="Arial" w:hAnsi="Arial" w:cs="Arial"/>
          <w:sz w:val="16"/>
          <w:szCs w:val="16"/>
          <w:lang w:val="eu-ES"/>
        </w:rPr>
      </w:pPr>
      <w:r w:rsidRPr="00EC3A1A">
        <w:rPr>
          <w:rStyle w:val="Refdenotaalpie"/>
          <w:rFonts w:ascii="Arial" w:hAnsi="Arial" w:cs="Arial"/>
          <w:sz w:val="16"/>
          <w:szCs w:val="16"/>
        </w:rPr>
        <w:footnoteRef/>
      </w:r>
      <w:r w:rsidRPr="00A105C6">
        <w:rPr>
          <w:rFonts w:ascii="Arial" w:hAnsi="Arial" w:cs="Arial"/>
          <w:sz w:val="16"/>
          <w:szCs w:val="16"/>
          <w:lang w:val="eu-ES"/>
        </w:rPr>
        <w:t xml:space="preserve"> </w:t>
      </w:r>
      <w:r w:rsidRPr="00A105C6">
        <w:rPr>
          <w:rFonts w:ascii="Arial" w:hAnsi="Arial" w:cs="Arial"/>
          <w:sz w:val="16"/>
          <w:szCs w:val="16"/>
          <w:lang w:val="eu-ES"/>
        </w:rPr>
        <w:tab/>
      </w:r>
      <w:r w:rsidRPr="00D24CEA">
        <w:rPr>
          <w:rFonts w:ascii="Arial" w:hAnsi="Arial" w:cs="Arial"/>
          <w:sz w:val="16"/>
          <w:szCs w:val="16"/>
          <w:lang w:val="eu-ES"/>
        </w:rPr>
        <w:t>130 Kontuaren hazkundea 20</w:t>
      </w:r>
      <w:r>
        <w:rPr>
          <w:rFonts w:ascii="Arial" w:hAnsi="Arial" w:cs="Arial"/>
          <w:sz w:val="16"/>
          <w:szCs w:val="16"/>
          <w:lang w:val="eu-ES"/>
        </w:rPr>
        <w:t>11</w:t>
      </w:r>
      <w:r w:rsidRPr="00D24CEA">
        <w:rPr>
          <w:rFonts w:ascii="Arial" w:hAnsi="Arial" w:cs="Arial"/>
          <w:sz w:val="16"/>
          <w:szCs w:val="16"/>
          <w:lang w:val="eu-ES"/>
        </w:rPr>
        <w:t>arekiko</w:t>
      </w:r>
    </w:p>
  </w:footnote>
  <w:footnote w:id="22">
    <w:p w:rsidR="00A327D4" w:rsidRPr="00A105C6" w:rsidRDefault="00A327D4" w:rsidP="00195BE7">
      <w:pPr>
        <w:pStyle w:val="Textonotapie"/>
        <w:ind w:left="227" w:hanging="227"/>
        <w:rPr>
          <w:rFonts w:ascii="Arial" w:hAnsi="Arial" w:cs="Arial"/>
          <w:sz w:val="17"/>
          <w:szCs w:val="17"/>
          <w:lang w:val="de-DE"/>
        </w:rPr>
      </w:pPr>
      <w:r w:rsidRPr="00462130">
        <w:rPr>
          <w:rStyle w:val="Refdenotaalpie"/>
          <w:rFonts w:ascii="Arial" w:hAnsi="Arial" w:cs="Arial"/>
          <w:sz w:val="17"/>
          <w:szCs w:val="17"/>
        </w:rPr>
        <w:footnoteRef/>
      </w:r>
      <w:r w:rsidRPr="00A105C6">
        <w:rPr>
          <w:rFonts w:ascii="Arial" w:hAnsi="Arial" w:cs="Arial"/>
          <w:sz w:val="17"/>
          <w:szCs w:val="17"/>
          <w:lang w:val="de-DE"/>
        </w:rPr>
        <w:t>Soldaten ratioa oinarri harturik egindako zenbatespena</w:t>
      </w:r>
    </w:p>
  </w:footnote>
  <w:footnote w:id="23">
    <w:p w:rsidR="00A327D4" w:rsidRPr="00A105C6" w:rsidRDefault="00A327D4" w:rsidP="00195BE7">
      <w:pPr>
        <w:spacing w:line="240" w:lineRule="auto"/>
        <w:ind w:left="227" w:hanging="227"/>
        <w:rPr>
          <w:sz w:val="17"/>
          <w:szCs w:val="17"/>
          <w:lang w:val="de-DE"/>
        </w:rPr>
      </w:pPr>
      <w:r w:rsidRPr="00A943E8">
        <w:rPr>
          <w:rStyle w:val="Refdenotaalpie"/>
          <w:sz w:val="17"/>
          <w:szCs w:val="17"/>
        </w:rPr>
        <w:footnoteRef/>
      </w:r>
      <w:r w:rsidRPr="00A105C6">
        <w:rPr>
          <w:sz w:val="17"/>
          <w:szCs w:val="17"/>
          <w:lang w:val="de-DE"/>
        </w:rPr>
        <w:t xml:space="preserve"> </w:t>
      </w:r>
      <w:r w:rsidRPr="00A943E8">
        <w:rPr>
          <w:sz w:val="17"/>
          <w:szCs w:val="17"/>
          <w:lang w:val="eu-ES"/>
        </w:rPr>
        <w:t>Enplegu Zentro Berezien eta Laneratzeko Enpresen bikoizketa efektua kentzen da, Gizarte-ekonomia klasikokoak diren forma juridikoak hartzen baitituzte (kooperatibak, Lan Sozietate Mugatuak eta Lan Sozietate Anonimoak).</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27D4" w:rsidRDefault="00A327D4" w:rsidP="008B1A7A">
    <w:pPr>
      <w:pStyle w:val="Encabezado"/>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27D4" w:rsidRDefault="00A327D4" w:rsidP="008B1A7A">
    <w:pPr>
      <w:pStyle w:val="Encabezado"/>
      <w:jc w:val="center"/>
    </w:pPr>
    <w:r>
      <w:rPr>
        <w:noProof/>
        <w:lang w:eastAsia="es-ES"/>
      </w:rPr>
      <w:drawing>
        <wp:inline distT="0" distB="0" distL="0" distR="0">
          <wp:extent cx="2918460" cy="365760"/>
          <wp:effectExtent l="19050" t="0" r="0" b="0"/>
          <wp:docPr id="26"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pic:cNvPicPr>
                    <a:picLocks noChangeAspect="1" noChangeArrowheads="1"/>
                  </pic:cNvPicPr>
                </pic:nvPicPr>
                <pic:blipFill>
                  <a:blip r:embed="rId1"/>
                  <a:srcRect/>
                  <a:stretch>
                    <a:fillRect/>
                  </a:stretch>
                </pic:blipFill>
                <pic:spPr bwMode="auto">
                  <a:xfrm>
                    <a:off x="0" y="0"/>
                    <a:ext cx="2918460" cy="365760"/>
                  </a:xfrm>
                  <a:prstGeom prst="rect">
                    <a:avLst/>
                  </a:prstGeom>
                  <a:noFill/>
                  <a:ln w="9525">
                    <a:noFill/>
                    <a:miter lim="800000"/>
                    <a:headEnd/>
                    <a:tailEnd/>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27D4" w:rsidRDefault="00A327D4" w:rsidP="006000E6">
    <w:pPr>
      <w:pStyle w:val="Encabezado"/>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0"/>
    <w:lvl w:ilvl="0">
      <w:start w:val="1"/>
      <w:numFmt w:val="lowerLetter"/>
      <w:pStyle w:val="Rpidoa"/>
      <w:lvlText w:val="%1)"/>
      <w:lvlJc w:val="left"/>
      <w:pPr>
        <w:tabs>
          <w:tab w:val="num" w:pos="554"/>
        </w:tabs>
      </w:pPr>
      <w:rPr>
        <w:i/>
        <w:iCs/>
      </w:rPr>
    </w:lvl>
  </w:abstractNum>
  <w:abstractNum w:abstractNumId="1">
    <w:nsid w:val="00000003"/>
    <w:multiLevelType w:val="singleLevel"/>
    <w:tmpl w:val="00000003"/>
    <w:lvl w:ilvl="0">
      <w:start w:val="1"/>
      <w:numFmt w:val="bullet"/>
      <w:lvlText w:val=""/>
      <w:lvlJc w:val="left"/>
      <w:pPr>
        <w:tabs>
          <w:tab w:val="num" w:pos="0"/>
        </w:tabs>
        <w:ind w:left="720" w:hanging="360"/>
      </w:pPr>
      <w:rPr>
        <w:rFonts w:ascii="Symbol" w:hAnsi="Symbol" w:cs="Symbol"/>
      </w:rPr>
    </w:lvl>
  </w:abstractNum>
  <w:abstractNum w:abstractNumId="2">
    <w:nsid w:val="00000004"/>
    <w:multiLevelType w:val="singleLevel"/>
    <w:tmpl w:val="00000004"/>
    <w:lvl w:ilvl="0">
      <w:numFmt w:val="bullet"/>
      <w:lvlText w:val="-"/>
      <w:lvlJc w:val="left"/>
      <w:pPr>
        <w:tabs>
          <w:tab w:val="num" w:pos="720"/>
        </w:tabs>
        <w:ind w:left="720" w:hanging="360"/>
      </w:pPr>
      <w:rPr>
        <w:rFonts w:ascii="Tahoma" w:hAnsi="Tahoma" w:cs="Tahoma"/>
      </w:rPr>
    </w:lvl>
  </w:abstractNum>
  <w:abstractNum w:abstractNumId="3">
    <w:nsid w:val="048046DF"/>
    <w:multiLevelType w:val="hybridMultilevel"/>
    <w:tmpl w:val="5652FA0A"/>
    <w:lvl w:ilvl="0" w:tplc="00000002">
      <w:numFmt w:val="bullet"/>
      <w:lvlText w:val="-"/>
      <w:lvlJc w:val="left"/>
      <w:pPr>
        <w:ind w:left="720" w:hanging="360"/>
      </w:pPr>
      <w:rPr>
        <w:rFonts w:ascii="Arial" w:hAnsi="Arial" w:cs="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05552F3E"/>
    <w:multiLevelType w:val="hybridMultilevel"/>
    <w:tmpl w:val="956A9AC8"/>
    <w:name w:val="WW8Num3"/>
    <w:lvl w:ilvl="0" w:tplc="9886D3DE">
      <w:start w:val="1"/>
      <w:numFmt w:val="bullet"/>
      <w:lvlText w:val=""/>
      <w:lvlJc w:val="left"/>
      <w:pPr>
        <w:ind w:left="720" w:hanging="360"/>
      </w:pPr>
      <w:rPr>
        <w:rFonts w:ascii="Symbol" w:hAnsi="Symbol" w:hint="default"/>
      </w:rPr>
    </w:lvl>
    <w:lvl w:ilvl="1" w:tplc="8E9C57A0" w:tentative="1">
      <w:start w:val="1"/>
      <w:numFmt w:val="bullet"/>
      <w:lvlText w:val="o"/>
      <w:lvlJc w:val="left"/>
      <w:pPr>
        <w:ind w:left="1440" w:hanging="360"/>
      </w:pPr>
      <w:rPr>
        <w:rFonts w:ascii="Courier New" w:hAnsi="Courier New" w:cs="Courier New" w:hint="default"/>
      </w:rPr>
    </w:lvl>
    <w:lvl w:ilvl="2" w:tplc="05282A1A" w:tentative="1">
      <w:start w:val="1"/>
      <w:numFmt w:val="bullet"/>
      <w:lvlText w:val=""/>
      <w:lvlJc w:val="left"/>
      <w:pPr>
        <w:ind w:left="2160" w:hanging="360"/>
      </w:pPr>
      <w:rPr>
        <w:rFonts w:ascii="Wingdings" w:hAnsi="Wingdings" w:hint="default"/>
      </w:rPr>
    </w:lvl>
    <w:lvl w:ilvl="3" w:tplc="7D2A33A8" w:tentative="1">
      <w:start w:val="1"/>
      <w:numFmt w:val="bullet"/>
      <w:lvlText w:val=""/>
      <w:lvlJc w:val="left"/>
      <w:pPr>
        <w:ind w:left="2880" w:hanging="360"/>
      </w:pPr>
      <w:rPr>
        <w:rFonts w:ascii="Symbol" w:hAnsi="Symbol" w:hint="default"/>
      </w:rPr>
    </w:lvl>
    <w:lvl w:ilvl="4" w:tplc="164E1A9C" w:tentative="1">
      <w:start w:val="1"/>
      <w:numFmt w:val="bullet"/>
      <w:lvlText w:val="o"/>
      <w:lvlJc w:val="left"/>
      <w:pPr>
        <w:ind w:left="3600" w:hanging="360"/>
      </w:pPr>
      <w:rPr>
        <w:rFonts w:ascii="Courier New" w:hAnsi="Courier New" w:cs="Courier New" w:hint="default"/>
      </w:rPr>
    </w:lvl>
    <w:lvl w:ilvl="5" w:tplc="11BA67DE" w:tentative="1">
      <w:start w:val="1"/>
      <w:numFmt w:val="bullet"/>
      <w:lvlText w:val=""/>
      <w:lvlJc w:val="left"/>
      <w:pPr>
        <w:ind w:left="4320" w:hanging="360"/>
      </w:pPr>
      <w:rPr>
        <w:rFonts w:ascii="Wingdings" w:hAnsi="Wingdings" w:hint="default"/>
      </w:rPr>
    </w:lvl>
    <w:lvl w:ilvl="6" w:tplc="3530BABA" w:tentative="1">
      <w:start w:val="1"/>
      <w:numFmt w:val="bullet"/>
      <w:lvlText w:val=""/>
      <w:lvlJc w:val="left"/>
      <w:pPr>
        <w:ind w:left="5040" w:hanging="360"/>
      </w:pPr>
      <w:rPr>
        <w:rFonts w:ascii="Symbol" w:hAnsi="Symbol" w:hint="default"/>
      </w:rPr>
    </w:lvl>
    <w:lvl w:ilvl="7" w:tplc="0A1E9C82" w:tentative="1">
      <w:start w:val="1"/>
      <w:numFmt w:val="bullet"/>
      <w:lvlText w:val="o"/>
      <w:lvlJc w:val="left"/>
      <w:pPr>
        <w:ind w:left="5760" w:hanging="360"/>
      </w:pPr>
      <w:rPr>
        <w:rFonts w:ascii="Courier New" w:hAnsi="Courier New" w:cs="Courier New" w:hint="default"/>
      </w:rPr>
    </w:lvl>
    <w:lvl w:ilvl="8" w:tplc="D2DE1E00" w:tentative="1">
      <w:start w:val="1"/>
      <w:numFmt w:val="bullet"/>
      <w:lvlText w:val=""/>
      <w:lvlJc w:val="left"/>
      <w:pPr>
        <w:ind w:left="6480" w:hanging="360"/>
      </w:pPr>
      <w:rPr>
        <w:rFonts w:ascii="Wingdings" w:hAnsi="Wingdings" w:hint="default"/>
      </w:rPr>
    </w:lvl>
  </w:abstractNum>
  <w:abstractNum w:abstractNumId="5">
    <w:nsid w:val="09A24CD5"/>
    <w:multiLevelType w:val="hybridMultilevel"/>
    <w:tmpl w:val="3C7CCD6E"/>
    <w:lvl w:ilvl="0" w:tplc="0C0A0001">
      <w:start w:val="1"/>
      <w:numFmt w:val="bullet"/>
      <w:lvlText w:val=""/>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0C623B74"/>
    <w:multiLevelType w:val="hybridMultilevel"/>
    <w:tmpl w:val="43D496D4"/>
    <w:lvl w:ilvl="0" w:tplc="B2AE5A9E">
      <w:start w:val="1"/>
      <w:numFmt w:val="decimal"/>
      <w:lvlText w:val="%1."/>
      <w:lvlJc w:val="left"/>
      <w:pPr>
        <w:ind w:left="720" w:hanging="360"/>
      </w:p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7">
    <w:nsid w:val="0F235DCA"/>
    <w:multiLevelType w:val="hybridMultilevel"/>
    <w:tmpl w:val="460CBF26"/>
    <w:lvl w:ilvl="0" w:tplc="0C0A000F">
      <w:start w:val="1"/>
      <w:numFmt w:val="decimal"/>
      <w:suff w:val="nothing"/>
      <w:lvlText w:val="%1."/>
      <w:lvlJc w:val="left"/>
      <w:pPr>
        <w:ind w:left="705" w:hanging="705"/>
      </w:pPr>
      <w:rPr>
        <w:rFonts w:ascii="Arial" w:hAnsi="Arial" w:cs="Arial" w:hint="default"/>
        <w:b/>
        <w:bCs/>
        <w:i w:val="0"/>
        <w:iCs w:val="0"/>
        <w:color w:val="auto"/>
        <w:sz w:val="20"/>
        <w:szCs w:val="20"/>
      </w:rPr>
    </w:lvl>
    <w:lvl w:ilvl="1" w:tplc="0C0A0019">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8">
    <w:nsid w:val="11DC64F1"/>
    <w:multiLevelType w:val="hybridMultilevel"/>
    <w:tmpl w:val="FF6C731E"/>
    <w:name w:val="WW8Num4"/>
    <w:lvl w:ilvl="0" w:tplc="119E2496">
      <w:start w:val="43"/>
      <w:numFmt w:val="bullet"/>
      <w:lvlText w:val="-"/>
      <w:lvlJc w:val="left"/>
      <w:pPr>
        <w:ind w:left="587" w:hanging="360"/>
      </w:pPr>
      <w:rPr>
        <w:rFonts w:ascii="Arial" w:eastAsia="Times New Roman" w:hAnsi="Arial" w:hint="default"/>
      </w:rPr>
    </w:lvl>
    <w:lvl w:ilvl="1" w:tplc="F5626B84" w:tentative="1">
      <w:start w:val="1"/>
      <w:numFmt w:val="bullet"/>
      <w:lvlText w:val="o"/>
      <w:lvlJc w:val="left"/>
      <w:pPr>
        <w:ind w:left="1307" w:hanging="360"/>
      </w:pPr>
      <w:rPr>
        <w:rFonts w:ascii="Courier New" w:hAnsi="Courier New" w:cs="Courier New" w:hint="default"/>
      </w:rPr>
    </w:lvl>
    <w:lvl w:ilvl="2" w:tplc="35FEE2D0" w:tentative="1">
      <w:start w:val="1"/>
      <w:numFmt w:val="bullet"/>
      <w:lvlText w:val=""/>
      <w:lvlJc w:val="left"/>
      <w:pPr>
        <w:ind w:left="2027" w:hanging="360"/>
      </w:pPr>
      <w:rPr>
        <w:rFonts w:ascii="Wingdings" w:hAnsi="Wingdings" w:cs="Wingdings" w:hint="default"/>
      </w:rPr>
    </w:lvl>
    <w:lvl w:ilvl="3" w:tplc="07B02404" w:tentative="1">
      <w:start w:val="1"/>
      <w:numFmt w:val="bullet"/>
      <w:lvlText w:val=""/>
      <w:lvlJc w:val="left"/>
      <w:pPr>
        <w:ind w:left="2747" w:hanging="360"/>
      </w:pPr>
      <w:rPr>
        <w:rFonts w:ascii="Symbol" w:hAnsi="Symbol" w:cs="Symbol" w:hint="default"/>
      </w:rPr>
    </w:lvl>
    <w:lvl w:ilvl="4" w:tplc="F9306478" w:tentative="1">
      <w:start w:val="1"/>
      <w:numFmt w:val="bullet"/>
      <w:lvlText w:val="o"/>
      <w:lvlJc w:val="left"/>
      <w:pPr>
        <w:ind w:left="3467" w:hanging="360"/>
      </w:pPr>
      <w:rPr>
        <w:rFonts w:ascii="Courier New" w:hAnsi="Courier New" w:cs="Courier New" w:hint="default"/>
      </w:rPr>
    </w:lvl>
    <w:lvl w:ilvl="5" w:tplc="DDD6E074" w:tentative="1">
      <w:start w:val="1"/>
      <w:numFmt w:val="bullet"/>
      <w:lvlText w:val=""/>
      <w:lvlJc w:val="left"/>
      <w:pPr>
        <w:ind w:left="4187" w:hanging="360"/>
      </w:pPr>
      <w:rPr>
        <w:rFonts w:ascii="Wingdings" w:hAnsi="Wingdings" w:cs="Wingdings" w:hint="default"/>
      </w:rPr>
    </w:lvl>
    <w:lvl w:ilvl="6" w:tplc="76449260" w:tentative="1">
      <w:start w:val="1"/>
      <w:numFmt w:val="bullet"/>
      <w:lvlText w:val=""/>
      <w:lvlJc w:val="left"/>
      <w:pPr>
        <w:ind w:left="4907" w:hanging="360"/>
      </w:pPr>
      <w:rPr>
        <w:rFonts w:ascii="Symbol" w:hAnsi="Symbol" w:cs="Symbol" w:hint="default"/>
      </w:rPr>
    </w:lvl>
    <w:lvl w:ilvl="7" w:tplc="E33C0B8C" w:tentative="1">
      <w:start w:val="1"/>
      <w:numFmt w:val="bullet"/>
      <w:lvlText w:val="o"/>
      <w:lvlJc w:val="left"/>
      <w:pPr>
        <w:ind w:left="5627" w:hanging="360"/>
      </w:pPr>
      <w:rPr>
        <w:rFonts w:ascii="Courier New" w:hAnsi="Courier New" w:cs="Courier New" w:hint="default"/>
      </w:rPr>
    </w:lvl>
    <w:lvl w:ilvl="8" w:tplc="434E94E2" w:tentative="1">
      <w:start w:val="1"/>
      <w:numFmt w:val="bullet"/>
      <w:lvlText w:val=""/>
      <w:lvlJc w:val="left"/>
      <w:pPr>
        <w:ind w:left="6347" w:hanging="360"/>
      </w:pPr>
      <w:rPr>
        <w:rFonts w:ascii="Wingdings" w:hAnsi="Wingdings" w:cs="Wingdings" w:hint="default"/>
      </w:rPr>
    </w:lvl>
  </w:abstractNum>
  <w:abstractNum w:abstractNumId="9">
    <w:nsid w:val="17553D99"/>
    <w:multiLevelType w:val="hybridMultilevel"/>
    <w:tmpl w:val="B30082DE"/>
    <w:lvl w:ilvl="0" w:tplc="824ABF74">
      <w:start w:val="1"/>
      <w:numFmt w:val="bullet"/>
      <w:lvlText w:val=""/>
      <w:lvlJc w:val="left"/>
      <w:pPr>
        <w:ind w:left="720" w:hanging="360"/>
      </w:pPr>
      <w:rPr>
        <w:rFonts w:ascii="Symbol" w:hAnsi="Symbol" w:hint="default"/>
      </w:rPr>
    </w:lvl>
    <w:lvl w:ilvl="1" w:tplc="0C0A0019" w:tentative="1">
      <w:start w:val="1"/>
      <w:numFmt w:val="bullet"/>
      <w:lvlText w:val="o"/>
      <w:lvlJc w:val="left"/>
      <w:pPr>
        <w:ind w:left="1440" w:hanging="360"/>
      </w:pPr>
      <w:rPr>
        <w:rFonts w:ascii="Courier New" w:hAnsi="Courier New" w:cs="Courier New" w:hint="default"/>
      </w:rPr>
    </w:lvl>
    <w:lvl w:ilvl="2" w:tplc="0C0A001B" w:tentative="1">
      <w:start w:val="1"/>
      <w:numFmt w:val="bullet"/>
      <w:lvlText w:val=""/>
      <w:lvlJc w:val="left"/>
      <w:pPr>
        <w:ind w:left="2160" w:hanging="360"/>
      </w:pPr>
      <w:rPr>
        <w:rFonts w:ascii="Wingdings" w:hAnsi="Wingdings" w:hint="default"/>
      </w:rPr>
    </w:lvl>
    <w:lvl w:ilvl="3" w:tplc="0C0A000F" w:tentative="1">
      <w:start w:val="1"/>
      <w:numFmt w:val="bullet"/>
      <w:lvlText w:val=""/>
      <w:lvlJc w:val="left"/>
      <w:pPr>
        <w:ind w:left="2880" w:hanging="360"/>
      </w:pPr>
      <w:rPr>
        <w:rFonts w:ascii="Symbol" w:hAnsi="Symbol" w:hint="default"/>
      </w:rPr>
    </w:lvl>
    <w:lvl w:ilvl="4" w:tplc="0C0A0019" w:tentative="1">
      <w:start w:val="1"/>
      <w:numFmt w:val="bullet"/>
      <w:lvlText w:val="o"/>
      <w:lvlJc w:val="left"/>
      <w:pPr>
        <w:ind w:left="3600" w:hanging="360"/>
      </w:pPr>
      <w:rPr>
        <w:rFonts w:ascii="Courier New" w:hAnsi="Courier New" w:cs="Courier New" w:hint="default"/>
      </w:rPr>
    </w:lvl>
    <w:lvl w:ilvl="5" w:tplc="0C0A001B" w:tentative="1">
      <w:start w:val="1"/>
      <w:numFmt w:val="bullet"/>
      <w:lvlText w:val=""/>
      <w:lvlJc w:val="left"/>
      <w:pPr>
        <w:ind w:left="4320" w:hanging="360"/>
      </w:pPr>
      <w:rPr>
        <w:rFonts w:ascii="Wingdings" w:hAnsi="Wingdings" w:hint="default"/>
      </w:rPr>
    </w:lvl>
    <w:lvl w:ilvl="6" w:tplc="0C0A000F" w:tentative="1">
      <w:start w:val="1"/>
      <w:numFmt w:val="bullet"/>
      <w:lvlText w:val=""/>
      <w:lvlJc w:val="left"/>
      <w:pPr>
        <w:ind w:left="5040" w:hanging="360"/>
      </w:pPr>
      <w:rPr>
        <w:rFonts w:ascii="Symbol" w:hAnsi="Symbol" w:hint="default"/>
      </w:rPr>
    </w:lvl>
    <w:lvl w:ilvl="7" w:tplc="0C0A0019" w:tentative="1">
      <w:start w:val="1"/>
      <w:numFmt w:val="bullet"/>
      <w:lvlText w:val="o"/>
      <w:lvlJc w:val="left"/>
      <w:pPr>
        <w:ind w:left="5760" w:hanging="360"/>
      </w:pPr>
      <w:rPr>
        <w:rFonts w:ascii="Courier New" w:hAnsi="Courier New" w:cs="Courier New" w:hint="default"/>
      </w:rPr>
    </w:lvl>
    <w:lvl w:ilvl="8" w:tplc="0C0A001B" w:tentative="1">
      <w:start w:val="1"/>
      <w:numFmt w:val="bullet"/>
      <w:lvlText w:val=""/>
      <w:lvlJc w:val="left"/>
      <w:pPr>
        <w:ind w:left="6480" w:hanging="360"/>
      </w:pPr>
      <w:rPr>
        <w:rFonts w:ascii="Wingdings" w:hAnsi="Wingdings" w:hint="default"/>
      </w:rPr>
    </w:lvl>
  </w:abstractNum>
  <w:abstractNum w:abstractNumId="10">
    <w:nsid w:val="1F233870"/>
    <w:multiLevelType w:val="hybridMultilevel"/>
    <w:tmpl w:val="D924DF9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nsid w:val="1F343B61"/>
    <w:multiLevelType w:val="hybridMultilevel"/>
    <w:tmpl w:val="5C00C5A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nsid w:val="20E07988"/>
    <w:multiLevelType w:val="hybridMultilevel"/>
    <w:tmpl w:val="498611E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22A70846"/>
    <w:multiLevelType w:val="hybridMultilevel"/>
    <w:tmpl w:val="803291D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238D1353"/>
    <w:multiLevelType w:val="hybridMultilevel"/>
    <w:tmpl w:val="FC669F7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23923F86"/>
    <w:multiLevelType w:val="hybridMultilevel"/>
    <w:tmpl w:val="895C096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5EF7190"/>
    <w:multiLevelType w:val="hybridMultilevel"/>
    <w:tmpl w:val="8C181686"/>
    <w:lvl w:ilvl="0" w:tplc="6D4449DA">
      <w:numFmt w:val="bullet"/>
      <w:lvlText w:val=""/>
      <w:lvlJc w:val="left"/>
      <w:pPr>
        <w:ind w:left="720" w:hanging="360"/>
      </w:pPr>
      <w:rPr>
        <w:rFonts w:ascii="Symbol" w:eastAsia="Arial"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265A02D0"/>
    <w:multiLevelType w:val="hybridMultilevel"/>
    <w:tmpl w:val="F7482B5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nsid w:val="2DD335D6"/>
    <w:multiLevelType w:val="hybridMultilevel"/>
    <w:tmpl w:val="93161800"/>
    <w:lvl w:ilvl="0" w:tplc="0C0A0001">
      <w:start w:val="1"/>
      <w:numFmt w:val="bullet"/>
      <w:lvlText w:val=""/>
      <w:lvlJc w:val="left"/>
      <w:pPr>
        <w:ind w:left="1505" w:hanging="360"/>
      </w:pPr>
      <w:rPr>
        <w:rFonts w:ascii="Symbol" w:hAnsi="Symbol" w:hint="default"/>
      </w:rPr>
    </w:lvl>
    <w:lvl w:ilvl="1" w:tplc="0C0A0003" w:tentative="1">
      <w:start w:val="1"/>
      <w:numFmt w:val="bullet"/>
      <w:lvlText w:val="o"/>
      <w:lvlJc w:val="left"/>
      <w:pPr>
        <w:ind w:left="2225" w:hanging="360"/>
      </w:pPr>
      <w:rPr>
        <w:rFonts w:ascii="Courier New" w:hAnsi="Courier New" w:cs="Courier New" w:hint="default"/>
      </w:rPr>
    </w:lvl>
    <w:lvl w:ilvl="2" w:tplc="0C0A0005" w:tentative="1">
      <w:start w:val="1"/>
      <w:numFmt w:val="bullet"/>
      <w:lvlText w:val=""/>
      <w:lvlJc w:val="left"/>
      <w:pPr>
        <w:ind w:left="2945" w:hanging="360"/>
      </w:pPr>
      <w:rPr>
        <w:rFonts w:ascii="Wingdings" w:hAnsi="Wingdings" w:hint="default"/>
      </w:rPr>
    </w:lvl>
    <w:lvl w:ilvl="3" w:tplc="0C0A0001" w:tentative="1">
      <w:start w:val="1"/>
      <w:numFmt w:val="bullet"/>
      <w:lvlText w:val=""/>
      <w:lvlJc w:val="left"/>
      <w:pPr>
        <w:ind w:left="3665" w:hanging="360"/>
      </w:pPr>
      <w:rPr>
        <w:rFonts w:ascii="Symbol" w:hAnsi="Symbol" w:hint="default"/>
      </w:rPr>
    </w:lvl>
    <w:lvl w:ilvl="4" w:tplc="0C0A0003" w:tentative="1">
      <w:start w:val="1"/>
      <w:numFmt w:val="bullet"/>
      <w:lvlText w:val="o"/>
      <w:lvlJc w:val="left"/>
      <w:pPr>
        <w:ind w:left="4385" w:hanging="360"/>
      </w:pPr>
      <w:rPr>
        <w:rFonts w:ascii="Courier New" w:hAnsi="Courier New" w:cs="Courier New" w:hint="default"/>
      </w:rPr>
    </w:lvl>
    <w:lvl w:ilvl="5" w:tplc="0C0A0005" w:tentative="1">
      <w:start w:val="1"/>
      <w:numFmt w:val="bullet"/>
      <w:lvlText w:val=""/>
      <w:lvlJc w:val="left"/>
      <w:pPr>
        <w:ind w:left="5105" w:hanging="360"/>
      </w:pPr>
      <w:rPr>
        <w:rFonts w:ascii="Wingdings" w:hAnsi="Wingdings" w:hint="default"/>
      </w:rPr>
    </w:lvl>
    <w:lvl w:ilvl="6" w:tplc="0C0A0001" w:tentative="1">
      <w:start w:val="1"/>
      <w:numFmt w:val="bullet"/>
      <w:lvlText w:val=""/>
      <w:lvlJc w:val="left"/>
      <w:pPr>
        <w:ind w:left="5825" w:hanging="360"/>
      </w:pPr>
      <w:rPr>
        <w:rFonts w:ascii="Symbol" w:hAnsi="Symbol" w:hint="default"/>
      </w:rPr>
    </w:lvl>
    <w:lvl w:ilvl="7" w:tplc="0C0A0003" w:tentative="1">
      <w:start w:val="1"/>
      <w:numFmt w:val="bullet"/>
      <w:lvlText w:val="o"/>
      <w:lvlJc w:val="left"/>
      <w:pPr>
        <w:ind w:left="6545" w:hanging="360"/>
      </w:pPr>
      <w:rPr>
        <w:rFonts w:ascii="Courier New" w:hAnsi="Courier New" w:cs="Courier New" w:hint="default"/>
      </w:rPr>
    </w:lvl>
    <w:lvl w:ilvl="8" w:tplc="0C0A0005" w:tentative="1">
      <w:start w:val="1"/>
      <w:numFmt w:val="bullet"/>
      <w:lvlText w:val=""/>
      <w:lvlJc w:val="left"/>
      <w:pPr>
        <w:ind w:left="7265" w:hanging="360"/>
      </w:pPr>
      <w:rPr>
        <w:rFonts w:ascii="Wingdings" w:hAnsi="Wingdings" w:hint="default"/>
      </w:rPr>
    </w:lvl>
  </w:abstractNum>
  <w:abstractNum w:abstractNumId="19">
    <w:nsid w:val="306E3745"/>
    <w:multiLevelType w:val="hybridMultilevel"/>
    <w:tmpl w:val="412C9932"/>
    <w:lvl w:ilvl="0" w:tplc="00000002">
      <w:numFmt w:val="bullet"/>
      <w:lvlText w:val="-"/>
      <w:lvlJc w:val="left"/>
      <w:pPr>
        <w:ind w:left="720" w:hanging="360"/>
      </w:pPr>
      <w:rPr>
        <w:rFonts w:ascii="Arial" w:hAnsi="Arial" w:cs="Symbol"/>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30A72E01"/>
    <w:multiLevelType w:val="hybridMultilevel"/>
    <w:tmpl w:val="ECC6F048"/>
    <w:lvl w:ilvl="0" w:tplc="8AF08DF8">
      <w:start w:val="1"/>
      <w:numFmt w:val="decimal"/>
      <w:lvlText w:val="(%1)"/>
      <w:lvlJc w:val="left"/>
      <w:pPr>
        <w:tabs>
          <w:tab w:val="num" w:pos="1429"/>
        </w:tabs>
        <w:ind w:left="1429" w:hanging="720"/>
      </w:pPr>
      <w:rPr>
        <w:rFonts w:hint="default"/>
      </w:rPr>
    </w:lvl>
    <w:lvl w:ilvl="1" w:tplc="0C0A0019" w:tentative="1">
      <w:start w:val="1"/>
      <w:numFmt w:val="lowerLetter"/>
      <w:lvlText w:val="%2."/>
      <w:lvlJc w:val="left"/>
      <w:pPr>
        <w:tabs>
          <w:tab w:val="num" w:pos="1789"/>
        </w:tabs>
        <w:ind w:left="1789" w:hanging="360"/>
      </w:pPr>
    </w:lvl>
    <w:lvl w:ilvl="2" w:tplc="0C0A001B" w:tentative="1">
      <w:start w:val="1"/>
      <w:numFmt w:val="lowerRoman"/>
      <w:lvlText w:val="%3."/>
      <w:lvlJc w:val="right"/>
      <w:pPr>
        <w:tabs>
          <w:tab w:val="num" w:pos="2509"/>
        </w:tabs>
        <w:ind w:left="2509" w:hanging="180"/>
      </w:pPr>
    </w:lvl>
    <w:lvl w:ilvl="3" w:tplc="0C0A000F" w:tentative="1">
      <w:start w:val="1"/>
      <w:numFmt w:val="decimal"/>
      <w:lvlText w:val="%4."/>
      <w:lvlJc w:val="left"/>
      <w:pPr>
        <w:tabs>
          <w:tab w:val="num" w:pos="3229"/>
        </w:tabs>
        <w:ind w:left="3229" w:hanging="360"/>
      </w:pPr>
    </w:lvl>
    <w:lvl w:ilvl="4" w:tplc="0C0A0019" w:tentative="1">
      <w:start w:val="1"/>
      <w:numFmt w:val="lowerLetter"/>
      <w:lvlText w:val="%5."/>
      <w:lvlJc w:val="left"/>
      <w:pPr>
        <w:tabs>
          <w:tab w:val="num" w:pos="3949"/>
        </w:tabs>
        <w:ind w:left="3949" w:hanging="360"/>
      </w:pPr>
    </w:lvl>
    <w:lvl w:ilvl="5" w:tplc="0C0A001B" w:tentative="1">
      <w:start w:val="1"/>
      <w:numFmt w:val="lowerRoman"/>
      <w:lvlText w:val="%6."/>
      <w:lvlJc w:val="right"/>
      <w:pPr>
        <w:tabs>
          <w:tab w:val="num" w:pos="4669"/>
        </w:tabs>
        <w:ind w:left="4669" w:hanging="180"/>
      </w:pPr>
    </w:lvl>
    <w:lvl w:ilvl="6" w:tplc="0C0A000F" w:tentative="1">
      <w:start w:val="1"/>
      <w:numFmt w:val="decimal"/>
      <w:lvlText w:val="%7."/>
      <w:lvlJc w:val="left"/>
      <w:pPr>
        <w:tabs>
          <w:tab w:val="num" w:pos="5389"/>
        </w:tabs>
        <w:ind w:left="5389" w:hanging="360"/>
      </w:pPr>
    </w:lvl>
    <w:lvl w:ilvl="7" w:tplc="0C0A0019" w:tentative="1">
      <w:start w:val="1"/>
      <w:numFmt w:val="lowerLetter"/>
      <w:lvlText w:val="%8."/>
      <w:lvlJc w:val="left"/>
      <w:pPr>
        <w:tabs>
          <w:tab w:val="num" w:pos="6109"/>
        </w:tabs>
        <w:ind w:left="6109" w:hanging="360"/>
      </w:pPr>
    </w:lvl>
    <w:lvl w:ilvl="8" w:tplc="0C0A001B" w:tentative="1">
      <w:start w:val="1"/>
      <w:numFmt w:val="lowerRoman"/>
      <w:lvlText w:val="%9."/>
      <w:lvlJc w:val="right"/>
      <w:pPr>
        <w:tabs>
          <w:tab w:val="num" w:pos="6829"/>
        </w:tabs>
        <w:ind w:left="6829" w:hanging="180"/>
      </w:pPr>
    </w:lvl>
  </w:abstractNum>
  <w:abstractNum w:abstractNumId="21">
    <w:nsid w:val="31195587"/>
    <w:multiLevelType w:val="hybridMultilevel"/>
    <w:tmpl w:val="D076CE4E"/>
    <w:lvl w:ilvl="0" w:tplc="B7EEA80E">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nsid w:val="314A1530"/>
    <w:multiLevelType w:val="hybridMultilevel"/>
    <w:tmpl w:val="2430BA2C"/>
    <w:lvl w:ilvl="0" w:tplc="0C0A0001">
      <w:start w:val="1"/>
      <w:numFmt w:val="bullet"/>
      <w:lvlText w:val=""/>
      <w:lvlJc w:val="left"/>
      <w:pPr>
        <w:ind w:left="1976" w:hanging="360"/>
      </w:pPr>
      <w:rPr>
        <w:rFonts w:ascii="Symbol" w:hAnsi="Symbol" w:hint="default"/>
      </w:rPr>
    </w:lvl>
    <w:lvl w:ilvl="1" w:tplc="0C0A0003" w:tentative="1">
      <w:start w:val="1"/>
      <w:numFmt w:val="bullet"/>
      <w:lvlText w:val="o"/>
      <w:lvlJc w:val="left"/>
      <w:pPr>
        <w:ind w:left="2696" w:hanging="360"/>
      </w:pPr>
      <w:rPr>
        <w:rFonts w:ascii="Courier New" w:hAnsi="Courier New" w:cs="Courier New" w:hint="default"/>
      </w:rPr>
    </w:lvl>
    <w:lvl w:ilvl="2" w:tplc="0C0A0005" w:tentative="1">
      <w:start w:val="1"/>
      <w:numFmt w:val="bullet"/>
      <w:lvlText w:val=""/>
      <w:lvlJc w:val="left"/>
      <w:pPr>
        <w:ind w:left="3416" w:hanging="360"/>
      </w:pPr>
      <w:rPr>
        <w:rFonts w:ascii="Wingdings" w:hAnsi="Wingdings" w:hint="default"/>
      </w:rPr>
    </w:lvl>
    <w:lvl w:ilvl="3" w:tplc="0C0A0001" w:tentative="1">
      <w:start w:val="1"/>
      <w:numFmt w:val="bullet"/>
      <w:lvlText w:val=""/>
      <w:lvlJc w:val="left"/>
      <w:pPr>
        <w:ind w:left="4136" w:hanging="360"/>
      </w:pPr>
      <w:rPr>
        <w:rFonts w:ascii="Symbol" w:hAnsi="Symbol" w:hint="default"/>
      </w:rPr>
    </w:lvl>
    <w:lvl w:ilvl="4" w:tplc="0C0A0003" w:tentative="1">
      <w:start w:val="1"/>
      <w:numFmt w:val="bullet"/>
      <w:lvlText w:val="o"/>
      <w:lvlJc w:val="left"/>
      <w:pPr>
        <w:ind w:left="4856" w:hanging="360"/>
      </w:pPr>
      <w:rPr>
        <w:rFonts w:ascii="Courier New" w:hAnsi="Courier New" w:cs="Courier New" w:hint="default"/>
      </w:rPr>
    </w:lvl>
    <w:lvl w:ilvl="5" w:tplc="0C0A0005" w:tentative="1">
      <w:start w:val="1"/>
      <w:numFmt w:val="bullet"/>
      <w:lvlText w:val=""/>
      <w:lvlJc w:val="left"/>
      <w:pPr>
        <w:ind w:left="5576" w:hanging="360"/>
      </w:pPr>
      <w:rPr>
        <w:rFonts w:ascii="Wingdings" w:hAnsi="Wingdings" w:hint="default"/>
      </w:rPr>
    </w:lvl>
    <w:lvl w:ilvl="6" w:tplc="0C0A0001" w:tentative="1">
      <w:start w:val="1"/>
      <w:numFmt w:val="bullet"/>
      <w:lvlText w:val=""/>
      <w:lvlJc w:val="left"/>
      <w:pPr>
        <w:ind w:left="6296" w:hanging="360"/>
      </w:pPr>
      <w:rPr>
        <w:rFonts w:ascii="Symbol" w:hAnsi="Symbol" w:hint="default"/>
      </w:rPr>
    </w:lvl>
    <w:lvl w:ilvl="7" w:tplc="0C0A0003" w:tentative="1">
      <w:start w:val="1"/>
      <w:numFmt w:val="bullet"/>
      <w:lvlText w:val="o"/>
      <w:lvlJc w:val="left"/>
      <w:pPr>
        <w:ind w:left="7016" w:hanging="360"/>
      </w:pPr>
      <w:rPr>
        <w:rFonts w:ascii="Courier New" w:hAnsi="Courier New" w:cs="Courier New" w:hint="default"/>
      </w:rPr>
    </w:lvl>
    <w:lvl w:ilvl="8" w:tplc="0C0A0005" w:tentative="1">
      <w:start w:val="1"/>
      <w:numFmt w:val="bullet"/>
      <w:lvlText w:val=""/>
      <w:lvlJc w:val="left"/>
      <w:pPr>
        <w:ind w:left="7736" w:hanging="360"/>
      </w:pPr>
      <w:rPr>
        <w:rFonts w:ascii="Wingdings" w:hAnsi="Wingdings" w:hint="default"/>
      </w:rPr>
    </w:lvl>
  </w:abstractNum>
  <w:abstractNum w:abstractNumId="23">
    <w:nsid w:val="35024C60"/>
    <w:multiLevelType w:val="hybridMultilevel"/>
    <w:tmpl w:val="7826E604"/>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nsid w:val="36842D27"/>
    <w:multiLevelType w:val="hybridMultilevel"/>
    <w:tmpl w:val="D924DF9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nsid w:val="3AC71B6D"/>
    <w:multiLevelType w:val="hybridMultilevel"/>
    <w:tmpl w:val="5B008A5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nsid w:val="3E6A30F4"/>
    <w:multiLevelType w:val="hybridMultilevel"/>
    <w:tmpl w:val="33A6CE8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nsid w:val="40067784"/>
    <w:multiLevelType w:val="hybridMultilevel"/>
    <w:tmpl w:val="C784A48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nsid w:val="473A4E08"/>
    <w:multiLevelType w:val="hybridMultilevel"/>
    <w:tmpl w:val="B0B6D7D6"/>
    <w:lvl w:ilvl="0" w:tplc="CAEC3DA4">
      <w:start w:val="1"/>
      <w:numFmt w:val="bullet"/>
      <w:lvlText w:val=""/>
      <w:lvlJc w:val="left"/>
      <w:pPr>
        <w:tabs>
          <w:tab w:val="num" w:pos="731"/>
        </w:tabs>
        <w:ind w:left="731" w:hanging="360"/>
      </w:pPr>
      <w:rPr>
        <w:rFonts w:ascii="Symbol" w:hAnsi="Symbol" w:hint="default"/>
        <w:color w:val="auto"/>
        <w:sz w:val="16"/>
        <w:szCs w:val="16"/>
      </w:rPr>
    </w:lvl>
    <w:lvl w:ilvl="1" w:tplc="0C0A0003" w:tentative="1">
      <w:start w:val="1"/>
      <w:numFmt w:val="bullet"/>
      <w:lvlText w:val="o"/>
      <w:lvlJc w:val="left"/>
      <w:pPr>
        <w:tabs>
          <w:tab w:val="num" w:pos="1811"/>
        </w:tabs>
        <w:ind w:left="1811" w:hanging="360"/>
      </w:pPr>
      <w:rPr>
        <w:rFonts w:ascii="Courier New" w:hAnsi="Courier New" w:cs="Courier New" w:hint="default"/>
      </w:rPr>
    </w:lvl>
    <w:lvl w:ilvl="2" w:tplc="0C0A0005" w:tentative="1">
      <w:start w:val="1"/>
      <w:numFmt w:val="bullet"/>
      <w:lvlText w:val=""/>
      <w:lvlJc w:val="left"/>
      <w:pPr>
        <w:tabs>
          <w:tab w:val="num" w:pos="2531"/>
        </w:tabs>
        <w:ind w:left="2531" w:hanging="360"/>
      </w:pPr>
      <w:rPr>
        <w:rFonts w:ascii="Wingdings" w:hAnsi="Wingdings" w:hint="default"/>
      </w:rPr>
    </w:lvl>
    <w:lvl w:ilvl="3" w:tplc="0C0A0001" w:tentative="1">
      <w:start w:val="1"/>
      <w:numFmt w:val="bullet"/>
      <w:lvlText w:val=""/>
      <w:lvlJc w:val="left"/>
      <w:pPr>
        <w:tabs>
          <w:tab w:val="num" w:pos="3251"/>
        </w:tabs>
        <w:ind w:left="3251" w:hanging="360"/>
      </w:pPr>
      <w:rPr>
        <w:rFonts w:ascii="Symbol" w:hAnsi="Symbol" w:hint="default"/>
      </w:rPr>
    </w:lvl>
    <w:lvl w:ilvl="4" w:tplc="0C0A0003" w:tentative="1">
      <w:start w:val="1"/>
      <w:numFmt w:val="bullet"/>
      <w:lvlText w:val="o"/>
      <w:lvlJc w:val="left"/>
      <w:pPr>
        <w:tabs>
          <w:tab w:val="num" w:pos="3971"/>
        </w:tabs>
        <w:ind w:left="3971" w:hanging="360"/>
      </w:pPr>
      <w:rPr>
        <w:rFonts w:ascii="Courier New" w:hAnsi="Courier New" w:cs="Courier New" w:hint="default"/>
      </w:rPr>
    </w:lvl>
    <w:lvl w:ilvl="5" w:tplc="0C0A0005" w:tentative="1">
      <w:start w:val="1"/>
      <w:numFmt w:val="bullet"/>
      <w:lvlText w:val=""/>
      <w:lvlJc w:val="left"/>
      <w:pPr>
        <w:tabs>
          <w:tab w:val="num" w:pos="4691"/>
        </w:tabs>
        <w:ind w:left="4691" w:hanging="360"/>
      </w:pPr>
      <w:rPr>
        <w:rFonts w:ascii="Wingdings" w:hAnsi="Wingdings" w:hint="default"/>
      </w:rPr>
    </w:lvl>
    <w:lvl w:ilvl="6" w:tplc="0C0A0001" w:tentative="1">
      <w:start w:val="1"/>
      <w:numFmt w:val="bullet"/>
      <w:lvlText w:val=""/>
      <w:lvlJc w:val="left"/>
      <w:pPr>
        <w:tabs>
          <w:tab w:val="num" w:pos="5411"/>
        </w:tabs>
        <w:ind w:left="5411" w:hanging="360"/>
      </w:pPr>
      <w:rPr>
        <w:rFonts w:ascii="Symbol" w:hAnsi="Symbol" w:hint="default"/>
      </w:rPr>
    </w:lvl>
    <w:lvl w:ilvl="7" w:tplc="0C0A0003" w:tentative="1">
      <w:start w:val="1"/>
      <w:numFmt w:val="bullet"/>
      <w:lvlText w:val="o"/>
      <w:lvlJc w:val="left"/>
      <w:pPr>
        <w:tabs>
          <w:tab w:val="num" w:pos="6131"/>
        </w:tabs>
        <w:ind w:left="6131" w:hanging="360"/>
      </w:pPr>
      <w:rPr>
        <w:rFonts w:ascii="Courier New" w:hAnsi="Courier New" w:cs="Courier New" w:hint="default"/>
      </w:rPr>
    </w:lvl>
    <w:lvl w:ilvl="8" w:tplc="0C0A0005" w:tentative="1">
      <w:start w:val="1"/>
      <w:numFmt w:val="bullet"/>
      <w:lvlText w:val=""/>
      <w:lvlJc w:val="left"/>
      <w:pPr>
        <w:tabs>
          <w:tab w:val="num" w:pos="6851"/>
        </w:tabs>
        <w:ind w:left="6851" w:hanging="360"/>
      </w:pPr>
      <w:rPr>
        <w:rFonts w:ascii="Wingdings" w:hAnsi="Wingdings" w:hint="default"/>
      </w:rPr>
    </w:lvl>
  </w:abstractNum>
  <w:abstractNum w:abstractNumId="29">
    <w:nsid w:val="4CE36ADA"/>
    <w:multiLevelType w:val="hybridMultilevel"/>
    <w:tmpl w:val="A06E379C"/>
    <w:lvl w:ilvl="0" w:tplc="0C0A0001">
      <w:start w:val="1"/>
      <w:numFmt w:val="decimal"/>
      <w:lvlText w:val="%1."/>
      <w:lvlJc w:val="left"/>
      <w:pPr>
        <w:ind w:left="360" w:hanging="360"/>
      </w:pPr>
      <w:rPr>
        <w:rFonts w:hint="default"/>
        <w:color w:val="000080"/>
      </w:rPr>
    </w:lvl>
    <w:lvl w:ilvl="1" w:tplc="0C0A0003">
      <w:start w:val="1"/>
      <w:numFmt w:val="lowerLetter"/>
      <w:lvlText w:val="%2."/>
      <w:lvlJc w:val="left"/>
      <w:pPr>
        <w:ind w:left="1080" w:hanging="360"/>
      </w:pPr>
    </w:lvl>
    <w:lvl w:ilvl="2" w:tplc="0C0A0005" w:tentative="1">
      <w:start w:val="1"/>
      <w:numFmt w:val="lowerRoman"/>
      <w:lvlText w:val="%3."/>
      <w:lvlJc w:val="right"/>
      <w:pPr>
        <w:ind w:left="1800" w:hanging="180"/>
      </w:pPr>
    </w:lvl>
    <w:lvl w:ilvl="3" w:tplc="0C0A0001" w:tentative="1">
      <w:start w:val="1"/>
      <w:numFmt w:val="decimal"/>
      <w:lvlText w:val="%4."/>
      <w:lvlJc w:val="left"/>
      <w:pPr>
        <w:ind w:left="2520" w:hanging="360"/>
      </w:pPr>
    </w:lvl>
    <w:lvl w:ilvl="4" w:tplc="0C0A0003" w:tentative="1">
      <w:start w:val="1"/>
      <w:numFmt w:val="lowerLetter"/>
      <w:lvlText w:val="%5."/>
      <w:lvlJc w:val="left"/>
      <w:pPr>
        <w:ind w:left="3240" w:hanging="360"/>
      </w:pPr>
    </w:lvl>
    <w:lvl w:ilvl="5" w:tplc="0C0A0005" w:tentative="1">
      <w:start w:val="1"/>
      <w:numFmt w:val="lowerRoman"/>
      <w:lvlText w:val="%6."/>
      <w:lvlJc w:val="right"/>
      <w:pPr>
        <w:ind w:left="3960" w:hanging="180"/>
      </w:pPr>
    </w:lvl>
    <w:lvl w:ilvl="6" w:tplc="0C0A0001" w:tentative="1">
      <w:start w:val="1"/>
      <w:numFmt w:val="decimal"/>
      <w:lvlText w:val="%7."/>
      <w:lvlJc w:val="left"/>
      <w:pPr>
        <w:ind w:left="4680" w:hanging="360"/>
      </w:pPr>
    </w:lvl>
    <w:lvl w:ilvl="7" w:tplc="0C0A0003" w:tentative="1">
      <w:start w:val="1"/>
      <w:numFmt w:val="lowerLetter"/>
      <w:lvlText w:val="%8."/>
      <w:lvlJc w:val="left"/>
      <w:pPr>
        <w:ind w:left="5400" w:hanging="360"/>
      </w:pPr>
    </w:lvl>
    <w:lvl w:ilvl="8" w:tplc="0C0A0005" w:tentative="1">
      <w:start w:val="1"/>
      <w:numFmt w:val="lowerRoman"/>
      <w:lvlText w:val="%9."/>
      <w:lvlJc w:val="right"/>
      <w:pPr>
        <w:ind w:left="6120" w:hanging="180"/>
      </w:pPr>
    </w:lvl>
  </w:abstractNum>
  <w:abstractNum w:abstractNumId="30">
    <w:nsid w:val="50451ABB"/>
    <w:multiLevelType w:val="hybridMultilevel"/>
    <w:tmpl w:val="8AD205D2"/>
    <w:lvl w:ilvl="0" w:tplc="B238C2B2">
      <w:start w:val="1"/>
      <w:numFmt w:val="bullet"/>
      <w:lvlText w:val=""/>
      <w:lvlJc w:val="left"/>
      <w:pPr>
        <w:ind w:left="720" w:hanging="360"/>
      </w:pPr>
      <w:rPr>
        <w:rFonts w:ascii="Symbol" w:hAnsi="Symbol" w:hint="default"/>
      </w:rPr>
    </w:lvl>
    <w:lvl w:ilvl="1" w:tplc="0C0A0019" w:tentative="1">
      <w:start w:val="1"/>
      <w:numFmt w:val="bullet"/>
      <w:lvlText w:val="o"/>
      <w:lvlJc w:val="left"/>
      <w:pPr>
        <w:ind w:left="1440" w:hanging="360"/>
      </w:pPr>
      <w:rPr>
        <w:rFonts w:ascii="Courier New" w:hAnsi="Courier New" w:cs="Courier New" w:hint="default"/>
      </w:rPr>
    </w:lvl>
    <w:lvl w:ilvl="2" w:tplc="0C0A001B" w:tentative="1">
      <w:start w:val="1"/>
      <w:numFmt w:val="bullet"/>
      <w:lvlText w:val=""/>
      <w:lvlJc w:val="left"/>
      <w:pPr>
        <w:ind w:left="2160" w:hanging="360"/>
      </w:pPr>
      <w:rPr>
        <w:rFonts w:ascii="Wingdings" w:hAnsi="Wingdings" w:hint="default"/>
      </w:rPr>
    </w:lvl>
    <w:lvl w:ilvl="3" w:tplc="0C0A000F" w:tentative="1">
      <w:start w:val="1"/>
      <w:numFmt w:val="bullet"/>
      <w:lvlText w:val=""/>
      <w:lvlJc w:val="left"/>
      <w:pPr>
        <w:ind w:left="2880" w:hanging="360"/>
      </w:pPr>
      <w:rPr>
        <w:rFonts w:ascii="Symbol" w:hAnsi="Symbol" w:hint="default"/>
      </w:rPr>
    </w:lvl>
    <w:lvl w:ilvl="4" w:tplc="0C0A0019" w:tentative="1">
      <w:start w:val="1"/>
      <w:numFmt w:val="bullet"/>
      <w:lvlText w:val="o"/>
      <w:lvlJc w:val="left"/>
      <w:pPr>
        <w:ind w:left="3600" w:hanging="360"/>
      </w:pPr>
      <w:rPr>
        <w:rFonts w:ascii="Courier New" w:hAnsi="Courier New" w:cs="Courier New" w:hint="default"/>
      </w:rPr>
    </w:lvl>
    <w:lvl w:ilvl="5" w:tplc="0C0A001B" w:tentative="1">
      <w:start w:val="1"/>
      <w:numFmt w:val="bullet"/>
      <w:lvlText w:val=""/>
      <w:lvlJc w:val="left"/>
      <w:pPr>
        <w:ind w:left="4320" w:hanging="360"/>
      </w:pPr>
      <w:rPr>
        <w:rFonts w:ascii="Wingdings" w:hAnsi="Wingdings" w:hint="default"/>
      </w:rPr>
    </w:lvl>
    <w:lvl w:ilvl="6" w:tplc="0C0A000F" w:tentative="1">
      <w:start w:val="1"/>
      <w:numFmt w:val="bullet"/>
      <w:lvlText w:val=""/>
      <w:lvlJc w:val="left"/>
      <w:pPr>
        <w:ind w:left="5040" w:hanging="360"/>
      </w:pPr>
      <w:rPr>
        <w:rFonts w:ascii="Symbol" w:hAnsi="Symbol" w:hint="default"/>
      </w:rPr>
    </w:lvl>
    <w:lvl w:ilvl="7" w:tplc="0C0A0019" w:tentative="1">
      <w:start w:val="1"/>
      <w:numFmt w:val="bullet"/>
      <w:lvlText w:val="o"/>
      <w:lvlJc w:val="left"/>
      <w:pPr>
        <w:ind w:left="5760" w:hanging="360"/>
      </w:pPr>
      <w:rPr>
        <w:rFonts w:ascii="Courier New" w:hAnsi="Courier New" w:cs="Courier New" w:hint="default"/>
      </w:rPr>
    </w:lvl>
    <w:lvl w:ilvl="8" w:tplc="0C0A001B" w:tentative="1">
      <w:start w:val="1"/>
      <w:numFmt w:val="bullet"/>
      <w:lvlText w:val=""/>
      <w:lvlJc w:val="left"/>
      <w:pPr>
        <w:ind w:left="6480" w:hanging="360"/>
      </w:pPr>
      <w:rPr>
        <w:rFonts w:ascii="Wingdings" w:hAnsi="Wingdings" w:hint="default"/>
      </w:rPr>
    </w:lvl>
  </w:abstractNum>
  <w:abstractNum w:abstractNumId="31">
    <w:nsid w:val="519D2DB0"/>
    <w:multiLevelType w:val="hybridMultilevel"/>
    <w:tmpl w:val="C90ED46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nsid w:val="56CE7284"/>
    <w:multiLevelType w:val="hybridMultilevel"/>
    <w:tmpl w:val="2730A7B0"/>
    <w:lvl w:ilvl="0" w:tplc="0C0A0001">
      <w:start w:val="1"/>
      <w:numFmt w:val="bullet"/>
      <w:lvlText w:val=""/>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nsid w:val="5B55199D"/>
    <w:multiLevelType w:val="hybridMultilevel"/>
    <w:tmpl w:val="75CC89C6"/>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nsid w:val="5CB67ED0"/>
    <w:multiLevelType w:val="hybridMultilevel"/>
    <w:tmpl w:val="FB8CC954"/>
    <w:lvl w:ilvl="0" w:tplc="16D2D7F8">
      <w:start w:val="3"/>
      <w:numFmt w:val="lowerRoman"/>
      <w:lvlText w:val="%1."/>
      <w:lvlJc w:val="left"/>
      <w:pPr>
        <w:ind w:left="1004" w:hanging="720"/>
      </w:pPr>
      <w:rPr>
        <w:rFonts w:hint="default"/>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35">
    <w:nsid w:val="60C47E06"/>
    <w:multiLevelType w:val="hybridMultilevel"/>
    <w:tmpl w:val="B1F0C7DC"/>
    <w:lvl w:ilvl="0" w:tplc="215AC42E">
      <w:start w:val="201"/>
      <w:numFmt w:val="bullet"/>
      <w:lvlText w:val="-"/>
      <w:lvlJc w:val="left"/>
      <w:pPr>
        <w:tabs>
          <w:tab w:val="num" w:pos="1065"/>
        </w:tabs>
        <w:ind w:left="1065" w:hanging="705"/>
      </w:pPr>
      <w:rPr>
        <w:rFonts w:ascii="Arial" w:eastAsia="Times New Roman" w:hAnsi="Arial" w:cs="Aria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6">
    <w:nsid w:val="6135711A"/>
    <w:multiLevelType w:val="hybridMultilevel"/>
    <w:tmpl w:val="7B04D1DA"/>
    <w:lvl w:ilvl="0" w:tplc="7AB04B82">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7">
    <w:nsid w:val="61A3074B"/>
    <w:multiLevelType w:val="hybridMultilevel"/>
    <w:tmpl w:val="F47CDEE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nsid w:val="6D076663"/>
    <w:multiLevelType w:val="hybridMultilevel"/>
    <w:tmpl w:val="6F76800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nsid w:val="6F0902E5"/>
    <w:multiLevelType w:val="hybridMultilevel"/>
    <w:tmpl w:val="5BCAC336"/>
    <w:lvl w:ilvl="0" w:tplc="0C0A0001">
      <w:start w:val="1"/>
      <w:numFmt w:val="bullet"/>
      <w:lvlText w:val=""/>
      <w:lvlJc w:val="left"/>
      <w:pPr>
        <w:ind w:left="360" w:hanging="360"/>
      </w:pPr>
      <w:rPr>
        <w:rFonts w:ascii="Symbol" w:hAnsi="Symbol"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0">
    <w:nsid w:val="70832E68"/>
    <w:multiLevelType w:val="hybridMultilevel"/>
    <w:tmpl w:val="333C056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nsid w:val="74B93380"/>
    <w:multiLevelType w:val="hybridMultilevel"/>
    <w:tmpl w:val="3A74DDD0"/>
    <w:lvl w:ilvl="0" w:tplc="00A2ABCC">
      <w:start w:val="19"/>
      <w:numFmt w:val="bullet"/>
      <w:lvlText w:val=""/>
      <w:lvlJc w:val="left"/>
      <w:pPr>
        <w:ind w:left="720" w:hanging="360"/>
      </w:pPr>
      <w:rPr>
        <w:rFonts w:ascii="Symbol" w:eastAsia="Times New Roman"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
    <w:nsid w:val="74F65CAB"/>
    <w:multiLevelType w:val="hybridMultilevel"/>
    <w:tmpl w:val="DFDE03EE"/>
    <w:lvl w:ilvl="0" w:tplc="0C0A0001">
      <w:numFmt w:val="bullet"/>
      <w:lvlText w:val=""/>
      <w:lvlJc w:val="left"/>
      <w:pPr>
        <w:tabs>
          <w:tab w:val="num" w:pos="360"/>
        </w:tabs>
        <w:ind w:left="360" w:hanging="360"/>
      </w:pPr>
      <w:rPr>
        <w:rFonts w:ascii="Wingdings 3" w:hAnsi="Wingdings 3" w:cs="Wingdings 3" w:hint="default"/>
        <w:color w:val="1F497D"/>
        <w:sz w:val="20"/>
        <w:szCs w:val="20"/>
      </w:rPr>
    </w:lvl>
    <w:lvl w:ilvl="1" w:tplc="0C0A0003" w:tentative="1">
      <w:start w:val="1"/>
      <w:numFmt w:val="bullet"/>
      <w:lvlText w:val="o"/>
      <w:lvlJc w:val="left"/>
      <w:pPr>
        <w:tabs>
          <w:tab w:val="num" w:pos="1437"/>
        </w:tabs>
        <w:ind w:left="1437" w:hanging="360"/>
      </w:pPr>
      <w:rPr>
        <w:rFonts w:ascii="Courier New" w:hAnsi="Courier New" w:cs="Courier New" w:hint="default"/>
      </w:rPr>
    </w:lvl>
    <w:lvl w:ilvl="2" w:tplc="0C0A0005" w:tentative="1">
      <w:start w:val="1"/>
      <w:numFmt w:val="bullet"/>
      <w:lvlText w:val=""/>
      <w:lvlJc w:val="left"/>
      <w:pPr>
        <w:tabs>
          <w:tab w:val="num" w:pos="2157"/>
        </w:tabs>
        <w:ind w:left="2157" w:hanging="360"/>
      </w:pPr>
      <w:rPr>
        <w:rFonts w:ascii="Wingdings" w:hAnsi="Wingdings" w:cs="Wingdings" w:hint="default"/>
      </w:rPr>
    </w:lvl>
    <w:lvl w:ilvl="3" w:tplc="0C0A0001" w:tentative="1">
      <w:start w:val="1"/>
      <w:numFmt w:val="bullet"/>
      <w:lvlText w:val=""/>
      <w:lvlJc w:val="left"/>
      <w:pPr>
        <w:tabs>
          <w:tab w:val="num" w:pos="2877"/>
        </w:tabs>
        <w:ind w:left="2877" w:hanging="360"/>
      </w:pPr>
      <w:rPr>
        <w:rFonts w:ascii="Symbol" w:hAnsi="Symbol" w:cs="Symbol" w:hint="default"/>
      </w:rPr>
    </w:lvl>
    <w:lvl w:ilvl="4" w:tplc="0C0A0003" w:tentative="1">
      <w:start w:val="1"/>
      <w:numFmt w:val="bullet"/>
      <w:lvlText w:val="o"/>
      <w:lvlJc w:val="left"/>
      <w:pPr>
        <w:tabs>
          <w:tab w:val="num" w:pos="3597"/>
        </w:tabs>
        <w:ind w:left="3597" w:hanging="360"/>
      </w:pPr>
      <w:rPr>
        <w:rFonts w:ascii="Courier New" w:hAnsi="Courier New" w:cs="Courier New" w:hint="default"/>
      </w:rPr>
    </w:lvl>
    <w:lvl w:ilvl="5" w:tplc="0C0A0005" w:tentative="1">
      <w:start w:val="1"/>
      <w:numFmt w:val="bullet"/>
      <w:lvlText w:val=""/>
      <w:lvlJc w:val="left"/>
      <w:pPr>
        <w:tabs>
          <w:tab w:val="num" w:pos="4317"/>
        </w:tabs>
        <w:ind w:left="4317" w:hanging="360"/>
      </w:pPr>
      <w:rPr>
        <w:rFonts w:ascii="Wingdings" w:hAnsi="Wingdings" w:cs="Wingdings" w:hint="default"/>
      </w:rPr>
    </w:lvl>
    <w:lvl w:ilvl="6" w:tplc="0C0A0001" w:tentative="1">
      <w:start w:val="1"/>
      <w:numFmt w:val="bullet"/>
      <w:lvlText w:val=""/>
      <w:lvlJc w:val="left"/>
      <w:pPr>
        <w:tabs>
          <w:tab w:val="num" w:pos="5037"/>
        </w:tabs>
        <w:ind w:left="5037" w:hanging="360"/>
      </w:pPr>
      <w:rPr>
        <w:rFonts w:ascii="Symbol" w:hAnsi="Symbol" w:cs="Symbol" w:hint="default"/>
      </w:rPr>
    </w:lvl>
    <w:lvl w:ilvl="7" w:tplc="0C0A0003" w:tentative="1">
      <w:start w:val="1"/>
      <w:numFmt w:val="bullet"/>
      <w:lvlText w:val="o"/>
      <w:lvlJc w:val="left"/>
      <w:pPr>
        <w:tabs>
          <w:tab w:val="num" w:pos="5757"/>
        </w:tabs>
        <w:ind w:left="5757" w:hanging="360"/>
      </w:pPr>
      <w:rPr>
        <w:rFonts w:ascii="Courier New" w:hAnsi="Courier New" w:cs="Courier New" w:hint="default"/>
      </w:rPr>
    </w:lvl>
    <w:lvl w:ilvl="8" w:tplc="0C0A0005" w:tentative="1">
      <w:start w:val="1"/>
      <w:numFmt w:val="bullet"/>
      <w:lvlText w:val=""/>
      <w:lvlJc w:val="left"/>
      <w:pPr>
        <w:tabs>
          <w:tab w:val="num" w:pos="6477"/>
        </w:tabs>
        <w:ind w:left="6477" w:hanging="360"/>
      </w:pPr>
      <w:rPr>
        <w:rFonts w:ascii="Wingdings" w:hAnsi="Wingdings" w:cs="Wingdings" w:hint="default"/>
      </w:rPr>
    </w:lvl>
  </w:abstractNum>
  <w:abstractNum w:abstractNumId="43">
    <w:nsid w:val="7B38778D"/>
    <w:multiLevelType w:val="hybridMultilevel"/>
    <w:tmpl w:val="667E5D7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nsid w:val="7D2C578E"/>
    <w:multiLevelType w:val="hybridMultilevel"/>
    <w:tmpl w:val="BEBA5AC4"/>
    <w:lvl w:ilvl="0" w:tplc="5A5E5584">
      <w:numFmt w:val="bullet"/>
      <w:lvlText w:val="-"/>
      <w:lvlJc w:val="left"/>
      <w:pPr>
        <w:tabs>
          <w:tab w:val="num" w:pos="720"/>
        </w:tabs>
        <w:ind w:left="720" w:hanging="360"/>
      </w:pPr>
      <w:rPr>
        <w:rFonts w:ascii="Tahoma" w:eastAsia="Times New Roman" w:hAnsi="Tahoma" w:cs="Tahoma"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5">
    <w:nsid w:val="7D376C85"/>
    <w:multiLevelType w:val="hybridMultilevel"/>
    <w:tmpl w:val="FDE6FFDA"/>
    <w:lvl w:ilvl="0" w:tplc="08EC9FCC">
      <w:start w:val="1"/>
      <w:numFmt w:val="bullet"/>
      <w:lvlText w:val=""/>
      <w:lvlJc w:val="left"/>
      <w:pPr>
        <w:ind w:left="1520" w:hanging="360"/>
      </w:pPr>
      <w:rPr>
        <w:rFonts w:ascii="Symbol" w:hAnsi="Symbol" w:hint="default"/>
      </w:rPr>
    </w:lvl>
    <w:lvl w:ilvl="1" w:tplc="0C0A0003" w:tentative="1">
      <w:start w:val="1"/>
      <w:numFmt w:val="bullet"/>
      <w:lvlText w:val="o"/>
      <w:lvlJc w:val="left"/>
      <w:pPr>
        <w:ind w:left="2240" w:hanging="360"/>
      </w:pPr>
      <w:rPr>
        <w:rFonts w:ascii="Courier New" w:hAnsi="Courier New" w:cs="Courier New" w:hint="default"/>
      </w:rPr>
    </w:lvl>
    <w:lvl w:ilvl="2" w:tplc="0C0A0005" w:tentative="1">
      <w:start w:val="1"/>
      <w:numFmt w:val="bullet"/>
      <w:lvlText w:val=""/>
      <w:lvlJc w:val="left"/>
      <w:pPr>
        <w:ind w:left="2960" w:hanging="360"/>
      </w:pPr>
      <w:rPr>
        <w:rFonts w:ascii="Wingdings" w:hAnsi="Wingdings" w:hint="default"/>
      </w:rPr>
    </w:lvl>
    <w:lvl w:ilvl="3" w:tplc="0C0A0001" w:tentative="1">
      <w:start w:val="1"/>
      <w:numFmt w:val="bullet"/>
      <w:lvlText w:val=""/>
      <w:lvlJc w:val="left"/>
      <w:pPr>
        <w:ind w:left="3680" w:hanging="360"/>
      </w:pPr>
      <w:rPr>
        <w:rFonts w:ascii="Symbol" w:hAnsi="Symbol" w:hint="default"/>
      </w:rPr>
    </w:lvl>
    <w:lvl w:ilvl="4" w:tplc="0C0A0003" w:tentative="1">
      <w:start w:val="1"/>
      <w:numFmt w:val="bullet"/>
      <w:lvlText w:val="o"/>
      <w:lvlJc w:val="left"/>
      <w:pPr>
        <w:ind w:left="4400" w:hanging="360"/>
      </w:pPr>
      <w:rPr>
        <w:rFonts w:ascii="Courier New" w:hAnsi="Courier New" w:cs="Courier New" w:hint="default"/>
      </w:rPr>
    </w:lvl>
    <w:lvl w:ilvl="5" w:tplc="0C0A0005" w:tentative="1">
      <w:start w:val="1"/>
      <w:numFmt w:val="bullet"/>
      <w:lvlText w:val=""/>
      <w:lvlJc w:val="left"/>
      <w:pPr>
        <w:ind w:left="5120" w:hanging="360"/>
      </w:pPr>
      <w:rPr>
        <w:rFonts w:ascii="Wingdings" w:hAnsi="Wingdings" w:hint="default"/>
      </w:rPr>
    </w:lvl>
    <w:lvl w:ilvl="6" w:tplc="0C0A0001" w:tentative="1">
      <w:start w:val="1"/>
      <w:numFmt w:val="bullet"/>
      <w:lvlText w:val=""/>
      <w:lvlJc w:val="left"/>
      <w:pPr>
        <w:ind w:left="5840" w:hanging="360"/>
      </w:pPr>
      <w:rPr>
        <w:rFonts w:ascii="Symbol" w:hAnsi="Symbol" w:hint="default"/>
      </w:rPr>
    </w:lvl>
    <w:lvl w:ilvl="7" w:tplc="0C0A0003" w:tentative="1">
      <w:start w:val="1"/>
      <w:numFmt w:val="bullet"/>
      <w:lvlText w:val="o"/>
      <w:lvlJc w:val="left"/>
      <w:pPr>
        <w:ind w:left="6560" w:hanging="360"/>
      </w:pPr>
      <w:rPr>
        <w:rFonts w:ascii="Courier New" w:hAnsi="Courier New" w:cs="Courier New" w:hint="default"/>
      </w:rPr>
    </w:lvl>
    <w:lvl w:ilvl="8" w:tplc="0C0A0005" w:tentative="1">
      <w:start w:val="1"/>
      <w:numFmt w:val="bullet"/>
      <w:lvlText w:val=""/>
      <w:lvlJc w:val="left"/>
      <w:pPr>
        <w:ind w:left="7280" w:hanging="360"/>
      </w:pPr>
      <w:rPr>
        <w:rFonts w:ascii="Wingdings" w:hAnsi="Wingdings" w:hint="default"/>
      </w:rPr>
    </w:lvl>
  </w:abstractNum>
  <w:abstractNum w:abstractNumId="46">
    <w:nsid w:val="7F1E6B34"/>
    <w:multiLevelType w:val="hybridMultilevel"/>
    <w:tmpl w:val="F9D2749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0"/>
    <w:lvlOverride w:ilvl="0">
      <w:startOverride w:val="5"/>
      <w:lvl w:ilvl="0">
        <w:start w:val="5"/>
        <w:numFmt w:val="decimal"/>
        <w:pStyle w:val="Rpidoa"/>
        <w:lvlText w:val="%1)"/>
        <w:lvlJc w:val="left"/>
      </w:lvl>
    </w:lvlOverride>
  </w:num>
  <w:num w:numId="2">
    <w:abstractNumId w:val="7"/>
  </w:num>
  <w:num w:numId="3">
    <w:abstractNumId w:val="42"/>
  </w:num>
  <w:num w:numId="4">
    <w:abstractNumId w:val="8"/>
  </w:num>
  <w:num w:numId="5">
    <w:abstractNumId w:val="44"/>
  </w:num>
  <w:num w:numId="6">
    <w:abstractNumId w:val="36"/>
  </w:num>
  <w:num w:numId="7">
    <w:abstractNumId w:val="4"/>
  </w:num>
  <w:num w:numId="8">
    <w:abstractNumId w:val="9"/>
  </w:num>
  <w:num w:numId="9">
    <w:abstractNumId w:val="5"/>
  </w:num>
  <w:num w:numId="10">
    <w:abstractNumId w:val="26"/>
  </w:num>
  <w:num w:numId="11">
    <w:abstractNumId w:val="38"/>
  </w:num>
  <w:num w:numId="12">
    <w:abstractNumId w:val="32"/>
  </w:num>
  <w:num w:numId="13">
    <w:abstractNumId w:val="14"/>
  </w:num>
  <w:num w:numId="14">
    <w:abstractNumId w:val="37"/>
  </w:num>
  <w:num w:numId="15">
    <w:abstractNumId w:val="25"/>
  </w:num>
  <w:num w:numId="16">
    <w:abstractNumId w:val="12"/>
  </w:num>
  <w:num w:numId="17">
    <w:abstractNumId w:val="13"/>
  </w:num>
  <w:num w:numId="18">
    <w:abstractNumId w:val="27"/>
  </w:num>
  <w:num w:numId="19">
    <w:abstractNumId w:val="30"/>
  </w:num>
  <w:num w:numId="20">
    <w:abstractNumId w:val="40"/>
  </w:num>
  <w:num w:numId="21">
    <w:abstractNumId w:val="15"/>
  </w:num>
  <w:num w:numId="22">
    <w:abstractNumId w:val="29"/>
  </w:num>
  <w:num w:numId="23">
    <w:abstractNumId w:val="6"/>
  </w:num>
  <w:num w:numId="24">
    <w:abstractNumId w:val="45"/>
  </w:num>
  <w:num w:numId="25">
    <w:abstractNumId w:val="39"/>
  </w:num>
  <w:num w:numId="26">
    <w:abstractNumId w:val="2"/>
  </w:num>
  <w:num w:numId="27">
    <w:abstractNumId w:val="3"/>
  </w:num>
  <w:num w:numId="28">
    <w:abstractNumId w:val="1"/>
  </w:num>
  <w:num w:numId="29">
    <w:abstractNumId w:val="19"/>
  </w:num>
  <w:num w:numId="30">
    <w:abstractNumId w:val="43"/>
  </w:num>
  <w:num w:numId="31">
    <w:abstractNumId w:val="20"/>
  </w:num>
  <w:num w:numId="32">
    <w:abstractNumId w:val="16"/>
  </w:num>
  <w:num w:numId="33">
    <w:abstractNumId w:val="41"/>
  </w:num>
  <w:num w:numId="34">
    <w:abstractNumId w:val="18"/>
  </w:num>
  <w:num w:numId="35">
    <w:abstractNumId w:val="33"/>
  </w:num>
  <w:num w:numId="36">
    <w:abstractNumId w:val="23"/>
  </w:num>
  <w:num w:numId="37">
    <w:abstractNumId w:val="46"/>
  </w:num>
  <w:num w:numId="38">
    <w:abstractNumId w:val="17"/>
  </w:num>
  <w:num w:numId="39">
    <w:abstractNumId w:val="10"/>
  </w:num>
  <w:num w:numId="40">
    <w:abstractNumId w:val="24"/>
  </w:num>
  <w:num w:numId="41">
    <w:abstractNumId w:val="21"/>
  </w:num>
  <w:num w:numId="42">
    <w:abstractNumId w:val="22"/>
  </w:num>
  <w:num w:numId="43">
    <w:abstractNumId w:val="31"/>
  </w:num>
  <w:num w:numId="44">
    <w:abstractNumId w:val="11"/>
  </w:num>
  <w:num w:numId="45">
    <w:abstractNumId w:val="35"/>
  </w:num>
  <w:num w:numId="46">
    <w:abstractNumId w:val="34"/>
  </w:num>
  <w:num w:numId="47">
    <w:abstractNumId w:val="28"/>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mirrorMargins/>
  <w:defaultTabStop w:val="708"/>
  <w:hyphenationZone w:val="425"/>
  <w:evenAndOddHeaders/>
  <w:characterSpacingControl w:val="doNotCompress"/>
  <w:doNotValidateAgainstSchema/>
  <w:doNotDemarcateInvalidXml/>
  <w:hdrShapeDefaults>
    <o:shapedefaults v:ext="edit" spidmax="12289"/>
  </w:hdrShapeDefaults>
  <w:footnotePr>
    <w:footnote w:id="-1"/>
    <w:footnote w:id="0"/>
  </w:footnotePr>
  <w:endnotePr>
    <w:endnote w:id="-1"/>
    <w:endnote w:id="0"/>
  </w:endnotePr>
  <w:compat>
    <w:compatSetting w:name="compatibilityMode" w:uri="http://schemas.microsoft.com/office/word" w:val="12"/>
  </w:compat>
  <w:rsids>
    <w:rsidRoot w:val="00A20D15"/>
    <w:rsid w:val="00000699"/>
    <w:rsid w:val="00000976"/>
    <w:rsid w:val="00006FDA"/>
    <w:rsid w:val="00012265"/>
    <w:rsid w:val="00013D42"/>
    <w:rsid w:val="00014EE4"/>
    <w:rsid w:val="00014F65"/>
    <w:rsid w:val="00015A90"/>
    <w:rsid w:val="00022DE2"/>
    <w:rsid w:val="0002497C"/>
    <w:rsid w:val="00026C74"/>
    <w:rsid w:val="0003304D"/>
    <w:rsid w:val="00033DC0"/>
    <w:rsid w:val="00033E92"/>
    <w:rsid w:val="000421DF"/>
    <w:rsid w:val="0004299E"/>
    <w:rsid w:val="0004385A"/>
    <w:rsid w:val="000517CD"/>
    <w:rsid w:val="0005244B"/>
    <w:rsid w:val="00054584"/>
    <w:rsid w:val="00055042"/>
    <w:rsid w:val="0005725A"/>
    <w:rsid w:val="00057D59"/>
    <w:rsid w:val="0006105C"/>
    <w:rsid w:val="00063023"/>
    <w:rsid w:val="00067A2F"/>
    <w:rsid w:val="000728A0"/>
    <w:rsid w:val="0007294C"/>
    <w:rsid w:val="00072BEE"/>
    <w:rsid w:val="00072E9F"/>
    <w:rsid w:val="0007468B"/>
    <w:rsid w:val="00076EE0"/>
    <w:rsid w:val="00080A76"/>
    <w:rsid w:val="00081F6A"/>
    <w:rsid w:val="000851F8"/>
    <w:rsid w:val="000871B4"/>
    <w:rsid w:val="00087682"/>
    <w:rsid w:val="000876CF"/>
    <w:rsid w:val="00092063"/>
    <w:rsid w:val="000921D4"/>
    <w:rsid w:val="00093469"/>
    <w:rsid w:val="0009559B"/>
    <w:rsid w:val="000A0DCE"/>
    <w:rsid w:val="000A10CA"/>
    <w:rsid w:val="000A38D4"/>
    <w:rsid w:val="000A54E7"/>
    <w:rsid w:val="000A6A3A"/>
    <w:rsid w:val="000B1BC0"/>
    <w:rsid w:val="000B2424"/>
    <w:rsid w:val="000B3378"/>
    <w:rsid w:val="000B6AD4"/>
    <w:rsid w:val="000C43BF"/>
    <w:rsid w:val="000C760D"/>
    <w:rsid w:val="000D1079"/>
    <w:rsid w:val="000D5775"/>
    <w:rsid w:val="000D60B7"/>
    <w:rsid w:val="000D7518"/>
    <w:rsid w:val="000E1CA6"/>
    <w:rsid w:val="000E2425"/>
    <w:rsid w:val="000E2C51"/>
    <w:rsid w:val="000E4425"/>
    <w:rsid w:val="000E61CE"/>
    <w:rsid w:val="000F14CD"/>
    <w:rsid w:val="000F2424"/>
    <w:rsid w:val="000F45FE"/>
    <w:rsid w:val="000F4EAC"/>
    <w:rsid w:val="000F53D2"/>
    <w:rsid w:val="000F54B3"/>
    <w:rsid w:val="000F7682"/>
    <w:rsid w:val="0010095A"/>
    <w:rsid w:val="001012B9"/>
    <w:rsid w:val="0010167F"/>
    <w:rsid w:val="00104A88"/>
    <w:rsid w:val="00105C69"/>
    <w:rsid w:val="00106D13"/>
    <w:rsid w:val="00111B46"/>
    <w:rsid w:val="00115016"/>
    <w:rsid w:val="00117758"/>
    <w:rsid w:val="00117920"/>
    <w:rsid w:val="00121B29"/>
    <w:rsid w:val="001225C2"/>
    <w:rsid w:val="00122EC4"/>
    <w:rsid w:val="001312AB"/>
    <w:rsid w:val="0013184B"/>
    <w:rsid w:val="00135499"/>
    <w:rsid w:val="001361DF"/>
    <w:rsid w:val="00143A7C"/>
    <w:rsid w:val="001451B1"/>
    <w:rsid w:val="001458EC"/>
    <w:rsid w:val="00153402"/>
    <w:rsid w:val="001555A3"/>
    <w:rsid w:val="0015786E"/>
    <w:rsid w:val="00160240"/>
    <w:rsid w:val="00160A93"/>
    <w:rsid w:val="00162189"/>
    <w:rsid w:val="00170611"/>
    <w:rsid w:val="001803D1"/>
    <w:rsid w:val="00184EDB"/>
    <w:rsid w:val="00186A54"/>
    <w:rsid w:val="00186D83"/>
    <w:rsid w:val="00191B4F"/>
    <w:rsid w:val="001927FE"/>
    <w:rsid w:val="00195911"/>
    <w:rsid w:val="00195956"/>
    <w:rsid w:val="00195BE7"/>
    <w:rsid w:val="001A3905"/>
    <w:rsid w:val="001A5377"/>
    <w:rsid w:val="001B1E94"/>
    <w:rsid w:val="001C0017"/>
    <w:rsid w:val="001C4C06"/>
    <w:rsid w:val="001C63DE"/>
    <w:rsid w:val="001C7531"/>
    <w:rsid w:val="001C7C5F"/>
    <w:rsid w:val="001D19B5"/>
    <w:rsid w:val="001D211B"/>
    <w:rsid w:val="001D4B9B"/>
    <w:rsid w:val="001E0ABD"/>
    <w:rsid w:val="001E117C"/>
    <w:rsid w:val="001E1CC0"/>
    <w:rsid w:val="001E2F6E"/>
    <w:rsid w:val="001E5A78"/>
    <w:rsid w:val="001E6B2E"/>
    <w:rsid w:val="001E7377"/>
    <w:rsid w:val="001F0006"/>
    <w:rsid w:val="001F061A"/>
    <w:rsid w:val="001F256F"/>
    <w:rsid w:val="001F37AD"/>
    <w:rsid w:val="001F4060"/>
    <w:rsid w:val="00203C7A"/>
    <w:rsid w:val="002041E4"/>
    <w:rsid w:val="0020451A"/>
    <w:rsid w:val="00204766"/>
    <w:rsid w:val="00211262"/>
    <w:rsid w:val="00212888"/>
    <w:rsid w:val="00213EDE"/>
    <w:rsid w:val="0021755C"/>
    <w:rsid w:val="00220A21"/>
    <w:rsid w:val="00220D57"/>
    <w:rsid w:val="00227EEF"/>
    <w:rsid w:val="002300FE"/>
    <w:rsid w:val="00230CF2"/>
    <w:rsid w:val="00233942"/>
    <w:rsid w:val="00236673"/>
    <w:rsid w:val="002434B6"/>
    <w:rsid w:val="00243E29"/>
    <w:rsid w:val="0024452D"/>
    <w:rsid w:val="00247387"/>
    <w:rsid w:val="00251AEB"/>
    <w:rsid w:val="0025448F"/>
    <w:rsid w:val="00256EC7"/>
    <w:rsid w:val="0025751A"/>
    <w:rsid w:val="00261151"/>
    <w:rsid w:val="0026242C"/>
    <w:rsid w:val="002625AC"/>
    <w:rsid w:val="0026342A"/>
    <w:rsid w:val="0026761A"/>
    <w:rsid w:val="00270E74"/>
    <w:rsid w:val="00271533"/>
    <w:rsid w:val="00271AF3"/>
    <w:rsid w:val="0027294D"/>
    <w:rsid w:val="002739E8"/>
    <w:rsid w:val="0028349C"/>
    <w:rsid w:val="0028529A"/>
    <w:rsid w:val="00286EE1"/>
    <w:rsid w:val="002872BD"/>
    <w:rsid w:val="00291DA6"/>
    <w:rsid w:val="002941A3"/>
    <w:rsid w:val="002947BB"/>
    <w:rsid w:val="002978FB"/>
    <w:rsid w:val="002A5279"/>
    <w:rsid w:val="002A76B9"/>
    <w:rsid w:val="002B216A"/>
    <w:rsid w:val="002B6FE4"/>
    <w:rsid w:val="002B7F1E"/>
    <w:rsid w:val="002C03AE"/>
    <w:rsid w:val="002C06B9"/>
    <w:rsid w:val="002C08BC"/>
    <w:rsid w:val="002C6137"/>
    <w:rsid w:val="002C74D9"/>
    <w:rsid w:val="002D255F"/>
    <w:rsid w:val="002D2B7A"/>
    <w:rsid w:val="002D4761"/>
    <w:rsid w:val="002E1C80"/>
    <w:rsid w:val="002F0ED1"/>
    <w:rsid w:val="002F18A0"/>
    <w:rsid w:val="002F215F"/>
    <w:rsid w:val="002F37AE"/>
    <w:rsid w:val="002F79F3"/>
    <w:rsid w:val="002F7D59"/>
    <w:rsid w:val="00300BEC"/>
    <w:rsid w:val="0030349F"/>
    <w:rsid w:val="0030454A"/>
    <w:rsid w:val="00306E69"/>
    <w:rsid w:val="003119D1"/>
    <w:rsid w:val="00313B37"/>
    <w:rsid w:val="00314939"/>
    <w:rsid w:val="00322B4F"/>
    <w:rsid w:val="00325AF8"/>
    <w:rsid w:val="00325D74"/>
    <w:rsid w:val="003303CA"/>
    <w:rsid w:val="003308A6"/>
    <w:rsid w:val="00335AD9"/>
    <w:rsid w:val="0034053A"/>
    <w:rsid w:val="00342881"/>
    <w:rsid w:val="003433AC"/>
    <w:rsid w:val="00350688"/>
    <w:rsid w:val="00351F89"/>
    <w:rsid w:val="00354E9D"/>
    <w:rsid w:val="0035503D"/>
    <w:rsid w:val="00355F1F"/>
    <w:rsid w:val="00357F83"/>
    <w:rsid w:val="00362B74"/>
    <w:rsid w:val="00362E38"/>
    <w:rsid w:val="00363090"/>
    <w:rsid w:val="0036327B"/>
    <w:rsid w:val="0036752D"/>
    <w:rsid w:val="00367DEF"/>
    <w:rsid w:val="00370044"/>
    <w:rsid w:val="00371E34"/>
    <w:rsid w:val="00375296"/>
    <w:rsid w:val="0037558C"/>
    <w:rsid w:val="00375F46"/>
    <w:rsid w:val="003814D3"/>
    <w:rsid w:val="003911B1"/>
    <w:rsid w:val="00391E74"/>
    <w:rsid w:val="003938F5"/>
    <w:rsid w:val="00396118"/>
    <w:rsid w:val="003966E4"/>
    <w:rsid w:val="0039720D"/>
    <w:rsid w:val="0039728D"/>
    <w:rsid w:val="003A1E23"/>
    <w:rsid w:val="003B06DE"/>
    <w:rsid w:val="003B1496"/>
    <w:rsid w:val="003B1767"/>
    <w:rsid w:val="003B5717"/>
    <w:rsid w:val="003B644B"/>
    <w:rsid w:val="003B6D65"/>
    <w:rsid w:val="003B71A3"/>
    <w:rsid w:val="003C25D7"/>
    <w:rsid w:val="003C4A9E"/>
    <w:rsid w:val="003C52CD"/>
    <w:rsid w:val="003C6341"/>
    <w:rsid w:val="003C641A"/>
    <w:rsid w:val="003C78F7"/>
    <w:rsid w:val="003D4A0C"/>
    <w:rsid w:val="003D568A"/>
    <w:rsid w:val="003D6875"/>
    <w:rsid w:val="003D7AAF"/>
    <w:rsid w:val="003E0491"/>
    <w:rsid w:val="003E19C8"/>
    <w:rsid w:val="003E216D"/>
    <w:rsid w:val="003E274B"/>
    <w:rsid w:val="003E506C"/>
    <w:rsid w:val="003E544C"/>
    <w:rsid w:val="003F0DC4"/>
    <w:rsid w:val="003F1C44"/>
    <w:rsid w:val="003F345F"/>
    <w:rsid w:val="003F5903"/>
    <w:rsid w:val="004032DC"/>
    <w:rsid w:val="004041E3"/>
    <w:rsid w:val="0040452D"/>
    <w:rsid w:val="0041060A"/>
    <w:rsid w:val="00410929"/>
    <w:rsid w:val="0041153D"/>
    <w:rsid w:val="00415230"/>
    <w:rsid w:val="00416D23"/>
    <w:rsid w:val="00422CBC"/>
    <w:rsid w:val="00422EC3"/>
    <w:rsid w:val="00424057"/>
    <w:rsid w:val="0043092C"/>
    <w:rsid w:val="00431318"/>
    <w:rsid w:val="00431EFF"/>
    <w:rsid w:val="004327DA"/>
    <w:rsid w:val="004341E3"/>
    <w:rsid w:val="004357AF"/>
    <w:rsid w:val="004422AC"/>
    <w:rsid w:val="00442526"/>
    <w:rsid w:val="00442719"/>
    <w:rsid w:val="0044399D"/>
    <w:rsid w:val="004458AA"/>
    <w:rsid w:val="00446756"/>
    <w:rsid w:val="00451223"/>
    <w:rsid w:val="004544C8"/>
    <w:rsid w:val="004560E4"/>
    <w:rsid w:val="0046091C"/>
    <w:rsid w:val="00460ABD"/>
    <w:rsid w:val="00461907"/>
    <w:rsid w:val="00462130"/>
    <w:rsid w:val="00465AD7"/>
    <w:rsid w:val="00473606"/>
    <w:rsid w:val="00476C04"/>
    <w:rsid w:val="004852FF"/>
    <w:rsid w:val="00487212"/>
    <w:rsid w:val="00490B03"/>
    <w:rsid w:val="00491E13"/>
    <w:rsid w:val="00492385"/>
    <w:rsid w:val="004932EC"/>
    <w:rsid w:val="00493CDC"/>
    <w:rsid w:val="00493CF8"/>
    <w:rsid w:val="00497341"/>
    <w:rsid w:val="004A3D84"/>
    <w:rsid w:val="004A7052"/>
    <w:rsid w:val="004A72E7"/>
    <w:rsid w:val="004B0728"/>
    <w:rsid w:val="004B0779"/>
    <w:rsid w:val="004B1C4B"/>
    <w:rsid w:val="004B1D83"/>
    <w:rsid w:val="004B2E5D"/>
    <w:rsid w:val="004B33E2"/>
    <w:rsid w:val="004B4395"/>
    <w:rsid w:val="004B6F82"/>
    <w:rsid w:val="004C0F90"/>
    <w:rsid w:val="004C16CE"/>
    <w:rsid w:val="004C6E73"/>
    <w:rsid w:val="004D123A"/>
    <w:rsid w:val="004D17E0"/>
    <w:rsid w:val="004D1CBD"/>
    <w:rsid w:val="004D5123"/>
    <w:rsid w:val="004D5A61"/>
    <w:rsid w:val="004D71F2"/>
    <w:rsid w:val="004D7BA2"/>
    <w:rsid w:val="004E2AD0"/>
    <w:rsid w:val="004E3010"/>
    <w:rsid w:val="004E32AE"/>
    <w:rsid w:val="004E42BA"/>
    <w:rsid w:val="004F011F"/>
    <w:rsid w:val="004F52C5"/>
    <w:rsid w:val="004F6ED9"/>
    <w:rsid w:val="0050522C"/>
    <w:rsid w:val="005057D7"/>
    <w:rsid w:val="00506010"/>
    <w:rsid w:val="00511023"/>
    <w:rsid w:val="005176E4"/>
    <w:rsid w:val="00521210"/>
    <w:rsid w:val="00521B10"/>
    <w:rsid w:val="00523912"/>
    <w:rsid w:val="00524715"/>
    <w:rsid w:val="005309ED"/>
    <w:rsid w:val="00530F77"/>
    <w:rsid w:val="00533F16"/>
    <w:rsid w:val="00534C4A"/>
    <w:rsid w:val="00537CE9"/>
    <w:rsid w:val="00550C62"/>
    <w:rsid w:val="00554DEF"/>
    <w:rsid w:val="00557906"/>
    <w:rsid w:val="00562971"/>
    <w:rsid w:val="00565F6F"/>
    <w:rsid w:val="00567359"/>
    <w:rsid w:val="005675F0"/>
    <w:rsid w:val="00571406"/>
    <w:rsid w:val="0057167B"/>
    <w:rsid w:val="00571F7E"/>
    <w:rsid w:val="0057532B"/>
    <w:rsid w:val="00575E99"/>
    <w:rsid w:val="005773F5"/>
    <w:rsid w:val="005809D6"/>
    <w:rsid w:val="00581576"/>
    <w:rsid w:val="00581A31"/>
    <w:rsid w:val="0058368E"/>
    <w:rsid w:val="005872BD"/>
    <w:rsid w:val="00590809"/>
    <w:rsid w:val="0059153E"/>
    <w:rsid w:val="005915D4"/>
    <w:rsid w:val="00597960"/>
    <w:rsid w:val="005A1FBF"/>
    <w:rsid w:val="005A5571"/>
    <w:rsid w:val="005A6E7D"/>
    <w:rsid w:val="005A7460"/>
    <w:rsid w:val="005B223C"/>
    <w:rsid w:val="005B3345"/>
    <w:rsid w:val="005C1B1A"/>
    <w:rsid w:val="005C25B7"/>
    <w:rsid w:val="005D0663"/>
    <w:rsid w:val="005D16D9"/>
    <w:rsid w:val="005D319F"/>
    <w:rsid w:val="005D3B57"/>
    <w:rsid w:val="005D500C"/>
    <w:rsid w:val="005D7525"/>
    <w:rsid w:val="005E0A6A"/>
    <w:rsid w:val="005E0B67"/>
    <w:rsid w:val="005E7478"/>
    <w:rsid w:val="005F46E7"/>
    <w:rsid w:val="005F558F"/>
    <w:rsid w:val="005F762A"/>
    <w:rsid w:val="005F7651"/>
    <w:rsid w:val="005F7981"/>
    <w:rsid w:val="005F7CDC"/>
    <w:rsid w:val="006000E6"/>
    <w:rsid w:val="00601F03"/>
    <w:rsid w:val="00604EE4"/>
    <w:rsid w:val="0061076C"/>
    <w:rsid w:val="00611146"/>
    <w:rsid w:val="006116A2"/>
    <w:rsid w:val="0061404F"/>
    <w:rsid w:val="00614A88"/>
    <w:rsid w:val="0062012A"/>
    <w:rsid w:val="006209F1"/>
    <w:rsid w:val="0062136A"/>
    <w:rsid w:val="00621C80"/>
    <w:rsid w:val="00624AE8"/>
    <w:rsid w:val="00627246"/>
    <w:rsid w:val="00627F6A"/>
    <w:rsid w:val="00632C70"/>
    <w:rsid w:val="00635AF0"/>
    <w:rsid w:val="00637FD9"/>
    <w:rsid w:val="0064066B"/>
    <w:rsid w:val="006438C9"/>
    <w:rsid w:val="00645619"/>
    <w:rsid w:val="006509C2"/>
    <w:rsid w:val="006515C2"/>
    <w:rsid w:val="00651629"/>
    <w:rsid w:val="006524ED"/>
    <w:rsid w:val="00655A14"/>
    <w:rsid w:val="00660700"/>
    <w:rsid w:val="00662291"/>
    <w:rsid w:val="00665097"/>
    <w:rsid w:val="00665ED6"/>
    <w:rsid w:val="00666A47"/>
    <w:rsid w:val="00672C72"/>
    <w:rsid w:val="00674977"/>
    <w:rsid w:val="006773F6"/>
    <w:rsid w:val="00685FB3"/>
    <w:rsid w:val="006901F5"/>
    <w:rsid w:val="006903AC"/>
    <w:rsid w:val="006908B7"/>
    <w:rsid w:val="006942A0"/>
    <w:rsid w:val="00695104"/>
    <w:rsid w:val="006970A1"/>
    <w:rsid w:val="006A020C"/>
    <w:rsid w:val="006A7D3A"/>
    <w:rsid w:val="006B1883"/>
    <w:rsid w:val="006B5AF6"/>
    <w:rsid w:val="006B7502"/>
    <w:rsid w:val="006C241B"/>
    <w:rsid w:val="006C492C"/>
    <w:rsid w:val="006C5612"/>
    <w:rsid w:val="006D1744"/>
    <w:rsid w:val="006D2D1B"/>
    <w:rsid w:val="006D30F6"/>
    <w:rsid w:val="006D403C"/>
    <w:rsid w:val="006D53CE"/>
    <w:rsid w:val="006D6EF8"/>
    <w:rsid w:val="006E1A4D"/>
    <w:rsid w:val="006E5AAD"/>
    <w:rsid w:val="006E6607"/>
    <w:rsid w:val="006F66B1"/>
    <w:rsid w:val="006F75AB"/>
    <w:rsid w:val="007042F5"/>
    <w:rsid w:val="0070579F"/>
    <w:rsid w:val="00706F98"/>
    <w:rsid w:val="00707594"/>
    <w:rsid w:val="007157C4"/>
    <w:rsid w:val="0071686B"/>
    <w:rsid w:val="00721419"/>
    <w:rsid w:val="007227AB"/>
    <w:rsid w:val="007259AF"/>
    <w:rsid w:val="00731F6A"/>
    <w:rsid w:val="00735373"/>
    <w:rsid w:val="00736E9E"/>
    <w:rsid w:val="007373AF"/>
    <w:rsid w:val="00737931"/>
    <w:rsid w:val="00737961"/>
    <w:rsid w:val="00737F39"/>
    <w:rsid w:val="0074130E"/>
    <w:rsid w:val="007416BF"/>
    <w:rsid w:val="00743D45"/>
    <w:rsid w:val="007454A3"/>
    <w:rsid w:val="007463B9"/>
    <w:rsid w:val="0074692D"/>
    <w:rsid w:val="00751457"/>
    <w:rsid w:val="00751B7F"/>
    <w:rsid w:val="0075336F"/>
    <w:rsid w:val="00755895"/>
    <w:rsid w:val="007567A4"/>
    <w:rsid w:val="007579C1"/>
    <w:rsid w:val="007666C1"/>
    <w:rsid w:val="00766883"/>
    <w:rsid w:val="007672ED"/>
    <w:rsid w:val="00770A74"/>
    <w:rsid w:val="00770E22"/>
    <w:rsid w:val="00772B22"/>
    <w:rsid w:val="007738E3"/>
    <w:rsid w:val="0077495C"/>
    <w:rsid w:val="00777109"/>
    <w:rsid w:val="00777C7A"/>
    <w:rsid w:val="00780FF0"/>
    <w:rsid w:val="00781D09"/>
    <w:rsid w:val="00781F6A"/>
    <w:rsid w:val="00783125"/>
    <w:rsid w:val="00783880"/>
    <w:rsid w:val="007867E2"/>
    <w:rsid w:val="00787593"/>
    <w:rsid w:val="00790279"/>
    <w:rsid w:val="00794713"/>
    <w:rsid w:val="0079588C"/>
    <w:rsid w:val="007A021C"/>
    <w:rsid w:val="007A1BBF"/>
    <w:rsid w:val="007A2FA1"/>
    <w:rsid w:val="007A54EF"/>
    <w:rsid w:val="007A5C15"/>
    <w:rsid w:val="007A7ADB"/>
    <w:rsid w:val="007B252F"/>
    <w:rsid w:val="007B26BF"/>
    <w:rsid w:val="007B3C3B"/>
    <w:rsid w:val="007B5F0C"/>
    <w:rsid w:val="007B64E2"/>
    <w:rsid w:val="007B70F8"/>
    <w:rsid w:val="007C067C"/>
    <w:rsid w:val="007C17EC"/>
    <w:rsid w:val="007C5891"/>
    <w:rsid w:val="007C60CA"/>
    <w:rsid w:val="007C69A0"/>
    <w:rsid w:val="007D5A40"/>
    <w:rsid w:val="007D6775"/>
    <w:rsid w:val="007D763B"/>
    <w:rsid w:val="007D781E"/>
    <w:rsid w:val="007E146F"/>
    <w:rsid w:val="007E2973"/>
    <w:rsid w:val="007E4748"/>
    <w:rsid w:val="007E54E5"/>
    <w:rsid w:val="007E601E"/>
    <w:rsid w:val="007E74E8"/>
    <w:rsid w:val="007F1968"/>
    <w:rsid w:val="007F2990"/>
    <w:rsid w:val="00801BC3"/>
    <w:rsid w:val="00802ED1"/>
    <w:rsid w:val="008039C1"/>
    <w:rsid w:val="0081048F"/>
    <w:rsid w:val="00816566"/>
    <w:rsid w:val="0081781C"/>
    <w:rsid w:val="00820F85"/>
    <w:rsid w:val="00821A69"/>
    <w:rsid w:val="00823F05"/>
    <w:rsid w:val="00830160"/>
    <w:rsid w:val="00833F61"/>
    <w:rsid w:val="00835DD0"/>
    <w:rsid w:val="00837ED5"/>
    <w:rsid w:val="0084220C"/>
    <w:rsid w:val="008430BC"/>
    <w:rsid w:val="008438E8"/>
    <w:rsid w:val="00844F87"/>
    <w:rsid w:val="0084530E"/>
    <w:rsid w:val="0084635F"/>
    <w:rsid w:val="00851ECA"/>
    <w:rsid w:val="00856018"/>
    <w:rsid w:val="00861162"/>
    <w:rsid w:val="00864403"/>
    <w:rsid w:val="00866BDB"/>
    <w:rsid w:val="00872B0A"/>
    <w:rsid w:val="00872C51"/>
    <w:rsid w:val="008768E4"/>
    <w:rsid w:val="00877149"/>
    <w:rsid w:val="0088062F"/>
    <w:rsid w:val="008860DD"/>
    <w:rsid w:val="00886541"/>
    <w:rsid w:val="00886DB3"/>
    <w:rsid w:val="008879C8"/>
    <w:rsid w:val="00890B04"/>
    <w:rsid w:val="008924BE"/>
    <w:rsid w:val="0089422B"/>
    <w:rsid w:val="0089428C"/>
    <w:rsid w:val="008959E4"/>
    <w:rsid w:val="00895FF3"/>
    <w:rsid w:val="008A4975"/>
    <w:rsid w:val="008B1A7A"/>
    <w:rsid w:val="008B1D05"/>
    <w:rsid w:val="008B47EF"/>
    <w:rsid w:val="008B5D14"/>
    <w:rsid w:val="008B5DB0"/>
    <w:rsid w:val="008B5FDC"/>
    <w:rsid w:val="008B613A"/>
    <w:rsid w:val="008C022A"/>
    <w:rsid w:val="008C6BA6"/>
    <w:rsid w:val="008C6D36"/>
    <w:rsid w:val="008C74F4"/>
    <w:rsid w:val="008D1207"/>
    <w:rsid w:val="008D2B88"/>
    <w:rsid w:val="008D3DF1"/>
    <w:rsid w:val="008D51C3"/>
    <w:rsid w:val="008D525B"/>
    <w:rsid w:val="008E07B1"/>
    <w:rsid w:val="008E0D7A"/>
    <w:rsid w:val="008E49F0"/>
    <w:rsid w:val="008E4F83"/>
    <w:rsid w:val="008E5394"/>
    <w:rsid w:val="008E6952"/>
    <w:rsid w:val="008F02D1"/>
    <w:rsid w:val="008F205D"/>
    <w:rsid w:val="008F2DD5"/>
    <w:rsid w:val="008F3129"/>
    <w:rsid w:val="008F3199"/>
    <w:rsid w:val="009013D7"/>
    <w:rsid w:val="00907CCE"/>
    <w:rsid w:val="0091058E"/>
    <w:rsid w:val="0091201A"/>
    <w:rsid w:val="00912800"/>
    <w:rsid w:val="00917494"/>
    <w:rsid w:val="009207B5"/>
    <w:rsid w:val="009211D8"/>
    <w:rsid w:val="00921443"/>
    <w:rsid w:val="00923DE8"/>
    <w:rsid w:val="009262B3"/>
    <w:rsid w:val="009322E3"/>
    <w:rsid w:val="00933322"/>
    <w:rsid w:val="0093497D"/>
    <w:rsid w:val="00940359"/>
    <w:rsid w:val="00941909"/>
    <w:rsid w:val="009514D5"/>
    <w:rsid w:val="00952951"/>
    <w:rsid w:val="009553E1"/>
    <w:rsid w:val="009606C0"/>
    <w:rsid w:val="00965F70"/>
    <w:rsid w:val="00966AFA"/>
    <w:rsid w:val="00967192"/>
    <w:rsid w:val="009673A6"/>
    <w:rsid w:val="00972C39"/>
    <w:rsid w:val="00973D80"/>
    <w:rsid w:val="00974B2D"/>
    <w:rsid w:val="00975830"/>
    <w:rsid w:val="00976CBA"/>
    <w:rsid w:val="00976F0E"/>
    <w:rsid w:val="00980209"/>
    <w:rsid w:val="00981B8A"/>
    <w:rsid w:val="00991A70"/>
    <w:rsid w:val="00991C55"/>
    <w:rsid w:val="009934E1"/>
    <w:rsid w:val="00993A78"/>
    <w:rsid w:val="0099431E"/>
    <w:rsid w:val="00996AC8"/>
    <w:rsid w:val="009A00F2"/>
    <w:rsid w:val="009A0479"/>
    <w:rsid w:val="009A3978"/>
    <w:rsid w:val="009A4A8F"/>
    <w:rsid w:val="009A525E"/>
    <w:rsid w:val="009B4089"/>
    <w:rsid w:val="009B549A"/>
    <w:rsid w:val="009B6E1D"/>
    <w:rsid w:val="009C3D74"/>
    <w:rsid w:val="009C4E1F"/>
    <w:rsid w:val="009D004A"/>
    <w:rsid w:val="009D00C7"/>
    <w:rsid w:val="009D409C"/>
    <w:rsid w:val="009D5F8D"/>
    <w:rsid w:val="009E174C"/>
    <w:rsid w:val="009E4D3D"/>
    <w:rsid w:val="009E4DF4"/>
    <w:rsid w:val="009F3D7E"/>
    <w:rsid w:val="009F45E1"/>
    <w:rsid w:val="00A02739"/>
    <w:rsid w:val="00A05CB5"/>
    <w:rsid w:val="00A07EF8"/>
    <w:rsid w:val="00A105C6"/>
    <w:rsid w:val="00A14817"/>
    <w:rsid w:val="00A1498F"/>
    <w:rsid w:val="00A16483"/>
    <w:rsid w:val="00A168EA"/>
    <w:rsid w:val="00A20D15"/>
    <w:rsid w:val="00A24C73"/>
    <w:rsid w:val="00A253D5"/>
    <w:rsid w:val="00A30710"/>
    <w:rsid w:val="00A30790"/>
    <w:rsid w:val="00A327D4"/>
    <w:rsid w:val="00A350C2"/>
    <w:rsid w:val="00A3618A"/>
    <w:rsid w:val="00A36AEA"/>
    <w:rsid w:val="00A41BE7"/>
    <w:rsid w:val="00A471CE"/>
    <w:rsid w:val="00A47D13"/>
    <w:rsid w:val="00A52CAC"/>
    <w:rsid w:val="00A53FF0"/>
    <w:rsid w:val="00A57205"/>
    <w:rsid w:val="00A604AB"/>
    <w:rsid w:val="00A6385B"/>
    <w:rsid w:val="00A65DE8"/>
    <w:rsid w:val="00A66970"/>
    <w:rsid w:val="00A706EB"/>
    <w:rsid w:val="00A73E2F"/>
    <w:rsid w:val="00A74B0E"/>
    <w:rsid w:val="00A76655"/>
    <w:rsid w:val="00A86CD0"/>
    <w:rsid w:val="00A87E75"/>
    <w:rsid w:val="00A90376"/>
    <w:rsid w:val="00A908B2"/>
    <w:rsid w:val="00A90FDF"/>
    <w:rsid w:val="00A93707"/>
    <w:rsid w:val="00A943E8"/>
    <w:rsid w:val="00A95E68"/>
    <w:rsid w:val="00A965CC"/>
    <w:rsid w:val="00A96B66"/>
    <w:rsid w:val="00A9793C"/>
    <w:rsid w:val="00AA02C3"/>
    <w:rsid w:val="00AB13F5"/>
    <w:rsid w:val="00AB3A6D"/>
    <w:rsid w:val="00AB419C"/>
    <w:rsid w:val="00AB455C"/>
    <w:rsid w:val="00AC28F9"/>
    <w:rsid w:val="00AC3EF2"/>
    <w:rsid w:val="00AC5A66"/>
    <w:rsid w:val="00AC5F37"/>
    <w:rsid w:val="00AC6018"/>
    <w:rsid w:val="00AC7CAE"/>
    <w:rsid w:val="00AD52F3"/>
    <w:rsid w:val="00AD75C9"/>
    <w:rsid w:val="00AE11C3"/>
    <w:rsid w:val="00AE18BE"/>
    <w:rsid w:val="00AE1D0A"/>
    <w:rsid w:val="00AE5B6E"/>
    <w:rsid w:val="00AF06EA"/>
    <w:rsid w:val="00AF0A96"/>
    <w:rsid w:val="00AF3302"/>
    <w:rsid w:val="00AF4AEC"/>
    <w:rsid w:val="00AF4BED"/>
    <w:rsid w:val="00AF5E0A"/>
    <w:rsid w:val="00AF60A5"/>
    <w:rsid w:val="00B03B92"/>
    <w:rsid w:val="00B0626B"/>
    <w:rsid w:val="00B11366"/>
    <w:rsid w:val="00B13BFA"/>
    <w:rsid w:val="00B13D94"/>
    <w:rsid w:val="00B14D75"/>
    <w:rsid w:val="00B20306"/>
    <w:rsid w:val="00B23FCB"/>
    <w:rsid w:val="00B25FF2"/>
    <w:rsid w:val="00B26DB3"/>
    <w:rsid w:val="00B3263A"/>
    <w:rsid w:val="00B343FC"/>
    <w:rsid w:val="00B378EE"/>
    <w:rsid w:val="00B425F4"/>
    <w:rsid w:val="00B4463D"/>
    <w:rsid w:val="00B45288"/>
    <w:rsid w:val="00B50515"/>
    <w:rsid w:val="00B522DC"/>
    <w:rsid w:val="00B566E2"/>
    <w:rsid w:val="00B57AC4"/>
    <w:rsid w:val="00B57CC7"/>
    <w:rsid w:val="00B60ED0"/>
    <w:rsid w:val="00B61EBF"/>
    <w:rsid w:val="00B62168"/>
    <w:rsid w:val="00B673A8"/>
    <w:rsid w:val="00B67D53"/>
    <w:rsid w:val="00B705B8"/>
    <w:rsid w:val="00B73925"/>
    <w:rsid w:val="00B750F8"/>
    <w:rsid w:val="00B75AB1"/>
    <w:rsid w:val="00B76DF2"/>
    <w:rsid w:val="00B8242E"/>
    <w:rsid w:val="00B82E60"/>
    <w:rsid w:val="00B845B7"/>
    <w:rsid w:val="00B84B0E"/>
    <w:rsid w:val="00B85B93"/>
    <w:rsid w:val="00B9100C"/>
    <w:rsid w:val="00B92E05"/>
    <w:rsid w:val="00B93EAA"/>
    <w:rsid w:val="00B94564"/>
    <w:rsid w:val="00B95377"/>
    <w:rsid w:val="00B9622D"/>
    <w:rsid w:val="00BA0134"/>
    <w:rsid w:val="00BA588A"/>
    <w:rsid w:val="00BA6FFB"/>
    <w:rsid w:val="00BA7116"/>
    <w:rsid w:val="00BB03D7"/>
    <w:rsid w:val="00BB3C93"/>
    <w:rsid w:val="00BB4874"/>
    <w:rsid w:val="00BB52E5"/>
    <w:rsid w:val="00BC036D"/>
    <w:rsid w:val="00BC44D2"/>
    <w:rsid w:val="00BC4F4F"/>
    <w:rsid w:val="00BD4CDC"/>
    <w:rsid w:val="00BD5AED"/>
    <w:rsid w:val="00BD5D45"/>
    <w:rsid w:val="00BD6BE8"/>
    <w:rsid w:val="00BE5472"/>
    <w:rsid w:val="00BE7393"/>
    <w:rsid w:val="00BF0148"/>
    <w:rsid w:val="00BF10F7"/>
    <w:rsid w:val="00BF18F7"/>
    <w:rsid w:val="00BF4071"/>
    <w:rsid w:val="00C0018A"/>
    <w:rsid w:val="00C043A1"/>
    <w:rsid w:val="00C0641A"/>
    <w:rsid w:val="00C1167F"/>
    <w:rsid w:val="00C11E29"/>
    <w:rsid w:val="00C15A90"/>
    <w:rsid w:val="00C1605F"/>
    <w:rsid w:val="00C16751"/>
    <w:rsid w:val="00C20A66"/>
    <w:rsid w:val="00C2253B"/>
    <w:rsid w:val="00C258A0"/>
    <w:rsid w:val="00C27636"/>
    <w:rsid w:val="00C30E2A"/>
    <w:rsid w:val="00C3179C"/>
    <w:rsid w:val="00C35874"/>
    <w:rsid w:val="00C4044E"/>
    <w:rsid w:val="00C431B7"/>
    <w:rsid w:val="00C4416F"/>
    <w:rsid w:val="00C51C89"/>
    <w:rsid w:val="00C5286B"/>
    <w:rsid w:val="00C56CCF"/>
    <w:rsid w:val="00C6603E"/>
    <w:rsid w:val="00C67386"/>
    <w:rsid w:val="00C70572"/>
    <w:rsid w:val="00C71160"/>
    <w:rsid w:val="00C71A39"/>
    <w:rsid w:val="00C7375C"/>
    <w:rsid w:val="00C75898"/>
    <w:rsid w:val="00C766CC"/>
    <w:rsid w:val="00C86565"/>
    <w:rsid w:val="00C86C48"/>
    <w:rsid w:val="00C87133"/>
    <w:rsid w:val="00C926CF"/>
    <w:rsid w:val="00C95DD4"/>
    <w:rsid w:val="00CA1FBB"/>
    <w:rsid w:val="00CA2517"/>
    <w:rsid w:val="00CA552F"/>
    <w:rsid w:val="00CB0AAA"/>
    <w:rsid w:val="00CB1BA4"/>
    <w:rsid w:val="00CB4D41"/>
    <w:rsid w:val="00CC205C"/>
    <w:rsid w:val="00CC3C30"/>
    <w:rsid w:val="00CC6386"/>
    <w:rsid w:val="00CC7DDB"/>
    <w:rsid w:val="00CD042B"/>
    <w:rsid w:val="00CD06A3"/>
    <w:rsid w:val="00CD0EDC"/>
    <w:rsid w:val="00CD1B5E"/>
    <w:rsid w:val="00CD42D5"/>
    <w:rsid w:val="00CE0FB1"/>
    <w:rsid w:val="00CE2625"/>
    <w:rsid w:val="00CE2C02"/>
    <w:rsid w:val="00CE4D66"/>
    <w:rsid w:val="00CF25EB"/>
    <w:rsid w:val="00CF29D4"/>
    <w:rsid w:val="00CF5084"/>
    <w:rsid w:val="00CF7CFD"/>
    <w:rsid w:val="00D06470"/>
    <w:rsid w:val="00D10020"/>
    <w:rsid w:val="00D16119"/>
    <w:rsid w:val="00D20ABA"/>
    <w:rsid w:val="00D231DD"/>
    <w:rsid w:val="00D23799"/>
    <w:rsid w:val="00D239C4"/>
    <w:rsid w:val="00D25921"/>
    <w:rsid w:val="00D307E9"/>
    <w:rsid w:val="00D34AE0"/>
    <w:rsid w:val="00D363C7"/>
    <w:rsid w:val="00D41405"/>
    <w:rsid w:val="00D41E2A"/>
    <w:rsid w:val="00D428C1"/>
    <w:rsid w:val="00D43F20"/>
    <w:rsid w:val="00D442DC"/>
    <w:rsid w:val="00D45B11"/>
    <w:rsid w:val="00D45F7B"/>
    <w:rsid w:val="00D47E4B"/>
    <w:rsid w:val="00D509E4"/>
    <w:rsid w:val="00D5460E"/>
    <w:rsid w:val="00D548D6"/>
    <w:rsid w:val="00D54C9A"/>
    <w:rsid w:val="00D60C1D"/>
    <w:rsid w:val="00D630AF"/>
    <w:rsid w:val="00D64259"/>
    <w:rsid w:val="00D64E67"/>
    <w:rsid w:val="00D658AD"/>
    <w:rsid w:val="00D72B85"/>
    <w:rsid w:val="00D74019"/>
    <w:rsid w:val="00D74349"/>
    <w:rsid w:val="00D74FED"/>
    <w:rsid w:val="00D81D96"/>
    <w:rsid w:val="00D82908"/>
    <w:rsid w:val="00D83655"/>
    <w:rsid w:val="00D850B1"/>
    <w:rsid w:val="00D85EC2"/>
    <w:rsid w:val="00D9253A"/>
    <w:rsid w:val="00D947E9"/>
    <w:rsid w:val="00D96911"/>
    <w:rsid w:val="00D97D5A"/>
    <w:rsid w:val="00DA0C50"/>
    <w:rsid w:val="00DA0F62"/>
    <w:rsid w:val="00DA2312"/>
    <w:rsid w:val="00DA23E1"/>
    <w:rsid w:val="00DA2744"/>
    <w:rsid w:val="00DA42E4"/>
    <w:rsid w:val="00DA4A86"/>
    <w:rsid w:val="00DA5724"/>
    <w:rsid w:val="00DA6BCE"/>
    <w:rsid w:val="00DB4F7C"/>
    <w:rsid w:val="00DB55AE"/>
    <w:rsid w:val="00DB79D9"/>
    <w:rsid w:val="00DC10A4"/>
    <w:rsid w:val="00DC10B5"/>
    <w:rsid w:val="00DC676F"/>
    <w:rsid w:val="00DC6827"/>
    <w:rsid w:val="00DC7DAD"/>
    <w:rsid w:val="00DD11F8"/>
    <w:rsid w:val="00DD3D18"/>
    <w:rsid w:val="00DD7B5E"/>
    <w:rsid w:val="00DE01F8"/>
    <w:rsid w:val="00DE3A4D"/>
    <w:rsid w:val="00DE4960"/>
    <w:rsid w:val="00DF1122"/>
    <w:rsid w:val="00DF4E98"/>
    <w:rsid w:val="00DF6DD5"/>
    <w:rsid w:val="00E01E87"/>
    <w:rsid w:val="00E02F6B"/>
    <w:rsid w:val="00E142C6"/>
    <w:rsid w:val="00E15FA7"/>
    <w:rsid w:val="00E21E99"/>
    <w:rsid w:val="00E27E55"/>
    <w:rsid w:val="00E35A1F"/>
    <w:rsid w:val="00E36333"/>
    <w:rsid w:val="00E41CCA"/>
    <w:rsid w:val="00E42491"/>
    <w:rsid w:val="00E44243"/>
    <w:rsid w:val="00E4659B"/>
    <w:rsid w:val="00E50FA8"/>
    <w:rsid w:val="00E53E3A"/>
    <w:rsid w:val="00E546FE"/>
    <w:rsid w:val="00E54B3C"/>
    <w:rsid w:val="00E551BA"/>
    <w:rsid w:val="00E60057"/>
    <w:rsid w:val="00E6313A"/>
    <w:rsid w:val="00E646A7"/>
    <w:rsid w:val="00E647FE"/>
    <w:rsid w:val="00E65074"/>
    <w:rsid w:val="00E65EB2"/>
    <w:rsid w:val="00E676BF"/>
    <w:rsid w:val="00E70663"/>
    <w:rsid w:val="00E73A14"/>
    <w:rsid w:val="00E7466B"/>
    <w:rsid w:val="00E75408"/>
    <w:rsid w:val="00E84501"/>
    <w:rsid w:val="00E84737"/>
    <w:rsid w:val="00E85CFA"/>
    <w:rsid w:val="00E878B8"/>
    <w:rsid w:val="00E95A1F"/>
    <w:rsid w:val="00E968C7"/>
    <w:rsid w:val="00EA5864"/>
    <w:rsid w:val="00EA7E0D"/>
    <w:rsid w:val="00EB6BA6"/>
    <w:rsid w:val="00EB6E90"/>
    <w:rsid w:val="00EB76BC"/>
    <w:rsid w:val="00EC0691"/>
    <w:rsid w:val="00EC1B8F"/>
    <w:rsid w:val="00EC479F"/>
    <w:rsid w:val="00EC5A62"/>
    <w:rsid w:val="00EC7863"/>
    <w:rsid w:val="00ED3543"/>
    <w:rsid w:val="00EE460C"/>
    <w:rsid w:val="00EE5076"/>
    <w:rsid w:val="00EE7710"/>
    <w:rsid w:val="00EF461D"/>
    <w:rsid w:val="00EF4E04"/>
    <w:rsid w:val="00F04934"/>
    <w:rsid w:val="00F07F91"/>
    <w:rsid w:val="00F10F74"/>
    <w:rsid w:val="00F11E46"/>
    <w:rsid w:val="00F12D53"/>
    <w:rsid w:val="00F147FA"/>
    <w:rsid w:val="00F16C3F"/>
    <w:rsid w:val="00F173B4"/>
    <w:rsid w:val="00F203B2"/>
    <w:rsid w:val="00F203C9"/>
    <w:rsid w:val="00F20EA9"/>
    <w:rsid w:val="00F219EC"/>
    <w:rsid w:val="00F24237"/>
    <w:rsid w:val="00F24F82"/>
    <w:rsid w:val="00F30961"/>
    <w:rsid w:val="00F3187A"/>
    <w:rsid w:val="00F33DDD"/>
    <w:rsid w:val="00F34602"/>
    <w:rsid w:val="00F3530C"/>
    <w:rsid w:val="00F35502"/>
    <w:rsid w:val="00F4159C"/>
    <w:rsid w:val="00F43120"/>
    <w:rsid w:val="00F43C40"/>
    <w:rsid w:val="00F50BE4"/>
    <w:rsid w:val="00F51518"/>
    <w:rsid w:val="00F5602F"/>
    <w:rsid w:val="00F67726"/>
    <w:rsid w:val="00F67773"/>
    <w:rsid w:val="00F80093"/>
    <w:rsid w:val="00F8288A"/>
    <w:rsid w:val="00F84D94"/>
    <w:rsid w:val="00F902D4"/>
    <w:rsid w:val="00F91CC1"/>
    <w:rsid w:val="00F922A0"/>
    <w:rsid w:val="00F92DD6"/>
    <w:rsid w:val="00F931F0"/>
    <w:rsid w:val="00F976BE"/>
    <w:rsid w:val="00FA34AE"/>
    <w:rsid w:val="00FA41A0"/>
    <w:rsid w:val="00FA7236"/>
    <w:rsid w:val="00FB14D4"/>
    <w:rsid w:val="00FB6B38"/>
    <w:rsid w:val="00FC00F2"/>
    <w:rsid w:val="00FC0ABB"/>
    <w:rsid w:val="00FC232F"/>
    <w:rsid w:val="00FC24CA"/>
    <w:rsid w:val="00FC5187"/>
    <w:rsid w:val="00FC5775"/>
    <w:rsid w:val="00FC74BB"/>
    <w:rsid w:val="00FC7B8C"/>
    <w:rsid w:val="00FC7E17"/>
    <w:rsid w:val="00FD0E91"/>
    <w:rsid w:val="00FD2F90"/>
    <w:rsid w:val="00FD3BD0"/>
    <w:rsid w:val="00FE4AFD"/>
    <w:rsid w:val="00FF5D8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289"/>
    <o:shapelayout v:ext="edit">
      <o:idmap v:ext="edit" data="1"/>
      <o:rules v:ext="edit">
        <o:r id="V:Rule3" type="connector" idref="#_x0000_s1062"/>
        <o:r id="V:Rule4" type="connector" idref="#_x0000_s1063"/>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s-ES" w:eastAsia="es-ES" w:bidi="ar-SA"/>
      </w:rPr>
    </w:rPrDefault>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semiHidden="0" w:uiPriority="0" w:qFormat="1"/>
    <w:lsdException w:name="heading 7" w:semiHidden="0" w:uiPriority="0" w:qFormat="1"/>
    <w:lsdException w:name="heading 8" w:semiHidden="0" w:uiPriority="0" w:qFormat="1"/>
    <w:lsdException w:name="heading 9" w:semiHidden="0" w:uiPriority="0"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nhideWhenUsed="1"/>
    <w:lsdException w:name="footnote text" w:uiPriority="0"/>
    <w:lsdException w:name="annotation text" w:uiPriority="0"/>
    <w:lsdException w:name="header" w:uiPriority="0"/>
    <w:lsdException w:name="index heading" w:unhideWhenUsed="1"/>
    <w:lsdException w:name="caption" w:semiHidden="0" w:uiPriority="35" w:qFormat="1"/>
    <w:lsdException w:name="envelope address" w:unhideWhenUsed="1"/>
    <w:lsdException w:name="envelope return" w:unhideWhenUsed="1"/>
    <w:lsdException w:name="footnote reference" w:uiPriority="0"/>
    <w:lsdException w:name="annotation reference" w:unhideWhenUsed="1"/>
    <w:lsdException w:name="line number" w:unhideWhenUsed="1"/>
    <w:lsdException w:name="page number" w:uiPriority="0"/>
    <w:lsdException w:name="endnote reference" w:unhideWhenUsed="1"/>
    <w:lsdException w:name="table of authorities" w:unhideWhenUsed="1"/>
    <w:lsdException w:name="macro" w:unhideWhenUsed="1"/>
    <w:lsdException w:name="toa heading" w:unhideWhenUsed="1"/>
    <w:lsdException w:name="List Bullet" w:uiPriority="0"/>
    <w:lsdException w:name="List Number" w:unhideWhenUsed="1"/>
    <w:lsdException w:name="List 2" w:unhideWhenUsed="1"/>
    <w:lsdException w:name="List 3" w:unhideWhenUsed="1"/>
    <w:lsdException w:name="List 4" w:unhideWhenUsed="1"/>
    <w:lsdException w:name="List 5"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semiHidden="0" w:uiPriority="10" w:qFormat="1"/>
    <w:lsdException w:name="Closing" w:unhideWhenUsed="1"/>
    <w:lsdException w:name="Signature" w:unhideWhenUsed="1"/>
    <w:lsdException w:name="Body Text" w:uiPriority="0"/>
    <w:lsdException w:name="Body Text Indent" w:uiPriority="0"/>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uiPriority="11" w:qFormat="1"/>
    <w:lsdException w:name="Date" w:unhideWhenUsed="1"/>
    <w:lsdException w:name="Note Heading" w:unhideWhenUsed="1"/>
    <w:lsdException w:name="Body Text 2" w:uiPriority="0"/>
    <w:lsdException w:name="Body Text 3" w:uiPriority="0"/>
    <w:lsdException w:name="Body Text Indent 2" w:uiPriority="0"/>
    <w:lsdException w:name="Body Text Indent 3" w:uiPriority="0"/>
    <w:lsdException w:name="Block Text" w:unhideWhenUsed="1"/>
    <w:lsdException w:name="FollowedHyperlink" w:unhideWhenUsed="1"/>
    <w:lsdException w:name="Strong" w:semiHidden="0" w:uiPriority="22" w:qFormat="1"/>
    <w:lsdException w:name="Emphasis" w:semiHidden="0" w:uiPriority="2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iPriority="0"/>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Table Grid" w:semiHidden="0" w:uiPriority="59"/>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0"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semiHidden="0" w:uiPriority="39" w:qFormat="1"/>
  </w:latentStyles>
  <w:style w:type="paragraph" w:default="1" w:styleId="Normal">
    <w:name w:val="Normal"/>
    <w:qFormat/>
    <w:rsid w:val="00220D57"/>
    <w:pPr>
      <w:spacing w:line="360" w:lineRule="auto"/>
      <w:jc w:val="both"/>
    </w:pPr>
    <w:rPr>
      <w:rFonts w:ascii="Arial" w:hAnsi="Arial" w:cs="Arial"/>
      <w:sz w:val="20"/>
      <w:szCs w:val="20"/>
      <w:lang w:eastAsia="en-US"/>
    </w:rPr>
  </w:style>
  <w:style w:type="paragraph" w:styleId="Ttulo1">
    <w:name w:val="heading 1"/>
    <w:basedOn w:val="Normal"/>
    <w:next w:val="Normal"/>
    <w:link w:val="Ttulo1Car"/>
    <w:qFormat/>
    <w:rsid w:val="00022DE2"/>
    <w:pPr>
      <w:keepNext/>
      <w:widowControl w:val="0"/>
      <w:spacing w:line="240" w:lineRule="auto"/>
      <w:ind w:left="284" w:hanging="284"/>
      <w:outlineLvl w:val="0"/>
    </w:pPr>
    <w:rPr>
      <w:rFonts w:eastAsia="Times New Roman"/>
      <w:b/>
      <w:bCs/>
      <w:sz w:val="28"/>
      <w:szCs w:val="28"/>
      <w:lang w:eastAsia="es-ES"/>
    </w:rPr>
  </w:style>
  <w:style w:type="paragraph" w:styleId="Ttulo2">
    <w:name w:val="heading 2"/>
    <w:basedOn w:val="Normal"/>
    <w:next w:val="Normal"/>
    <w:link w:val="Ttulo2Car"/>
    <w:qFormat/>
    <w:rsid w:val="00022DE2"/>
    <w:pPr>
      <w:keepNext/>
      <w:widowControl w:val="0"/>
      <w:spacing w:line="312" w:lineRule="auto"/>
      <w:outlineLvl w:val="1"/>
    </w:pPr>
    <w:rPr>
      <w:rFonts w:eastAsia="Times New Roman"/>
      <w:b/>
      <w:bCs/>
      <w:sz w:val="24"/>
      <w:szCs w:val="24"/>
      <w:lang w:val="es-ES_tradnl" w:eastAsia="es-ES"/>
    </w:rPr>
  </w:style>
  <w:style w:type="paragraph" w:styleId="Ttulo3">
    <w:name w:val="heading 3"/>
    <w:basedOn w:val="Normal"/>
    <w:next w:val="Normal"/>
    <w:link w:val="Ttulo3Car"/>
    <w:qFormat/>
    <w:rsid w:val="009F3D7E"/>
    <w:pPr>
      <w:keepNext/>
      <w:spacing w:line="240" w:lineRule="auto"/>
      <w:outlineLvl w:val="2"/>
    </w:pPr>
    <w:rPr>
      <w:rFonts w:eastAsia="Times New Roman"/>
      <w:b/>
      <w:bCs/>
      <w:sz w:val="22"/>
      <w:szCs w:val="22"/>
      <w:lang w:val="es-ES_tradnl" w:eastAsia="es-ES"/>
    </w:rPr>
  </w:style>
  <w:style w:type="paragraph" w:styleId="Ttulo4">
    <w:name w:val="heading 4"/>
    <w:basedOn w:val="Normal"/>
    <w:next w:val="Normal"/>
    <w:link w:val="Ttulo4Car"/>
    <w:qFormat/>
    <w:rsid w:val="00A20D15"/>
    <w:pPr>
      <w:keepNext/>
      <w:spacing w:line="312" w:lineRule="auto"/>
      <w:jc w:val="center"/>
      <w:outlineLvl w:val="3"/>
    </w:pPr>
    <w:rPr>
      <w:rFonts w:ascii="Arial Narrow" w:eastAsia="Times New Roman" w:hAnsi="Arial Narrow" w:cs="Arial Narrow"/>
      <w:b/>
      <w:bCs/>
      <w:i/>
      <w:iCs/>
      <w:sz w:val="30"/>
      <w:szCs w:val="30"/>
      <w:lang w:eastAsia="es-ES"/>
    </w:rPr>
  </w:style>
  <w:style w:type="paragraph" w:styleId="Ttulo5">
    <w:name w:val="heading 5"/>
    <w:basedOn w:val="Normal"/>
    <w:next w:val="Normal"/>
    <w:link w:val="Ttulo5Car"/>
    <w:qFormat/>
    <w:rsid w:val="00A20D15"/>
    <w:pPr>
      <w:keepNext/>
      <w:widowControl w:val="0"/>
      <w:spacing w:line="240" w:lineRule="auto"/>
      <w:ind w:left="584"/>
      <w:outlineLvl w:val="4"/>
    </w:pPr>
    <w:rPr>
      <w:rFonts w:ascii="Arial Narrow" w:eastAsia="Times New Roman" w:hAnsi="Arial Narrow" w:cs="Arial Narrow"/>
      <w:b/>
      <w:bCs/>
      <w:sz w:val="17"/>
      <w:szCs w:val="17"/>
      <w:lang w:eastAsia="es-ES"/>
    </w:rPr>
  </w:style>
  <w:style w:type="paragraph" w:styleId="Ttulo6">
    <w:name w:val="heading 6"/>
    <w:basedOn w:val="Normal"/>
    <w:next w:val="Normal"/>
    <w:link w:val="Ttulo6Car"/>
    <w:qFormat/>
    <w:rsid w:val="00A20D15"/>
    <w:pPr>
      <w:keepNext/>
      <w:spacing w:line="312" w:lineRule="auto"/>
      <w:outlineLvl w:val="5"/>
    </w:pPr>
    <w:rPr>
      <w:rFonts w:ascii="Arial Narrow" w:eastAsia="Times New Roman" w:hAnsi="Arial Narrow" w:cs="Arial Narrow"/>
      <w:b/>
      <w:bCs/>
      <w:sz w:val="18"/>
      <w:szCs w:val="18"/>
      <w:lang w:val="es-ES_tradnl" w:eastAsia="es-ES"/>
    </w:rPr>
  </w:style>
  <w:style w:type="paragraph" w:styleId="Ttulo7">
    <w:name w:val="heading 7"/>
    <w:basedOn w:val="Normal"/>
    <w:next w:val="Normal"/>
    <w:link w:val="Ttulo7Car"/>
    <w:qFormat/>
    <w:rsid w:val="00A20D15"/>
    <w:pPr>
      <w:keepNext/>
      <w:spacing w:line="312" w:lineRule="auto"/>
      <w:jc w:val="center"/>
      <w:outlineLvl w:val="6"/>
    </w:pPr>
    <w:rPr>
      <w:rFonts w:ascii="Arial Narrow" w:eastAsia="Times New Roman" w:hAnsi="Arial Narrow" w:cs="Arial Narrow"/>
      <w:b/>
      <w:bCs/>
      <w:color w:val="000000"/>
      <w:lang w:eastAsia="es-ES"/>
    </w:rPr>
  </w:style>
  <w:style w:type="paragraph" w:styleId="Ttulo8">
    <w:name w:val="heading 8"/>
    <w:basedOn w:val="Normal"/>
    <w:next w:val="Normal"/>
    <w:link w:val="Ttulo8Car"/>
    <w:qFormat/>
    <w:rsid w:val="00A20D15"/>
    <w:pPr>
      <w:keepNext/>
      <w:widowControl w:val="0"/>
      <w:spacing w:line="240" w:lineRule="auto"/>
      <w:outlineLvl w:val="7"/>
    </w:pPr>
    <w:rPr>
      <w:rFonts w:ascii="CG Times" w:eastAsia="Times New Roman" w:hAnsi="CG Times" w:cs="CG Times"/>
      <w:b/>
      <w:bCs/>
      <w:sz w:val="17"/>
      <w:szCs w:val="17"/>
      <w:lang w:eastAsia="es-ES"/>
    </w:rPr>
  </w:style>
  <w:style w:type="paragraph" w:styleId="Ttulo9">
    <w:name w:val="heading 9"/>
    <w:basedOn w:val="Normal"/>
    <w:next w:val="Normal"/>
    <w:link w:val="Ttulo9Car"/>
    <w:qFormat/>
    <w:rsid w:val="00A20D15"/>
    <w:pPr>
      <w:keepNext/>
      <w:widowControl w:val="0"/>
      <w:tabs>
        <w:tab w:val="left" w:pos="426"/>
        <w:tab w:val="left" w:pos="993"/>
        <w:tab w:val="left" w:pos="1276"/>
        <w:tab w:val="left" w:pos="1701"/>
        <w:tab w:val="right" w:leader="dot" w:pos="8505"/>
      </w:tabs>
      <w:spacing w:line="312" w:lineRule="auto"/>
      <w:outlineLvl w:val="8"/>
    </w:pPr>
    <w:rPr>
      <w:rFonts w:ascii="Arial Narrow" w:eastAsia="Times New Roman" w:hAnsi="Arial Narrow" w:cs="Arial Narrow"/>
      <w:b/>
      <w:bCs/>
      <w:i/>
      <w:iCs/>
      <w:sz w:val="26"/>
      <w:szCs w:val="26"/>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022DE2"/>
    <w:rPr>
      <w:rFonts w:ascii="Arial" w:hAnsi="Arial" w:cs="Arial"/>
      <w:b/>
      <w:bCs/>
      <w:snapToGrid w:val="0"/>
      <w:sz w:val="20"/>
      <w:szCs w:val="20"/>
      <w:lang w:eastAsia="es-ES"/>
    </w:rPr>
  </w:style>
  <w:style w:type="character" w:customStyle="1" w:styleId="Ttulo2Car">
    <w:name w:val="Título 2 Car"/>
    <w:basedOn w:val="Fuentedeprrafopredeter"/>
    <w:link w:val="Ttulo2"/>
    <w:rsid w:val="00022DE2"/>
    <w:rPr>
      <w:rFonts w:ascii="Arial" w:hAnsi="Arial" w:cs="Arial"/>
      <w:b/>
      <w:bCs/>
      <w:snapToGrid w:val="0"/>
      <w:sz w:val="20"/>
      <w:szCs w:val="20"/>
      <w:lang w:val="es-ES_tradnl" w:eastAsia="es-ES"/>
    </w:rPr>
  </w:style>
  <w:style w:type="character" w:customStyle="1" w:styleId="Ttulo3Car">
    <w:name w:val="Título 3 Car"/>
    <w:basedOn w:val="Fuentedeprrafopredeter"/>
    <w:link w:val="Ttulo3"/>
    <w:rsid w:val="009F3D7E"/>
    <w:rPr>
      <w:rFonts w:ascii="Arial" w:hAnsi="Arial" w:cs="Arial"/>
      <w:b/>
      <w:bCs/>
      <w:sz w:val="20"/>
      <w:szCs w:val="20"/>
      <w:lang w:val="es-ES_tradnl" w:eastAsia="es-ES"/>
    </w:rPr>
  </w:style>
  <w:style w:type="character" w:customStyle="1" w:styleId="Ttulo4Car">
    <w:name w:val="Título 4 Car"/>
    <w:basedOn w:val="Fuentedeprrafopredeter"/>
    <w:link w:val="Ttulo4"/>
    <w:rsid w:val="00A20D15"/>
    <w:rPr>
      <w:rFonts w:ascii="Arial Narrow" w:hAnsi="Arial Narrow" w:cs="Arial Narrow"/>
      <w:b/>
      <w:bCs/>
      <w:i/>
      <w:iCs/>
      <w:sz w:val="20"/>
      <w:szCs w:val="20"/>
      <w:lang w:eastAsia="es-ES"/>
    </w:rPr>
  </w:style>
  <w:style w:type="character" w:customStyle="1" w:styleId="Ttulo5Car">
    <w:name w:val="Título 5 Car"/>
    <w:basedOn w:val="Fuentedeprrafopredeter"/>
    <w:link w:val="Ttulo5"/>
    <w:rsid w:val="00A20D15"/>
    <w:rPr>
      <w:rFonts w:ascii="Arial Narrow" w:hAnsi="Arial Narrow" w:cs="Arial Narrow"/>
      <w:b/>
      <w:bCs/>
      <w:snapToGrid w:val="0"/>
      <w:sz w:val="20"/>
      <w:szCs w:val="20"/>
      <w:lang w:eastAsia="es-ES"/>
    </w:rPr>
  </w:style>
  <w:style w:type="character" w:customStyle="1" w:styleId="Ttulo6Car">
    <w:name w:val="Título 6 Car"/>
    <w:basedOn w:val="Fuentedeprrafopredeter"/>
    <w:link w:val="Ttulo6"/>
    <w:rsid w:val="00A20D15"/>
    <w:rPr>
      <w:rFonts w:ascii="Arial Narrow" w:hAnsi="Arial Narrow" w:cs="Arial Narrow"/>
      <w:b/>
      <w:bCs/>
      <w:sz w:val="20"/>
      <w:szCs w:val="20"/>
      <w:lang w:val="es-ES_tradnl" w:eastAsia="es-ES"/>
    </w:rPr>
  </w:style>
  <w:style w:type="character" w:customStyle="1" w:styleId="Ttulo7Car">
    <w:name w:val="Título 7 Car"/>
    <w:basedOn w:val="Fuentedeprrafopredeter"/>
    <w:link w:val="Ttulo7"/>
    <w:rsid w:val="00A20D15"/>
    <w:rPr>
      <w:rFonts w:ascii="Arial Narrow" w:hAnsi="Arial Narrow" w:cs="Arial Narrow"/>
      <w:b/>
      <w:bCs/>
      <w:snapToGrid w:val="0"/>
      <w:color w:val="000000"/>
      <w:sz w:val="20"/>
      <w:szCs w:val="20"/>
      <w:lang w:eastAsia="es-ES"/>
    </w:rPr>
  </w:style>
  <w:style w:type="character" w:customStyle="1" w:styleId="Ttulo8Car">
    <w:name w:val="Título 8 Car"/>
    <w:basedOn w:val="Fuentedeprrafopredeter"/>
    <w:link w:val="Ttulo8"/>
    <w:rsid w:val="00A20D15"/>
    <w:rPr>
      <w:rFonts w:ascii="CG Times" w:hAnsi="CG Times" w:cs="CG Times"/>
      <w:b/>
      <w:bCs/>
      <w:snapToGrid w:val="0"/>
      <w:sz w:val="20"/>
      <w:szCs w:val="20"/>
      <w:lang w:eastAsia="es-ES"/>
    </w:rPr>
  </w:style>
  <w:style w:type="character" w:customStyle="1" w:styleId="Ttulo9Car">
    <w:name w:val="Título 9 Car"/>
    <w:basedOn w:val="Fuentedeprrafopredeter"/>
    <w:link w:val="Ttulo9"/>
    <w:rsid w:val="00A20D15"/>
    <w:rPr>
      <w:rFonts w:ascii="Arial Narrow" w:hAnsi="Arial Narrow" w:cs="Arial Narrow"/>
      <w:b/>
      <w:bCs/>
      <w:i/>
      <w:iCs/>
      <w:snapToGrid w:val="0"/>
      <w:sz w:val="20"/>
      <w:szCs w:val="20"/>
      <w:lang w:val="es-ES_tradnl" w:eastAsia="es-ES"/>
    </w:rPr>
  </w:style>
  <w:style w:type="paragraph" w:styleId="Prrafodelista">
    <w:name w:val="List Paragraph"/>
    <w:basedOn w:val="Normal"/>
    <w:qFormat/>
    <w:rsid w:val="00A20D15"/>
    <w:pPr>
      <w:spacing w:after="200" w:line="276" w:lineRule="auto"/>
      <w:ind w:left="720"/>
      <w:contextualSpacing/>
    </w:pPr>
    <w:rPr>
      <w:rFonts w:ascii="Calibri" w:hAnsi="Calibri" w:cs="Calibri"/>
    </w:rPr>
  </w:style>
  <w:style w:type="paragraph" w:styleId="Textoindependiente">
    <w:name w:val="Body Text"/>
    <w:basedOn w:val="Normal"/>
    <w:link w:val="TextoindependienteCar"/>
    <w:rsid w:val="00A20D15"/>
    <w:pPr>
      <w:spacing w:line="240" w:lineRule="auto"/>
    </w:pPr>
    <w:rPr>
      <w:rFonts w:ascii="CG Times" w:eastAsia="Times New Roman" w:hAnsi="CG Times" w:cs="CG Times"/>
      <w:sz w:val="26"/>
      <w:szCs w:val="26"/>
      <w:lang w:eastAsia="es-ES"/>
    </w:rPr>
  </w:style>
  <w:style w:type="character" w:customStyle="1" w:styleId="TextoindependienteCar">
    <w:name w:val="Texto independiente Car"/>
    <w:basedOn w:val="Fuentedeprrafopredeter"/>
    <w:link w:val="Textoindependiente"/>
    <w:rsid w:val="00A20D15"/>
    <w:rPr>
      <w:rFonts w:ascii="CG Times" w:hAnsi="CG Times" w:cs="CG Times"/>
      <w:sz w:val="20"/>
      <w:szCs w:val="20"/>
      <w:lang w:eastAsia="es-ES"/>
    </w:rPr>
  </w:style>
  <w:style w:type="paragraph" w:styleId="Encabezado">
    <w:name w:val="header"/>
    <w:basedOn w:val="Normal"/>
    <w:link w:val="EncabezadoCar"/>
    <w:rsid w:val="00A20D15"/>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A20D15"/>
    <w:rPr>
      <w:rFonts w:cs="Times New Roman"/>
    </w:rPr>
  </w:style>
  <w:style w:type="paragraph" w:styleId="Piedepgina">
    <w:name w:val="footer"/>
    <w:basedOn w:val="Normal"/>
    <w:link w:val="PiedepginaCar"/>
    <w:uiPriority w:val="99"/>
    <w:rsid w:val="00A20D15"/>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A20D15"/>
    <w:rPr>
      <w:rFonts w:cs="Times New Roman"/>
    </w:rPr>
  </w:style>
  <w:style w:type="paragraph" w:styleId="Textoindependiente2">
    <w:name w:val="Body Text 2"/>
    <w:basedOn w:val="Normal"/>
    <w:link w:val="Textoindependiente2Car"/>
    <w:rsid w:val="00A20D15"/>
    <w:pPr>
      <w:spacing w:after="120" w:line="480" w:lineRule="auto"/>
    </w:pPr>
  </w:style>
  <w:style w:type="character" w:customStyle="1" w:styleId="Textoindependiente2Car">
    <w:name w:val="Texto independiente 2 Car"/>
    <w:basedOn w:val="Fuentedeprrafopredeter"/>
    <w:link w:val="Textoindependiente2"/>
    <w:rsid w:val="00A20D15"/>
    <w:rPr>
      <w:rFonts w:cs="Times New Roman"/>
    </w:rPr>
  </w:style>
  <w:style w:type="character" w:customStyle="1" w:styleId="FootnoteTextChar">
    <w:name w:val="Footnote Text Char"/>
    <w:uiPriority w:val="99"/>
    <w:semiHidden/>
    <w:rsid w:val="00A20D15"/>
    <w:rPr>
      <w:rFonts w:ascii="CG Times" w:hAnsi="CG Times" w:cs="CG Times"/>
      <w:snapToGrid w:val="0"/>
      <w:sz w:val="20"/>
      <w:szCs w:val="20"/>
      <w:lang w:val="es-ES_tradnl" w:eastAsia="es-ES"/>
    </w:rPr>
  </w:style>
  <w:style w:type="paragraph" w:styleId="Textonotapie">
    <w:name w:val="footnote text"/>
    <w:basedOn w:val="Normal"/>
    <w:link w:val="TextonotapieCar"/>
    <w:semiHidden/>
    <w:rsid w:val="00A20D15"/>
    <w:pPr>
      <w:widowControl w:val="0"/>
      <w:spacing w:line="240" w:lineRule="auto"/>
    </w:pPr>
    <w:rPr>
      <w:rFonts w:ascii="CG Times" w:hAnsi="CG Times" w:cs="CG Times"/>
      <w:lang w:val="es-ES_tradnl" w:eastAsia="es-ES"/>
    </w:rPr>
  </w:style>
  <w:style w:type="character" w:customStyle="1" w:styleId="TextonotapieCar">
    <w:name w:val="Texto nota pie Car"/>
    <w:basedOn w:val="Fuentedeprrafopredeter"/>
    <w:link w:val="Textonotapie"/>
    <w:semiHidden/>
    <w:rsid w:val="00F30961"/>
    <w:rPr>
      <w:rFonts w:ascii="Arial" w:hAnsi="Arial" w:cs="Arial"/>
      <w:sz w:val="20"/>
      <w:szCs w:val="20"/>
      <w:lang w:eastAsia="en-US"/>
    </w:rPr>
  </w:style>
  <w:style w:type="character" w:customStyle="1" w:styleId="TextonotapieCar1">
    <w:name w:val="Texto nota pie Car1"/>
    <w:basedOn w:val="Fuentedeprrafopredeter"/>
    <w:uiPriority w:val="99"/>
    <w:semiHidden/>
    <w:rsid w:val="00A20D15"/>
    <w:rPr>
      <w:rFonts w:cs="Times New Roman"/>
      <w:sz w:val="20"/>
      <w:szCs w:val="20"/>
    </w:rPr>
  </w:style>
  <w:style w:type="paragraph" w:customStyle="1" w:styleId="ARIALNARROW">
    <w:name w:val="ARIAL NARROW"/>
    <w:basedOn w:val="Normal"/>
    <w:rsid w:val="00A20D15"/>
    <w:pPr>
      <w:spacing w:line="312" w:lineRule="auto"/>
    </w:pPr>
    <w:rPr>
      <w:rFonts w:eastAsia="Times New Roman"/>
      <w:lang w:val="es-ES_tradnl" w:eastAsia="es-ES"/>
    </w:rPr>
  </w:style>
  <w:style w:type="paragraph" w:styleId="Sangradetextonormal">
    <w:name w:val="Body Text Indent"/>
    <w:basedOn w:val="Normal"/>
    <w:link w:val="SangradetextonormalCar"/>
    <w:rsid w:val="00A20D15"/>
    <w:pPr>
      <w:spacing w:line="312" w:lineRule="auto"/>
      <w:ind w:firstLine="708"/>
    </w:pPr>
    <w:rPr>
      <w:rFonts w:ascii="Arial Narrow" w:eastAsia="Times New Roman" w:hAnsi="Arial Narrow" w:cs="Arial Narrow"/>
      <w:sz w:val="26"/>
      <w:szCs w:val="26"/>
      <w:lang w:eastAsia="es-ES"/>
    </w:rPr>
  </w:style>
  <w:style w:type="character" w:customStyle="1" w:styleId="SangradetextonormalCar">
    <w:name w:val="Sangría de texto normal Car"/>
    <w:basedOn w:val="Fuentedeprrafopredeter"/>
    <w:link w:val="Sangradetextonormal"/>
    <w:rsid w:val="00A20D15"/>
    <w:rPr>
      <w:rFonts w:ascii="Arial Narrow" w:hAnsi="Arial Narrow" w:cs="Arial Narrow"/>
      <w:sz w:val="20"/>
      <w:szCs w:val="20"/>
      <w:lang w:eastAsia="es-ES"/>
    </w:rPr>
  </w:style>
  <w:style w:type="paragraph" w:styleId="Sangra2detindependiente">
    <w:name w:val="Body Text Indent 2"/>
    <w:basedOn w:val="Normal"/>
    <w:link w:val="Sangra2detindependienteCar"/>
    <w:rsid w:val="00A20D15"/>
    <w:pPr>
      <w:spacing w:line="240" w:lineRule="auto"/>
      <w:ind w:left="584" w:hanging="584"/>
    </w:pPr>
    <w:rPr>
      <w:rFonts w:ascii="Arial Black" w:eastAsia="Times New Roman" w:hAnsi="Arial Black" w:cs="Arial Black"/>
      <w:sz w:val="14"/>
      <w:szCs w:val="14"/>
      <w:lang w:eastAsia="es-ES"/>
    </w:rPr>
  </w:style>
  <w:style w:type="character" w:customStyle="1" w:styleId="Sangra2detindependienteCar">
    <w:name w:val="Sangría 2 de t. independiente Car"/>
    <w:basedOn w:val="Fuentedeprrafopredeter"/>
    <w:link w:val="Sangra2detindependiente"/>
    <w:rsid w:val="00A20D15"/>
    <w:rPr>
      <w:rFonts w:ascii="Arial Black" w:hAnsi="Arial Black" w:cs="Arial Black"/>
      <w:sz w:val="20"/>
      <w:szCs w:val="20"/>
      <w:lang w:eastAsia="es-ES"/>
    </w:rPr>
  </w:style>
  <w:style w:type="paragraph" w:styleId="Textoindependiente3">
    <w:name w:val="Body Text 3"/>
    <w:basedOn w:val="Normal"/>
    <w:link w:val="Textoindependiente3Car"/>
    <w:rsid w:val="00A20D15"/>
    <w:pPr>
      <w:spacing w:line="240" w:lineRule="auto"/>
      <w:jc w:val="center"/>
    </w:pPr>
    <w:rPr>
      <w:rFonts w:ascii="Arial Black" w:eastAsia="Times New Roman" w:hAnsi="Arial Black" w:cs="Arial Black"/>
      <w:sz w:val="16"/>
      <w:szCs w:val="16"/>
      <w:lang w:eastAsia="es-ES"/>
    </w:rPr>
  </w:style>
  <w:style w:type="character" w:customStyle="1" w:styleId="Textoindependiente3Car">
    <w:name w:val="Texto independiente 3 Car"/>
    <w:basedOn w:val="Fuentedeprrafopredeter"/>
    <w:link w:val="Textoindependiente3"/>
    <w:rsid w:val="00A20D15"/>
    <w:rPr>
      <w:rFonts w:ascii="Arial Black" w:hAnsi="Arial Black" w:cs="Arial Black"/>
      <w:sz w:val="20"/>
      <w:szCs w:val="20"/>
      <w:lang w:eastAsia="es-ES"/>
    </w:rPr>
  </w:style>
  <w:style w:type="character" w:styleId="Nmerodepgina">
    <w:name w:val="page number"/>
    <w:basedOn w:val="Fuentedeprrafopredeter"/>
    <w:rsid w:val="00A20D15"/>
    <w:rPr>
      <w:rFonts w:cs="Times New Roman"/>
    </w:rPr>
  </w:style>
  <w:style w:type="paragraph" w:styleId="Sangra3detindependiente">
    <w:name w:val="Body Text Indent 3"/>
    <w:basedOn w:val="Normal"/>
    <w:link w:val="Sangra3detindependienteCar"/>
    <w:rsid w:val="00A20D15"/>
    <w:pPr>
      <w:spacing w:line="312" w:lineRule="auto"/>
      <w:ind w:firstLine="705"/>
    </w:pPr>
    <w:rPr>
      <w:rFonts w:ascii="Arial Narrow" w:eastAsia="Times New Roman" w:hAnsi="Arial Narrow" w:cs="Arial Narrow"/>
      <w:sz w:val="26"/>
      <w:szCs w:val="26"/>
      <w:lang w:eastAsia="es-ES"/>
    </w:rPr>
  </w:style>
  <w:style w:type="character" w:customStyle="1" w:styleId="Sangra3detindependienteCar">
    <w:name w:val="Sangría 3 de t. independiente Car"/>
    <w:basedOn w:val="Fuentedeprrafopredeter"/>
    <w:link w:val="Sangra3detindependiente"/>
    <w:rsid w:val="00A20D15"/>
    <w:rPr>
      <w:rFonts w:ascii="Arial Narrow" w:hAnsi="Arial Narrow" w:cs="Arial Narrow"/>
      <w:sz w:val="20"/>
      <w:szCs w:val="20"/>
      <w:lang w:eastAsia="es-ES"/>
    </w:rPr>
  </w:style>
  <w:style w:type="paragraph" w:customStyle="1" w:styleId="Rpido1">
    <w:name w:val="Rápido 1."/>
    <w:basedOn w:val="Normal"/>
    <w:rsid w:val="00A20D15"/>
    <w:pPr>
      <w:widowControl w:val="0"/>
      <w:spacing w:line="240" w:lineRule="auto"/>
      <w:ind w:left="584" w:hanging="584"/>
    </w:pPr>
    <w:rPr>
      <w:rFonts w:ascii="Zurich Cn BT" w:eastAsia="Times New Roman" w:hAnsi="Zurich Cn BT" w:cs="Zurich Cn BT"/>
      <w:sz w:val="24"/>
      <w:szCs w:val="24"/>
      <w:lang w:val="en-US" w:eastAsia="es-ES"/>
    </w:rPr>
  </w:style>
  <w:style w:type="paragraph" w:customStyle="1" w:styleId="Rpidoa">
    <w:name w:val="Rápido a)"/>
    <w:basedOn w:val="Normal"/>
    <w:rsid w:val="00A20D15"/>
    <w:pPr>
      <w:widowControl w:val="0"/>
      <w:numPr>
        <w:numId w:val="1"/>
      </w:numPr>
      <w:spacing w:line="240" w:lineRule="auto"/>
      <w:ind w:left="554" w:hanging="554"/>
    </w:pPr>
    <w:rPr>
      <w:rFonts w:ascii="Zurich Cn BT" w:eastAsia="Times New Roman" w:hAnsi="Zurich Cn BT" w:cs="Zurich Cn BT"/>
      <w:sz w:val="24"/>
      <w:szCs w:val="24"/>
      <w:lang w:val="en-US" w:eastAsia="es-ES"/>
    </w:rPr>
  </w:style>
  <w:style w:type="paragraph" w:styleId="Listaconvietas">
    <w:name w:val="List Bullet"/>
    <w:basedOn w:val="Normal"/>
    <w:autoRedefine/>
    <w:rsid w:val="00A20D15"/>
    <w:pPr>
      <w:widowControl w:val="0"/>
      <w:tabs>
        <w:tab w:val="num" w:pos="360"/>
      </w:tabs>
      <w:spacing w:line="240" w:lineRule="auto"/>
      <w:ind w:left="360" w:hanging="360"/>
    </w:pPr>
    <w:rPr>
      <w:rFonts w:ascii="Zurich Cn BT" w:eastAsia="Times New Roman" w:hAnsi="Zurich Cn BT" w:cs="Zurich Cn BT"/>
      <w:sz w:val="24"/>
      <w:szCs w:val="24"/>
      <w:lang w:val="en-US" w:eastAsia="es-ES"/>
    </w:rPr>
  </w:style>
  <w:style w:type="character" w:customStyle="1" w:styleId="BalloonTextChar">
    <w:name w:val="Balloon Text Char"/>
    <w:uiPriority w:val="99"/>
    <w:semiHidden/>
    <w:rsid w:val="00A20D15"/>
    <w:rPr>
      <w:rFonts w:ascii="Tahoma" w:hAnsi="Tahoma" w:cs="Tahoma"/>
      <w:sz w:val="16"/>
      <w:szCs w:val="16"/>
      <w:lang w:eastAsia="es-ES"/>
    </w:rPr>
  </w:style>
  <w:style w:type="paragraph" w:styleId="Textodeglobo">
    <w:name w:val="Balloon Text"/>
    <w:basedOn w:val="Normal"/>
    <w:link w:val="TextodegloboCar"/>
    <w:uiPriority w:val="99"/>
    <w:semiHidden/>
    <w:rsid w:val="00A20D15"/>
    <w:pPr>
      <w:spacing w:line="312" w:lineRule="auto"/>
    </w:pPr>
    <w:rPr>
      <w:rFonts w:ascii="Tahoma" w:hAnsi="Tahoma" w:cs="Tahoma"/>
      <w:sz w:val="16"/>
      <w:szCs w:val="16"/>
      <w:lang w:eastAsia="es-ES"/>
    </w:rPr>
  </w:style>
  <w:style w:type="character" w:customStyle="1" w:styleId="TextodegloboCar">
    <w:name w:val="Texto de globo Car"/>
    <w:basedOn w:val="Fuentedeprrafopredeter"/>
    <w:link w:val="Textodeglobo"/>
    <w:uiPriority w:val="99"/>
    <w:semiHidden/>
    <w:rsid w:val="00F30961"/>
    <w:rPr>
      <w:rFonts w:ascii="Times New Roman" w:hAnsi="Times New Roman" w:cs="Times New Roman"/>
      <w:sz w:val="2"/>
      <w:szCs w:val="2"/>
      <w:lang w:eastAsia="en-US"/>
    </w:rPr>
  </w:style>
  <w:style w:type="character" w:customStyle="1" w:styleId="TextodegloboCar1">
    <w:name w:val="Texto de globo Car1"/>
    <w:basedOn w:val="Fuentedeprrafopredeter"/>
    <w:uiPriority w:val="99"/>
    <w:semiHidden/>
    <w:rsid w:val="00A20D15"/>
    <w:rPr>
      <w:rFonts w:ascii="Tahoma" w:hAnsi="Tahoma" w:cs="Tahoma"/>
      <w:sz w:val="16"/>
      <w:szCs w:val="16"/>
    </w:rPr>
  </w:style>
  <w:style w:type="paragraph" w:customStyle="1" w:styleId="LUIKI">
    <w:name w:val="LUIKI"/>
    <w:basedOn w:val="Normal"/>
    <w:rsid w:val="00A20D15"/>
    <w:pPr>
      <w:tabs>
        <w:tab w:val="left" w:pos="426"/>
        <w:tab w:val="left" w:pos="851"/>
        <w:tab w:val="left" w:pos="1276"/>
        <w:tab w:val="left" w:pos="1701"/>
        <w:tab w:val="left" w:pos="2127"/>
        <w:tab w:val="left" w:leader="dot" w:pos="2552"/>
        <w:tab w:val="left" w:pos="2977"/>
        <w:tab w:val="left" w:pos="3402"/>
        <w:tab w:val="left" w:pos="3828"/>
        <w:tab w:val="left" w:pos="4253"/>
      </w:tabs>
      <w:spacing w:line="240" w:lineRule="auto"/>
    </w:pPr>
    <w:rPr>
      <w:rFonts w:eastAsia="Times New Roman"/>
      <w:lang w:val="es-ES_tradnl" w:eastAsia="es-ES_tradnl"/>
    </w:rPr>
  </w:style>
  <w:style w:type="paragraph" w:styleId="NormalWeb">
    <w:name w:val="Normal (Web)"/>
    <w:basedOn w:val="Normal"/>
    <w:uiPriority w:val="99"/>
    <w:rsid w:val="00A20D15"/>
    <w:pPr>
      <w:spacing w:before="100" w:beforeAutospacing="1" w:after="240" w:line="240" w:lineRule="auto"/>
    </w:pPr>
    <w:rPr>
      <w:rFonts w:ascii="Times New Roman" w:eastAsia="Times New Roman" w:hAnsi="Times New Roman" w:cs="Times New Roman"/>
      <w:sz w:val="34"/>
      <w:szCs w:val="34"/>
      <w:lang w:eastAsia="es-ES"/>
    </w:rPr>
  </w:style>
  <w:style w:type="character" w:customStyle="1" w:styleId="CommentTextChar">
    <w:name w:val="Comment Text Char"/>
    <w:uiPriority w:val="99"/>
    <w:semiHidden/>
    <w:rsid w:val="00A20D15"/>
    <w:rPr>
      <w:rFonts w:ascii="Arial Narrow" w:hAnsi="Arial Narrow" w:cs="Arial Narrow"/>
      <w:sz w:val="20"/>
      <w:szCs w:val="20"/>
      <w:lang w:eastAsia="es-ES"/>
    </w:rPr>
  </w:style>
  <w:style w:type="paragraph" w:styleId="Textocomentario">
    <w:name w:val="annotation text"/>
    <w:basedOn w:val="Normal"/>
    <w:link w:val="TextocomentarioCar"/>
    <w:semiHidden/>
    <w:rsid w:val="00A20D15"/>
    <w:pPr>
      <w:spacing w:line="312" w:lineRule="auto"/>
    </w:pPr>
    <w:rPr>
      <w:rFonts w:ascii="Arial Narrow" w:hAnsi="Arial Narrow" w:cs="Arial Narrow"/>
      <w:lang w:eastAsia="es-ES"/>
    </w:rPr>
  </w:style>
  <w:style w:type="character" w:customStyle="1" w:styleId="TextocomentarioCar">
    <w:name w:val="Texto comentario Car"/>
    <w:basedOn w:val="Fuentedeprrafopredeter"/>
    <w:link w:val="Textocomentario"/>
    <w:semiHidden/>
    <w:rsid w:val="00F30961"/>
    <w:rPr>
      <w:rFonts w:ascii="Arial" w:hAnsi="Arial" w:cs="Arial"/>
      <w:sz w:val="20"/>
      <w:szCs w:val="20"/>
      <w:lang w:eastAsia="en-US"/>
    </w:rPr>
  </w:style>
  <w:style w:type="character" w:customStyle="1" w:styleId="TextocomentarioCar1">
    <w:name w:val="Texto comentario Car1"/>
    <w:basedOn w:val="Fuentedeprrafopredeter"/>
    <w:uiPriority w:val="99"/>
    <w:semiHidden/>
    <w:rsid w:val="00A20D15"/>
    <w:rPr>
      <w:rFonts w:cs="Times New Roman"/>
      <w:sz w:val="20"/>
      <w:szCs w:val="20"/>
    </w:rPr>
  </w:style>
  <w:style w:type="character" w:customStyle="1" w:styleId="CommentSubjectChar">
    <w:name w:val="Comment Subject Char"/>
    <w:uiPriority w:val="99"/>
    <w:semiHidden/>
    <w:rsid w:val="00A20D15"/>
    <w:rPr>
      <w:rFonts w:ascii="Arial Narrow" w:hAnsi="Arial Narrow" w:cs="Arial Narrow"/>
      <w:b/>
      <w:bCs/>
      <w:sz w:val="20"/>
      <w:szCs w:val="20"/>
      <w:lang w:eastAsia="es-ES"/>
    </w:rPr>
  </w:style>
  <w:style w:type="paragraph" w:styleId="Asuntodelcomentario">
    <w:name w:val="annotation subject"/>
    <w:basedOn w:val="Textocomentario"/>
    <w:next w:val="Textocomentario"/>
    <w:link w:val="AsuntodelcomentarioCar"/>
    <w:semiHidden/>
    <w:rsid w:val="00A20D15"/>
    <w:rPr>
      <w:b/>
      <w:bCs/>
    </w:rPr>
  </w:style>
  <w:style w:type="character" w:customStyle="1" w:styleId="AsuntodelcomentarioCar">
    <w:name w:val="Asunto del comentario Car"/>
    <w:basedOn w:val="CommentTextChar"/>
    <w:link w:val="Asuntodelcomentario"/>
    <w:semiHidden/>
    <w:rsid w:val="00F30961"/>
    <w:rPr>
      <w:rFonts w:ascii="Arial" w:hAnsi="Arial" w:cs="Arial"/>
      <w:b/>
      <w:bCs/>
      <w:sz w:val="20"/>
      <w:szCs w:val="20"/>
      <w:lang w:eastAsia="en-US"/>
    </w:rPr>
  </w:style>
  <w:style w:type="character" w:customStyle="1" w:styleId="AsuntodelcomentarioCar1">
    <w:name w:val="Asunto del comentario Car1"/>
    <w:basedOn w:val="TextocomentarioCar1"/>
    <w:uiPriority w:val="99"/>
    <w:semiHidden/>
    <w:rsid w:val="00A20D15"/>
    <w:rPr>
      <w:rFonts w:cs="Times New Roman"/>
      <w:b/>
      <w:bCs/>
      <w:sz w:val="20"/>
      <w:szCs w:val="20"/>
    </w:rPr>
  </w:style>
  <w:style w:type="character" w:customStyle="1" w:styleId="EndnoteTextChar">
    <w:name w:val="Endnote Text Char"/>
    <w:uiPriority w:val="99"/>
    <w:semiHidden/>
    <w:rsid w:val="00A20D15"/>
    <w:rPr>
      <w:rFonts w:ascii="Arial Narrow" w:hAnsi="Arial Narrow" w:cs="Arial Narrow"/>
      <w:sz w:val="20"/>
      <w:szCs w:val="20"/>
      <w:lang w:eastAsia="es-ES"/>
    </w:rPr>
  </w:style>
  <w:style w:type="paragraph" w:styleId="Textonotaalfinal">
    <w:name w:val="endnote text"/>
    <w:basedOn w:val="Normal"/>
    <w:link w:val="TextonotaalfinalCar"/>
    <w:uiPriority w:val="99"/>
    <w:semiHidden/>
    <w:rsid w:val="00A20D15"/>
    <w:pPr>
      <w:spacing w:line="312" w:lineRule="auto"/>
    </w:pPr>
    <w:rPr>
      <w:rFonts w:ascii="Arial Narrow" w:hAnsi="Arial Narrow" w:cs="Arial Narrow"/>
      <w:lang w:eastAsia="es-ES"/>
    </w:rPr>
  </w:style>
  <w:style w:type="character" w:customStyle="1" w:styleId="TextonotaalfinalCar">
    <w:name w:val="Texto nota al final Car"/>
    <w:basedOn w:val="Fuentedeprrafopredeter"/>
    <w:link w:val="Textonotaalfinal"/>
    <w:uiPriority w:val="99"/>
    <w:semiHidden/>
    <w:rsid w:val="00F30961"/>
    <w:rPr>
      <w:rFonts w:ascii="Arial" w:hAnsi="Arial" w:cs="Arial"/>
      <w:sz w:val="20"/>
      <w:szCs w:val="20"/>
      <w:lang w:eastAsia="en-US"/>
    </w:rPr>
  </w:style>
  <w:style w:type="character" w:customStyle="1" w:styleId="TextonotaalfinalCar1">
    <w:name w:val="Texto nota al final Car1"/>
    <w:basedOn w:val="Fuentedeprrafopredeter"/>
    <w:uiPriority w:val="99"/>
    <w:semiHidden/>
    <w:rsid w:val="00A20D15"/>
    <w:rPr>
      <w:rFonts w:cs="Times New Roman"/>
      <w:sz w:val="20"/>
      <w:szCs w:val="20"/>
    </w:rPr>
  </w:style>
  <w:style w:type="character" w:styleId="Textoennegrita">
    <w:name w:val="Strong"/>
    <w:basedOn w:val="Fuentedeprrafopredeter"/>
    <w:uiPriority w:val="22"/>
    <w:qFormat/>
    <w:rsid w:val="00A20D15"/>
    <w:rPr>
      <w:rFonts w:cs="Times New Roman"/>
      <w:b/>
      <w:bCs/>
    </w:rPr>
  </w:style>
  <w:style w:type="paragraph" w:styleId="Lista">
    <w:name w:val="List"/>
    <w:basedOn w:val="Normal"/>
    <w:uiPriority w:val="99"/>
    <w:rsid w:val="00A20D15"/>
    <w:pPr>
      <w:spacing w:line="312" w:lineRule="auto"/>
      <w:ind w:left="283" w:hanging="283"/>
      <w:contextualSpacing/>
    </w:pPr>
    <w:rPr>
      <w:rFonts w:ascii="Arial Narrow" w:eastAsia="Times New Roman" w:hAnsi="Arial Narrow" w:cs="Arial Narrow"/>
      <w:sz w:val="26"/>
      <w:szCs w:val="26"/>
      <w:lang w:eastAsia="es-ES"/>
    </w:rPr>
  </w:style>
  <w:style w:type="paragraph" w:styleId="Saludo">
    <w:name w:val="Salutation"/>
    <w:basedOn w:val="Normal"/>
    <w:next w:val="Normal"/>
    <w:link w:val="SaludoCar"/>
    <w:uiPriority w:val="99"/>
    <w:rsid w:val="00A20D15"/>
    <w:pPr>
      <w:spacing w:line="312" w:lineRule="auto"/>
    </w:pPr>
    <w:rPr>
      <w:rFonts w:ascii="Arial Narrow" w:eastAsia="Times New Roman" w:hAnsi="Arial Narrow" w:cs="Arial Narrow"/>
      <w:sz w:val="26"/>
      <w:szCs w:val="26"/>
      <w:lang w:eastAsia="es-ES"/>
    </w:rPr>
  </w:style>
  <w:style w:type="character" w:customStyle="1" w:styleId="SaludoCar">
    <w:name w:val="Saludo Car"/>
    <w:basedOn w:val="Fuentedeprrafopredeter"/>
    <w:link w:val="Saludo"/>
    <w:uiPriority w:val="99"/>
    <w:rsid w:val="00A20D15"/>
    <w:rPr>
      <w:rFonts w:ascii="Arial Narrow" w:hAnsi="Arial Narrow" w:cs="Arial Narrow"/>
      <w:sz w:val="20"/>
      <w:szCs w:val="20"/>
      <w:lang w:eastAsia="es-ES"/>
    </w:rPr>
  </w:style>
  <w:style w:type="paragraph" w:styleId="Listaconvietas2">
    <w:name w:val="List Bullet 2"/>
    <w:basedOn w:val="Normal"/>
    <w:uiPriority w:val="99"/>
    <w:rsid w:val="00A20D15"/>
    <w:pPr>
      <w:tabs>
        <w:tab w:val="num" w:pos="425"/>
      </w:tabs>
      <w:spacing w:line="312" w:lineRule="auto"/>
      <w:ind w:left="425" w:hanging="360"/>
      <w:contextualSpacing/>
    </w:pPr>
    <w:rPr>
      <w:rFonts w:ascii="Arial Narrow" w:eastAsia="Times New Roman" w:hAnsi="Arial Narrow" w:cs="Arial Narrow"/>
      <w:sz w:val="26"/>
      <w:szCs w:val="26"/>
      <w:lang w:eastAsia="es-ES"/>
    </w:rPr>
  </w:style>
  <w:style w:type="paragraph" w:styleId="Epgrafe">
    <w:name w:val="caption"/>
    <w:basedOn w:val="Normal"/>
    <w:next w:val="Normal"/>
    <w:uiPriority w:val="35"/>
    <w:qFormat/>
    <w:rsid w:val="00A20D15"/>
    <w:pPr>
      <w:spacing w:line="312" w:lineRule="auto"/>
    </w:pPr>
    <w:rPr>
      <w:rFonts w:ascii="Arial Narrow" w:eastAsia="Times New Roman" w:hAnsi="Arial Narrow" w:cs="Arial Narrow"/>
      <w:b/>
      <w:bCs/>
      <w:lang w:eastAsia="es-ES"/>
    </w:rPr>
  </w:style>
  <w:style w:type="paragraph" w:styleId="Ttulo">
    <w:name w:val="Title"/>
    <w:basedOn w:val="Normal"/>
    <w:next w:val="Normal"/>
    <w:link w:val="TtuloCar"/>
    <w:uiPriority w:val="10"/>
    <w:qFormat/>
    <w:rsid w:val="00A20D15"/>
    <w:pPr>
      <w:spacing w:before="240" w:after="60" w:line="312" w:lineRule="auto"/>
      <w:jc w:val="center"/>
      <w:outlineLvl w:val="0"/>
    </w:pPr>
    <w:rPr>
      <w:rFonts w:ascii="Cambria" w:eastAsia="Times New Roman" w:hAnsi="Cambria" w:cs="Cambria"/>
      <w:b/>
      <w:bCs/>
      <w:kern w:val="28"/>
      <w:sz w:val="32"/>
      <w:szCs w:val="32"/>
      <w:lang w:eastAsia="es-ES"/>
    </w:rPr>
  </w:style>
  <w:style w:type="character" w:customStyle="1" w:styleId="TtuloCar">
    <w:name w:val="Título Car"/>
    <w:basedOn w:val="Fuentedeprrafopredeter"/>
    <w:link w:val="Ttulo"/>
    <w:uiPriority w:val="10"/>
    <w:rsid w:val="00A20D15"/>
    <w:rPr>
      <w:rFonts w:ascii="Cambria" w:hAnsi="Cambria" w:cs="Cambria"/>
      <w:b/>
      <w:bCs/>
      <w:kern w:val="28"/>
      <w:sz w:val="32"/>
      <w:szCs w:val="32"/>
      <w:lang w:eastAsia="es-ES"/>
    </w:rPr>
  </w:style>
  <w:style w:type="paragraph" w:styleId="Subttulo">
    <w:name w:val="Subtitle"/>
    <w:basedOn w:val="Normal"/>
    <w:next w:val="Normal"/>
    <w:link w:val="SubttuloCar"/>
    <w:uiPriority w:val="11"/>
    <w:qFormat/>
    <w:rsid w:val="00A20D15"/>
    <w:pPr>
      <w:spacing w:after="60" w:line="312" w:lineRule="auto"/>
      <w:jc w:val="center"/>
      <w:outlineLvl w:val="1"/>
    </w:pPr>
    <w:rPr>
      <w:rFonts w:ascii="Cambria" w:eastAsia="Times New Roman" w:hAnsi="Cambria" w:cs="Cambria"/>
      <w:sz w:val="24"/>
      <w:szCs w:val="24"/>
      <w:lang w:eastAsia="es-ES"/>
    </w:rPr>
  </w:style>
  <w:style w:type="character" w:customStyle="1" w:styleId="SubttuloCar">
    <w:name w:val="Subtítulo Car"/>
    <w:basedOn w:val="Fuentedeprrafopredeter"/>
    <w:link w:val="Subttulo"/>
    <w:uiPriority w:val="11"/>
    <w:rsid w:val="00A20D15"/>
    <w:rPr>
      <w:rFonts w:ascii="Cambria" w:hAnsi="Cambria" w:cs="Cambria"/>
      <w:sz w:val="24"/>
      <w:szCs w:val="24"/>
      <w:lang w:eastAsia="es-ES"/>
    </w:rPr>
  </w:style>
  <w:style w:type="paragraph" w:customStyle="1" w:styleId="Infodocumentosadjuntos">
    <w:name w:val="Info documentos adjuntos"/>
    <w:basedOn w:val="Normal"/>
    <w:rsid w:val="00A20D15"/>
    <w:pPr>
      <w:spacing w:line="312" w:lineRule="auto"/>
    </w:pPr>
    <w:rPr>
      <w:rFonts w:ascii="Arial Narrow" w:eastAsia="Times New Roman" w:hAnsi="Arial Narrow" w:cs="Arial Narrow"/>
      <w:sz w:val="26"/>
      <w:szCs w:val="26"/>
      <w:lang w:eastAsia="es-ES"/>
    </w:rPr>
  </w:style>
  <w:style w:type="paragraph" w:styleId="Textoindependienteprimerasangra">
    <w:name w:val="Body Text First Indent"/>
    <w:basedOn w:val="Textoindependiente"/>
    <w:link w:val="TextoindependienteprimerasangraCar"/>
    <w:uiPriority w:val="99"/>
    <w:rsid w:val="00A20D15"/>
    <w:pPr>
      <w:spacing w:after="120" w:line="312" w:lineRule="auto"/>
      <w:ind w:firstLine="210"/>
    </w:pPr>
    <w:rPr>
      <w:rFonts w:ascii="Arial Narrow" w:hAnsi="Arial Narrow" w:cs="Arial Narrow"/>
    </w:rPr>
  </w:style>
  <w:style w:type="character" w:customStyle="1" w:styleId="TextoindependienteprimerasangraCar">
    <w:name w:val="Texto independiente primera sangría Car"/>
    <w:basedOn w:val="TextoindependienteCar"/>
    <w:link w:val="Textoindependienteprimerasangra"/>
    <w:uiPriority w:val="99"/>
    <w:rsid w:val="00A20D15"/>
    <w:rPr>
      <w:rFonts w:ascii="Arial Narrow" w:hAnsi="Arial Narrow" w:cs="Arial Narrow"/>
      <w:sz w:val="20"/>
      <w:szCs w:val="20"/>
      <w:lang w:eastAsia="es-ES"/>
    </w:rPr>
  </w:style>
  <w:style w:type="paragraph" w:styleId="Textoindependienteprimerasangra2">
    <w:name w:val="Body Text First Indent 2"/>
    <w:basedOn w:val="Sangradetextonormal"/>
    <w:link w:val="Textoindependienteprimerasangra2Car"/>
    <w:uiPriority w:val="99"/>
    <w:rsid w:val="00A20D15"/>
    <w:pPr>
      <w:spacing w:after="120"/>
      <w:ind w:left="283" w:firstLine="210"/>
    </w:pPr>
  </w:style>
  <w:style w:type="character" w:customStyle="1" w:styleId="Textoindependienteprimerasangra2Car">
    <w:name w:val="Texto independiente primera sangría 2 Car"/>
    <w:basedOn w:val="SangradetextonormalCar"/>
    <w:link w:val="Textoindependienteprimerasangra2"/>
    <w:uiPriority w:val="99"/>
    <w:rsid w:val="00A20D15"/>
    <w:rPr>
      <w:rFonts w:ascii="Arial Narrow" w:hAnsi="Arial Narrow" w:cs="Arial Narrow"/>
      <w:sz w:val="20"/>
      <w:szCs w:val="20"/>
      <w:lang w:eastAsia="es-ES"/>
    </w:rPr>
  </w:style>
  <w:style w:type="paragraph" w:customStyle="1" w:styleId="Textoindependiente21">
    <w:name w:val="Texto independiente 21"/>
    <w:basedOn w:val="Normal"/>
    <w:rsid w:val="00A20D15"/>
    <w:pPr>
      <w:suppressAutoHyphens/>
      <w:spacing w:line="312" w:lineRule="auto"/>
    </w:pPr>
    <w:rPr>
      <w:rFonts w:ascii="CG Times" w:eastAsia="Times New Roman" w:hAnsi="CG Times" w:cs="CG Times"/>
      <w:sz w:val="26"/>
      <w:szCs w:val="26"/>
      <w:lang w:val="es-ES_tradnl" w:eastAsia="zh-CN"/>
    </w:rPr>
  </w:style>
  <w:style w:type="paragraph" w:customStyle="1" w:styleId="Norma">
    <w:name w:val="Norma"/>
    <w:basedOn w:val="ARIALNARROW"/>
    <w:rsid w:val="00A20D15"/>
  </w:style>
  <w:style w:type="paragraph" w:customStyle="1" w:styleId="CarCarCarCarCarCarCarCarCarCarCar">
    <w:name w:val="Car Car Car Car Car Car Car Car Car Car Car"/>
    <w:basedOn w:val="Normal"/>
    <w:semiHidden/>
    <w:rsid w:val="00A20D15"/>
    <w:pPr>
      <w:spacing w:after="160" w:line="240" w:lineRule="exact"/>
    </w:pPr>
    <w:rPr>
      <w:rFonts w:ascii="Verdana" w:eastAsia="Times New Roman" w:hAnsi="Verdana" w:cs="Verdana"/>
      <w:lang w:val="en-US"/>
    </w:rPr>
  </w:style>
  <w:style w:type="paragraph" w:customStyle="1" w:styleId="CarCarCarCarCarCar1CarCarCarCarCarCarCarCar">
    <w:name w:val="Car Car Car Car Car Car1 Car Car Car Car Car Car Car Car"/>
    <w:basedOn w:val="Normal"/>
    <w:semiHidden/>
    <w:rsid w:val="00A20D15"/>
    <w:pPr>
      <w:spacing w:after="160" w:line="240" w:lineRule="exact"/>
    </w:pPr>
    <w:rPr>
      <w:rFonts w:ascii="Verdana" w:eastAsia="Times New Roman" w:hAnsi="Verdana" w:cs="Verdana"/>
      <w:lang w:val="en-US"/>
    </w:rPr>
  </w:style>
  <w:style w:type="table" w:styleId="Tablaconcuadrcula">
    <w:name w:val="Table Grid"/>
    <w:basedOn w:val="Tablanormal"/>
    <w:uiPriority w:val="59"/>
    <w:rsid w:val="00A20D15"/>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notaalpie">
    <w:name w:val="footnote reference"/>
    <w:basedOn w:val="Fuentedeprrafopredeter"/>
    <w:semiHidden/>
    <w:rsid w:val="00787593"/>
    <w:rPr>
      <w:rFonts w:cs="Times New Roman"/>
      <w:vertAlign w:val="superscript"/>
    </w:rPr>
  </w:style>
  <w:style w:type="paragraph" w:styleId="TtulodeTDC">
    <w:name w:val="TOC Heading"/>
    <w:basedOn w:val="Ttulo1"/>
    <w:next w:val="Normal"/>
    <w:uiPriority w:val="39"/>
    <w:qFormat/>
    <w:rsid w:val="00A57205"/>
    <w:pPr>
      <w:keepLines/>
      <w:widowControl/>
      <w:spacing w:before="480" w:line="276" w:lineRule="auto"/>
      <w:ind w:left="0" w:firstLine="0"/>
      <w:jc w:val="left"/>
      <w:outlineLvl w:val="9"/>
    </w:pPr>
    <w:rPr>
      <w:rFonts w:ascii="Cambria" w:hAnsi="Cambria" w:cs="Cambria"/>
      <w:color w:val="365F91"/>
    </w:rPr>
  </w:style>
  <w:style w:type="paragraph" w:styleId="TDC1">
    <w:name w:val="toc 1"/>
    <w:basedOn w:val="Normal"/>
    <w:next w:val="Normal"/>
    <w:autoRedefine/>
    <w:uiPriority w:val="39"/>
    <w:rsid w:val="00A57205"/>
    <w:pPr>
      <w:spacing w:after="100"/>
    </w:pPr>
  </w:style>
  <w:style w:type="paragraph" w:styleId="TDC2">
    <w:name w:val="toc 2"/>
    <w:basedOn w:val="Normal"/>
    <w:next w:val="Normal"/>
    <w:autoRedefine/>
    <w:uiPriority w:val="39"/>
    <w:rsid w:val="001E6B2E"/>
    <w:pPr>
      <w:tabs>
        <w:tab w:val="left" w:pos="567"/>
        <w:tab w:val="left" w:pos="1134"/>
        <w:tab w:val="left" w:pos="1701"/>
        <w:tab w:val="right" w:leader="dot" w:pos="8777"/>
      </w:tabs>
      <w:spacing w:line="288" w:lineRule="auto"/>
      <w:ind w:left="426"/>
      <w:jc w:val="left"/>
    </w:pPr>
  </w:style>
  <w:style w:type="character" w:styleId="Hipervnculo">
    <w:name w:val="Hyperlink"/>
    <w:basedOn w:val="Fuentedeprrafopredeter"/>
    <w:uiPriority w:val="99"/>
    <w:rsid w:val="00A57205"/>
    <w:rPr>
      <w:rFonts w:cs="Times New Roman"/>
      <w:color w:val="0000FF"/>
      <w:u w:val="single"/>
    </w:rPr>
  </w:style>
  <w:style w:type="paragraph" w:styleId="TDC3">
    <w:name w:val="toc 3"/>
    <w:basedOn w:val="Normal"/>
    <w:next w:val="Normal"/>
    <w:autoRedefine/>
    <w:uiPriority w:val="39"/>
    <w:rsid w:val="008E4F83"/>
    <w:pPr>
      <w:tabs>
        <w:tab w:val="right" w:leader="dot" w:pos="8789"/>
      </w:tabs>
      <w:spacing w:after="100"/>
      <w:ind w:left="400" w:right="282"/>
    </w:pPr>
  </w:style>
  <w:style w:type="paragraph" w:styleId="TDC4">
    <w:name w:val="toc 4"/>
    <w:basedOn w:val="Normal"/>
    <w:next w:val="Normal"/>
    <w:autoRedefine/>
    <w:uiPriority w:val="39"/>
    <w:rsid w:val="00665097"/>
    <w:pPr>
      <w:spacing w:after="100"/>
      <w:ind w:left="600"/>
    </w:pPr>
  </w:style>
  <w:style w:type="paragraph" w:styleId="Tabladeilustraciones">
    <w:name w:val="table of figures"/>
    <w:basedOn w:val="Normal"/>
    <w:next w:val="Normal"/>
    <w:uiPriority w:val="99"/>
    <w:rsid w:val="00665097"/>
  </w:style>
  <w:style w:type="paragraph" w:styleId="TDC5">
    <w:name w:val="toc 5"/>
    <w:basedOn w:val="Normal"/>
    <w:next w:val="Normal"/>
    <w:autoRedefine/>
    <w:uiPriority w:val="39"/>
    <w:rsid w:val="00844F87"/>
    <w:pPr>
      <w:spacing w:after="100" w:line="276" w:lineRule="auto"/>
      <w:ind w:left="880"/>
      <w:jc w:val="left"/>
    </w:pPr>
    <w:rPr>
      <w:rFonts w:ascii="Calibri" w:eastAsia="Times New Roman" w:hAnsi="Calibri" w:cs="Calibri"/>
      <w:sz w:val="22"/>
      <w:szCs w:val="22"/>
      <w:lang w:eastAsia="es-ES"/>
    </w:rPr>
  </w:style>
  <w:style w:type="paragraph" w:styleId="TDC6">
    <w:name w:val="toc 6"/>
    <w:basedOn w:val="Normal"/>
    <w:next w:val="Normal"/>
    <w:autoRedefine/>
    <w:uiPriority w:val="39"/>
    <w:rsid w:val="00844F87"/>
    <w:pPr>
      <w:spacing w:after="100" w:line="276" w:lineRule="auto"/>
      <w:ind w:left="1100"/>
      <w:jc w:val="left"/>
    </w:pPr>
    <w:rPr>
      <w:rFonts w:ascii="Calibri" w:eastAsia="Times New Roman" w:hAnsi="Calibri" w:cs="Calibri"/>
      <w:sz w:val="22"/>
      <w:szCs w:val="22"/>
      <w:lang w:eastAsia="es-ES"/>
    </w:rPr>
  </w:style>
  <w:style w:type="paragraph" w:styleId="TDC7">
    <w:name w:val="toc 7"/>
    <w:basedOn w:val="Normal"/>
    <w:next w:val="Normal"/>
    <w:autoRedefine/>
    <w:uiPriority w:val="39"/>
    <w:rsid w:val="00844F87"/>
    <w:pPr>
      <w:spacing w:after="100" w:line="276" w:lineRule="auto"/>
      <w:ind w:left="1320"/>
      <w:jc w:val="left"/>
    </w:pPr>
    <w:rPr>
      <w:rFonts w:ascii="Calibri" w:eastAsia="Times New Roman" w:hAnsi="Calibri" w:cs="Calibri"/>
      <w:sz w:val="22"/>
      <w:szCs w:val="22"/>
      <w:lang w:eastAsia="es-ES"/>
    </w:rPr>
  </w:style>
  <w:style w:type="paragraph" w:styleId="TDC8">
    <w:name w:val="toc 8"/>
    <w:basedOn w:val="Normal"/>
    <w:next w:val="Normal"/>
    <w:autoRedefine/>
    <w:uiPriority w:val="39"/>
    <w:rsid w:val="00844F87"/>
    <w:pPr>
      <w:spacing w:after="100" w:line="276" w:lineRule="auto"/>
      <w:ind w:left="1540"/>
      <w:jc w:val="left"/>
    </w:pPr>
    <w:rPr>
      <w:rFonts w:ascii="Calibri" w:eastAsia="Times New Roman" w:hAnsi="Calibri" w:cs="Calibri"/>
      <w:sz w:val="22"/>
      <w:szCs w:val="22"/>
      <w:lang w:eastAsia="es-ES"/>
    </w:rPr>
  </w:style>
  <w:style w:type="paragraph" w:styleId="TDC9">
    <w:name w:val="toc 9"/>
    <w:basedOn w:val="Normal"/>
    <w:next w:val="Normal"/>
    <w:autoRedefine/>
    <w:uiPriority w:val="39"/>
    <w:rsid w:val="00844F87"/>
    <w:pPr>
      <w:spacing w:after="100" w:line="276" w:lineRule="auto"/>
      <w:ind w:left="1760"/>
      <w:jc w:val="left"/>
    </w:pPr>
    <w:rPr>
      <w:rFonts w:ascii="Calibri" w:eastAsia="Times New Roman" w:hAnsi="Calibri" w:cs="Calibri"/>
      <w:sz w:val="22"/>
      <w:szCs w:val="22"/>
      <w:lang w:eastAsia="es-ES"/>
    </w:rPr>
  </w:style>
  <w:style w:type="paragraph" w:styleId="Sinespaciado">
    <w:name w:val="No Spacing"/>
    <w:link w:val="SinespaciadoCar"/>
    <w:uiPriority w:val="1"/>
    <w:qFormat/>
    <w:rsid w:val="003C641A"/>
    <w:rPr>
      <w:rFonts w:eastAsia="Times New Roman" w:cs="Calibri"/>
    </w:rPr>
  </w:style>
  <w:style w:type="character" w:customStyle="1" w:styleId="SinespaciadoCar">
    <w:name w:val="Sin espaciado Car"/>
    <w:basedOn w:val="Fuentedeprrafopredeter"/>
    <w:link w:val="Sinespaciado"/>
    <w:uiPriority w:val="1"/>
    <w:rsid w:val="003C641A"/>
    <w:rPr>
      <w:rFonts w:eastAsia="Times New Roman" w:cs="Times New Roman"/>
      <w:sz w:val="22"/>
      <w:szCs w:val="22"/>
      <w:lang w:val="es-ES" w:eastAsia="es-ES"/>
    </w:rPr>
  </w:style>
  <w:style w:type="character" w:customStyle="1" w:styleId="goian">
    <w:name w:val="goian"/>
    <w:basedOn w:val="Fuentedeprrafopredeter"/>
    <w:rsid w:val="00F10F74"/>
    <w:rPr>
      <w:rFonts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2720576">
      <w:marLeft w:val="0"/>
      <w:marRight w:val="0"/>
      <w:marTop w:val="0"/>
      <w:marBottom w:val="0"/>
      <w:divBdr>
        <w:top w:val="none" w:sz="0" w:space="0" w:color="auto"/>
        <w:left w:val="none" w:sz="0" w:space="0" w:color="auto"/>
        <w:bottom w:val="none" w:sz="0" w:space="0" w:color="auto"/>
        <w:right w:val="none" w:sz="0" w:space="0" w:color="auto"/>
      </w:divBdr>
    </w:div>
    <w:div w:id="402720577">
      <w:marLeft w:val="0"/>
      <w:marRight w:val="0"/>
      <w:marTop w:val="0"/>
      <w:marBottom w:val="0"/>
      <w:divBdr>
        <w:top w:val="none" w:sz="0" w:space="0" w:color="auto"/>
        <w:left w:val="none" w:sz="0" w:space="0" w:color="auto"/>
        <w:bottom w:val="none" w:sz="0" w:space="0" w:color="auto"/>
        <w:right w:val="none" w:sz="0" w:space="0" w:color="auto"/>
      </w:divBdr>
    </w:div>
    <w:div w:id="402720578">
      <w:marLeft w:val="0"/>
      <w:marRight w:val="0"/>
      <w:marTop w:val="0"/>
      <w:marBottom w:val="0"/>
      <w:divBdr>
        <w:top w:val="none" w:sz="0" w:space="0" w:color="auto"/>
        <w:left w:val="none" w:sz="0" w:space="0" w:color="auto"/>
        <w:bottom w:val="none" w:sz="0" w:space="0" w:color="auto"/>
        <w:right w:val="none" w:sz="0" w:space="0" w:color="auto"/>
      </w:divBdr>
    </w:div>
    <w:div w:id="402720579">
      <w:marLeft w:val="0"/>
      <w:marRight w:val="0"/>
      <w:marTop w:val="0"/>
      <w:marBottom w:val="0"/>
      <w:divBdr>
        <w:top w:val="none" w:sz="0" w:space="0" w:color="auto"/>
        <w:left w:val="none" w:sz="0" w:space="0" w:color="auto"/>
        <w:bottom w:val="none" w:sz="0" w:space="0" w:color="auto"/>
        <w:right w:val="none" w:sz="0" w:space="0" w:color="auto"/>
      </w:divBdr>
    </w:div>
    <w:div w:id="402720580">
      <w:marLeft w:val="0"/>
      <w:marRight w:val="0"/>
      <w:marTop w:val="0"/>
      <w:marBottom w:val="0"/>
      <w:divBdr>
        <w:top w:val="none" w:sz="0" w:space="0" w:color="auto"/>
        <w:left w:val="none" w:sz="0" w:space="0" w:color="auto"/>
        <w:bottom w:val="none" w:sz="0" w:space="0" w:color="auto"/>
        <w:right w:val="none" w:sz="0" w:space="0" w:color="auto"/>
      </w:divBdr>
    </w:div>
    <w:div w:id="402720581">
      <w:marLeft w:val="0"/>
      <w:marRight w:val="0"/>
      <w:marTop w:val="0"/>
      <w:marBottom w:val="0"/>
      <w:divBdr>
        <w:top w:val="none" w:sz="0" w:space="0" w:color="auto"/>
        <w:left w:val="none" w:sz="0" w:space="0" w:color="auto"/>
        <w:bottom w:val="none" w:sz="0" w:space="0" w:color="auto"/>
        <w:right w:val="none" w:sz="0" w:space="0" w:color="auto"/>
      </w:divBdr>
    </w:div>
    <w:div w:id="402720582">
      <w:marLeft w:val="0"/>
      <w:marRight w:val="0"/>
      <w:marTop w:val="0"/>
      <w:marBottom w:val="0"/>
      <w:divBdr>
        <w:top w:val="none" w:sz="0" w:space="0" w:color="auto"/>
        <w:left w:val="none" w:sz="0" w:space="0" w:color="auto"/>
        <w:bottom w:val="none" w:sz="0" w:space="0" w:color="auto"/>
        <w:right w:val="none" w:sz="0" w:space="0" w:color="auto"/>
      </w:divBdr>
    </w:div>
    <w:div w:id="402720583">
      <w:marLeft w:val="0"/>
      <w:marRight w:val="0"/>
      <w:marTop w:val="0"/>
      <w:marBottom w:val="0"/>
      <w:divBdr>
        <w:top w:val="none" w:sz="0" w:space="0" w:color="auto"/>
        <w:left w:val="none" w:sz="0" w:space="0" w:color="auto"/>
        <w:bottom w:val="none" w:sz="0" w:space="0" w:color="auto"/>
        <w:right w:val="none" w:sz="0" w:space="0" w:color="auto"/>
      </w:divBdr>
    </w:div>
    <w:div w:id="402720584">
      <w:marLeft w:val="0"/>
      <w:marRight w:val="0"/>
      <w:marTop w:val="0"/>
      <w:marBottom w:val="0"/>
      <w:divBdr>
        <w:top w:val="none" w:sz="0" w:space="0" w:color="auto"/>
        <w:left w:val="none" w:sz="0" w:space="0" w:color="auto"/>
        <w:bottom w:val="none" w:sz="0" w:space="0" w:color="auto"/>
        <w:right w:val="none" w:sz="0" w:space="0" w:color="auto"/>
      </w:divBdr>
    </w:div>
    <w:div w:id="402720585">
      <w:marLeft w:val="0"/>
      <w:marRight w:val="0"/>
      <w:marTop w:val="0"/>
      <w:marBottom w:val="0"/>
      <w:divBdr>
        <w:top w:val="none" w:sz="0" w:space="0" w:color="auto"/>
        <w:left w:val="none" w:sz="0" w:space="0" w:color="auto"/>
        <w:bottom w:val="none" w:sz="0" w:space="0" w:color="auto"/>
        <w:right w:val="none" w:sz="0" w:space="0" w:color="auto"/>
      </w:divBdr>
    </w:div>
    <w:div w:id="402720586">
      <w:marLeft w:val="0"/>
      <w:marRight w:val="0"/>
      <w:marTop w:val="0"/>
      <w:marBottom w:val="0"/>
      <w:divBdr>
        <w:top w:val="none" w:sz="0" w:space="0" w:color="auto"/>
        <w:left w:val="none" w:sz="0" w:space="0" w:color="auto"/>
        <w:bottom w:val="none" w:sz="0" w:space="0" w:color="auto"/>
        <w:right w:val="none" w:sz="0" w:space="0" w:color="auto"/>
      </w:divBdr>
    </w:div>
    <w:div w:id="402720587">
      <w:marLeft w:val="0"/>
      <w:marRight w:val="0"/>
      <w:marTop w:val="0"/>
      <w:marBottom w:val="0"/>
      <w:divBdr>
        <w:top w:val="none" w:sz="0" w:space="0" w:color="auto"/>
        <w:left w:val="none" w:sz="0" w:space="0" w:color="auto"/>
        <w:bottom w:val="none" w:sz="0" w:space="0" w:color="auto"/>
        <w:right w:val="none" w:sz="0" w:space="0" w:color="auto"/>
      </w:divBdr>
    </w:div>
    <w:div w:id="402720588">
      <w:marLeft w:val="0"/>
      <w:marRight w:val="0"/>
      <w:marTop w:val="0"/>
      <w:marBottom w:val="0"/>
      <w:divBdr>
        <w:top w:val="none" w:sz="0" w:space="0" w:color="auto"/>
        <w:left w:val="none" w:sz="0" w:space="0" w:color="auto"/>
        <w:bottom w:val="none" w:sz="0" w:space="0" w:color="auto"/>
        <w:right w:val="none" w:sz="0" w:space="0" w:color="auto"/>
      </w:divBdr>
    </w:div>
    <w:div w:id="402720589">
      <w:marLeft w:val="0"/>
      <w:marRight w:val="0"/>
      <w:marTop w:val="0"/>
      <w:marBottom w:val="0"/>
      <w:divBdr>
        <w:top w:val="none" w:sz="0" w:space="0" w:color="auto"/>
        <w:left w:val="none" w:sz="0" w:space="0" w:color="auto"/>
        <w:bottom w:val="none" w:sz="0" w:space="0" w:color="auto"/>
        <w:right w:val="none" w:sz="0" w:space="0" w:color="auto"/>
      </w:divBdr>
    </w:div>
    <w:div w:id="402720590">
      <w:marLeft w:val="0"/>
      <w:marRight w:val="0"/>
      <w:marTop w:val="0"/>
      <w:marBottom w:val="0"/>
      <w:divBdr>
        <w:top w:val="none" w:sz="0" w:space="0" w:color="auto"/>
        <w:left w:val="none" w:sz="0" w:space="0" w:color="auto"/>
        <w:bottom w:val="none" w:sz="0" w:space="0" w:color="auto"/>
        <w:right w:val="none" w:sz="0" w:space="0" w:color="auto"/>
      </w:divBdr>
    </w:div>
    <w:div w:id="402720591">
      <w:marLeft w:val="0"/>
      <w:marRight w:val="0"/>
      <w:marTop w:val="0"/>
      <w:marBottom w:val="0"/>
      <w:divBdr>
        <w:top w:val="none" w:sz="0" w:space="0" w:color="auto"/>
        <w:left w:val="none" w:sz="0" w:space="0" w:color="auto"/>
        <w:bottom w:val="none" w:sz="0" w:space="0" w:color="auto"/>
        <w:right w:val="none" w:sz="0" w:space="0" w:color="auto"/>
      </w:divBdr>
    </w:div>
    <w:div w:id="402720592">
      <w:marLeft w:val="0"/>
      <w:marRight w:val="0"/>
      <w:marTop w:val="0"/>
      <w:marBottom w:val="0"/>
      <w:divBdr>
        <w:top w:val="none" w:sz="0" w:space="0" w:color="auto"/>
        <w:left w:val="none" w:sz="0" w:space="0" w:color="auto"/>
        <w:bottom w:val="none" w:sz="0" w:space="0" w:color="auto"/>
        <w:right w:val="none" w:sz="0" w:space="0" w:color="auto"/>
      </w:divBdr>
    </w:div>
    <w:div w:id="402720593">
      <w:marLeft w:val="0"/>
      <w:marRight w:val="0"/>
      <w:marTop w:val="0"/>
      <w:marBottom w:val="0"/>
      <w:divBdr>
        <w:top w:val="none" w:sz="0" w:space="0" w:color="auto"/>
        <w:left w:val="none" w:sz="0" w:space="0" w:color="auto"/>
        <w:bottom w:val="none" w:sz="0" w:space="0" w:color="auto"/>
        <w:right w:val="none" w:sz="0" w:space="0" w:color="auto"/>
      </w:divBdr>
    </w:div>
    <w:div w:id="402720594">
      <w:marLeft w:val="0"/>
      <w:marRight w:val="0"/>
      <w:marTop w:val="0"/>
      <w:marBottom w:val="0"/>
      <w:divBdr>
        <w:top w:val="none" w:sz="0" w:space="0" w:color="auto"/>
        <w:left w:val="none" w:sz="0" w:space="0" w:color="auto"/>
        <w:bottom w:val="none" w:sz="0" w:space="0" w:color="auto"/>
        <w:right w:val="none" w:sz="0" w:space="0" w:color="auto"/>
      </w:divBdr>
    </w:div>
    <w:div w:id="402720595">
      <w:marLeft w:val="0"/>
      <w:marRight w:val="0"/>
      <w:marTop w:val="0"/>
      <w:marBottom w:val="0"/>
      <w:divBdr>
        <w:top w:val="none" w:sz="0" w:space="0" w:color="auto"/>
        <w:left w:val="none" w:sz="0" w:space="0" w:color="auto"/>
        <w:bottom w:val="none" w:sz="0" w:space="0" w:color="auto"/>
        <w:right w:val="none" w:sz="0" w:space="0" w:color="auto"/>
      </w:divBdr>
    </w:div>
    <w:div w:id="402720596">
      <w:marLeft w:val="0"/>
      <w:marRight w:val="0"/>
      <w:marTop w:val="0"/>
      <w:marBottom w:val="0"/>
      <w:divBdr>
        <w:top w:val="none" w:sz="0" w:space="0" w:color="auto"/>
        <w:left w:val="none" w:sz="0" w:space="0" w:color="auto"/>
        <w:bottom w:val="none" w:sz="0" w:space="0" w:color="auto"/>
        <w:right w:val="none" w:sz="0" w:space="0" w:color="auto"/>
      </w:divBdr>
    </w:div>
    <w:div w:id="402720597">
      <w:marLeft w:val="0"/>
      <w:marRight w:val="0"/>
      <w:marTop w:val="0"/>
      <w:marBottom w:val="0"/>
      <w:divBdr>
        <w:top w:val="none" w:sz="0" w:space="0" w:color="auto"/>
        <w:left w:val="none" w:sz="0" w:space="0" w:color="auto"/>
        <w:bottom w:val="none" w:sz="0" w:space="0" w:color="auto"/>
        <w:right w:val="none" w:sz="0" w:space="0" w:color="auto"/>
      </w:divBdr>
    </w:div>
    <w:div w:id="402720598">
      <w:marLeft w:val="0"/>
      <w:marRight w:val="0"/>
      <w:marTop w:val="0"/>
      <w:marBottom w:val="0"/>
      <w:divBdr>
        <w:top w:val="none" w:sz="0" w:space="0" w:color="auto"/>
        <w:left w:val="none" w:sz="0" w:space="0" w:color="auto"/>
        <w:bottom w:val="none" w:sz="0" w:space="0" w:color="auto"/>
        <w:right w:val="none" w:sz="0" w:space="0" w:color="auto"/>
      </w:divBdr>
    </w:div>
    <w:div w:id="402720599">
      <w:marLeft w:val="0"/>
      <w:marRight w:val="0"/>
      <w:marTop w:val="0"/>
      <w:marBottom w:val="0"/>
      <w:divBdr>
        <w:top w:val="none" w:sz="0" w:space="0" w:color="auto"/>
        <w:left w:val="none" w:sz="0" w:space="0" w:color="auto"/>
        <w:bottom w:val="none" w:sz="0" w:space="0" w:color="auto"/>
        <w:right w:val="none" w:sz="0" w:space="0" w:color="auto"/>
      </w:divBdr>
    </w:div>
    <w:div w:id="402720600">
      <w:marLeft w:val="0"/>
      <w:marRight w:val="0"/>
      <w:marTop w:val="0"/>
      <w:marBottom w:val="0"/>
      <w:divBdr>
        <w:top w:val="none" w:sz="0" w:space="0" w:color="auto"/>
        <w:left w:val="none" w:sz="0" w:space="0" w:color="auto"/>
        <w:bottom w:val="none" w:sz="0" w:space="0" w:color="auto"/>
        <w:right w:val="none" w:sz="0" w:space="0" w:color="auto"/>
      </w:divBdr>
    </w:div>
    <w:div w:id="402720601">
      <w:marLeft w:val="0"/>
      <w:marRight w:val="0"/>
      <w:marTop w:val="0"/>
      <w:marBottom w:val="0"/>
      <w:divBdr>
        <w:top w:val="none" w:sz="0" w:space="0" w:color="auto"/>
        <w:left w:val="none" w:sz="0" w:space="0" w:color="auto"/>
        <w:bottom w:val="none" w:sz="0" w:space="0" w:color="auto"/>
        <w:right w:val="none" w:sz="0" w:space="0" w:color="auto"/>
      </w:divBdr>
    </w:div>
    <w:div w:id="402720602">
      <w:marLeft w:val="0"/>
      <w:marRight w:val="0"/>
      <w:marTop w:val="0"/>
      <w:marBottom w:val="0"/>
      <w:divBdr>
        <w:top w:val="none" w:sz="0" w:space="0" w:color="auto"/>
        <w:left w:val="none" w:sz="0" w:space="0" w:color="auto"/>
        <w:bottom w:val="none" w:sz="0" w:space="0" w:color="auto"/>
        <w:right w:val="none" w:sz="0" w:space="0" w:color="auto"/>
      </w:divBdr>
    </w:div>
    <w:div w:id="402720603">
      <w:marLeft w:val="0"/>
      <w:marRight w:val="0"/>
      <w:marTop w:val="0"/>
      <w:marBottom w:val="0"/>
      <w:divBdr>
        <w:top w:val="none" w:sz="0" w:space="0" w:color="auto"/>
        <w:left w:val="none" w:sz="0" w:space="0" w:color="auto"/>
        <w:bottom w:val="none" w:sz="0" w:space="0" w:color="auto"/>
        <w:right w:val="none" w:sz="0" w:space="0" w:color="auto"/>
      </w:divBdr>
    </w:div>
    <w:div w:id="402720604">
      <w:marLeft w:val="0"/>
      <w:marRight w:val="0"/>
      <w:marTop w:val="0"/>
      <w:marBottom w:val="0"/>
      <w:divBdr>
        <w:top w:val="none" w:sz="0" w:space="0" w:color="auto"/>
        <w:left w:val="none" w:sz="0" w:space="0" w:color="auto"/>
        <w:bottom w:val="none" w:sz="0" w:space="0" w:color="auto"/>
        <w:right w:val="none" w:sz="0" w:space="0" w:color="auto"/>
      </w:divBdr>
    </w:div>
    <w:div w:id="402720605">
      <w:marLeft w:val="0"/>
      <w:marRight w:val="0"/>
      <w:marTop w:val="0"/>
      <w:marBottom w:val="0"/>
      <w:divBdr>
        <w:top w:val="none" w:sz="0" w:space="0" w:color="auto"/>
        <w:left w:val="none" w:sz="0" w:space="0" w:color="auto"/>
        <w:bottom w:val="none" w:sz="0" w:space="0" w:color="auto"/>
        <w:right w:val="none" w:sz="0" w:space="0" w:color="auto"/>
      </w:divBdr>
    </w:div>
    <w:div w:id="402720606">
      <w:marLeft w:val="0"/>
      <w:marRight w:val="0"/>
      <w:marTop w:val="0"/>
      <w:marBottom w:val="0"/>
      <w:divBdr>
        <w:top w:val="none" w:sz="0" w:space="0" w:color="auto"/>
        <w:left w:val="none" w:sz="0" w:space="0" w:color="auto"/>
        <w:bottom w:val="none" w:sz="0" w:space="0" w:color="auto"/>
        <w:right w:val="none" w:sz="0" w:space="0" w:color="auto"/>
      </w:divBdr>
    </w:div>
    <w:div w:id="402720607">
      <w:marLeft w:val="0"/>
      <w:marRight w:val="0"/>
      <w:marTop w:val="0"/>
      <w:marBottom w:val="0"/>
      <w:divBdr>
        <w:top w:val="none" w:sz="0" w:space="0" w:color="auto"/>
        <w:left w:val="none" w:sz="0" w:space="0" w:color="auto"/>
        <w:bottom w:val="none" w:sz="0" w:space="0" w:color="auto"/>
        <w:right w:val="none" w:sz="0" w:space="0" w:color="auto"/>
      </w:divBdr>
    </w:div>
    <w:div w:id="402720608">
      <w:marLeft w:val="0"/>
      <w:marRight w:val="0"/>
      <w:marTop w:val="0"/>
      <w:marBottom w:val="0"/>
      <w:divBdr>
        <w:top w:val="none" w:sz="0" w:space="0" w:color="auto"/>
        <w:left w:val="none" w:sz="0" w:space="0" w:color="auto"/>
        <w:bottom w:val="none" w:sz="0" w:space="0" w:color="auto"/>
        <w:right w:val="none" w:sz="0" w:space="0" w:color="auto"/>
      </w:divBdr>
    </w:div>
    <w:div w:id="402720609">
      <w:marLeft w:val="0"/>
      <w:marRight w:val="0"/>
      <w:marTop w:val="0"/>
      <w:marBottom w:val="0"/>
      <w:divBdr>
        <w:top w:val="none" w:sz="0" w:space="0" w:color="auto"/>
        <w:left w:val="none" w:sz="0" w:space="0" w:color="auto"/>
        <w:bottom w:val="none" w:sz="0" w:space="0" w:color="auto"/>
        <w:right w:val="none" w:sz="0" w:space="0" w:color="auto"/>
      </w:divBdr>
    </w:div>
    <w:div w:id="402720610">
      <w:marLeft w:val="0"/>
      <w:marRight w:val="0"/>
      <w:marTop w:val="0"/>
      <w:marBottom w:val="0"/>
      <w:divBdr>
        <w:top w:val="none" w:sz="0" w:space="0" w:color="auto"/>
        <w:left w:val="none" w:sz="0" w:space="0" w:color="auto"/>
        <w:bottom w:val="none" w:sz="0" w:space="0" w:color="auto"/>
        <w:right w:val="none" w:sz="0" w:space="0" w:color="auto"/>
      </w:divBdr>
    </w:div>
    <w:div w:id="402720611">
      <w:marLeft w:val="0"/>
      <w:marRight w:val="0"/>
      <w:marTop w:val="0"/>
      <w:marBottom w:val="0"/>
      <w:divBdr>
        <w:top w:val="none" w:sz="0" w:space="0" w:color="auto"/>
        <w:left w:val="none" w:sz="0" w:space="0" w:color="auto"/>
        <w:bottom w:val="none" w:sz="0" w:space="0" w:color="auto"/>
        <w:right w:val="none" w:sz="0" w:space="0" w:color="auto"/>
      </w:divBdr>
    </w:div>
    <w:div w:id="402720612">
      <w:marLeft w:val="0"/>
      <w:marRight w:val="0"/>
      <w:marTop w:val="0"/>
      <w:marBottom w:val="0"/>
      <w:divBdr>
        <w:top w:val="none" w:sz="0" w:space="0" w:color="auto"/>
        <w:left w:val="none" w:sz="0" w:space="0" w:color="auto"/>
        <w:bottom w:val="none" w:sz="0" w:space="0" w:color="auto"/>
        <w:right w:val="none" w:sz="0" w:space="0" w:color="auto"/>
      </w:divBdr>
    </w:div>
    <w:div w:id="402720613">
      <w:marLeft w:val="0"/>
      <w:marRight w:val="0"/>
      <w:marTop w:val="0"/>
      <w:marBottom w:val="0"/>
      <w:divBdr>
        <w:top w:val="none" w:sz="0" w:space="0" w:color="auto"/>
        <w:left w:val="none" w:sz="0" w:space="0" w:color="auto"/>
        <w:bottom w:val="none" w:sz="0" w:space="0" w:color="auto"/>
        <w:right w:val="none" w:sz="0" w:space="0" w:color="auto"/>
      </w:divBdr>
    </w:div>
    <w:div w:id="402720614">
      <w:marLeft w:val="0"/>
      <w:marRight w:val="0"/>
      <w:marTop w:val="0"/>
      <w:marBottom w:val="0"/>
      <w:divBdr>
        <w:top w:val="none" w:sz="0" w:space="0" w:color="auto"/>
        <w:left w:val="none" w:sz="0" w:space="0" w:color="auto"/>
        <w:bottom w:val="none" w:sz="0" w:space="0" w:color="auto"/>
        <w:right w:val="none" w:sz="0" w:space="0" w:color="auto"/>
      </w:divBdr>
    </w:div>
    <w:div w:id="402720615">
      <w:marLeft w:val="0"/>
      <w:marRight w:val="0"/>
      <w:marTop w:val="0"/>
      <w:marBottom w:val="0"/>
      <w:divBdr>
        <w:top w:val="none" w:sz="0" w:space="0" w:color="auto"/>
        <w:left w:val="none" w:sz="0" w:space="0" w:color="auto"/>
        <w:bottom w:val="none" w:sz="0" w:space="0" w:color="auto"/>
        <w:right w:val="none" w:sz="0" w:space="0" w:color="auto"/>
      </w:divBdr>
    </w:div>
    <w:div w:id="402720616">
      <w:marLeft w:val="0"/>
      <w:marRight w:val="0"/>
      <w:marTop w:val="0"/>
      <w:marBottom w:val="0"/>
      <w:divBdr>
        <w:top w:val="none" w:sz="0" w:space="0" w:color="auto"/>
        <w:left w:val="none" w:sz="0" w:space="0" w:color="auto"/>
        <w:bottom w:val="none" w:sz="0" w:space="0" w:color="auto"/>
        <w:right w:val="none" w:sz="0" w:space="0" w:color="auto"/>
      </w:divBdr>
    </w:div>
    <w:div w:id="402720617">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chart" Target="charts/chart3.xml"/><Relationship Id="rId18" Type="http://schemas.openxmlformats.org/officeDocument/2006/relationships/chart" Target="charts/chart8.xml"/><Relationship Id="rId26" Type="http://schemas.openxmlformats.org/officeDocument/2006/relationships/chart" Target="charts/chart16.xml"/><Relationship Id="rId39" Type="http://schemas.openxmlformats.org/officeDocument/2006/relationships/chart" Target="charts/chart29.xml"/><Relationship Id="rId21" Type="http://schemas.openxmlformats.org/officeDocument/2006/relationships/chart" Target="charts/chart11.xml"/><Relationship Id="rId34" Type="http://schemas.openxmlformats.org/officeDocument/2006/relationships/chart" Target="charts/chart24.xml"/><Relationship Id="rId42" Type="http://schemas.openxmlformats.org/officeDocument/2006/relationships/chart" Target="charts/chart32.xml"/><Relationship Id="rId47" Type="http://schemas.openxmlformats.org/officeDocument/2006/relationships/chart" Target="charts/chart37.xml"/><Relationship Id="rId50" Type="http://schemas.openxmlformats.org/officeDocument/2006/relationships/chart" Target="charts/chart40.xml"/><Relationship Id="rId55" Type="http://schemas.openxmlformats.org/officeDocument/2006/relationships/chart" Target="charts/chart45.xml"/><Relationship Id="rId63" Type="http://schemas.openxmlformats.org/officeDocument/2006/relationships/chart" Target="charts/chart53.xml"/><Relationship Id="rId68" Type="http://schemas.openxmlformats.org/officeDocument/2006/relationships/chart" Target="charts/chart58.xml"/><Relationship Id="rId76" Type="http://schemas.openxmlformats.org/officeDocument/2006/relationships/chart" Target="charts/chart66.xml"/><Relationship Id="rId84" Type="http://schemas.openxmlformats.org/officeDocument/2006/relationships/header" Target="header3.xml"/><Relationship Id="rId7" Type="http://schemas.openxmlformats.org/officeDocument/2006/relationships/footnotes" Target="footnotes.xml"/><Relationship Id="rId71" Type="http://schemas.openxmlformats.org/officeDocument/2006/relationships/chart" Target="charts/chart61.xml"/><Relationship Id="rId2" Type="http://schemas.openxmlformats.org/officeDocument/2006/relationships/numbering" Target="numbering.xml"/><Relationship Id="rId16" Type="http://schemas.openxmlformats.org/officeDocument/2006/relationships/chart" Target="charts/chart6.xml"/><Relationship Id="rId29" Type="http://schemas.openxmlformats.org/officeDocument/2006/relationships/chart" Target="charts/chart19.xml"/><Relationship Id="rId11" Type="http://schemas.openxmlformats.org/officeDocument/2006/relationships/chart" Target="charts/chart1.xml"/><Relationship Id="rId24" Type="http://schemas.openxmlformats.org/officeDocument/2006/relationships/chart" Target="charts/chart14.xml"/><Relationship Id="rId32" Type="http://schemas.openxmlformats.org/officeDocument/2006/relationships/chart" Target="charts/chart22.xml"/><Relationship Id="rId37" Type="http://schemas.openxmlformats.org/officeDocument/2006/relationships/chart" Target="charts/chart27.xml"/><Relationship Id="rId40" Type="http://schemas.openxmlformats.org/officeDocument/2006/relationships/chart" Target="charts/chart30.xml"/><Relationship Id="rId45" Type="http://schemas.openxmlformats.org/officeDocument/2006/relationships/chart" Target="charts/chart35.xml"/><Relationship Id="rId53" Type="http://schemas.openxmlformats.org/officeDocument/2006/relationships/chart" Target="charts/chart43.xml"/><Relationship Id="rId58" Type="http://schemas.openxmlformats.org/officeDocument/2006/relationships/chart" Target="charts/chart48.xml"/><Relationship Id="rId66" Type="http://schemas.openxmlformats.org/officeDocument/2006/relationships/chart" Target="charts/chart56.xml"/><Relationship Id="rId74" Type="http://schemas.openxmlformats.org/officeDocument/2006/relationships/chart" Target="charts/chart64.xml"/><Relationship Id="rId79" Type="http://schemas.openxmlformats.org/officeDocument/2006/relationships/chart" Target="charts/chart69.xml"/><Relationship Id="rId5" Type="http://schemas.openxmlformats.org/officeDocument/2006/relationships/settings" Target="settings.xml"/><Relationship Id="rId61" Type="http://schemas.openxmlformats.org/officeDocument/2006/relationships/chart" Target="charts/chart51.xml"/><Relationship Id="rId82" Type="http://schemas.openxmlformats.org/officeDocument/2006/relationships/footer" Target="footer1.xml"/><Relationship Id="rId19" Type="http://schemas.openxmlformats.org/officeDocument/2006/relationships/chart" Target="charts/chart9.xml"/><Relationship Id="rId4" Type="http://schemas.microsoft.com/office/2007/relationships/stylesWithEffects" Target="stylesWithEffects.xml"/><Relationship Id="rId9" Type="http://schemas.openxmlformats.org/officeDocument/2006/relationships/image" Target="media/image1.gif"/><Relationship Id="rId14" Type="http://schemas.openxmlformats.org/officeDocument/2006/relationships/chart" Target="charts/chart4.xml"/><Relationship Id="rId22" Type="http://schemas.openxmlformats.org/officeDocument/2006/relationships/chart" Target="charts/chart12.xml"/><Relationship Id="rId27" Type="http://schemas.openxmlformats.org/officeDocument/2006/relationships/chart" Target="charts/chart17.xml"/><Relationship Id="rId30" Type="http://schemas.openxmlformats.org/officeDocument/2006/relationships/chart" Target="charts/chart20.xml"/><Relationship Id="rId35" Type="http://schemas.openxmlformats.org/officeDocument/2006/relationships/chart" Target="charts/chart25.xml"/><Relationship Id="rId43" Type="http://schemas.openxmlformats.org/officeDocument/2006/relationships/chart" Target="charts/chart33.xml"/><Relationship Id="rId48" Type="http://schemas.openxmlformats.org/officeDocument/2006/relationships/chart" Target="charts/chart38.xml"/><Relationship Id="rId56" Type="http://schemas.openxmlformats.org/officeDocument/2006/relationships/chart" Target="charts/chart46.xml"/><Relationship Id="rId64" Type="http://schemas.openxmlformats.org/officeDocument/2006/relationships/chart" Target="charts/chart54.xml"/><Relationship Id="rId69" Type="http://schemas.openxmlformats.org/officeDocument/2006/relationships/chart" Target="charts/chart59.xml"/><Relationship Id="rId77" Type="http://schemas.openxmlformats.org/officeDocument/2006/relationships/chart" Target="charts/chart67.xml"/><Relationship Id="rId8" Type="http://schemas.openxmlformats.org/officeDocument/2006/relationships/endnotes" Target="endnotes.xml"/><Relationship Id="rId51" Type="http://schemas.openxmlformats.org/officeDocument/2006/relationships/chart" Target="charts/chart41.xml"/><Relationship Id="rId72" Type="http://schemas.openxmlformats.org/officeDocument/2006/relationships/chart" Target="charts/chart62.xml"/><Relationship Id="rId80" Type="http://schemas.openxmlformats.org/officeDocument/2006/relationships/header" Target="header1.xml"/><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chart" Target="charts/chart2.xml"/><Relationship Id="rId17" Type="http://schemas.openxmlformats.org/officeDocument/2006/relationships/chart" Target="charts/chart7.xml"/><Relationship Id="rId25" Type="http://schemas.openxmlformats.org/officeDocument/2006/relationships/chart" Target="charts/chart15.xml"/><Relationship Id="rId33" Type="http://schemas.openxmlformats.org/officeDocument/2006/relationships/chart" Target="charts/chart23.xml"/><Relationship Id="rId38" Type="http://schemas.openxmlformats.org/officeDocument/2006/relationships/chart" Target="charts/chart28.xml"/><Relationship Id="rId46" Type="http://schemas.openxmlformats.org/officeDocument/2006/relationships/chart" Target="charts/chart36.xml"/><Relationship Id="rId59" Type="http://schemas.openxmlformats.org/officeDocument/2006/relationships/chart" Target="charts/chart49.xml"/><Relationship Id="rId67" Type="http://schemas.openxmlformats.org/officeDocument/2006/relationships/chart" Target="charts/chart57.xml"/><Relationship Id="rId20" Type="http://schemas.openxmlformats.org/officeDocument/2006/relationships/chart" Target="charts/chart10.xml"/><Relationship Id="rId41" Type="http://schemas.openxmlformats.org/officeDocument/2006/relationships/chart" Target="charts/chart31.xml"/><Relationship Id="rId54" Type="http://schemas.openxmlformats.org/officeDocument/2006/relationships/chart" Target="charts/chart44.xml"/><Relationship Id="rId62" Type="http://schemas.openxmlformats.org/officeDocument/2006/relationships/chart" Target="charts/chart52.xml"/><Relationship Id="rId70" Type="http://schemas.openxmlformats.org/officeDocument/2006/relationships/chart" Target="charts/chart60.xml"/><Relationship Id="rId75" Type="http://schemas.openxmlformats.org/officeDocument/2006/relationships/chart" Target="charts/chart65.xml"/><Relationship Id="rId83"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chart" Target="charts/chart5.xml"/><Relationship Id="rId23" Type="http://schemas.openxmlformats.org/officeDocument/2006/relationships/chart" Target="charts/chart13.xml"/><Relationship Id="rId28" Type="http://schemas.openxmlformats.org/officeDocument/2006/relationships/chart" Target="charts/chart18.xml"/><Relationship Id="rId36" Type="http://schemas.openxmlformats.org/officeDocument/2006/relationships/chart" Target="charts/chart26.xml"/><Relationship Id="rId49" Type="http://schemas.openxmlformats.org/officeDocument/2006/relationships/chart" Target="charts/chart39.xml"/><Relationship Id="rId57" Type="http://schemas.openxmlformats.org/officeDocument/2006/relationships/chart" Target="charts/chart47.xml"/><Relationship Id="rId10" Type="http://schemas.openxmlformats.org/officeDocument/2006/relationships/image" Target="media/image2.png"/><Relationship Id="rId31" Type="http://schemas.openxmlformats.org/officeDocument/2006/relationships/chart" Target="charts/chart21.xml"/><Relationship Id="rId44" Type="http://schemas.openxmlformats.org/officeDocument/2006/relationships/chart" Target="charts/chart34.xml"/><Relationship Id="rId52" Type="http://schemas.openxmlformats.org/officeDocument/2006/relationships/chart" Target="charts/chart42.xml"/><Relationship Id="rId60" Type="http://schemas.openxmlformats.org/officeDocument/2006/relationships/chart" Target="charts/chart50.xml"/><Relationship Id="rId65" Type="http://schemas.openxmlformats.org/officeDocument/2006/relationships/chart" Target="charts/chart55.xml"/><Relationship Id="rId73" Type="http://schemas.openxmlformats.org/officeDocument/2006/relationships/chart" Target="charts/chart63.xml"/><Relationship Id="rId78" Type="http://schemas.openxmlformats.org/officeDocument/2006/relationships/chart" Target="charts/chart68.xml"/><Relationship Id="rId81" Type="http://schemas.openxmlformats.org/officeDocument/2006/relationships/header" Target="header2.xml"/><Relationship Id="rId86"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9.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10.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11.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2.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3.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15.xlsx"/><Relationship Id="rId1" Type="http://schemas.openxmlformats.org/officeDocument/2006/relationships/themeOverride" Target="../theme/themeOverride14.xml"/></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Worksheet16.xlsx"/><Relationship Id="rId1" Type="http://schemas.openxmlformats.org/officeDocument/2006/relationships/themeOverride" Target="../theme/themeOverride15.xml"/></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Excel_Worksheet17.xlsx"/><Relationship Id="rId1" Type="http://schemas.openxmlformats.org/officeDocument/2006/relationships/themeOverride" Target="../theme/themeOverride16.xml"/></Relationships>
</file>

<file path=word/charts/_rels/chart18.xml.rels><?xml version="1.0" encoding="UTF-8" standalone="yes"?>
<Relationships xmlns="http://schemas.openxmlformats.org/package/2006/relationships"><Relationship Id="rId2" Type="http://schemas.openxmlformats.org/officeDocument/2006/relationships/package" Target="../embeddings/Microsoft_Excel_Worksheet18.xlsx"/><Relationship Id="rId1" Type="http://schemas.openxmlformats.org/officeDocument/2006/relationships/themeOverride" Target="../theme/themeOverride17.xml"/></Relationships>
</file>

<file path=word/charts/_rels/chart19.xml.rels><?xml version="1.0" encoding="UTF-8" standalone="yes"?>
<Relationships xmlns="http://schemas.openxmlformats.org/package/2006/relationships"><Relationship Id="rId2" Type="http://schemas.openxmlformats.org/officeDocument/2006/relationships/package" Target="../embeddings/Microsoft_Excel_Worksheet19.xlsx"/><Relationship Id="rId1" Type="http://schemas.openxmlformats.org/officeDocument/2006/relationships/themeOverride" Target="../theme/themeOverride18.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1.xml"/></Relationships>
</file>

<file path=word/charts/_rels/chart20.xml.rels><?xml version="1.0" encoding="UTF-8" standalone="yes"?>
<Relationships xmlns="http://schemas.openxmlformats.org/package/2006/relationships"><Relationship Id="rId2" Type="http://schemas.openxmlformats.org/officeDocument/2006/relationships/package" Target="../embeddings/Microsoft_Excel_Worksheet20.xlsx"/><Relationship Id="rId1" Type="http://schemas.openxmlformats.org/officeDocument/2006/relationships/themeOverride" Target="../theme/themeOverride19.xml"/></Relationships>
</file>

<file path=word/charts/_rels/chart21.xml.rels><?xml version="1.0" encoding="UTF-8" standalone="yes"?>
<Relationships xmlns="http://schemas.openxmlformats.org/package/2006/relationships"><Relationship Id="rId2" Type="http://schemas.openxmlformats.org/officeDocument/2006/relationships/package" Target="../embeddings/Microsoft_Excel_Worksheet21.xlsx"/><Relationship Id="rId1" Type="http://schemas.openxmlformats.org/officeDocument/2006/relationships/themeOverride" Target="../theme/themeOverride20.xml"/></Relationships>
</file>

<file path=word/charts/_rels/chart22.xml.rels><?xml version="1.0" encoding="UTF-8" standalone="yes"?>
<Relationships xmlns="http://schemas.openxmlformats.org/package/2006/relationships"><Relationship Id="rId2" Type="http://schemas.openxmlformats.org/officeDocument/2006/relationships/package" Target="../embeddings/Microsoft_Excel_Worksheet22.xlsx"/><Relationship Id="rId1" Type="http://schemas.openxmlformats.org/officeDocument/2006/relationships/themeOverride" Target="../theme/themeOverride21.xml"/></Relationships>
</file>

<file path=word/charts/_rels/chart23.xml.rels><?xml version="1.0" encoding="UTF-8" standalone="yes"?>
<Relationships xmlns="http://schemas.openxmlformats.org/package/2006/relationships"><Relationship Id="rId2" Type="http://schemas.openxmlformats.org/officeDocument/2006/relationships/package" Target="../embeddings/Microsoft_Excel_Worksheet23.xlsx"/><Relationship Id="rId1" Type="http://schemas.openxmlformats.org/officeDocument/2006/relationships/themeOverride" Target="../theme/themeOverride22.xml"/></Relationships>
</file>

<file path=word/charts/_rels/chart24.xml.rels><?xml version="1.0" encoding="UTF-8" standalone="yes"?>
<Relationships xmlns="http://schemas.openxmlformats.org/package/2006/relationships"><Relationship Id="rId2" Type="http://schemas.openxmlformats.org/officeDocument/2006/relationships/package" Target="../embeddings/Microsoft_Excel_Worksheet24.xlsx"/><Relationship Id="rId1" Type="http://schemas.openxmlformats.org/officeDocument/2006/relationships/themeOverride" Target="../theme/themeOverride23.xml"/></Relationships>
</file>

<file path=word/charts/_rels/chart25.xml.rels><?xml version="1.0" encoding="UTF-8" standalone="yes"?>
<Relationships xmlns="http://schemas.openxmlformats.org/package/2006/relationships"><Relationship Id="rId1" Type="http://schemas.openxmlformats.org/officeDocument/2006/relationships/oleObject" Target="file:///\\servidatos\datos\SrvDatos\Ikertalde\Proyectos\Estudio\Econom&#237;a%20Social_2013\Informe\Borradores\ECOSOC_Elena_Anexo%20Cualitativo.xlsx"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C:\Users\USR32\AppData\Local\Microsoft\Windows\Temporary%20Internet%20Files\Content.IE5\RCYB15FE\PLANTILLAS%20DE%20DATOS_v1_TH.xlsx" TargetMode="External"/></Relationships>
</file>

<file path=word/charts/_rels/chart27.xml.rels><?xml version="1.0" encoding="UTF-8" standalone="yes"?>
<Relationships xmlns="http://schemas.openxmlformats.org/package/2006/relationships"><Relationship Id="rId1" Type="http://schemas.openxmlformats.org/officeDocument/2006/relationships/package" Target="../embeddings/Microsoft_Excel_Worksheet25.xlsx"/></Relationships>
</file>

<file path=word/charts/_rels/chart28.xml.rels><?xml version="1.0" encoding="UTF-8" standalone="yes"?>
<Relationships xmlns="http://schemas.openxmlformats.org/package/2006/relationships"><Relationship Id="rId1" Type="http://schemas.openxmlformats.org/officeDocument/2006/relationships/package" Target="../embeddings/Microsoft_Excel_Worksheet26.xlsx"/></Relationships>
</file>

<file path=word/charts/_rels/chart29.xml.rels><?xml version="1.0" encoding="UTF-8" standalone="yes"?>
<Relationships xmlns="http://schemas.openxmlformats.org/package/2006/relationships"><Relationship Id="rId1" Type="http://schemas.openxmlformats.org/officeDocument/2006/relationships/package" Target="../embeddings/Microsoft_Excel_Worksheet27.xlsx"/></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2.xml"/></Relationships>
</file>

<file path=word/charts/_rels/chart30.xml.rels><?xml version="1.0" encoding="UTF-8" standalone="yes"?>
<Relationships xmlns="http://schemas.openxmlformats.org/package/2006/relationships"><Relationship Id="rId1" Type="http://schemas.openxmlformats.org/officeDocument/2006/relationships/package" Target="../embeddings/Microsoft_Excel_Worksheet28.xlsx"/></Relationships>
</file>

<file path=word/charts/_rels/chart31.xml.rels><?xml version="1.0" encoding="UTF-8" standalone="yes"?>
<Relationships xmlns="http://schemas.openxmlformats.org/package/2006/relationships"><Relationship Id="rId1" Type="http://schemas.openxmlformats.org/officeDocument/2006/relationships/package" Target="../embeddings/Microsoft_Excel_Worksheet29.xlsx"/></Relationships>
</file>

<file path=word/charts/_rels/chart32.xml.rels><?xml version="1.0" encoding="UTF-8" standalone="yes"?>
<Relationships xmlns="http://schemas.openxmlformats.org/package/2006/relationships"><Relationship Id="rId1" Type="http://schemas.openxmlformats.org/officeDocument/2006/relationships/package" Target="../embeddings/Microsoft_Excel_Worksheet30.xlsx"/></Relationships>
</file>

<file path=word/charts/_rels/chart33.xml.rels><?xml version="1.0" encoding="UTF-8" standalone="yes"?>
<Relationships xmlns="http://schemas.openxmlformats.org/package/2006/relationships"><Relationship Id="rId1" Type="http://schemas.openxmlformats.org/officeDocument/2006/relationships/package" Target="../embeddings/Microsoft_Excel_Worksheet31.xlsx"/></Relationships>
</file>

<file path=word/charts/_rels/chart34.xml.rels><?xml version="1.0" encoding="UTF-8" standalone="yes"?>
<Relationships xmlns="http://schemas.openxmlformats.org/package/2006/relationships"><Relationship Id="rId1" Type="http://schemas.openxmlformats.org/officeDocument/2006/relationships/package" Target="../embeddings/Microsoft_Excel_Worksheet32.xlsx"/></Relationships>
</file>

<file path=word/charts/_rels/chart35.xml.rels><?xml version="1.0" encoding="UTF-8" standalone="yes"?>
<Relationships xmlns="http://schemas.openxmlformats.org/package/2006/relationships"><Relationship Id="rId1" Type="http://schemas.openxmlformats.org/officeDocument/2006/relationships/package" Target="../embeddings/Microsoft_Excel_Worksheet33.xlsx"/></Relationships>
</file>

<file path=word/charts/_rels/chart36.xml.rels><?xml version="1.0" encoding="UTF-8" standalone="yes"?>
<Relationships xmlns="http://schemas.openxmlformats.org/package/2006/relationships"><Relationship Id="rId1" Type="http://schemas.openxmlformats.org/officeDocument/2006/relationships/package" Target="../embeddings/Microsoft_Excel_Worksheet34.xlsx"/></Relationships>
</file>

<file path=word/charts/_rels/chart37.xml.rels><?xml version="1.0" encoding="UTF-8" standalone="yes"?>
<Relationships xmlns="http://schemas.openxmlformats.org/package/2006/relationships"><Relationship Id="rId1" Type="http://schemas.openxmlformats.org/officeDocument/2006/relationships/package" Target="../embeddings/Microsoft_Excel_Worksheet35.xlsx"/></Relationships>
</file>

<file path=word/charts/_rels/chart38.xml.rels><?xml version="1.0" encoding="UTF-8" standalone="yes"?>
<Relationships xmlns="http://schemas.openxmlformats.org/package/2006/relationships"><Relationship Id="rId1" Type="http://schemas.openxmlformats.org/officeDocument/2006/relationships/package" Target="../embeddings/Microsoft_Excel_Worksheet36.xlsx"/></Relationships>
</file>

<file path=word/charts/_rels/chart39.xml.rels><?xml version="1.0" encoding="UTF-8" standalone="yes"?>
<Relationships xmlns="http://schemas.openxmlformats.org/package/2006/relationships"><Relationship Id="rId1" Type="http://schemas.openxmlformats.org/officeDocument/2006/relationships/package" Target="../embeddings/Microsoft_Excel_Worksheet37.xlsx"/></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3.xml"/></Relationships>
</file>

<file path=word/charts/_rels/chart40.xml.rels><?xml version="1.0" encoding="UTF-8" standalone="yes"?>
<Relationships xmlns="http://schemas.openxmlformats.org/package/2006/relationships"><Relationship Id="rId1" Type="http://schemas.openxmlformats.org/officeDocument/2006/relationships/package" Target="../embeddings/Microsoft_Excel_Worksheet38.xlsx"/></Relationships>
</file>

<file path=word/charts/_rels/chart41.xml.rels><?xml version="1.0" encoding="UTF-8" standalone="yes"?>
<Relationships xmlns="http://schemas.openxmlformats.org/package/2006/relationships"><Relationship Id="rId1" Type="http://schemas.openxmlformats.org/officeDocument/2006/relationships/package" Target="../embeddings/Microsoft_Excel_Worksheet39.xlsx"/></Relationships>
</file>

<file path=word/charts/_rels/chart42.xml.rels><?xml version="1.0" encoding="UTF-8" standalone="yes"?>
<Relationships xmlns="http://schemas.openxmlformats.org/package/2006/relationships"><Relationship Id="rId1" Type="http://schemas.openxmlformats.org/officeDocument/2006/relationships/package" Target="../embeddings/Microsoft_Excel_Worksheet40.xlsx"/></Relationships>
</file>

<file path=word/charts/_rels/chart43.xml.rels><?xml version="1.0" encoding="UTF-8" standalone="yes"?>
<Relationships xmlns="http://schemas.openxmlformats.org/package/2006/relationships"><Relationship Id="rId1" Type="http://schemas.openxmlformats.org/officeDocument/2006/relationships/package" Target="../embeddings/Microsoft_Excel_Worksheet41.xlsx"/></Relationships>
</file>

<file path=word/charts/_rels/chart44.xml.rels><?xml version="1.0" encoding="UTF-8" standalone="yes"?>
<Relationships xmlns="http://schemas.openxmlformats.org/package/2006/relationships"><Relationship Id="rId1" Type="http://schemas.openxmlformats.org/officeDocument/2006/relationships/package" Target="../embeddings/Microsoft_Excel_Worksheet42.xlsx"/></Relationships>
</file>

<file path=word/charts/_rels/chart45.xml.rels><?xml version="1.0" encoding="UTF-8" standalone="yes"?>
<Relationships xmlns="http://schemas.openxmlformats.org/package/2006/relationships"><Relationship Id="rId1" Type="http://schemas.openxmlformats.org/officeDocument/2006/relationships/package" Target="../embeddings/Microsoft_Excel_Worksheet43.xlsx"/></Relationships>
</file>

<file path=word/charts/_rels/chart46.xml.rels><?xml version="1.0" encoding="UTF-8" standalone="yes"?>
<Relationships xmlns="http://schemas.openxmlformats.org/package/2006/relationships"><Relationship Id="rId1" Type="http://schemas.openxmlformats.org/officeDocument/2006/relationships/package" Target="../embeddings/Microsoft_Excel_Worksheet44.xlsx"/></Relationships>
</file>

<file path=word/charts/_rels/chart47.xml.rels><?xml version="1.0" encoding="UTF-8" standalone="yes"?>
<Relationships xmlns="http://schemas.openxmlformats.org/package/2006/relationships"><Relationship Id="rId1" Type="http://schemas.openxmlformats.org/officeDocument/2006/relationships/package" Target="../embeddings/Microsoft_Excel_Worksheet45.xlsx"/></Relationships>
</file>

<file path=word/charts/_rels/chart48.xml.rels><?xml version="1.0" encoding="UTF-8" standalone="yes"?>
<Relationships xmlns="http://schemas.openxmlformats.org/package/2006/relationships"><Relationship Id="rId1" Type="http://schemas.openxmlformats.org/officeDocument/2006/relationships/package" Target="../embeddings/Microsoft_Excel_Worksheet46.xlsx"/></Relationships>
</file>

<file path=word/charts/_rels/chart49.xml.rels><?xml version="1.0" encoding="UTF-8" standalone="yes"?>
<Relationships xmlns="http://schemas.openxmlformats.org/package/2006/relationships"><Relationship Id="rId1" Type="http://schemas.openxmlformats.org/officeDocument/2006/relationships/package" Target="../embeddings/Microsoft_Excel_Worksheet47.xlsx"/></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4.xml"/></Relationships>
</file>

<file path=word/charts/_rels/chart50.xml.rels><?xml version="1.0" encoding="UTF-8" standalone="yes"?>
<Relationships xmlns="http://schemas.openxmlformats.org/package/2006/relationships"><Relationship Id="rId1" Type="http://schemas.openxmlformats.org/officeDocument/2006/relationships/package" Target="../embeddings/Microsoft_Excel_Worksheet48.xlsx"/></Relationships>
</file>

<file path=word/charts/_rels/chart51.xml.rels><?xml version="1.0" encoding="UTF-8" standalone="yes"?>
<Relationships xmlns="http://schemas.openxmlformats.org/package/2006/relationships"><Relationship Id="rId1" Type="http://schemas.openxmlformats.org/officeDocument/2006/relationships/package" Target="../embeddings/Microsoft_Excel_Worksheet49.xlsx"/></Relationships>
</file>

<file path=word/charts/_rels/chart52.xml.rels><?xml version="1.0" encoding="UTF-8" standalone="yes"?>
<Relationships xmlns="http://schemas.openxmlformats.org/package/2006/relationships"><Relationship Id="rId1" Type="http://schemas.openxmlformats.org/officeDocument/2006/relationships/package" Target="../embeddings/Microsoft_Excel_Worksheet50.xlsx"/></Relationships>
</file>

<file path=word/charts/_rels/chart53.xml.rels><?xml version="1.0" encoding="UTF-8" standalone="yes"?>
<Relationships xmlns="http://schemas.openxmlformats.org/package/2006/relationships"><Relationship Id="rId2" Type="http://schemas.openxmlformats.org/officeDocument/2006/relationships/package" Target="../embeddings/Microsoft_Excel_Worksheet51.xlsx"/><Relationship Id="rId1" Type="http://schemas.openxmlformats.org/officeDocument/2006/relationships/themeOverride" Target="../theme/themeOverride24.xml"/></Relationships>
</file>

<file path=word/charts/_rels/chart54.xml.rels><?xml version="1.0" encoding="UTF-8" standalone="yes"?>
<Relationships xmlns="http://schemas.openxmlformats.org/package/2006/relationships"><Relationship Id="rId2" Type="http://schemas.openxmlformats.org/officeDocument/2006/relationships/package" Target="../embeddings/Microsoft_Excel_Worksheet52.xlsx"/><Relationship Id="rId1" Type="http://schemas.openxmlformats.org/officeDocument/2006/relationships/themeOverride" Target="../theme/themeOverride25.xml"/></Relationships>
</file>

<file path=word/charts/_rels/chart55.xml.rels><?xml version="1.0" encoding="UTF-8" standalone="yes"?>
<Relationships xmlns="http://schemas.openxmlformats.org/package/2006/relationships"><Relationship Id="rId2" Type="http://schemas.openxmlformats.org/officeDocument/2006/relationships/package" Target="../embeddings/Microsoft_Excel_Worksheet53.xlsx"/><Relationship Id="rId1" Type="http://schemas.openxmlformats.org/officeDocument/2006/relationships/themeOverride" Target="../theme/themeOverride26.xml"/></Relationships>
</file>

<file path=word/charts/_rels/chart56.xml.rels><?xml version="1.0" encoding="UTF-8" standalone="yes"?>
<Relationships xmlns="http://schemas.openxmlformats.org/package/2006/relationships"><Relationship Id="rId2" Type="http://schemas.openxmlformats.org/officeDocument/2006/relationships/package" Target="../embeddings/Microsoft_Excel_Worksheet54.xlsx"/><Relationship Id="rId1" Type="http://schemas.openxmlformats.org/officeDocument/2006/relationships/themeOverride" Target="../theme/themeOverride27.xml"/></Relationships>
</file>

<file path=word/charts/_rels/chart57.xml.rels><?xml version="1.0" encoding="UTF-8" standalone="yes"?>
<Relationships xmlns="http://schemas.openxmlformats.org/package/2006/relationships"><Relationship Id="rId1" Type="http://schemas.openxmlformats.org/officeDocument/2006/relationships/oleObject" Target="file:///\\servidatos\datos\SrvDatos\Ikertalde\Proyectos\Estudio\Econom&#237;a%20Social_2013\Informe\Borradores\ECOSOC_Elena_Anexo%20Cualitativo.xlsx" TargetMode="External"/></Relationships>
</file>

<file path=word/charts/_rels/chart58.xml.rels><?xml version="1.0" encoding="UTF-8" standalone="yes"?>
<Relationships xmlns="http://schemas.openxmlformats.org/package/2006/relationships"><Relationship Id="rId1" Type="http://schemas.openxmlformats.org/officeDocument/2006/relationships/oleObject" Target="file:///\\servidatos\datos\SrvDatos\Ikertalde\Proyectos\Estudio\Econom&#237;a%20Social_2013\Informe\Borradores\ECOSOC_Elena_Anexo%20Cualitativo.xlsx" TargetMode="External"/></Relationships>
</file>

<file path=word/charts/_rels/chart59.xml.rels><?xml version="1.0" encoding="UTF-8" standalone="yes"?>
<Relationships xmlns="http://schemas.openxmlformats.org/package/2006/relationships"><Relationship Id="rId1" Type="http://schemas.openxmlformats.org/officeDocument/2006/relationships/oleObject" Target="file:///\\servidatos\datos\SrvDatos\Ikertalde\Proyectos\Estudio\Econom&#237;a%20Social_2013\Informe\Borradores\ECOSOC_Elena_Anexo%20Cualitativo.xlsx" TargetMode="Externa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5.xml"/></Relationships>
</file>

<file path=word/charts/_rels/chart60.xml.rels><?xml version="1.0" encoding="UTF-8" standalone="yes"?>
<Relationships xmlns="http://schemas.openxmlformats.org/package/2006/relationships"><Relationship Id="rId1" Type="http://schemas.openxmlformats.org/officeDocument/2006/relationships/oleObject" Target="file:///\\servidatos\datos\SrvDatos\Ikertalde\Proyectos\Estudio\Econom&#237;a%20Social_2013\Informe\Borradores\ECOSOC_Elena_Anexo%20Cualitativo.xlsx" TargetMode="External"/></Relationships>
</file>

<file path=word/charts/_rels/chart61.xml.rels><?xml version="1.0" encoding="UTF-8" standalone="yes"?>
<Relationships xmlns="http://schemas.openxmlformats.org/package/2006/relationships"><Relationship Id="rId1" Type="http://schemas.openxmlformats.org/officeDocument/2006/relationships/oleObject" Target="file:///\\servidatos\datos\SrvDatos\Ikertalde\Proyectos\Estudio\Econom&#237;a%20Social_2013\Informe\Borradores\ECOSOC_Elena_Anexo%20Cualitativo.xlsx" TargetMode="External"/></Relationships>
</file>

<file path=word/charts/_rels/chart62.xml.rels><?xml version="1.0" encoding="UTF-8" standalone="yes"?>
<Relationships xmlns="http://schemas.openxmlformats.org/package/2006/relationships"><Relationship Id="rId1" Type="http://schemas.openxmlformats.org/officeDocument/2006/relationships/oleObject" Target="file:///\\servidatos\datos\SrvDatos\Ikertalde\Proyectos\Estudio\Econom&#237;a%20Social_2013\Informe\Borradores\ECOSOC_Elena_Anexo%20Cualitativo.xlsx" TargetMode="External"/></Relationships>
</file>

<file path=word/charts/_rels/chart63.xml.rels><?xml version="1.0" encoding="UTF-8" standalone="yes"?>
<Relationships xmlns="http://schemas.openxmlformats.org/package/2006/relationships"><Relationship Id="rId1" Type="http://schemas.openxmlformats.org/officeDocument/2006/relationships/oleObject" Target="file:///\\servidatos\datos\SrvDatos\Ikertalde\Proyectos\Estudio\Econom&#237;a%20Social_2013\Informe\Borradores\ECOSOC_Elena_Anexo%20Cualitativo.xlsx" TargetMode="External"/></Relationships>
</file>

<file path=word/charts/_rels/chart64.xml.rels><?xml version="1.0" encoding="UTF-8" standalone="yes"?>
<Relationships xmlns="http://schemas.openxmlformats.org/package/2006/relationships"><Relationship Id="rId1" Type="http://schemas.openxmlformats.org/officeDocument/2006/relationships/package" Target="../embeddings/Microsoft_Excel_Worksheet55.xlsx"/></Relationships>
</file>

<file path=word/charts/_rels/chart65.xml.rels><?xml version="1.0" encoding="UTF-8" standalone="yes"?>
<Relationships xmlns="http://schemas.openxmlformats.org/package/2006/relationships"><Relationship Id="rId1" Type="http://schemas.openxmlformats.org/officeDocument/2006/relationships/package" Target="../embeddings/Microsoft_Excel_Worksheet56.xlsx"/></Relationships>
</file>

<file path=word/charts/_rels/chart66.xml.rels><?xml version="1.0" encoding="UTF-8" standalone="yes"?>
<Relationships xmlns="http://schemas.openxmlformats.org/package/2006/relationships"><Relationship Id="rId1" Type="http://schemas.openxmlformats.org/officeDocument/2006/relationships/oleObject" Target="file:///C:\Users\USR32\AppData\Local\Microsoft\Windows\Temporary%20Internet%20Files\Content.IE5\RCYB15FE\PLANTILLAS%20DE%20DATOS_v1_TH.xlsx" TargetMode="External"/></Relationships>
</file>

<file path=word/charts/_rels/chart67.xml.rels><?xml version="1.0" encoding="UTF-8" standalone="yes"?>
<Relationships xmlns="http://schemas.openxmlformats.org/package/2006/relationships"><Relationship Id="rId1" Type="http://schemas.openxmlformats.org/officeDocument/2006/relationships/oleObject" Target="file:///C:\Users\USR32\AppData\Local\Microsoft\Windows\Temporary%20Internet%20Files\Content.IE5\RCYB15FE\PLANTILLAS%20DE%20DATOS_v1_TH.xlsx" TargetMode="External"/></Relationships>
</file>

<file path=word/charts/_rels/chart68.xml.rels><?xml version="1.0" encoding="UTF-8" standalone="yes"?>
<Relationships xmlns="http://schemas.openxmlformats.org/package/2006/relationships"><Relationship Id="rId1" Type="http://schemas.openxmlformats.org/officeDocument/2006/relationships/oleObject" Target="file:///C:\Users\USR32\AppData\Local\Microsoft\Windows\Temporary%20Internet%20Files\Content.IE5\RCYB15FE\PLANTILLAS%20DE%20DATOS_v1_TH.xlsx" TargetMode="External"/></Relationships>
</file>

<file path=word/charts/_rels/chart69.xml.rels><?xml version="1.0" encoding="UTF-8" standalone="yes"?>
<Relationships xmlns="http://schemas.openxmlformats.org/package/2006/relationships"><Relationship Id="rId1" Type="http://schemas.openxmlformats.org/officeDocument/2006/relationships/oleObject" Target="file:///C:\Users\USR32\AppData\Local\Microsoft\Windows\Temporary%20Internet%20Files\Content.IE5\RCYB15FE\PLANTILLAS%20DE%20DATOS_v1_TH.xlsx" TargetMode="Externa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6.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7.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8.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6267190569744726E-2"/>
          <c:y val="0.24175824175824387"/>
          <c:w val="0.88408644400785108"/>
          <c:h val="0.57142857142858172"/>
        </c:manualLayout>
      </c:layout>
      <c:barChart>
        <c:barDir val="col"/>
        <c:grouping val="clustered"/>
        <c:varyColors val="0"/>
        <c:ser>
          <c:idx val="0"/>
          <c:order val="0"/>
          <c:tx>
            <c:strRef>
              <c:f>Sheet1!$A$2</c:f>
              <c:strCache>
                <c:ptCount val="1"/>
              </c:strCache>
            </c:strRef>
          </c:tx>
          <c:spPr>
            <a:solidFill>
              <a:schemeClr val="accent1"/>
            </a:solidFill>
            <a:ln w="12700">
              <a:noFill/>
              <a:prstDash val="solid"/>
            </a:ln>
          </c:spPr>
          <c:invertIfNegative val="0"/>
          <c:dLbls>
            <c:dLbl>
              <c:idx val="0"/>
              <c:layout>
                <c:manualLayout>
                  <c:x val="9.7349380578273248E-3"/>
                  <c:y val="-4.9453788228394434E-2"/>
                </c:manualLayout>
              </c:layout>
              <c:showLegendKey val="0"/>
              <c:showVal val="1"/>
              <c:showCatName val="0"/>
              <c:showSerName val="0"/>
              <c:showPercent val="0"/>
              <c:showBubbleSize val="0"/>
            </c:dLbl>
            <c:dLbl>
              <c:idx val="1"/>
              <c:layout>
                <c:manualLayout>
                  <c:x val="5.1421103050588324E-3"/>
                  <c:y val="-4.3807108246084546E-2"/>
                </c:manualLayout>
              </c:layout>
              <c:showLegendKey val="0"/>
              <c:showVal val="1"/>
              <c:showCatName val="0"/>
              <c:showSerName val="0"/>
              <c:showPercent val="0"/>
              <c:showBubbleSize val="0"/>
            </c:dLbl>
            <c:dLbl>
              <c:idx val="2"/>
              <c:layout>
                <c:manualLayout>
                  <c:x val="6.4431921790094647E-3"/>
                  <c:y val="-3.9890746829723843E-2"/>
                </c:manualLayout>
              </c:layout>
              <c:showLegendKey val="0"/>
              <c:showVal val="1"/>
              <c:showCatName val="0"/>
              <c:showSerName val="0"/>
              <c:showPercent val="0"/>
              <c:showBubbleSize val="0"/>
            </c:dLbl>
            <c:dLbl>
              <c:idx val="3"/>
              <c:layout>
                <c:manualLayout>
                  <c:x val="5.7796375107203399E-3"/>
                  <c:y val="-2.9060015334621582E-2"/>
                </c:manualLayout>
              </c:layout>
              <c:showLegendKey val="0"/>
              <c:showVal val="1"/>
              <c:showCatName val="0"/>
              <c:showSerName val="0"/>
              <c:showPercent val="0"/>
              <c:showBubbleSize val="0"/>
            </c:dLbl>
            <c:dLbl>
              <c:idx val="4"/>
              <c:layout>
                <c:manualLayout>
                  <c:x val="3.1514463001914342E-3"/>
                  <c:y val="-2.8900792449020891E-2"/>
                </c:manualLayout>
              </c:layout>
              <c:showLegendKey val="0"/>
              <c:showVal val="1"/>
              <c:showCatName val="0"/>
              <c:showSerName val="0"/>
              <c:showPercent val="0"/>
              <c:showBubbleSize val="0"/>
            </c:dLbl>
            <c:dLbl>
              <c:idx val="5"/>
              <c:layout>
                <c:manualLayout>
                  <c:x val="8.3818012586214727E-3"/>
                  <c:y val="-4.4614405170507562E-2"/>
                </c:manualLayout>
              </c:layout>
              <c:showLegendKey val="0"/>
              <c:showVal val="1"/>
              <c:showCatName val="0"/>
              <c:showSerName val="0"/>
              <c:showPercent val="0"/>
              <c:showBubbleSize val="0"/>
            </c:dLbl>
            <c:dLbl>
              <c:idx val="6"/>
              <c:layout>
                <c:manualLayout>
                  <c:x val="3.7889735058529899E-3"/>
                  <c:y val="-2.9350844365608166E-2"/>
                </c:manualLayout>
              </c:layout>
              <c:showLegendKey val="0"/>
              <c:showVal val="1"/>
              <c:showCatName val="0"/>
              <c:showSerName val="0"/>
              <c:showPercent val="0"/>
              <c:showBubbleSize val="0"/>
            </c:dLbl>
            <c:dLbl>
              <c:idx val="7"/>
              <c:layout>
                <c:manualLayout>
                  <c:x val="5.0900553798036898E-3"/>
                  <c:y val="-4.5982353167392506E-2"/>
                </c:manualLayout>
              </c:layout>
              <c:showLegendKey val="0"/>
              <c:showVal val="1"/>
              <c:showCatName val="0"/>
              <c:showSerName val="0"/>
              <c:showPercent val="0"/>
              <c:showBubbleSize val="0"/>
            </c:dLbl>
            <c:dLbl>
              <c:idx val="8"/>
              <c:layout>
                <c:manualLayout>
                  <c:x val="6.3911372537540524E-3"/>
                  <c:y val="-3.612192105794465E-2"/>
                </c:manualLayout>
              </c:layout>
              <c:showLegendKey val="0"/>
              <c:showVal val="1"/>
              <c:showCatName val="0"/>
              <c:showSerName val="0"/>
              <c:showPercent val="0"/>
              <c:showBubbleSize val="0"/>
            </c:dLbl>
            <c:dLbl>
              <c:idx val="9"/>
              <c:layout>
                <c:manualLayout>
                  <c:x val="3.7629460432254259E-3"/>
                  <c:y val="-1.894901358484026E-2"/>
                </c:manualLayout>
              </c:layout>
              <c:tx>
                <c:rich>
                  <a:bodyPr/>
                  <a:lstStyle/>
                  <a:p>
                    <a:r>
                      <a:rPr lang="es-ES" b="1"/>
                      <a:t>55.809</a:t>
                    </a:r>
                  </a:p>
                </c:rich>
              </c:tx>
              <c:showLegendKey val="0"/>
              <c:showVal val="0"/>
              <c:showCatName val="0"/>
              <c:showSerName val="0"/>
              <c:showPercent val="0"/>
              <c:showBubbleSize val="0"/>
            </c:dLbl>
            <c:spPr>
              <a:noFill/>
              <a:ln w="25400">
                <a:noFill/>
              </a:ln>
            </c:spPr>
            <c:txPr>
              <a:bodyPr/>
              <a:lstStyle/>
              <a:p>
                <a:pPr>
                  <a:defRPr b="1"/>
                </a:pPr>
                <a:endParaRPr lang="es-ES"/>
              </a:p>
            </c:txPr>
            <c:showLegendKey val="0"/>
            <c:showVal val="1"/>
            <c:showCatName val="0"/>
            <c:showSerName val="0"/>
            <c:showPercent val="0"/>
            <c:showBubbleSize val="0"/>
            <c:showLeaderLines val="0"/>
          </c:dLbls>
          <c:cat>
            <c:numRef>
              <c:f>Sheet1!$B$1:$K$1</c:f>
              <c:numCache>
                <c:formatCode>General</c:formatCode>
                <c:ptCount val="10"/>
                <c:pt idx="0">
                  <c:v>1994</c:v>
                </c:pt>
                <c:pt idx="1">
                  <c:v>1996</c:v>
                </c:pt>
                <c:pt idx="2">
                  <c:v>1998</c:v>
                </c:pt>
                <c:pt idx="3">
                  <c:v>2000</c:v>
                </c:pt>
                <c:pt idx="4">
                  <c:v>2002</c:v>
                </c:pt>
                <c:pt idx="5">
                  <c:v>2004</c:v>
                </c:pt>
                <c:pt idx="6">
                  <c:v>2006</c:v>
                </c:pt>
                <c:pt idx="7">
                  <c:v>2008</c:v>
                </c:pt>
                <c:pt idx="8">
                  <c:v>2010</c:v>
                </c:pt>
                <c:pt idx="9">
                  <c:v>2012</c:v>
                </c:pt>
              </c:numCache>
            </c:numRef>
          </c:cat>
          <c:val>
            <c:numRef>
              <c:f>Sheet1!$B$2:$K$2</c:f>
              <c:numCache>
                <c:formatCode>#,##0</c:formatCode>
                <c:ptCount val="10"/>
                <c:pt idx="0">
                  <c:v>41867</c:v>
                </c:pt>
                <c:pt idx="1">
                  <c:v>43575</c:v>
                </c:pt>
                <c:pt idx="2">
                  <c:v>48387</c:v>
                </c:pt>
                <c:pt idx="3">
                  <c:v>54259</c:v>
                </c:pt>
                <c:pt idx="4">
                  <c:v>61022</c:v>
                </c:pt>
                <c:pt idx="5">
                  <c:v>61140</c:v>
                </c:pt>
                <c:pt idx="6">
                  <c:v>63480</c:v>
                </c:pt>
                <c:pt idx="7">
                  <c:v>62615</c:v>
                </c:pt>
                <c:pt idx="8">
                  <c:v>59915</c:v>
                </c:pt>
                <c:pt idx="9" formatCode="General">
                  <c:v>55809</c:v>
                </c:pt>
              </c:numCache>
            </c:numRef>
          </c:val>
        </c:ser>
        <c:dLbls>
          <c:showLegendKey val="0"/>
          <c:showVal val="0"/>
          <c:showCatName val="0"/>
          <c:showSerName val="0"/>
          <c:showPercent val="0"/>
          <c:showBubbleSize val="0"/>
        </c:dLbls>
        <c:gapWidth val="150"/>
        <c:axId val="98835456"/>
        <c:axId val="98853632"/>
      </c:barChart>
      <c:catAx>
        <c:axId val="98835456"/>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a:pPr>
            <a:endParaRPr lang="es-ES"/>
          </a:p>
        </c:txPr>
        <c:crossAx val="98853632"/>
        <c:crosses val="autoZero"/>
        <c:auto val="1"/>
        <c:lblAlgn val="ctr"/>
        <c:lblOffset val="100"/>
        <c:tickLblSkip val="1"/>
        <c:tickMarkSkip val="1"/>
        <c:noMultiLvlLbl val="0"/>
      </c:catAx>
      <c:valAx>
        <c:axId val="98853632"/>
        <c:scaling>
          <c:orientation val="minMax"/>
          <c:max val="80000"/>
        </c:scaling>
        <c:delete val="0"/>
        <c:axPos val="l"/>
        <c:majorGridlines>
          <c:spPr>
            <a:ln w="12700">
              <a:solidFill>
                <a:schemeClr val="bg1">
                  <a:lumMod val="95000"/>
                </a:schemeClr>
              </a:solidFill>
              <a:prstDash val="solid"/>
            </a:ln>
          </c:spPr>
        </c:majorGridlines>
        <c:numFmt formatCode="#,##0" sourceLinked="1"/>
        <c:majorTickMark val="out"/>
        <c:minorTickMark val="none"/>
        <c:tickLblPos val="nextTo"/>
        <c:spPr>
          <a:ln w="3175">
            <a:solidFill>
              <a:srgbClr val="000000"/>
            </a:solidFill>
            <a:prstDash val="solid"/>
          </a:ln>
        </c:spPr>
        <c:txPr>
          <a:bodyPr rot="0" vert="horz"/>
          <a:lstStyle/>
          <a:p>
            <a:pPr>
              <a:defRPr/>
            </a:pPr>
            <a:endParaRPr lang="es-ES"/>
          </a:p>
        </c:txPr>
        <c:crossAx val="98835456"/>
        <c:crosses val="autoZero"/>
        <c:crossBetween val="between"/>
        <c:majorUnit val="20000"/>
      </c:valAx>
      <c:spPr>
        <a:noFill/>
        <a:ln w="25400">
          <a:noFill/>
        </a:ln>
      </c:spPr>
    </c:plotArea>
    <c:plotVisOnly val="1"/>
    <c:dispBlanksAs val="gap"/>
    <c:showDLblsOverMax val="0"/>
  </c:chart>
  <c:spPr>
    <a:noFill/>
    <a:ln>
      <a:noFill/>
    </a:ln>
  </c:spPr>
  <c:txPr>
    <a:bodyPr/>
    <a:lstStyle/>
    <a:p>
      <a:pPr>
        <a:defRPr sz="800" b="0" i="0" u="none" strike="noStrike" baseline="0">
          <a:solidFill>
            <a:srgbClr val="000000"/>
          </a:solidFill>
          <a:latin typeface="Arial" pitchFamily="34" charset="0"/>
          <a:ea typeface="Calibri"/>
          <a:cs typeface="Arial" pitchFamily="34" charset="0"/>
        </a:defRPr>
      </a:pPr>
      <a:endParaRPr lang="es-E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overlay val="0"/>
    </c:title>
    <c:autoTitleDeleted val="0"/>
    <c:plotArea>
      <c:layout>
        <c:manualLayout>
          <c:layoutTarget val="inner"/>
          <c:xMode val="edge"/>
          <c:yMode val="edge"/>
          <c:x val="5.5666003976144025E-2"/>
          <c:y val="8.6330935251798552E-2"/>
          <c:w val="0.9244532803180916"/>
          <c:h val="0.74100719424460471"/>
        </c:manualLayout>
      </c:layout>
      <c:barChart>
        <c:barDir val="col"/>
        <c:grouping val="clustered"/>
        <c:varyColors val="0"/>
        <c:ser>
          <c:idx val="0"/>
          <c:order val="0"/>
          <c:tx>
            <c:strRef>
              <c:f>Sheet1!$A$2</c:f>
              <c:strCache>
                <c:ptCount val="1"/>
              </c:strCache>
            </c:strRef>
          </c:tx>
          <c:invertIfNegative val="0"/>
          <c:dPt>
            <c:idx val="0"/>
            <c:invertIfNegative val="0"/>
            <c:bubble3D val="0"/>
            <c:spPr/>
          </c:dPt>
          <c:dLbls>
            <c:spPr>
              <a:noFill/>
              <a:ln w="17174">
                <a:noFill/>
              </a:ln>
            </c:spPr>
            <c:txPr>
              <a:bodyPr/>
              <a:lstStyle/>
              <a:p>
                <a:pPr>
                  <a:defRPr b="1"/>
                </a:pPr>
                <a:endParaRPr lang="es-ES"/>
              </a:p>
            </c:txPr>
            <c:showLegendKey val="0"/>
            <c:showVal val="1"/>
            <c:showCatName val="0"/>
            <c:showSerName val="0"/>
            <c:showPercent val="0"/>
            <c:showBubbleSize val="0"/>
            <c:showLeaderLines val="0"/>
          </c:dLbls>
          <c:cat>
            <c:numRef>
              <c:f>Sheet1!$B$1:$F$1</c:f>
              <c:numCache>
                <c:formatCode>General</c:formatCode>
                <c:ptCount val="5"/>
                <c:pt idx="0">
                  <c:v>2004</c:v>
                </c:pt>
                <c:pt idx="1">
                  <c:v>2006</c:v>
                </c:pt>
                <c:pt idx="2">
                  <c:v>2008</c:v>
                </c:pt>
                <c:pt idx="3">
                  <c:v>2010</c:v>
                </c:pt>
                <c:pt idx="4">
                  <c:v>2012</c:v>
                </c:pt>
              </c:numCache>
            </c:numRef>
          </c:cat>
          <c:val>
            <c:numRef>
              <c:f>Sheet1!$B$2:$F$2</c:f>
              <c:numCache>
                <c:formatCode>%0.0</c:formatCode>
                <c:ptCount val="5"/>
                <c:pt idx="0">
                  <c:v>0.39900000000000041</c:v>
                </c:pt>
                <c:pt idx="1">
                  <c:v>0.44</c:v>
                </c:pt>
                <c:pt idx="2">
                  <c:v>0.48800000000000032</c:v>
                </c:pt>
                <c:pt idx="3">
                  <c:v>0.54100000000000004</c:v>
                </c:pt>
                <c:pt idx="4">
                  <c:v>0.59699999999999998</c:v>
                </c:pt>
              </c:numCache>
            </c:numRef>
          </c:val>
        </c:ser>
        <c:dLbls>
          <c:showLegendKey val="0"/>
          <c:showVal val="0"/>
          <c:showCatName val="0"/>
          <c:showSerName val="0"/>
          <c:showPercent val="0"/>
          <c:showBubbleSize val="0"/>
        </c:dLbls>
        <c:gapWidth val="150"/>
        <c:axId val="104582144"/>
        <c:axId val="104604416"/>
      </c:barChart>
      <c:catAx>
        <c:axId val="104582144"/>
        <c:scaling>
          <c:orientation val="minMax"/>
        </c:scaling>
        <c:delete val="0"/>
        <c:axPos val="b"/>
        <c:numFmt formatCode="General" sourceLinked="1"/>
        <c:majorTickMark val="out"/>
        <c:minorTickMark val="none"/>
        <c:tickLblPos val="low"/>
        <c:txPr>
          <a:bodyPr rot="0" vert="horz"/>
          <a:lstStyle/>
          <a:p>
            <a:pPr>
              <a:defRPr/>
            </a:pPr>
            <a:endParaRPr lang="es-ES"/>
          </a:p>
        </c:txPr>
        <c:crossAx val="104604416"/>
        <c:crosses val="autoZero"/>
        <c:auto val="1"/>
        <c:lblAlgn val="ctr"/>
        <c:lblOffset val="100"/>
        <c:tickLblSkip val="1"/>
        <c:tickMarkSkip val="1"/>
        <c:noMultiLvlLbl val="0"/>
      </c:catAx>
      <c:valAx>
        <c:axId val="104604416"/>
        <c:scaling>
          <c:orientation val="minMax"/>
          <c:max val="0.60000000000000064"/>
          <c:min val="0"/>
        </c:scaling>
        <c:delete val="0"/>
        <c:axPos val="l"/>
        <c:majorGridlines>
          <c:spPr>
            <a:ln>
              <a:solidFill>
                <a:schemeClr val="bg2"/>
              </a:solidFill>
            </a:ln>
          </c:spPr>
        </c:majorGridlines>
        <c:numFmt formatCode="%0" sourceLinked="0"/>
        <c:majorTickMark val="out"/>
        <c:minorTickMark val="none"/>
        <c:tickLblPos val="nextTo"/>
        <c:txPr>
          <a:bodyPr rot="0" vert="horz"/>
          <a:lstStyle/>
          <a:p>
            <a:pPr>
              <a:defRPr/>
            </a:pPr>
            <a:endParaRPr lang="es-ES"/>
          </a:p>
        </c:txPr>
        <c:crossAx val="104582144"/>
        <c:crosses val="autoZero"/>
        <c:crossBetween val="between"/>
        <c:majorUnit val="0.1"/>
        <c:minorUnit val="0.1"/>
      </c:valAx>
    </c:plotArea>
    <c:plotVisOnly val="1"/>
    <c:dispBlanksAs val="gap"/>
    <c:showDLblsOverMax val="0"/>
  </c:chart>
  <c:spPr>
    <a:ln>
      <a:noFill/>
    </a:ln>
  </c:spPr>
  <c:txPr>
    <a:bodyPr/>
    <a:lstStyle/>
    <a:p>
      <a:pPr>
        <a:defRPr sz="800">
          <a:latin typeface="Arial" pitchFamily="34" charset="0"/>
          <a:cs typeface="Arial" pitchFamily="34" charset="0"/>
        </a:defRPr>
      </a:pPr>
      <a:endParaRPr lang="es-ES"/>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b="1"/>
            </a:pPr>
            <a:r>
              <a:rPr lang="es-ES" b="1"/>
              <a:t>ARABA</a:t>
            </a:r>
          </a:p>
        </c:rich>
      </c:tx>
      <c:layout>
        <c:manualLayout>
          <c:xMode val="edge"/>
          <c:yMode val="edge"/>
          <c:x val="0.43799482256498795"/>
          <c:y val="1.9900381770460537E-2"/>
        </c:manualLayout>
      </c:layout>
      <c:overlay val="0"/>
      <c:spPr>
        <a:noFill/>
        <a:ln w="17265">
          <a:noFill/>
        </a:ln>
      </c:spPr>
    </c:title>
    <c:autoTitleDeleted val="0"/>
    <c:plotArea>
      <c:layout>
        <c:manualLayout>
          <c:layoutTarget val="inner"/>
          <c:xMode val="edge"/>
          <c:yMode val="edge"/>
          <c:x val="0.10256410256410263"/>
          <c:y val="0.19444444444444475"/>
          <c:w val="0.89423076923076839"/>
          <c:h val="0.6500000000000008"/>
        </c:manualLayout>
      </c:layout>
      <c:barChart>
        <c:barDir val="col"/>
        <c:grouping val="clustered"/>
        <c:varyColors val="0"/>
        <c:ser>
          <c:idx val="0"/>
          <c:order val="0"/>
          <c:tx>
            <c:strRef>
              <c:f>Sheet1!$A$2</c:f>
              <c:strCache>
                <c:ptCount val="1"/>
                <c:pt idx="0">
                  <c:v>ALAVA</c:v>
                </c:pt>
              </c:strCache>
            </c:strRef>
          </c:tx>
          <c:spPr>
            <a:solidFill>
              <a:schemeClr val="accent1">
                <a:lumMod val="20000"/>
                <a:lumOff val="80000"/>
              </a:schemeClr>
            </a:solidFill>
            <a:ln w="8622">
              <a:noFill/>
              <a:prstDash val="solid"/>
            </a:ln>
          </c:spPr>
          <c:invertIfNegative val="0"/>
          <c:dPt>
            <c:idx val="0"/>
            <c:invertIfNegative val="0"/>
            <c:bubble3D val="0"/>
            <c:spPr>
              <a:solidFill>
                <a:schemeClr val="accent1"/>
              </a:solidFill>
              <a:ln w="8622">
                <a:noFill/>
                <a:prstDash val="solid"/>
              </a:ln>
            </c:spPr>
          </c:dPt>
          <c:dLbls>
            <c:dLbl>
              <c:idx val="0"/>
              <c:layout>
                <c:manualLayout>
                  <c:x val="2.8913076816185091E-3"/>
                  <c:y val="-6.3790632907845243E-2"/>
                </c:manualLayout>
              </c:layout>
              <c:dLblPos val="outEnd"/>
              <c:showLegendKey val="0"/>
              <c:showVal val="1"/>
              <c:showCatName val="0"/>
              <c:showSerName val="0"/>
              <c:showPercent val="0"/>
              <c:showBubbleSize val="0"/>
            </c:dLbl>
            <c:dLbl>
              <c:idx val="1"/>
              <c:layout>
                <c:manualLayout>
                  <c:x val="2.0789363497017875E-3"/>
                  <c:y val="-7.224758961818821E-2"/>
                </c:manualLayout>
              </c:layout>
              <c:dLblPos val="outEnd"/>
              <c:showLegendKey val="0"/>
              <c:showVal val="1"/>
              <c:showCatName val="0"/>
              <c:showSerName val="0"/>
              <c:showPercent val="0"/>
              <c:showBubbleSize val="0"/>
            </c:dLbl>
            <c:dLbl>
              <c:idx val="2"/>
              <c:layout>
                <c:manualLayout>
                  <c:x val="6.5438799469497511E-3"/>
                  <c:y val="-7.0259049331828055E-2"/>
                </c:manualLayout>
              </c:layout>
              <c:dLblPos val="outEnd"/>
              <c:showLegendKey val="0"/>
              <c:showVal val="1"/>
              <c:showCatName val="0"/>
              <c:showSerName val="0"/>
              <c:showPercent val="0"/>
              <c:showBubbleSize val="0"/>
            </c:dLbl>
            <c:dLbl>
              <c:idx val="3"/>
              <c:layout>
                <c:manualLayout>
                  <c:x val="1.1008553469914499E-2"/>
                  <c:y val="-7.0556535365157227E-2"/>
                </c:manualLayout>
              </c:layout>
              <c:dLblPos val="outEnd"/>
              <c:showLegendKey val="0"/>
              <c:showVal val="1"/>
              <c:showCatName val="0"/>
              <c:showSerName val="0"/>
              <c:showPercent val="0"/>
              <c:showBubbleSize val="0"/>
            </c:dLbl>
            <c:dLbl>
              <c:idx val="4"/>
              <c:layout>
                <c:manualLayout>
                  <c:x val="1.0196452212281245E-2"/>
                  <c:y val="-5.9213216587007032E-2"/>
                </c:manualLayout>
              </c:layout>
              <c:dLblPos val="outEnd"/>
              <c:showLegendKey val="0"/>
              <c:showVal val="1"/>
              <c:showCatName val="0"/>
              <c:showSerName val="0"/>
              <c:showPercent val="0"/>
              <c:showBubbleSize val="0"/>
            </c:dLbl>
            <c:spPr>
              <a:noFill/>
              <a:ln w="17265">
                <a:noFill/>
              </a:ln>
            </c:spPr>
            <c:txPr>
              <a:bodyPr/>
              <a:lstStyle/>
              <a:p>
                <a:pPr>
                  <a:defRPr b="1"/>
                </a:pPr>
                <a:endParaRPr lang="es-ES"/>
              </a:p>
            </c:txPr>
            <c:showLegendKey val="0"/>
            <c:showVal val="1"/>
            <c:showCatName val="0"/>
            <c:showSerName val="0"/>
            <c:showPercent val="0"/>
            <c:showBubbleSize val="0"/>
            <c:showLeaderLines val="0"/>
          </c:dLbls>
          <c:cat>
            <c:strRef>
              <c:f>Sheet1!$B$1:$F$1</c:f>
              <c:strCache>
                <c:ptCount val="5"/>
                <c:pt idx="0">
                  <c:v>Guztira</c:v>
                </c:pt>
                <c:pt idx="1">
                  <c:v>Nekazaritza</c:v>
                </c:pt>
                <c:pt idx="2">
                  <c:v>Industria</c:v>
                </c:pt>
                <c:pt idx="3">
                  <c:v>Eraikuntza</c:v>
                </c:pt>
                <c:pt idx="4">
                  <c:v>Zerbitzuak</c:v>
                </c:pt>
              </c:strCache>
            </c:strRef>
          </c:cat>
          <c:val>
            <c:numRef>
              <c:f>Sheet1!$B$2:$F$2</c:f>
              <c:numCache>
                <c:formatCode>%0.0</c:formatCode>
                <c:ptCount val="5"/>
                <c:pt idx="0">
                  <c:v>4.2000000000000023E-2</c:v>
                </c:pt>
                <c:pt idx="1">
                  <c:v>2.7000000000000024E-2</c:v>
                </c:pt>
                <c:pt idx="2">
                  <c:v>5.7000000000000023E-2</c:v>
                </c:pt>
                <c:pt idx="3">
                  <c:v>4.0000000000000022E-2</c:v>
                </c:pt>
                <c:pt idx="4">
                  <c:v>3.5999999999999997E-2</c:v>
                </c:pt>
              </c:numCache>
            </c:numRef>
          </c:val>
        </c:ser>
        <c:dLbls>
          <c:showLegendKey val="0"/>
          <c:showVal val="0"/>
          <c:showCatName val="0"/>
          <c:showSerName val="0"/>
          <c:showPercent val="0"/>
          <c:showBubbleSize val="0"/>
        </c:dLbls>
        <c:gapWidth val="150"/>
        <c:axId val="104649856"/>
        <c:axId val="104651392"/>
      </c:barChart>
      <c:catAx>
        <c:axId val="104649856"/>
        <c:scaling>
          <c:orientation val="minMax"/>
        </c:scaling>
        <c:delete val="0"/>
        <c:axPos val="b"/>
        <c:numFmt formatCode="General" sourceLinked="1"/>
        <c:majorTickMark val="out"/>
        <c:minorTickMark val="none"/>
        <c:tickLblPos val="low"/>
        <c:spPr>
          <a:ln w="2155">
            <a:solidFill>
              <a:srgbClr val="000000"/>
            </a:solidFill>
            <a:prstDash val="solid"/>
          </a:ln>
        </c:spPr>
        <c:txPr>
          <a:bodyPr rot="0" vert="horz"/>
          <a:lstStyle/>
          <a:p>
            <a:pPr>
              <a:defRPr/>
            </a:pPr>
            <a:endParaRPr lang="es-ES"/>
          </a:p>
        </c:txPr>
        <c:crossAx val="104651392"/>
        <c:crosses val="autoZero"/>
        <c:auto val="1"/>
        <c:lblAlgn val="ctr"/>
        <c:lblOffset val="100"/>
        <c:tickLblSkip val="1"/>
        <c:tickMarkSkip val="1"/>
        <c:noMultiLvlLbl val="0"/>
      </c:catAx>
      <c:valAx>
        <c:axId val="104651392"/>
        <c:scaling>
          <c:orientation val="minMax"/>
          <c:max val="0.1"/>
        </c:scaling>
        <c:delete val="0"/>
        <c:axPos val="l"/>
        <c:majorGridlines>
          <c:spPr>
            <a:ln w="8622">
              <a:solidFill>
                <a:schemeClr val="bg1">
                  <a:lumMod val="95000"/>
                </a:schemeClr>
              </a:solidFill>
              <a:prstDash val="solid"/>
            </a:ln>
          </c:spPr>
        </c:majorGridlines>
        <c:numFmt formatCode="%0" sourceLinked="0"/>
        <c:majorTickMark val="out"/>
        <c:minorTickMark val="none"/>
        <c:tickLblPos val="nextTo"/>
        <c:spPr>
          <a:ln w="2155">
            <a:solidFill>
              <a:srgbClr val="000000"/>
            </a:solidFill>
            <a:prstDash val="solid"/>
          </a:ln>
        </c:spPr>
        <c:txPr>
          <a:bodyPr rot="0" vert="horz"/>
          <a:lstStyle/>
          <a:p>
            <a:pPr>
              <a:defRPr/>
            </a:pPr>
            <a:endParaRPr lang="es-ES"/>
          </a:p>
        </c:txPr>
        <c:crossAx val="104649856"/>
        <c:crosses val="autoZero"/>
        <c:crossBetween val="between"/>
        <c:majorUnit val="2.0000000000000011E-2"/>
        <c:minorUnit val="2.0000000000000011E-2"/>
      </c:valAx>
      <c:spPr>
        <a:noFill/>
        <a:ln w="17265">
          <a:noFill/>
        </a:ln>
      </c:spPr>
    </c:plotArea>
    <c:plotVisOnly val="1"/>
    <c:dispBlanksAs val="gap"/>
    <c:showDLblsOverMax val="0"/>
  </c:chart>
  <c:spPr>
    <a:noFill/>
    <a:ln>
      <a:noFill/>
    </a:ln>
  </c:spPr>
  <c:txPr>
    <a:bodyPr/>
    <a:lstStyle/>
    <a:p>
      <a:pPr>
        <a:defRPr sz="700" b="0" i="0" u="none" strike="noStrike" baseline="0">
          <a:solidFill>
            <a:srgbClr val="000000"/>
          </a:solidFill>
          <a:latin typeface="Arial" pitchFamily="34" charset="0"/>
          <a:ea typeface="Calibri"/>
          <a:cs typeface="Arial" pitchFamily="34" charset="0"/>
        </a:defRPr>
      </a:pPr>
      <a:endParaRPr lang="es-ES"/>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b="1"/>
            </a:pPr>
            <a:r>
              <a:rPr lang="es-ES" b="1"/>
              <a:t>EAE</a:t>
            </a:r>
          </a:p>
        </c:rich>
      </c:tx>
      <c:layout>
        <c:manualLayout>
          <c:xMode val="edge"/>
          <c:yMode val="edge"/>
          <c:x val="0.46315787581346884"/>
          <c:y val="2.010021474588404E-2"/>
        </c:manualLayout>
      </c:layout>
      <c:overlay val="0"/>
      <c:spPr>
        <a:noFill/>
        <a:ln w="17200">
          <a:noFill/>
        </a:ln>
      </c:spPr>
    </c:title>
    <c:autoTitleDeleted val="0"/>
    <c:plotArea>
      <c:layout>
        <c:manualLayout>
          <c:layoutTarget val="inner"/>
          <c:xMode val="edge"/>
          <c:yMode val="edge"/>
          <c:x val="7.6315789473684212E-2"/>
          <c:y val="0.19095477386934673"/>
          <c:w val="0.92368421052632199"/>
          <c:h val="0.66834170854272068"/>
        </c:manualLayout>
      </c:layout>
      <c:barChart>
        <c:barDir val="col"/>
        <c:grouping val="clustered"/>
        <c:varyColors val="0"/>
        <c:ser>
          <c:idx val="0"/>
          <c:order val="0"/>
          <c:tx>
            <c:strRef>
              <c:f>Sheet1!$A$2</c:f>
              <c:strCache>
                <c:ptCount val="1"/>
                <c:pt idx="0">
                  <c:v>EAE</c:v>
                </c:pt>
              </c:strCache>
            </c:strRef>
          </c:tx>
          <c:spPr>
            <a:solidFill>
              <a:schemeClr val="accent1">
                <a:lumMod val="20000"/>
                <a:lumOff val="80000"/>
              </a:schemeClr>
            </a:solidFill>
            <a:ln w="8622">
              <a:noFill/>
              <a:prstDash val="solid"/>
            </a:ln>
          </c:spPr>
          <c:invertIfNegative val="0"/>
          <c:dPt>
            <c:idx val="0"/>
            <c:invertIfNegative val="0"/>
            <c:bubble3D val="0"/>
            <c:spPr>
              <a:solidFill>
                <a:schemeClr val="accent1"/>
              </a:solidFill>
              <a:ln w="8622">
                <a:noFill/>
                <a:prstDash val="solid"/>
              </a:ln>
            </c:spPr>
          </c:dPt>
          <c:dLbls>
            <c:dLbl>
              <c:idx val="0"/>
              <c:layout>
                <c:manualLayout>
                  <c:x val="-6.1117054188098534E-3"/>
                  <c:y val="-5.8498071564403023E-2"/>
                </c:manualLayout>
              </c:layout>
              <c:dLblPos val="outEnd"/>
              <c:showLegendKey val="0"/>
              <c:showVal val="1"/>
              <c:showCatName val="0"/>
              <c:showSerName val="0"/>
              <c:showPercent val="0"/>
              <c:showBubbleSize val="0"/>
            </c:dLbl>
            <c:dLbl>
              <c:idx val="1"/>
              <c:layout>
                <c:manualLayout>
                  <c:x val="-4.5280218003146914E-3"/>
                  <c:y val="-7.0754057389142463E-2"/>
                </c:manualLayout>
              </c:layout>
              <c:dLblPos val="outEnd"/>
              <c:showLegendKey val="0"/>
              <c:showVal val="1"/>
              <c:showCatName val="0"/>
              <c:showSerName val="0"/>
              <c:showPercent val="0"/>
              <c:showBubbleSize val="0"/>
            </c:dLbl>
            <c:dLbl>
              <c:idx val="2"/>
              <c:layout>
                <c:manualLayout>
                  <c:x val="-1.0814178625862224E-3"/>
                  <c:y val="-4.2946686201947123E-2"/>
                </c:manualLayout>
              </c:layout>
              <c:dLblPos val="outEnd"/>
              <c:showLegendKey val="0"/>
              <c:showVal val="1"/>
              <c:showCatName val="0"/>
              <c:showSerName val="0"/>
              <c:showPercent val="0"/>
              <c:showBubbleSize val="0"/>
            </c:dLbl>
            <c:dLbl>
              <c:idx val="3"/>
              <c:layout>
                <c:manualLayout>
                  <c:x val="1.2711928469059893E-3"/>
                  <c:y val="-6.5217884965977482E-2"/>
                </c:manualLayout>
              </c:layout>
              <c:dLblPos val="outEnd"/>
              <c:showLegendKey val="0"/>
              <c:showVal val="1"/>
              <c:showCatName val="0"/>
              <c:showSerName val="0"/>
              <c:showPercent val="0"/>
              <c:showBubbleSize val="0"/>
            </c:dLbl>
            <c:dLbl>
              <c:idx val="4"/>
              <c:layout>
                <c:manualLayout>
                  <c:x val="2.2329751803278254E-4"/>
                  <c:y val="-4.9886984684044039E-2"/>
                </c:manualLayout>
              </c:layout>
              <c:dLblPos val="outEnd"/>
              <c:showLegendKey val="0"/>
              <c:showVal val="1"/>
              <c:showCatName val="0"/>
              <c:showSerName val="0"/>
              <c:showPercent val="0"/>
              <c:showBubbleSize val="0"/>
            </c:dLbl>
            <c:spPr>
              <a:noFill/>
              <a:ln w="17200">
                <a:noFill/>
              </a:ln>
            </c:spPr>
            <c:txPr>
              <a:bodyPr/>
              <a:lstStyle/>
              <a:p>
                <a:pPr>
                  <a:defRPr b="1"/>
                </a:pPr>
                <a:endParaRPr lang="es-ES"/>
              </a:p>
            </c:txPr>
            <c:showLegendKey val="0"/>
            <c:showVal val="1"/>
            <c:showCatName val="0"/>
            <c:showSerName val="0"/>
            <c:showPercent val="0"/>
            <c:showBubbleSize val="0"/>
            <c:showLeaderLines val="0"/>
          </c:dLbls>
          <c:cat>
            <c:strRef>
              <c:f>Sheet1!$B$1:$F$1</c:f>
              <c:strCache>
                <c:ptCount val="5"/>
                <c:pt idx="0">
                  <c:v>Guztira</c:v>
                </c:pt>
                <c:pt idx="1">
                  <c:v>Nekazaritza</c:v>
                </c:pt>
                <c:pt idx="2">
                  <c:v>Industria</c:v>
                </c:pt>
                <c:pt idx="3">
                  <c:v>Eraikuntza</c:v>
                </c:pt>
                <c:pt idx="4">
                  <c:v>Zerbitzuak</c:v>
                </c:pt>
              </c:strCache>
            </c:strRef>
          </c:cat>
          <c:val>
            <c:numRef>
              <c:f>Sheet1!$B$2:$F$2</c:f>
              <c:numCache>
                <c:formatCode>%0.0</c:formatCode>
                <c:ptCount val="5"/>
                <c:pt idx="0">
                  <c:v>6.2000000000000034E-2</c:v>
                </c:pt>
                <c:pt idx="1">
                  <c:v>1.4999999999999998E-2</c:v>
                </c:pt>
                <c:pt idx="2">
                  <c:v>0.12000000000000002</c:v>
                </c:pt>
                <c:pt idx="3">
                  <c:v>3.500000000000001E-2</c:v>
                </c:pt>
                <c:pt idx="4">
                  <c:v>4.5000000000000012E-2</c:v>
                </c:pt>
              </c:numCache>
            </c:numRef>
          </c:val>
        </c:ser>
        <c:dLbls>
          <c:showLegendKey val="0"/>
          <c:showVal val="0"/>
          <c:showCatName val="0"/>
          <c:showSerName val="0"/>
          <c:showPercent val="0"/>
          <c:showBubbleSize val="0"/>
        </c:dLbls>
        <c:gapWidth val="150"/>
        <c:axId val="104737792"/>
        <c:axId val="104743680"/>
      </c:barChart>
      <c:catAx>
        <c:axId val="104737792"/>
        <c:scaling>
          <c:orientation val="minMax"/>
        </c:scaling>
        <c:delete val="0"/>
        <c:axPos val="b"/>
        <c:numFmt formatCode="General" sourceLinked="1"/>
        <c:majorTickMark val="out"/>
        <c:minorTickMark val="none"/>
        <c:tickLblPos val="low"/>
        <c:spPr>
          <a:ln w="2155">
            <a:solidFill>
              <a:srgbClr val="000000"/>
            </a:solidFill>
            <a:prstDash val="solid"/>
          </a:ln>
        </c:spPr>
        <c:txPr>
          <a:bodyPr rot="0" vert="horz"/>
          <a:lstStyle/>
          <a:p>
            <a:pPr>
              <a:defRPr/>
            </a:pPr>
            <a:endParaRPr lang="es-ES"/>
          </a:p>
        </c:txPr>
        <c:crossAx val="104743680"/>
        <c:crosses val="autoZero"/>
        <c:auto val="1"/>
        <c:lblAlgn val="ctr"/>
        <c:lblOffset val="100"/>
        <c:tickLblSkip val="1"/>
        <c:tickMarkSkip val="1"/>
        <c:noMultiLvlLbl val="0"/>
      </c:catAx>
      <c:valAx>
        <c:axId val="104743680"/>
        <c:scaling>
          <c:orientation val="minMax"/>
          <c:max val="0.2"/>
        </c:scaling>
        <c:delete val="0"/>
        <c:axPos val="l"/>
        <c:majorGridlines>
          <c:spPr>
            <a:ln w="8622">
              <a:solidFill>
                <a:schemeClr val="bg1">
                  <a:lumMod val="95000"/>
                </a:schemeClr>
              </a:solidFill>
              <a:prstDash val="solid"/>
            </a:ln>
          </c:spPr>
        </c:majorGridlines>
        <c:numFmt formatCode="%0" sourceLinked="0"/>
        <c:majorTickMark val="out"/>
        <c:minorTickMark val="none"/>
        <c:tickLblPos val="nextTo"/>
        <c:spPr>
          <a:ln w="2155">
            <a:solidFill>
              <a:srgbClr val="000000"/>
            </a:solidFill>
            <a:prstDash val="solid"/>
          </a:ln>
        </c:spPr>
        <c:txPr>
          <a:bodyPr rot="0" vert="horz"/>
          <a:lstStyle/>
          <a:p>
            <a:pPr>
              <a:defRPr/>
            </a:pPr>
            <a:endParaRPr lang="es-ES"/>
          </a:p>
        </c:txPr>
        <c:crossAx val="104737792"/>
        <c:crosses val="autoZero"/>
        <c:crossBetween val="between"/>
        <c:majorUnit val="0.05"/>
        <c:minorUnit val="2.0000000000000011E-2"/>
      </c:valAx>
      <c:spPr>
        <a:noFill/>
        <a:ln w="17200">
          <a:noFill/>
        </a:ln>
      </c:spPr>
    </c:plotArea>
    <c:plotVisOnly val="1"/>
    <c:dispBlanksAs val="gap"/>
    <c:showDLblsOverMax val="0"/>
  </c:chart>
  <c:spPr>
    <a:noFill/>
    <a:ln>
      <a:noFill/>
    </a:ln>
  </c:spPr>
  <c:txPr>
    <a:bodyPr/>
    <a:lstStyle/>
    <a:p>
      <a:pPr>
        <a:defRPr sz="700" b="0" i="0" u="none" strike="noStrike" baseline="0">
          <a:solidFill>
            <a:srgbClr val="000000"/>
          </a:solidFill>
          <a:latin typeface="Arial" pitchFamily="34" charset="0"/>
          <a:ea typeface="Calibri"/>
          <a:cs typeface="Arial" pitchFamily="34" charset="0"/>
        </a:defRPr>
      </a:pPr>
      <a:endParaRPr lang="es-ES"/>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b="1"/>
            </a:pPr>
            <a:r>
              <a:rPr lang="es-ES" b="1"/>
              <a:t>GIPUZKOA</a:t>
            </a:r>
          </a:p>
        </c:rich>
      </c:tx>
      <c:layout>
        <c:manualLayout>
          <c:xMode val="edge"/>
          <c:yMode val="edge"/>
          <c:x val="0.46315787581346884"/>
          <c:y val="2.010021474588404E-2"/>
        </c:manualLayout>
      </c:layout>
      <c:overlay val="0"/>
      <c:spPr>
        <a:noFill/>
        <a:ln w="17200">
          <a:noFill/>
        </a:ln>
      </c:spPr>
    </c:title>
    <c:autoTitleDeleted val="0"/>
    <c:plotArea>
      <c:layout>
        <c:manualLayout>
          <c:layoutTarget val="inner"/>
          <c:xMode val="edge"/>
          <c:yMode val="edge"/>
          <c:x val="7.6315789473684212E-2"/>
          <c:y val="0.19095477386934673"/>
          <c:w val="0.92368421052632244"/>
          <c:h val="0.66834170854272112"/>
        </c:manualLayout>
      </c:layout>
      <c:barChart>
        <c:barDir val="col"/>
        <c:grouping val="clustered"/>
        <c:varyColors val="0"/>
        <c:ser>
          <c:idx val="0"/>
          <c:order val="0"/>
          <c:tx>
            <c:strRef>
              <c:f>Sheet1!$A$2</c:f>
              <c:strCache>
                <c:ptCount val="1"/>
                <c:pt idx="0">
                  <c:v>CAE</c:v>
                </c:pt>
              </c:strCache>
            </c:strRef>
          </c:tx>
          <c:spPr>
            <a:solidFill>
              <a:schemeClr val="accent1">
                <a:lumMod val="20000"/>
                <a:lumOff val="80000"/>
              </a:schemeClr>
            </a:solidFill>
            <a:ln w="8622">
              <a:noFill/>
              <a:prstDash val="solid"/>
            </a:ln>
          </c:spPr>
          <c:invertIfNegative val="0"/>
          <c:dPt>
            <c:idx val="0"/>
            <c:invertIfNegative val="0"/>
            <c:bubble3D val="0"/>
            <c:spPr>
              <a:solidFill>
                <a:schemeClr val="accent1"/>
              </a:solidFill>
              <a:ln w="8622">
                <a:noFill/>
                <a:prstDash val="solid"/>
              </a:ln>
            </c:spPr>
          </c:dPt>
          <c:dLbls>
            <c:dLbl>
              <c:idx val="0"/>
              <c:layout>
                <c:manualLayout>
                  <c:x val="-6.1117054188098534E-3"/>
                  <c:y val="-5.8498071564403023E-2"/>
                </c:manualLayout>
              </c:layout>
              <c:dLblPos val="outEnd"/>
              <c:showLegendKey val="0"/>
              <c:showVal val="1"/>
              <c:showCatName val="0"/>
              <c:showSerName val="0"/>
              <c:showPercent val="0"/>
              <c:showBubbleSize val="0"/>
            </c:dLbl>
            <c:dLbl>
              <c:idx val="1"/>
              <c:layout>
                <c:manualLayout>
                  <c:x val="-4.5280218003146914E-3"/>
                  <c:y val="-7.0754057389142463E-2"/>
                </c:manualLayout>
              </c:layout>
              <c:dLblPos val="outEnd"/>
              <c:showLegendKey val="0"/>
              <c:showVal val="1"/>
              <c:showCatName val="0"/>
              <c:showSerName val="0"/>
              <c:showPercent val="0"/>
              <c:showBubbleSize val="0"/>
            </c:dLbl>
            <c:dLbl>
              <c:idx val="2"/>
              <c:layout>
                <c:manualLayout>
                  <c:x val="-1.0814178625862246E-3"/>
                  <c:y val="-4.2946686201947123E-2"/>
                </c:manualLayout>
              </c:layout>
              <c:dLblPos val="outEnd"/>
              <c:showLegendKey val="0"/>
              <c:showVal val="1"/>
              <c:showCatName val="0"/>
              <c:showSerName val="0"/>
              <c:showPercent val="0"/>
              <c:showBubbleSize val="0"/>
            </c:dLbl>
            <c:dLbl>
              <c:idx val="3"/>
              <c:layout>
                <c:manualLayout>
                  <c:x val="1.2711928469059893E-3"/>
                  <c:y val="-6.5217884965977482E-2"/>
                </c:manualLayout>
              </c:layout>
              <c:dLblPos val="outEnd"/>
              <c:showLegendKey val="0"/>
              <c:showVal val="1"/>
              <c:showCatName val="0"/>
              <c:showSerName val="0"/>
              <c:showPercent val="0"/>
              <c:showBubbleSize val="0"/>
            </c:dLbl>
            <c:dLbl>
              <c:idx val="4"/>
              <c:layout>
                <c:manualLayout>
                  <c:x val="2.2329751803278254E-4"/>
                  <c:y val="-4.9886984684044101E-2"/>
                </c:manualLayout>
              </c:layout>
              <c:dLblPos val="outEnd"/>
              <c:showLegendKey val="0"/>
              <c:showVal val="1"/>
              <c:showCatName val="0"/>
              <c:showSerName val="0"/>
              <c:showPercent val="0"/>
              <c:showBubbleSize val="0"/>
            </c:dLbl>
            <c:spPr>
              <a:noFill/>
              <a:ln w="17200">
                <a:noFill/>
              </a:ln>
            </c:spPr>
            <c:txPr>
              <a:bodyPr/>
              <a:lstStyle/>
              <a:p>
                <a:pPr>
                  <a:defRPr b="1"/>
                </a:pPr>
                <a:endParaRPr lang="es-ES"/>
              </a:p>
            </c:txPr>
            <c:showLegendKey val="0"/>
            <c:showVal val="1"/>
            <c:showCatName val="0"/>
            <c:showSerName val="0"/>
            <c:showPercent val="0"/>
            <c:showBubbleSize val="0"/>
            <c:showLeaderLines val="0"/>
          </c:dLbls>
          <c:cat>
            <c:strRef>
              <c:f>Sheet1!$B$1:$F$1</c:f>
              <c:strCache>
                <c:ptCount val="5"/>
                <c:pt idx="0">
                  <c:v>Guztira</c:v>
                </c:pt>
                <c:pt idx="1">
                  <c:v>Nekazaritza</c:v>
                </c:pt>
                <c:pt idx="2">
                  <c:v>Industria</c:v>
                </c:pt>
                <c:pt idx="3">
                  <c:v>Eraikuntza</c:v>
                </c:pt>
                <c:pt idx="4">
                  <c:v>Zerbitzuak</c:v>
                </c:pt>
              </c:strCache>
            </c:strRef>
          </c:cat>
          <c:val>
            <c:numRef>
              <c:f>Sheet1!$B$2:$F$2</c:f>
              <c:numCache>
                <c:formatCode>%0.0</c:formatCode>
                <c:ptCount val="5"/>
                <c:pt idx="0">
                  <c:v>9.7000000000000003E-2</c:v>
                </c:pt>
                <c:pt idx="1">
                  <c:v>8.0000000000000106E-3</c:v>
                </c:pt>
                <c:pt idx="2">
                  <c:v>0.21200000000000013</c:v>
                </c:pt>
                <c:pt idx="3">
                  <c:v>3.500000000000001E-2</c:v>
                </c:pt>
                <c:pt idx="4">
                  <c:v>5.9000000000000039E-2</c:v>
                </c:pt>
              </c:numCache>
            </c:numRef>
          </c:val>
        </c:ser>
        <c:dLbls>
          <c:showLegendKey val="0"/>
          <c:showVal val="0"/>
          <c:showCatName val="0"/>
          <c:showSerName val="0"/>
          <c:showPercent val="0"/>
          <c:showBubbleSize val="0"/>
        </c:dLbls>
        <c:gapWidth val="150"/>
        <c:axId val="104773120"/>
        <c:axId val="104774656"/>
      </c:barChart>
      <c:catAx>
        <c:axId val="104773120"/>
        <c:scaling>
          <c:orientation val="minMax"/>
        </c:scaling>
        <c:delete val="0"/>
        <c:axPos val="b"/>
        <c:numFmt formatCode="General" sourceLinked="1"/>
        <c:majorTickMark val="out"/>
        <c:minorTickMark val="none"/>
        <c:tickLblPos val="low"/>
        <c:spPr>
          <a:ln w="2155">
            <a:solidFill>
              <a:srgbClr val="000000"/>
            </a:solidFill>
            <a:prstDash val="solid"/>
          </a:ln>
        </c:spPr>
        <c:txPr>
          <a:bodyPr rot="0" vert="horz"/>
          <a:lstStyle/>
          <a:p>
            <a:pPr>
              <a:defRPr/>
            </a:pPr>
            <a:endParaRPr lang="es-ES"/>
          </a:p>
        </c:txPr>
        <c:crossAx val="104774656"/>
        <c:crosses val="autoZero"/>
        <c:auto val="1"/>
        <c:lblAlgn val="ctr"/>
        <c:lblOffset val="100"/>
        <c:tickLblSkip val="1"/>
        <c:tickMarkSkip val="1"/>
        <c:noMultiLvlLbl val="0"/>
      </c:catAx>
      <c:valAx>
        <c:axId val="104774656"/>
        <c:scaling>
          <c:orientation val="minMax"/>
          <c:max val="0.30000000000000032"/>
        </c:scaling>
        <c:delete val="0"/>
        <c:axPos val="l"/>
        <c:majorGridlines>
          <c:spPr>
            <a:ln w="8622">
              <a:solidFill>
                <a:schemeClr val="bg1">
                  <a:lumMod val="95000"/>
                </a:schemeClr>
              </a:solidFill>
              <a:prstDash val="solid"/>
            </a:ln>
          </c:spPr>
        </c:majorGridlines>
        <c:numFmt formatCode="%0" sourceLinked="0"/>
        <c:majorTickMark val="out"/>
        <c:minorTickMark val="none"/>
        <c:tickLblPos val="nextTo"/>
        <c:spPr>
          <a:ln w="2155">
            <a:solidFill>
              <a:srgbClr val="000000"/>
            </a:solidFill>
            <a:prstDash val="solid"/>
          </a:ln>
        </c:spPr>
        <c:txPr>
          <a:bodyPr rot="0" vert="horz"/>
          <a:lstStyle/>
          <a:p>
            <a:pPr>
              <a:defRPr/>
            </a:pPr>
            <a:endParaRPr lang="es-ES"/>
          </a:p>
        </c:txPr>
        <c:crossAx val="104773120"/>
        <c:crosses val="autoZero"/>
        <c:crossBetween val="between"/>
        <c:majorUnit val="0.05"/>
        <c:minorUnit val="2.0000000000000011E-2"/>
      </c:valAx>
      <c:spPr>
        <a:noFill/>
        <a:ln w="17200">
          <a:noFill/>
        </a:ln>
      </c:spPr>
    </c:plotArea>
    <c:plotVisOnly val="1"/>
    <c:dispBlanksAs val="gap"/>
    <c:showDLblsOverMax val="0"/>
  </c:chart>
  <c:spPr>
    <a:noFill/>
    <a:ln>
      <a:noFill/>
    </a:ln>
  </c:spPr>
  <c:txPr>
    <a:bodyPr/>
    <a:lstStyle/>
    <a:p>
      <a:pPr>
        <a:defRPr sz="700" b="0" i="0" u="none" strike="noStrike" baseline="0">
          <a:solidFill>
            <a:srgbClr val="000000"/>
          </a:solidFill>
          <a:latin typeface="Arial" pitchFamily="34" charset="0"/>
          <a:ea typeface="Calibri"/>
          <a:cs typeface="Arial" pitchFamily="34" charset="0"/>
        </a:defRPr>
      </a:pPr>
      <a:endParaRPr lang="es-ES"/>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b="1"/>
            </a:pPr>
            <a:r>
              <a:rPr lang="es-ES" b="1"/>
              <a:t>BIZKAIA</a:t>
            </a:r>
          </a:p>
        </c:rich>
      </c:tx>
      <c:layout>
        <c:manualLayout>
          <c:xMode val="edge"/>
          <c:yMode val="edge"/>
          <c:x val="0.46315787581346884"/>
          <c:y val="2.010021474588404E-2"/>
        </c:manualLayout>
      </c:layout>
      <c:overlay val="0"/>
      <c:spPr>
        <a:noFill/>
        <a:ln w="17241">
          <a:noFill/>
        </a:ln>
      </c:spPr>
    </c:title>
    <c:autoTitleDeleted val="0"/>
    <c:plotArea>
      <c:layout>
        <c:manualLayout>
          <c:layoutTarget val="inner"/>
          <c:xMode val="edge"/>
          <c:yMode val="edge"/>
          <c:x val="7.6315789473684212E-2"/>
          <c:y val="0.19095477386934673"/>
          <c:w val="0.92368421052632221"/>
          <c:h val="0.6683417085427209"/>
        </c:manualLayout>
      </c:layout>
      <c:barChart>
        <c:barDir val="col"/>
        <c:grouping val="clustered"/>
        <c:varyColors val="0"/>
        <c:ser>
          <c:idx val="0"/>
          <c:order val="0"/>
          <c:tx>
            <c:strRef>
              <c:f>Sheet1!$A$2</c:f>
              <c:strCache>
                <c:ptCount val="1"/>
                <c:pt idx="0">
                  <c:v>CAE</c:v>
                </c:pt>
              </c:strCache>
            </c:strRef>
          </c:tx>
          <c:spPr>
            <a:solidFill>
              <a:schemeClr val="accent1">
                <a:lumMod val="20000"/>
                <a:lumOff val="80000"/>
              </a:schemeClr>
            </a:solidFill>
            <a:ln w="8642">
              <a:noFill/>
              <a:prstDash val="solid"/>
            </a:ln>
          </c:spPr>
          <c:invertIfNegative val="0"/>
          <c:dPt>
            <c:idx val="0"/>
            <c:invertIfNegative val="0"/>
            <c:bubble3D val="0"/>
            <c:spPr>
              <a:solidFill>
                <a:schemeClr val="accent1"/>
              </a:solidFill>
              <a:ln w="8642">
                <a:noFill/>
                <a:prstDash val="solid"/>
              </a:ln>
            </c:spPr>
          </c:dPt>
          <c:dLbls>
            <c:dLbl>
              <c:idx val="0"/>
              <c:layout>
                <c:manualLayout>
                  <c:x val="-6.1117054188098534E-3"/>
                  <c:y val="-5.8498071564403023E-2"/>
                </c:manualLayout>
              </c:layout>
              <c:dLblPos val="outEnd"/>
              <c:showLegendKey val="0"/>
              <c:showVal val="1"/>
              <c:showCatName val="0"/>
              <c:showSerName val="0"/>
              <c:showPercent val="0"/>
              <c:showBubbleSize val="0"/>
            </c:dLbl>
            <c:dLbl>
              <c:idx val="1"/>
              <c:layout>
                <c:manualLayout>
                  <c:x val="-4.5280218003146914E-3"/>
                  <c:y val="-7.0754057389142463E-2"/>
                </c:manualLayout>
              </c:layout>
              <c:dLblPos val="outEnd"/>
              <c:showLegendKey val="0"/>
              <c:showVal val="1"/>
              <c:showCatName val="0"/>
              <c:showSerName val="0"/>
              <c:showPercent val="0"/>
              <c:showBubbleSize val="0"/>
            </c:dLbl>
            <c:dLbl>
              <c:idx val="2"/>
              <c:layout>
                <c:manualLayout>
                  <c:x val="-1.0814178625862235E-3"/>
                  <c:y val="-4.2946686201947123E-2"/>
                </c:manualLayout>
              </c:layout>
              <c:dLblPos val="outEnd"/>
              <c:showLegendKey val="0"/>
              <c:showVal val="1"/>
              <c:showCatName val="0"/>
              <c:showSerName val="0"/>
              <c:showPercent val="0"/>
              <c:showBubbleSize val="0"/>
            </c:dLbl>
            <c:dLbl>
              <c:idx val="3"/>
              <c:layout>
                <c:manualLayout>
                  <c:x val="1.2711928469059893E-3"/>
                  <c:y val="-6.5217884965977482E-2"/>
                </c:manualLayout>
              </c:layout>
              <c:dLblPos val="outEnd"/>
              <c:showLegendKey val="0"/>
              <c:showVal val="1"/>
              <c:showCatName val="0"/>
              <c:showSerName val="0"/>
              <c:showPercent val="0"/>
              <c:showBubbleSize val="0"/>
            </c:dLbl>
            <c:dLbl>
              <c:idx val="4"/>
              <c:layout>
                <c:manualLayout>
                  <c:x val="2.2329751803278254E-4"/>
                  <c:y val="-4.9886984684044067E-2"/>
                </c:manualLayout>
              </c:layout>
              <c:dLblPos val="outEnd"/>
              <c:showLegendKey val="0"/>
              <c:showVal val="1"/>
              <c:showCatName val="0"/>
              <c:showSerName val="0"/>
              <c:showPercent val="0"/>
              <c:showBubbleSize val="0"/>
            </c:dLbl>
            <c:spPr>
              <a:noFill/>
              <a:ln w="17241">
                <a:noFill/>
              </a:ln>
            </c:spPr>
            <c:txPr>
              <a:bodyPr/>
              <a:lstStyle/>
              <a:p>
                <a:pPr>
                  <a:defRPr b="1"/>
                </a:pPr>
                <a:endParaRPr lang="es-ES"/>
              </a:p>
            </c:txPr>
            <c:showLegendKey val="0"/>
            <c:showVal val="1"/>
            <c:showCatName val="0"/>
            <c:showSerName val="0"/>
            <c:showPercent val="0"/>
            <c:showBubbleSize val="0"/>
            <c:showLeaderLines val="0"/>
          </c:dLbls>
          <c:cat>
            <c:strRef>
              <c:f>Sheet1!$B$1:$F$1</c:f>
              <c:strCache>
                <c:ptCount val="5"/>
                <c:pt idx="0">
                  <c:v>Guztira</c:v>
                </c:pt>
                <c:pt idx="1">
                  <c:v>Nekazaritza</c:v>
                </c:pt>
                <c:pt idx="2">
                  <c:v>Industria</c:v>
                </c:pt>
                <c:pt idx="3">
                  <c:v>Eraikuntza</c:v>
                </c:pt>
                <c:pt idx="4">
                  <c:v>Zerbitzuak</c:v>
                </c:pt>
              </c:strCache>
            </c:strRef>
          </c:cat>
          <c:val>
            <c:numRef>
              <c:f>Sheet1!$B$2:$F$2</c:f>
              <c:numCache>
                <c:formatCode>%0.0</c:formatCode>
                <c:ptCount val="5"/>
                <c:pt idx="0">
                  <c:v>4.5000000000000012E-2</c:v>
                </c:pt>
                <c:pt idx="1">
                  <c:v>1.0999999999999998E-2</c:v>
                </c:pt>
                <c:pt idx="2">
                  <c:v>7.1999999999999995E-2</c:v>
                </c:pt>
                <c:pt idx="3">
                  <c:v>3.3000000000000002E-2</c:v>
                </c:pt>
                <c:pt idx="4">
                  <c:v>3.9000000000000014E-2</c:v>
                </c:pt>
              </c:numCache>
            </c:numRef>
          </c:val>
        </c:ser>
        <c:dLbls>
          <c:showLegendKey val="0"/>
          <c:showVal val="0"/>
          <c:showCatName val="0"/>
          <c:showSerName val="0"/>
          <c:showPercent val="0"/>
          <c:showBubbleSize val="0"/>
        </c:dLbls>
        <c:gapWidth val="150"/>
        <c:axId val="106143104"/>
        <c:axId val="106144896"/>
      </c:barChart>
      <c:catAx>
        <c:axId val="106143104"/>
        <c:scaling>
          <c:orientation val="minMax"/>
        </c:scaling>
        <c:delete val="0"/>
        <c:axPos val="b"/>
        <c:numFmt formatCode="General" sourceLinked="1"/>
        <c:majorTickMark val="out"/>
        <c:minorTickMark val="none"/>
        <c:tickLblPos val="low"/>
        <c:spPr>
          <a:ln w="2161">
            <a:solidFill>
              <a:srgbClr val="000000"/>
            </a:solidFill>
            <a:prstDash val="solid"/>
          </a:ln>
        </c:spPr>
        <c:txPr>
          <a:bodyPr rot="0" vert="horz"/>
          <a:lstStyle/>
          <a:p>
            <a:pPr>
              <a:defRPr/>
            </a:pPr>
            <a:endParaRPr lang="es-ES"/>
          </a:p>
        </c:txPr>
        <c:crossAx val="106144896"/>
        <c:crosses val="autoZero"/>
        <c:auto val="1"/>
        <c:lblAlgn val="ctr"/>
        <c:lblOffset val="100"/>
        <c:tickLblSkip val="1"/>
        <c:tickMarkSkip val="1"/>
        <c:noMultiLvlLbl val="0"/>
      </c:catAx>
      <c:valAx>
        <c:axId val="106144896"/>
        <c:scaling>
          <c:orientation val="minMax"/>
          <c:max val="0.2"/>
        </c:scaling>
        <c:delete val="0"/>
        <c:axPos val="l"/>
        <c:majorGridlines>
          <c:spPr>
            <a:ln w="8642">
              <a:solidFill>
                <a:schemeClr val="bg1">
                  <a:lumMod val="95000"/>
                </a:schemeClr>
              </a:solidFill>
              <a:prstDash val="solid"/>
            </a:ln>
          </c:spPr>
        </c:majorGridlines>
        <c:numFmt formatCode="%0" sourceLinked="0"/>
        <c:majorTickMark val="out"/>
        <c:minorTickMark val="none"/>
        <c:tickLblPos val="nextTo"/>
        <c:spPr>
          <a:ln w="2161">
            <a:solidFill>
              <a:srgbClr val="000000"/>
            </a:solidFill>
            <a:prstDash val="solid"/>
          </a:ln>
        </c:spPr>
        <c:txPr>
          <a:bodyPr rot="0" vert="horz"/>
          <a:lstStyle/>
          <a:p>
            <a:pPr>
              <a:defRPr/>
            </a:pPr>
            <a:endParaRPr lang="es-ES"/>
          </a:p>
        </c:txPr>
        <c:crossAx val="106143104"/>
        <c:crosses val="autoZero"/>
        <c:crossBetween val="between"/>
        <c:majorUnit val="0.05"/>
        <c:minorUnit val="2.0000000000000011E-2"/>
      </c:valAx>
      <c:spPr>
        <a:noFill/>
        <a:ln w="17241">
          <a:solidFill>
            <a:schemeClr val="bg1">
              <a:lumMod val="95000"/>
            </a:schemeClr>
          </a:solidFill>
        </a:ln>
      </c:spPr>
    </c:plotArea>
    <c:plotVisOnly val="1"/>
    <c:dispBlanksAs val="gap"/>
    <c:showDLblsOverMax val="0"/>
  </c:chart>
  <c:spPr>
    <a:noFill/>
    <a:ln>
      <a:noFill/>
    </a:ln>
  </c:spPr>
  <c:txPr>
    <a:bodyPr/>
    <a:lstStyle/>
    <a:p>
      <a:pPr>
        <a:defRPr sz="700" b="0" i="0" u="none" strike="noStrike" baseline="0">
          <a:solidFill>
            <a:srgbClr val="000000"/>
          </a:solidFill>
          <a:latin typeface="Arial" pitchFamily="34" charset="0"/>
          <a:ea typeface="Calibri"/>
          <a:cs typeface="Arial" pitchFamily="34" charset="0"/>
        </a:defRPr>
      </a:pPr>
      <a:endParaRPr lang="es-ES"/>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1677704194260528E-2"/>
          <c:y val="9.5890410958904146E-2"/>
          <c:w val="0.8962472406181089"/>
          <c:h val="0.49315068493150682"/>
        </c:manualLayout>
      </c:layout>
      <c:barChart>
        <c:barDir val="col"/>
        <c:grouping val="clustered"/>
        <c:varyColors val="0"/>
        <c:ser>
          <c:idx val="0"/>
          <c:order val="0"/>
          <c:tx>
            <c:strRef>
              <c:f>Sheet1!$A$2</c:f>
              <c:strCache>
                <c:ptCount val="1"/>
                <c:pt idx="0">
                  <c:v>2010</c:v>
                </c:pt>
              </c:strCache>
            </c:strRef>
          </c:tx>
          <c:spPr>
            <a:solidFill>
              <a:schemeClr val="tx2"/>
            </a:solidFill>
            <a:ln w="7780">
              <a:noFill/>
              <a:prstDash val="solid"/>
            </a:ln>
          </c:spPr>
          <c:invertIfNegative val="0"/>
          <c:dLbls>
            <c:dLbl>
              <c:idx val="0"/>
              <c:layout>
                <c:manualLayout>
                  <c:x val="-1.6483622844324561E-3"/>
                  <c:y val="5.3611406682272785E-3"/>
                </c:manualLayout>
              </c:layout>
              <c:dLblPos val="outEnd"/>
              <c:showLegendKey val="0"/>
              <c:showVal val="1"/>
              <c:showCatName val="0"/>
              <c:showSerName val="0"/>
              <c:showPercent val="0"/>
              <c:showBubbleSize val="0"/>
            </c:dLbl>
            <c:dLbl>
              <c:idx val="1"/>
              <c:layout>
                <c:manualLayout>
                  <c:x val="6.7146262210350536E-3"/>
                  <c:y val="-2.4706837883410052E-2"/>
                </c:manualLayout>
              </c:layout>
              <c:dLblPos val="outEnd"/>
              <c:showLegendKey val="0"/>
              <c:showVal val="1"/>
              <c:showCatName val="0"/>
              <c:showSerName val="0"/>
              <c:showPercent val="0"/>
              <c:showBubbleSize val="0"/>
            </c:dLbl>
            <c:dLbl>
              <c:idx val="2"/>
              <c:layout>
                <c:manualLayout>
                  <c:x val="-2.5825405229986192E-3"/>
                  <c:y val="-2.3998297510108541E-2"/>
                </c:manualLayout>
              </c:layout>
              <c:dLblPos val="outEnd"/>
              <c:showLegendKey val="0"/>
              <c:showVal val="1"/>
              <c:showCatName val="0"/>
              <c:showSerName val="0"/>
              <c:showPercent val="0"/>
              <c:showBubbleSize val="0"/>
            </c:dLbl>
            <c:dLbl>
              <c:idx val="3"/>
              <c:layout>
                <c:manualLayout>
                  <c:x val="-8.4217238571860969E-4"/>
                  <c:y val="-2.3438178335816098E-2"/>
                </c:manualLayout>
              </c:layout>
              <c:dLblPos val="outEnd"/>
              <c:showLegendKey val="0"/>
              <c:showVal val="1"/>
              <c:showCatName val="0"/>
              <c:showSerName val="0"/>
              <c:showPercent val="0"/>
              <c:showBubbleSize val="0"/>
            </c:dLbl>
            <c:dLbl>
              <c:idx val="4"/>
              <c:layout>
                <c:manualLayout>
                  <c:xMode val="edge"/>
                  <c:yMode val="edge"/>
                  <c:x val="0.75496688741721851"/>
                  <c:y val="0.5479452054794598"/>
                </c:manualLayout>
              </c:layout>
              <c:dLblPos val="outEnd"/>
              <c:showLegendKey val="0"/>
              <c:showVal val="1"/>
              <c:showCatName val="0"/>
              <c:showSerName val="0"/>
              <c:showPercent val="0"/>
              <c:showBubbleSize val="0"/>
            </c:dLbl>
            <c:spPr>
              <a:noFill/>
              <a:ln w="15629">
                <a:noFill/>
              </a:ln>
            </c:spPr>
            <c:txPr>
              <a:bodyPr/>
              <a:lstStyle/>
              <a:p>
                <a:pPr>
                  <a:defRPr b="1"/>
                </a:pPr>
                <a:endParaRPr lang="es-ES"/>
              </a:p>
            </c:txPr>
            <c:showLegendKey val="0"/>
            <c:showVal val="1"/>
            <c:showCatName val="0"/>
            <c:showSerName val="0"/>
            <c:showPercent val="0"/>
            <c:showBubbleSize val="0"/>
            <c:showLeaderLines val="0"/>
          </c:dLbls>
          <c:cat>
            <c:strRef>
              <c:f>Sheet1!$B$1:$E$1</c:f>
              <c:strCache>
                <c:ptCount val="4"/>
                <c:pt idx="0">
                  <c:v>EAE</c:v>
                </c:pt>
                <c:pt idx="1">
                  <c:v>Araba</c:v>
                </c:pt>
                <c:pt idx="2">
                  <c:v>Gipuzkoa</c:v>
                </c:pt>
                <c:pt idx="3">
                  <c:v>Bizkaia</c:v>
                </c:pt>
              </c:strCache>
            </c:strRef>
          </c:cat>
          <c:val>
            <c:numRef>
              <c:f>Sheet1!$B$2:$E$2</c:f>
              <c:numCache>
                <c:formatCode>%0.0</c:formatCode>
                <c:ptCount val="4"/>
                <c:pt idx="0">
                  <c:v>6.3E-2</c:v>
                </c:pt>
                <c:pt idx="1">
                  <c:v>4.5999999999999999E-2</c:v>
                </c:pt>
                <c:pt idx="2">
                  <c:v>9.4000000000000028E-2</c:v>
                </c:pt>
                <c:pt idx="3">
                  <c:v>4.9000000000000044E-2</c:v>
                </c:pt>
              </c:numCache>
            </c:numRef>
          </c:val>
        </c:ser>
        <c:ser>
          <c:idx val="1"/>
          <c:order val="1"/>
          <c:tx>
            <c:strRef>
              <c:f>Sheet1!$A$3</c:f>
              <c:strCache>
                <c:ptCount val="1"/>
                <c:pt idx="0">
                  <c:v>2012</c:v>
                </c:pt>
              </c:strCache>
            </c:strRef>
          </c:tx>
          <c:spPr>
            <a:solidFill>
              <a:schemeClr val="accent1"/>
            </a:solidFill>
            <a:ln w="7780">
              <a:noFill/>
              <a:prstDash val="solid"/>
            </a:ln>
          </c:spPr>
          <c:invertIfNegative val="0"/>
          <c:dLbls>
            <c:dLbl>
              <c:idx val="0"/>
              <c:layout>
                <c:manualLayout>
                  <c:x val="2.4230788938801304E-2"/>
                  <c:y val="-1.775696956799319E-3"/>
                </c:manualLayout>
              </c:layout>
              <c:dLblPos val="outEnd"/>
              <c:showLegendKey val="0"/>
              <c:showVal val="1"/>
              <c:showCatName val="0"/>
              <c:showSerName val="0"/>
              <c:showPercent val="0"/>
              <c:showBubbleSize val="0"/>
            </c:dLbl>
            <c:dLbl>
              <c:idx val="1"/>
              <c:layout>
                <c:manualLayout>
                  <c:x val="2.5818053133276488E-2"/>
                  <c:y val="-2.125156378635008E-2"/>
                </c:manualLayout>
              </c:layout>
              <c:dLblPos val="outEnd"/>
              <c:showLegendKey val="0"/>
              <c:showVal val="1"/>
              <c:showCatName val="0"/>
              <c:showSerName val="0"/>
              <c:showPercent val="0"/>
              <c:showBubbleSize val="0"/>
            </c:dLbl>
            <c:dLbl>
              <c:idx val="2"/>
              <c:layout>
                <c:manualLayout>
                  <c:x val="2.0936004081199611E-2"/>
                  <c:y val="-3.2800323036543642E-2"/>
                </c:manualLayout>
              </c:layout>
              <c:dLblPos val="outEnd"/>
              <c:showLegendKey val="0"/>
              <c:showVal val="1"/>
              <c:showCatName val="0"/>
              <c:showSerName val="0"/>
              <c:showPercent val="0"/>
              <c:showBubbleSize val="0"/>
            </c:dLbl>
            <c:dLbl>
              <c:idx val="3"/>
              <c:layout>
                <c:manualLayout>
                  <c:x val="1.9783991209341781E-2"/>
                  <c:y val="-2.7906079307654152E-2"/>
                </c:manualLayout>
              </c:layout>
              <c:dLblPos val="outEnd"/>
              <c:showLegendKey val="0"/>
              <c:showVal val="1"/>
              <c:showCatName val="0"/>
              <c:showSerName val="0"/>
              <c:showPercent val="0"/>
              <c:showBubbleSize val="0"/>
            </c:dLbl>
            <c:dLbl>
              <c:idx val="4"/>
              <c:layout>
                <c:manualLayout>
                  <c:xMode val="edge"/>
                  <c:yMode val="edge"/>
                  <c:x val="0.83664459161148985"/>
                  <c:y val="0.57534246575342451"/>
                </c:manualLayout>
              </c:layout>
              <c:dLblPos val="outEnd"/>
              <c:showLegendKey val="0"/>
              <c:showVal val="1"/>
              <c:showCatName val="0"/>
              <c:showSerName val="0"/>
              <c:showPercent val="0"/>
              <c:showBubbleSize val="0"/>
            </c:dLbl>
            <c:spPr>
              <a:noFill/>
              <a:ln w="15629">
                <a:noFill/>
              </a:ln>
            </c:spPr>
            <c:txPr>
              <a:bodyPr/>
              <a:lstStyle/>
              <a:p>
                <a:pPr>
                  <a:defRPr b="1"/>
                </a:pPr>
                <a:endParaRPr lang="es-ES"/>
              </a:p>
            </c:txPr>
            <c:showLegendKey val="0"/>
            <c:showVal val="1"/>
            <c:showCatName val="0"/>
            <c:showSerName val="0"/>
            <c:showPercent val="0"/>
            <c:showBubbleSize val="0"/>
            <c:showLeaderLines val="0"/>
          </c:dLbls>
          <c:cat>
            <c:strRef>
              <c:f>Sheet1!$B$1:$E$1</c:f>
              <c:strCache>
                <c:ptCount val="4"/>
                <c:pt idx="0">
                  <c:v>EAE</c:v>
                </c:pt>
                <c:pt idx="1">
                  <c:v>Araba</c:v>
                </c:pt>
                <c:pt idx="2">
                  <c:v>Gipuzkoa</c:v>
                </c:pt>
                <c:pt idx="3">
                  <c:v>Bizkaia</c:v>
                </c:pt>
              </c:strCache>
            </c:strRef>
          </c:cat>
          <c:val>
            <c:numRef>
              <c:f>Sheet1!$B$3:$E$3</c:f>
              <c:numCache>
                <c:formatCode>%0.0</c:formatCode>
                <c:ptCount val="4"/>
                <c:pt idx="0">
                  <c:v>6.2000000000000034E-2</c:v>
                </c:pt>
                <c:pt idx="1">
                  <c:v>4.2000000000000023E-2</c:v>
                </c:pt>
                <c:pt idx="2">
                  <c:v>9.7000000000000003E-2</c:v>
                </c:pt>
                <c:pt idx="3">
                  <c:v>4.5000000000000012E-2</c:v>
                </c:pt>
              </c:numCache>
            </c:numRef>
          </c:val>
        </c:ser>
        <c:dLbls>
          <c:showLegendKey val="0"/>
          <c:showVal val="0"/>
          <c:showCatName val="0"/>
          <c:showSerName val="0"/>
          <c:showPercent val="0"/>
          <c:showBubbleSize val="0"/>
        </c:dLbls>
        <c:gapWidth val="150"/>
        <c:axId val="106223872"/>
        <c:axId val="107290624"/>
      </c:barChart>
      <c:catAx>
        <c:axId val="106223872"/>
        <c:scaling>
          <c:orientation val="minMax"/>
        </c:scaling>
        <c:delete val="0"/>
        <c:axPos val="b"/>
        <c:numFmt formatCode="General" sourceLinked="1"/>
        <c:majorTickMark val="out"/>
        <c:minorTickMark val="none"/>
        <c:tickLblPos val="low"/>
        <c:spPr>
          <a:ln w="1945">
            <a:solidFill>
              <a:srgbClr val="000000"/>
            </a:solidFill>
            <a:prstDash val="solid"/>
          </a:ln>
        </c:spPr>
        <c:txPr>
          <a:bodyPr rot="0" vert="horz"/>
          <a:lstStyle/>
          <a:p>
            <a:pPr>
              <a:defRPr/>
            </a:pPr>
            <a:endParaRPr lang="es-ES"/>
          </a:p>
        </c:txPr>
        <c:crossAx val="107290624"/>
        <c:crosses val="autoZero"/>
        <c:auto val="1"/>
        <c:lblAlgn val="ctr"/>
        <c:lblOffset val="100"/>
        <c:tickLblSkip val="1"/>
        <c:tickMarkSkip val="1"/>
        <c:noMultiLvlLbl val="0"/>
      </c:catAx>
      <c:valAx>
        <c:axId val="107290624"/>
        <c:scaling>
          <c:orientation val="minMax"/>
        </c:scaling>
        <c:delete val="0"/>
        <c:axPos val="l"/>
        <c:majorGridlines>
          <c:spPr>
            <a:ln w="7780">
              <a:solidFill>
                <a:schemeClr val="bg1">
                  <a:lumMod val="95000"/>
                </a:schemeClr>
              </a:solidFill>
              <a:prstDash val="solid"/>
            </a:ln>
          </c:spPr>
        </c:majorGridlines>
        <c:numFmt formatCode="%0" sourceLinked="0"/>
        <c:majorTickMark val="out"/>
        <c:minorTickMark val="none"/>
        <c:tickLblPos val="nextTo"/>
        <c:spPr>
          <a:ln w="1945">
            <a:solidFill>
              <a:srgbClr val="000000"/>
            </a:solidFill>
            <a:prstDash val="solid"/>
          </a:ln>
        </c:spPr>
        <c:txPr>
          <a:bodyPr rot="0" vert="horz"/>
          <a:lstStyle/>
          <a:p>
            <a:pPr>
              <a:defRPr/>
            </a:pPr>
            <a:endParaRPr lang="es-ES"/>
          </a:p>
        </c:txPr>
        <c:crossAx val="106223872"/>
        <c:crosses val="autoZero"/>
        <c:crossBetween val="between"/>
      </c:valAx>
      <c:spPr>
        <a:noFill/>
        <a:ln w="15629">
          <a:noFill/>
        </a:ln>
      </c:spPr>
    </c:plotArea>
    <c:legend>
      <c:legendPos val="r"/>
      <c:layout>
        <c:manualLayout>
          <c:xMode val="edge"/>
          <c:yMode val="edge"/>
          <c:x val="0.17584745762711881"/>
          <c:y val="0.80368098159509205"/>
          <c:w val="0.77330508474576276"/>
          <c:h val="0.12269938650306748"/>
        </c:manualLayout>
      </c:layout>
      <c:overlay val="0"/>
      <c:spPr>
        <a:noFill/>
        <a:ln w="1945">
          <a:noFill/>
          <a:prstDash val="solid"/>
        </a:ln>
      </c:spPr>
    </c:legend>
    <c:plotVisOnly val="1"/>
    <c:dispBlanksAs val="gap"/>
    <c:showDLblsOverMax val="0"/>
  </c:chart>
  <c:spPr>
    <a:noFill/>
    <a:ln>
      <a:noFill/>
    </a:ln>
  </c:spPr>
  <c:txPr>
    <a:bodyPr/>
    <a:lstStyle/>
    <a:p>
      <a:pPr>
        <a:defRPr sz="800" b="0" i="0" u="none" strike="noStrike" baseline="0">
          <a:solidFill>
            <a:srgbClr val="000000"/>
          </a:solidFill>
          <a:latin typeface="Arial" pitchFamily="34" charset="0"/>
          <a:ea typeface="Calibri"/>
          <a:cs typeface="Arial" pitchFamily="34" charset="0"/>
        </a:defRPr>
      </a:pPr>
      <a:endParaRPr lang="es-ES"/>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title>
      <c:tx>
        <c:rich>
          <a:bodyPr/>
          <a:lstStyle/>
          <a:p>
            <a:pPr>
              <a:defRPr/>
            </a:pPr>
            <a:r>
              <a:rPr lang="es-ES"/>
              <a:t>2012</a:t>
            </a:r>
          </a:p>
        </c:rich>
      </c:tx>
      <c:layout>
        <c:manualLayout>
          <c:xMode val="edge"/>
          <c:yMode val="edge"/>
          <c:x val="0.47012747062531157"/>
          <c:y val="2.197802197802199E-2"/>
        </c:manualLayout>
      </c:layout>
      <c:overlay val="0"/>
      <c:spPr>
        <a:noFill/>
        <a:ln w="12545">
          <a:noFill/>
        </a:ln>
      </c:spPr>
    </c:title>
    <c:autoTitleDeleted val="0"/>
    <c:plotArea>
      <c:layout>
        <c:manualLayout>
          <c:layoutTarget val="inner"/>
          <c:xMode val="edge"/>
          <c:yMode val="edge"/>
          <c:x val="0.30351437699680567"/>
          <c:y val="0.18994413407821256"/>
          <c:w val="0.53941683760118264"/>
          <c:h val="0.73669399779503464"/>
        </c:manualLayout>
      </c:layout>
      <c:pieChart>
        <c:varyColors val="1"/>
        <c:ser>
          <c:idx val="0"/>
          <c:order val="0"/>
          <c:tx>
            <c:strRef>
              <c:f>Sheet1!$A$2</c:f>
              <c:strCache>
                <c:ptCount val="1"/>
              </c:strCache>
            </c:strRef>
          </c:tx>
          <c:dLbls>
            <c:dLbl>
              <c:idx val="0"/>
              <c:layout>
                <c:manualLayout>
                  <c:x val="-9.4363413990492764E-2"/>
                  <c:y val="-0.18719381231192403"/>
                </c:manualLayout>
              </c:layout>
              <c:tx>
                <c:rich>
                  <a:bodyPr/>
                  <a:lstStyle/>
                  <a:p>
                    <a:pPr>
                      <a:defRPr/>
                    </a:pPr>
                    <a:r>
                      <a:rPr lang="es-ES"/>
                      <a:t>Bizkaia
% 37,8</a:t>
                    </a:r>
                  </a:p>
                </c:rich>
              </c:tx>
              <c:spPr>
                <a:noFill/>
                <a:ln w="12545">
                  <a:noFill/>
                </a:ln>
              </c:spPr>
              <c:dLblPos val="bestFit"/>
              <c:showLegendKey val="0"/>
              <c:showVal val="0"/>
              <c:showCatName val="0"/>
              <c:showSerName val="0"/>
              <c:showPercent val="0"/>
              <c:showBubbleSize val="0"/>
            </c:dLbl>
            <c:dLbl>
              <c:idx val="1"/>
              <c:layout>
                <c:manualLayout>
                  <c:x val="-2.6895530792215051E-2"/>
                  <c:y val="-3.0523293963254601E-2"/>
                </c:manualLayout>
              </c:layout>
              <c:tx>
                <c:rich>
                  <a:bodyPr/>
                  <a:lstStyle/>
                  <a:p>
                    <a:pPr>
                      <a:defRPr/>
                    </a:pPr>
                    <a:r>
                      <a:rPr lang="es-ES"/>
                      <a:t>Gipuzkoa
% 51,7</a:t>
                    </a:r>
                  </a:p>
                </c:rich>
              </c:tx>
              <c:spPr>
                <a:noFill/>
                <a:ln w="12545">
                  <a:noFill/>
                </a:ln>
              </c:spPr>
              <c:dLblPos val="bestFit"/>
              <c:showLegendKey val="0"/>
              <c:showVal val="0"/>
              <c:showCatName val="0"/>
              <c:showSerName val="0"/>
              <c:showPercent val="0"/>
              <c:showBubbleSize val="0"/>
            </c:dLbl>
            <c:dLbl>
              <c:idx val="2"/>
              <c:layout>
                <c:manualLayout>
                  <c:x val="-6.340371813384918E-2"/>
                  <c:y val="-1.0538057742782141E-2"/>
                </c:manualLayout>
              </c:layout>
              <c:tx>
                <c:rich>
                  <a:bodyPr/>
                  <a:lstStyle/>
                  <a:p>
                    <a:pPr>
                      <a:defRPr/>
                    </a:pPr>
                    <a:r>
                      <a:rPr lang="es-ES"/>
                      <a:t>Araba
% 10,5</a:t>
                    </a:r>
                  </a:p>
                </c:rich>
              </c:tx>
              <c:spPr>
                <a:noFill/>
                <a:ln w="12545">
                  <a:noFill/>
                </a:ln>
              </c:spPr>
              <c:dLblPos val="bestFit"/>
              <c:showLegendKey val="0"/>
              <c:showVal val="0"/>
              <c:showCatName val="0"/>
              <c:showSerName val="0"/>
              <c:showPercent val="0"/>
              <c:showBubbleSize val="0"/>
            </c:dLbl>
            <c:numFmt formatCode="0.0%" sourceLinked="0"/>
            <c:spPr>
              <a:noFill/>
              <a:ln w="12545">
                <a:noFill/>
              </a:ln>
            </c:spPr>
            <c:showLegendKey val="0"/>
            <c:showVal val="0"/>
            <c:showCatName val="1"/>
            <c:showSerName val="0"/>
            <c:showPercent val="1"/>
            <c:showBubbleSize val="0"/>
            <c:showLeaderLines val="1"/>
          </c:dLbls>
          <c:cat>
            <c:strRef>
              <c:f>Sheet1!$B$1:$D$1</c:f>
              <c:strCache>
                <c:ptCount val="3"/>
                <c:pt idx="0">
                  <c:v>Bizkaia</c:v>
                </c:pt>
                <c:pt idx="1">
                  <c:v>Gipuzkoa</c:v>
                </c:pt>
                <c:pt idx="2">
                  <c:v>Araba</c:v>
                </c:pt>
              </c:strCache>
            </c:strRef>
          </c:cat>
          <c:val>
            <c:numRef>
              <c:f>Sheet1!$B$2:$D$2</c:f>
              <c:numCache>
                <c:formatCode>%0.0</c:formatCode>
                <c:ptCount val="3"/>
                <c:pt idx="0">
                  <c:v>0.37800000000000028</c:v>
                </c:pt>
                <c:pt idx="1">
                  <c:v>0.51700000000000002</c:v>
                </c:pt>
                <c:pt idx="2">
                  <c:v>0.10500000000000002</c:v>
                </c:pt>
              </c:numCache>
            </c:numRef>
          </c:val>
        </c:ser>
        <c:dLbls>
          <c:showLegendKey val="0"/>
          <c:showVal val="0"/>
          <c:showCatName val="0"/>
          <c:showSerName val="0"/>
          <c:showPercent val="0"/>
          <c:showBubbleSize val="0"/>
          <c:showLeaderLines val="1"/>
        </c:dLbls>
        <c:firstSliceAng val="0"/>
      </c:pieChart>
      <c:spPr>
        <a:noFill/>
        <a:ln w="12545">
          <a:noFill/>
        </a:ln>
      </c:spPr>
    </c:plotArea>
    <c:plotVisOnly val="1"/>
    <c:dispBlanksAs val="zero"/>
    <c:showDLblsOverMax val="0"/>
  </c:chart>
  <c:spPr>
    <a:ln>
      <a:noFill/>
    </a:ln>
  </c:spPr>
  <c:txPr>
    <a:bodyPr/>
    <a:lstStyle/>
    <a:p>
      <a:pPr>
        <a:defRPr sz="800">
          <a:latin typeface="Arial" pitchFamily="34" charset="0"/>
          <a:cs typeface="Arial" pitchFamily="34" charset="0"/>
        </a:defRPr>
      </a:pPr>
      <a:endParaRPr lang="es-ES"/>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title>
      <c:tx>
        <c:rich>
          <a:bodyPr/>
          <a:lstStyle/>
          <a:p>
            <a:pPr>
              <a:defRPr/>
            </a:pPr>
            <a:r>
              <a:rPr lang="es-ES"/>
              <a:t>2010</a:t>
            </a:r>
          </a:p>
        </c:rich>
      </c:tx>
      <c:layout>
        <c:manualLayout>
          <c:xMode val="edge"/>
          <c:yMode val="edge"/>
          <c:x val="0.4424459308177876"/>
          <c:y val="2.197802197802199E-2"/>
        </c:manualLayout>
      </c:layout>
      <c:overlay val="0"/>
      <c:spPr>
        <a:noFill/>
        <a:ln w="12123">
          <a:noFill/>
        </a:ln>
      </c:spPr>
    </c:title>
    <c:autoTitleDeleted val="0"/>
    <c:plotArea>
      <c:layout>
        <c:manualLayout>
          <c:layoutTarget val="inner"/>
          <c:xMode val="edge"/>
          <c:yMode val="edge"/>
          <c:x val="0.30580081548847016"/>
          <c:y val="0.19526730211355159"/>
          <c:w val="0.49276268510716642"/>
          <c:h val="0.70283519823180041"/>
        </c:manualLayout>
      </c:layout>
      <c:pieChart>
        <c:varyColors val="1"/>
        <c:ser>
          <c:idx val="0"/>
          <c:order val="0"/>
          <c:tx>
            <c:strRef>
              <c:f>Sheet1!$A$2</c:f>
              <c:strCache>
                <c:ptCount val="1"/>
              </c:strCache>
            </c:strRef>
          </c:tx>
          <c:dLbls>
            <c:dLbl>
              <c:idx val="0"/>
              <c:layout>
                <c:manualLayout>
                  <c:x val="-8.3572047084017567E-2"/>
                  <c:y val="-0.18762267096420637"/>
                </c:manualLayout>
              </c:layout>
              <c:tx>
                <c:rich>
                  <a:bodyPr/>
                  <a:lstStyle/>
                  <a:p>
                    <a:pPr>
                      <a:defRPr/>
                    </a:pPr>
                    <a:r>
                      <a:rPr lang="es-ES"/>
                      <a:t>Bizkaia
% 40,3</a:t>
                    </a:r>
                  </a:p>
                </c:rich>
              </c:tx>
              <c:spPr>
                <a:noFill/>
                <a:ln w="12123">
                  <a:noFill/>
                </a:ln>
              </c:spPr>
              <c:dLblPos val="bestFit"/>
              <c:showLegendKey val="0"/>
              <c:showVal val="0"/>
              <c:showCatName val="0"/>
              <c:showSerName val="0"/>
              <c:showPercent val="0"/>
              <c:showBubbleSize val="0"/>
            </c:dLbl>
            <c:dLbl>
              <c:idx val="1"/>
              <c:layout>
                <c:manualLayout>
                  <c:x val="-3.1894456970728353E-2"/>
                  <c:y val="-1.7279931354734893E-3"/>
                </c:manualLayout>
              </c:layout>
              <c:tx>
                <c:rich>
                  <a:bodyPr/>
                  <a:lstStyle/>
                  <a:p>
                    <a:pPr>
                      <a:defRPr/>
                    </a:pPr>
                    <a:r>
                      <a:rPr lang="es-ES"/>
                      <a:t>Gipuzkoa
% 48,7</a:t>
                    </a:r>
                  </a:p>
                </c:rich>
              </c:tx>
              <c:spPr>
                <a:noFill/>
                <a:ln w="12123">
                  <a:noFill/>
                </a:ln>
              </c:spPr>
              <c:dLblPos val="bestFit"/>
              <c:showLegendKey val="0"/>
              <c:showVal val="0"/>
              <c:showCatName val="0"/>
              <c:showSerName val="0"/>
              <c:showPercent val="0"/>
              <c:showBubbleSize val="0"/>
            </c:dLbl>
            <c:dLbl>
              <c:idx val="2"/>
              <c:layout>
                <c:manualLayout>
                  <c:x val="-2.337770841707881E-2"/>
                  <c:y val="-1.4395352479674218E-3"/>
                </c:manualLayout>
              </c:layout>
              <c:tx>
                <c:rich>
                  <a:bodyPr/>
                  <a:lstStyle/>
                  <a:p>
                    <a:pPr>
                      <a:defRPr/>
                    </a:pPr>
                    <a:r>
                      <a:rPr lang="es-ES"/>
                      <a:t>Araba
% 11,0</a:t>
                    </a:r>
                  </a:p>
                </c:rich>
              </c:tx>
              <c:spPr>
                <a:noFill/>
                <a:ln w="12123">
                  <a:noFill/>
                </a:ln>
              </c:spPr>
              <c:dLblPos val="bestFit"/>
              <c:showLegendKey val="0"/>
              <c:showVal val="0"/>
              <c:showCatName val="0"/>
              <c:showSerName val="0"/>
              <c:showPercent val="0"/>
              <c:showBubbleSize val="0"/>
            </c:dLbl>
            <c:numFmt formatCode="0.0%" sourceLinked="0"/>
            <c:spPr>
              <a:noFill/>
              <a:ln w="12123">
                <a:noFill/>
              </a:ln>
            </c:spPr>
            <c:showLegendKey val="0"/>
            <c:showVal val="0"/>
            <c:showCatName val="1"/>
            <c:showSerName val="0"/>
            <c:showPercent val="1"/>
            <c:showBubbleSize val="0"/>
            <c:showLeaderLines val="1"/>
          </c:dLbls>
          <c:cat>
            <c:strRef>
              <c:f>Sheet1!$B$1:$D$1</c:f>
              <c:strCache>
                <c:ptCount val="3"/>
                <c:pt idx="0">
                  <c:v>Bizkaia</c:v>
                </c:pt>
                <c:pt idx="1">
                  <c:v>Gipuzkoa</c:v>
                </c:pt>
                <c:pt idx="2">
                  <c:v>Araba</c:v>
                </c:pt>
              </c:strCache>
            </c:strRef>
          </c:cat>
          <c:val>
            <c:numRef>
              <c:f>Sheet1!$B$2:$D$2</c:f>
              <c:numCache>
                <c:formatCode>%0.0</c:formatCode>
                <c:ptCount val="3"/>
                <c:pt idx="0">
                  <c:v>0.40300000000000002</c:v>
                </c:pt>
                <c:pt idx="1">
                  <c:v>0.48700000000000032</c:v>
                </c:pt>
                <c:pt idx="2">
                  <c:v>0.11</c:v>
                </c:pt>
              </c:numCache>
            </c:numRef>
          </c:val>
        </c:ser>
        <c:dLbls>
          <c:showLegendKey val="0"/>
          <c:showVal val="0"/>
          <c:showCatName val="0"/>
          <c:showSerName val="0"/>
          <c:showPercent val="0"/>
          <c:showBubbleSize val="0"/>
          <c:showLeaderLines val="1"/>
        </c:dLbls>
        <c:firstSliceAng val="0"/>
      </c:pieChart>
      <c:spPr>
        <a:noFill/>
        <a:ln w="12123">
          <a:noFill/>
        </a:ln>
      </c:spPr>
    </c:plotArea>
    <c:plotVisOnly val="1"/>
    <c:dispBlanksAs val="zero"/>
    <c:showDLblsOverMax val="0"/>
  </c:chart>
  <c:spPr>
    <a:ln>
      <a:noFill/>
    </a:ln>
  </c:spPr>
  <c:txPr>
    <a:bodyPr/>
    <a:lstStyle/>
    <a:p>
      <a:pPr>
        <a:defRPr sz="800">
          <a:latin typeface="Arial" pitchFamily="34" charset="0"/>
          <a:cs typeface="Arial" pitchFamily="34" charset="0"/>
        </a:defRPr>
      </a:pPr>
      <a:endParaRPr lang="es-ES"/>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b="1"/>
            </a:pPr>
            <a:r>
              <a:rPr lang="es-ES" b="1"/>
              <a:t>LANPOSTUAK</a:t>
            </a:r>
          </a:p>
        </c:rich>
      </c:tx>
      <c:layout>
        <c:manualLayout>
          <c:xMode val="edge"/>
          <c:yMode val="edge"/>
          <c:x val="0.44597251814111466"/>
          <c:y val="2.197802197802199E-2"/>
        </c:manualLayout>
      </c:layout>
      <c:overlay val="0"/>
      <c:spPr>
        <a:noFill/>
        <a:ln w="16200">
          <a:noFill/>
        </a:ln>
      </c:spPr>
    </c:title>
    <c:autoTitleDeleted val="0"/>
    <c:plotArea>
      <c:layout>
        <c:manualLayout>
          <c:layoutTarget val="inner"/>
          <c:xMode val="edge"/>
          <c:yMode val="edge"/>
          <c:x val="9.6267190569744643E-2"/>
          <c:y val="0.24175824175824367"/>
          <c:w val="0.88408644400785108"/>
          <c:h val="0.57142857142858072"/>
        </c:manualLayout>
      </c:layout>
      <c:barChart>
        <c:barDir val="col"/>
        <c:grouping val="clustered"/>
        <c:varyColors val="0"/>
        <c:ser>
          <c:idx val="0"/>
          <c:order val="0"/>
          <c:tx>
            <c:strRef>
              <c:f>Sheet1!$A$2</c:f>
              <c:strCache>
                <c:ptCount val="1"/>
              </c:strCache>
            </c:strRef>
          </c:tx>
          <c:spPr>
            <a:solidFill>
              <a:schemeClr val="accent1"/>
            </a:solidFill>
            <a:ln w="8100">
              <a:noFill/>
              <a:prstDash val="solid"/>
            </a:ln>
          </c:spPr>
          <c:invertIfNegative val="0"/>
          <c:dPt>
            <c:idx val="4"/>
            <c:invertIfNegative val="0"/>
            <c:bubble3D val="0"/>
            <c:spPr>
              <a:solidFill>
                <a:schemeClr val="accent1">
                  <a:lumMod val="20000"/>
                  <a:lumOff val="80000"/>
                </a:schemeClr>
              </a:solidFill>
              <a:ln w="8100">
                <a:noFill/>
                <a:prstDash val="solid"/>
              </a:ln>
            </c:spPr>
          </c:dPt>
          <c:dLbls>
            <c:dLbl>
              <c:idx val="0"/>
              <c:layout>
                <c:manualLayout>
                  <c:x val="9.7349380578272797E-3"/>
                  <c:y val="-4.945378822839442E-2"/>
                </c:manualLayout>
              </c:layout>
              <c:dLblPos val="outEnd"/>
              <c:showLegendKey val="0"/>
              <c:showVal val="1"/>
              <c:showCatName val="0"/>
              <c:showSerName val="0"/>
              <c:showPercent val="0"/>
              <c:showBubbleSize val="0"/>
            </c:dLbl>
            <c:dLbl>
              <c:idx val="1"/>
              <c:layout>
                <c:manualLayout>
                  <c:x val="5.1421103050588324E-3"/>
                  <c:y val="-4.3807108246084546E-2"/>
                </c:manualLayout>
              </c:layout>
              <c:dLblPos val="outEnd"/>
              <c:showLegendKey val="0"/>
              <c:showVal val="1"/>
              <c:showCatName val="0"/>
              <c:showSerName val="0"/>
              <c:showPercent val="0"/>
              <c:showBubbleSize val="0"/>
            </c:dLbl>
            <c:dLbl>
              <c:idx val="2"/>
              <c:layout>
                <c:manualLayout>
                  <c:x val="6.4431921790094561E-3"/>
                  <c:y val="-3.989074682972378E-2"/>
                </c:manualLayout>
              </c:layout>
              <c:dLblPos val="outEnd"/>
              <c:showLegendKey val="0"/>
              <c:showVal val="1"/>
              <c:showCatName val="0"/>
              <c:showSerName val="0"/>
              <c:showPercent val="0"/>
              <c:showBubbleSize val="0"/>
            </c:dLbl>
            <c:dLbl>
              <c:idx val="3"/>
              <c:layout>
                <c:manualLayout>
                  <c:x val="5.7796375107203226E-3"/>
                  <c:y val="-2.906001533462154E-2"/>
                </c:manualLayout>
              </c:layout>
              <c:tx>
                <c:rich>
                  <a:bodyPr/>
                  <a:lstStyle/>
                  <a:p>
                    <a:r>
                      <a:rPr lang="en-US" b="1"/>
                      <a:t>5</a:t>
                    </a:r>
                    <a:r>
                      <a:rPr lang="en-US"/>
                      <a:t>5.809</a:t>
                    </a:r>
                  </a:p>
                </c:rich>
              </c:tx>
              <c:dLblPos val="outEnd"/>
              <c:showLegendKey val="0"/>
              <c:showVal val="0"/>
              <c:showCatName val="0"/>
              <c:showSerName val="0"/>
              <c:showPercent val="0"/>
              <c:showBubbleSize val="0"/>
            </c:dLbl>
            <c:dLbl>
              <c:idx val="4"/>
              <c:layout>
                <c:manualLayout>
                  <c:x val="5.8732081566727527E-4"/>
                  <c:y val="-1.1231408573928261E-3"/>
                </c:manualLayout>
              </c:layout>
              <c:dLblPos val="outEnd"/>
              <c:showLegendKey val="0"/>
              <c:showVal val="1"/>
              <c:showCatName val="0"/>
              <c:showSerName val="0"/>
              <c:showPercent val="0"/>
              <c:showBubbleSize val="0"/>
            </c:dLbl>
            <c:dLbl>
              <c:idx val="5"/>
              <c:layout>
                <c:manualLayout>
                  <c:x val="8.381801258621464E-3"/>
                  <c:y val="-4.4614405170507562E-2"/>
                </c:manualLayout>
              </c:layout>
              <c:dLblPos val="outEnd"/>
              <c:showLegendKey val="0"/>
              <c:showVal val="1"/>
              <c:showCatName val="0"/>
              <c:showSerName val="0"/>
              <c:showPercent val="0"/>
              <c:showBubbleSize val="0"/>
            </c:dLbl>
            <c:dLbl>
              <c:idx val="6"/>
              <c:layout>
                <c:manualLayout>
                  <c:x val="3.7889735058529808E-3"/>
                  <c:y val="-2.9350844365608166E-2"/>
                </c:manualLayout>
              </c:layout>
              <c:dLblPos val="outEnd"/>
              <c:showLegendKey val="0"/>
              <c:showVal val="1"/>
              <c:showCatName val="0"/>
              <c:showSerName val="0"/>
              <c:showPercent val="0"/>
              <c:showBubbleSize val="0"/>
            </c:dLbl>
            <c:dLbl>
              <c:idx val="7"/>
              <c:layout>
                <c:manualLayout>
                  <c:x val="5.0900553798036829E-3"/>
                  <c:y val="-4.5982353167392506E-2"/>
                </c:manualLayout>
              </c:layout>
              <c:dLblPos val="outEnd"/>
              <c:showLegendKey val="0"/>
              <c:showVal val="1"/>
              <c:showCatName val="0"/>
              <c:showSerName val="0"/>
              <c:showPercent val="0"/>
              <c:showBubbleSize val="0"/>
            </c:dLbl>
            <c:dLbl>
              <c:idx val="8"/>
              <c:layout>
                <c:manualLayout>
                  <c:x val="6.3911372537540324E-3"/>
                  <c:y val="-3.612192105794465E-2"/>
                </c:manualLayout>
              </c:layout>
              <c:dLblPos val="outEnd"/>
              <c:showLegendKey val="0"/>
              <c:showVal val="1"/>
              <c:showCatName val="0"/>
              <c:showSerName val="0"/>
              <c:showPercent val="0"/>
              <c:showBubbleSize val="0"/>
            </c:dLbl>
            <c:dLbl>
              <c:idx val="9"/>
              <c:layout>
                <c:manualLayout>
                  <c:x val="3.7629460432254212E-3"/>
                  <c:y val="-1.894901358484026E-2"/>
                </c:manualLayout>
              </c:layout>
              <c:tx>
                <c:rich>
                  <a:bodyPr/>
                  <a:lstStyle/>
                  <a:p>
                    <a:r>
                      <a:rPr lang="es-ES" b="1"/>
                      <a:t>55.809</a:t>
                    </a:r>
                  </a:p>
                </c:rich>
              </c:tx>
              <c:dLblPos val="outEnd"/>
              <c:showLegendKey val="0"/>
              <c:showVal val="0"/>
              <c:showCatName val="0"/>
              <c:showSerName val="0"/>
              <c:showPercent val="0"/>
              <c:showBubbleSize val="0"/>
            </c:dLbl>
            <c:spPr>
              <a:noFill/>
              <a:ln w="16200">
                <a:noFill/>
              </a:ln>
            </c:spPr>
            <c:txPr>
              <a:bodyPr/>
              <a:lstStyle/>
              <a:p>
                <a:pPr>
                  <a:defRPr b="1"/>
                </a:pPr>
                <a:endParaRPr lang="es-ES"/>
              </a:p>
            </c:txPr>
            <c:showLegendKey val="0"/>
            <c:showVal val="1"/>
            <c:showCatName val="0"/>
            <c:showSerName val="0"/>
            <c:showPercent val="0"/>
            <c:showBubbleSize val="0"/>
            <c:showLeaderLines val="0"/>
          </c:dLbls>
          <c:cat>
            <c:numRef>
              <c:f>Sheet1!$B$1:$F$1</c:f>
              <c:numCache>
                <c:formatCode>General</c:formatCode>
                <c:ptCount val="5"/>
                <c:pt idx="0">
                  <c:v>2006</c:v>
                </c:pt>
                <c:pt idx="1">
                  <c:v>2008</c:v>
                </c:pt>
                <c:pt idx="2">
                  <c:v>2010</c:v>
                </c:pt>
                <c:pt idx="3">
                  <c:v>2012</c:v>
                </c:pt>
                <c:pt idx="4">
                  <c:v>2013</c:v>
                </c:pt>
              </c:numCache>
            </c:numRef>
          </c:cat>
          <c:val>
            <c:numRef>
              <c:f>Sheet1!$B$2:$F$2</c:f>
              <c:numCache>
                <c:formatCode>#,##0</c:formatCode>
                <c:ptCount val="5"/>
                <c:pt idx="0">
                  <c:v>63480</c:v>
                </c:pt>
                <c:pt idx="1">
                  <c:v>62615</c:v>
                </c:pt>
                <c:pt idx="2">
                  <c:v>59915</c:v>
                </c:pt>
                <c:pt idx="3" formatCode="General">
                  <c:v>55809</c:v>
                </c:pt>
                <c:pt idx="4">
                  <c:v>55851</c:v>
                </c:pt>
              </c:numCache>
            </c:numRef>
          </c:val>
        </c:ser>
        <c:dLbls>
          <c:showLegendKey val="0"/>
          <c:showVal val="0"/>
          <c:showCatName val="0"/>
          <c:showSerName val="0"/>
          <c:showPercent val="0"/>
          <c:showBubbleSize val="0"/>
        </c:dLbls>
        <c:gapWidth val="150"/>
        <c:axId val="107359232"/>
        <c:axId val="107389696"/>
      </c:barChart>
      <c:catAx>
        <c:axId val="107359232"/>
        <c:scaling>
          <c:orientation val="minMax"/>
        </c:scaling>
        <c:delete val="0"/>
        <c:axPos val="b"/>
        <c:numFmt formatCode="General" sourceLinked="1"/>
        <c:majorTickMark val="out"/>
        <c:minorTickMark val="none"/>
        <c:tickLblPos val="low"/>
        <c:spPr>
          <a:ln w="2025">
            <a:solidFill>
              <a:srgbClr val="000000"/>
            </a:solidFill>
            <a:prstDash val="solid"/>
          </a:ln>
        </c:spPr>
        <c:txPr>
          <a:bodyPr rot="0" vert="horz"/>
          <a:lstStyle/>
          <a:p>
            <a:pPr>
              <a:defRPr/>
            </a:pPr>
            <a:endParaRPr lang="es-ES"/>
          </a:p>
        </c:txPr>
        <c:crossAx val="107389696"/>
        <c:crosses val="autoZero"/>
        <c:auto val="1"/>
        <c:lblAlgn val="ctr"/>
        <c:lblOffset val="100"/>
        <c:tickLblSkip val="1"/>
        <c:tickMarkSkip val="1"/>
        <c:noMultiLvlLbl val="0"/>
      </c:catAx>
      <c:valAx>
        <c:axId val="107389696"/>
        <c:scaling>
          <c:orientation val="minMax"/>
          <c:max val="80000"/>
        </c:scaling>
        <c:delete val="0"/>
        <c:axPos val="l"/>
        <c:majorGridlines>
          <c:spPr>
            <a:ln w="8100">
              <a:solidFill>
                <a:srgbClr val="C0C0C0"/>
              </a:solidFill>
              <a:prstDash val="solid"/>
            </a:ln>
          </c:spPr>
        </c:majorGridlines>
        <c:numFmt formatCode="#,##0" sourceLinked="1"/>
        <c:majorTickMark val="out"/>
        <c:minorTickMark val="none"/>
        <c:tickLblPos val="nextTo"/>
        <c:spPr>
          <a:ln w="2025">
            <a:solidFill>
              <a:srgbClr val="000000"/>
            </a:solidFill>
            <a:prstDash val="solid"/>
          </a:ln>
        </c:spPr>
        <c:txPr>
          <a:bodyPr rot="0" vert="horz"/>
          <a:lstStyle/>
          <a:p>
            <a:pPr>
              <a:defRPr/>
            </a:pPr>
            <a:endParaRPr lang="es-ES"/>
          </a:p>
        </c:txPr>
        <c:crossAx val="107359232"/>
        <c:crosses val="autoZero"/>
        <c:crossBetween val="between"/>
        <c:majorUnit val="20000"/>
      </c:valAx>
      <c:spPr>
        <a:noFill/>
        <a:ln w="16200">
          <a:noFill/>
        </a:ln>
      </c:spPr>
    </c:plotArea>
    <c:plotVisOnly val="1"/>
    <c:dispBlanksAs val="gap"/>
    <c:showDLblsOverMax val="0"/>
  </c:chart>
  <c:spPr>
    <a:noFill/>
    <a:ln>
      <a:noFill/>
    </a:ln>
  </c:spPr>
  <c:txPr>
    <a:bodyPr/>
    <a:lstStyle/>
    <a:p>
      <a:pPr>
        <a:defRPr sz="800" b="0" i="0" u="none" strike="noStrike" baseline="0">
          <a:solidFill>
            <a:srgbClr val="000000"/>
          </a:solidFill>
          <a:latin typeface="Arial" pitchFamily="34" charset="0"/>
          <a:ea typeface="Calibri"/>
          <a:cs typeface="Arial" pitchFamily="34" charset="0"/>
        </a:defRPr>
      </a:pPr>
      <a:endParaRPr lang="es-ES"/>
    </a:p>
  </c:tx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b="1"/>
            </a:pPr>
            <a:r>
              <a:rPr lang="es-ES" b="1"/>
              <a:t>FAKTURAZIOA</a:t>
            </a:r>
          </a:p>
        </c:rich>
      </c:tx>
      <c:layout>
        <c:manualLayout>
          <c:xMode val="edge"/>
          <c:yMode val="edge"/>
          <c:x val="0.44597251814111466"/>
          <c:y val="2.197802197802199E-2"/>
        </c:manualLayout>
      </c:layout>
      <c:overlay val="0"/>
      <c:spPr>
        <a:noFill/>
        <a:ln w="16445">
          <a:noFill/>
        </a:ln>
      </c:spPr>
    </c:title>
    <c:autoTitleDeleted val="0"/>
    <c:plotArea>
      <c:layout>
        <c:manualLayout>
          <c:layoutTarget val="inner"/>
          <c:xMode val="edge"/>
          <c:yMode val="edge"/>
          <c:x val="9.6267190569744643E-2"/>
          <c:y val="0.24175824175824376"/>
          <c:w val="0.88408644400785086"/>
          <c:h val="0.57142857142858094"/>
        </c:manualLayout>
      </c:layout>
      <c:barChart>
        <c:barDir val="col"/>
        <c:grouping val="clustered"/>
        <c:varyColors val="0"/>
        <c:ser>
          <c:idx val="0"/>
          <c:order val="0"/>
          <c:tx>
            <c:strRef>
              <c:f>Sheet1!$A$2</c:f>
              <c:strCache>
                <c:ptCount val="1"/>
              </c:strCache>
            </c:strRef>
          </c:tx>
          <c:spPr>
            <a:solidFill>
              <a:schemeClr val="accent1"/>
            </a:solidFill>
            <a:ln w="8222">
              <a:noFill/>
              <a:prstDash val="solid"/>
            </a:ln>
          </c:spPr>
          <c:invertIfNegative val="0"/>
          <c:dPt>
            <c:idx val="4"/>
            <c:invertIfNegative val="0"/>
            <c:bubble3D val="0"/>
            <c:spPr>
              <a:solidFill>
                <a:schemeClr val="accent1">
                  <a:lumMod val="20000"/>
                  <a:lumOff val="80000"/>
                </a:schemeClr>
              </a:solidFill>
              <a:ln w="8222">
                <a:noFill/>
                <a:prstDash val="solid"/>
              </a:ln>
            </c:spPr>
          </c:dPt>
          <c:dLbls>
            <c:spPr>
              <a:noFill/>
              <a:ln w="16445">
                <a:noFill/>
              </a:ln>
            </c:spPr>
            <c:txPr>
              <a:bodyPr/>
              <a:lstStyle/>
              <a:p>
                <a:pPr>
                  <a:defRPr b="1"/>
                </a:pPr>
                <a:endParaRPr lang="es-ES"/>
              </a:p>
            </c:txPr>
            <c:showLegendKey val="0"/>
            <c:showVal val="1"/>
            <c:showCatName val="0"/>
            <c:showSerName val="0"/>
            <c:showPercent val="0"/>
            <c:showBubbleSize val="0"/>
            <c:showLeaderLines val="0"/>
          </c:dLbls>
          <c:cat>
            <c:numRef>
              <c:f>Sheet1!$B$1:$F$1</c:f>
              <c:numCache>
                <c:formatCode>General</c:formatCode>
                <c:ptCount val="5"/>
                <c:pt idx="0">
                  <c:v>2006</c:v>
                </c:pt>
                <c:pt idx="1">
                  <c:v>2008</c:v>
                </c:pt>
                <c:pt idx="2">
                  <c:v>2010</c:v>
                </c:pt>
                <c:pt idx="3">
                  <c:v>2012</c:v>
                </c:pt>
                <c:pt idx="4">
                  <c:v>2013</c:v>
                </c:pt>
              </c:numCache>
            </c:numRef>
          </c:cat>
          <c:val>
            <c:numRef>
              <c:f>Sheet1!$B$2:$F$2</c:f>
              <c:numCache>
                <c:formatCode>#,##0</c:formatCode>
                <c:ptCount val="5"/>
                <c:pt idx="0">
                  <c:v>9523957</c:v>
                </c:pt>
                <c:pt idx="1">
                  <c:v>9757100</c:v>
                </c:pt>
                <c:pt idx="2">
                  <c:v>8563275</c:v>
                </c:pt>
                <c:pt idx="3">
                  <c:v>8283006</c:v>
                </c:pt>
                <c:pt idx="4">
                  <c:v>8304498</c:v>
                </c:pt>
              </c:numCache>
            </c:numRef>
          </c:val>
        </c:ser>
        <c:dLbls>
          <c:showLegendKey val="0"/>
          <c:showVal val="0"/>
          <c:showCatName val="0"/>
          <c:showSerName val="0"/>
          <c:showPercent val="0"/>
          <c:showBubbleSize val="0"/>
        </c:dLbls>
        <c:gapWidth val="150"/>
        <c:axId val="107504768"/>
        <c:axId val="107506304"/>
      </c:barChart>
      <c:catAx>
        <c:axId val="107504768"/>
        <c:scaling>
          <c:orientation val="minMax"/>
        </c:scaling>
        <c:delete val="0"/>
        <c:axPos val="b"/>
        <c:numFmt formatCode="General" sourceLinked="1"/>
        <c:majorTickMark val="out"/>
        <c:minorTickMark val="none"/>
        <c:tickLblPos val="low"/>
        <c:spPr>
          <a:ln w="2056">
            <a:solidFill>
              <a:srgbClr val="000000"/>
            </a:solidFill>
            <a:prstDash val="solid"/>
          </a:ln>
        </c:spPr>
        <c:txPr>
          <a:bodyPr rot="0" vert="horz"/>
          <a:lstStyle/>
          <a:p>
            <a:pPr>
              <a:defRPr/>
            </a:pPr>
            <a:endParaRPr lang="es-ES"/>
          </a:p>
        </c:txPr>
        <c:crossAx val="107506304"/>
        <c:crosses val="autoZero"/>
        <c:auto val="1"/>
        <c:lblAlgn val="ctr"/>
        <c:lblOffset val="100"/>
        <c:tickLblSkip val="1"/>
        <c:tickMarkSkip val="1"/>
        <c:noMultiLvlLbl val="0"/>
      </c:catAx>
      <c:valAx>
        <c:axId val="107506304"/>
        <c:scaling>
          <c:orientation val="minMax"/>
          <c:max val="10316000"/>
          <c:min val="0"/>
        </c:scaling>
        <c:delete val="0"/>
        <c:axPos val="l"/>
        <c:majorGridlines>
          <c:spPr>
            <a:ln w="8222">
              <a:solidFill>
                <a:srgbClr val="C0C0C0"/>
              </a:solidFill>
              <a:prstDash val="solid"/>
            </a:ln>
          </c:spPr>
        </c:majorGridlines>
        <c:numFmt formatCode="#,##0" sourceLinked="1"/>
        <c:majorTickMark val="out"/>
        <c:minorTickMark val="none"/>
        <c:tickLblPos val="nextTo"/>
        <c:spPr>
          <a:ln w="2056">
            <a:solidFill>
              <a:srgbClr val="000000"/>
            </a:solidFill>
            <a:prstDash val="solid"/>
          </a:ln>
        </c:spPr>
        <c:txPr>
          <a:bodyPr rot="0" vert="horz"/>
          <a:lstStyle/>
          <a:p>
            <a:pPr>
              <a:defRPr/>
            </a:pPr>
            <a:endParaRPr lang="es-ES"/>
          </a:p>
        </c:txPr>
        <c:crossAx val="107504768"/>
        <c:crosses val="autoZero"/>
        <c:crossBetween val="between"/>
        <c:majorUnit val="2000000"/>
        <c:minorUnit val="400000"/>
      </c:valAx>
      <c:spPr>
        <a:noFill/>
        <a:ln w="16445">
          <a:noFill/>
        </a:ln>
      </c:spPr>
    </c:plotArea>
    <c:plotVisOnly val="1"/>
    <c:dispBlanksAs val="gap"/>
    <c:showDLblsOverMax val="0"/>
  </c:chart>
  <c:spPr>
    <a:noFill/>
    <a:ln>
      <a:noFill/>
    </a:ln>
  </c:spPr>
  <c:txPr>
    <a:bodyPr/>
    <a:lstStyle/>
    <a:p>
      <a:pPr>
        <a:defRPr sz="800" b="0" i="0" u="none" strike="noStrike" baseline="0">
          <a:solidFill>
            <a:srgbClr val="000000"/>
          </a:solidFill>
          <a:latin typeface="Arial" pitchFamily="34" charset="0"/>
          <a:ea typeface="Calibri"/>
          <a:cs typeface="Arial" pitchFamily="34" charset="0"/>
        </a:defRPr>
      </a:pPr>
      <a:endParaRPr lang="es-E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overlay val="0"/>
    </c:title>
    <c:autoTitleDeleted val="0"/>
    <c:plotArea>
      <c:layout>
        <c:manualLayout>
          <c:layoutTarget val="inner"/>
          <c:xMode val="edge"/>
          <c:yMode val="edge"/>
          <c:x val="4.3737574552684004E-2"/>
          <c:y val="8.7912087912087933E-2"/>
          <c:w val="0.93638170974154367"/>
          <c:h val="0.72527472527472525"/>
        </c:manualLayout>
      </c:layout>
      <c:barChart>
        <c:barDir val="col"/>
        <c:grouping val="clustered"/>
        <c:varyColors val="0"/>
        <c:ser>
          <c:idx val="0"/>
          <c:order val="0"/>
          <c:tx>
            <c:strRef>
              <c:f>Sheet1!$A$2</c:f>
              <c:strCache>
                <c:ptCount val="1"/>
              </c:strCache>
            </c:strRef>
          </c:tx>
          <c:spPr>
            <a:solidFill>
              <a:schemeClr val="accent1"/>
            </a:solidFill>
            <a:ln w="9544">
              <a:noFill/>
              <a:prstDash val="solid"/>
            </a:ln>
          </c:spPr>
          <c:invertIfNegative val="0"/>
          <c:dLbls>
            <c:dLbl>
              <c:idx val="0"/>
              <c:layout>
                <c:manualLayout>
                  <c:x val="1.1166861098090527E-2"/>
                  <c:y val="-7.3290625888722413E-2"/>
                </c:manualLayout>
              </c:layout>
              <c:dLblPos val="outEnd"/>
              <c:showLegendKey val="0"/>
              <c:showVal val="1"/>
              <c:showCatName val="0"/>
              <c:showSerName val="0"/>
              <c:showPercent val="0"/>
              <c:showBubbleSize val="0"/>
            </c:dLbl>
            <c:dLbl>
              <c:idx val="1"/>
              <c:layout>
                <c:manualLayout>
                  <c:x val="4.4401375513309308E-3"/>
                  <c:y val="-6.7796120394217826E-2"/>
                </c:manualLayout>
              </c:layout>
              <c:dLblPos val="outEnd"/>
              <c:showLegendKey val="0"/>
              <c:showVal val="1"/>
              <c:showCatName val="0"/>
              <c:showSerName val="0"/>
              <c:showPercent val="0"/>
              <c:showBubbleSize val="0"/>
            </c:dLbl>
            <c:dLbl>
              <c:idx val="2"/>
              <c:layout>
                <c:manualLayout>
                  <c:x val="7.6537718574542814E-3"/>
                  <c:y val="-5.3990246160614166E-2"/>
                </c:manualLayout>
              </c:layout>
              <c:dLblPos val="outEnd"/>
              <c:showLegendKey val="0"/>
              <c:showVal val="1"/>
              <c:showCatName val="0"/>
              <c:showSerName val="0"/>
              <c:showPercent val="0"/>
              <c:showBubbleSize val="0"/>
            </c:dLbl>
            <c:dLbl>
              <c:idx val="3"/>
              <c:layout>
                <c:manualLayout>
                  <c:x val="4.9031914518479014E-3"/>
                  <c:y val="-4.7017424572370133E-2"/>
                </c:manualLayout>
              </c:layout>
              <c:dLblPos val="outEnd"/>
              <c:showLegendKey val="0"/>
              <c:showVal val="1"/>
              <c:showCatName val="0"/>
              <c:showSerName val="0"/>
              <c:showPercent val="0"/>
              <c:showBubbleSize val="0"/>
            </c:dLbl>
            <c:dLbl>
              <c:idx val="4"/>
              <c:layout>
                <c:manualLayout>
                  <c:x val="2.1528160186676552E-3"/>
                  <c:y val="-4.0044602984125939E-2"/>
                </c:manualLayout>
              </c:layout>
              <c:dLblPos val="outEnd"/>
              <c:showLegendKey val="0"/>
              <c:showVal val="1"/>
              <c:showCatName val="0"/>
              <c:showSerName val="0"/>
              <c:showPercent val="0"/>
              <c:showBubbleSize val="0"/>
            </c:dLbl>
            <c:dLbl>
              <c:idx val="5"/>
              <c:layout>
                <c:manualLayout>
                  <c:x val="7.3545218953673984E-3"/>
                  <c:y val="-5.3850477217729023E-2"/>
                </c:manualLayout>
              </c:layout>
              <c:dLblPos val="outEnd"/>
              <c:showLegendKey val="0"/>
              <c:showVal val="1"/>
              <c:showCatName val="0"/>
              <c:showSerName val="0"/>
              <c:showPercent val="0"/>
              <c:showBubbleSize val="0"/>
            </c:dLbl>
            <c:dLbl>
              <c:idx val="6"/>
              <c:layout>
                <c:manualLayout>
                  <c:x val="6.277983486083123E-4"/>
                  <c:y val="-4.2861466228717594E-2"/>
                </c:manualLayout>
              </c:layout>
              <c:dLblPos val="outEnd"/>
              <c:showLegendKey val="0"/>
              <c:showVal val="1"/>
              <c:showCatName val="0"/>
              <c:showSerName val="0"/>
              <c:showPercent val="0"/>
              <c:showBubbleSize val="0"/>
            </c:dLbl>
            <c:dLbl>
              <c:idx val="7"/>
              <c:layout>
                <c:manualLayout>
                  <c:x val="3.8414326547315052E-3"/>
                  <c:y val="-6.6317804300478192E-2"/>
                </c:manualLayout>
              </c:layout>
              <c:dLblPos val="outEnd"/>
              <c:showLegendKey val="0"/>
              <c:showVal val="1"/>
              <c:showCatName val="0"/>
              <c:showSerName val="0"/>
              <c:showPercent val="0"/>
              <c:showBubbleSize val="0"/>
            </c:dLbl>
            <c:dLbl>
              <c:idx val="8"/>
              <c:layout>
                <c:manualLayout>
                  <c:x val="3.0789238197017482E-3"/>
                  <c:y val="-4.9834287816962822E-2"/>
                </c:manualLayout>
              </c:layout>
              <c:dLblPos val="outEnd"/>
              <c:showLegendKey val="0"/>
              <c:showVal val="1"/>
              <c:showCatName val="0"/>
              <c:showSerName val="0"/>
              <c:showPercent val="0"/>
              <c:showBubbleSize val="0"/>
            </c:dLbl>
            <c:dLbl>
              <c:idx val="9"/>
              <c:layout>
                <c:manualLayout>
                  <c:x val="-1.6595231840549221E-3"/>
                  <c:y val="-2.6517718688086812E-2"/>
                </c:manualLayout>
              </c:layout>
              <c:dLblPos val="outEnd"/>
              <c:showLegendKey val="0"/>
              <c:showVal val="1"/>
              <c:showCatName val="0"/>
              <c:showSerName val="0"/>
              <c:showPercent val="0"/>
              <c:showBubbleSize val="0"/>
            </c:dLbl>
            <c:spPr>
              <a:noFill/>
              <a:ln w="19128">
                <a:noFill/>
              </a:ln>
            </c:spPr>
            <c:showLegendKey val="0"/>
            <c:showVal val="1"/>
            <c:showCatName val="0"/>
            <c:showSerName val="0"/>
            <c:showPercent val="0"/>
            <c:showBubbleSize val="0"/>
            <c:showLeaderLines val="0"/>
          </c:dLbls>
          <c:cat>
            <c:numRef>
              <c:f>Sheet1!$B$1:$K$1</c:f>
              <c:numCache>
                <c:formatCode>General</c:formatCode>
                <c:ptCount val="10"/>
                <c:pt idx="0">
                  <c:v>1994</c:v>
                </c:pt>
                <c:pt idx="1">
                  <c:v>1996</c:v>
                </c:pt>
                <c:pt idx="2">
                  <c:v>1998</c:v>
                </c:pt>
                <c:pt idx="3">
                  <c:v>2000</c:v>
                </c:pt>
                <c:pt idx="4">
                  <c:v>2002</c:v>
                </c:pt>
                <c:pt idx="5">
                  <c:v>2004</c:v>
                </c:pt>
                <c:pt idx="6">
                  <c:v>2006</c:v>
                </c:pt>
                <c:pt idx="7">
                  <c:v>2008</c:v>
                </c:pt>
                <c:pt idx="8">
                  <c:v>2010</c:v>
                </c:pt>
                <c:pt idx="9">
                  <c:v>2012</c:v>
                </c:pt>
              </c:numCache>
            </c:numRef>
          </c:cat>
          <c:val>
            <c:numRef>
              <c:f>Sheet1!$B$2:$K$2</c:f>
              <c:numCache>
                <c:formatCode>#,##0.0</c:formatCode>
                <c:ptCount val="10"/>
                <c:pt idx="0">
                  <c:v>6</c:v>
                </c:pt>
                <c:pt idx="1">
                  <c:v>6</c:v>
                </c:pt>
                <c:pt idx="2">
                  <c:v>6.2</c:v>
                </c:pt>
                <c:pt idx="3">
                  <c:v>6.5</c:v>
                </c:pt>
                <c:pt idx="4">
                  <c:v>6.8</c:v>
                </c:pt>
                <c:pt idx="5">
                  <c:v>6.6</c:v>
                </c:pt>
                <c:pt idx="6">
                  <c:v>6.6</c:v>
                </c:pt>
                <c:pt idx="7">
                  <c:v>6.3</c:v>
                </c:pt>
                <c:pt idx="8">
                  <c:v>6.3</c:v>
                </c:pt>
                <c:pt idx="9" formatCode="General">
                  <c:v>6.2</c:v>
                </c:pt>
              </c:numCache>
            </c:numRef>
          </c:val>
        </c:ser>
        <c:dLbls>
          <c:showLegendKey val="0"/>
          <c:showVal val="0"/>
          <c:showCatName val="0"/>
          <c:showSerName val="0"/>
          <c:showPercent val="0"/>
          <c:showBubbleSize val="0"/>
        </c:dLbls>
        <c:gapWidth val="150"/>
        <c:axId val="100352384"/>
        <c:axId val="100353920"/>
      </c:barChart>
      <c:catAx>
        <c:axId val="100352384"/>
        <c:scaling>
          <c:orientation val="minMax"/>
        </c:scaling>
        <c:delete val="0"/>
        <c:axPos val="b"/>
        <c:numFmt formatCode="General" sourceLinked="1"/>
        <c:majorTickMark val="out"/>
        <c:minorTickMark val="none"/>
        <c:tickLblPos val="low"/>
        <c:spPr>
          <a:ln w="2386">
            <a:solidFill>
              <a:srgbClr val="000000"/>
            </a:solidFill>
            <a:prstDash val="solid"/>
          </a:ln>
        </c:spPr>
        <c:txPr>
          <a:bodyPr rot="0" vert="horz"/>
          <a:lstStyle/>
          <a:p>
            <a:pPr>
              <a:defRPr/>
            </a:pPr>
            <a:endParaRPr lang="es-ES"/>
          </a:p>
        </c:txPr>
        <c:crossAx val="100353920"/>
        <c:crosses val="autoZero"/>
        <c:auto val="1"/>
        <c:lblAlgn val="ctr"/>
        <c:lblOffset val="100"/>
        <c:tickLblSkip val="1"/>
        <c:tickMarkSkip val="1"/>
        <c:noMultiLvlLbl val="0"/>
      </c:catAx>
      <c:valAx>
        <c:axId val="100353920"/>
        <c:scaling>
          <c:orientation val="minMax"/>
          <c:max val="7"/>
          <c:min val="0"/>
        </c:scaling>
        <c:delete val="0"/>
        <c:axPos val="l"/>
        <c:majorGridlines>
          <c:spPr>
            <a:ln w="9544">
              <a:solidFill>
                <a:schemeClr val="bg1">
                  <a:lumMod val="95000"/>
                </a:schemeClr>
              </a:solidFill>
              <a:prstDash val="solid"/>
            </a:ln>
          </c:spPr>
        </c:majorGridlines>
        <c:numFmt formatCode="#,##0" sourceLinked="0"/>
        <c:majorTickMark val="out"/>
        <c:minorTickMark val="none"/>
        <c:tickLblPos val="nextTo"/>
        <c:spPr>
          <a:ln w="2386">
            <a:solidFill>
              <a:srgbClr val="000000"/>
            </a:solidFill>
            <a:prstDash val="solid"/>
          </a:ln>
        </c:spPr>
        <c:txPr>
          <a:bodyPr rot="0" vert="horz"/>
          <a:lstStyle/>
          <a:p>
            <a:pPr>
              <a:defRPr/>
            </a:pPr>
            <a:endParaRPr lang="es-ES"/>
          </a:p>
        </c:txPr>
        <c:crossAx val="100352384"/>
        <c:crosses val="autoZero"/>
        <c:crossBetween val="between"/>
        <c:majorUnit val="1"/>
        <c:minorUnit val="1"/>
      </c:valAx>
      <c:spPr>
        <a:noFill/>
        <a:ln w="19128">
          <a:noFill/>
        </a:ln>
      </c:spPr>
    </c:plotArea>
    <c:plotVisOnly val="1"/>
    <c:dispBlanksAs val="gap"/>
    <c:showDLblsOverMax val="0"/>
  </c:chart>
  <c:spPr>
    <a:noFill/>
    <a:ln>
      <a:solidFill>
        <a:schemeClr val="bg1">
          <a:lumMod val="95000"/>
        </a:schemeClr>
      </a:solidFill>
    </a:ln>
  </c:spPr>
  <c:txPr>
    <a:bodyPr/>
    <a:lstStyle/>
    <a:p>
      <a:pPr>
        <a:defRPr sz="800" b="0" i="0" u="none" strike="noStrike" baseline="0">
          <a:solidFill>
            <a:srgbClr val="000000"/>
          </a:solidFill>
          <a:latin typeface="Arial" pitchFamily="34" charset="0"/>
          <a:ea typeface="Calibri"/>
          <a:cs typeface="Arial" pitchFamily="34" charset="0"/>
        </a:defRPr>
      </a:pPr>
      <a:endParaRPr lang="es-ES"/>
    </a:p>
  </c:tx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043105722895745E-2"/>
          <c:y val="5.7068741893644824E-2"/>
          <c:w val="0.89605336369990751"/>
          <c:h val="0.62686357338380061"/>
        </c:manualLayout>
      </c:layout>
      <c:barChart>
        <c:barDir val="col"/>
        <c:grouping val="clustered"/>
        <c:varyColors val="0"/>
        <c:ser>
          <c:idx val="0"/>
          <c:order val="0"/>
          <c:tx>
            <c:strRef>
              <c:f>Hoja1!$B$1</c:f>
              <c:strCache>
                <c:ptCount val="1"/>
                <c:pt idx="0">
                  <c:v>Fakturazioa</c:v>
                </c:pt>
              </c:strCache>
            </c:strRef>
          </c:tx>
          <c:spPr>
            <a:solidFill>
              <a:schemeClr val="accent1"/>
            </a:solidFill>
          </c:spPr>
          <c:invertIfNegative val="0"/>
          <c:dLbls>
            <c:spPr>
              <a:noFill/>
              <a:ln w="17591">
                <a:noFill/>
              </a:ln>
            </c:spPr>
            <c:showLegendKey val="0"/>
            <c:showVal val="1"/>
            <c:showCatName val="0"/>
            <c:showSerName val="0"/>
            <c:showPercent val="0"/>
            <c:showBubbleSize val="0"/>
            <c:showLeaderLines val="0"/>
          </c:dLbls>
          <c:cat>
            <c:strRef>
              <c:f>Hoja1!$A$2:$A$10</c:f>
              <c:strCache>
                <c:ptCount val="9"/>
                <c:pt idx="0">
                  <c:v>Araba</c:v>
                </c:pt>
                <c:pt idx="1">
                  <c:v>Bizkaia</c:v>
                </c:pt>
                <c:pt idx="2">
                  <c:v>Gipuzkoa</c:v>
                </c:pt>
                <c:pt idx="3">
                  <c:v>Industria</c:v>
                </c:pt>
                <c:pt idx="4">
                  <c:v>Eraikuntza</c:v>
                </c:pt>
                <c:pt idx="5">
                  <c:v>Zerbitzuak</c:v>
                </c:pt>
                <c:pt idx="6">
                  <c:v>Koop.Elk.</c:v>
                </c:pt>
                <c:pt idx="7">
                  <c:v>LSA</c:v>
                </c:pt>
                <c:pt idx="8">
                  <c:v>LSM</c:v>
                </c:pt>
              </c:strCache>
            </c:strRef>
          </c:cat>
          <c:val>
            <c:numRef>
              <c:f>Hoja1!$B$2:$B$10</c:f>
              <c:numCache>
                <c:formatCode>General</c:formatCode>
                <c:ptCount val="9"/>
                <c:pt idx="0">
                  <c:v>-1.2</c:v>
                </c:pt>
                <c:pt idx="1">
                  <c:v>-0.70000000000000051</c:v>
                </c:pt>
                <c:pt idx="2">
                  <c:v>1.3</c:v>
                </c:pt>
                <c:pt idx="3">
                  <c:v>1.6</c:v>
                </c:pt>
                <c:pt idx="4">
                  <c:v>-8.7000000000000011</c:v>
                </c:pt>
                <c:pt idx="5">
                  <c:v>-1.1000000000000001</c:v>
                </c:pt>
                <c:pt idx="6">
                  <c:v>0.5</c:v>
                </c:pt>
                <c:pt idx="7">
                  <c:v>-2.5</c:v>
                </c:pt>
                <c:pt idx="8">
                  <c:v>-3.2</c:v>
                </c:pt>
              </c:numCache>
            </c:numRef>
          </c:val>
        </c:ser>
        <c:ser>
          <c:idx val="1"/>
          <c:order val="1"/>
          <c:tx>
            <c:strRef>
              <c:f>Hoja1!$C$1</c:f>
              <c:strCache>
                <c:ptCount val="1"/>
                <c:pt idx="0">
                  <c:v>Enplegua</c:v>
                </c:pt>
              </c:strCache>
            </c:strRef>
          </c:tx>
          <c:spPr>
            <a:solidFill>
              <a:schemeClr val="accent2"/>
            </a:solidFill>
          </c:spPr>
          <c:invertIfNegative val="0"/>
          <c:dLbls>
            <c:spPr>
              <a:noFill/>
              <a:ln w="17591">
                <a:noFill/>
              </a:ln>
            </c:spPr>
            <c:showLegendKey val="0"/>
            <c:showVal val="1"/>
            <c:showCatName val="0"/>
            <c:showSerName val="0"/>
            <c:showPercent val="0"/>
            <c:showBubbleSize val="0"/>
            <c:showLeaderLines val="0"/>
          </c:dLbls>
          <c:cat>
            <c:strRef>
              <c:f>Hoja1!$A$2:$A$10</c:f>
              <c:strCache>
                <c:ptCount val="9"/>
                <c:pt idx="0">
                  <c:v>Araba</c:v>
                </c:pt>
                <c:pt idx="1">
                  <c:v>Bizkaia</c:v>
                </c:pt>
                <c:pt idx="2">
                  <c:v>Gipuzkoa</c:v>
                </c:pt>
                <c:pt idx="3">
                  <c:v>Industria</c:v>
                </c:pt>
                <c:pt idx="4">
                  <c:v>Eraikuntza</c:v>
                </c:pt>
                <c:pt idx="5">
                  <c:v>Zerbitzuak</c:v>
                </c:pt>
                <c:pt idx="6">
                  <c:v>Koop.Elk.</c:v>
                </c:pt>
                <c:pt idx="7">
                  <c:v>LSA</c:v>
                </c:pt>
                <c:pt idx="8">
                  <c:v>LSM</c:v>
                </c:pt>
              </c:strCache>
            </c:strRef>
          </c:cat>
          <c:val>
            <c:numRef>
              <c:f>Hoja1!$C$2:$C$10</c:f>
              <c:numCache>
                <c:formatCode>General</c:formatCode>
                <c:ptCount val="9"/>
                <c:pt idx="0">
                  <c:v>-0.4</c:v>
                </c:pt>
                <c:pt idx="1">
                  <c:v>-0.2</c:v>
                </c:pt>
                <c:pt idx="2">
                  <c:v>0.4</c:v>
                </c:pt>
                <c:pt idx="3">
                  <c:v>-0.60000000000000053</c:v>
                </c:pt>
                <c:pt idx="4">
                  <c:v>-2.2000000000000002</c:v>
                </c:pt>
                <c:pt idx="5">
                  <c:v>0.8</c:v>
                </c:pt>
                <c:pt idx="6">
                  <c:v>0.2</c:v>
                </c:pt>
                <c:pt idx="7">
                  <c:v>1.4</c:v>
                </c:pt>
                <c:pt idx="8">
                  <c:v>-2.2999999999999998</c:v>
                </c:pt>
              </c:numCache>
            </c:numRef>
          </c:val>
        </c:ser>
        <c:dLbls>
          <c:showLegendKey val="0"/>
          <c:showVal val="0"/>
          <c:showCatName val="0"/>
          <c:showSerName val="0"/>
          <c:showPercent val="0"/>
          <c:showBubbleSize val="0"/>
        </c:dLbls>
        <c:gapWidth val="150"/>
        <c:axId val="107724800"/>
        <c:axId val="107726336"/>
      </c:barChart>
      <c:catAx>
        <c:axId val="107724800"/>
        <c:scaling>
          <c:orientation val="minMax"/>
        </c:scaling>
        <c:delete val="0"/>
        <c:axPos val="b"/>
        <c:numFmt formatCode="General" sourceLinked="1"/>
        <c:majorTickMark val="out"/>
        <c:minorTickMark val="none"/>
        <c:tickLblPos val="low"/>
        <c:crossAx val="107726336"/>
        <c:crosses val="autoZero"/>
        <c:auto val="1"/>
        <c:lblAlgn val="ctr"/>
        <c:lblOffset val="100"/>
        <c:noMultiLvlLbl val="0"/>
      </c:catAx>
      <c:valAx>
        <c:axId val="107726336"/>
        <c:scaling>
          <c:orientation val="minMax"/>
        </c:scaling>
        <c:delete val="0"/>
        <c:axPos val="l"/>
        <c:majorGridlines>
          <c:spPr>
            <a:ln>
              <a:solidFill>
                <a:schemeClr val="bg1">
                  <a:lumMod val="75000"/>
                </a:schemeClr>
              </a:solidFill>
            </a:ln>
          </c:spPr>
        </c:majorGridlines>
        <c:numFmt formatCode="General" sourceLinked="1"/>
        <c:majorTickMark val="out"/>
        <c:minorTickMark val="none"/>
        <c:tickLblPos val="nextTo"/>
        <c:crossAx val="107724800"/>
        <c:crosses val="autoZero"/>
        <c:crossBetween val="between"/>
      </c:valAx>
    </c:plotArea>
    <c:legend>
      <c:legendPos val="r"/>
      <c:layout>
        <c:manualLayout>
          <c:xMode val="edge"/>
          <c:yMode val="edge"/>
          <c:x val="0.30167164287281806"/>
          <c:y val="0.91774903431882437"/>
          <c:w val="0.39560999965773924"/>
          <c:h val="7.7922077922077934E-2"/>
        </c:manualLayout>
      </c:layout>
      <c:overlay val="0"/>
    </c:legend>
    <c:plotVisOnly val="1"/>
    <c:dispBlanksAs val="gap"/>
    <c:showDLblsOverMax val="0"/>
  </c:chart>
  <c:spPr>
    <a:noFill/>
    <a:ln>
      <a:noFill/>
    </a:ln>
  </c:spPr>
  <c:txPr>
    <a:bodyPr/>
    <a:lstStyle/>
    <a:p>
      <a:pPr>
        <a:defRPr sz="800">
          <a:latin typeface="Arial" pitchFamily="34" charset="0"/>
          <a:cs typeface="Arial" pitchFamily="34" charset="0"/>
        </a:defRPr>
      </a:pPr>
      <a:endParaRPr lang="es-ES"/>
    </a:p>
  </c:tx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Hoja1!$B$1</c:f>
              <c:strCache>
                <c:ptCount val="1"/>
                <c:pt idx="0">
                  <c:v>Serie 1</c:v>
                </c:pt>
              </c:strCache>
            </c:strRef>
          </c:tx>
          <c:invertIfNegative val="0"/>
          <c:dLbls>
            <c:dLbl>
              <c:idx val="0"/>
              <c:layout/>
              <c:tx>
                <c:rich>
                  <a:bodyPr/>
                  <a:lstStyle/>
                  <a:p>
                    <a:r>
                      <a:rPr lang="es-ES"/>
                      <a:t>% 50,7</a:t>
                    </a:r>
                  </a:p>
                </c:rich>
              </c:tx>
              <c:showLegendKey val="0"/>
              <c:showVal val="0"/>
              <c:showCatName val="0"/>
              <c:showSerName val="0"/>
              <c:showPercent val="0"/>
              <c:showBubbleSize val="0"/>
            </c:dLbl>
            <c:dLbl>
              <c:idx val="1"/>
              <c:layout/>
              <c:tx>
                <c:rich>
                  <a:bodyPr/>
                  <a:lstStyle/>
                  <a:p>
                    <a:r>
                      <a:rPr lang="es-ES"/>
                      <a:t>% 50</a:t>
                    </a:r>
                  </a:p>
                </c:rich>
              </c:tx>
              <c:showLegendKey val="0"/>
              <c:showVal val="0"/>
              <c:showCatName val="0"/>
              <c:showSerName val="0"/>
              <c:showPercent val="0"/>
              <c:showBubbleSize val="0"/>
            </c:dLbl>
            <c:dLbl>
              <c:idx val="2"/>
              <c:layout/>
              <c:tx>
                <c:rich>
                  <a:bodyPr/>
                  <a:lstStyle/>
                  <a:p>
                    <a:r>
                      <a:rPr lang="es-ES"/>
                      <a:t>% 39,1</a:t>
                    </a:r>
                  </a:p>
                </c:rich>
              </c:tx>
              <c:showLegendKey val="0"/>
              <c:showVal val="0"/>
              <c:showCatName val="0"/>
              <c:showSerName val="0"/>
              <c:showPercent val="0"/>
              <c:showBubbleSize val="0"/>
            </c:dLbl>
            <c:dLbl>
              <c:idx val="3"/>
              <c:layout/>
              <c:tx>
                <c:rich>
                  <a:bodyPr/>
                  <a:lstStyle/>
                  <a:p>
                    <a:r>
                      <a:rPr lang="es-ES"/>
                      <a:t>% 37,6</a:t>
                    </a:r>
                  </a:p>
                </c:rich>
              </c:tx>
              <c:showLegendKey val="0"/>
              <c:showVal val="0"/>
              <c:showCatName val="0"/>
              <c:showSerName val="0"/>
              <c:showPercent val="0"/>
              <c:showBubbleSize val="0"/>
            </c:dLbl>
            <c:dLbl>
              <c:idx val="4"/>
              <c:layout/>
              <c:tx>
                <c:rich>
                  <a:bodyPr/>
                  <a:lstStyle/>
                  <a:p>
                    <a:r>
                      <a:rPr lang="es-ES"/>
                      <a:t>% 36,9</a:t>
                    </a:r>
                  </a:p>
                </c:rich>
              </c:tx>
              <c:showLegendKey val="0"/>
              <c:showVal val="0"/>
              <c:showCatName val="0"/>
              <c:showSerName val="0"/>
              <c:showPercent val="0"/>
              <c:showBubbleSize val="0"/>
            </c:dLbl>
            <c:dLbl>
              <c:idx val="5"/>
              <c:layout/>
              <c:tx>
                <c:rich>
                  <a:bodyPr/>
                  <a:lstStyle/>
                  <a:p>
                    <a:r>
                      <a:rPr lang="es-ES"/>
                      <a:t>% 35,3</a:t>
                    </a:r>
                  </a:p>
                </c:rich>
              </c:tx>
              <c:showLegendKey val="0"/>
              <c:showVal val="0"/>
              <c:showCatName val="0"/>
              <c:showSerName val="0"/>
              <c:showPercent val="0"/>
              <c:showBubbleSize val="0"/>
            </c:dLbl>
            <c:dLbl>
              <c:idx val="6"/>
              <c:layout/>
              <c:tx>
                <c:rich>
                  <a:bodyPr/>
                  <a:lstStyle/>
                  <a:p>
                    <a:r>
                      <a:rPr lang="es-ES"/>
                      <a:t>% 6,7</a:t>
                    </a:r>
                  </a:p>
                </c:rich>
              </c:tx>
              <c:showLegendKey val="0"/>
              <c:showVal val="0"/>
              <c:showCatName val="0"/>
              <c:showSerName val="0"/>
              <c:showPercent val="0"/>
              <c:showBubbleSize val="0"/>
            </c:dLbl>
            <c:spPr>
              <a:noFill/>
              <a:ln w="18696">
                <a:noFill/>
              </a:ln>
            </c:spPr>
            <c:showLegendKey val="0"/>
            <c:showVal val="1"/>
            <c:showCatName val="0"/>
            <c:showSerName val="0"/>
            <c:showPercent val="0"/>
            <c:showBubbleSize val="0"/>
            <c:showLeaderLines val="0"/>
          </c:dLbls>
          <c:cat>
            <c:strRef>
              <c:f>Hoja1!$A$2:$A$8</c:f>
              <c:strCache>
                <c:ptCount val="7"/>
                <c:pt idx="0">
                  <c:v>Soldata-doikuntza edota pertsonal- eta ordutegi-doikuntza edota lankidetza-akordioak</c:v>
                </c:pt>
                <c:pt idx="1">
                  <c:v>Soldata-doikuntza edota pertsonal- eta ordutegi-doikuntza</c:v>
                </c:pt>
                <c:pt idx="2">
                  <c:v>Pertsonal-doikuntza edota lankidetza-akordioak</c:v>
                </c:pt>
                <c:pt idx="3">
                  <c:v>Soldata-doikuntza edota lankidetza-akordioak</c:v>
                </c:pt>
                <c:pt idx="4">
                  <c:v>Pertsonal-doikuntza edota lankidetza-akordioak</c:v>
                </c:pt>
                <c:pt idx="5">
                  <c:v>Soldata-doikuntza</c:v>
                </c:pt>
                <c:pt idx="6">
                  <c:v>Kooperatiben arteko lankidetza-akordio solidarioak</c:v>
                </c:pt>
              </c:strCache>
            </c:strRef>
          </c:cat>
          <c:val>
            <c:numRef>
              <c:f>Hoja1!$B$2:$B$8</c:f>
              <c:numCache>
                <c:formatCode>General</c:formatCode>
                <c:ptCount val="7"/>
                <c:pt idx="0">
                  <c:v>50.7</c:v>
                </c:pt>
                <c:pt idx="1">
                  <c:v>50</c:v>
                </c:pt>
                <c:pt idx="2">
                  <c:v>39.1</c:v>
                </c:pt>
                <c:pt idx="3">
                  <c:v>37.6</c:v>
                </c:pt>
                <c:pt idx="4">
                  <c:v>36.9</c:v>
                </c:pt>
                <c:pt idx="5">
                  <c:v>35.300000000000004</c:v>
                </c:pt>
                <c:pt idx="6">
                  <c:v>6.7</c:v>
                </c:pt>
              </c:numCache>
            </c:numRef>
          </c:val>
        </c:ser>
        <c:dLbls>
          <c:showLegendKey val="0"/>
          <c:showVal val="0"/>
          <c:showCatName val="0"/>
          <c:showSerName val="0"/>
          <c:showPercent val="0"/>
          <c:showBubbleSize val="0"/>
        </c:dLbls>
        <c:gapWidth val="150"/>
        <c:axId val="107639936"/>
        <c:axId val="107641472"/>
      </c:barChart>
      <c:catAx>
        <c:axId val="107639936"/>
        <c:scaling>
          <c:orientation val="minMax"/>
        </c:scaling>
        <c:delete val="0"/>
        <c:axPos val="l"/>
        <c:numFmt formatCode="General" sourceLinked="1"/>
        <c:majorTickMark val="out"/>
        <c:minorTickMark val="none"/>
        <c:tickLblPos val="nextTo"/>
        <c:crossAx val="107641472"/>
        <c:crosses val="autoZero"/>
        <c:auto val="1"/>
        <c:lblAlgn val="ctr"/>
        <c:lblOffset val="100"/>
        <c:noMultiLvlLbl val="0"/>
      </c:catAx>
      <c:valAx>
        <c:axId val="107641472"/>
        <c:scaling>
          <c:orientation val="minMax"/>
        </c:scaling>
        <c:delete val="0"/>
        <c:axPos val="b"/>
        <c:majorGridlines>
          <c:spPr>
            <a:ln>
              <a:solidFill>
                <a:srgbClr val="C0C0C0"/>
              </a:solidFill>
            </a:ln>
          </c:spPr>
        </c:majorGridlines>
        <c:numFmt formatCode="General" sourceLinked="1"/>
        <c:majorTickMark val="out"/>
        <c:minorTickMark val="none"/>
        <c:tickLblPos val="nextTo"/>
        <c:crossAx val="107639936"/>
        <c:crosses val="autoZero"/>
        <c:crossBetween val="between"/>
      </c:valAx>
    </c:plotArea>
    <c:plotVisOnly val="1"/>
    <c:dispBlanksAs val="gap"/>
    <c:showDLblsOverMax val="0"/>
  </c:chart>
  <c:spPr>
    <a:ln>
      <a:noFill/>
    </a:ln>
  </c:spPr>
  <c:txPr>
    <a:bodyPr/>
    <a:lstStyle/>
    <a:p>
      <a:pPr>
        <a:defRPr sz="800">
          <a:latin typeface="Arial" pitchFamily="34" charset="0"/>
          <a:cs typeface="Arial" pitchFamily="34" charset="0"/>
        </a:defRPr>
      </a:pPr>
      <a:endParaRPr lang="es-ES"/>
    </a:p>
  </c:txPr>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52409550011067962"/>
          <c:y val="6.9565217391304404E-2"/>
          <c:w val="0.38625532049457678"/>
          <c:h val="0.81726577656054289"/>
        </c:manualLayout>
      </c:layout>
      <c:barChart>
        <c:barDir val="bar"/>
        <c:grouping val="clustered"/>
        <c:varyColors val="0"/>
        <c:ser>
          <c:idx val="0"/>
          <c:order val="0"/>
          <c:tx>
            <c:strRef>
              <c:f>Hoja1!$B$1</c:f>
              <c:strCache>
                <c:ptCount val="1"/>
                <c:pt idx="0">
                  <c:v>Serie 1</c:v>
                </c:pt>
              </c:strCache>
            </c:strRef>
          </c:tx>
          <c:invertIfNegative val="0"/>
          <c:dLbls>
            <c:dLbl>
              <c:idx val="0"/>
              <c:layout/>
              <c:tx>
                <c:rich>
                  <a:bodyPr/>
                  <a:lstStyle/>
                  <a:p>
                    <a:r>
                      <a:rPr lang="es-ES"/>
                      <a:t>% 28,8</a:t>
                    </a:r>
                  </a:p>
                </c:rich>
              </c:tx>
              <c:showLegendKey val="0"/>
              <c:showVal val="0"/>
              <c:showCatName val="0"/>
              <c:showSerName val="0"/>
              <c:showPercent val="0"/>
              <c:showBubbleSize val="0"/>
            </c:dLbl>
            <c:dLbl>
              <c:idx val="1"/>
              <c:layout/>
              <c:tx>
                <c:rich>
                  <a:bodyPr/>
                  <a:lstStyle/>
                  <a:p>
                    <a:r>
                      <a:rPr lang="es-ES"/>
                      <a:t>% 19,5</a:t>
                    </a:r>
                  </a:p>
                </c:rich>
              </c:tx>
              <c:showLegendKey val="0"/>
              <c:showVal val="0"/>
              <c:showCatName val="0"/>
              <c:showSerName val="0"/>
              <c:showPercent val="0"/>
              <c:showBubbleSize val="0"/>
            </c:dLbl>
            <c:dLbl>
              <c:idx val="2"/>
              <c:layout/>
              <c:tx>
                <c:rich>
                  <a:bodyPr/>
                  <a:lstStyle/>
                  <a:p>
                    <a:r>
                      <a:rPr lang="es-ES"/>
                      <a:t>% 3,4</a:t>
                    </a:r>
                  </a:p>
                </c:rich>
              </c:tx>
              <c:showLegendKey val="0"/>
              <c:showVal val="0"/>
              <c:showCatName val="0"/>
              <c:showSerName val="0"/>
              <c:showPercent val="0"/>
              <c:showBubbleSize val="0"/>
            </c:dLbl>
            <c:dLbl>
              <c:idx val="3"/>
              <c:layout/>
              <c:tx>
                <c:rich>
                  <a:bodyPr/>
                  <a:lstStyle/>
                  <a:p>
                    <a:r>
                      <a:rPr lang="es-ES"/>
                      <a:t>% 5</a:t>
                    </a:r>
                  </a:p>
                </c:rich>
              </c:tx>
              <c:showLegendKey val="0"/>
              <c:showVal val="0"/>
              <c:showCatName val="0"/>
              <c:showSerName val="0"/>
              <c:showPercent val="0"/>
              <c:showBubbleSize val="0"/>
            </c:dLbl>
            <c:spPr>
              <a:noFill/>
              <a:ln w="15241">
                <a:noFill/>
              </a:ln>
            </c:spPr>
            <c:showLegendKey val="0"/>
            <c:showVal val="1"/>
            <c:showCatName val="0"/>
            <c:showSerName val="0"/>
            <c:showPercent val="0"/>
            <c:showBubbleSize val="0"/>
            <c:showLeaderLines val="0"/>
          </c:dLbls>
          <c:cat>
            <c:strRef>
              <c:f>Hoja1!$A$2:$A$5</c:f>
              <c:strCache>
                <c:ptCount val="4"/>
                <c:pt idx="0">
                  <c:v>Hileko ordainsaria txikitzea</c:v>
                </c:pt>
                <c:pt idx="1">
                  <c:v>Aparteko ordainsaria txikitzea/kentzea</c:v>
                </c:pt>
                <c:pt idx="2">
                  <c:v>Bazkideen ekarpenen interesak kapitalizatzea</c:v>
                </c:pt>
                <c:pt idx="3">
                  <c:v>Beste batzuk</c:v>
                </c:pt>
              </c:strCache>
            </c:strRef>
          </c:cat>
          <c:val>
            <c:numRef>
              <c:f>Hoja1!$B$2:$B$5</c:f>
              <c:numCache>
                <c:formatCode>General</c:formatCode>
                <c:ptCount val="4"/>
                <c:pt idx="0">
                  <c:v>28.8</c:v>
                </c:pt>
                <c:pt idx="1">
                  <c:v>19.5</c:v>
                </c:pt>
                <c:pt idx="2">
                  <c:v>3.4</c:v>
                </c:pt>
                <c:pt idx="3">
                  <c:v>5</c:v>
                </c:pt>
              </c:numCache>
            </c:numRef>
          </c:val>
        </c:ser>
        <c:dLbls>
          <c:showLegendKey val="0"/>
          <c:showVal val="0"/>
          <c:showCatName val="0"/>
          <c:showSerName val="0"/>
          <c:showPercent val="0"/>
          <c:showBubbleSize val="0"/>
        </c:dLbls>
        <c:gapWidth val="150"/>
        <c:axId val="107784448"/>
        <c:axId val="107790336"/>
      </c:barChart>
      <c:catAx>
        <c:axId val="107784448"/>
        <c:scaling>
          <c:orientation val="minMax"/>
        </c:scaling>
        <c:delete val="0"/>
        <c:axPos val="l"/>
        <c:numFmt formatCode="General" sourceLinked="1"/>
        <c:majorTickMark val="out"/>
        <c:minorTickMark val="none"/>
        <c:tickLblPos val="nextTo"/>
        <c:crossAx val="107790336"/>
        <c:crosses val="autoZero"/>
        <c:auto val="1"/>
        <c:lblAlgn val="ctr"/>
        <c:lblOffset val="100"/>
        <c:noMultiLvlLbl val="0"/>
      </c:catAx>
      <c:valAx>
        <c:axId val="107790336"/>
        <c:scaling>
          <c:orientation val="minMax"/>
          <c:max val="30"/>
        </c:scaling>
        <c:delete val="0"/>
        <c:axPos val="b"/>
        <c:majorGridlines>
          <c:spPr>
            <a:ln>
              <a:solidFill>
                <a:schemeClr val="bg2"/>
              </a:solidFill>
            </a:ln>
          </c:spPr>
        </c:majorGridlines>
        <c:numFmt formatCode="General" sourceLinked="1"/>
        <c:majorTickMark val="out"/>
        <c:minorTickMark val="none"/>
        <c:tickLblPos val="nextTo"/>
        <c:crossAx val="107784448"/>
        <c:crosses val="autoZero"/>
        <c:crossBetween val="between"/>
      </c:valAx>
    </c:plotArea>
    <c:plotVisOnly val="1"/>
    <c:dispBlanksAs val="gap"/>
    <c:showDLblsOverMax val="0"/>
  </c:chart>
  <c:spPr>
    <a:ln>
      <a:noFill/>
    </a:ln>
  </c:spPr>
  <c:txPr>
    <a:bodyPr/>
    <a:lstStyle/>
    <a:p>
      <a:pPr>
        <a:defRPr sz="800">
          <a:latin typeface="Arial" pitchFamily="34" charset="0"/>
          <a:cs typeface="Arial" pitchFamily="34" charset="0"/>
        </a:defRPr>
      </a:pPr>
      <a:endParaRPr lang="es-ES"/>
    </a:p>
  </c:txPr>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52534562211981628"/>
          <c:y val="6.9518716577540121E-2"/>
          <c:w val="0.42165898617511532"/>
          <c:h val="0.78074866310160462"/>
        </c:manualLayout>
      </c:layout>
      <c:barChart>
        <c:barDir val="bar"/>
        <c:grouping val="clustered"/>
        <c:varyColors val="0"/>
        <c:ser>
          <c:idx val="0"/>
          <c:order val="0"/>
          <c:tx>
            <c:strRef>
              <c:f>Hoja1!$B$1</c:f>
              <c:strCache>
                <c:ptCount val="1"/>
                <c:pt idx="0">
                  <c:v>Serie 1</c:v>
                </c:pt>
              </c:strCache>
            </c:strRef>
          </c:tx>
          <c:invertIfNegative val="0"/>
          <c:dLbls>
            <c:dLbl>
              <c:idx val="0"/>
              <c:layout/>
              <c:tx>
                <c:rich>
                  <a:bodyPr/>
                  <a:lstStyle/>
                  <a:p>
                    <a:r>
                      <a:rPr lang="es-ES"/>
                      <a:t>% 23</a:t>
                    </a:r>
                  </a:p>
                </c:rich>
              </c:tx>
              <c:showLegendKey val="0"/>
              <c:showVal val="0"/>
              <c:showCatName val="0"/>
              <c:showSerName val="0"/>
              <c:showPercent val="0"/>
              <c:showBubbleSize val="0"/>
            </c:dLbl>
            <c:dLbl>
              <c:idx val="1"/>
              <c:layout/>
              <c:tx>
                <c:rich>
                  <a:bodyPr/>
                  <a:lstStyle/>
                  <a:p>
                    <a:r>
                      <a:rPr lang="es-ES"/>
                      <a:t>% 9,6</a:t>
                    </a:r>
                  </a:p>
                </c:rich>
              </c:tx>
              <c:showLegendKey val="0"/>
              <c:showVal val="0"/>
              <c:showCatName val="0"/>
              <c:showSerName val="0"/>
              <c:showPercent val="0"/>
              <c:showBubbleSize val="0"/>
            </c:dLbl>
            <c:dLbl>
              <c:idx val="2"/>
              <c:layout/>
              <c:tx>
                <c:rich>
                  <a:bodyPr/>
                  <a:lstStyle/>
                  <a:p>
                    <a:r>
                      <a:rPr lang="es-ES"/>
                      <a:t>% 8,6</a:t>
                    </a:r>
                  </a:p>
                </c:rich>
              </c:tx>
              <c:showLegendKey val="0"/>
              <c:showVal val="0"/>
              <c:showCatName val="0"/>
              <c:showSerName val="0"/>
              <c:showPercent val="0"/>
              <c:showBubbleSize val="0"/>
            </c:dLbl>
            <c:dLbl>
              <c:idx val="3"/>
              <c:layout/>
              <c:tx>
                <c:rich>
                  <a:bodyPr/>
                  <a:lstStyle/>
                  <a:p>
                    <a:r>
                      <a:rPr lang="es-ES"/>
                      <a:t>% 7,2</a:t>
                    </a:r>
                  </a:p>
                </c:rich>
              </c:tx>
              <c:showLegendKey val="0"/>
              <c:showVal val="0"/>
              <c:showCatName val="0"/>
              <c:showSerName val="0"/>
              <c:showPercent val="0"/>
              <c:showBubbleSize val="0"/>
            </c:dLbl>
            <c:dLbl>
              <c:idx val="4"/>
              <c:layout/>
              <c:tx>
                <c:rich>
                  <a:bodyPr/>
                  <a:lstStyle/>
                  <a:p>
                    <a:r>
                      <a:rPr lang="es-ES"/>
                      <a:t>% 6,5</a:t>
                    </a:r>
                  </a:p>
                </c:rich>
              </c:tx>
              <c:showLegendKey val="0"/>
              <c:showVal val="0"/>
              <c:showCatName val="0"/>
              <c:showSerName val="0"/>
              <c:showPercent val="0"/>
              <c:showBubbleSize val="0"/>
            </c:dLbl>
            <c:dLbl>
              <c:idx val="5"/>
              <c:layout/>
              <c:tx>
                <c:rich>
                  <a:bodyPr/>
                  <a:lstStyle/>
                  <a:p>
                    <a:r>
                      <a:rPr lang="es-ES"/>
                      <a:t>% 2,3</a:t>
                    </a:r>
                  </a:p>
                </c:rich>
              </c:tx>
              <c:showLegendKey val="0"/>
              <c:showVal val="0"/>
              <c:showCatName val="0"/>
              <c:showSerName val="0"/>
              <c:showPercent val="0"/>
              <c:showBubbleSize val="0"/>
            </c:dLbl>
            <c:spPr>
              <a:noFill/>
              <a:ln w="15858">
                <a:noFill/>
              </a:ln>
            </c:spPr>
            <c:showLegendKey val="0"/>
            <c:showVal val="1"/>
            <c:showCatName val="0"/>
            <c:showSerName val="0"/>
            <c:showPercent val="0"/>
            <c:showBubbleSize val="0"/>
            <c:showLeaderLines val="0"/>
          </c:dLbls>
          <c:cat>
            <c:strRef>
              <c:f>Hoja1!$A$2:$A$7</c:f>
              <c:strCache>
                <c:ptCount val="6"/>
                <c:pt idx="0">
                  <c:v>Soldatapekoak gutxitzea</c:v>
                </c:pt>
                <c:pt idx="1">
                  <c:v>Lanaldia laburtzea</c:v>
                </c:pt>
                <c:pt idx="2">
                  <c:v>Aurretiko erretiroak</c:v>
                </c:pt>
                <c:pt idx="3">
                  <c:v>Lan egindako orduak gehitzea</c:v>
                </c:pt>
                <c:pt idx="4">
                  <c:v>Egutegi mugikorra - Langileen urteko orduen poltsa sortzea</c:v>
                </c:pt>
                <c:pt idx="5">
                  <c:v>Beste batzuk</c:v>
                </c:pt>
              </c:strCache>
            </c:strRef>
          </c:cat>
          <c:val>
            <c:numRef>
              <c:f>Hoja1!$B$2:$B$7</c:f>
              <c:numCache>
                <c:formatCode>General</c:formatCode>
                <c:ptCount val="6"/>
                <c:pt idx="0">
                  <c:v>23</c:v>
                </c:pt>
                <c:pt idx="1">
                  <c:v>9.6</c:v>
                </c:pt>
                <c:pt idx="2">
                  <c:v>8.6</c:v>
                </c:pt>
                <c:pt idx="3">
                  <c:v>7.2</c:v>
                </c:pt>
                <c:pt idx="4">
                  <c:v>6.5</c:v>
                </c:pt>
                <c:pt idx="5">
                  <c:v>2.2999999999999998</c:v>
                </c:pt>
              </c:numCache>
            </c:numRef>
          </c:val>
        </c:ser>
        <c:dLbls>
          <c:showLegendKey val="0"/>
          <c:showVal val="0"/>
          <c:showCatName val="0"/>
          <c:showSerName val="0"/>
          <c:showPercent val="0"/>
          <c:showBubbleSize val="0"/>
        </c:dLbls>
        <c:gapWidth val="150"/>
        <c:axId val="107827200"/>
        <c:axId val="107828736"/>
      </c:barChart>
      <c:catAx>
        <c:axId val="107827200"/>
        <c:scaling>
          <c:orientation val="minMax"/>
        </c:scaling>
        <c:delete val="0"/>
        <c:axPos val="l"/>
        <c:numFmt formatCode="General" sourceLinked="1"/>
        <c:majorTickMark val="out"/>
        <c:minorTickMark val="none"/>
        <c:tickLblPos val="nextTo"/>
        <c:crossAx val="107828736"/>
        <c:crosses val="autoZero"/>
        <c:auto val="1"/>
        <c:lblAlgn val="ctr"/>
        <c:lblOffset val="100"/>
        <c:noMultiLvlLbl val="0"/>
      </c:catAx>
      <c:valAx>
        <c:axId val="107828736"/>
        <c:scaling>
          <c:orientation val="minMax"/>
        </c:scaling>
        <c:delete val="0"/>
        <c:axPos val="b"/>
        <c:majorGridlines>
          <c:spPr>
            <a:ln>
              <a:solidFill>
                <a:schemeClr val="bg2"/>
              </a:solidFill>
            </a:ln>
          </c:spPr>
        </c:majorGridlines>
        <c:numFmt formatCode="General" sourceLinked="1"/>
        <c:majorTickMark val="out"/>
        <c:minorTickMark val="none"/>
        <c:tickLblPos val="nextTo"/>
        <c:crossAx val="107827200"/>
        <c:crosses val="autoZero"/>
        <c:crossBetween val="between"/>
      </c:valAx>
    </c:plotArea>
    <c:plotVisOnly val="1"/>
    <c:dispBlanksAs val="gap"/>
    <c:showDLblsOverMax val="0"/>
  </c:chart>
  <c:spPr>
    <a:ln>
      <a:noFill/>
    </a:ln>
  </c:spPr>
  <c:txPr>
    <a:bodyPr/>
    <a:lstStyle/>
    <a:p>
      <a:pPr>
        <a:defRPr sz="800">
          <a:latin typeface="Arial" pitchFamily="34" charset="0"/>
          <a:cs typeface="Arial" pitchFamily="34" charset="0"/>
        </a:defRPr>
      </a:pPr>
      <a:endParaRPr lang="es-ES"/>
    </a:p>
  </c:txPr>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Hoja1!$B$1</c:f>
              <c:strCache>
                <c:ptCount val="1"/>
                <c:pt idx="0">
                  <c:v>Serie 1</c:v>
                </c:pt>
              </c:strCache>
            </c:strRef>
          </c:tx>
          <c:invertIfNegative val="0"/>
          <c:dLbls>
            <c:dLbl>
              <c:idx val="0"/>
              <c:layout/>
              <c:tx>
                <c:rich>
                  <a:bodyPr/>
                  <a:lstStyle/>
                  <a:p>
                    <a:r>
                      <a:rPr lang="es-ES"/>
                      <a:t>% 4,2</a:t>
                    </a:r>
                  </a:p>
                </c:rich>
              </c:tx>
              <c:showLegendKey val="0"/>
              <c:showVal val="0"/>
              <c:showCatName val="0"/>
              <c:showSerName val="0"/>
              <c:showPercent val="0"/>
              <c:showBubbleSize val="0"/>
            </c:dLbl>
            <c:dLbl>
              <c:idx val="1"/>
              <c:layout/>
              <c:tx>
                <c:rich>
                  <a:bodyPr/>
                  <a:lstStyle/>
                  <a:p>
                    <a:r>
                      <a:rPr lang="es-ES"/>
                      <a:t>% 3,6</a:t>
                    </a:r>
                  </a:p>
                </c:rich>
              </c:tx>
              <c:showLegendKey val="0"/>
              <c:showVal val="0"/>
              <c:showCatName val="0"/>
              <c:showSerName val="0"/>
              <c:showPercent val="0"/>
              <c:showBubbleSize val="0"/>
            </c:dLbl>
            <c:dLbl>
              <c:idx val="2"/>
              <c:layout/>
              <c:tx>
                <c:rich>
                  <a:bodyPr/>
                  <a:lstStyle/>
                  <a:p>
                    <a:r>
                      <a:rPr lang="es-ES"/>
                      <a:t>% 2,7</a:t>
                    </a:r>
                  </a:p>
                </c:rich>
              </c:tx>
              <c:showLegendKey val="0"/>
              <c:showVal val="0"/>
              <c:showCatName val="0"/>
              <c:showSerName val="0"/>
              <c:showPercent val="0"/>
              <c:showBubbleSize val="0"/>
            </c:dLbl>
            <c:dLbl>
              <c:idx val="3"/>
              <c:layout/>
              <c:tx>
                <c:rich>
                  <a:bodyPr/>
                  <a:lstStyle/>
                  <a:p>
                    <a:r>
                      <a:rPr lang="es-ES"/>
                      <a:t>% 0,3</a:t>
                    </a:r>
                  </a:p>
                </c:rich>
              </c:tx>
              <c:showLegendKey val="0"/>
              <c:showVal val="0"/>
              <c:showCatName val="0"/>
              <c:showSerName val="0"/>
              <c:showPercent val="0"/>
              <c:showBubbleSize val="0"/>
            </c:dLbl>
            <c:dLbl>
              <c:idx val="4"/>
              <c:layout/>
              <c:tx>
                <c:rich>
                  <a:bodyPr/>
                  <a:lstStyle/>
                  <a:p>
                    <a:r>
                      <a:rPr lang="es-ES"/>
                      <a:t>% 1</a:t>
                    </a:r>
                  </a:p>
                </c:rich>
              </c:tx>
              <c:showLegendKey val="0"/>
              <c:showVal val="0"/>
              <c:showCatName val="0"/>
              <c:showSerName val="0"/>
              <c:showPercent val="0"/>
              <c:showBubbleSize val="0"/>
            </c:dLbl>
            <c:spPr>
              <a:noFill/>
              <a:ln w="16060">
                <a:noFill/>
              </a:ln>
            </c:spPr>
            <c:showLegendKey val="0"/>
            <c:showVal val="1"/>
            <c:showCatName val="0"/>
            <c:showSerName val="0"/>
            <c:showPercent val="0"/>
            <c:showBubbleSize val="0"/>
            <c:showLeaderLines val="0"/>
          </c:dLbls>
          <c:cat>
            <c:strRef>
              <c:f>Hoja1!$A$2:$A$6</c:f>
              <c:strCache>
                <c:ptCount val="5"/>
                <c:pt idx="0">
                  <c:v>Enpresak taldeko beste enpresa batzuetako langileak hartzea</c:v>
                </c:pt>
                <c:pt idx="1">
                  <c:v>Soberako langileak taldeko EAEko beste enpresa batzuetan, enpresa aliatuetan edo enpresa laguntzaileetan birkokatzea</c:v>
                </c:pt>
                <c:pt idx="2">
                  <c:v>Enplegu-soberakinak eta aplikatu gabeko orduak finantziazio-fondo komun batean sartzea</c:v>
                </c:pt>
                <c:pt idx="3">
                  <c:v>Soberako langileak EAEtik kanpo birkokatzea, taldeko beste enpresa batzuetan, enpresa aliatuetan edo enpresa laguntzaileetan</c:v>
                </c:pt>
                <c:pt idx="4">
                  <c:v>Beste batzuk</c:v>
                </c:pt>
              </c:strCache>
            </c:strRef>
          </c:cat>
          <c:val>
            <c:numRef>
              <c:f>Hoja1!$B$2:$B$6</c:f>
              <c:numCache>
                <c:formatCode>General</c:formatCode>
                <c:ptCount val="5"/>
                <c:pt idx="0">
                  <c:v>4.2</c:v>
                </c:pt>
                <c:pt idx="1">
                  <c:v>3.6</c:v>
                </c:pt>
                <c:pt idx="2">
                  <c:v>2.7</c:v>
                </c:pt>
                <c:pt idx="3">
                  <c:v>0.30000000000000027</c:v>
                </c:pt>
                <c:pt idx="4">
                  <c:v>1</c:v>
                </c:pt>
              </c:numCache>
            </c:numRef>
          </c:val>
        </c:ser>
        <c:dLbls>
          <c:showLegendKey val="0"/>
          <c:showVal val="0"/>
          <c:showCatName val="0"/>
          <c:showSerName val="0"/>
          <c:showPercent val="0"/>
          <c:showBubbleSize val="0"/>
        </c:dLbls>
        <c:gapWidth val="150"/>
        <c:axId val="107922560"/>
        <c:axId val="107924096"/>
      </c:barChart>
      <c:catAx>
        <c:axId val="107922560"/>
        <c:scaling>
          <c:orientation val="minMax"/>
        </c:scaling>
        <c:delete val="0"/>
        <c:axPos val="l"/>
        <c:numFmt formatCode="General" sourceLinked="1"/>
        <c:majorTickMark val="out"/>
        <c:minorTickMark val="none"/>
        <c:tickLblPos val="nextTo"/>
        <c:crossAx val="107924096"/>
        <c:crosses val="autoZero"/>
        <c:auto val="1"/>
        <c:lblAlgn val="ctr"/>
        <c:lblOffset val="100"/>
        <c:noMultiLvlLbl val="0"/>
      </c:catAx>
      <c:valAx>
        <c:axId val="107924096"/>
        <c:scaling>
          <c:orientation val="minMax"/>
        </c:scaling>
        <c:delete val="0"/>
        <c:axPos val="b"/>
        <c:majorGridlines>
          <c:spPr>
            <a:ln>
              <a:solidFill>
                <a:schemeClr val="bg2"/>
              </a:solidFill>
            </a:ln>
          </c:spPr>
        </c:majorGridlines>
        <c:numFmt formatCode="General" sourceLinked="1"/>
        <c:majorTickMark val="out"/>
        <c:minorTickMark val="none"/>
        <c:tickLblPos val="nextTo"/>
        <c:crossAx val="107922560"/>
        <c:crosses val="autoZero"/>
        <c:crossBetween val="between"/>
      </c:valAx>
    </c:plotArea>
    <c:plotVisOnly val="1"/>
    <c:dispBlanksAs val="gap"/>
    <c:showDLblsOverMax val="0"/>
  </c:chart>
  <c:spPr>
    <a:ln>
      <a:noFill/>
    </a:ln>
  </c:spPr>
  <c:txPr>
    <a:bodyPr/>
    <a:lstStyle/>
    <a:p>
      <a:pPr>
        <a:defRPr sz="800">
          <a:latin typeface="Arial" pitchFamily="34" charset="0"/>
          <a:cs typeface="Arial" pitchFamily="34" charset="0"/>
        </a:defRPr>
      </a:pPr>
      <a:endParaRPr lang="es-ES"/>
    </a:p>
  </c:txPr>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0"/>
    <c:plotArea>
      <c:layout>
        <c:manualLayout>
          <c:layoutTarget val="inner"/>
          <c:xMode val="edge"/>
          <c:yMode val="edge"/>
          <c:x val="0.31091208784897822"/>
          <c:y val="6.6551017060367451E-2"/>
          <c:w val="0.62172676993056397"/>
          <c:h val="0.80100311679790026"/>
        </c:manualLayout>
      </c:layout>
      <c:barChart>
        <c:barDir val="bar"/>
        <c:grouping val="clustered"/>
        <c:varyColors val="0"/>
        <c:ser>
          <c:idx val="0"/>
          <c:order val="0"/>
          <c:invertIfNegative val="0"/>
          <c:dLbls>
            <c:dLbl>
              <c:idx val="0"/>
              <c:layout/>
              <c:tx>
                <c:rich>
                  <a:bodyPr/>
                  <a:lstStyle/>
                  <a:p>
                    <a:r>
                      <a:rPr lang="en-US" b="0"/>
                      <a:t>%61,5</a:t>
                    </a:r>
                  </a:p>
                </c:rich>
              </c:tx>
              <c:showLegendKey val="0"/>
              <c:showVal val="1"/>
              <c:showCatName val="0"/>
              <c:showSerName val="0"/>
              <c:showPercent val="0"/>
              <c:showBubbleSize val="0"/>
            </c:dLbl>
            <c:dLbl>
              <c:idx val="1"/>
              <c:layout/>
              <c:tx>
                <c:rich>
                  <a:bodyPr/>
                  <a:lstStyle/>
                  <a:p>
                    <a:r>
                      <a:rPr lang="en-US" b="0"/>
                      <a:t>%39,2</a:t>
                    </a:r>
                  </a:p>
                </c:rich>
              </c:tx>
              <c:showLegendKey val="0"/>
              <c:showVal val="1"/>
              <c:showCatName val="0"/>
              <c:showSerName val="0"/>
              <c:showPercent val="0"/>
              <c:showBubbleSize val="0"/>
            </c:dLbl>
            <c:dLbl>
              <c:idx val="2"/>
              <c:layout/>
              <c:tx>
                <c:rich>
                  <a:bodyPr/>
                  <a:lstStyle/>
                  <a:p>
                    <a:r>
                      <a:rPr lang="en-US" b="0"/>
                      <a:t>%15,9</a:t>
                    </a:r>
                  </a:p>
                </c:rich>
              </c:tx>
              <c:showLegendKey val="0"/>
              <c:showVal val="1"/>
              <c:showCatName val="0"/>
              <c:showSerName val="0"/>
              <c:showPercent val="0"/>
              <c:showBubbleSize val="0"/>
            </c:dLbl>
            <c:dLbl>
              <c:idx val="3"/>
              <c:layout/>
              <c:tx>
                <c:rich>
                  <a:bodyPr/>
                  <a:lstStyle/>
                  <a:p>
                    <a:r>
                      <a:rPr lang="en-US" b="0"/>
                      <a:t>%6,6</a:t>
                    </a:r>
                  </a:p>
                </c:rich>
              </c:tx>
              <c:showLegendKey val="0"/>
              <c:showVal val="1"/>
              <c:showCatName val="0"/>
              <c:showSerName val="0"/>
              <c:showPercent val="0"/>
              <c:showBubbleSize val="0"/>
            </c:dLbl>
            <c:dLbl>
              <c:idx val="4"/>
              <c:layout/>
              <c:tx>
                <c:rich>
                  <a:bodyPr/>
                  <a:lstStyle/>
                  <a:p>
                    <a:r>
                      <a:rPr lang="en-US" b="0"/>
                      <a:t>%1,8</a:t>
                    </a:r>
                  </a:p>
                </c:rich>
              </c:tx>
              <c:showLegendKey val="0"/>
              <c:showVal val="1"/>
              <c:showCatName val="0"/>
              <c:showSerName val="0"/>
              <c:showPercent val="0"/>
              <c:showBubbleSize val="0"/>
            </c:dLbl>
            <c:dLbl>
              <c:idx val="5"/>
              <c:layout>
                <c:manualLayout>
                  <c:x val="1.4587892049598835E-2"/>
                  <c:y val="0"/>
                </c:manualLayout>
              </c:layout>
              <c:tx>
                <c:rich>
                  <a:bodyPr/>
                  <a:lstStyle/>
                  <a:p>
                    <a:r>
                      <a:rPr lang="en-US" b="0"/>
                      <a:t>%12,9</a:t>
                    </a:r>
                  </a:p>
                </c:rich>
              </c:tx>
              <c:showLegendKey val="0"/>
              <c:showVal val="1"/>
              <c:showCatName val="0"/>
              <c:showSerName val="0"/>
              <c:showPercent val="0"/>
              <c:showBubbleSize val="0"/>
            </c:dLbl>
            <c:numFmt formatCode="0.0%" sourceLinked="0"/>
            <c:txPr>
              <a:bodyPr/>
              <a:lstStyle/>
              <a:p>
                <a:pPr>
                  <a:defRPr sz="800" b="0">
                    <a:latin typeface="Arial" pitchFamily="34" charset="0"/>
                    <a:cs typeface="Arial" pitchFamily="34" charset="0"/>
                  </a:defRPr>
                </a:pPr>
                <a:endParaRPr lang="es-ES"/>
              </a:p>
            </c:txPr>
            <c:showLegendKey val="0"/>
            <c:showVal val="1"/>
            <c:showCatName val="0"/>
            <c:showSerName val="0"/>
            <c:showPercent val="0"/>
            <c:showBubbleSize val="0"/>
            <c:showLeaderLines val="0"/>
          </c:dLbls>
          <c:cat>
            <c:strRef>
              <c:f>INTERCOOPERACION!$A$15:$A$20</c:f>
              <c:strCache>
                <c:ptCount val="6"/>
                <c:pt idx="0">
                  <c:v>Unean uneko lankidetzak</c:v>
                </c:pt>
                <c:pt idx="1">
                  <c:v>Aliantza estrategikoak</c:v>
                </c:pt>
                <c:pt idx="2">
                  <c:v>Bigarren mailako kooperatibak</c:v>
                </c:pt>
                <c:pt idx="3">
                  <c:v>Akzio-trukea</c:v>
                </c:pt>
                <c:pt idx="4">
                  <c:v>Joint Venture</c:v>
                </c:pt>
                <c:pt idx="5">
                  <c:v>Beste batzuk</c:v>
                </c:pt>
              </c:strCache>
            </c:strRef>
          </c:cat>
          <c:val>
            <c:numRef>
              <c:f>INTERCOOPERACION!$D$15:$D$20</c:f>
              <c:numCache>
                <c:formatCode>General</c:formatCode>
                <c:ptCount val="6"/>
                <c:pt idx="0">
                  <c:v>0.61500000000000044</c:v>
                </c:pt>
                <c:pt idx="1">
                  <c:v>0.39200000000000035</c:v>
                </c:pt>
                <c:pt idx="2">
                  <c:v>0.15900000000000011</c:v>
                </c:pt>
                <c:pt idx="3">
                  <c:v>6.6000000000000003E-2</c:v>
                </c:pt>
                <c:pt idx="4">
                  <c:v>1.7999999999999999E-2</c:v>
                </c:pt>
                <c:pt idx="5">
                  <c:v>0.129</c:v>
                </c:pt>
              </c:numCache>
            </c:numRef>
          </c:val>
        </c:ser>
        <c:dLbls>
          <c:showLegendKey val="0"/>
          <c:showVal val="0"/>
          <c:showCatName val="0"/>
          <c:showSerName val="0"/>
          <c:showPercent val="0"/>
          <c:showBubbleSize val="0"/>
        </c:dLbls>
        <c:gapWidth val="150"/>
        <c:axId val="107948288"/>
        <c:axId val="107970560"/>
      </c:barChart>
      <c:catAx>
        <c:axId val="107948288"/>
        <c:scaling>
          <c:orientation val="minMax"/>
        </c:scaling>
        <c:delete val="0"/>
        <c:axPos val="l"/>
        <c:majorTickMark val="out"/>
        <c:minorTickMark val="none"/>
        <c:tickLblPos val="nextTo"/>
        <c:txPr>
          <a:bodyPr/>
          <a:lstStyle/>
          <a:p>
            <a:pPr>
              <a:defRPr sz="800">
                <a:latin typeface="Arial" pitchFamily="34" charset="0"/>
                <a:cs typeface="Arial" pitchFamily="34" charset="0"/>
              </a:defRPr>
            </a:pPr>
            <a:endParaRPr lang="es-ES"/>
          </a:p>
        </c:txPr>
        <c:crossAx val="107970560"/>
        <c:crosses val="autoZero"/>
        <c:auto val="1"/>
        <c:lblAlgn val="ctr"/>
        <c:lblOffset val="100"/>
        <c:noMultiLvlLbl val="0"/>
      </c:catAx>
      <c:valAx>
        <c:axId val="107970560"/>
        <c:scaling>
          <c:orientation val="minMax"/>
        </c:scaling>
        <c:delete val="0"/>
        <c:axPos val="b"/>
        <c:majorGridlines>
          <c:spPr>
            <a:ln>
              <a:solidFill>
                <a:schemeClr val="bg1">
                  <a:lumMod val="75000"/>
                </a:schemeClr>
              </a:solidFill>
            </a:ln>
          </c:spPr>
        </c:majorGridlines>
        <c:numFmt formatCode="0%" sourceLinked="0"/>
        <c:majorTickMark val="out"/>
        <c:minorTickMark val="none"/>
        <c:tickLblPos val="nextTo"/>
        <c:txPr>
          <a:bodyPr/>
          <a:lstStyle/>
          <a:p>
            <a:pPr>
              <a:defRPr sz="800">
                <a:latin typeface="Arial" pitchFamily="34" charset="0"/>
                <a:cs typeface="Arial" pitchFamily="34" charset="0"/>
              </a:defRPr>
            </a:pPr>
            <a:endParaRPr lang="es-ES"/>
          </a:p>
        </c:txPr>
        <c:crossAx val="107948288"/>
        <c:crosses val="autoZero"/>
        <c:crossBetween val="between"/>
      </c:valAx>
    </c:plotArea>
    <c:plotVisOnly val="1"/>
    <c:dispBlanksAs val="gap"/>
    <c:showDLblsOverMax val="0"/>
  </c:chart>
  <c:spPr>
    <a:ln>
      <a:noFill/>
    </a:ln>
  </c:sp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0.31757760108837374"/>
          <c:y val="0.17266429931552674"/>
          <c:w val="0.37765858729761709"/>
          <c:h val="0.75716844218002355"/>
        </c:manualLayout>
      </c:layout>
      <c:pieChart>
        <c:varyColors val="1"/>
        <c:ser>
          <c:idx val="0"/>
          <c:order val="0"/>
          <c:tx>
            <c:strRef>
              <c:f>Resumen_Estab_Empleo!$A$6</c:f>
              <c:strCache>
                <c:ptCount val="1"/>
                <c:pt idx="0">
                  <c:v>Empleo</c:v>
                </c:pt>
              </c:strCache>
            </c:strRef>
          </c:tx>
          <c:dLbls>
            <c:dLbl>
              <c:idx val="0"/>
              <c:layout>
                <c:manualLayout>
                  <c:x val="6.1618312380878955E-2"/>
                  <c:y val="2.6143790849673307E-2"/>
                </c:manualLayout>
              </c:layout>
              <c:tx>
                <c:rich>
                  <a:bodyPr/>
                  <a:lstStyle/>
                  <a:p>
                    <a:r>
                      <a:rPr lang="en-US"/>
                      <a:t>Araba
800
%8,5</a:t>
                    </a:r>
                  </a:p>
                </c:rich>
              </c:tx>
              <c:showLegendKey val="0"/>
              <c:showVal val="1"/>
              <c:showCatName val="1"/>
              <c:showSerName val="0"/>
              <c:showPercent val="1"/>
              <c:showBubbleSize val="0"/>
            </c:dLbl>
            <c:dLbl>
              <c:idx val="1"/>
              <c:layout>
                <c:manualLayout>
                  <c:x val="5.4230213888300849E-2"/>
                  <c:y val="-7.9044825279193043E-2"/>
                </c:manualLayout>
              </c:layout>
              <c:tx>
                <c:rich>
                  <a:bodyPr/>
                  <a:lstStyle/>
                  <a:p>
                    <a:r>
                      <a:rPr lang="en-US"/>
                      <a:t>Bizkaia
3.638
%38,8</a:t>
                    </a:r>
                  </a:p>
                </c:rich>
              </c:tx>
              <c:showLegendKey val="0"/>
              <c:showVal val="1"/>
              <c:showCatName val="1"/>
              <c:showSerName val="0"/>
              <c:showPercent val="1"/>
              <c:showBubbleSize val="0"/>
            </c:dLbl>
            <c:dLbl>
              <c:idx val="2"/>
              <c:layout>
                <c:manualLayout>
                  <c:x val="-3.9233005409776325E-2"/>
                  <c:y val="-0.17665380062786271"/>
                </c:manualLayout>
              </c:layout>
              <c:tx>
                <c:rich>
                  <a:bodyPr/>
                  <a:lstStyle/>
                  <a:p>
                    <a:r>
                      <a:rPr lang="en-US"/>
                      <a:t>Gipuzkoa
4.930
%52,6</a:t>
                    </a:r>
                  </a:p>
                </c:rich>
              </c:tx>
              <c:showLegendKey val="0"/>
              <c:showVal val="1"/>
              <c:showCatName val="1"/>
              <c:showSerName val="0"/>
              <c:showPercent val="1"/>
              <c:showBubbleSize val="0"/>
            </c:dLbl>
            <c:numFmt formatCode="0.0%" sourceLinked="0"/>
            <c:txPr>
              <a:bodyPr/>
              <a:lstStyle/>
              <a:p>
                <a:pPr>
                  <a:defRPr sz="800">
                    <a:latin typeface="Arial" pitchFamily="34" charset="0"/>
                    <a:cs typeface="Arial" pitchFamily="34" charset="0"/>
                  </a:defRPr>
                </a:pPr>
                <a:endParaRPr lang="es-ES"/>
              </a:p>
            </c:txPr>
            <c:showLegendKey val="0"/>
            <c:showVal val="1"/>
            <c:showCatName val="1"/>
            <c:showSerName val="0"/>
            <c:showPercent val="1"/>
            <c:showBubbleSize val="0"/>
            <c:showLeaderLines val="1"/>
          </c:dLbls>
          <c:cat>
            <c:strRef>
              <c:f>Resumen_Estab_Empleo!$B$4:$D$4</c:f>
              <c:strCache>
                <c:ptCount val="3"/>
                <c:pt idx="0">
                  <c:v>Araba</c:v>
                </c:pt>
                <c:pt idx="1">
                  <c:v>Bizkaia</c:v>
                </c:pt>
                <c:pt idx="2">
                  <c:v>Gipuzkoa</c:v>
                </c:pt>
              </c:strCache>
            </c:strRef>
          </c:cat>
          <c:val>
            <c:numRef>
              <c:f>Resumen_Estab_Empleo!$B$6:$D$6</c:f>
              <c:numCache>
                <c:formatCode>#,##0</c:formatCode>
                <c:ptCount val="3"/>
                <c:pt idx="0">
                  <c:v>800.35333333333335</c:v>
                </c:pt>
                <c:pt idx="1">
                  <c:v>3637.71</c:v>
                </c:pt>
                <c:pt idx="2">
                  <c:v>4929.6666666667115</c:v>
                </c:pt>
              </c:numCache>
            </c:numRef>
          </c:val>
        </c:ser>
        <c:dLbls>
          <c:showLegendKey val="0"/>
          <c:showVal val="0"/>
          <c:showCatName val="0"/>
          <c:showSerName val="0"/>
          <c:showPercent val="0"/>
          <c:showBubbleSize val="0"/>
          <c:showLeaderLines val="1"/>
        </c:dLbls>
        <c:firstSliceAng val="0"/>
      </c:pieChart>
    </c:plotArea>
    <c:plotVisOnly val="1"/>
    <c:dispBlanksAs val="gap"/>
    <c:showDLblsOverMax val="0"/>
  </c:chart>
  <c:spPr>
    <a:ln>
      <a:noFill/>
    </a:ln>
  </c:sp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ES" sz="900" b="1" i="0" u="none" strike="noStrike" baseline="0"/>
              <a:t>ESTABLEZIMENDUAK</a:t>
            </a:r>
            <a:endParaRPr lang="es-ES" sz="900"/>
          </a:p>
        </c:rich>
      </c:tx>
      <c:layout>
        <c:manualLayout>
          <c:xMode val="edge"/>
          <c:yMode val="edge"/>
          <c:x val="0.38966202783300563"/>
          <c:y val="2.1978021978022001E-2"/>
        </c:manualLayout>
      </c:layout>
      <c:overlay val="0"/>
    </c:title>
    <c:autoTitleDeleted val="0"/>
    <c:plotArea>
      <c:layout>
        <c:manualLayout>
          <c:layoutTarget val="inner"/>
          <c:xMode val="edge"/>
          <c:yMode val="edge"/>
          <c:x val="8.5487077534791192E-2"/>
          <c:y val="0.24175824175824354"/>
          <c:w val="0.89463220675944355"/>
          <c:h val="0.57142857142857995"/>
        </c:manualLayout>
      </c:layout>
      <c:barChart>
        <c:barDir val="col"/>
        <c:grouping val="clustered"/>
        <c:varyColors val="0"/>
        <c:ser>
          <c:idx val="0"/>
          <c:order val="0"/>
          <c:tx>
            <c:strRef>
              <c:f>Sheet1!$A$2</c:f>
              <c:strCache>
                <c:ptCount val="1"/>
              </c:strCache>
            </c:strRef>
          </c:tx>
          <c:spPr>
            <a:solidFill>
              <a:schemeClr val="accent1"/>
            </a:solidFill>
          </c:spPr>
          <c:invertIfNegative val="0"/>
          <c:dLbls>
            <c:dLbl>
              <c:idx val="0"/>
              <c:layout>
                <c:manualLayout>
                  <c:x val="1.0709989395876383E-2"/>
                  <c:y val="-4.9949519531212364E-2"/>
                </c:manualLayout>
              </c:layout>
              <c:showLegendKey val="0"/>
              <c:showVal val="1"/>
              <c:showCatName val="0"/>
              <c:showSerName val="0"/>
              <c:showPercent val="0"/>
              <c:showBubbleSize val="0"/>
            </c:dLbl>
            <c:dLbl>
              <c:idx val="1"/>
              <c:layout>
                <c:manualLayout>
                  <c:x val="6.4456502065731421E-3"/>
                  <c:y val="-4.5885328035918514E-2"/>
                </c:manualLayout>
              </c:layout>
              <c:showLegendKey val="0"/>
              <c:showVal val="1"/>
              <c:showCatName val="0"/>
              <c:showSerName val="0"/>
              <c:showPercent val="0"/>
              <c:showBubbleSize val="0"/>
            </c:dLbl>
            <c:dLbl>
              <c:idx val="2"/>
              <c:layout>
                <c:manualLayout>
                  <c:x val="8.1455257289995125E-3"/>
                  <c:y val="-3.7638582436811042E-2"/>
                </c:manualLayout>
              </c:layout>
              <c:showLegendKey val="0"/>
              <c:showVal val="1"/>
              <c:showCatName val="0"/>
              <c:showSerName val="0"/>
              <c:showPercent val="0"/>
              <c:showBubbleSize val="0"/>
            </c:dLbl>
            <c:dLbl>
              <c:idx val="3"/>
              <c:layout>
                <c:manualLayout>
                  <c:x val="5.8692581102728555E-3"/>
                  <c:y val="-2.7539183803947601E-2"/>
                </c:manualLayout>
              </c:layout>
              <c:showLegendKey val="0"/>
              <c:showVal val="1"/>
              <c:showCatName val="0"/>
              <c:showSerName val="0"/>
              <c:showPercent val="0"/>
              <c:showBubbleSize val="0"/>
            </c:dLbl>
            <c:dLbl>
              <c:idx val="4"/>
              <c:layout>
                <c:manualLayout>
                  <c:x val="3.5929904915460251E-3"/>
                  <c:y val="-3.237172877428781E-2"/>
                </c:manualLayout>
              </c:layout>
              <c:showLegendKey val="0"/>
              <c:showVal val="1"/>
              <c:showCatName val="0"/>
              <c:showSerName val="0"/>
              <c:showPercent val="0"/>
              <c:showBubbleSize val="0"/>
            </c:dLbl>
            <c:dLbl>
              <c:idx val="5"/>
              <c:layout>
                <c:manualLayout>
                  <c:x val="9.2690091551257455E-3"/>
                  <c:y val="-4.1526395738994207E-2"/>
                </c:manualLayout>
              </c:layout>
              <c:showLegendKey val="0"/>
              <c:showVal val="1"/>
              <c:showCatName val="0"/>
              <c:showSerName val="0"/>
              <c:showPercent val="0"/>
              <c:showBubbleSize val="0"/>
            </c:dLbl>
            <c:dLbl>
              <c:idx val="6"/>
              <c:layout>
                <c:manualLayout>
                  <c:x val="5.0046699658222544E-3"/>
                  <c:y val="-2.7656452799169402E-2"/>
                </c:manualLayout>
              </c:layout>
              <c:showLegendKey val="0"/>
              <c:showVal val="1"/>
              <c:showCatName val="0"/>
              <c:showSerName val="0"/>
              <c:showPercent val="0"/>
              <c:showBubbleSize val="0"/>
            </c:dLbl>
            <c:dLbl>
              <c:idx val="7"/>
              <c:layout>
                <c:manualLayout>
                  <c:x val="6.7045454882487124E-3"/>
                  <c:y val="-4.7546736946344294E-2"/>
                </c:manualLayout>
              </c:layout>
              <c:showLegendKey val="0"/>
              <c:showVal val="1"/>
              <c:showCatName val="0"/>
              <c:showSerName val="0"/>
              <c:showPercent val="0"/>
              <c:showBubbleSize val="0"/>
            </c:dLbl>
            <c:dLbl>
              <c:idx val="8"/>
              <c:layout>
                <c:manualLayout>
                  <c:x val="6.4163494400985956E-3"/>
                  <c:y val="-3.511798405007064E-2"/>
                </c:manualLayout>
              </c:layout>
              <c:showLegendKey val="0"/>
              <c:showVal val="1"/>
              <c:showCatName val="0"/>
              <c:showSerName val="0"/>
              <c:showPercent val="0"/>
              <c:showBubbleSize val="0"/>
            </c:dLbl>
            <c:dLbl>
              <c:idx val="9"/>
              <c:layout>
                <c:manualLayout>
                  <c:x val="6.1281533919482021E-3"/>
                  <c:y val="-1.9023084854777841E-2"/>
                </c:manualLayout>
              </c:layout>
              <c:tx>
                <c:rich>
                  <a:bodyPr/>
                  <a:lstStyle/>
                  <a:p>
                    <a:r>
                      <a:rPr lang="es-ES" b="1"/>
                      <a:t>3.078</a:t>
                    </a:r>
                  </a:p>
                </c:rich>
              </c:tx>
              <c:showLegendKey val="0"/>
              <c:showVal val="0"/>
              <c:showCatName val="0"/>
              <c:showSerName val="0"/>
              <c:showPercent val="0"/>
              <c:showBubbleSize val="0"/>
            </c:dLbl>
            <c:txPr>
              <a:bodyPr/>
              <a:lstStyle/>
              <a:p>
                <a:pPr>
                  <a:defRPr b="1"/>
                </a:pPr>
                <a:endParaRPr lang="es-ES"/>
              </a:p>
            </c:txPr>
            <c:showLegendKey val="0"/>
            <c:showVal val="1"/>
            <c:showCatName val="0"/>
            <c:showSerName val="0"/>
            <c:showPercent val="0"/>
            <c:showBubbleSize val="0"/>
            <c:showLeaderLines val="0"/>
          </c:dLbls>
          <c:cat>
            <c:numRef>
              <c:f>Sheet1!$B$1:$K$1</c:f>
              <c:numCache>
                <c:formatCode>General</c:formatCode>
                <c:ptCount val="10"/>
                <c:pt idx="0">
                  <c:v>1994</c:v>
                </c:pt>
                <c:pt idx="1">
                  <c:v>1996</c:v>
                </c:pt>
                <c:pt idx="2">
                  <c:v>1998</c:v>
                </c:pt>
                <c:pt idx="3">
                  <c:v>2000</c:v>
                </c:pt>
                <c:pt idx="4">
                  <c:v>2002</c:v>
                </c:pt>
                <c:pt idx="5">
                  <c:v>2004</c:v>
                </c:pt>
                <c:pt idx="6">
                  <c:v>2006</c:v>
                </c:pt>
                <c:pt idx="7">
                  <c:v>2008</c:v>
                </c:pt>
                <c:pt idx="8">
                  <c:v>2010</c:v>
                </c:pt>
                <c:pt idx="9">
                  <c:v>2012</c:v>
                </c:pt>
              </c:numCache>
            </c:numRef>
          </c:cat>
          <c:val>
            <c:numRef>
              <c:f>Sheet1!$B$2:$K$2</c:f>
              <c:numCache>
                <c:formatCode>#,##0</c:formatCode>
                <c:ptCount val="10"/>
                <c:pt idx="0">
                  <c:v>1918</c:v>
                </c:pt>
                <c:pt idx="1">
                  <c:v>2117</c:v>
                </c:pt>
                <c:pt idx="2">
                  <c:v>2222</c:v>
                </c:pt>
                <c:pt idx="3">
                  <c:v>2803</c:v>
                </c:pt>
                <c:pt idx="4">
                  <c:v>2976</c:v>
                </c:pt>
                <c:pt idx="5">
                  <c:v>3032</c:v>
                </c:pt>
                <c:pt idx="6">
                  <c:v>3096</c:v>
                </c:pt>
                <c:pt idx="7">
                  <c:v>2986</c:v>
                </c:pt>
                <c:pt idx="8">
                  <c:v>2997</c:v>
                </c:pt>
                <c:pt idx="9" formatCode="General">
                  <c:v>3078</c:v>
                </c:pt>
              </c:numCache>
            </c:numRef>
          </c:val>
        </c:ser>
        <c:dLbls>
          <c:showLegendKey val="0"/>
          <c:showVal val="0"/>
          <c:showCatName val="0"/>
          <c:showSerName val="0"/>
          <c:showPercent val="0"/>
          <c:showBubbleSize val="0"/>
        </c:dLbls>
        <c:gapWidth val="150"/>
        <c:axId val="108001536"/>
        <c:axId val="105938944"/>
      </c:barChart>
      <c:catAx>
        <c:axId val="108001536"/>
        <c:scaling>
          <c:orientation val="minMax"/>
        </c:scaling>
        <c:delete val="0"/>
        <c:axPos val="b"/>
        <c:numFmt formatCode="General" sourceLinked="1"/>
        <c:majorTickMark val="out"/>
        <c:minorTickMark val="none"/>
        <c:tickLblPos val="low"/>
        <c:txPr>
          <a:bodyPr rot="0" vert="horz"/>
          <a:lstStyle/>
          <a:p>
            <a:pPr>
              <a:defRPr/>
            </a:pPr>
            <a:endParaRPr lang="es-ES"/>
          </a:p>
        </c:txPr>
        <c:crossAx val="105938944"/>
        <c:crosses val="autoZero"/>
        <c:auto val="1"/>
        <c:lblAlgn val="ctr"/>
        <c:lblOffset val="100"/>
        <c:tickLblSkip val="1"/>
        <c:tickMarkSkip val="1"/>
        <c:noMultiLvlLbl val="0"/>
      </c:catAx>
      <c:valAx>
        <c:axId val="105938944"/>
        <c:scaling>
          <c:orientation val="minMax"/>
          <c:max val="4000"/>
        </c:scaling>
        <c:delete val="0"/>
        <c:axPos val="l"/>
        <c:majorGridlines>
          <c:spPr>
            <a:ln>
              <a:solidFill>
                <a:srgbClr val="C0C0C0"/>
              </a:solidFill>
            </a:ln>
          </c:spPr>
        </c:majorGridlines>
        <c:numFmt formatCode="#,##0" sourceLinked="1"/>
        <c:majorTickMark val="out"/>
        <c:minorTickMark val="none"/>
        <c:tickLblPos val="nextTo"/>
        <c:txPr>
          <a:bodyPr rot="0" vert="horz"/>
          <a:lstStyle/>
          <a:p>
            <a:pPr>
              <a:defRPr/>
            </a:pPr>
            <a:endParaRPr lang="es-ES"/>
          </a:p>
        </c:txPr>
        <c:crossAx val="108001536"/>
        <c:crosses val="autoZero"/>
        <c:crossBetween val="between"/>
        <c:majorUnit val="1000"/>
      </c:valAx>
    </c:plotArea>
    <c:plotVisOnly val="1"/>
    <c:dispBlanksAs val="gap"/>
    <c:showDLblsOverMax val="0"/>
  </c:chart>
  <c:spPr>
    <a:noFill/>
    <a:ln>
      <a:noFill/>
    </a:ln>
  </c:spPr>
  <c:txPr>
    <a:bodyPr/>
    <a:lstStyle/>
    <a:p>
      <a:pPr>
        <a:defRPr sz="800">
          <a:latin typeface="Arial" pitchFamily="34" charset="0"/>
          <a:cs typeface="Arial" pitchFamily="34" charset="0"/>
        </a:defRPr>
      </a:pPr>
      <a:endParaRPr lang="es-ES"/>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b="1"/>
            </a:pPr>
            <a:r>
              <a:rPr lang="es-ES" sz="800" b="1" i="0" u="none" strike="noStrike" baseline="0"/>
              <a:t>ENPLEGUAK</a:t>
            </a:r>
            <a:endParaRPr lang="es-ES" sz="800" b="1"/>
          </a:p>
        </c:rich>
      </c:tx>
      <c:layout>
        <c:manualLayout>
          <c:xMode val="edge"/>
          <c:yMode val="edge"/>
          <c:x val="0.44597249508841275"/>
          <c:y val="2.197802197802199E-2"/>
        </c:manualLayout>
      </c:layout>
      <c:overlay val="0"/>
      <c:spPr>
        <a:noFill/>
        <a:ln w="25400">
          <a:noFill/>
        </a:ln>
      </c:spPr>
    </c:title>
    <c:autoTitleDeleted val="0"/>
    <c:plotArea>
      <c:layout>
        <c:manualLayout>
          <c:layoutTarget val="inner"/>
          <c:xMode val="edge"/>
          <c:yMode val="edge"/>
          <c:x val="9.6267190569744643E-2"/>
          <c:y val="0.18620242782152449"/>
          <c:w val="0.88408644400785152"/>
          <c:h val="0.62698436132983382"/>
        </c:manualLayout>
      </c:layout>
      <c:barChart>
        <c:barDir val="col"/>
        <c:grouping val="clustered"/>
        <c:varyColors val="0"/>
        <c:ser>
          <c:idx val="0"/>
          <c:order val="0"/>
          <c:tx>
            <c:strRef>
              <c:f>Sheet1!$A$2</c:f>
              <c:strCache>
                <c:ptCount val="1"/>
              </c:strCache>
            </c:strRef>
          </c:tx>
          <c:spPr>
            <a:solidFill>
              <a:schemeClr val="accent1"/>
            </a:solidFill>
            <a:ln w="12700">
              <a:noFill/>
              <a:prstDash val="solid"/>
            </a:ln>
          </c:spPr>
          <c:invertIfNegative val="0"/>
          <c:dLbls>
            <c:dLbl>
              <c:idx val="0"/>
              <c:layout>
                <c:manualLayout>
                  <c:x val="9.7349380578272797E-3"/>
                  <c:y val="-4.945378822839442E-2"/>
                </c:manualLayout>
              </c:layout>
              <c:showLegendKey val="0"/>
              <c:showVal val="1"/>
              <c:showCatName val="0"/>
              <c:showSerName val="0"/>
              <c:showPercent val="0"/>
              <c:showBubbleSize val="0"/>
            </c:dLbl>
            <c:dLbl>
              <c:idx val="1"/>
              <c:layout>
                <c:manualLayout>
                  <c:x val="5.1421103050588324E-3"/>
                  <c:y val="-4.3807108246084546E-2"/>
                </c:manualLayout>
              </c:layout>
              <c:showLegendKey val="0"/>
              <c:showVal val="1"/>
              <c:showCatName val="0"/>
              <c:showSerName val="0"/>
              <c:showPercent val="0"/>
              <c:showBubbleSize val="0"/>
            </c:dLbl>
            <c:dLbl>
              <c:idx val="2"/>
              <c:layout>
                <c:manualLayout>
                  <c:x val="6.4431921790094526E-3"/>
                  <c:y val="-3.9890746829723732E-2"/>
                </c:manualLayout>
              </c:layout>
              <c:showLegendKey val="0"/>
              <c:showVal val="1"/>
              <c:showCatName val="0"/>
              <c:showSerName val="0"/>
              <c:showPercent val="0"/>
              <c:showBubbleSize val="0"/>
            </c:dLbl>
            <c:dLbl>
              <c:idx val="3"/>
              <c:layout>
                <c:manualLayout>
                  <c:x val="5.7796375107203148E-3"/>
                  <c:y val="-2.906001533462154E-2"/>
                </c:manualLayout>
              </c:layout>
              <c:showLegendKey val="0"/>
              <c:showVal val="1"/>
              <c:showCatName val="0"/>
              <c:showSerName val="0"/>
              <c:showPercent val="0"/>
              <c:showBubbleSize val="0"/>
            </c:dLbl>
            <c:dLbl>
              <c:idx val="4"/>
              <c:layout>
                <c:manualLayout>
                  <c:x val="3.1514463001914282E-3"/>
                  <c:y val="-2.8900792449020812E-2"/>
                </c:manualLayout>
              </c:layout>
              <c:showLegendKey val="0"/>
              <c:showVal val="1"/>
              <c:showCatName val="0"/>
              <c:showSerName val="0"/>
              <c:showPercent val="0"/>
              <c:showBubbleSize val="0"/>
            </c:dLbl>
            <c:dLbl>
              <c:idx val="5"/>
              <c:layout>
                <c:manualLayout>
                  <c:x val="3.2535836866545644E-3"/>
                  <c:y val="-4.461450131233613E-2"/>
                </c:manualLayout>
              </c:layout>
              <c:showLegendKey val="0"/>
              <c:showVal val="1"/>
              <c:showCatName val="0"/>
              <c:showSerName val="0"/>
              <c:showPercent val="0"/>
              <c:showBubbleSize val="0"/>
            </c:dLbl>
            <c:dLbl>
              <c:idx val="6"/>
              <c:layout>
                <c:manualLayout>
                  <c:x val="3.7889735058529743E-3"/>
                  <c:y val="-2.9350844365608166E-2"/>
                </c:manualLayout>
              </c:layout>
              <c:showLegendKey val="0"/>
              <c:showVal val="1"/>
              <c:showCatName val="0"/>
              <c:showSerName val="0"/>
              <c:showPercent val="0"/>
              <c:showBubbleSize val="0"/>
            </c:dLbl>
            <c:dLbl>
              <c:idx val="7"/>
              <c:layout>
                <c:manualLayout>
                  <c:x val="5.0900553798036829E-3"/>
                  <c:y val="-4.5982353167392506E-2"/>
                </c:manualLayout>
              </c:layout>
              <c:showLegendKey val="0"/>
              <c:showVal val="1"/>
              <c:showCatName val="0"/>
              <c:showSerName val="0"/>
              <c:showPercent val="0"/>
              <c:showBubbleSize val="0"/>
            </c:dLbl>
            <c:dLbl>
              <c:idx val="8"/>
              <c:layout>
                <c:manualLayout>
                  <c:x val="6.3911372537540324E-3"/>
                  <c:y val="-3.612192105794465E-2"/>
                </c:manualLayout>
              </c:layout>
              <c:showLegendKey val="0"/>
              <c:showVal val="1"/>
              <c:showCatName val="0"/>
              <c:showSerName val="0"/>
              <c:showPercent val="0"/>
              <c:showBubbleSize val="0"/>
            </c:dLbl>
            <c:dLbl>
              <c:idx val="9"/>
              <c:layout>
                <c:manualLayout>
                  <c:x val="3.7629460432254173E-3"/>
                  <c:y val="-1.894901358484026E-2"/>
                </c:manualLayout>
              </c:layout>
              <c:tx>
                <c:rich>
                  <a:bodyPr/>
                  <a:lstStyle/>
                  <a:p>
                    <a:r>
                      <a:rPr lang="es-ES" b="1"/>
                      <a:t>55.809</a:t>
                    </a:r>
                  </a:p>
                </c:rich>
              </c:tx>
              <c:showLegendKey val="0"/>
              <c:showVal val="0"/>
              <c:showCatName val="0"/>
              <c:showSerName val="0"/>
              <c:showPercent val="0"/>
              <c:showBubbleSize val="0"/>
            </c:dLbl>
            <c:spPr>
              <a:noFill/>
              <a:ln w="25400">
                <a:noFill/>
              </a:ln>
            </c:spPr>
            <c:txPr>
              <a:bodyPr/>
              <a:lstStyle/>
              <a:p>
                <a:pPr>
                  <a:defRPr b="1"/>
                </a:pPr>
                <a:endParaRPr lang="es-ES"/>
              </a:p>
            </c:txPr>
            <c:showLegendKey val="0"/>
            <c:showVal val="1"/>
            <c:showCatName val="0"/>
            <c:showSerName val="0"/>
            <c:showPercent val="0"/>
            <c:showBubbleSize val="0"/>
            <c:showLeaderLines val="0"/>
          </c:dLbls>
          <c:cat>
            <c:numRef>
              <c:f>Sheet1!$B$1:$K$1</c:f>
              <c:numCache>
                <c:formatCode>General</c:formatCode>
                <c:ptCount val="10"/>
                <c:pt idx="0">
                  <c:v>1994</c:v>
                </c:pt>
                <c:pt idx="1">
                  <c:v>1996</c:v>
                </c:pt>
                <c:pt idx="2">
                  <c:v>1998</c:v>
                </c:pt>
                <c:pt idx="3">
                  <c:v>2000</c:v>
                </c:pt>
                <c:pt idx="4">
                  <c:v>2002</c:v>
                </c:pt>
                <c:pt idx="5">
                  <c:v>2004</c:v>
                </c:pt>
                <c:pt idx="6">
                  <c:v>2006</c:v>
                </c:pt>
                <c:pt idx="7">
                  <c:v>2008</c:v>
                </c:pt>
                <c:pt idx="8">
                  <c:v>2010</c:v>
                </c:pt>
                <c:pt idx="9">
                  <c:v>2012</c:v>
                </c:pt>
              </c:numCache>
            </c:numRef>
          </c:cat>
          <c:val>
            <c:numRef>
              <c:f>Sheet1!$B$2:$K$2</c:f>
              <c:numCache>
                <c:formatCode>#,##0</c:formatCode>
                <c:ptCount val="10"/>
                <c:pt idx="0">
                  <c:v>41867</c:v>
                </c:pt>
                <c:pt idx="1">
                  <c:v>43575</c:v>
                </c:pt>
                <c:pt idx="2">
                  <c:v>48387</c:v>
                </c:pt>
                <c:pt idx="3">
                  <c:v>54259</c:v>
                </c:pt>
                <c:pt idx="4">
                  <c:v>61022</c:v>
                </c:pt>
                <c:pt idx="5">
                  <c:v>61140</c:v>
                </c:pt>
                <c:pt idx="6">
                  <c:v>63480</c:v>
                </c:pt>
                <c:pt idx="7">
                  <c:v>62615</c:v>
                </c:pt>
                <c:pt idx="8">
                  <c:v>59915</c:v>
                </c:pt>
                <c:pt idx="9" formatCode="General">
                  <c:v>55809</c:v>
                </c:pt>
              </c:numCache>
            </c:numRef>
          </c:val>
        </c:ser>
        <c:dLbls>
          <c:showLegendKey val="0"/>
          <c:showVal val="0"/>
          <c:showCatName val="0"/>
          <c:showSerName val="0"/>
          <c:showPercent val="0"/>
          <c:showBubbleSize val="0"/>
        </c:dLbls>
        <c:gapWidth val="150"/>
        <c:axId val="105967616"/>
        <c:axId val="105969152"/>
      </c:barChart>
      <c:catAx>
        <c:axId val="105967616"/>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a:pPr>
            <a:endParaRPr lang="es-ES"/>
          </a:p>
        </c:txPr>
        <c:crossAx val="105969152"/>
        <c:crosses val="autoZero"/>
        <c:auto val="1"/>
        <c:lblAlgn val="ctr"/>
        <c:lblOffset val="100"/>
        <c:tickLblSkip val="1"/>
        <c:tickMarkSkip val="1"/>
        <c:noMultiLvlLbl val="0"/>
      </c:catAx>
      <c:valAx>
        <c:axId val="105969152"/>
        <c:scaling>
          <c:orientation val="minMax"/>
          <c:max val="80000"/>
        </c:scaling>
        <c:delete val="0"/>
        <c:axPos val="l"/>
        <c:majorGridlines>
          <c:spPr>
            <a:ln w="12700">
              <a:solidFill>
                <a:srgbClr val="C0C0C0"/>
              </a:solidFill>
              <a:prstDash val="solid"/>
            </a:ln>
          </c:spPr>
        </c:majorGridlines>
        <c:numFmt formatCode="#,##0" sourceLinked="1"/>
        <c:majorTickMark val="out"/>
        <c:minorTickMark val="none"/>
        <c:tickLblPos val="nextTo"/>
        <c:spPr>
          <a:ln w="3175">
            <a:solidFill>
              <a:srgbClr val="000000"/>
            </a:solidFill>
            <a:prstDash val="solid"/>
          </a:ln>
        </c:spPr>
        <c:txPr>
          <a:bodyPr rot="0" vert="horz"/>
          <a:lstStyle/>
          <a:p>
            <a:pPr>
              <a:defRPr/>
            </a:pPr>
            <a:endParaRPr lang="es-ES"/>
          </a:p>
        </c:txPr>
        <c:crossAx val="105967616"/>
        <c:crosses val="autoZero"/>
        <c:crossBetween val="between"/>
        <c:majorUnit val="20000"/>
      </c:valAx>
      <c:spPr>
        <a:noFill/>
        <a:ln w="25400">
          <a:noFill/>
        </a:ln>
      </c:spPr>
    </c:plotArea>
    <c:plotVisOnly val="1"/>
    <c:dispBlanksAs val="gap"/>
    <c:showDLblsOverMax val="0"/>
  </c:chart>
  <c:spPr>
    <a:noFill/>
    <a:ln>
      <a:noFill/>
    </a:ln>
  </c:spPr>
  <c:txPr>
    <a:bodyPr/>
    <a:lstStyle/>
    <a:p>
      <a:pPr>
        <a:defRPr sz="800" b="0" i="0" u="none" strike="noStrike" baseline="0">
          <a:solidFill>
            <a:srgbClr val="000000"/>
          </a:solidFill>
          <a:latin typeface="Arial" pitchFamily="34" charset="0"/>
          <a:ea typeface="Calibri"/>
          <a:cs typeface="Arial" pitchFamily="34" charset="0"/>
        </a:defRPr>
      </a:pPr>
      <a:endParaRPr lang="es-ES"/>
    </a:p>
  </c:tx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3737574552684004E-2"/>
          <c:y val="8.7912087912087933E-2"/>
          <c:w val="0.93638170974154489"/>
          <c:h val="0.72527472527472525"/>
        </c:manualLayout>
      </c:layout>
      <c:barChart>
        <c:barDir val="col"/>
        <c:grouping val="clustered"/>
        <c:varyColors val="0"/>
        <c:ser>
          <c:idx val="0"/>
          <c:order val="0"/>
          <c:tx>
            <c:strRef>
              <c:f>Sheet1!$A$2</c:f>
              <c:strCache>
                <c:ptCount val="1"/>
              </c:strCache>
            </c:strRef>
          </c:tx>
          <c:spPr>
            <a:solidFill>
              <a:schemeClr val="accent1"/>
            </a:solidFill>
            <a:ln w="12674">
              <a:noFill/>
              <a:prstDash val="solid"/>
            </a:ln>
          </c:spPr>
          <c:invertIfNegative val="0"/>
          <c:dLbls>
            <c:dLbl>
              <c:idx val="0"/>
              <c:layout>
                <c:manualLayout>
                  <c:x val="1.1166861098090494E-2"/>
                  <c:y val="-7.3290625888722413E-2"/>
                </c:manualLayout>
              </c:layout>
              <c:showLegendKey val="0"/>
              <c:showVal val="1"/>
              <c:showCatName val="0"/>
              <c:showSerName val="0"/>
              <c:showPercent val="0"/>
              <c:showBubbleSize val="0"/>
            </c:dLbl>
            <c:dLbl>
              <c:idx val="1"/>
              <c:layout>
                <c:manualLayout>
                  <c:x val="4.4401375513309308E-3"/>
                  <c:y val="-6.7796120394217632E-2"/>
                </c:manualLayout>
              </c:layout>
              <c:showLegendKey val="0"/>
              <c:showVal val="1"/>
              <c:showCatName val="0"/>
              <c:showSerName val="0"/>
              <c:showPercent val="0"/>
              <c:showBubbleSize val="0"/>
            </c:dLbl>
            <c:dLbl>
              <c:idx val="2"/>
              <c:layout>
                <c:manualLayout>
                  <c:x val="7.6537718574542814E-3"/>
                  <c:y val="-5.3990246160614166E-2"/>
                </c:manualLayout>
              </c:layout>
              <c:showLegendKey val="0"/>
              <c:showVal val="1"/>
              <c:showCatName val="0"/>
              <c:showSerName val="0"/>
              <c:showPercent val="0"/>
              <c:showBubbleSize val="0"/>
            </c:dLbl>
            <c:dLbl>
              <c:idx val="3"/>
              <c:layout>
                <c:manualLayout>
                  <c:x val="4.9031914518479014E-3"/>
                  <c:y val="-4.7017424572370133E-2"/>
                </c:manualLayout>
              </c:layout>
              <c:showLegendKey val="0"/>
              <c:showVal val="1"/>
              <c:showCatName val="0"/>
              <c:showSerName val="0"/>
              <c:showPercent val="0"/>
              <c:showBubbleSize val="0"/>
            </c:dLbl>
            <c:dLbl>
              <c:idx val="4"/>
              <c:layout>
                <c:manualLayout>
                  <c:x val="2.1528160186676552E-3"/>
                  <c:y val="-4.0044602984125939E-2"/>
                </c:manualLayout>
              </c:layout>
              <c:showLegendKey val="0"/>
              <c:showVal val="1"/>
              <c:showCatName val="0"/>
              <c:showSerName val="0"/>
              <c:showPercent val="0"/>
              <c:showBubbleSize val="0"/>
            </c:dLbl>
            <c:dLbl>
              <c:idx val="5"/>
              <c:layout>
                <c:manualLayout>
                  <c:x val="7.3545218953673984E-3"/>
                  <c:y val="-5.3850477217729023E-2"/>
                </c:manualLayout>
              </c:layout>
              <c:showLegendKey val="0"/>
              <c:showVal val="1"/>
              <c:showCatName val="0"/>
              <c:showSerName val="0"/>
              <c:showPercent val="0"/>
              <c:showBubbleSize val="0"/>
            </c:dLbl>
            <c:dLbl>
              <c:idx val="6"/>
              <c:layout>
                <c:manualLayout>
                  <c:x val="6.2779834860831002E-4"/>
                  <c:y val="-4.2861466228717594E-2"/>
                </c:manualLayout>
              </c:layout>
              <c:showLegendKey val="0"/>
              <c:showVal val="1"/>
              <c:showCatName val="0"/>
              <c:showSerName val="0"/>
              <c:showPercent val="0"/>
              <c:showBubbleSize val="0"/>
            </c:dLbl>
            <c:dLbl>
              <c:idx val="7"/>
              <c:layout>
                <c:manualLayout>
                  <c:x val="3.8414326547315052E-3"/>
                  <c:y val="-6.6317804300478192E-2"/>
                </c:manualLayout>
              </c:layout>
              <c:showLegendKey val="0"/>
              <c:showVal val="1"/>
              <c:showCatName val="0"/>
              <c:showSerName val="0"/>
              <c:showPercent val="0"/>
              <c:showBubbleSize val="0"/>
            </c:dLbl>
            <c:dLbl>
              <c:idx val="8"/>
              <c:layout>
                <c:manualLayout>
                  <c:x val="3.0789238197017482E-3"/>
                  <c:y val="-4.983428781696262E-2"/>
                </c:manualLayout>
              </c:layout>
              <c:showLegendKey val="0"/>
              <c:showVal val="1"/>
              <c:showCatName val="0"/>
              <c:showSerName val="0"/>
              <c:showPercent val="0"/>
              <c:showBubbleSize val="0"/>
            </c:dLbl>
            <c:dLbl>
              <c:idx val="9"/>
              <c:layout>
                <c:manualLayout>
                  <c:x val="-1.6595231840549221E-3"/>
                  <c:y val="-2.6517718688086812E-2"/>
                </c:manualLayout>
              </c:layout>
              <c:showLegendKey val="0"/>
              <c:showVal val="1"/>
              <c:showCatName val="0"/>
              <c:showSerName val="0"/>
              <c:showPercent val="0"/>
              <c:showBubbleSize val="0"/>
            </c:dLbl>
            <c:spPr>
              <a:noFill/>
              <a:ln w="25347">
                <a:noFill/>
              </a:ln>
            </c:spPr>
            <c:txPr>
              <a:bodyPr/>
              <a:lstStyle/>
              <a:p>
                <a:pPr>
                  <a:defRPr b="1"/>
                </a:pPr>
                <a:endParaRPr lang="es-ES"/>
              </a:p>
            </c:txPr>
            <c:showLegendKey val="0"/>
            <c:showVal val="1"/>
            <c:showCatName val="0"/>
            <c:showSerName val="0"/>
            <c:showPercent val="0"/>
            <c:showBubbleSize val="0"/>
            <c:showLeaderLines val="0"/>
          </c:dLbls>
          <c:cat>
            <c:numRef>
              <c:f>Sheet1!$B$1:$K$1</c:f>
              <c:numCache>
                <c:formatCode>General</c:formatCode>
                <c:ptCount val="10"/>
                <c:pt idx="0">
                  <c:v>1994</c:v>
                </c:pt>
                <c:pt idx="1">
                  <c:v>1996</c:v>
                </c:pt>
                <c:pt idx="2">
                  <c:v>1998</c:v>
                </c:pt>
                <c:pt idx="3">
                  <c:v>2000</c:v>
                </c:pt>
                <c:pt idx="4">
                  <c:v>2002</c:v>
                </c:pt>
                <c:pt idx="5">
                  <c:v>2004</c:v>
                </c:pt>
                <c:pt idx="6">
                  <c:v>2006</c:v>
                </c:pt>
                <c:pt idx="7">
                  <c:v>2008</c:v>
                </c:pt>
                <c:pt idx="8">
                  <c:v>2010</c:v>
                </c:pt>
                <c:pt idx="9">
                  <c:v>2012</c:v>
                </c:pt>
              </c:numCache>
            </c:numRef>
          </c:cat>
          <c:val>
            <c:numRef>
              <c:f>Sheet1!$B$2:$K$2</c:f>
              <c:numCache>
                <c:formatCode>#,##0.0</c:formatCode>
                <c:ptCount val="10"/>
                <c:pt idx="0">
                  <c:v>6</c:v>
                </c:pt>
                <c:pt idx="1">
                  <c:v>6</c:v>
                </c:pt>
                <c:pt idx="2">
                  <c:v>6.2</c:v>
                </c:pt>
                <c:pt idx="3">
                  <c:v>6.5</c:v>
                </c:pt>
                <c:pt idx="4">
                  <c:v>6.8</c:v>
                </c:pt>
                <c:pt idx="5">
                  <c:v>6.6</c:v>
                </c:pt>
                <c:pt idx="6">
                  <c:v>6.6</c:v>
                </c:pt>
                <c:pt idx="7">
                  <c:v>6.3</c:v>
                </c:pt>
                <c:pt idx="8">
                  <c:v>6.3</c:v>
                </c:pt>
                <c:pt idx="9" formatCode="General">
                  <c:v>6.2</c:v>
                </c:pt>
              </c:numCache>
            </c:numRef>
          </c:val>
        </c:ser>
        <c:dLbls>
          <c:showLegendKey val="0"/>
          <c:showVal val="0"/>
          <c:showCatName val="0"/>
          <c:showSerName val="0"/>
          <c:showPercent val="0"/>
          <c:showBubbleSize val="0"/>
        </c:dLbls>
        <c:gapWidth val="150"/>
        <c:axId val="106026496"/>
        <c:axId val="106028032"/>
      </c:barChart>
      <c:catAx>
        <c:axId val="106026496"/>
        <c:scaling>
          <c:orientation val="minMax"/>
        </c:scaling>
        <c:delete val="0"/>
        <c:axPos val="b"/>
        <c:numFmt formatCode="General" sourceLinked="1"/>
        <c:majorTickMark val="out"/>
        <c:minorTickMark val="none"/>
        <c:tickLblPos val="low"/>
        <c:spPr>
          <a:ln w="3168">
            <a:solidFill>
              <a:srgbClr val="000000"/>
            </a:solidFill>
            <a:prstDash val="solid"/>
          </a:ln>
        </c:spPr>
        <c:txPr>
          <a:bodyPr rot="0" vert="horz"/>
          <a:lstStyle/>
          <a:p>
            <a:pPr>
              <a:defRPr/>
            </a:pPr>
            <a:endParaRPr lang="es-ES"/>
          </a:p>
        </c:txPr>
        <c:crossAx val="106028032"/>
        <c:crosses val="autoZero"/>
        <c:auto val="1"/>
        <c:lblAlgn val="ctr"/>
        <c:lblOffset val="100"/>
        <c:tickLblSkip val="1"/>
        <c:tickMarkSkip val="1"/>
        <c:noMultiLvlLbl val="0"/>
      </c:catAx>
      <c:valAx>
        <c:axId val="106028032"/>
        <c:scaling>
          <c:orientation val="minMax"/>
          <c:max val="7"/>
          <c:min val="0"/>
        </c:scaling>
        <c:delete val="0"/>
        <c:axPos val="l"/>
        <c:majorGridlines>
          <c:spPr>
            <a:ln w="12674">
              <a:solidFill>
                <a:srgbClr val="C0C0C0"/>
              </a:solidFill>
              <a:prstDash val="solid"/>
            </a:ln>
          </c:spPr>
        </c:majorGridlines>
        <c:numFmt formatCode="#,##0" sourceLinked="0"/>
        <c:majorTickMark val="out"/>
        <c:minorTickMark val="none"/>
        <c:tickLblPos val="nextTo"/>
        <c:spPr>
          <a:ln w="3168">
            <a:solidFill>
              <a:srgbClr val="000000"/>
            </a:solidFill>
            <a:prstDash val="solid"/>
          </a:ln>
        </c:spPr>
        <c:txPr>
          <a:bodyPr rot="0" vert="horz"/>
          <a:lstStyle/>
          <a:p>
            <a:pPr>
              <a:defRPr/>
            </a:pPr>
            <a:endParaRPr lang="es-ES"/>
          </a:p>
        </c:txPr>
        <c:crossAx val="106026496"/>
        <c:crosses val="autoZero"/>
        <c:crossBetween val="between"/>
        <c:majorUnit val="1"/>
        <c:minorUnit val="1"/>
      </c:valAx>
      <c:spPr>
        <a:noFill/>
        <a:ln w="25400">
          <a:noFill/>
        </a:ln>
      </c:spPr>
    </c:plotArea>
    <c:plotVisOnly val="1"/>
    <c:dispBlanksAs val="gap"/>
    <c:showDLblsOverMax val="0"/>
  </c:chart>
  <c:spPr>
    <a:noFill/>
    <a:ln>
      <a:noFill/>
    </a:ln>
  </c:spPr>
  <c:txPr>
    <a:bodyPr/>
    <a:lstStyle/>
    <a:p>
      <a:pPr>
        <a:defRPr sz="800" b="0" i="0" u="none" strike="noStrike" baseline="0">
          <a:solidFill>
            <a:srgbClr val="000000"/>
          </a:solidFill>
          <a:latin typeface="Arial" pitchFamily="34" charset="0"/>
          <a:ea typeface="Calibri"/>
          <a:cs typeface="Arial" pitchFamily="34" charset="0"/>
        </a:defRPr>
      </a:pPr>
      <a:endParaRPr lang="es-E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2574150578807565E-2"/>
          <c:y val="6.5934065934065936E-2"/>
          <c:w val="0.88365792644571362"/>
          <c:h val="0.60439560439561346"/>
        </c:manualLayout>
      </c:layout>
      <c:barChart>
        <c:barDir val="col"/>
        <c:grouping val="clustered"/>
        <c:varyColors val="0"/>
        <c:ser>
          <c:idx val="0"/>
          <c:order val="0"/>
          <c:tx>
            <c:strRef>
              <c:f>Sheet1!$A$2</c:f>
              <c:strCache>
                <c:ptCount val="1"/>
                <c:pt idx="0">
                  <c:v>2008-2010</c:v>
                </c:pt>
              </c:strCache>
            </c:strRef>
          </c:tx>
          <c:spPr>
            <a:solidFill>
              <a:schemeClr val="tx2"/>
            </a:solidFill>
            <a:ln w="7156">
              <a:noFill/>
              <a:prstDash val="solid"/>
            </a:ln>
          </c:spPr>
          <c:invertIfNegative val="0"/>
          <c:dLbls>
            <c:dLbl>
              <c:idx val="0"/>
              <c:layout>
                <c:manualLayout>
                  <c:x val="1.1861931973098519E-2"/>
                  <c:y val="2.3850804707103854E-2"/>
                </c:manualLayout>
              </c:layout>
              <c:tx>
                <c:rich>
                  <a:bodyPr/>
                  <a:lstStyle/>
                  <a:p>
                    <a:r>
                      <a:rPr lang="es-ES"/>
                      <a:t>-%11,4</a:t>
                    </a:r>
                  </a:p>
                </c:rich>
              </c:tx>
              <c:dLblPos val="outEnd"/>
              <c:showLegendKey val="0"/>
              <c:showVal val="0"/>
              <c:showCatName val="0"/>
              <c:showSerName val="0"/>
              <c:showPercent val="0"/>
              <c:showBubbleSize val="0"/>
            </c:dLbl>
            <c:dLbl>
              <c:idx val="1"/>
              <c:layout>
                <c:manualLayout>
                  <c:x val="1.7842350351367647E-2"/>
                  <c:y val="-1.1634766807995155E-2"/>
                </c:manualLayout>
              </c:layout>
              <c:tx>
                <c:rich>
                  <a:bodyPr/>
                  <a:lstStyle/>
                  <a:p>
                    <a:r>
                      <a:rPr lang="es-ES"/>
                      <a:t>%2,7</a:t>
                    </a:r>
                  </a:p>
                </c:rich>
              </c:tx>
              <c:dLblPos val="outEnd"/>
              <c:showLegendKey val="0"/>
              <c:showVal val="0"/>
              <c:showCatName val="0"/>
              <c:showSerName val="0"/>
              <c:showPercent val="0"/>
              <c:showBubbleSize val="0"/>
            </c:dLbl>
            <c:spPr>
              <a:noFill/>
              <a:ln w="15876">
                <a:noFill/>
              </a:ln>
            </c:spPr>
            <c:showLegendKey val="0"/>
            <c:showVal val="1"/>
            <c:showCatName val="0"/>
            <c:showSerName val="0"/>
            <c:showPercent val="0"/>
            <c:showBubbleSize val="0"/>
            <c:showLeaderLines val="0"/>
          </c:dLbls>
          <c:cat>
            <c:strRef>
              <c:f>Sheet1!$B$1:$C$1</c:f>
              <c:strCache>
                <c:ptCount val="2"/>
                <c:pt idx="0">
                  <c:v>Industria</c:v>
                </c:pt>
                <c:pt idx="1">
                  <c:v>Zerbitzuak</c:v>
                </c:pt>
              </c:strCache>
            </c:strRef>
          </c:cat>
          <c:val>
            <c:numRef>
              <c:f>Sheet1!$B$2:$C$2</c:f>
              <c:numCache>
                <c:formatCode>0.0%</c:formatCode>
                <c:ptCount val="2"/>
                <c:pt idx="0">
                  <c:v>-0.114</c:v>
                </c:pt>
                <c:pt idx="1">
                  <c:v>2.7000000000000024E-2</c:v>
                </c:pt>
              </c:numCache>
            </c:numRef>
          </c:val>
        </c:ser>
        <c:ser>
          <c:idx val="1"/>
          <c:order val="1"/>
          <c:tx>
            <c:strRef>
              <c:f>Sheet1!$A$3</c:f>
              <c:strCache>
                <c:ptCount val="1"/>
                <c:pt idx="0">
                  <c:v>2010-2012</c:v>
                </c:pt>
              </c:strCache>
            </c:strRef>
          </c:tx>
          <c:spPr>
            <a:solidFill>
              <a:schemeClr val="accent1"/>
            </a:solidFill>
            <a:ln w="7156">
              <a:noFill/>
              <a:prstDash val="solid"/>
            </a:ln>
          </c:spPr>
          <c:invertIfNegative val="0"/>
          <c:dLbls>
            <c:dLbl>
              <c:idx val="0"/>
              <c:layout>
                <c:manualLayout>
                  <c:x val="2.7787994242655156E-2"/>
                  <c:y val="-4.4082374318594924E-3"/>
                </c:manualLayout>
              </c:layout>
              <c:tx>
                <c:rich>
                  <a:bodyPr/>
                  <a:lstStyle/>
                  <a:p>
                    <a:r>
                      <a:rPr lang="es-ES"/>
                      <a:t>-%3,0</a:t>
                    </a:r>
                  </a:p>
                </c:rich>
              </c:tx>
              <c:dLblPos val="outEnd"/>
              <c:showLegendKey val="0"/>
              <c:showVal val="0"/>
              <c:showCatName val="0"/>
              <c:showSerName val="0"/>
              <c:showPercent val="0"/>
              <c:showBubbleSize val="0"/>
            </c:dLbl>
            <c:dLbl>
              <c:idx val="1"/>
              <c:layout>
                <c:manualLayout>
                  <c:x val="1.8188807044281007E-2"/>
                  <c:y val="3.6033918837069016E-2"/>
                </c:manualLayout>
              </c:layout>
              <c:tx>
                <c:rich>
                  <a:bodyPr/>
                  <a:lstStyle/>
                  <a:p>
                    <a:r>
                      <a:rPr lang="es-ES"/>
                      <a:t>-%10,3</a:t>
                    </a:r>
                  </a:p>
                </c:rich>
              </c:tx>
              <c:dLblPos val="outEnd"/>
              <c:showLegendKey val="0"/>
              <c:showVal val="0"/>
              <c:showCatName val="0"/>
              <c:showSerName val="0"/>
              <c:showPercent val="0"/>
              <c:showBubbleSize val="0"/>
            </c:dLbl>
            <c:spPr>
              <a:noFill/>
              <a:ln w="15876">
                <a:noFill/>
              </a:ln>
            </c:spPr>
            <c:showLegendKey val="0"/>
            <c:showVal val="1"/>
            <c:showCatName val="0"/>
            <c:showSerName val="0"/>
            <c:showPercent val="0"/>
            <c:showBubbleSize val="0"/>
            <c:showLeaderLines val="0"/>
          </c:dLbls>
          <c:cat>
            <c:strRef>
              <c:f>Sheet1!$B$1:$C$1</c:f>
              <c:strCache>
                <c:ptCount val="2"/>
                <c:pt idx="0">
                  <c:v>Industria</c:v>
                </c:pt>
                <c:pt idx="1">
                  <c:v>Zerbitzuak</c:v>
                </c:pt>
              </c:strCache>
            </c:strRef>
          </c:cat>
          <c:val>
            <c:numRef>
              <c:f>Sheet1!$B$3:$C$3</c:f>
              <c:numCache>
                <c:formatCode>0.0%</c:formatCode>
                <c:ptCount val="2"/>
                <c:pt idx="0">
                  <c:v>-3.0000000000000002E-2</c:v>
                </c:pt>
                <c:pt idx="1">
                  <c:v>-0.10299999999999998</c:v>
                </c:pt>
              </c:numCache>
            </c:numRef>
          </c:val>
        </c:ser>
        <c:dLbls>
          <c:showLegendKey val="0"/>
          <c:showVal val="0"/>
          <c:showCatName val="0"/>
          <c:showSerName val="0"/>
          <c:showPercent val="0"/>
          <c:showBubbleSize val="0"/>
        </c:dLbls>
        <c:gapWidth val="150"/>
        <c:axId val="100392320"/>
        <c:axId val="100463744"/>
      </c:barChart>
      <c:catAx>
        <c:axId val="100392320"/>
        <c:scaling>
          <c:orientation val="minMax"/>
        </c:scaling>
        <c:delete val="0"/>
        <c:axPos val="b"/>
        <c:numFmt formatCode="General" sourceLinked="1"/>
        <c:majorTickMark val="out"/>
        <c:minorTickMark val="none"/>
        <c:tickLblPos val="low"/>
        <c:spPr>
          <a:ln w="1789">
            <a:solidFill>
              <a:srgbClr val="000000"/>
            </a:solidFill>
            <a:prstDash val="solid"/>
          </a:ln>
        </c:spPr>
        <c:txPr>
          <a:bodyPr rot="0" vert="horz"/>
          <a:lstStyle/>
          <a:p>
            <a:pPr>
              <a:defRPr/>
            </a:pPr>
            <a:endParaRPr lang="es-ES"/>
          </a:p>
        </c:txPr>
        <c:crossAx val="100463744"/>
        <c:crosses val="autoZero"/>
        <c:auto val="1"/>
        <c:lblAlgn val="ctr"/>
        <c:lblOffset val="100"/>
        <c:tickLblSkip val="1"/>
        <c:tickMarkSkip val="1"/>
        <c:noMultiLvlLbl val="0"/>
      </c:catAx>
      <c:valAx>
        <c:axId val="100463744"/>
        <c:scaling>
          <c:orientation val="minMax"/>
        </c:scaling>
        <c:delete val="0"/>
        <c:axPos val="l"/>
        <c:majorGridlines>
          <c:spPr>
            <a:ln w="7156">
              <a:solidFill>
                <a:schemeClr val="bg1">
                  <a:lumMod val="95000"/>
                </a:schemeClr>
              </a:solidFill>
              <a:prstDash val="solid"/>
            </a:ln>
          </c:spPr>
        </c:majorGridlines>
        <c:numFmt formatCode="%0" sourceLinked="0"/>
        <c:majorTickMark val="out"/>
        <c:minorTickMark val="none"/>
        <c:tickLblPos val="nextTo"/>
        <c:spPr>
          <a:ln w="1789">
            <a:solidFill>
              <a:srgbClr val="000000"/>
            </a:solidFill>
            <a:prstDash val="solid"/>
          </a:ln>
        </c:spPr>
        <c:txPr>
          <a:bodyPr rot="0" vert="horz"/>
          <a:lstStyle/>
          <a:p>
            <a:pPr>
              <a:defRPr/>
            </a:pPr>
            <a:endParaRPr lang="es-ES"/>
          </a:p>
        </c:txPr>
        <c:crossAx val="100392320"/>
        <c:crosses val="autoZero"/>
        <c:crossBetween val="between"/>
      </c:valAx>
      <c:spPr>
        <a:noFill/>
        <a:ln w="15876">
          <a:noFill/>
        </a:ln>
      </c:spPr>
    </c:plotArea>
    <c:legend>
      <c:legendPos val="r"/>
      <c:layout>
        <c:manualLayout>
          <c:xMode val="edge"/>
          <c:yMode val="edge"/>
          <c:x val="0.25278219395866497"/>
          <c:y val="0.79899497487437243"/>
          <c:w val="0.59618441971383151"/>
          <c:h val="8.0402010050251188E-2"/>
        </c:manualLayout>
      </c:layout>
      <c:overlay val="0"/>
      <c:spPr>
        <a:noFill/>
        <a:ln w="1789">
          <a:noFill/>
          <a:prstDash val="solid"/>
        </a:ln>
      </c:spPr>
    </c:legend>
    <c:plotVisOnly val="1"/>
    <c:dispBlanksAs val="gap"/>
    <c:showDLblsOverMax val="0"/>
  </c:chart>
  <c:spPr>
    <a:noFill/>
    <a:ln>
      <a:noFill/>
    </a:ln>
  </c:spPr>
  <c:txPr>
    <a:bodyPr/>
    <a:lstStyle/>
    <a:p>
      <a:pPr>
        <a:defRPr sz="800" b="0" i="0" u="none" strike="noStrike" baseline="0">
          <a:solidFill>
            <a:srgbClr val="000000"/>
          </a:solidFill>
          <a:latin typeface="Arial" pitchFamily="34" charset="0"/>
          <a:ea typeface="Calibri"/>
          <a:cs typeface="Arial" pitchFamily="34" charset="0"/>
        </a:defRPr>
      </a:pPr>
      <a:endParaRPr lang="es-ES"/>
    </a:p>
  </c:txPr>
  <c:externalData r:id="rId2">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4748201438848921"/>
          <c:y val="6.5934065934065936E-2"/>
          <c:w val="0.81654676258992809"/>
          <c:h val="0.60439560439560924"/>
        </c:manualLayout>
      </c:layout>
      <c:barChart>
        <c:barDir val="col"/>
        <c:grouping val="clustered"/>
        <c:varyColors val="0"/>
        <c:ser>
          <c:idx val="0"/>
          <c:order val="0"/>
          <c:tx>
            <c:strRef>
              <c:f>Sheet1!$A$2</c:f>
              <c:strCache>
                <c:ptCount val="1"/>
                <c:pt idx="0">
                  <c:v>2008-2010</c:v>
                </c:pt>
              </c:strCache>
            </c:strRef>
          </c:tx>
          <c:spPr>
            <a:solidFill>
              <a:schemeClr val="tx2"/>
            </a:solidFill>
            <a:ln w="11449">
              <a:noFill/>
              <a:prstDash val="solid"/>
            </a:ln>
          </c:spPr>
          <c:invertIfNegative val="0"/>
          <c:dLbls>
            <c:dLbl>
              <c:idx val="0"/>
              <c:layout>
                <c:manualLayout>
                  <c:x val="1.1861931973098519E-2"/>
                  <c:y val="2.3850804707103854E-2"/>
                </c:manualLayout>
              </c:layout>
              <c:tx>
                <c:rich>
                  <a:bodyPr/>
                  <a:lstStyle/>
                  <a:p>
                    <a:r>
                      <a:rPr lang="en-US"/>
                      <a:t>%-11,4</a:t>
                    </a:r>
                  </a:p>
                </c:rich>
              </c:tx>
              <c:showLegendKey val="0"/>
              <c:showVal val="1"/>
              <c:showCatName val="0"/>
              <c:showSerName val="0"/>
              <c:showPercent val="0"/>
              <c:showBubbleSize val="0"/>
            </c:dLbl>
            <c:dLbl>
              <c:idx val="1"/>
              <c:layout>
                <c:manualLayout>
                  <c:x val="1.7842350351367508E-2"/>
                  <c:y val="-1.1634766807995155E-2"/>
                </c:manualLayout>
              </c:layout>
              <c:tx>
                <c:rich>
                  <a:bodyPr/>
                  <a:lstStyle/>
                  <a:p>
                    <a:r>
                      <a:rPr lang="en-US"/>
                      <a:t>%2,7</a:t>
                    </a:r>
                  </a:p>
                </c:rich>
              </c:tx>
              <c:showLegendKey val="0"/>
              <c:showVal val="1"/>
              <c:showCatName val="0"/>
              <c:showSerName val="0"/>
              <c:showPercent val="0"/>
              <c:showBubbleSize val="0"/>
            </c:dLbl>
            <c:spPr>
              <a:noFill/>
              <a:ln w="22899">
                <a:noFill/>
              </a:ln>
            </c:spPr>
            <c:txPr>
              <a:bodyPr/>
              <a:lstStyle/>
              <a:p>
                <a:pPr>
                  <a:defRPr b="1"/>
                </a:pPr>
                <a:endParaRPr lang="es-ES"/>
              </a:p>
            </c:txPr>
            <c:showLegendKey val="0"/>
            <c:showVal val="1"/>
            <c:showCatName val="0"/>
            <c:showSerName val="0"/>
            <c:showPercent val="0"/>
            <c:showBubbleSize val="0"/>
            <c:showLeaderLines val="0"/>
          </c:dLbls>
          <c:cat>
            <c:strRef>
              <c:f>Sheet1!$B$1:$C$1</c:f>
              <c:strCache>
                <c:ptCount val="2"/>
                <c:pt idx="0">
                  <c:v>Industria</c:v>
                </c:pt>
                <c:pt idx="1">
                  <c:v>Zerbitzuak</c:v>
                </c:pt>
              </c:strCache>
            </c:strRef>
          </c:cat>
          <c:val>
            <c:numRef>
              <c:f>Sheet1!$B$2:$C$2</c:f>
              <c:numCache>
                <c:formatCode>0.0%</c:formatCode>
                <c:ptCount val="2"/>
                <c:pt idx="0">
                  <c:v>-0.114</c:v>
                </c:pt>
                <c:pt idx="1">
                  <c:v>2.700000000000009E-2</c:v>
                </c:pt>
              </c:numCache>
            </c:numRef>
          </c:val>
        </c:ser>
        <c:ser>
          <c:idx val="1"/>
          <c:order val="1"/>
          <c:tx>
            <c:strRef>
              <c:f>Sheet1!$A$3</c:f>
              <c:strCache>
                <c:ptCount val="1"/>
                <c:pt idx="0">
                  <c:v>2010-2012</c:v>
                </c:pt>
              </c:strCache>
            </c:strRef>
          </c:tx>
          <c:spPr>
            <a:solidFill>
              <a:schemeClr val="accent1"/>
            </a:solidFill>
            <a:ln w="11449">
              <a:noFill/>
              <a:prstDash val="solid"/>
            </a:ln>
          </c:spPr>
          <c:invertIfNegative val="0"/>
          <c:dLbls>
            <c:dLbl>
              <c:idx val="0"/>
              <c:layout>
                <c:manualLayout>
                  <c:x val="-8.1596418094797476E-3"/>
                  <c:y val="-4.4075740532433464E-3"/>
                </c:manualLayout>
              </c:layout>
              <c:tx>
                <c:rich>
                  <a:bodyPr/>
                  <a:lstStyle/>
                  <a:p>
                    <a:r>
                      <a:rPr lang="en-US"/>
                      <a:t>%-3,0</a:t>
                    </a:r>
                  </a:p>
                </c:rich>
              </c:tx>
              <c:showLegendKey val="0"/>
              <c:showVal val="1"/>
              <c:showCatName val="0"/>
              <c:showSerName val="0"/>
              <c:showPercent val="0"/>
              <c:showBubbleSize val="0"/>
            </c:dLbl>
            <c:dLbl>
              <c:idx val="1"/>
              <c:layout>
                <c:manualLayout>
                  <c:x val="1.8188807044280882E-2"/>
                  <c:y val="3.6033918837068718E-2"/>
                </c:manualLayout>
              </c:layout>
              <c:tx>
                <c:rich>
                  <a:bodyPr/>
                  <a:lstStyle/>
                  <a:p>
                    <a:r>
                      <a:rPr lang="es-ES" b="1"/>
                      <a:t>%-10,3</a:t>
                    </a:r>
                  </a:p>
                </c:rich>
              </c:tx>
              <c:showLegendKey val="0"/>
              <c:showVal val="0"/>
              <c:showCatName val="0"/>
              <c:showSerName val="0"/>
              <c:showPercent val="0"/>
              <c:showBubbleSize val="0"/>
            </c:dLbl>
            <c:spPr>
              <a:noFill/>
              <a:ln w="22899">
                <a:noFill/>
              </a:ln>
            </c:spPr>
            <c:txPr>
              <a:bodyPr/>
              <a:lstStyle/>
              <a:p>
                <a:pPr>
                  <a:defRPr b="1"/>
                </a:pPr>
                <a:endParaRPr lang="es-ES"/>
              </a:p>
            </c:txPr>
            <c:showLegendKey val="0"/>
            <c:showVal val="1"/>
            <c:showCatName val="0"/>
            <c:showSerName val="0"/>
            <c:showPercent val="0"/>
            <c:showBubbleSize val="0"/>
            <c:showLeaderLines val="0"/>
          </c:dLbls>
          <c:cat>
            <c:strRef>
              <c:f>Sheet1!$B$1:$C$1</c:f>
              <c:strCache>
                <c:ptCount val="2"/>
                <c:pt idx="0">
                  <c:v>Industria</c:v>
                </c:pt>
                <c:pt idx="1">
                  <c:v>Zerbitzuak</c:v>
                </c:pt>
              </c:strCache>
            </c:strRef>
          </c:cat>
          <c:val>
            <c:numRef>
              <c:f>Sheet1!$B$3:$C$3</c:f>
              <c:numCache>
                <c:formatCode>0.0%</c:formatCode>
                <c:ptCount val="2"/>
                <c:pt idx="0">
                  <c:v>-3.0000000000000002E-2</c:v>
                </c:pt>
                <c:pt idx="1">
                  <c:v>-0.10299999999999998</c:v>
                </c:pt>
              </c:numCache>
            </c:numRef>
          </c:val>
        </c:ser>
        <c:dLbls>
          <c:showLegendKey val="0"/>
          <c:showVal val="0"/>
          <c:showCatName val="0"/>
          <c:showSerName val="0"/>
          <c:showPercent val="0"/>
          <c:showBubbleSize val="0"/>
        </c:dLbls>
        <c:gapWidth val="150"/>
        <c:axId val="106081664"/>
        <c:axId val="106083456"/>
      </c:barChart>
      <c:catAx>
        <c:axId val="106081664"/>
        <c:scaling>
          <c:orientation val="minMax"/>
        </c:scaling>
        <c:delete val="0"/>
        <c:axPos val="b"/>
        <c:numFmt formatCode="General" sourceLinked="1"/>
        <c:majorTickMark val="out"/>
        <c:minorTickMark val="none"/>
        <c:tickLblPos val="low"/>
        <c:spPr>
          <a:ln w="2862">
            <a:solidFill>
              <a:srgbClr val="000000"/>
            </a:solidFill>
            <a:prstDash val="solid"/>
          </a:ln>
        </c:spPr>
        <c:txPr>
          <a:bodyPr rot="0" vert="horz"/>
          <a:lstStyle/>
          <a:p>
            <a:pPr>
              <a:defRPr/>
            </a:pPr>
            <a:endParaRPr lang="es-ES"/>
          </a:p>
        </c:txPr>
        <c:crossAx val="106083456"/>
        <c:crosses val="autoZero"/>
        <c:auto val="1"/>
        <c:lblAlgn val="ctr"/>
        <c:lblOffset val="100"/>
        <c:tickLblSkip val="1"/>
        <c:tickMarkSkip val="1"/>
        <c:noMultiLvlLbl val="0"/>
      </c:catAx>
      <c:valAx>
        <c:axId val="106083456"/>
        <c:scaling>
          <c:orientation val="minMax"/>
        </c:scaling>
        <c:delete val="0"/>
        <c:axPos val="l"/>
        <c:majorGridlines>
          <c:spPr>
            <a:ln w="11449">
              <a:solidFill>
                <a:srgbClr val="C0C0C0"/>
              </a:solidFill>
              <a:prstDash val="solid"/>
            </a:ln>
          </c:spPr>
        </c:majorGridlines>
        <c:numFmt formatCode="0%" sourceLinked="0"/>
        <c:majorTickMark val="out"/>
        <c:minorTickMark val="none"/>
        <c:tickLblPos val="nextTo"/>
        <c:spPr>
          <a:ln w="2862">
            <a:solidFill>
              <a:srgbClr val="000000"/>
            </a:solidFill>
            <a:prstDash val="solid"/>
          </a:ln>
        </c:spPr>
        <c:txPr>
          <a:bodyPr rot="0" vert="horz"/>
          <a:lstStyle/>
          <a:p>
            <a:pPr>
              <a:defRPr/>
            </a:pPr>
            <a:endParaRPr lang="es-ES"/>
          </a:p>
        </c:txPr>
        <c:crossAx val="106081664"/>
        <c:crosses val="autoZero"/>
        <c:crossBetween val="between"/>
      </c:valAx>
      <c:spPr>
        <a:noFill/>
        <a:ln w="25400">
          <a:noFill/>
        </a:ln>
      </c:spPr>
    </c:plotArea>
    <c:legend>
      <c:legendPos val="b"/>
      <c:layout>
        <c:manualLayout>
          <c:xMode val="edge"/>
          <c:yMode val="edge"/>
          <c:x val="0.24820158509598159"/>
          <c:y val="0.79716113610798667"/>
          <c:w val="0.61444598836910536"/>
          <c:h val="8.4806959171872892E-2"/>
        </c:manualLayout>
      </c:layout>
      <c:overlay val="0"/>
      <c:spPr>
        <a:noFill/>
        <a:ln w="2862">
          <a:noFill/>
          <a:prstDash val="solid"/>
        </a:ln>
      </c:spPr>
    </c:legend>
    <c:plotVisOnly val="1"/>
    <c:dispBlanksAs val="gap"/>
    <c:showDLblsOverMax val="0"/>
  </c:chart>
  <c:spPr>
    <a:noFill/>
    <a:ln>
      <a:noFill/>
    </a:ln>
  </c:spPr>
  <c:txPr>
    <a:bodyPr/>
    <a:lstStyle/>
    <a:p>
      <a:pPr>
        <a:defRPr sz="800" b="0" i="0" u="none" strike="noStrike" baseline="0">
          <a:solidFill>
            <a:srgbClr val="000000"/>
          </a:solidFill>
          <a:latin typeface="Arial" pitchFamily="34" charset="0"/>
          <a:ea typeface="Calibri"/>
          <a:cs typeface="Arial" pitchFamily="34" charset="0"/>
        </a:defRPr>
      </a:pPr>
      <a:endParaRPr lang="es-ES"/>
    </a:p>
  </c:tx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4898785425101824E-2"/>
          <c:y val="7.1428571428571425E-2"/>
          <c:w val="0.90485829959514175"/>
          <c:h val="0.59890109890109888"/>
        </c:manualLayout>
      </c:layout>
      <c:barChart>
        <c:barDir val="col"/>
        <c:grouping val="clustered"/>
        <c:varyColors val="0"/>
        <c:ser>
          <c:idx val="0"/>
          <c:order val="0"/>
          <c:tx>
            <c:strRef>
              <c:f>Sheet1!$A$2</c:f>
              <c:strCache>
                <c:ptCount val="1"/>
                <c:pt idx="0">
                  <c:v>EAEko ekonomia</c:v>
                </c:pt>
              </c:strCache>
            </c:strRef>
          </c:tx>
          <c:spPr>
            <a:solidFill>
              <a:schemeClr val="accent1">
                <a:lumMod val="20000"/>
                <a:lumOff val="80000"/>
              </a:schemeClr>
            </a:solidFill>
            <a:ln w="12700">
              <a:noFill/>
              <a:prstDash val="solid"/>
            </a:ln>
          </c:spPr>
          <c:invertIfNegative val="0"/>
          <c:dLbls>
            <c:dLbl>
              <c:idx val="0"/>
              <c:layout>
                <c:manualLayout>
                  <c:x val="-8.2234869156208069E-3"/>
                  <c:y val="-2.9888451443569552E-3"/>
                </c:manualLayout>
              </c:layout>
              <c:tx>
                <c:rich>
                  <a:bodyPr/>
                  <a:lstStyle/>
                  <a:p>
                    <a:r>
                      <a:rPr lang="en-US"/>
                      <a:t>%0,9</a:t>
                    </a:r>
                  </a:p>
                </c:rich>
              </c:tx>
              <c:showLegendKey val="0"/>
              <c:showVal val="1"/>
              <c:showCatName val="0"/>
              <c:showSerName val="0"/>
              <c:showPercent val="0"/>
              <c:showBubbleSize val="0"/>
            </c:dLbl>
            <c:dLbl>
              <c:idx val="1"/>
              <c:layout>
                <c:manualLayout>
                  <c:x val="-9.3953899326941447E-3"/>
                  <c:y val="-6.3533464566929137E-3"/>
                </c:manualLayout>
              </c:layout>
              <c:tx>
                <c:rich>
                  <a:bodyPr/>
                  <a:lstStyle/>
                  <a:p>
                    <a:r>
                      <a:rPr lang="en-US"/>
                      <a:t>%23,7</a:t>
                    </a:r>
                  </a:p>
                </c:rich>
              </c:tx>
              <c:showLegendKey val="0"/>
              <c:showVal val="1"/>
              <c:showCatName val="0"/>
              <c:showSerName val="0"/>
              <c:showPercent val="0"/>
              <c:showBubbleSize val="0"/>
            </c:dLbl>
            <c:dLbl>
              <c:idx val="2"/>
              <c:layout>
                <c:manualLayout>
                  <c:x val="-6.5861074296406723E-4"/>
                  <c:y val="-1.3967629046369365E-2"/>
                </c:manualLayout>
              </c:layout>
              <c:tx>
                <c:rich>
                  <a:bodyPr/>
                  <a:lstStyle/>
                  <a:p>
                    <a:r>
                      <a:rPr lang="en-US"/>
                      <a:t>%6,4</a:t>
                    </a:r>
                  </a:p>
                </c:rich>
              </c:tx>
              <c:showLegendKey val="0"/>
              <c:showVal val="1"/>
              <c:showCatName val="0"/>
              <c:showSerName val="0"/>
              <c:showPercent val="0"/>
              <c:showBubbleSize val="0"/>
            </c:dLbl>
            <c:dLbl>
              <c:idx val="3"/>
              <c:layout>
                <c:manualLayout>
                  <c:x val="1.6023948215145743E-3"/>
                  <c:y val="-1.9654225914068565E-2"/>
                </c:manualLayout>
              </c:layout>
              <c:tx>
                <c:rich>
                  <a:bodyPr/>
                  <a:lstStyle/>
                  <a:p>
                    <a:r>
                      <a:rPr lang="en-US"/>
                      <a:t>%69,0</a:t>
                    </a:r>
                  </a:p>
                </c:rich>
              </c:tx>
              <c:showLegendKey val="0"/>
              <c:showVal val="1"/>
              <c:showCatName val="0"/>
              <c:showSerName val="0"/>
              <c:showPercent val="0"/>
              <c:showBubbleSize val="0"/>
            </c:dLbl>
            <c:dLbl>
              <c:idx val="4"/>
              <c:layout>
                <c:manualLayout>
                  <c:xMode val="edge"/>
                  <c:yMode val="edge"/>
                  <c:x val="0.69230769230769262"/>
                  <c:y val="0.43956043956044266"/>
                </c:manualLayout>
              </c:layout>
              <c:showLegendKey val="0"/>
              <c:showVal val="1"/>
              <c:showCatName val="0"/>
              <c:showSerName val="0"/>
              <c:showPercent val="0"/>
              <c:showBubbleSize val="0"/>
            </c:dLbl>
            <c:spPr>
              <a:noFill/>
              <a:ln w="25400">
                <a:noFill/>
              </a:ln>
            </c:spPr>
            <c:txPr>
              <a:bodyPr/>
              <a:lstStyle/>
              <a:p>
                <a:pPr>
                  <a:defRPr b="1"/>
                </a:pPr>
                <a:endParaRPr lang="es-ES"/>
              </a:p>
            </c:txPr>
            <c:showLegendKey val="0"/>
            <c:showVal val="1"/>
            <c:showCatName val="0"/>
            <c:showSerName val="0"/>
            <c:showPercent val="0"/>
            <c:showBubbleSize val="0"/>
            <c:showLeaderLines val="0"/>
          </c:dLbls>
          <c:cat>
            <c:strRef>
              <c:f>Sheet1!$B$1:$E$1</c:f>
              <c:strCache>
                <c:ptCount val="4"/>
                <c:pt idx="0">
                  <c:v>Lehen sektorea</c:v>
                </c:pt>
                <c:pt idx="1">
                  <c:v>Industria</c:v>
                </c:pt>
                <c:pt idx="2">
                  <c:v>Eraikuntza</c:v>
                </c:pt>
                <c:pt idx="3">
                  <c:v>Zerbitzuak</c:v>
                </c:pt>
              </c:strCache>
            </c:strRef>
          </c:cat>
          <c:val>
            <c:numRef>
              <c:f>Sheet1!$B$2:$E$2</c:f>
              <c:numCache>
                <c:formatCode>0.0%</c:formatCode>
                <c:ptCount val="4"/>
                <c:pt idx="0">
                  <c:v>9.2000000000000068E-3</c:v>
                </c:pt>
                <c:pt idx="1">
                  <c:v>0.23700000000000004</c:v>
                </c:pt>
                <c:pt idx="2">
                  <c:v>6.4000000000000112E-2</c:v>
                </c:pt>
                <c:pt idx="3">
                  <c:v>0.69000000000000061</c:v>
                </c:pt>
              </c:numCache>
            </c:numRef>
          </c:val>
        </c:ser>
        <c:ser>
          <c:idx val="1"/>
          <c:order val="1"/>
          <c:tx>
            <c:strRef>
              <c:f>Sheet1!$A$3</c:f>
              <c:strCache>
                <c:ptCount val="1"/>
                <c:pt idx="0">
                  <c:v>Gizarte-Ekonomia</c:v>
                </c:pt>
              </c:strCache>
            </c:strRef>
          </c:tx>
          <c:spPr>
            <a:solidFill>
              <a:schemeClr val="tx2"/>
            </a:solidFill>
            <a:ln w="12700">
              <a:noFill/>
              <a:prstDash val="solid"/>
            </a:ln>
          </c:spPr>
          <c:invertIfNegative val="0"/>
          <c:dLbls>
            <c:dLbl>
              <c:idx val="0"/>
              <c:layout>
                <c:manualLayout>
                  <c:x val="1.3402562303474443E-2"/>
                  <c:y val="-7.2069116360454948E-4"/>
                </c:manualLayout>
              </c:layout>
              <c:tx>
                <c:rich>
                  <a:bodyPr/>
                  <a:lstStyle/>
                  <a:p>
                    <a:r>
                      <a:rPr lang="en-US"/>
                      <a:t>%0,2</a:t>
                    </a:r>
                  </a:p>
                </c:rich>
              </c:tx>
              <c:showLegendKey val="0"/>
              <c:showVal val="1"/>
              <c:showCatName val="0"/>
              <c:showSerName val="0"/>
              <c:showPercent val="0"/>
              <c:showBubbleSize val="0"/>
            </c:dLbl>
            <c:dLbl>
              <c:idx val="1"/>
              <c:layout>
                <c:manualLayout>
                  <c:x val="2.2858033834879652E-3"/>
                  <c:y val="-1.2630139982502189E-2"/>
                </c:manualLayout>
              </c:layout>
              <c:tx>
                <c:rich>
                  <a:bodyPr/>
                  <a:lstStyle/>
                  <a:p>
                    <a:r>
                      <a:rPr lang="en-US"/>
                      <a:t>%46,1</a:t>
                    </a:r>
                  </a:p>
                </c:rich>
              </c:tx>
              <c:showLegendKey val="0"/>
              <c:showVal val="1"/>
              <c:showCatName val="0"/>
              <c:showSerName val="0"/>
              <c:showPercent val="0"/>
              <c:showBubbleSize val="0"/>
            </c:dLbl>
            <c:dLbl>
              <c:idx val="2"/>
              <c:layout>
                <c:manualLayout>
                  <c:x val="2.052774096307269E-2"/>
                  <c:y val="-2.0383858267716552E-2"/>
                </c:manualLayout>
              </c:layout>
              <c:tx>
                <c:rich>
                  <a:bodyPr/>
                  <a:lstStyle/>
                  <a:p>
                    <a:r>
                      <a:rPr lang="en-US"/>
                      <a:t>%3,6</a:t>
                    </a:r>
                  </a:p>
                </c:rich>
              </c:tx>
              <c:showLegendKey val="0"/>
              <c:showVal val="1"/>
              <c:showCatName val="0"/>
              <c:showSerName val="0"/>
              <c:showPercent val="0"/>
              <c:showBubbleSize val="0"/>
            </c:dLbl>
            <c:dLbl>
              <c:idx val="3"/>
              <c:layout>
                <c:manualLayout>
                  <c:x val="1.9003456251137068E-2"/>
                  <c:y val="-7.5896762904637796E-4"/>
                </c:manualLayout>
              </c:layout>
              <c:tx>
                <c:rich>
                  <a:bodyPr/>
                  <a:lstStyle/>
                  <a:p>
                    <a:r>
                      <a:rPr lang="en-US"/>
                      <a:t>%50,1</a:t>
                    </a:r>
                  </a:p>
                </c:rich>
              </c:tx>
              <c:showLegendKey val="0"/>
              <c:showVal val="1"/>
              <c:showCatName val="0"/>
              <c:showSerName val="0"/>
              <c:showPercent val="0"/>
              <c:showBubbleSize val="0"/>
            </c:dLbl>
            <c:dLbl>
              <c:idx val="4"/>
              <c:layout>
                <c:manualLayout>
                  <c:xMode val="edge"/>
                  <c:yMode val="edge"/>
                  <c:x val="0.7672064777327936"/>
                  <c:y val="0.46153846153846362"/>
                </c:manualLayout>
              </c:layout>
              <c:showLegendKey val="0"/>
              <c:showVal val="1"/>
              <c:showCatName val="0"/>
              <c:showSerName val="0"/>
              <c:showPercent val="0"/>
              <c:showBubbleSize val="0"/>
            </c:dLbl>
            <c:spPr>
              <a:noFill/>
              <a:ln w="25400">
                <a:noFill/>
              </a:ln>
            </c:spPr>
            <c:txPr>
              <a:bodyPr/>
              <a:lstStyle/>
              <a:p>
                <a:pPr>
                  <a:defRPr b="1"/>
                </a:pPr>
                <a:endParaRPr lang="es-ES"/>
              </a:p>
            </c:txPr>
            <c:showLegendKey val="0"/>
            <c:showVal val="1"/>
            <c:showCatName val="0"/>
            <c:showSerName val="0"/>
            <c:showPercent val="0"/>
            <c:showBubbleSize val="0"/>
            <c:showLeaderLines val="0"/>
          </c:dLbls>
          <c:cat>
            <c:strRef>
              <c:f>Sheet1!$B$1:$E$1</c:f>
              <c:strCache>
                <c:ptCount val="4"/>
                <c:pt idx="0">
                  <c:v>Lehen sektorea</c:v>
                </c:pt>
                <c:pt idx="1">
                  <c:v>Industria</c:v>
                </c:pt>
                <c:pt idx="2">
                  <c:v>Eraikuntza</c:v>
                </c:pt>
                <c:pt idx="3">
                  <c:v>Zerbitzuak</c:v>
                </c:pt>
              </c:strCache>
            </c:strRef>
          </c:cat>
          <c:val>
            <c:numRef>
              <c:f>Sheet1!$B$3:$E$3</c:f>
              <c:numCache>
                <c:formatCode>0.0%</c:formatCode>
                <c:ptCount val="4"/>
                <c:pt idx="0">
                  <c:v>2.0000000000000052E-3</c:v>
                </c:pt>
                <c:pt idx="1">
                  <c:v>0.46100000000000002</c:v>
                </c:pt>
                <c:pt idx="2">
                  <c:v>3.5999999999999997E-2</c:v>
                </c:pt>
                <c:pt idx="3">
                  <c:v>0.501</c:v>
                </c:pt>
              </c:numCache>
            </c:numRef>
          </c:val>
        </c:ser>
        <c:dLbls>
          <c:showLegendKey val="0"/>
          <c:showVal val="0"/>
          <c:showCatName val="0"/>
          <c:showSerName val="0"/>
          <c:showPercent val="0"/>
          <c:showBubbleSize val="0"/>
        </c:dLbls>
        <c:gapWidth val="150"/>
        <c:axId val="105847424"/>
        <c:axId val="105865600"/>
      </c:barChart>
      <c:catAx>
        <c:axId val="105847424"/>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a:pPr>
            <a:endParaRPr lang="es-ES"/>
          </a:p>
        </c:txPr>
        <c:crossAx val="105865600"/>
        <c:crosses val="autoZero"/>
        <c:auto val="1"/>
        <c:lblAlgn val="ctr"/>
        <c:lblOffset val="100"/>
        <c:tickLblSkip val="1"/>
        <c:tickMarkSkip val="1"/>
        <c:noMultiLvlLbl val="0"/>
      </c:catAx>
      <c:valAx>
        <c:axId val="105865600"/>
        <c:scaling>
          <c:orientation val="minMax"/>
        </c:scaling>
        <c:delete val="0"/>
        <c:axPos val="l"/>
        <c:majorGridlines>
          <c:spPr>
            <a:ln w="12700">
              <a:solidFill>
                <a:srgbClr val="C0C0C0"/>
              </a:solidFill>
              <a:prstDash val="solid"/>
            </a:ln>
          </c:spPr>
        </c:majorGridlines>
        <c:numFmt formatCode="0%" sourceLinked="0"/>
        <c:majorTickMark val="out"/>
        <c:minorTickMark val="none"/>
        <c:tickLblPos val="nextTo"/>
        <c:spPr>
          <a:ln w="3175">
            <a:solidFill>
              <a:srgbClr val="000000"/>
            </a:solidFill>
            <a:prstDash val="solid"/>
          </a:ln>
        </c:spPr>
        <c:txPr>
          <a:bodyPr rot="0" vert="horz"/>
          <a:lstStyle/>
          <a:p>
            <a:pPr>
              <a:defRPr/>
            </a:pPr>
            <a:endParaRPr lang="es-ES"/>
          </a:p>
        </c:txPr>
        <c:crossAx val="105847424"/>
        <c:crosses val="autoZero"/>
        <c:crossBetween val="between"/>
        <c:majorUnit val="0.2"/>
      </c:valAx>
      <c:spPr>
        <a:noFill/>
        <a:ln w="25400">
          <a:noFill/>
        </a:ln>
      </c:spPr>
    </c:plotArea>
    <c:legend>
      <c:legendPos val="b"/>
      <c:layout>
        <c:manualLayout>
          <c:xMode val="edge"/>
          <c:yMode val="edge"/>
          <c:x val="0.21659919028340244"/>
          <c:y val="0.85714285714285765"/>
          <c:w val="0.63590360018825365"/>
          <c:h val="0.10309437882764656"/>
        </c:manualLayout>
      </c:layout>
      <c:overlay val="0"/>
      <c:spPr>
        <a:noFill/>
        <a:ln w="3175">
          <a:noFill/>
          <a:prstDash val="solid"/>
        </a:ln>
      </c:spPr>
    </c:legend>
    <c:plotVisOnly val="1"/>
    <c:dispBlanksAs val="gap"/>
    <c:showDLblsOverMax val="0"/>
  </c:chart>
  <c:spPr>
    <a:noFill/>
    <a:ln>
      <a:noFill/>
    </a:ln>
  </c:spPr>
  <c:txPr>
    <a:bodyPr/>
    <a:lstStyle/>
    <a:p>
      <a:pPr>
        <a:defRPr sz="800" b="0" i="0" u="none" strike="noStrike" baseline="0">
          <a:solidFill>
            <a:srgbClr val="000000"/>
          </a:solidFill>
          <a:latin typeface="Arial" pitchFamily="34" charset="0"/>
          <a:ea typeface="Calibri"/>
          <a:cs typeface="Arial" pitchFamily="34" charset="0"/>
        </a:defRPr>
      </a:pPr>
      <a:endParaRPr lang="es-ES"/>
    </a:p>
  </c:tx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8913043478260865E-2"/>
          <c:y val="7.6923076923076927E-2"/>
          <c:w val="0.93297101449275865"/>
          <c:h val="0.59340659340659341"/>
        </c:manualLayout>
      </c:layout>
      <c:barChart>
        <c:barDir val="col"/>
        <c:grouping val="clustered"/>
        <c:varyColors val="0"/>
        <c:ser>
          <c:idx val="2"/>
          <c:order val="0"/>
          <c:tx>
            <c:strRef>
              <c:f>Sheet1!$A$2</c:f>
              <c:strCache>
                <c:ptCount val="1"/>
                <c:pt idx="0">
                  <c:v>2008</c:v>
                </c:pt>
              </c:strCache>
            </c:strRef>
          </c:tx>
          <c:spPr>
            <a:solidFill>
              <a:schemeClr val="accent1">
                <a:lumMod val="20000"/>
                <a:lumOff val="80000"/>
              </a:schemeClr>
            </a:solidFill>
            <a:ln w="12700">
              <a:noFill/>
              <a:prstDash val="solid"/>
            </a:ln>
          </c:spPr>
          <c:invertIfNegative val="0"/>
          <c:dLbls>
            <c:dLbl>
              <c:idx val="0"/>
              <c:layout>
                <c:manualLayout>
                  <c:x val="-1.183431952662722E-2"/>
                  <c:y val="6.9444444444445412E-3"/>
                </c:manualLayout>
              </c:layout>
              <c:tx>
                <c:rich>
                  <a:bodyPr/>
                  <a:lstStyle/>
                  <a:p>
                    <a:r>
                      <a:rPr lang="en-US"/>
                      <a:t>%6,3</a:t>
                    </a:r>
                  </a:p>
                </c:rich>
              </c:tx>
              <c:showLegendKey val="0"/>
              <c:showVal val="1"/>
              <c:showCatName val="0"/>
              <c:showSerName val="0"/>
              <c:showPercent val="0"/>
              <c:showBubbleSize val="0"/>
            </c:dLbl>
            <c:dLbl>
              <c:idx val="1"/>
              <c:layout>
                <c:manualLayout>
                  <c:x val="0"/>
                  <c:y val="2.0833333333333412E-2"/>
                </c:manualLayout>
              </c:layout>
              <c:tx>
                <c:rich>
                  <a:bodyPr/>
                  <a:lstStyle/>
                  <a:p>
                    <a:r>
                      <a:rPr lang="en-US"/>
                      <a:t>%1,9</a:t>
                    </a:r>
                  </a:p>
                </c:rich>
              </c:tx>
              <c:showLegendKey val="0"/>
              <c:showVal val="1"/>
              <c:showCatName val="0"/>
              <c:showSerName val="0"/>
              <c:showPercent val="0"/>
              <c:showBubbleSize val="0"/>
            </c:dLbl>
            <c:dLbl>
              <c:idx val="2"/>
              <c:layout>
                <c:manualLayout>
                  <c:x val="-1.183431952662722E-2"/>
                  <c:y val="2.0833333333333412E-2"/>
                </c:manualLayout>
              </c:layout>
              <c:tx>
                <c:rich>
                  <a:bodyPr/>
                  <a:lstStyle/>
                  <a:p>
                    <a:r>
                      <a:rPr lang="en-US"/>
                      <a:t>%12,1</a:t>
                    </a:r>
                  </a:p>
                </c:rich>
              </c:tx>
              <c:showLegendKey val="0"/>
              <c:showVal val="1"/>
              <c:showCatName val="0"/>
              <c:showSerName val="0"/>
              <c:showPercent val="0"/>
              <c:showBubbleSize val="0"/>
            </c:dLbl>
            <c:dLbl>
              <c:idx val="3"/>
              <c:layout>
                <c:manualLayout>
                  <c:x val="-9.4674556213018048E-3"/>
                  <c:y val="2.0833333333333412E-2"/>
                </c:manualLayout>
              </c:layout>
              <c:tx>
                <c:rich>
                  <a:bodyPr/>
                  <a:lstStyle/>
                  <a:p>
                    <a:r>
                      <a:rPr lang="en-US"/>
                      <a:t>%2,7</a:t>
                    </a:r>
                  </a:p>
                </c:rich>
              </c:tx>
              <c:showLegendKey val="0"/>
              <c:showVal val="1"/>
              <c:showCatName val="0"/>
              <c:showSerName val="0"/>
              <c:showPercent val="0"/>
              <c:showBubbleSize val="0"/>
            </c:dLbl>
            <c:dLbl>
              <c:idx val="4"/>
              <c:layout>
                <c:manualLayout>
                  <c:x val="-9.473060982830071E-3"/>
                  <c:y val="2.7777777777778002E-2"/>
                </c:manualLayout>
              </c:layout>
              <c:tx>
                <c:rich>
                  <a:bodyPr/>
                  <a:lstStyle/>
                  <a:p>
                    <a:r>
                      <a:rPr lang="en-US"/>
                      <a:t>%4,8</a:t>
                    </a:r>
                  </a:p>
                </c:rich>
              </c:tx>
              <c:showLegendKey val="0"/>
              <c:showVal val="1"/>
              <c:showCatName val="0"/>
              <c:showSerName val="0"/>
              <c:showPercent val="0"/>
              <c:showBubbleSize val="0"/>
            </c:dLbl>
            <c:txPr>
              <a:bodyPr/>
              <a:lstStyle/>
              <a:p>
                <a:pPr>
                  <a:defRPr b="1"/>
                </a:pPr>
                <a:endParaRPr lang="es-ES"/>
              </a:p>
            </c:txPr>
            <c:showLegendKey val="0"/>
            <c:showVal val="1"/>
            <c:showCatName val="0"/>
            <c:showSerName val="0"/>
            <c:showPercent val="0"/>
            <c:showBubbleSize val="0"/>
            <c:showLeaderLines val="0"/>
          </c:dLbls>
          <c:cat>
            <c:strRef>
              <c:f>Sheet1!$B$1:$F$1</c:f>
              <c:strCache>
                <c:ptCount val="5"/>
                <c:pt idx="0">
                  <c:v>EAE</c:v>
                </c:pt>
                <c:pt idx="1">
                  <c:v>Nekazaritza</c:v>
                </c:pt>
                <c:pt idx="2">
                  <c:v>Industria</c:v>
                </c:pt>
                <c:pt idx="3">
                  <c:v>Eraikuntza</c:v>
                </c:pt>
                <c:pt idx="4">
                  <c:v>Zerbitzuak</c:v>
                </c:pt>
              </c:strCache>
            </c:strRef>
          </c:cat>
          <c:val>
            <c:numRef>
              <c:f>Sheet1!$B$2:$F$2</c:f>
              <c:numCache>
                <c:formatCode>0.0%</c:formatCode>
                <c:ptCount val="5"/>
                <c:pt idx="0">
                  <c:v>6.3E-2</c:v>
                </c:pt>
                <c:pt idx="1">
                  <c:v>1.9000000000000045E-2</c:v>
                </c:pt>
                <c:pt idx="2">
                  <c:v>0.12100000000000002</c:v>
                </c:pt>
                <c:pt idx="3">
                  <c:v>2.7000000000000059E-2</c:v>
                </c:pt>
                <c:pt idx="4">
                  <c:v>4.8000000000000001E-2</c:v>
                </c:pt>
              </c:numCache>
            </c:numRef>
          </c:val>
        </c:ser>
        <c:ser>
          <c:idx val="0"/>
          <c:order val="1"/>
          <c:tx>
            <c:strRef>
              <c:f>Sheet1!$A$3</c:f>
              <c:strCache>
                <c:ptCount val="1"/>
                <c:pt idx="0">
                  <c:v>2010</c:v>
                </c:pt>
              </c:strCache>
            </c:strRef>
          </c:tx>
          <c:spPr>
            <a:solidFill>
              <a:schemeClr val="tx2"/>
            </a:solidFill>
            <a:ln w="12700">
              <a:noFill/>
              <a:prstDash val="solid"/>
            </a:ln>
          </c:spPr>
          <c:invertIfNegative val="0"/>
          <c:dLbls>
            <c:dLbl>
              <c:idx val="0"/>
              <c:layout>
                <c:manualLayout>
                  <c:x val="0"/>
                  <c:y val="-4.8611111111111112E-2"/>
                </c:manualLayout>
              </c:layout>
              <c:tx>
                <c:rich>
                  <a:bodyPr/>
                  <a:lstStyle/>
                  <a:p>
                    <a:r>
                      <a:rPr lang="en-US"/>
                      <a:t>%6,3</a:t>
                    </a:r>
                  </a:p>
                </c:rich>
              </c:tx>
              <c:showLegendKey val="0"/>
              <c:showVal val="1"/>
              <c:showCatName val="0"/>
              <c:showSerName val="0"/>
              <c:showPercent val="0"/>
              <c:showBubbleSize val="0"/>
            </c:dLbl>
            <c:dLbl>
              <c:idx val="1"/>
              <c:layout>
                <c:manualLayout>
                  <c:x val="4.7337278106510004E-3"/>
                  <c:y val="-4.8611111111111084E-2"/>
                </c:manualLayout>
              </c:layout>
              <c:tx>
                <c:rich>
                  <a:bodyPr/>
                  <a:lstStyle/>
                  <a:p>
                    <a:r>
                      <a:rPr lang="en-US"/>
                      <a:t>%2,0</a:t>
                    </a:r>
                  </a:p>
                </c:rich>
              </c:tx>
              <c:showLegendKey val="0"/>
              <c:showVal val="1"/>
              <c:showCatName val="0"/>
              <c:showSerName val="0"/>
              <c:showPercent val="0"/>
              <c:showBubbleSize val="0"/>
            </c:dLbl>
            <c:dLbl>
              <c:idx val="2"/>
              <c:layout>
                <c:manualLayout>
                  <c:x val="4.7337278106509024E-3"/>
                  <c:y val="-6.25E-2"/>
                </c:manualLayout>
              </c:layout>
              <c:tx>
                <c:rich>
                  <a:bodyPr/>
                  <a:lstStyle/>
                  <a:p>
                    <a:r>
                      <a:rPr lang="en-US"/>
                      <a:t>%11,8</a:t>
                    </a:r>
                  </a:p>
                </c:rich>
              </c:tx>
              <c:showLegendKey val="0"/>
              <c:showVal val="1"/>
              <c:showCatName val="0"/>
              <c:showSerName val="0"/>
              <c:showPercent val="0"/>
              <c:showBubbleSize val="0"/>
            </c:dLbl>
            <c:dLbl>
              <c:idx val="3"/>
              <c:layout>
                <c:manualLayout>
                  <c:x val="-7.1005917159762504E-3"/>
                  <c:y val="-2.0833333333333412E-2"/>
                </c:manualLayout>
              </c:layout>
              <c:tx>
                <c:rich>
                  <a:bodyPr/>
                  <a:lstStyle/>
                  <a:p>
                    <a:r>
                      <a:rPr lang="en-US"/>
                      <a:t>%2,8</a:t>
                    </a:r>
                  </a:p>
                </c:rich>
              </c:tx>
              <c:showLegendKey val="0"/>
              <c:showVal val="1"/>
              <c:showCatName val="0"/>
              <c:showSerName val="0"/>
              <c:showPercent val="0"/>
              <c:showBubbleSize val="0"/>
            </c:dLbl>
            <c:dLbl>
              <c:idx val="4"/>
              <c:layout>
                <c:manualLayout>
                  <c:x val="0"/>
                  <c:y val="-2.0833333333333412E-2"/>
                </c:manualLayout>
              </c:layout>
              <c:tx>
                <c:rich>
                  <a:bodyPr/>
                  <a:lstStyle/>
                  <a:p>
                    <a:r>
                      <a:rPr lang="en-US"/>
                      <a:t>%4,9</a:t>
                    </a:r>
                  </a:p>
                </c:rich>
              </c:tx>
              <c:showLegendKey val="0"/>
              <c:showVal val="1"/>
              <c:showCatName val="0"/>
              <c:showSerName val="0"/>
              <c:showPercent val="0"/>
              <c:showBubbleSize val="0"/>
            </c:dLbl>
            <c:txPr>
              <a:bodyPr/>
              <a:lstStyle/>
              <a:p>
                <a:pPr>
                  <a:defRPr b="1"/>
                </a:pPr>
                <a:endParaRPr lang="es-ES"/>
              </a:p>
            </c:txPr>
            <c:showLegendKey val="0"/>
            <c:showVal val="1"/>
            <c:showCatName val="0"/>
            <c:showSerName val="0"/>
            <c:showPercent val="0"/>
            <c:showBubbleSize val="0"/>
            <c:showLeaderLines val="0"/>
          </c:dLbls>
          <c:cat>
            <c:strRef>
              <c:f>Sheet1!$B$1:$F$1</c:f>
              <c:strCache>
                <c:ptCount val="5"/>
                <c:pt idx="0">
                  <c:v>EAE</c:v>
                </c:pt>
                <c:pt idx="1">
                  <c:v>Nekazaritza</c:v>
                </c:pt>
                <c:pt idx="2">
                  <c:v>Industria</c:v>
                </c:pt>
                <c:pt idx="3">
                  <c:v>Eraikuntza</c:v>
                </c:pt>
                <c:pt idx="4">
                  <c:v>Zerbitzuak</c:v>
                </c:pt>
              </c:strCache>
            </c:strRef>
          </c:cat>
          <c:val>
            <c:numRef>
              <c:f>Sheet1!$B$3:$F$3</c:f>
              <c:numCache>
                <c:formatCode>0.0%</c:formatCode>
                <c:ptCount val="5"/>
                <c:pt idx="0">
                  <c:v>6.3E-2</c:v>
                </c:pt>
                <c:pt idx="1">
                  <c:v>2.0000000000000011E-2</c:v>
                </c:pt>
                <c:pt idx="2">
                  <c:v>0.11799999999999998</c:v>
                </c:pt>
                <c:pt idx="3">
                  <c:v>2.8000000000000001E-2</c:v>
                </c:pt>
                <c:pt idx="4">
                  <c:v>4.9000000000000106E-2</c:v>
                </c:pt>
              </c:numCache>
            </c:numRef>
          </c:val>
        </c:ser>
        <c:ser>
          <c:idx val="1"/>
          <c:order val="2"/>
          <c:tx>
            <c:strRef>
              <c:f>Sheet1!$A$4</c:f>
              <c:strCache>
                <c:ptCount val="1"/>
                <c:pt idx="0">
                  <c:v>2012</c:v>
                </c:pt>
              </c:strCache>
            </c:strRef>
          </c:tx>
          <c:spPr>
            <a:solidFill>
              <a:schemeClr val="accent1"/>
            </a:solidFill>
            <a:ln w="12700">
              <a:noFill/>
              <a:prstDash val="solid"/>
            </a:ln>
          </c:spPr>
          <c:invertIfNegative val="0"/>
          <c:dLbls>
            <c:dLbl>
              <c:idx val="0"/>
              <c:layout/>
              <c:tx>
                <c:rich>
                  <a:bodyPr/>
                  <a:lstStyle/>
                  <a:p>
                    <a:r>
                      <a:rPr lang="en-US"/>
                      <a:t>%6,2</a:t>
                    </a:r>
                  </a:p>
                </c:rich>
              </c:tx>
              <c:showLegendKey val="0"/>
              <c:showVal val="1"/>
              <c:showCatName val="0"/>
              <c:showSerName val="0"/>
              <c:showPercent val="0"/>
              <c:showBubbleSize val="0"/>
            </c:dLbl>
            <c:dLbl>
              <c:idx val="1"/>
              <c:layout/>
              <c:tx>
                <c:rich>
                  <a:bodyPr/>
                  <a:lstStyle/>
                  <a:p>
                    <a:r>
                      <a:rPr lang="en-US"/>
                      <a:t>%1,4</a:t>
                    </a:r>
                  </a:p>
                </c:rich>
              </c:tx>
              <c:showLegendKey val="0"/>
              <c:showVal val="1"/>
              <c:showCatName val="0"/>
              <c:showSerName val="0"/>
              <c:showPercent val="0"/>
              <c:showBubbleSize val="0"/>
            </c:dLbl>
            <c:dLbl>
              <c:idx val="2"/>
              <c:layout/>
              <c:tx>
                <c:rich>
                  <a:bodyPr/>
                  <a:lstStyle/>
                  <a:p>
                    <a:r>
                      <a:rPr lang="en-US"/>
                      <a:t>%12,0</a:t>
                    </a:r>
                  </a:p>
                </c:rich>
              </c:tx>
              <c:showLegendKey val="0"/>
              <c:showVal val="1"/>
              <c:showCatName val="0"/>
              <c:showSerName val="0"/>
              <c:showPercent val="0"/>
              <c:showBubbleSize val="0"/>
            </c:dLbl>
            <c:dLbl>
              <c:idx val="3"/>
              <c:layout/>
              <c:tx>
                <c:rich>
                  <a:bodyPr/>
                  <a:lstStyle/>
                  <a:p>
                    <a:r>
                      <a:rPr lang="en-US"/>
                      <a:t>%3,5</a:t>
                    </a:r>
                  </a:p>
                </c:rich>
              </c:tx>
              <c:showLegendKey val="0"/>
              <c:showVal val="1"/>
              <c:showCatName val="0"/>
              <c:showSerName val="0"/>
              <c:showPercent val="0"/>
              <c:showBubbleSize val="0"/>
            </c:dLbl>
            <c:dLbl>
              <c:idx val="4"/>
              <c:layout/>
              <c:tx>
                <c:rich>
                  <a:bodyPr/>
                  <a:lstStyle/>
                  <a:p>
                    <a:r>
                      <a:rPr lang="en-US"/>
                      <a:t>%4,5</a:t>
                    </a:r>
                  </a:p>
                </c:rich>
              </c:tx>
              <c:showLegendKey val="0"/>
              <c:showVal val="1"/>
              <c:showCatName val="0"/>
              <c:showSerName val="0"/>
              <c:showPercent val="0"/>
              <c:showBubbleSize val="0"/>
            </c:dLbl>
            <c:txPr>
              <a:bodyPr/>
              <a:lstStyle/>
              <a:p>
                <a:pPr>
                  <a:defRPr b="1"/>
                </a:pPr>
                <a:endParaRPr lang="es-ES"/>
              </a:p>
            </c:txPr>
            <c:showLegendKey val="0"/>
            <c:showVal val="1"/>
            <c:showCatName val="0"/>
            <c:showSerName val="0"/>
            <c:showPercent val="0"/>
            <c:showBubbleSize val="0"/>
            <c:showLeaderLines val="0"/>
          </c:dLbls>
          <c:cat>
            <c:strRef>
              <c:f>Sheet1!$B$1:$F$1</c:f>
              <c:strCache>
                <c:ptCount val="5"/>
                <c:pt idx="0">
                  <c:v>EAE</c:v>
                </c:pt>
                <c:pt idx="1">
                  <c:v>Nekazaritza</c:v>
                </c:pt>
                <c:pt idx="2">
                  <c:v>Industria</c:v>
                </c:pt>
                <c:pt idx="3">
                  <c:v>Eraikuntza</c:v>
                </c:pt>
                <c:pt idx="4">
                  <c:v>Zerbitzuak</c:v>
                </c:pt>
              </c:strCache>
            </c:strRef>
          </c:cat>
          <c:val>
            <c:numRef>
              <c:f>Sheet1!$B$4:$F$4</c:f>
              <c:numCache>
                <c:formatCode>0.0%</c:formatCode>
                <c:ptCount val="5"/>
                <c:pt idx="0">
                  <c:v>6.2000000000000034E-2</c:v>
                </c:pt>
                <c:pt idx="1">
                  <c:v>1.4E-2</c:v>
                </c:pt>
                <c:pt idx="2">
                  <c:v>0.12000000000000002</c:v>
                </c:pt>
                <c:pt idx="3">
                  <c:v>3.500000000000001E-2</c:v>
                </c:pt>
                <c:pt idx="4">
                  <c:v>4.5000000000000012E-2</c:v>
                </c:pt>
              </c:numCache>
            </c:numRef>
          </c:val>
        </c:ser>
        <c:dLbls>
          <c:showLegendKey val="0"/>
          <c:showVal val="0"/>
          <c:showCatName val="0"/>
          <c:showSerName val="0"/>
          <c:showPercent val="0"/>
          <c:showBubbleSize val="0"/>
        </c:dLbls>
        <c:gapWidth val="150"/>
        <c:axId val="108136704"/>
        <c:axId val="108171264"/>
      </c:barChart>
      <c:catAx>
        <c:axId val="108136704"/>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a:pPr>
            <a:endParaRPr lang="es-ES"/>
          </a:p>
        </c:txPr>
        <c:crossAx val="108171264"/>
        <c:crosses val="autoZero"/>
        <c:auto val="1"/>
        <c:lblAlgn val="ctr"/>
        <c:lblOffset val="100"/>
        <c:tickLblSkip val="1"/>
        <c:tickMarkSkip val="1"/>
        <c:noMultiLvlLbl val="0"/>
      </c:catAx>
      <c:valAx>
        <c:axId val="108171264"/>
        <c:scaling>
          <c:orientation val="minMax"/>
        </c:scaling>
        <c:delete val="0"/>
        <c:axPos val="l"/>
        <c:majorGridlines>
          <c:spPr>
            <a:ln w="12700">
              <a:solidFill>
                <a:srgbClr val="C0C0C0"/>
              </a:solidFill>
              <a:prstDash val="solid"/>
            </a:ln>
          </c:spPr>
        </c:majorGridlines>
        <c:numFmt formatCode="0%" sourceLinked="0"/>
        <c:majorTickMark val="out"/>
        <c:minorTickMark val="none"/>
        <c:tickLblPos val="nextTo"/>
        <c:spPr>
          <a:ln w="3175">
            <a:solidFill>
              <a:srgbClr val="000000"/>
            </a:solidFill>
            <a:prstDash val="solid"/>
          </a:ln>
        </c:spPr>
        <c:txPr>
          <a:bodyPr rot="0" vert="horz"/>
          <a:lstStyle/>
          <a:p>
            <a:pPr>
              <a:defRPr/>
            </a:pPr>
            <a:endParaRPr lang="es-ES"/>
          </a:p>
        </c:txPr>
        <c:crossAx val="108136704"/>
        <c:crosses val="autoZero"/>
        <c:crossBetween val="between"/>
        <c:majorUnit val="0.05"/>
      </c:valAx>
      <c:spPr>
        <a:noFill/>
        <a:ln w="25400">
          <a:noFill/>
        </a:ln>
      </c:spPr>
    </c:plotArea>
    <c:legend>
      <c:legendPos val="b"/>
      <c:layout>
        <c:manualLayout>
          <c:xMode val="edge"/>
          <c:yMode val="edge"/>
          <c:x val="0.24926468806784113"/>
          <c:y val="0.8681318681318686"/>
          <c:w val="0.51841271024553859"/>
          <c:h val="0.10309437882764656"/>
        </c:manualLayout>
      </c:layout>
      <c:overlay val="0"/>
      <c:spPr>
        <a:noFill/>
        <a:ln w="3175">
          <a:noFill/>
          <a:prstDash val="solid"/>
        </a:ln>
      </c:spPr>
    </c:legend>
    <c:plotVisOnly val="1"/>
    <c:dispBlanksAs val="gap"/>
    <c:showDLblsOverMax val="0"/>
  </c:chart>
  <c:spPr>
    <a:noFill/>
    <a:ln>
      <a:noFill/>
    </a:ln>
  </c:spPr>
  <c:txPr>
    <a:bodyPr/>
    <a:lstStyle/>
    <a:p>
      <a:pPr>
        <a:defRPr sz="800" b="0" i="0" u="none" strike="noStrike" baseline="0">
          <a:solidFill>
            <a:srgbClr val="000000"/>
          </a:solidFill>
          <a:latin typeface="Arial" pitchFamily="34" charset="0"/>
          <a:ea typeface="Calibri"/>
          <a:cs typeface="Arial" pitchFamily="34" charset="0"/>
        </a:defRPr>
      </a:pPr>
      <a:endParaRPr lang="es-ES"/>
    </a:p>
  </c:tx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2349726775956283E-2"/>
          <c:y val="8.8105726872247381E-3"/>
          <c:w val="0.95765027322404872"/>
          <c:h val="0.75770925110132603"/>
        </c:manualLayout>
      </c:layout>
      <c:barChart>
        <c:barDir val="col"/>
        <c:grouping val="clustered"/>
        <c:varyColors val="0"/>
        <c:ser>
          <c:idx val="0"/>
          <c:order val="0"/>
          <c:tx>
            <c:strRef>
              <c:f>Sheet1!$A$2</c:f>
              <c:strCache>
                <c:ptCount val="1"/>
                <c:pt idx="0">
                  <c:v>Kooperatibak</c:v>
                </c:pt>
              </c:strCache>
            </c:strRef>
          </c:tx>
          <c:spPr>
            <a:solidFill>
              <a:schemeClr val="accent1">
                <a:lumMod val="20000"/>
                <a:lumOff val="80000"/>
              </a:schemeClr>
            </a:solidFill>
            <a:ln w="12682">
              <a:noFill/>
              <a:prstDash val="solid"/>
            </a:ln>
          </c:spPr>
          <c:invertIfNegative val="0"/>
          <c:dLbls>
            <c:dLbl>
              <c:idx val="0"/>
              <c:layout/>
              <c:tx>
                <c:rich>
                  <a:bodyPr/>
                  <a:lstStyle/>
                  <a:p>
                    <a:r>
                      <a:rPr lang="en-US"/>
                      <a:t>%74,3</a:t>
                    </a:r>
                  </a:p>
                </c:rich>
              </c:tx>
              <c:showLegendKey val="0"/>
              <c:showVal val="1"/>
              <c:showCatName val="0"/>
              <c:showSerName val="0"/>
              <c:showPercent val="0"/>
              <c:showBubbleSize val="0"/>
            </c:dLbl>
            <c:dLbl>
              <c:idx val="1"/>
              <c:layout/>
              <c:tx>
                <c:rich>
                  <a:bodyPr/>
                  <a:lstStyle/>
                  <a:p>
                    <a:r>
                      <a:rPr lang="en-US"/>
                      <a:t>%68,7</a:t>
                    </a:r>
                  </a:p>
                </c:rich>
              </c:tx>
              <c:showLegendKey val="0"/>
              <c:showVal val="1"/>
              <c:showCatName val="0"/>
              <c:showSerName val="0"/>
              <c:showPercent val="0"/>
              <c:showBubbleSize val="0"/>
            </c:dLbl>
            <c:dLbl>
              <c:idx val="2"/>
              <c:layout/>
              <c:tx>
                <c:rich>
                  <a:bodyPr/>
                  <a:lstStyle/>
                  <a:p>
                    <a:r>
                      <a:rPr lang="en-US"/>
                      <a:t>%66,0</a:t>
                    </a:r>
                  </a:p>
                </c:rich>
              </c:tx>
              <c:showLegendKey val="0"/>
              <c:showVal val="1"/>
              <c:showCatName val="0"/>
              <c:showSerName val="0"/>
              <c:showPercent val="0"/>
              <c:showBubbleSize val="0"/>
            </c:dLbl>
            <c:dLbl>
              <c:idx val="3"/>
              <c:layout/>
              <c:tx>
                <c:rich>
                  <a:bodyPr/>
                  <a:lstStyle/>
                  <a:p>
                    <a:r>
                      <a:rPr lang="en-US"/>
                      <a:t>%67,3</a:t>
                    </a:r>
                  </a:p>
                </c:rich>
              </c:tx>
              <c:showLegendKey val="0"/>
              <c:showVal val="1"/>
              <c:showCatName val="0"/>
              <c:showSerName val="0"/>
              <c:showPercent val="0"/>
              <c:showBubbleSize val="0"/>
            </c:dLbl>
            <c:dLbl>
              <c:idx val="4"/>
              <c:layout/>
              <c:tx>
                <c:rich>
                  <a:bodyPr/>
                  <a:lstStyle/>
                  <a:p>
                    <a:r>
                      <a:rPr lang="en-US"/>
                      <a:t>%65,9</a:t>
                    </a:r>
                  </a:p>
                </c:rich>
              </c:tx>
              <c:showLegendKey val="0"/>
              <c:showVal val="1"/>
              <c:showCatName val="0"/>
              <c:showSerName val="0"/>
              <c:showPercent val="0"/>
              <c:showBubbleSize val="0"/>
            </c:dLbl>
            <c:dLbl>
              <c:idx val="5"/>
              <c:layout/>
              <c:tx>
                <c:rich>
                  <a:bodyPr/>
                  <a:lstStyle/>
                  <a:p>
                    <a:r>
                      <a:rPr lang="en-US"/>
                      <a:t>%69,0</a:t>
                    </a:r>
                  </a:p>
                </c:rich>
              </c:tx>
              <c:showLegendKey val="0"/>
              <c:showVal val="1"/>
              <c:showCatName val="0"/>
              <c:showSerName val="0"/>
              <c:showPercent val="0"/>
              <c:showBubbleSize val="0"/>
            </c:dLbl>
            <c:dLbl>
              <c:idx val="6"/>
              <c:layout/>
              <c:tx>
                <c:rich>
                  <a:bodyPr/>
                  <a:lstStyle/>
                  <a:p>
                    <a:r>
                      <a:rPr lang="en-US"/>
                      <a:t>%68,9</a:t>
                    </a:r>
                  </a:p>
                </c:rich>
              </c:tx>
              <c:showLegendKey val="0"/>
              <c:showVal val="1"/>
              <c:showCatName val="0"/>
              <c:showSerName val="0"/>
              <c:showPercent val="0"/>
              <c:showBubbleSize val="0"/>
            </c:dLbl>
            <c:dLbl>
              <c:idx val="7"/>
              <c:layout/>
              <c:tx>
                <c:rich>
                  <a:bodyPr/>
                  <a:lstStyle/>
                  <a:p>
                    <a:r>
                      <a:rPr lang="en-US"/>
                      <a:t>%70,8</a:t>
                    </a:r>
                  </a:p>
                </c:rich>
              </c:tx>
              <c:showLegendKey val="0"/>
              <c:showVal val="1"/>
              <c:showCatName val="0"/>
              <c:showSerName val="0"/>
              <c:showPercent val="0"/>
              <c:showBubbleSize val="0"/>
            </c:dLbl>
            <c:dLbl>
              <c:idx val="8"/>
              <c:layout/>
              <c:tx>
                <c:rich>
                  <a:bodyPr/>
                  <a:lstStyle/>
                  <a:p>
                    <a:r>
                      <a:rPr lang="en-US"/>
                      <a:t>%71,5</a:t>
                    </a:r>
                  </a:p>
                </c:rich>
              </c:tx>
              <c:showLegendKey val="0"/>
              <c:showVal val="1"/>
              <c:showCatName val="0"/>
              <c:showSerName val="0"/>
              <c:showPercent val="0"/>
              <c:showBubbleSize val="0"/>
            </c:dLbl>
            <c:txPr>
              <a:bodyPr/>
              <a:lstStyle/>
              <a:p>
                <a:pPr>
                  <a:defRPr sz="700" b="1"/>
                </a:pPr>
                <a:endParaRPr lang="es-ES"/>
              </a:p>
            </c:txPr>
            <c:showLegendKey val="0"/>
            <c:showVal val="1"/>
            <c:showCatName val="0"/>
            <c:showSerName val="0"/>
            <c:showPercent val="0"/>
            <c:showBubbleSize val="0"/>
            <c:showLeaderLines val="0"/>
          </c:dLbls>
          <c:cat>
            <c:numRef>
              <c:f>Sheet1!$B$1:$J$1</c:f>
              <c:numCache>
                <c:formatCode>General</c:formatCode>
                <c:ptCount val="9"/>
                <c:pt idx="0">
                  <c:v>1996</c:v>
                </c:pt>
                <c:pt idx="1">
                  <c:v>1998</c:v>
                </c:pt>
                <c:pt idx="2">
                  <c:v>2000</c:v>
                </c:pt>
                <c:pt idx="3">
                  <c:v>2002</c:v>
                </c:pt>
                <c:pt idx="4">
                  <c:v>2004</c:v>
                </c:pt>
                <c:pt idx="5">
                  <c:v>2006</c:v>
                </c:pt>
                <c:pt idx="6">
                  <c:v>2008</c:v>
                </c:pt>
                <c:pt idx="7">
                  <c:v>2010</c:v>
                </c:pt>
                <c:pt idx="8">
                  <c:v>2012</c:v>
                </c:pt>
              </c:numCache>
            </c:numRef>
          </c:cat>
          <c:val>
            <c:numRef>
              <c:f>Sheet1!$B$2:$J$2</c:f>
              <c:numCache>
                <c:formatCode>0.0%</c:formatCode>
                <c:ptCount val="9"/>
                <c:pt idx="0">
                  <c:v>0.74300000000000199</c:v>
                </c:pt>
                <c:pt idx="1">
                  <c:v>0.68700000000000061</c:v>
                </c:pt>
                <c:pt idx="2">
                  <c:v>0.66000000000000258</c:v>
                </c:pt>
                <c:pt idx="3">
                  <c:v>0.67300000000000271</c:v>
                </c:pt>
                <c:pt idx="4">
                  <c:v>0.65900000000000258</c:v>
                </c:pt>
                <c:pt idx="5">
                  <c:v>0.69000000000000061</c:v>
                </c:pt>
                <c:pt idx="6">
                  <c:v>0.68899999999999995</c:v>
                </c:pt>
                <c:pt idx="7">
                  <c:v>0.70800000000000063</c:v>
                </c:pt>
                <c:pt idx="8">
                  <c:v>0.71500000000000064</c:v>
                </c:pt>
              </c:numCache>
            </c:numRef>
          </c:val>
        </c:ser>
        <c:ser>
          <c:idx val="1"/>
          <c:order val="1"/>
          <c:tx>
            <c:strRef>
              <c:f>Sheet1!$A$3</c:f>
              <c:strCache>
                <c:ptCount val="1"/>
                <c:pt idx="0">
                  <c:v>S.A.L.</c:v>
                </c:pt>
              </c:strCache>
            </c:strRef>
          </c:tx>
          <c:spPr>
            <a:solidFill>
              <a:schemeClr val="accent1"/>
            </a:solidFill>
            <a:ln w="12682">
              <a:noFill/>
              <a:prstDash val="solid"/>
            </a:ln>
          </c:spPr>
          <c:invertIfNegative val="0"/>
          <c:dLbls>
            <c:dLbl>
              <c:idx val="0"/>
              <c:layout/>
              <c:tx>
                <c:rich>
                  <a:bodyPr/>
                  <a:lstStyle/>
                  <a:p>
                    <a:r>
                      <a:rPr lang="en-US"/>
                      <a:t>%70,6</a:t>
                    </a:r>
                  </a:p>
                </c:rich>
              </c:tx>
              <c:showLegendKey val="0"/>
              <c:showVal val="1"/>
              <c:showCatName val="0"/>
              <c:showSerName val="0"/>
              <c:showPercent val="0"/>
              <c:showBubbleSize val="0"/>
            </c:dLbl>
            <c:dLbl>
              <c:idx val="1"/>
              <c:layout/>
              <c:tx>
                <c:rich>
                  <a:bodyPr/>
                  <a:lstStyle/>
                  <a:p>
                    <a:r>
                      <a:rPr lang="en-US"/>
                      <a:t>%62,8</a:t>
                    </a:r>
                  </a:p>
                </c:rich>
              </c:tx>
              <c:showLegendKey val="0"/>
              <c:showVal val="1"/>
              <c:showCatName val="0"/>
              <c:showSerName val="0"/>
              <c:showPercent val="0"/>
              <c:showBubbleSize val="0"/>
            </c:dLbl>
            <c:dLbl>
              <c:idx val="2"/>
              <c:layout/>
              <c:tx>
                <c:rich>
                  <a:bodyPr/>
                  <a:lstStyle/>
                  <a:p>
                    <a:r>
                      <a:rPr lang="en-US"/>
                      <a:t>%58,8</a:t>
                    </a:r>
                  </a:p>
                </c:rich>
              </c:tx>
              <c:showLegendKey val="0"/>
              <c:showVal val="1"/>
              <c:showCatName val="0"/>
              <c:showSerName val="0"/>
              <c:showPercent val="0"/>
              <c:showBubbleSize val="0"/>
            </c:dLbl>
            <c:dLbl>
              <c:idx val="3"/>
              <c:layout>
                <c:manualLayout>
                  <c:x val="0"/>
                  <c:y val="1.6877637130801686E-2"/>
                </c:manualLayout>
              </c:layout>
              <c:tx>
                <c:rich>
                  <a:bodyPr/>
                  <a:lstStyle/>
                  <a:p>
                    <a:r>
                      <a:rPr lang="en-US"/>
                      <a:t>%57,3</a:t>
                    </a:r>
                  </a:p>
                </c:rich>
              </c:tx>
              <c:showLegendKey val="0"/>
              <c:showVal val="1"/>
              <c:showCatName val="0"/>
              <c:showSerName val="0"/>
              <c:showPercent val="0"/>
              <c:showBubbleSize val="0"/>
            </c:dLbl>
            <c:dLbl>
              <c:idx val="4"/>
              <c:layout/>
              <c:tx>
                <c:rich>
                  <a:bodyPr/>
                  <a:lstStyle/>
                  <a:p>
                    <a:r>
                      <a:rPr lang="en-US"/>
                      <a:t>%46,2</a:t>
                    </a:r>
                  </a:p>
                </c:rich>
              </c:tx>
              <c:showLegendKey val="0"/>
              <c:showVal val="1"/>
              <c:showCatName val="0"/>
              <c:showSerName val="0"/>
              <c:showPercent val="0"/>
              <c:showBubbleSize val="0"/>
            </c:dLbl>
            <c:dLbl>
              <c:idx val="5"/>
              <c:layout/>
              <c:tx>
                <c:rich>
                  <a:bodyPr/>
                  <a:lstStyle/>
                  <a:p>
                    <a:r>
                      <a:rPr lang="en-US"/>
                      <a:t>%50,0</a:t>
                    </a:r>
                  </a:p>
                </c:rich>
              </c:tx>
              <c:showLegendKey val="0"/>
              <c:showVal val="1"/>
              <c:showCatName val="0"/>
              <c:showSerName val="0"/>
              <c:showPercent val="0"/>
              <c:showBubbleSize val="0"/>
            </c:dLbl>
            <c:dLbl>
              <c:idx val="6"/>
              <c:layout/>
              <c:tx>
                <c:rich>
                  <a:bodyPr/>
                  <a:lstStyle/>
                  <a:p>
                    <a:r>
                      <a:rPr lang="en-US"/>
                      <a:t>%59,6</a:t>
                    </a:r>
                  </a:p>
                </c:rich>
              </c:tx>
              <c:showLegendKey val="0"/>
              <c:showVal val="1"/>
              <c:showCatName val="0"/>
              <c:showSerName val="0"/>
              <c:showPercent val="0"/>
              <c:showBubbleSize val="0"/>
            </c:dLbl>
            <c:dLbl>
              <c:idx val="7"/>
              <c:layout/>
              <c:tx>
                <c:rich>
                  <a:bodyPr/>
                  <a:lstStyle/>
                  <a:p>
                    <a:r>
                      <a:rPr lang="en-US"/>
                      <a:t>%34,9</a:t>
                    </a:r>
                  </a:p>
                </c:rich>
              </c:tx>
              <c:showLegendKey val="0"/>
              <c:showVal val="1"/>
              <c:showCatName val="0"/>
              <c:showSerName val="0"/>
              <c:showPercent val="0"/>
              <c:showBubbleSize val="0"/>
            </c:dLbl>
            <c:dLbl>
              <c:idx val="8"/>
              <c:layout>
                <c:manualLayout>
                  <c:x val="-2.0294266869609412E-3"/>
                  <c:y val="1.6877637130801686E-2"/>
                </c:manualLayout>
              </c:layout>
              <c:tx>
                <c:rich>
                  <a:bodyPr/>
                  <a:lstStyle/>
                  <a:p>
                    <a:r>
                      <a:rPr lang="en-US"/>
                      <a:t>%59,3</a:t>
                    </a:r>
                  </a:p>
                </c:rich>
              </c:tx>
              <c:showLegendKey val="0"/>
              <c:showVal val="1"/>
              <c:showCatName val="0"/>
              <c:showSerName val="0"/>
              <c:showPercent val="0"/>
              <c:showBubbleSize val="0"/>
            </c:dLbl>
            <c:txPr>
              <a:bodyPr/>
              <a:lstStyle/>
              <a:p>
                <a:pPr>
                  <a:defRPr sz="700" b="1"/>
                </a:pPr>
                <a:endParaRPr lang="es-ES"/>
              </a:p>
            </c:txPr>
            <c:showLegendKey val="0"/>
            <c:showVal val="1"/>
            <c:showCatName val="0"/>
            <c:showSerName val="0"/>
            <c:showPercent val="0"/>
            <c:showBubbleSize val="0"/>
            <c:showLeaderLines val="0"/>
          </c:dLbls>
          <c:cat>
            <c:numRef>
              <c:f>Sheet1!$B$1:$J$1</c:f>
              <c:numCache>
                <c:formatCode>General</c:formatCode>
                <c:ptCount val="9"/>
                <c:pt idx="0">
                  <c:v>1996</c:v>
                </c:pt>
                <c:pt idx="1">
                  <c:v>1998</c:v>
                </c:pt>
                <c:pt idx="2">
                  <c:v>2000</c:v>
                </c:pt>
                <c:pt idx="3">
                  <c:v>2002</c:v>
                </c:pt>
                <c:pt idx="4">
                  <c:v>2004</c:v>
                </c:pt>
                <c:pt idx="5">
                  <c:v>2006</c:v>
                </c:pt>
                <c:pt idx="6">
                  <c:v>2008</c:v>
                </c:pt>
                <c:pt idx="7">
                  <c:v>2010</c:v>
                </c:pt>
                <c:pt idx="8">
                  <c:v>2012</c:v>
                </c:pt>
              </c:numCache>
            </c:numRef>
          </c:cat>
          <c:val>
            <c:numRef>
              <c:f>Sheet1!$B$3:$J$3</c:f>
              <c:numCache>
                <c:formatCode>0.0%</c:formatCode>
                <c:ptCount val="9"/>
                <c:pt idx="0">
                  <c:v>0.70600000000000063</c:v>
                </c:pt>
                <c:pt idx="1">
                  <c:v>0.62800000000000222</c:v>
                </c:pt>
                <c:pt idx="2">
                  <c:v>0.58799999999999997</c:v>
                </c:pt>
                <c:pt idx="3">
                  <c:v>0.57299999999999995</c:v>
                </c:pt>
                <c:pt idx="4">
                  <c:v>0.46200000000000002</c:v>
                </c:pt>
                <c:pt idx="5">
                  <c:v>0.5</c:v>
                </c:pt>
                <c:pt idx="6">
                  <c:v>0.59599999999999997</c:v>
                </c:pt>
                <c:pt idx="7">
                  <c:v>0.34900000000000031</c:v>
                </c:pt>
                <c:pt idx="8">
                  <c:v>0.59299999999999997</c:v>
                </c:pt>
              </c:numCache>
            </c:numRef>
          </c:val>
        </c:ser>
        <c:ser>
          <c:idx val="2"/>
          <c:order val="2"/>
          <c:tx>
            <c:strRef>
              <c:f>Sheet1!$A$4</c:f>
              <c:strCache>
                <c:ptCount val="1"/>
                <c:pt idx="0">
                  <c:v>S.M.L.</c:v>
                </c:pt>
              </c:strCache>
            </c:strRef>
          </c:tx>
          <c:spPr>
            <a:solidFill>
              <a:schemeClr val="tx2"/>
            </a:solidFill>
            <a:ln w="12682">
              <a:noFill/>
              <a:prstDash val="solid"/>
            </a:ln>
          </c:spPr>
          <c:invertIfNegative val="0"/>
          <c:dLbls>
            <c:dLbl>
              <c:idx val="1"/>
              <c:layout>
                <c:manualLayout>
                  <c:x val="6.0882800608828124E-3"/>
                  <c:y val="1.6877637130801686E-2"/>
                </c:manualLayout>
              </c:layout>
              <c:tx>
                <c:rich>
                  <a:bodyPr/>
                  <a:lstStyle/>
                  <a:p>
                    <a:r>
                      <a:rPr lang="en-US"/>
                      <a:t>%62,2</a:t>
                    </a:r>
                  </a:p>
                </c:rich>
              </c:tx>
              <c:showLegendKey val="0"/>
              <c:showVal val="1"/>
              <c:showCatName val="0"/>
              <c:showSerName val="0"/>
              <c:showPercent val="0"/>
              <c:showBubbleSize val="0"/>
            </c:dLbl>
            <c:dLbl>
              <c:idx val="2"/>
              <c:layout>
                <c:manualLayout>
                  <c:x val="8.1177067478437528E-3"/>
                  <c:y val="1.6877637130801662E-2"/>
                </c:manualLayout>
              </c:layout>
              <c:tx>
                <c:rich>
                  <a:bodyPr/>
                  <a:lstStyle/>
                  <a:p>
                    <a:r>
                      <a:rPr lang="en-US"/>
                      <a:t>%55,6</a:t>
                    </a:r>
                  </a:p>
                </c:rich>
              </c:tx>
              <c:showLegendKey val="0"/>
              <c:showVal val="1"/>
              <c:showCatName val="0"/>
              <c:showSerName val="0"/>
              <c:showPercent val="0"/>
              <c:showBubbleSize val="0"/>
            </c:dLbl>
            <c:dLbl>
              <c:idx val="3"/>
              <c:layout/>
              <c:tx>
                <c:rich>
                  <a:bodyPr/>
                  <a:lstStyle/>
                  <a:p>
                    <a:r>
                      <a:rPr lang="en-US"/>
                      <a:t>%62,1</a:t>
                    </a:r>
                  </a:p>
                </c:rich>
              </c:tx>
              <c:showLegendKey val="0"/>
              <c:showVal val="1"/>
              <c:showCatName val="0"/>
              <c:showSerName val="0"/>
              <c:showPercent val="0"/>
              <c:showBubbleSize val="0"/>
            </c:dLbl>
            <c:dLbl>
              <c:idx val="4"/>
              <c:layout/>
              <c:tx>
                <c:rich>
                  <a:bodyPr/>
                  <a:lstStyle/>
                  <a:p>
                    <a:r>
                      <a:rPr lang="en-US"/>
                      <a:t>%61,7</a:t>
                    </a:r>
                  </a:p>
                </c:rich>
              </c:tx>
              <c:showLegendKey val="0"/>
              <c:showVal val="1"/>
              <c:showCatName val="0"/>
              <c:showSerName val="0"/>
              <c:showPercent val="0"/>
              <c:showBubbleSize val="0"/>
            </c:dLbl>
            <c:dLbl>
              <c:idx val="5"/>
              <c:layout/>
              <c:tx>
                <c:rich>
                  <a:bodyPr/>
                  <a:lstStyle/>
                  <a:p>
                    <a:r>
                      <a:rPr lang="en-US"/>
                      <a:t>%59,0</a:t>
                    </a:r>
                  </a:p>
                </c:rich>
              </c:tx>
              <c:showLegendKey val="0"/>
              <c:showVal val="1"/>
              <c:showCatName val="0"/>
              <c:showSerName val="0"/>
              <c:showPercent val="0"/>
              <c:showBubbleSize val="0"/>
            </c:dLbl>
            <c:dLbl>
              <c:idx val="6"/>
              <c:layout>
                <c:manualLayout>
                  <c:x val="0"/>
                  <c:y val="3.37552742616034E-2"/>
                </c:manualLayout>
              </c:layout>
              <c:tx>
                <c:rich>
                  <a:bodyPr/>
                  <a:lstStyle/>
                  <a:p>
                    <a:r>
                      <a:rPr lang="en-US"/>
                      <a:t>%56,6</a:t>
                    </a:r>
                  </a:p>
                </c:rich>
              </c:tx>
              <c:showLegendKey val="0"/>
              <c:showVal val="1"/>
              <c:showCatName val="0"/>
              <c:showSerName val="0"/>
              <c:showPercent val="0"/>
              <c:showBubbleSize val="0"/>
            </c:dLbl>
            <c:dLbl>
              <c:idx val="7"/>
              <c:layout/>
              <c:tx>
                <c:rich>
                  <a:bodyPr/>
                  <a:lstStyle/>
                  <a:p>
                    <a:r>
                      <a:rPr lang="en-US"/>
                      <a:t>%65,4</a:t>
                    </a:r>
                  </a:p>
                </c:rich>
              </c:tx>
              <c:showLegendKey val="0"/>
              <c:showVal val="1"/>
              <c:showCatName val="0"/>
              <c:showSerName val="0"/>
              <c:showPercent val="0"/>
              <c:showBubbleSize val="0"/>
            </c:dLbl>
            <c:dLbl>
              <c:idx val="8"/>
              <c:layout/>
              <c:tx>
                <c:rich>
                  <a:bodyPr/>
                  <a:lstStyle/>
                  <a:p>
                    <a:r>
                      <a:rPr lang="en-US"/>
                      <a:t>%68,0</a:t>
                    </a:r>
                  </a:p>
                </c:rich>
              </c:tx>
              <c:showLegendKey val="0"/>
              <c:showVal val="1"/>
              <c:showCatName val="0"/>
              <c:showSerName val="0"/>
              <c:showPercent val="0"/>
              <c:showBubbleSize val="0"/>
            </c:dLbl>
            <c:txPr>
              <a:bodyPr/>
              <a:lstStyle/>
              <a:p>
                <a:pPr>
                  <a:defRPr sz="700" b="1"/>
                </a:pPr>
                <a:endParaRPr lang="es-ES"/>
              </a:p>
            </c:txPr>
            <c:showLegendKey val="0"/>
            <c:showVal val="1"/>
            <c:showCatName val="0"/>
            <c:showSerName val="0"/>
            <c:showPercent val="0"/>
            <c:showBubbleSize val="0"/>
            <c:showLeaderLines val="0"/>
          </c:dLbls>
          <c:cat>
            <c:numRef>
              <c:f>Sheet1!$B$1:$J$1</c:f>
              <c:numCache>
                <c:formatCode>General</c:formatCode>
                <c:ptCount val="9"/>
                <c:pt idx="0">
                  <c:v>1996</c:v>
                </c:pt>
                <c:pt idx="1">
                  <c:v>1998</c:v>
                </c:pt>
                <c:pt idx="2">
                  <c:v>2000</c:v>
                </c:pt>
                <c:pt idx="3">
                  <c:v>2002</c:v>
                </c:pt>
                <c:pt idx="4">
                  <c:v>2004</c:v>
                </c:pt>
                <c:pt idx="5">
                  <c:v>2006</c:v>
                </c:pt>
                <c:pt idx="6">
                  <c:v>2008</c:v>
                </c:pt>
                <c:pt idx="7">
                  <c:v>2010</c:v>
                </c:pt>
                <c:pt idx="8">
                  <c:v>2012</c:v>
                </c:pt>
              </c:numCache>
            </c:numRef>
          </c:cat>
          <c:val>
            <c:numRef>
              <c:f>Sheet1!$B$4:$J$4</c:f>
              <c:numCache>
                <c:formatCode>0.0%</c:formatCode>
                <c:ptCount val="9"/>
                <c:pt idx="1">
                  <c:v>0.622000000000002</c:v>
                </c:pt>
                <c:pt idx="2">
                  <c:v>0.55600000000000005</c:v>
                </c:pt>
                <c:pt idx="3">
                  <c:v>0.62100000000000199</c:v>
                </c:pt>
                <c:pt idx="4">
                  <c:v>0.61700000000000199</c:v>
                </c:pt>
                <c:pt idx="5">
                  <c:v>0.59</c:v>
                </c:pt>
                <c:pt idx="6">
                  <c:v>0.56599999999999995</c:v>
                </c:pt>
                <c:pt idx="7">
                  <c:v>0.65400000000000258</c:v>
                </c:pt>
                <c:pt idx="8">
                  <c:v>0.68</c:v>
                </c:pt>
              </c:numCache>
            </c:numRef>
          </c:val>
        </c:ser>
        <c:dLbls>
          <c:showLegendKey val="0"/>
          <c:showVal val="0"/>
          <c:showCatName val="0"/>
          <c:showSerName val="0"/>
          <c:showPercent val="0"/>
          <c:showBubbleSize val="0"/>
        </c:dLbls>
        <c:gapWidth val="60"/>
        <c:axId val="108612224"/>
        <c:axId val="108532096"/>
      </c:barChart>
      <c:catAx>
        <c:axId val="108612224"/>
        <c:scaling>
          <c:orientation val="minMax"/>
        </c:scaling>
        <c:delete val="0"/>
        <c:axPos val="b"/>
        <c:numFmt formatCode="General" sourceLinked="1"/>
        <c:majorTickMark val="out"/>
        <c:minorTickMark val="none"/>
        <c:tickLblPos val="low"/>
        <c:spPr>
          <a:ln w="3170">
            <a:solidFill>
              <a:srgbClr val="000000"/>
            </a:solidFill>
            <a:prstDash val="solid"/>
          </a:ln>
        </c:spPr>
        <c:txPr>
          <a:bodyPr rot="0" vert="horz"/>
          <a:lstStyle/>
          <a:p>
            <a:pPr>
              <a:defRPr/>
            </a:pPr>
            <a:endParaRPr lang="es-ES"/>
          </a:p>
        </c:txPr>
        <c:crossAx val="108532096"/>
        <c:crosses val="autoZero"/>
        <c:auto val="1"/>
        <c:lblAlgn val="ctr"/>
        <c:lblOffset val="100"/>
        <c:tickLblSkip val="1"/>
        <c:tickMarkSkip val="1"/>
        <c:noMultiLvlLbl val="0"/>
      </c:catAx>
      <c:valAx>
        <c:axId val="108532096"/>
        <c:scaling>
          <c:orientation val="minMax"/>
        </c:scaling>
        <c:delete val="0"/>
        <c:axPos val="l"/>
        <c:majorGridlines>
          <c:spPr>
            <a:ln w="12682">
              <a:solidFill>
                <a:srgbClr val="C0C0C0"/>
              </a:solidFill>
              <a:prstDash val="solid"/>
            </a:ln>
          </c:spPr>
        </c:majorGridlines>
        <c:numFmt formatCode="0%" sourceLinked="0"/>
        <c:majorTickMark val="out"/>
        <c:minorTickMark val="none"/>
        <c:tickLblPos val="nextTo"/>
        <c:spPr>
          <a:ln w="3170">
            <a:solidFill>
              <a:srgbClr val="000000"/>
            </a:solidFill>
            <a:prstDash val="solid"/>
          </a:ln>
        </c:spPr>
        <c:txPr>
          <a:bodyPr rot="0" vert="horz"/>
          <a:lstStyle/>
          <a:p>
            <a:pPr>
              <a:defRPr/>
            </a:pPr>
            <a:endParaRPr lang="es-ES"/>
          </a:p>
        </c:txPr>
        <c:crossAx val="108612224"/>
        <c:crosses val="autoZero"/>
        <c:crossBetween val="between"/>
        <c:majorUnit val="0.2"/>
      </c:valAx>
      <c:spPr>
        <a:noFill/>
        <a:ln w="25400">
          <a:noFill/>
        </a:ln>
      </c:spPr>
    </c:plotArea>
    <c:legend>
      <c:legendPos val="b"/>
      <c:layout>
        <c:manualLayout>
          <c:xMode val="edge"/>
          <c:yMode val="edge"/>
          <c:x val="0.30601092896175125"/>
          <c:y val="0.90748898678414058"/>
          <c:w val="0.42273788835756282"/>
          <c:h val="7.9425894547992024E-2"/>
        </c:manualLayout>
      </c:layout>
      <c:overlay val="0"/>
      <c:spPr>
        <a:noFill/>
        <a:ln w="3170">
          <a:noFill/>
          <a:prstDash val="solid"/>
        </a:ln>
      </c:spPr>
    </c:legend>
    <c:plotVisOnly val="1"/>
    <c:dispBlanksAs val="gap"/>
    <c:showDLblsOverMax val="0"/>
  </c:chart>
  <c:spPr>
    <a:noFill/>
    <a:ln>
      <a:noFill/>
    </a:ln>
  </c:spPr>
  <c:txPr>
    <a:bodyPr/>
    <a:lstStyle/>
    <a:p>
      <a:pPr>
        <a:defRPr sz="800" b="0" i="0" u="none" strike="noStrike" baseline="0">
          <a:solidFill>
            <a:srgbClr val="000000"/>
          </a:solidFill>
          <a:latin typeface="Arial" pitchFamily="34" charset="0"/>
          <a:ea typeface="Calibri"/>
          <a:cs typeface="Arial" pitchFamily="34" charset="0"/>
        </a:defRPr>
      </a:pPr>
      <a:endParaRPr lang="es-ES"/>
    </a:p>
  </c:txPr>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0"/>
    <c:plotArea>
      <c:layout>
        <c:manualLayout>
          <c:layoutTarget val="inner"/>
          <c:xMode val="edge"/>
          <c:yMode val="edge"/>
          <c:x val="0.11394891944990145"/>
          <c:y val="4.9450549450549483E-2"/>
          <c:w val="0.86640471512770134"/>
          <c:h val="0.62087912087912855"/>
        </c:manualLayout>
      </c:layout>
      <c:barChart>
        <c:barDir val="col"/>
        <c:grouping val="clustered"/>
        <c:varyColors val="0"/>
        <c:ser>
          <c:idx val="0"/>
          <c:order val="0"/>
          <c:tx>
            <c:strRef>
              <c:f>Sheet1!$A$2</c:f>
              <c:strCache>
                <c:ptCount val="1"/>
                <c:pt idx="0">
                  <c:v>2002</c:v>
                </c:pt>
              </c:strCache>
            </c:strRef>
          </c:tx>
          <c:invertIfNegative val="0"/>
          <c:dLbls>
            <c:dLbl>
              <c:idx val="0"/>
              <c:layout>
                <c:manualLayout>
                  <c:x val="-2.5015634771732336E-2"/>
                  <c:y val="4.2735042735042736E-2"/>
                </c:manualLayout>
              </c:layout>
              <c:showLegendKey val="0"/>
              <c:showVal val="1"/>
              <c:showCatName val="0"/>
              <c:showSerName val="0"/>
              <c:showPercent val="0"/>
              <c:showBubbleSize val="0"/>
            </c:dLbl>
            <c:dLbl>
              <c:idx val="1"/>
              <c:layout>
                <c:manualLayout>
                  <c:x val="-2.2514071294559089E-2"/>
                  <c:y val="4.2735042735042736E-2"/>
                </c:manualLayout>
              </c:layout>
              <c:showLegendKey val="0"/>
              <c:showVal val="1"/>
              <c:showCatName val="0"/>
              <c:showSerName val="0"/>
              <c:showPercent val="0"/>
              <c:showBubbleSize val="0"/>
            </c:dLbl>
            <c:numFmt formatCode="#,##0" sourceLinked="0"/>
            <c:txPr>
              <a:bodyPr/>
              <a:lstStyle/>
              <a:p>
                <a:pPr>
                  <a:defRPr sz="700" b="1"/>
                </a:pPr>
                <a:endParaRPr lang="es-ES"/>
              </a:p>
            </c:txPr>
            <c:showLegendKey val="0"/>
            <c:showVal val="1"/>
            <c:showCatName val="0"/>
            <c:showSerName val="0"/>
            <c:showPercent val="0"/>
            <c:showBubbleSize val="0"/>
            <c:showLeaderLines val="0"/>
          </c:dLbls>
          <c:cat>
            <c:strRef>
              <c:f>Sheet1!$B$1:$C$1</c:f>
              <c:strCache>
                <c:ptCount val="2"/>
                <c:pt idx="0">
                  <c:v>Emaitzak</c:v>
                </c:pt>
                <c:pt idx="1">
                  <c:v>Cash Flow</c:v>
                </c:pt>
              </c:strCache>
            </c:strRef>
          </c:cat>
          <c:val>
            <c:numRef>
              <c:f>Sheet1!$B$2:$C$2</c:f>
              <c:numCache>
                <c:formatCode>General</c:formatCode>
                <c:ptCount val="2"/>
                <c:pt idx="0">
                  <c:v>334217</c:v>
                </c:pt>
                <c:pt idx="1">
                  <c:v>768799</c:v>
                </c:pt>
              </c:numCache>
            </c:numRef>
          </c:val>
        </c:ser>
        <c:ser>
          <c:idx val="1"/>
          <c:order val="1"/>
          <c:tx>
            <c:strRef>
              <c:f>Sheet1!$A$3</c:f>
              <c:strCache>
                <c:ptCount val="1"/>
                <c:pt idx="0">
                  <c:v>2004</c:v>
                </c:pt>
              </c:strCache>
            </c:strRef>
          </c:tx>
          <c:invertIfNegative val="0"/>
          <c:dLbls>
            <c:dLbl>
              <c:idx val="0"/>
              <c:layout>
                <c:manualLayout>
                  <c:x val="-2.5015634771732341E-3"/>
                  <c:y val="8.5470085470085496E-3"/>
                </c:manualLayout>
              </c:layout>
              <c:showLegendKey val="0"/>
              <c:showVal val="1"/>
              <c:showCatName val="0"/>
              <c:showSerName val="0"/>
              <c:showPercent val="0"/>
              <c:showBubbleSize val="0"/>
            </c:dLbl>
            <c:dLbl>
              <c:idx val="1"/>
              <c:layout>
                <c:manualLayout>
                  <c:x val="-1.2507817385866185E-2"/>
                  <c:y val="2.5641025641025852E-2"/>
                </c:manualLayout>
              </c:layout>
              <c:showLegendKey val="0"/>
              <c:showVal val="1"/>
              <c:showCatName val="0"/>
              <c:showSerName val="0"/>
              <c:showPercent val="0"/>
              <c:showBubbleSize val="0"/>
            </c:dLbl>
            <c:numFmt formatCode="#,##0" sourceLinked="0"/>
            <c:txPr>
              <a:bodyPr/>
              <a:lstStyle/>
              <a:p>
                <a:pPr>
                  <a:defRPr sz="700" b="1"/>
                </a:pPr>
                <a:endParaRPr lang="es-ES"/>
              </a:p>
            </c:txPr>
            <c:showLegendKey val="0"/>
            <c:showVal val="1"/>
            <c:showCatName val="0"/>
            <c:showSerName val="0"/>
            <c:showPercent val="0"/>
            <c:showBubbleSize val="0"/>
            <c:showLeaderLines val="0"/>
          </c:dLbls>
          <c:cat>
            <c:strRef>
              <c:f>Sheet1!$B$1:$C$1</c:f>
              <c:strCache>
                <c:ptCount val="2"/>
                <c:pt idx="0">
                  <c:v>Emaitzak</c:v>
                </c:pt>
                <c:pt idx="1">
                  <c:v>Cash Flow</c:v>
                </c:pt>
              </c:strCache>
            </c:strRef>
          </c:cat>
          <c:val>
            <c:numRef>
              <c:f>Sheet1!$B$3:$C$3</c:f>
              <c:numCache>
                <c:formatCode>General</c:formatCode>
                <c:ptCount val="2"/>
                <c:pt idx="0">
                  <c:v>368142</c:v>
                </c:pt>
                <c:pt idx="1">
                  <c:v>821856</c:v>
                </c:pt>
              </c:numCache>
            </c:numRef>
          </c:val>
        </c:ser>
        <c:ser>
          <c:idx val="2"/>
          <c:order val="2"/>
          <c:tx>
            <c:strRef>
              <c:f>Sheet1!$A$4</c:f>
              <c:strCache>
                <c:ptCount val="1"/>
                <c:pt idx="0">
                  <c:v>2006</c:v>
                </c:pt>
              </c:strCache>
            </c:strRef>
          </c:tx>
          <c:invertIfNegative val="0"/>
          <c:dLbls>
            <c:dLbl>
              <c:idx val="0"/>
              <c:layout>
                <c:manualLayout>
                  <c:x val="2.5015634771732341E-3"/>
                  <c:y val="0"/>
                </c:manualLayout>
              </c:layout>
              <c:showLegendKey val="0"/>
              <c:showVal val="1"/>
              <c:showCatName val="0"/>
              <c:showSerName val="0"/>
              <c:showPercent val="0"/>
              <c:showBubbleSize val="0"/>
            </c:dLbl>
            <c:dLbl>
              <c:idx val="1"/>
              <c:layout>
                <c:manualLayout>
                  <c:x val="-1.0006253908692838E-2"/>
                  <c:y val="1.7094017094017103E-2"/>
                </c:manualLayout>
              </c:layout>
              <c:showLegendKey val="0"/>
              <c:showVal val="1"/>
              <c:showCatName val="0"/>
              <c:showSerName val="0"/>
              <c:showPercent val="0"/>
              <c:showBubbleSize val="0"/>
            </c:dLbl>
            <c:numFmt formatCode="#,##0" sourceLinked="0"/>
            <c:txPr>
              <a:bodyPr/>
              <a:lstStyle/>
              <a:p>
                <a:pPr>
                  <a:defRPr sz="700" b="1"/>
                </a:pPr>
                <a:endParaRPr lang="es-ES"/>
              </a:p>
            </c:txPr>
            <c:showLegendKey val="0"/>
            <c:showVal val="1"/>
            <c:showCatName val="0"/>
            <c:showSerName val="0"/>
            <c:showPercent val="0"/>
            <c:showBubbleSize val="0"/>
            <c:showLeaderLines val="0"/>
          </c:dLbls>
          <c:cat>
            <c:strRef>
              <c:f>Sheet1!$B$1:$C$1</c:f>
              <c:strCache>
                <c:ptCount val="2"/>
                <c:pt idx="0">
                  <c:v>Emaitzak</c:v>
                </c:pt>
                <c:pt idx="1">
                  <c:v>Cash Flow</c:v>
                </c:pt>
              </c:strCache>
            </c:strRef>
          </c:cat>
          <c:val>
            <c:numRef>
              <c:f>Sheet1!$B$4:$C$4</c:f>
              <c:numCache>
                <c:formatCode>General</c:formatCode>
                <c:ptCount val="2"/>
                <c:pt idx="0">
                  <c:v>527196</c:v>
                </c:pt>
                <c:pt idx="1">
                  <c:v>984091</c:v>
                </c:pt>
              </c:numCache>
            </c:numRef>
          </c:val>
        </c:ser>
        <c:ser>
          <c:idx val="3"/>
          <c:order val="3"/>
          <c:tx>
            <c:strRef>
              <c:f>Sheet1!$A$5</c:f>
              <c:strCache>
                <c:ptCount val="1"/>
                <c:pt idx="0">
                  <c:v>2008</c:v>
                </c:pt>
              </c:strCache>
            </c:strRef>
          </c:tx>
          <c:invertIfNegative val="0"/>
          <c:dLbls>
            <c:dLbl>
              <c:idx val="0"/>
              <c:layout/>
              <c:tx>
                <c:rich>
                  <a:bodyPr/>
                  <a:lstStyle/>
                  <a:p>
                    <a:r>
                      <a:rPr lang="en-US"/>
                      <a:t>248.232*</a:t>
                    </a:r>
                  </a:p>
                </c:rich>
              </c:tx>
              <c:showLegendKey val="0"/>
              <c:showVal val="1"/>
              <c:showCatName val="0"/>
              <c:showSerName val="0"/>
              <c:showPercent val="0"/>
              <c:showBubbleSize val="0"/>
            </c:dLbl>
            <c:dLbl>
              <c:idx val="1"/>
              <c:layout/>
              <c:tx>
                <c:rich>
                  <a:bodyPr/>
                  <a:lstStyle/>
                  <a:p>
                    <a:r>
                      <a:rPr lang="en-US"/>
                      <a:t>1.192.753*</a:t>
                    </a:r>
                  </a:p>
                </c:rich>
              </c:tx>
              <c:showLegendKey val="0"/>
              <c:showVal val="1"/>
              <c:showCatName val="0"/>
              <c:showSerName val="0"/>
              <c:showPercent val="0"/>
              <c:showBubbleSize val="0"/>
            </c:dLbl>
            <c:numFmt formatCode="#,##0" sourceLinked="0"/>
            <c:txPr>
              <a:bodyPr/>
              <a:lstStyle/>
              <a:p>
                <a:pPr>
                  <a:defRPr sz="700" b="1"/>
                </a:pPr>
                <a:endParaRPr lang="es-ES"/>
              </a:p>
            </c:txPr>
            <c:showLegendKey val="0"/>
            <c:showVal val="1"/>
            <c:showCatName val="0"/>
            <c:showSerName val="0"/>
            <c:showPercent val="0"/>
            <c:showBubbleSize val="0"/>
            <c:showLeaderLines val="0"/>
          </c:dLbls>
          <c:cat>
            <c:strRef>
              <c:f>Sheet1!$B$1:$C$1</c:f>
              <c:strCache>
                <c:ptCount val="2"/>
                <c:pt idx="0">
                  <c:v>Emaitzak</c:v>
                </c:pt>
                <c:pt idx="1">
                  <c:v>Cash Flow</c:v>
                </c:pt>
              </c:strCache>
            </c:strRef>
          </c:cat>
          <c:val>
            <c:numRef>
              <c:f>Sheet1!$B$5:$C$5</c:f>
              <c:numCache>
                <c:formatCode>General</c:formatCode>
                <c:ptCount val="2"/>
                <c:pt idx="0">
                  <c:v>248232</c:v>
                </c:pt>
                <c:pt idx="1">
                  <c:v>1192753</c:v>
                </c:pt>
              </c:numCache>
            </c:numRef>
          </c:val>
        </c:ser>
        <c:ser>
          <c:idx val="4"/>
          <c:order val="4"/>
          <c:tx>
            <c:strRef>
              <c:f>Sheet1!$A$6</c:f>
              <c:strCache>
                <c:ptCount val="1"/>
                <c:pt idx="0">
                  <c:v>2010</c:v>
                </c:pt>
              </c:strCache>
            </c:strRef>
          </c:tx>
          <c:invertIfNegative val="0"/>
          <c:dLbls>
            <c:dLbl>
              <c:idx val="0"/>
              <c:layout/>
              <c:tx>
                <c:rich>
                  <a:bodyPr/>
                  <a:lstStyle/>
                  <a:p>
                    <a:r>
                      <a:rPr lang="en-US"/>
                      <a:t>99.716*</a:t>
                    </a:r>
                  </a:p>
                </c:rich>
              </c:tx>
              <c:showLegendKey val="0"/>
              <c:showVal val="1"/>
              <c:showCatName val="0"/>
              <c:showSerName val="0"/>
              <c:showPercent val="0"/>
              <c:showBubbleSize val="0"/>
            </c:dLbl>
            <c:dLbl>
              <c:idx val="1"/>
              <c:layout>
                <c:manualLayout>
                  <c:x val="3.0018761726078799E-2"/>
                  <c:y val="0"/>
                </c:manualLayout>
              </c:layout>
              <c:tx>
                <c:rich>
                  <a:bodyPr/>
                  <a:lstStyle/>
                  <a:p>
                    <a:r>
                      <a:rPr lang="en-US"/>
                      <a:t>1.106.854*</a:t>
                    </a:r>
                  </a:p>
                </c:rich>
              </c:tx>
              <c:showLegendKey val="0"/>
              <c:showVal val="1"/>
              <c:showCatName val="0"/>
              <c:showSerName val="0"/>
              <c:showPercent val="0"/>
              <c:showBubbleSize val="0"/>
            </c:dLbl>
            <c:txPr>
              <a:bodyPr/>
              <a:lstStyle/>
              <a:p>
                <a:pPr>
                  <a:defRPr sz="700" b="1"/>
                </a:pPr>
                <a:endParaRPr lang="es-ES"/>
              </a:p>
            </c:txPr>
            <c:showLegendKey val="0"/>
            <c:showVal val="1"/>
            <c:showCatName val="0"/>
            <c:showSerName val="0"/>
            <c:showPercent val="0"/>
            <c:showBubbleSize val="0"/>
            <c:showLeaderLines val="0"/>
          </c:dLbls>
          <c:cat>
            <c:strRef>
              <c:f>Sheet1!$B$1:$C$1</c:f>
              <c:strCache>
                <c:ptCount val="2"/>
                <c:pt idx="0">
                  <c:v>Emaitzak</c:v>
                </c:pt>
                <c:pt idx="1">
                  <c:v>Cash Flow</c:v>
                </c:pt>
              </c:strCache>
            </c:strRef>
          </c:cat>
          <c:val>
            <c:numRef>
              <c:f>Sheet1!$B$6:$C$6</c:f>
              <c:numCache>
                <c:formatCode>#,##0</c:formatCode>
                <c:ptCount val="2"/>
                <c:pt idx="0">
                  <c:v>99716</c:v>
                </c:pt>
                <c:pt idx="1">
                  <c:v>1106854</c:v>
                </c:pt>
              </c:numCache>
            </c:numRef>
          </c:val>
        </c:ser>
        <c:ser>
          <c:idx val="5"/>
          <c:order val="5"/>
          <c:tx>
            <c:strRef>
              <c:f>Sheet1!$A$7</c:f>
              <c:strCache>
                <c:ptCount val="1"/>
                <c:pt idx="0">
                  <c:v>2012</c:v>
                </c:pt>
              </c:strCache>
            </c:strRef>
          </c:tx>
          <c:invertIfNegative val="0"/>
          <c:dLbls>
            <c:dLbl>
              <c:idx val="0"/>
              <c:layout>
                <c:manualLayout>
                  <c:x val="1.000625390869293E-2"/>
                  <c:y val="0"/>
                </c:manualLayout>
              </c:layout>
              <c:tx>
                <c:rich>
                  <a:bodyPr/>
                  <a:lstStyle/>
                  <a:p>
                    <a:r>
                      <a:rPr lang="en-US"/>
                      <a:t>79.320*</a:t>
                    </a:r>
                  </a:p>
                </c:rich>
              </c:tx>
              <c:showLegendKey val="0"/>
              <c:showVal val="1"/>
              <c:showCatName val="0"/>
              <c:showSerName val="0"/>
              <c:showPercent val="0"/>
              <c:showBubbleSize val="0"/>
            </c:dLbl>
            <c:dLbl>
              <c:idx val="1"/>
              <c:layout>
                <c:manualLayout>
                  <c:x val="2.7517198248905601E-2"/>
                  <c:y val="2.5641025641025803E-2"/>
                </c:manualLayout>
              </c:layout>
              <c:tx>
                <c:rich>
                  <a:bodyPr/>
                  <a:lstStyle/>
                  <a:p>
                    <a:r>
                      <a:rPr lang="en-US"/>
                      <a:t>932.293*</a:t>
                    </a:r>
                  </a:p>
                </c:rich>
              </c:tx>
              <c:showLegendKey val="0"/>
              <c:showVal val="1"/>
              <c:showCatName val="0"/>
              <c:showSerName val="0"/>
              <c:showPercent val="0"/>
              <c:showBubbleSize val="0"/>
            </c:dLbl>
            <c:txPr>
              <a:bodyPr/>
              <a:lstStyle/>
              <a:p>
                <a:pPr>
                  <a:defRPr sz="700" b="1"/>
                </a:pPr>
                <a:endParaRPr lang="es-ES"/>
              </a:p>
            </c:txPr>
            <c:showLegendKey val="0"/>
            <c:showVal val="1"/>
            <c:showCatName val="0"/>
            <c:showSerName val="0"/>
            <c:showPercent val="0"/>
            <c:showBubbleSize val="0"/>
            <c:showLeaderLines val="0"/>
          </c:dLbls>
          <c:cat>
            <c:strRef>
              <c:f>Sheet1!$B$1:$C$1</c:f>
              <c:strCache>
                <c:ptCount val="2"/>
                <c:pt idx="0">
                  <c:v>Emaitzak</c:v>
                </c:pt>
                <c:pt idx="1">
                  <c:v>Cash Flow</c:v>
                </c:pt>
              </c:strCache>
            </c:strRef>
          </c:cat>
          <c:val>
            <c:numRef>
              <c:f>Sheet1!$B$7:$C$7</c:f>
              <c:numCache>
                <c:formatCode>#,##0</c:formatCode>
                <c:ptCount val="2"/>
                <c:pt idx="0">
                  <c:v>79320</c:v>
                </c:pt>
                <c:pt idx="1">
                  <c:v>932293</c:v>
                </c:pt>
              </c:numCache>
            </c:numRef>
          </c:val>
        </c:ser>
        <c:dLbls>
          <c:showLegendKey val="0"/>
          <c:showVal val="0"/>
          <c:showCatName val="0"/>
          <c:showSerName val="0"/>
          <c:showPercent val="0"/>
          <c:showBubbleSize val="0"/>
        </c:dLbls>
        <c:gapWidth val="150"/>
        <c:axId val="108665472"/>
        <c:axId val="108704128"/>
      </c:barChart>
      <c:catAx>
        <c:axId val="108665472"/>
        <c:scaling>
          <c:orientation val="minMax"/>
        </c:scaling>
        <c:delete val="0"/>
        <c:axPos val="b"/>
        <c:numFmt formatCode="General" sourceLinked="1"/>
        <c:majorTickMark val="out"/>
        <c:minorTickMark val="none"/>
        <c:tickLblPos val="low"/>
        <c:txPr>
          <a:bodyPr rot="0" vert="horz"/>
          <a:lstStyle/>
          <a:p>
            <a:pPr>
              <a:defRPr/>
            </a:pPr>
            <a:endParaRPr lang="es-ES"/>
          </a:p>
        </c:txPr>
        <c:crossAx val="108704128"/>
        <c:crosses val="autoZero"/>
        <c:auto val="1"/>
        <c:lblAlgn val="ctr"/>
        <c:lblOffset val="100"/>
        <c:tickLblSkip val="1"/>
        <c:tickMarkSkip val="1"/>
        <c:noMultiLvlLbl val="0"/>
      </c:catAx>
      <c:valAx>
        <c:axId val="108704128"/>
        <c:scaling>
          <c:orientation val="minMax"/>
          <c:max val="1500000"/>
        </c:scaling>
        <c:delete val="0"/>
        <c:axPos val="l"/>
        <c:majorGridlines/>
        <c:numFmt formatCode="#,##0" sourceLinked="0"/>
        <c:majorTickMark val="out"/>
        <c:minorTickMark val="none"/>
        <c:tickLblPos val="nextTo"/>
        <c:txPr>
          <a:bodyPr rot="0" vert="horz"/>
          <a:lstStyle/>
          <a:p>
            <a:pPr>
              <a:defRPr/>
            </a:pPr>
            <a:endParaRPr lang="es-ES"/>
          </a:p>
        </c:txPr>
        <c:crossAx val="108665472"/>
        <c:crosses val="autoZero"/>
        <c:crossBetween val="between"/>
        <c:majorUnit val="500000"/>
      </c:valAx>
    </c:plotArea>
    <c:legend>
      <c:legendPos val="b"/>
      <c:layout>
        <c:manualLayout>
          <c:xMode val="edge"/>
          <c:yMode val="edge"/>
          <c:x val="0.21960221201243024"/>
          <c:y val="0.86935258092738132"/>
          <c:w val="0.52047214548462517"/>
          <c:h val="0.12688538932633495"/>
        </c:manualLayout>
      </c:layout>
      <c:overlay val="0"/>
    </c:legend>
    <c:plotVisOnly val="1"/>
    <c:dispBlanksAs val="gap"/>
    <c:showDLblsOverMax val="0"/>
  </c:chart>
  <c:spPr>
    <a:ln>
      <a:noFill/>
    </a:ln>
  </c:spPr>
  <c:txPr>
    <a:bodyPr/>
    <a:lstStyle/>
    <a:p>
      <a:pPr>
        <a:defRPr sz="800">
          <a:latin typeface="Arial" pitchFamily="34" charset="0"/>
          <a:cs typeface="Arial" pitchFamily="34" charset="0"/>
        </a:defRPr>
      </a:pPr>
      <a:endParaRPr lang="es-ES"/>
    </a:p>
  </c:txPr>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a:lstStyle/>
          <a:p>
            <a:pPr>
              <a:defRPr sz="900"/>
            </a:pPr>
            <a:r>
              <a:rPr lang="es-ES" sz="900"/>
              <a:t>ESTABLEZIMENDUAK</a:t>
            </a:r>
          </a:p>
        </c:rich>
      </c:tx>
      <c:layout>
        <c:manualLayout>
          <c:xMode val="edge"/>
          <c:yMode val="edge"/>
          <c:x val="0.30575539568345511"/>
          <c:y val="2.197802197802199E-2"/>
        </c:manualLayout>
      </c:layout>
      <c:overlay val="0"/>
    </c:title>
    <c:autoTitleDeleted val="0"/>
    <c:plotArea>
      <c:layout>
        <c:manualLayout>
          <c:layoutTarget val="inner"/>
          <c:xMode val="edge"/>
          <c:yMode val="edge"/>
          <c:x val="0.33696607646380056"/>
          <c:y val="0.2730502494809538"/>
          <c:w val="0.36014024686277218"/>
          <c:h val="0.54209186513025753"/>
        </c:manualLayout>
      </c:layout>
      <c:pieChart>
        <c:varyColors val="1"/>
        <c:ser>
          <c:idx val="0"/>
          <c:order val="0"/>
          <c:tx>
            <c:strRef>
              <c:f>Sheet1!$A$2</c:f>
              <c:strCache>
                <c:ptCount val="1"/>
              </c:strCache>
            </c:strRef>
          </c:tx>
          <c:dLbls>
            <c:dLbl>
              <c:idx val="0"/>
              <c:layout>
                <c:manualLayout>
                  <c:x val="2.0349941965706792E-2"/>
                  <c:y val="-5.8683437465215434E-2"/>
                </c:manualLayout>
              </c:layout>
              <c:tx>
                <c:rich>
                  <a:bodyPr/>
                  <a:lstStyle/>
                  <a:p>
                    <a:r>
                      <a:rPr lang="en-US"/>
                      <a:t>L.S.M.</a:t>
                    </a:r>
                  </a:p>
                  <a:p>
                    <a:r>
                      <a:rPr lang="en-US"/>
                      <a:t>%20,0</a:t>
                    </a:r>
                  </a:p>
                </c:rich>
              </c:tx>
              <c:dLblPos val="bestFit"/>
              <c:showLegendKey val="0"/>
              <c:showVal val="0"/>
              <c:showCatName val="1"/>
              <c:showSerName val="0"/>
              <c:showPercent val="1"/>
              <c:showBubbleSize val="0"/>
            </c:dLbl>
            <c:dLbl>
              <c:idx val="1"/>
              <c:layout>
                <c:manualLayout>
                  <c:x val="-3.5514093812997756E-2"/>
                  <c:y val="-1.200073561794336E-2"/>
                </c:manualLayout>
              </c:layout>
              <c:tx>
                <c:rich>
                  <a:bodyPr/>
                  <a:lstStyle/>
                  <a:p>
                    <a:r>
                      <a:rPr lang="en-US"/>
                      <a:t>Koop.
%71,3</a:t>
                    </a:r>
                  </a:p>
                </c:rich>
              </c:tx>
              <c:dLblPos val="bestFit"/>
              <c:showLegendKey val="0"/>
              <c:showVal val="0"/>
              <c:showCatName val="1"/>
              <c:showSerName val="0"/>
              <c:showPercent val="1"/>
              <c:showBubbleSize val="0"/>
            </c:dLbl>
            <c:dLbl>
              <c:idx val="2"/>
              <c:layout>
                <c:manualLayout>
                  <c:x val="-8.9074762959653761E-2"/>
                  <c:y val="-1.1471768241631245E-2"/>
                </c:manualLayout>
              </c:layout>
              <c:tx>
                <c:rich>
                  <a:bodyPr/>
                  <a:lstStyle/>
                  <a:p>
                    <a:r>
                      <a:rPr lang="en-US"/>
                      <a:t>L.S.A.
%8,7</a:t>
                    </a:r>
                  </a:p>
                </c:rich>
              </c:tx>
              <c:dLblPos val="bestFit"/>
              <c:showLegendKey val="0"/>
              <c:showVal val="0"/>
              <c:showCatName val="1"/>
              <c:showSerName val="0"/>
              <c:showPercent val="1"/>
              <c:showBubbleSize val="0"/>
            </c:dLbl>
            <c:numFmt formatCode="0.0%" sourceLinked="0"/>
            <c:showLegendKey val="0"/>
            <c:showVal val="0"/>
            <c:showCatName val="1"/>
            <c:showSerName val="0"/>
            <c:showPercent val="1"/>
            <c:showBubbleSize val="0"/>
            <c:showLeaderLines val="1"/>
          </c:dLbls>
          <c:cat>
            <c:strRef>
              <c:f>Sheet1!$B$1:$D$1</c:f>
              <c:strCache>
                <c:ptCount val="3"/>
                <c:pt idx="0">
                  <c:v>S.L.L.es</c:v>
                </c:pt>
                <c:pt idx="1">
                  <c:v>Coop.</c:v>
                </c:pt>
                <c:pt idx="2">
                  <c:v>S.A.L.es</c:v>
                </c:pt>
              </c:strCache>
            </c:strRef>
          </c:cat>
          <c:val>
            <c:numRef>
              <c:f>Sheet1!$B$2:$D$2</c:f>
              <c:numCache>
                <c:formatCode>0.0%</c:formatCode>
                <c:ptCount val="3"/>
                <c:pt idx="0">
                  <c:v>0.2</c:v>
                </c:pt>
                <c:pt idx="1">
                  <c:v>0.71300000000000063</c:v>
                </c:pt>
                <c:pt idx="2">
                  <c:v>8.7000000000000022E-2</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txPr>
    <a:bodyPr/>
    <a:lstStyle/>
    <a:p>
      <a:pPr>
        <a:defRPr sz="800">
          <a:latin typeface="Arial" pitchFamily="34" charset="0"/>
          <a:cs typeface="Arial" pitchFamily="34" charset="0"/>
        </a:defRPr>
      </a:pPr>
      <a:endParaRPr lang="es-ES"/>
    </a:p>
  </c:txPr>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a:lstStyle/>
          <a:p>
            <a:pPr>
              <a:defRPr sz="900"/>
            </a:pPr>
            <a:r>
              <a:rPr lang="es-ES" sz="900"/>
              <a:t>ENPLEGUA</a:t>
            </a:r>
          </a:p>
        </c:rich>
      </c:tx>
      <c:layout>
        <c:manualLayout>
          <c:xMode val="edge"/>
          <c:yMode val="edge"/>
          <c:x val="0.41366906474820142"/>
          <c:y val="2.197802197802199E-2"/>
        </c:manualLayout>
      </c:layout>
      <c:overlay val="0"/>
    </c:title>
    <c:autoTitleDeleted val="0"/>
    <c:plotArea>
      <c:layout>
        <c:manualLayout>
          <c:layoutTarget val="inner"/>
          <c:xMode val="edge"/>
          <c:yMode val="edge"/>
          <c:x val="0.28385899098803946"/>
          <c:y val="0.27307086614173232"/>
          <c:w val="0.38057228455751291"/>
          <c:h val="0.57278759509899968"/>
        </c:manualLayout>
      </c:layout>
      <c:pieChart>
        <c:varyColors val="1"/>
        <c:ser>
          <c:idx val="0"/>
          <c:order val="0"/>
          <c:tx>
            <c:strRef>
              <c:f>Sheet1!$A$2</c:f>
              <c:strCache>
                <c:ptCount val="1"/>
              </c:strCache>
            </c:strRef>
          </c:tx>
          <c:dLbls>
            <c:dLbl>
              <c:idx val="0"/>
              <c:layout>
                <c:manualLayout>
                  <c:x val="7.0735631407984834E-2"/>
                  <c:y val="-2.1279920655079748E-2"/>
                </c:manualLayout>
              </c:layout>
              <c:tx>
                <c:rich>
                  <a:bodyPr/>
                  <a:lstStyle/>
                  <a:p>
                    <a:r>
                      <a:rPr lang="en-US"/>
                      <a:t>L.S.M.</a:t>
                    </a:r>
                  </a:p>
                  <a:p>
                    <a:r>
                      <a:rPr lang="en-US"/>
                      <a:t>%6,8</a:t>
                    </a:r>
                  </a:p>
                </c:rich>
              </c:tx>
              <c:dLblPos val="bestFit"/>
              <c:showLegendKey val="0"/>
              <c:showVal val="0"/>
              <c:showCatName val="1"/>
              <c:showSerName val="0"/>
              <c:showPercent val="1"/>
              <c:showBubbleSize val="0"/>
            </c:dLbl>
            <c:dLbl>
              <c:idx val="1"/>
              <c:layout>
                <c:manualLayout>
                  <c:x val="-9.8544938465668974E-2"/>
                  <c:y val="-2.5584382597336509E-2"/>
                </c:manualLayout>
              </c:layout>
              <c:tx>
                <c:rich>
                  <a:bodyPr/>
                  <a:lstStyle/>
                  <a:p>
                    <a:pPr>
                      <a:defRPr/>
                    </a:pPr>
                    <a:r>
                      <a:rPr lang="es-ES"/>
                      <a:t>Koop.
%86,0</a:t>
                    </a:r>
                  </a:p>
                </c:rich>
              </c:tx>
              <c:spPr/>
              <c:dLblPos val="bestFit"/>
              <c:showLegendKey val="0"/>
              <c:showVal val="0"/>
              <c:showCatName val="0"/>
              <c:showSerName val="0"/>
              <c:showPercent val="0"/>
              <c:showBubbleSize val="0"/>
            </c:dLbl>
            <c:dLbl>
              <c:idx val="2"/>
              <c:layout>
                <c:manualLayout>
                  <c:x val="-7.0186266520726834E-2"/>
                  <c:y val="-2.5178949405517882E-2"/>
                </c:manualLayout>
              </c:layout>
              <c:tx>
                <c:rich>
                  <a:bodyPr/>
                  <a:lstStyle/>
                  <a:p>
                    <a:r>
                      <a:rPr lang="en-US"/>
                      <a:t>L.S.A.
%7,2</a:t>
                    </a:r>
                  </a:p>
                </c:rich>
              </c:tx>
              <c:dLblPos val="bestFit"/>
              <c:showLegendKey val="0"/>
              <c:showVal val="0"/>
              <c:showCatName val="1"/>
              <c:showSerName val="0"/>
              <c:showPercent val="1"/>
              <c:showBubbleSize val="0"/>
            </c:dLbl>
            <c:numFmt formatCode="0.0%" sourceLinked="0"/>
            <c:showLegendKey val="0"/>
            <c:showVal val="0"/>
            <c:showCatName val="1"/>
            <c:showSerName val="0"/>
            <c:showPercent val="1"/>
            <c:showBubbleSize val="0"/>
            <c:showLeaderLines val="1"/>
          </c:dLbls>
          <c:cat>
            <c:strRef>
              <c:f>Sheet1!$B$1:$D$1</c:f>
              <c:strCache>
                <c:ptCount val="3"/>
                <c:pt idx="0">
                  <c:v>L.S.M-ak</c:v>
                </c:pt>
                <c:pt idx="1">
                  <c:v>Koop.</c:v>
                </c:pt>
                <c:pt idx="2">
                  <c:v>L.S.A.ak</c:v>
                </c:pt>
              </c:strCache>
            </c:strRef>
          </c:cat>
          <c:val>
            <c:numRef>
              <c:f>Sheet1!$B$2:$D$2</c:f>
              <c:numCache>
                <c:formatCode>0.0%</c:formatCode>
                <c:ptCount val="3"/>
                <c:pt idx="0">
                  <c:v>6.8000000000000019E-2</c:v>
                </c:pt>
                <c:pt idx="1">
                  <c:v>0.86000000000000065</c:v>
                </c:pt>
                <c:pt idx="2">
                  <c:v>7.1999999999999995E-2</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noFill/>
    <a:ln>
      <a:noFill/>
    </a:ln>
  </c:spPr>
  <c:txPr>
    <a:bodyPr/>
    <a:lstStyle/>
    <a:p>
      <a:pPr>
        <a:defRPr sz="800">
          <a:latin typeface="Arial" pitchFamily="34" charset="0"/>
          <a:cs typeface="Arial" pitchFamily="34" charset="0"/>
        </a:defRPr>
      </a:pPr>
      <a:endParaRPr lang="es-ES"/>
    </a:p>
  </c:txPr>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0.28385899098803957"/>
          <c:y val="0.27307086614173232"/>
          <c:w val="0.38057228455751302"/>
          <c:h val="0.57278759509899968"/>
        </c:manualLayout>
      </c:layout>
      <c:pieChart>
        <c:varyColors val="1"/>
        <c:ser>
          <c:idx val="0"/>
          <c:order val="0"/>
          <c:tx>
            <c:strRef>
              <c:f>Sheet1!$A$2</c:f>
              <c:strCache>
                <c:ptCount val="1"/>
              </c:strCache>
            </c:strRef>
          </c:tx>
          <c:dLbls>
            <c:dLbl>
              <c:idx val="0"/>
              <c:layout>
                <c:manualLayout>
                  <c:x val="0.12902132646263254"/>
                  <c:y val="-4.5524148191153073E-2"/>
                </c:manualLayout>
              </c:layout>
              <c:tx>
                <c:rich>
                  <a:bodyPr/>
                  <a:lstStyle/>
                  <a:p>
                    <a:r>
                      <a:rPr lang="en-US"/>
                      <a:t>L.S.M.</a:t>
                    </a:r>
                  </a:p>
                  <a:p>
                    <a:r>
                      <a:rPr lang="en-US"/>
                      <a:t>%3,9</a:t>
                    </a:r>
                  </a:p>
                </c:rich>
              </c:tx>
              <c:showLegendKey val="0"/>
              <c:showVal val="1"/>
              <c:showCatName val="1"/>
              <c:showSerName val="0"/>
              <c:showPercent val="0"/>
              <c:showBubbleSize val="0"/>
              <c:separator>
</c:separator>
            </c:dLbl>
            <c:dLbl>
              <c:idx val="1"/>
              <c:layout>
                <c:manualLayout>
                  <c:x val="0.21850546204660323"/>
                  <c:y val="-3.9777930984433656E-2"/>
                </c:manualLayout>
              </c:layout>
              <c:tx>
                <c:rich>
                  <a:bodyPr/>
                  <a:lstStyle/>
                  <a:p>
                    <a:r>
                      <a:rPr lang="en-US"/>
                      <a:t>Koop.
%90,6</a:t>
                    </a:r>
                  </a:p>
                </c:rich>
              </c:tx>
              <c:showLegendKey val="0"/>
              <c:showVal val="1"/>
              <c:showCatName val="1"/>
              <c:showSerName val="0"/>
              <c:showPercent val="0"/>
              <c:showBubbleSize val="0"/>
              <c:separator>
</c:separator>
            </c:dLbl>
            <c:dLbl>
              <c:idx val="2"/>
              <c:layout>
                <c:manualLayout>
                  <c:x val="-7.6024464831804334E-2"/>
                  <c:y val="-6.5781777277840334E-2"/>
                </c:manualLayout>
              </c:layout>
              <c:tx>
                <c:rich>
                  <a:bodyPr/>
                  <a:lstStyle/>
                  <a:p>
                    <a:r>
                      <a:rPr lang="en-US"/>
                      <a:t>L.S.A.
%5,6</a:t>
                    </a:r>
                  </a:p>
                </c:rich>
              </c:tx>
              <c:showLegendKey val="0"/>
              <c:showVal val="1"/>
              <c:showCatName val="1"/>
              <c:showSerName val="0"/>
              <c:showPercent val="0"/>
              <c:showBubbleSize val="0"/>
              <c:separator>
</c:separator>
            </c:dLbl>
            <c:showLegendKey val="0"/>
            <c:showVal val="1"/>
            <c:showCatName val="1"/>
            <c:showSerName val="0"/>
            <c:showPercent val="0"/>
            <c:showBubbleSize val="0"/>
            <c:separator>
</c:separator>
            <c:showLeaderLines val="1"/>
          </c:dLbls>
          <c:cat>
            <c:strRef>
              <c:f>Sheet1!$B$1:$D$1</c:f>
              <c:strCache>
                <c:ptCount val="3"/>
                <c:pt idx="0">
                  <c:v>S.L.L.es</c:v>
                </c:pt>
                <c:pt idx="1">
                  <c:v>Coop.</c:v>
                </c:pt>
                <c:pt idx="2">
                  <c:v>S.A.L.es</c:v>
                </c:pt>
              </c:strCache>
            </c:strRef>
          </c:cat>
          <c:val>
            <c:numRef>
              <c:f>Sheet1!$B$2:$D$2</c:f>
              <c:numCache>
                <c:formatCode>0.0%</c:formatCode>
                <c:ptCount val="3"/>
                <c:pt idx="0">
                  <c:v>3.9000000000000014E-2</c:v>
                </c:pt>
                <c:pt idx="1">
                  <c:v>0.90600000000000003</c:v>
                </c:pt>
                <c:pt idx="2">
                  <c:v>5.6000000000000001E-2</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txPr>
    <a:bodyPr/>
    <a:lstStyle/>
    <a:p>
      <a:pPr>
        <a:defRPr sz="800">
          <a:latin typeface="Arial" pitchFamily="34" charset="0"/>
          <a:cs typeface="Arial" pitchFamily="34" charset="0"/>
        </a:defRPr>
      </a:pPr>
      <a:endParaRPr lang="es-ES"/>
    </a:p>
  </c:txPr>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a:lstStyle/>
          <a:p>
            <a:pPr>
              <a:defRPr sz="900"/>
            </a:pPr>
            <a:r>
              <a:rPr lang="es-ES" sz="900"/>
              <a:t>2012</a:t>
            </a:r>
          </a:p>
        </c:rich>
      </c:tx>
      <c:layout>
        <c:manualLayout>
          <c:xMode val="edge"/>
          <c:yMode val="edge"/>
          <c:x val="0.44244604316546782"/>
          <c:y val="2.197802197802199E-2"/>
        </c:manualLayout>
      </c:layout>
      <c:overlay val="0"/>
    </c:title>
    <c:autoTitleDeleted val="0"/>
    <c:plotArea>
      <c:layout>
        <c:manualLayout>
          <c:layoutTarget val="inner"/>
          <c:xMode val="edge"/>
          <c:yMode val="edge"/>
          <c:x val="0.31202541123801292"/>
          <c:y val="0.21407687963055133"/>
          <c:w val="0.41504591205378605"/>
          <c:h val="0.62482047339020375"/>
        </c:manualLayout>
      </c:layout>
      <c:pieChart>
        <c:varyColors val="1"/>
        <c:ser>
          <c:idx val="0"/>
          <c:order val="0"/>
          <c:tx>
            <c:strRef>
              <c:f>Sheet1!$A$2</c:f>
              <c:strCache>
                <c:ptCount val="1"/>
              </c:strCache>
            </c:strRef>
          </c:tx>
          <c:dLbls>
            <c:dLbl>
              <c:idx val="0"/>
              <c:layout>
                <c:manualLayout>
                  <c:x val="-2.3595164791252267E-2"/>
                  <c:y val="-0.20845581802274721"/>
                </c:manualLayout>
              </c:layout>
              <c:tx>
                <c:rich>
                  <a:bodyPr/>
                  <a:lstStyle/>
                  <a:p>
                    <a:r>
                      <a:rPr lang="en-US"/>
                      <a:t>Bizkaia
%45,5</a:t>
                    </a:r>
                  </a:p>
                </c:rich>
              </c:tx>
              <c:dLblPos val="bestFit"/>
              <c:showLegendKey val="0"/>
              <c:showVal val="0"/>
              <c:showCatName val="1"/>
              <c:showSerName val="0"/>
              <c:showPercent val="1"/>
              <c:showBubbleSize val="0"/>
            </c:dLbl>
            <c:dLbl>
              <c:idx val="1"/>
              <c:layout>
                <c:manualLayout>
                  <c:x val="-3.1894456970728353E-2"/>
                  <c:y val="-1.7279931354734893E-3"/>
                </c:manualLayout>
              </c:layout>
              <c:tx>
                <c:rich>
                  <a:bodyPr/>
                  <a:lstStyle/>
                  <a:p>
                    <a:r>
                      <a:rPr lang="en-US"/>
                      <a:t>Gipuzkoa
%39,3</a:t>
                    </a:r>
                  </a:p>
                </c:rich>
              </c:tx>
              <c:dLblPos val="bestFit"/>
              <c:showLegendKey val="0"/>
              <c:showVal val="0"/>
              <c:showCatName val="1"/>
              <c:showSerName val="0"/>
              <c:showPercent val="1"/>
              <c:showBubbleSize val="0"/>
            </c:dLbl>
            <c:dLbl>
              <c:idx val="2"/>
              <c:layout>
                <c:manualLayout>
                  <c:x val="-2.3377708417078719E-2"/>
                  <c:y val="-1.4395352479674218E-3"/>
                </c:manualLayout>
              </c:layout>
              <c:tx>
                <c:rich>
                  <a:bodyPr/>
                  <a:lstStyle/>
                  <a:p>
                    <a:r>
                      <a:rPr lang="en-US"/>
                      <a:t>Araba
%15,2</a:t>
                    </a:r>
                  </a:p>
                </c:rich>
              </c:tx>
              <c:dLblPos val="bestFit"/>
              <c:showLegendKey val="0"/>
              <c:showVal val="0"/>
              <c:showCatName val="1"/>
              <c:showSerName val="0"/>
              <c:showPercent val="1"/>
              <c:showBubbleSize val="0"/>
            </c:dLbl>
            <c:numFmt formatCode="0.0%" sourceLinked="0"/>
            <c:showLegendKey val="0"/>
            <c:showVal val="0"/>
            <c:showCatName val="1"/>
            <c:showSerName val="0"/>
            <c:showPercent val="1"/>
            <c:showBubbleSize val="0"/>
            <c:showLeaderLines val="1"/>
          </c:dLbls>
          <c:cat>
            <c:strRef>
              <c:f>Sheet1!$B$1:$D$1</c:f>
              <c:strCache>
                <c:ptCount val="3"/>
                <c:pt idx="0">
                  <c:v>Bizkaia</c:v>
                </c:pt>
                <c:pt idx="1">
                  <c:v>Gipuzkoa</c:v>
                </c:pt>
                <c:pt idx="2">
                  <c:v>Álava</c:v>
                </c:pt>
              </c:strCache>
            </c:strRef>
          </c:cat>
          <c:val>
            <c:numRef>
              <c:f>Sheet1!$B$2:$D$2</c:f>
              <c:numCache>
                <c:formatCode>0.0%</c:formatCode>
                <c:ptCount val="3"/>
                <c:pt idx="0">
                  <c:v>0.45500000000000002</c:v>
                </c:pt>
                <c:pt idx="1">
                  <c:v>0.39300000000000251</c:v>
                </c:pt>
                <c:pt idx="2">
                  <c:v>0.15200000000000041</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txPr>
    <a:bodyPr/>
    <a:lstStyle/>
    <a:p>
      <a:pPr>
        <a:defRPr sz="800">
          <a:latin typeface="Arial" pitchFamily="34" charset="0"/>
          <a:cs typeface="Arial" pitchFamily="34" charset="0"/>
        </a:defRPr>
      </a:pPr>
      <a:endParaRPr lang="es-ES"/>
    </a:p>
  </c:txPr>
  <c:externalData r:id="rId1">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a:lstStyle/>
          <a:p>
            <a:pPr>
              <a:defRPr sz="900"/>
            </a:pPr>
            <a:r>
              <a:rPr lang="es-ES" sz="900"/>
              <a:t>2010</a:t>
            </a:r>
          </a:p>
        </c:rich>
      </c:tx>
      <c:layout>
        <c:manualLayout>
          <c:xMode val="edge"/>
          <c:yMode val="edge"/>
          <c:x val="0.44244604316546782"/>
          <c:y val="2.197802197802199E-2"/>
        </c:manualLayout>
      </c:layout>
      <c:overlay val="0"/>
    </c:title>
    <c:autoTitleDeleted val="0"/>
    <c:plotArea>
      <c:layout>
        <c:manualLayout>
          <c:layoutTarget val="inner"/>
          <c:xMode val="edge"/>
          <c:yMode val="edge"/>
          <c:x val="0.31202541123801275"/>
          <c:y val="0.21407687963055139"/>
          <c:w val="0.41504591205378605"/>
          <c:h val="0.6248204733902033"/>
        </c:manualLayout>
      </c:layout>
      <c:pieChart>
        <c:varyColors val="1"/>
        <c:ser>
          <c:idx val="0"/>
          <c:order val="0"/>
          <c:tx>
            <c:strRef>
              <c:f>Sheet1!$A$2</c:f>
              <c:strCache>
                <c:ptCount val="1"/>
              </c:strCache>
            </c:strRef>
          </c:tx>
          <c:dLbls>
            <c:dLbl>
              <c:idx val="0"/>
              <c:layout>
                <c:manualLayout>
                  <c:x val="-2.3595164791252267E-2"/>
                  <c:y val="-0.20845581802274721"/>
                </c:manualLayout>
              </c:layout>
              <c:tx>
                <c:rich>
                  <a:bodyPr/>
                  <a:lstStyle/>
                  <a:p>
                    <a:r>
                      <a:rPr lang="en-US"/>
                      <a:t>Bizkaia
%46,0</a:t>
                    </a:r>
                  </a:p>
                </c:rich>
              </c:tx>
              <c:dLblPos val="bestFit"/>
              <c:showLegendKey val="0"/>
              <c:showVal val="0"/>
              <c:showCatName val="1"/>
              <c:showSerName val="0"/>
              <c:showPercent val="1"/>
              <c:showBubbleSize val="0"/>
            </c:dLbl>
            <c:dLbl>
              <c:idx val="1"/>
              <c:layout>
                <c:manualLayout>
                  <c:x val="-3.1894456970728353E-2"/>
                  <c:y val="-1.7279931354734893E-3"/>
                </c:manualLayout>
              </c:layout>
              <c:tx>
                <c:rich>
                  <a:bodyPr/>
                  <a:lstStyle/>
                  <a:p>
                    <a:r>
                      <a:rPr lang="en-US"/>
                      <a:t>Gipuzkoa
%38,5</a:t>
                    </a:r>
                  </a:p>
                </c:rich>
              </c:tx>
              <c:dLblPos val="bestFit"/>
              <c:showLegendKey val="0"/>
              <c:showVal val="0"/>
              <c:showCatName val="1"/>
              <c:showSerName val="0"/>
              <c:showPercent val="1"/>
              <c:showBubbleSize val="0"/>
            </c:dLbl>
            <c:dLbl>
              <c:idx val="2"/>
              <c:layout>
                <c:manualLayout>
                  <c:x val="-2.3377708417078712E-2"/>
                  <c:y val="-1.4395352479674218E-3"/>
                </c:manualLayout>
              </c:layout>
              <c:tx>
                <c:rich>
                  <a:bodyPr/>
                  <a:lstStyle/>
                  <a:p>
                    <a:r>
                      <a:rPr lang="en-US"/>
                      <a:t>Araba
%15,5</a:t>
                    </a:r>
                  </a:p>
                </c:rich>
              </c:tx>
              <c:dLblPos val="bestFit"/>
              <c:showLegendKey val="0"/>
              <c:showVal val="0"/>
              <c:showCatName val="1"/>
              <c:showSerName val="0"/>
              <c:showPercent val="1"/>
              <c:showBubbleSize val="0"/>
            </c:dLbl>
            <c:numFmt formatCode="0.0%" sourceLinked="0"/>
            <c:showLegendKey val="0"/>
            <c:showVal val="0"/>
            <c:showCatName val="1"/>
            <c:showSerName val="0"/>
            <c:showPercent val="1"/>
            <c:showBubbleSize val="0"/>
            <c:showLeaderLines val="1"/>
          </c:dLbls>
          <c:cat>
            <c:strRef>
              <c:f>Sheet1!$B$1:$D$1</c:f>
              <c:strCache>
                <c:ptCount val="3"/>
                <c:pt idx="0">
                  <c:v>Bizkaia</c:v>
                </c:pt>
                <c:pt idx="1">
                  <c:v>Gipuzkoa</c:v>
                </c:pt>
                <c:pt idx="2">
                  <c:v>Álava</c:v>
                </c:pt>
              </c:strCache>
            </c:strRef>
          </c:cat>
          <c:val>
            <c:numRef>
              <c:f>Sheet1!$B$2:$D$2</c:f>
              <c:numCache>
                <c:formatCode>0.0%</c:formatCode>
                <c:ptCount val="3"/>
                <c:pt idx="0">
                  <c:v>0.46</c:v>
                </c:pt>
                <c:pt idx="1">
                  <c:v>0.38500000000000217</c:v>
                </c:pt>
                <c:pt idx="2">
                  <c:v>0.15500000000000044</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txPr>
    <a:bodyPr/>
    <a:lstStyle/>
    <a:p>
      <a:pPr>
        <a:defRPr sz="800">
          <a:latin typeface="Arial" pitchFamily="34" charset="0"/>
          <a:cs typeface="Arial" pitchFamily="34" charset="0"/>
        </a:defRPr>
      </a:pPr>
      <a:endParaRPr lang="es-E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4.8913043478260865E-2"/>
          <c:y val="7.6923076923076927E-2"/>
          <c:w val="0.93297101449275865"/>
          <c:h val="0.59340659340659341"/>
        </c:manualLayout>
      </c:layout>
      <c:barChart>
        <c:barDir val="col"/>
        <c:grouping val="clustered"/>
        <c:varyColors val="0"/>
        <c:ser>
          <c:idx val="2"/>
          <c:order val="0"/>
          <c:tx>
            <c:strRef>
              <c:f>Sheet1!$A$2</c:f>
              <c:strCache>
                <c:ptCount val="1"/>
                <c:pt idx="0">
                  <c:v>2008</c:v>
                </c:pt>
              </c:strCache>
            </c:strRef>
          </c:tx>
          <c:spPr>
            <a:solidFill>
              <a:schemeClr val="accent1">
                <a:lumMod val="20000"/>
                <a:lumOff val="80000"/>
              </a:schemeClr>
            </a:solidFill>
            <a:ln w="8390">
              <a:noFill/>
              <a:prstDash val="solid"/>
            </a:ln>
          </c:spPr>
          <c:invertIfNegative val="0"/>
          <c:dLbls>
            <c:dLbl>
              <c:idx val="0"/>
              <c:layout>
                <c:manualLayout>
                  <c:x val="-1.183431952662722E-2"/>
                  <c:y val="6.944444444444536E-3"/>
                </c:manualLayout>
              </c:layout>
              <c:dLblPos val="outEnd"/>
              <c:showLegendKey val="0"/>
              <c:showVal val="1"/>
              <c:showCatName val="0"/>
              <c:showSerName val="0"/>
              <c:showPercent val="0"/>
              <c:showBubbleSize val="0"/>
            </c:dLbl>
            <c:dLbl>
              <c:idx val="1"/>
              <c:layout>
                <c:manualLayout>
                  <c:x val="0"/>
                  <c:y val="2.0833333333333412E-2"/>
                </c:manualLayout>
              </c:layout>
              <c:dLblPos val="outEnd"/>
              <c:showLegendKey val="0"/>
              <c:showVal val="1"/>
              <c:showCatName val="0"/>
              <c:showSerName val="0"/>
              <c:showPercent val="0"/>
              <c:showBubbleSize val="0"/>
            </c:dLbl>
            <c:dLbl>
              <c:idx val="2"/>
              <c:layout>
                <c:manualLayout>
                  <c:x val="-1.183431952662722E-2"/>
                  <c:y val="2.0833333333333412E-2"/>
                </c:manualLayout>
              </c:layout>
              <c:dLblPos val="outEnd"/>
              <c:showLegendKey val="0"/>
              <c:showVal val="1"/>
              <c:showCatName val="0"/>
              <c:showSerName val="0"/>
              <c:showPercent val="0"/>
              <c:showBubbleSize val="0"/>
            </c:dLbl>
            <c:dLbl>
              <c:idx val="3"/>
              <c:layout>
                <c:manualLayout>
                  <c:x val="-9.4674556213018048E-3"/>
                  <c:y val="2.0833333333333412E-2"/>
                </c:manualLayout>
              </c:layout>
              <c:dLblPos val="outEnd"/>
              <c:showLegendKey val="0"/>
              <c:showVal val="1"/>
              <c:showCatName val="0"/>
              <c:showSerName val="0"/>
              <c:showPercent val="0"/>
              <c:showBubbleSize val="0"/>
            </c:dLbl>
            <c:dLbl>
              <c:idx val="4"/>
              <c:layout>
                <c:manualLayout>
                  <c:x val="0"/>
                  <c:y val="2.0833333333333412E-2"/>
                </c:manualLayout>
              </c:layout>
              <c:dLblPos val="outEnd"/>
              <c:showLegendKey val="0"/>
              <c:showVal val="1"/>
              <c:showCatName val="0"/>
              <c:showSerName val="0"/>
              <c:showPercent val="0"/>
              <c:showBubbleSize val="0"/>
            </c:dLbl>
            <c:spPr>
              <a:noFill/>
              <a:ln w="16779">
                <a:noFill/>
              </a:ln>
            </c:spPr>
            <c:showLegendKey val="0"/>
            <c:showVal val="1"/>
            <c:showCatName val="0"/>
            <c:showSerName val="0"/>
            <c:showPercent val="0"/>
            <c:showBubbleSize val="0"/>
            <c:showLeaderLines val="0"/>
          </c:dLbls>
          <c:cat>
            <c:strRef>
              <c:f>Sheet1!$B$1:$F$1</c:f>
              <c:strCache>
                <c:ptCount val="5"/>
                <c:pt idx="0">
                  <c:v>EAE</c:v>
                </c:pt>
                <c:pt idx="1">
                  <c:v>Nekazaritza</c:v>
                </c:pt>
                <c:pt idx="2">
                  <c:v>Industria</c:v>
                </c:pt>
                <c:pt idx="3">
                  <c:v>Eraikuntza</c:v>
                </c:pt>
                <c:pt idx="4">
                  <c:v>Zerbitzuak</c:v>
                </c:pt>
              </c:strCache>
            </c:strRef>
          </c:cat>
          <c:val>
            <c:numRef>
              <c:f>Sheet1!$B$2:$F$2</c:f>
              <c:numCache>
                <c:formatCode>%0.0</c:formatCode>
                <c:ptCount val="5"/>
                <c:pt idx="0">
                  <c:v>6.3E-2</c:v>
                </c:pt>
                <c:pt idx="1">
                  <c:v>1.9000000000000017E-2</c:v>
                </c:pt>
                <c:pt idx="2">
                  <c:v>0.12100000000000002</c:v>
                </c:pt>
                <c:pt idx="3">
                  <c:v>2.7000000000000024E-2</c:v>
                </c:pt>
                <c:pt idx="4">
                  <c:v>4.8000000000000001E-2</c:v>
                </c:pt>
              </c:numCache>
            </c:numRef>
          </c:val>
        </c:ser>
        <c:ser>
          <c:idx val="0"/>
          <c:order val="1"/>
          <c:tx>
            <c:strRef>
              <c:f>Sheet1!$A$3</c:f>
              <c:strCache>
                <c:ptCount val="1"/>
                <c:pt idx="0">
                  <c:v>2010</c:v>
                </c:pt>
              </c:strCache>
            </c:strRef>
          </c:tx>
          <c:spPr>
            <a:solidFill>
              <a:schemeClr val="tx2"/>
            </a:solidFill>
            <a:ln w="8390">
              <a:noFill/>
              <a:prstDash val="solid"/>
            </a:ln>
          </c:spPr>
          <c:invertIfNegative val="0"/>
          <c:dLbls>
            <c:dLbl>
              <c:idx val="0"/>
              <c:layout>
                <c:manualLayout>
                  <c:x val="0"/>
                  <c:y val="-4.8611111111111112E-2"/>
                </c:manualLayout>
              </c:layout>
              <c:dLblPos val="outEnd"/>
              <c:showLegendKey val="0"/>
              <c:showVal val="1"/>
              <c:showCatName val="0"/>
              <c:showSerName val="0"/>
              <c:showPercent val="0"/>
              <c:showBubbleSize val="0"/>
            </c:dLbl>
            <c:dLbl>
              <c:idx val="1"/>
              <c:layout>
                <c:manualLayout>
                  <c:x val="4.7337278106509987E-3"/>
                  <c:y val="-4.8611111111111084E-2"/>
                </c:manualLayout>
              </c:layout>
              <c:dLblPos val="outEnd"/>
              <c:showLegendKey val="0"/>
              <c:showVal val="1"/>
              <c:showCatName val="0"/>
              <c:showSerName val="0"/>
              <c:showPercent val="0"/>
              <c:showBubbleSize val="0"/>
            </c:dLbl>
            <c:dLbl>
              <c:idx val="2"/>
              <c:layout>
                <c:manualLayout>
                  <c:x val="4.7337278106509024E-3"/>
                  <c:y val="-6.25E-2"/>
                </c:manualLayout>
              </c:layout>
              <c:dLblPos val="outEnd"/>
              <c:showLegendKey val="0"/>
              <c:showVal val="1"/>
              <c:showCatName val="0"/>
              <c:showSerName val="0"/>
              <c:showPercent val="0"/>
              <c:showBubbleSize val="0"/>
            </c:dLbl>
            <c:dLbl>
              <c:idx val="3"/>
              <c:layout>
                <c:manualLayout>
                  <c:x val="-7.1005917159762504E-3"/>
                  <c:y val="-2.0833333333333412E-2"/>
                </c:manualLayout>
              </c:layout>
              <c:dLblPos val="outEnd"/>
              <c:showLegendKey val="0"/>
              <c:showVal val="1"/>
              <c:showCatName val="0"/>
              <c:showSerName val="0"/>
              <c:showPercent val="0"/>
              <c:showBubbleSize val="0"/>
            </c:dLbl>
            <c:dLbl>
              <c:idx val="4"/>
              <c:layout>
                <c:manualLayout>
                  <c:x val="0"/>
                  <c:y val="-2.0833333333333412E-2"/>
                </c:manualLayout>
              </c:layout>
              <c:dLblPos val="outEnd"/>
              <c:showLegendKey val="0"/>
              <c:showVal val="1"/>
              <c:showCatName val="0"/>
              <c:showSerName val="0"/>
              <c:showPercent val="0"/>
              <c:showBubbleSize val="0"/>
            </c:dLbl>
            <c:spPr>
              <a:noFill/>
              <a:ln w="16779">
                <a:noFill/>
              </a:ln>
            </c:spPr>
            <c:showLegendKey val="0"/>
            <c:showVal val="1"/>
            <c:showCatName val="0"/>
            <c:showSerName val="0"/>
            <c:showPercent val="0"/>
            <c:showBubbleSize val="0"/>
            <c:showLeaderLines val="0"/>
          </c:dLbls>
          <c:cat>
            <c:strRef>
              <c:f>Sheet1!$B$1:$F$1</c:f>
              <c:strCache>
                <c:ptCount val="5"/>
                <c:pt idx="0">
                  <c:v>EAE</c:v>
                </c:pt>
                <c:pt idx="1">
                  <c:v>Nekazaritza</c:v>
                </c:pt>
                <c:pt idx="2">
                  <c:v>Industria</c:v>
                </c:pt>
                <c:pt idx="3">
                  <c:v>Eraikuntza</c:v>
                </c:pt>
                <c:pt idx="4">
                  <c:v>Zerbitzuak</c:v>
                </c:pt>
              </c:strCache>
            </c:strRef>
          </c:cat>
          <c:val>
            <c:numRef>
              <c:f>Sheet1!$B$3:$F$3</c:f>
              <c:numCache>
                <c:formatCode>%0.0</c:formatCode>
                <c:ptCount val="5"/>
                <c:pt idx="0">
                  <c:v>6.3E-2</c:v>
                </c:pt>
                <c:pt idx="1">
                  <c:v>2.0000000000000011E-2</c:v>
                </c:pt>
                <c:pt idx="2">
                  <c:v>0.11799999999999998</c:v>
                </c:pt>
                <c:pt idx="3">
                  <c:v>2.8000000000000001E-2</c:v>
                </c:pt>
                <c:pt idx="4">
                  <c:v>4.9000000000000044E-2</c:v>
                </c:pt>
              </c:numCache>
            </c:numRef>
          </c:val>
        </c:ser>
        <c:ser>
          <c:idx val="1"/>
          <c:order val="2"/>
          <c:tx>
            <c:strRef>
              <c:f>Sheet1!$A$4</c:f>
              <c:strCache>
                <c:ptCount val="1"/>
                <c:pt idx="0">
                  <c:v>2012</c:v>
                </c:pt>
              </c:strCache>
            </c:strRef>
          </c:tx>
          <c:spPr>
            <a:solidFill>
              <a:schemeClr val="accent1"/>
            </a:solidFill>
            <a:ln w="8390">
              <a:noFill/>
              <a:prstDash val="solid"/>
            </a:ln>
          </c:spPr>
          <c:invertIfNegative val="0"/>
          <c:dLbls>
            <c:spPr>
              <a:noFill/>
              <a:ln w="16779">
                <a:noFill/>
              </a:ln>
            </c:spPr>
            <c:showLegendKey val="0"/>
            <c:showVal val="1"/>
            <c:showCatName val="0"/>
            <c:showSerName val="0"/>
            <c:showPercent val="0"/>
            <c:showBubbleSize val="0"/>
            <c:showLeaderLines val="0"/>
          </c:dLbls>
          <c:cat>
            <c:strRef>
              <c:f>Sheet1!$B$1:$F$1</c:f>
              <c:strCache>
                <c:ptCount val="5"/>
                <c:pt idx="0">
                  <c:v>EAE</c:v>
                </c:pt>
                <c:pt idx="1">
                  <c:v>Nekazaritza</c:v>
                </c:pt>
                <c:pt idx="2">
                  <c:v>Industria</c:v>
                </c:pt>
                <c:pt idx="3">
                  <c:v>Eraikuntza</c:v>
                </c:pt>
                <c:pt idx="4">
                  <c:v>Zerbitzuak</c:v>
                </c:pt>
              </c:strCache>
            </c:strRef>
          </c:cat>
          <c:val>
            <c:numRef>
              <c:f>Sheet1!$B$4:$F$4</c:f>
              <c:numCache>
                <c:formatCode>%0.0</c:formatCode>
                <c:ptCount val="5"/>
                <c:pt idx="0">
                  <c:v>6.2000000000000034E-2</c:v>
                </c:pt>
                <c:pt idx="1">
                  <c:v>1.4E-2</c:v>
                </c:pt>
                <c:pt idx="2">
                  <c:v>0.12000000000000002</c:v>
                </c:pt>
                <c:pt idx="3">
                  <c:v>3.500000000000001E-2</c:v>
                </c:pt>
                <c:pt idx="4">
                  <c:v>4.5000000000000012E-2</c:v>
                </c:pt>
              </c:numCache>
            </c:numRef>
          </c:val>
        </c:ser>
        <c:dLbls>
          <c:showLegendKey val="0"/>
          <c:showVal val="0"/>
          <c:showCatName val="0"/>
          <c:showSerName val="0"/>
          <c:showPercent val="0"/>
          <c:showBubbleSize val="0"/>
        </c:dLbls>
        <c:gapWidth val="150"/>
        <c:axId val="104045952"/>
        <c:axId val="104055936"/>
      </c:barChart>
      <c:catAx>
        <c:axId val="104045952"/>
        <c:scaling>
          <c:orientation val="minMax"/>
        </c:scaling>
        <c:delete val="0"/>
        <c:axPos val="b"/>
        <c:numFmt formatCode="General" sourceLinked="1"/>
        <c:majorTickMark val="out"/>
        <c:minorTickMark val="none"/>
        <c:tickLblPos val="low"/>
        <c:spPr>
          <a:ln w="2097">
            <a:solidFill>
              <a:srgbClr val="000000"/>
            </a:solidFill>
            <a:prstDash val="solid"/>
          </a:ln>
        </c:spPr>
        <c:txPr>
          <a:bodyPr rot="0" vert="horz"/>
          <a:lstStyle/>
          <a:p>
            <a:pPr>
              <a:defRPr/>
            </a:pPr>
            <a:endParaRPr lang="es-ES"/>
          </a:p>
        </c:txPr>
        <c:crossAx val="104055936"/>
        <c:crosses val="autoZero"/>
        <c:auto val="1"/>
        <c:lblAlgn val="ctr"/>
        <c:lblOffset val="100"/>
        <c:tickLblSkip val="1"/>
        <c:tickMarkSkip val="1"/>
        <c:noMultiLvlLbl val="0"/>
      </c:catAx>
      <c:valAx>
        <c:axId val="104055936"/>
        <c:scaling>
          <c:orientation val="minMax"/>
        </c:scaling>
        <c:delete val="0"/>
        <c:axPos val="l"/>
        <c:majorGridlines>
          <c:spPr>
            <a:ln w="8390">
              <a:solidFill>
                <a:schemeClr val="bg1">
                  <a:lumMod val="95000"/>
                </a:schemeClr>
              </a:solidFill>
              <a:prstDash val="solid"/>
            </a:ln>
          </c:spPr>
        </c:majorGridlines>
        <c:numFmt formatCode="%0" sourceLinked="0"/>
        <c:majorTickMark val="out"/>
        <c:minorTickMark val="none"/>
        <c:tickLblPos val="nextTo"/>
        <c:spPr>
          <a:ln w="2097">
            <a:solidFill>
              <a:srgbClr val="000000"/>
            </a:solidFill>
            <a:prstDash val="solid"/>
          </a:ln>
        </c:spPr>
        <c:txPr>
          <a:bodyPr rot="0" vert="horz"/>
          <a:lstStyle/>
          <a:p>
            <a:pPr>
              <a:defRPr/>
            </a:pPr>
            <a:endParaRPr lang="es-ES"/>
          </a:p>
        </c:txPr>
        <c:crossAx val="104045952"/>
        <c:crosses val="autoZero"/>
        <c:crossBetween val="between"/>
        <c:majorUnit val="0.05"/>
      </c:valAx>
      <c:spPr>
        <a:noFill/>
        <a:ln w="16779">
          <a:noFill/>
        </a:ln>
      </c:spPr>
    </c:plotArea>
    <c:legend>
      <c:legendPos val="r"/>
      <c:layout>
        <c:manualLayout>
          <c:xMode val="edge"/>
          <c:yMode val="edge"/>
          <c:x val="0.23774954627949202"/>
          <c:y val="0.86206896551724077"/>
          <c:w val="0.53901996370235861"/>
          <c:h val="0.10344827586206895"/>
        </c:manualLayout>
      </c:layout>
      <c:overlay val="0"/>
      <c:spPr>
        <a:noFill/>
        <a:ln w="2097">
          <a:noFill/>
          <a:prstDash val="solid"/>
        </a:ln>
      </c:spPr>
    </c:legend>
    <c:plotVisOnly val="1"/>
    <c:dispBlanksAs val="gap"/>
    <c:showDLblsOverMax val="0"/>
  </c:chart>
  <c:spPr>
    <a:noFill/>
    <a:ln>
      <a:noFill/>
    </a:ln>
  </c:spPr>
  <c:txPr>
    <a:bodyPr/>
    <a:lstStyle/>
    <a:p>
      <a:pPr>
        <a:defRPr sz="800" b="0" i="0" u="none" strike="noStrike" baseline="0">
          <a:solidFill>
            <a:srgbClr val="000000"/>
          </a:solidFill>
          <a:latin typeface="Arial" pitchFamily="34" charset="0"/>
          <a:ea typeface="Calibri"/>
          <a:cs typeface="Arial" pitchFamily="34" charset="0"/>
        </a:defRPr>
      </a:pPr>
      <a:endParaRPr lang="es-ES"/>
    </a:p>
  </c:txPr>
  <c:externalData r:id="rId2">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a:lstStyle/>
          <a:p>
            <a:pPr>
              <a:defRPr sz="900"/>
            </a:pPr>
            <a:r>
              <a:rPr lang="es-ES" sz="900"/>
              <a:t>2012</a:t>
            </a:r>
          </a:p>
        </c:rich>
      </c:tx>
      <c:layout>
        <c:manualLayout>
          <c:xMode val="edge"/>
          <c:yMode val="edge"/>
          <c:x val="0.47012760083190291"/>
          <c:y val="2.1977799650043851E-2"/>
        </c:manualLayout>
      </c:layout>
      <c:overlay val="0"/>
    </c:title>
    <c:autoTitleDeleted val="0"/>
    <c:plotArea>
      <c:layout>
        <c:manualLayout>
          <c:layoutTarget val="inner"/>
          <c:xMode val="edge"/>
          <c:yMode val="edge"/>
          <c:x val="0.26402637386590061"/>
          <c:y val="0.18788167104111986"/>
          <c:w val="0.43342578717453117"/>
          <c:h val="0.65239610673665749"/>
        </c:manualLayout>
      </c:layout>
      <c:pieChart>
        <c:varyColors val="1"/>
        <c:ser>
          <c:idx val="0"/>
          <c:order val="0"/>
          <c:tx>
            <c:strRef>
              <c:f>Sheet1!$A$2</c:f>
              <c:strCache>
                <c:ptCount val="1"/>
              </c:strCache>
            </c:strRef>
          </c:tx>
          <c:dLbls>
            <c:dLbl>
              <c:idx val="0"/>
              <c:layout>
                <c:manualLayout>
                  <c:x val="-9.4363413990492764E-2"/>
                  <c:y val="-0.18719381231192356"/>
                </c:manualLayout>
              </c:layout>
              <c:tx>
                <c:rich>
                  <a:bodyPr/>
                  <a:lstStyle/>
                  <a:p>
                    <a:r>
                      <a:rPr lang="en-US"/>
                      <a:t>Bizkaia
%37,8</a:t>
                    </a:r>
                  </a:p>
                </c:rich>
              </c:tx>
              <c:dLblPos val="bestFit"/>
              <c:showLegendKey val="0"/>
              <c:showVal val="0"/>
              <c:showCatName val="1"/>
              <c:showSerName val="0"/>
              <c:showPercent val="1"/>
              <c:showBubbleSize val="0"/>
            </c:dLbl>
            <c:dLbl>
              <c:idx val="1"/>
              <c:layout>
                <c:manualLayout>
                  <c:x val="-2.6895530792215051E-2"/>
                  <c:y val="-3.0523293963254601E-2"/>
                </c:manualLayout>
              </c:layout>
              <c:tx>
                <c:rich>
                  <a:bodyPr/>
                  <a:lstStyle/>
                  <a:p>
                    <a:r>
                      <a:rPr lang="en-US"/>
                      <a:t>Gipuzkoa
%51,7</a:t>
                    </a:r>
                  </a:p>
                </c:rich>
              </c:tx>
              <c:dLblPos val="bestFit"/>
              <c:showLegendKey val="0"/>
              <c:showVal val="0"/>
              <c:showCatName val="1"/>
              <c:showSerName val="0"/>
              <c:showPercent val="1"/>
              <c:showBubbleSize val="0"/>
            </c:dLbl>
            <c:dLbl>
              <c:idx val="2"/>
              <c:layout>
                <c:manualLayout>
                  <c:x val="-6.340371813384918E-2"/>
                  <c:y val="-1.0538057742782141E-2"/>
                </c:manualLayout>
              </c:layout>
              <c:tx>
                <c:rich>
                  <a:bodyPr/>
                  <a:lstStyle/>
                  <a:p>
                    <a:r>
                      <a:rPr lang="en-US"/>
                      <a:t>Araba
%10,5</a:t>
                    </a:r>
                  </a:p>
                </c:rich>
              </c:tx>
              <c:dLblPos val="bestFit"/>
              <c:showLegendKey val="0"/>
              <c:showVal val="0"/>
              <c:showCatName val="1"/>
              <c:showSerName val="0"/>
              <c:showPercent val="1"/>
              <c:showBubbleSize val="0"/>
            </c:dLbl>
            <c:numFmt formatCode="0.0%" sourceLinked="0"/>
            <c:showLegendKey val="0"/>
            <c:showVal val="0"/>
            <c:showCatName val="1"/>
            <c:showSerName val="0"/>
            <c:showPercent val="1"/>
            <c:showBubbleSize val="0"/>
            <c:showLeaderLines val="1"/>
          </c:dLbls>
          <c:cat>
            <c:strRef>
              <c:f>Sheet1!$B$1:$D$1</c:f>
              <c:strCache>
                <c:ptCount val="3"/>
                <c:pt idx="0">
                  <c:v>Bizkaia</c:v>
                </c:pt>
                <c:pt idx="1">
                  <c:v>Gipuzkoa</c:v>
                </c:pt>
                <c:pt idx="2">
                  <c:v>Álava</c:v>
                </c:pt>
              </c:strCache>
            </c:strRef>
          </c:cat>
          <c:val>
            <c:numRef>
              <c:f>Sheet1!$B$2:$D$2</c:f>
              <c:numCache>
                <c:formatCode>0.0%</c:formatCode>
                <c:ptCount val="3"/>
                <c:pt idx="0">
                  <c:v>0.37800000000000211</c:v>
                </c:pt>
                <c:pt idx="1">
                  <c:v>0.51700000000000002</c:v>
                </c:pt>
                <c:pt idx="2">
                  <c:v>0.10500000000000002</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txPr>
    <a:bodyPr/>
    <a:lstStyle/>
    <a:p>
      <a:pPr>
        <a:defRPr sz="800">
          <a:latin typeface="Arial" pitchFamily="34" charset="0"/>
          <a:cs typeface="Arial" pitchFamily="34" charset="0"/>
        </a:defRPr>
      </a:pPr>
      <a:endParaRPr lang="es-ES"/>
    </a:p>
  </c:txPr>
  <c:externalData r:id="rId1">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a:lstStyle/>
          <a:p>
            <a:pPr>
              <a:defRPr sz="900"/>
            </a:pPr>
            <a:r>
              <a:rPr lang="es-ES" sz="900"/>
              <a:t>2010</a:t>
            </a:r>
          </a:p>
        </c:rich>
      </c:tx>
      <c:layout>
        <c:manualLayout>
          <c:xMode val="edge"/>
          <c:yMode val="edge"/>
          <c:x val="0.44244604316546782"/>
          <c:y val="2.197802197802199E-2"/>
        </c:manualLayout>
      </c:layout>
      <c:overlay val="0"/>
    </c:title>
    <c:autoTitleDeleted val="0"/>
    <c:plotArea>
      <c:layout>
        <c:manualLayout>
          <c:layoutTarget val="inner"/>
          <c:xMode val="edge"/>
          <c:yMode val="edge"/>
          <c:x val="0.31202541123801275"/>
          <c:y val="0.21407687963055139"/>
          <c:w val="0.41504591205378605"/>
          <c:h val="0.6248204733902033"/>
        </c:manualLayout>
      </c:layout>
      <c:pieChart>
        <c:varyColors val="1"/>
        <c:ser>
          <c:idx val="0"/>
          <c:order val="0"/>
          <c:tx>
            <c:strRef>
              <c:f>Sheet1!$A$2</c:f>
              <c:strCache>
                <c:ptCount val="1"/>
              </c:strCache>
            </c:strRef>
          </c:tx>
          <c:dLbls>
            <c:dLbl>
              <c:idx val="0"/>
              <c:layout>
                <c:manualLayout>
                  <c:x val="-8.3572047084017567E-2"/>
                  <c:y val="-0.18762267096420637"/>
                </c:manualLayout>
              </c:layout>
              <c:tx>
                <c:rich>
                  <a:bodyPr/>
                  <a:lstStyle/>
                  <a:p>
                    <a:r>
                      <a:rPr lang="en-US"/>
                      <a:t>Bizkaia
%40,3</a:t>
                    </a:r>
                  </a:p>
                </c:rich>
              </c:tx>
              <c:dLblPos val="bestFit"/>
              <c:showLegendKey val="0"/>
              <c:showVal val="0"/>
              <c:showCatName val="1"/>
              <c:showSerName val="0"/>
              <c:showPercent val="1"/>
              <c:showBubbleSize val="0"/>
            </c:dLbl>
            <c:dLbl>
              <c:idx val="1"/>
              <c:layout>
                <c:manualLayout>
                  <c:x val="-3.1894456970728353E-2"/>
                  <c:y val="-1.7279931354734893E-3"/>
                </c:manualLayout>
              </c:layout>
              <c:tx>
                <c:rich>
                  <a:bodyPr/>
                  <a:lstStyle/>
                  <a:p>
                    <a:r>
                      <a:rPr lang="en-US"/>
                      <a:t>Gipuzkoa
%48,7</a:t>
                    </a:r>
                  </a:p>
                </c:rich>
              </c:tx>
              <c:dLblPos val="bestFit"/>
              <c:showLegendKey val="0"/>
              <c:showVal val="0"/>
              <c:showCatName val="1"/>
              <c:showSerName val="0"/>
              <c:showPercent val="1"/>
              <c:showBubbleSize val="0"/>
            </c:dLbl>
            <c:dLbl>
              <c:idx val="2"/>
              <c:layout>
                <c:manualLayout>
                  <c:x val="-2.3377708417078712E-2"/>
                  <c:y val="-1.4395352479674218E-3"/>
                </c:manualLayout>
              </c:layout>
              <c:tx>
                <c:rich>
                  <a:bodyPr/>
                  <a:lstStyle/>
                  <a:p>
                    <a:r>
                      <a:rPr lang="en-US"/>
                      <a:t>Araba
%11,0</a:t>
                    </a:r>
                  </a:p>
                </c:rich>
              </c:tx>
              <c:dLblPos val="bestFit"/>
              <c:showLegendKey val="0"/>
              <c:showVal val="0"/>
              <c:showCatName val="1"/>
              <c:showSerName val="0"/>
              <c:showPercent val="1"/>
              <c:showBubbleSize val="0"/>
            </c:dLbl>
            <c:numFmt formatCode="0.0%" sourceLinked="0"/>
            <c:showLegendKey val="0"/>
            <c:showVal val="0"/>
            <c:showCatName val="1"/>
            <c:showSerName val="0"/>
            <c:showPercent val="1"/>
            <c:showBubbleSize val="0"/>
            <c:showLeaderLines val="1"/>
          </c:dLbls>
          <c:cat>
            <c:strRef>
              <c:f>Sheet1!$B$1:$D$1</c:f>
              <c:strCache>
                <c:ptCount val="3"/>
                <c:pt idx="0">
                  <c:v>Bizkaia</c:v>
                </c:pt>
                <c:pt idx="1">
                  <c:v>Gipuzkoa</c:v>
                </c:pt>
                <c:pt idx="2">
                  <c:v>Álava</c:v>
                </c:pt>
              </c:strCache>
            </c:strRef>
          </c:cat>
          <c:val>
            <c:numRef>
              <c:f>Sheet1!$B$2:$D$2</c:f>
              <c:numCache>
                <c:formatCode>0.0%</c:formatCode>
                <c:ptCount val="3"/>
                <c:pt idx="0">
                  <c:v>0.40300000000000002</c:v>
                </c:pt>
                <c:pt idx="1">
                  <c:v>0.48700000000000032</c:v>
                </c:pt>
                <c:pt idx="2">
                  <c:v>0.11</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txPr>
    <a:bodyPr/>
    <a:lstStyle/>
    <a:p>
      <a:pPr>
        <a:defRPr sz="800">
          <a:latin typeface="Arial" pitchFamily="34" charset="0"/>
          <a:cs typeface="Arial" pitchFamily="34" charset="0"/>
        </a:defRPr>
      </a:pPr>
      <a:endParaRPr lang="es-ES"/>
    </a:p>
  </c:txPr>
  <c:externalData r:id="rId1">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1677704194260528E-2"/>
          <c:y val="9.5890410958904146E-2"/>
          <c:w val="0.89624724061810612"/>
          <c:h val="0.49315068493150682"/>
        </c:manualLayout>
      </c:layout>
      <c:barChart>
        <c:barDir val="col"/>
        <c:grouping val="clustered"/>
        <c:varyColors val="0"/>
        <c:ser>
          <c:idx val="0"/>
          <c:order val="0"/>
          <c:tx>
            <c:strRef>
              <c:f>Sheet1!$A$2</c:f>
              <c:strCache>
                <c:ptCount val="1"/>
                <c:pt idx="0">
                  <c:v>2010</c:v>
                </c:pt>
              </c:strCache>
            </c:strRef>
          </c:tx>
          <c:spPr>
            <a:solidFill>
              <a:schemeClr val="tx2"/>
            </a:solidFill>
            <a:ln w="12643">
              <a:noFill/>
              <a:prstDash val="solid"/>
            </a:ln>
          </c:spPr>
          <c:invertIfNegative val="0"/>
          <c:dLbls>
            <c:dLbl>
              <c:idx val="0"/>
              <c:layout>
                <c:manualLayout>
                  <c:x val="-1.6483622844324561E-3"/>
                  <c:y val="5.3611406682272785E-3"/>
                </c:manualLayout>
              </c:layout>
              <c:tx>
                <c:rich>
                  <a:bodyPr/>
                  <a:lstStyle/>
                  <a:p>
                    <a:r>
                      <a:rPr lang="en-US"/>
                      <a:t>%6,3</a:t>
                    </a:r>
                  </a:p>
                </c:rich>
              </c:tx>
              <c:showLegendKey val="0"/>
              <c:showVal val="1"/>
              <c:showCatName val="0"/>
              <c:showSerName val="0"/>
              <c:showPercent val="0"/>
              <c:showBubbleSize val="0"/>
            </c:dLbl>
            <c:dLbl>
              <c:idx val="1"/>
              <c:layout>
                <c:manualLayout>
                  <c:x val="6.7146262210350536E-3"/>
                  <c:y val="-2.4706837883410052E-2"/>
                </c:manualLayout>
              </c:layout>
              <c:tx>
                <c:rich>
                  <a:bodyPr/>
                  <a:lstStyle/>
                  <a:p>
                    <a:r>
                      <a:rPr lang="en-US"/>
                      <a:t>%4,6</a:t>
                    </a:r>
                  </a:p>
                </c:rich>
              </c:tx>
              <c:showLegendKey val="0"/>
              <c:showVal val="1"/>
              <c:showCatName val="0"/>
              <c:showSerName val="0"/>
              <c:showPercent val="0"/>
              <c:showBubbleSize val="0"/>
            </c:dLbl>
            <c:dLbl>
              <c:idx val="2"/>
              <c:layout>
                <c:manualLayout>
                  <c:x val="-2.5825405229986192E-3"/>
                  <c:y val="-2.3998297510108541E-2"/>
                </c:manualLayout>
              </c:layout>
              <c:tx>
                <c:rich>
                  <a:bodyPr/>
                  <a:lstStyle/>
                  <a:p>
                    <a:r>
                      <a:rPr lang="en-US"/>
                      <a:t>%9,4</a:t>
                    </a:r>
                  </a:p>
                </c:rich>
              </c:tx>
              <c:showLegendKey val="0"/>
              <c:showVal val="1"/>
              <c:showCatName val="0"/>
              <c:showSerName val="0"/>
              <c:showPercent val="0"/>
              <c:showBubbleSize val="0"/>
            </c:dLbl>
            <c:dLbl>
              <c:idx val="3"/>
              <c:layout>
                <c:manualLayout>
                  <c:x val="-8.4217238571860482E-4"/>
                  <c:y val="-2.3438178335816098E-2"/>
                </c:manualLayout>
              </c:layout>
              <c:tx>
                <c:rich>
                  <a:bodyPr/>
                  <a:lstStyle/>
                  <a:p>
                    <a:r>
                      <a:rPr lang="en-US"/>
                      <a:t>%4,9</a:t>
                    </a:r>
                  </a:p>
                </c:rich>
              </c:tx>
              <c:showLegendKey val="0"/>
              <c:showVal val="1"/>
              <c:showCatName val="0"/>
              <c:showSerName val="0"/>
              <c:showPercent val="0"/>
              <c:showBubbleSize val="0"/>
            </c:dLbl>
            <c:dLbl>
              <c:idx val="4"/>
              <c:layout>
                <c:manualLayout>
                  <c:xMode val="edge"/>
                  <c:yMode val="edge"/>
                  <c:x val="0.75496688741721851"/>
                  <c:y val="0.54794520547945702"/>
                </c:manualLayout>
              </c:layout>
              <c:showLegendKey val="0"/>
              <c:showVal val="1"/>
              <c:showCatName val="0"/>
              <c:showSerName val="0"/>
              <c:showPercent val="0"/>
              <c:showBubbleSize val="0"/>
            </c:dLbl>
            <c:spPr>
              <a:noFill/>
              <a:ln w="25287">
                <a:noFill/>
              </a:ln>
            </c:spPr>
            <c:txPr>
              <a:bodyPr/>
              <a:lstStyle/>
              <a:p>
                <a:pPr>
                  <a:defRPr b="1"/>
                </a:pPr>
                <a:endParaRPr lang="es-ES"/>
              </a:p>
            </c:txPr>
            <c:showLegendKey val="0"/>
            <c:showVal val="1"/>
            <c:showCatName val="0"/>
            <c:showSerName val="0"/>
            <c:showPercent val="0"/>
            <c:showBubbleSize val="0"/>
            <c:showLeaderLines val="0"/>
          </c:dLbls>
          <c:cat>
            <c:strRef>
              <c:f>Sheet1!$B$1:$E$1</c:f>
              <c:strCache>
                <c:ptCount val="4"/>
                <c:pt idx="0">
                  <c:v>EAE</c:v>
                </c:pt>
                <c:pt idx="1">
                  <c:v>Araba</c:v>
                </c:pt>
                <c:pt idx="2">
                  <c:v>Gipuzkoa</c:v>
                </c:pt>
                <c:pt idx="3">
                  <c:v>Bizkaia</c:v>
                </c:pt>
              </c:strCache>
            </c:strRef>
          </c:cat>
          <c:val>
            <c:numRef>
              <c:f>Sheet1!$B$2:$E$2</c:f>
              <c:numCache>
                <c:formatCode>0.0%</c:formatCode>
                <c:ptCount val="4"/>
                <c:pt idx="0">
                  <c:v>6.3E-2</c:v>
                </c:pt>
                <c:pt idx="1">
                  <c:v>4.5999999999999999E-2</c:v>
                </c:pt>
                <c:pt idx="2">
                  <c:v>9.4000000000000028E-2</c:v>
                </c:pt>
                <c:pt idx="3">
                  <c:v>4.9000000000000113E-2</c:v>
                </c:pt>
              </c:numCache>
            </c:numRef>
          </c:val>
        </c:ser>
        <c:ser>
          <c:idx val="1"/>
          <c:order val="1"/>
          <c:tx>
            <c:strRef>
              <c:f>Sheet1!$A$3</c:f>
              <c:strCache>
                <c:ptCount val="1"/>
                <c:pt idx="0">
                  <c:v>2012</c:v>
                </c:pt>
              </c:strCache>
            </c:strRef>
          </c:tx>
          <c:spPr>
            <a:solidFill>
              <a:schemeClr val="accent1"/>
            </a:solidFill>
            <a:ln w="12643">
              <a:noFill/>
              <a:prstDash val="solid"/>
            </a:ln>
          </c:spPr>
          <c:invertIfNegative val="0"/>
          <c:dLbls>
            <c:dLbl>
              <c:idx val="0"/>
              <c:layout>
                <c:manualLayout>
                  <c:x val="1.5553999350948811E-2"/>
                  <c:y val="-1.775696956799319E-3"/>
                </c:manualLayout>
              </c:layout>
              <c:tx>
                <c:rich>
                  <a:bodyPr/>
                  <a:lstStyle/>
                  <a:p>
                    <a:r>
                      <a:rPr lang="en-US"/>
                      <a:t>%6,2</a:t>
                    </a:r>
                  </a:p>
                </c:rich>
              </c:tx>
              <c:showLegendKey val="0"/>
              <c:showVal val="1"/>
              <c:showCatName val="0"/>
              <c:showSerName val="0"/>
              <c:showPercent val="0"/>
              <c:showBubbleSize val="0"/>
            </c:dLbl>
            <c:dLbl>
              <c:idx val="1"/>
              <c:layout>
                <c:manualLayout>
                  <c:x val="2.5818053133276488E-2"/>
                  <c:y val="-2.1251563786349948E-2"/>
                </c:manualLayout>
              </c:layout>
              <c:tx>
                <c:rich>
                  <a:bodyPr/>
                  <a:lstStyle/>
                  <a:p>
                    <a:r>
                      <a:rPr lang="en-US"/>
                      <a:t>%4,2</a:t>
                    </a:r>
                  </a:p>
                </c:rich>
              </c:tx>
              <c:showLegendKey val="0"/>
              <c:showVal val="1"/>
              <c:showCatName val="0"/>
              <c:showSerName val="0"/>
              <c:showPercent val="0"/>
              <c:showBubbleSize val="0"/>
            </c:dLbl>
            <c:dLbl>
              <c:idx val="2"/>
              <c:layout>
                <c:manualLayout>
                  <c:x val="2.0936004081199611E-2"/>
                  <c:y val="-3.2800323036543642E-2"/>
                </c:manualLayout>
              </c:layout>
              <c:tx>
                <c:rich>
                  <a:bodyPr/>
                  <a:lstStyle/>
                  <a:p>
                    <a:r>
                      <a:rPr lang="en-US"/>
                      <a:t>%9,7</a:t>
                    </a:r>
                  </a:p>
                </c:rich>
              </c:tx>
              <c:showLegendKey val="0"/>
              <c:showVal val="1"/>
              <c:showCatName val="0"/>
              <c:showSerName val="0"/>
              <c:showPercent val="0"/>
              <c:showBubbleSize val="0"/>
            </c:dLbl>
            <c:dLbl>
              <c:idx val="3"/>
              <c:layout>
                <c:manualLayout>
                  <c:x val="1.9783991209341781E-2"/>
                  <c:y val="-2.7906079307654152E-2"/>
                </c:manualLayout>
              </c:layout>
              <c:tx>
                <c:rich>
                  <a:bodyPr/>
                  <a:lstStyle/>
                  <a:p>
                    <a:r>
                      <a:rPr lang="en-US"/>
                      <a:t>%4,5</a:t>
                    </a:r>
                  </a:p>
                </c:rich>
              </c:tx>
              <c:showLegendKey val="0"/>
              <c:showVal val="1"/>
              <c:showCatName val="0"/>
              <c:showSerName val="0"/>
              <c:showPercent val="0"/>
              <c:showBubbleSize val="0"/>
            </c:dLbl>
            <c:dLbl>
              <c:idx val="4"/>
              <c:layout>
                <c:manualLayout>
                  <c:xMode val="edge"/>
                  <c:yMode val="edge"/>
                  <c:x val="0.83664459161148619"/>
                  <c:y val="0.57534246575342451"/>
                </c:manualLayout>
              </c:layout>
              <c:showLegendKey val="0"/>
              <c:showVal val="1"/>
              <c:showCatName val="0"/>
              <c:showSerName val="0"/>
              <c:showPercent val="0"/>
              <c:showBubbleSize val="0"/>
            </c:dLbl>
            <c:spPr>
              <a:noFill/>
              <a:ln w="25287">
                <a:noFill/>
              </a:ln>
            </c:spPr>
            <c:txPr>
              <a:bodyPr/>
              <a:lstStyle/>
              <a:p>
                <a:pPr>
                  <a:defRPr b="1"/>
                </a:pPr>
                <a:endParaRPr lang="es-ES"/>
              </a:p>
            </c:txPr>
            <c:showLegendKey val="0"/>
            <c:showVal val="1"/>
            <c:showCatName val="0"/>
            <c:showSerName val="0"/>
            <c:showPercent val="0"/>
            <c:showBubbleSize val="0"/>
            <c:showLeaderLines val="0"/>
          </c:dLbls>
          <c:cat>
            <c:strRef>
              <c:f>Sheet1!$B$1:$E$1</c:f>
              <c:strCache>
                <c:ptCount val="4"/>
                <c:pt idx="0">
                  <c:v>EAE</c:v>
                </c:pt>
                <c:pt idx="1">
                  <c:v>Araba</c:v>
                </c:pt>
                <c:pt idx="2">
                  <c:v>Gipuzkoa</c:v>
                </c:pt>
                <c:pt idx="3">
                  <c:v>Bizkaia</c:v>
                </c:pt>
              </c:strCache>
            </c:strRef>
          </c:cat>
          <c:val>
            <c:numRef>
              <c:f>Sheet1!$B$3:$E$3</c:f>
              <c:numCache>
                <c:formatCode>0.0%</c:formatCode>
                <c:ptCount val="4"/>
                <c:pt idx="0">
                  <c:v>6.2000000000000034E-2</c:v>
                </c:pt>
                <c:pt idx="1">
                  <c:v>4.2000000000000023E-2</c:v>
                </c:pt>
                <c:pt idx="2">
                  <c:v>9.7000000000000003E-2</c:v>
                </c:pt>
                <c:pt idx="3">
                  <c:v>4.5000000000000012E-2</c:v>
                </c:pt>
              </c:numCache>
            </c:numRef>
          </c:val>
        </c:ser>
        <c:dLbls>
          <c:showLegendKey val="0"/>
          <c:showVal val="0"/>
          <c:showCatName val="0"/>
          <c:showSerName val="0"/>
          <c:showPercent val="0"/>
          <c:showBubbleSize val="0"/>
        </c:dLbls>
        <c:gapWidth val="150"/>
        <c:axId val="109045248"/>
        <c:axId val="109046784"/>
      </c:barChart>
      <c:catAx>
        <c:axId val="109045248"/>
        <c:scaling>
          <c:orientation val="minMax"/>
        </c:scaling>
        <c:delete val="0"/>
        <c:axPos val="b"/>
        <c:numFmt formatCode="General" sourceLinked="1"/>
        <c:majorTickMark val="out"/>
        <c:minorTickMark val="none"/>
        <c:tickLblPos val="low"/>
        <c:spPr>
          <a:ln w="3161">
            <a:solidFill>
              <a:srgbClr val="000000"/>
            </a:solidFill>
            <a:prstDash val="solid"/>
          </a:ln>
        </c:spPr>
        <c:txPr>
          <a:bodyPr rot="0" vert="horz"/>
          <a:lstStyle/>
          <a:p>
            <a:pPr>
              <a:defRPr/>
            </a:pPr>
            <a:endParaRPr lang="es-ES"/>
          </a:p>
        </c:txPr>
        <c:crossAx val="109046784"/>
        <c:crosses val="autoZero"/>
        <c:auto val="1"/>
        <c:lblAlgn val="ctr"/>
        <c:lblOffset val="100"/>
        <c:tickLblSkip val="1"/>
        <c:tickMarkSkip val="1"/>
        <c:noMultiLvlLbl val="0"/>
      </c:catAx>
      <c:valAx>
        <c:axId val="109046784"/>
        <c:scaling>
          <c:orientation val="minMax"/>
        </c:scaling>
        <c:delete val="0"/>
        <c:axPos val="l"/>
        <c:majorGridlines>
          <c:spPr>
            <a:ln w="12643">
              <a:solidFill>
                <a:srgbClr val="C0C0C0"/>
              </a:solidFill>
              <a:prstDash val="solid"/>
            </a:ln>
          </c:spPr>
        </c:majorGridlines>
        <c:numFmt formatCode="0%" sourceLinked="0"/>
        <c:majorTickMark val="out"/>
        <c:minorTickMark val="none"/>
        <c:tickLblPos val="nextTo"/>
        <c:spPr>
          <a:ln w="3161">
            <a:solidFill>
              <a:srgbClr val="000000"/>
            </a:solidFill>
            <a:prstDash val="solid"/>
          </a:ln>
        </c:spPr>
        <c:txPr>
          <a:bodyPr rot="0" vert="horz"/>
          <a:lstStyle/>
          <a:p>
            <a:pPr>
              <a:defRPr/>
            </a:pPr>
            <a:endParaRPr lang="es-ES"/>
          </a:p>
        </c:txPr>
        <c:crossAx val="109045248"/>
        <c:crosses val="autoZero"/>
        <c:crossBetween val="between"/>
      </c:valAx>
      <c:spPr>
        <a:noFill/>
        <a:ln w="25400">
          <a:noFill/>
        </a:ln>
      </c:spPr>
    </c:plotArea>
    <c:legend>
      <c:legendPos val="b"/>
      <c:layout>
        <c:manualLayout>
          <c:xMode val="edge"/>
          <c:yMode val="edge"/>
          <c:x val="0.15802605235525774"/>
          <c:y val="0.8048240123830781"/>
          <c:w val="0.81015445097132599"/>
          <c:h val="0.12045494313210849"/>
        </c:manualLayout>
      </c:layout>
      <c:overlay val="0"/>
      <c:spPr>
        <a:noFill/>
        <a:ln w="3161">
          <a:noFill/>
          <a:prstDash val="solid"/>
        </a:ln>
      </c:spPr>
    </c:legend>
    <c:plotVisOnly val="1"/>
    <c:dispBlanksAs val="gap"/>
    <c:showDLblsOverMax val="0"/>
  </c:chart>
  <c:spPr>
    <a:noFill/>
    <a:ln>
      <a:noFill/>
    </a:ln>
  </c:spPr>
  <c:txPr>
    <a:bodyPr/>
    <a:lstStyle/>
    <a:p>
      <a:pPr>
        <a:defRPr sz="796" b="0" i="0" u="none" strike="noStrike" baseline="0">
          <a:solidFill>
            <a:srgbClr val="000000"/>
          </a:solidFill>
          <a:latin typeface="Arial" pitchFamily="34" charset="0"/>
          <a:ea typeface="Calibri"/>
          <a:cs typeface="Arial" pitchFamily="34" charset="0"/>
        </a:defRPr>
      </a:pPr>
      <a:endParaRPr lang="es-ES"/>
    </a:p>
  </c:txPr>
  <c:externalData r:id="rId1">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a:lstStyle/>
          <a:p>
            <a:pPr>
              <a:defRPr sz="900"/>
            </a:pPr>
            <a:r>
              <a:rPr lang="es-ES" sz="900"/>
              <a:t>2010</a:t>
            </a:r>
          </a:p>
        </c:rich>
      </c:tx>
      <c:layout>
        <c:manualLayout>
          <c:xMode val="edge"/>
          <c:yMode val="edge"/>
          <c:x val="0.44244604316546782"/>
          <c:y val="2.197802197802199E-2"/>
        </c:manualLayout>
      </c:layout>
      <c:overlay val="0"/>
    </c:title>
    <c:autoTitleDeleted val="0"/>
    <c:plotArea>
      <c:layout>
        <c:manualLayout>
          <c:layoutTarget val="inner"/>
          <c:xMode val="edge"/>
          <c:yMode val="edge"/>
          <c:x val="0.31202541123801275"/>
          <c:y val="0.21407687963055139"/>
          <c:w val="0.41504591205378605"/>
          <c:h val="0.6248204733902033"/>
        </c:manualLayout>
      </c:layout>
      <c:pieChart>
        <c:varyColors val="1"/>
        <c:ser>
          <c:idx val="0"/>
          <c:order val="0"/>
          <c:tx>
            <c:strRef>
              <c:f>Sheet1!$A$2</c:f>
              <c:strCache>
                <c:ptCount val="1"/>
              </c:strCache>
            </c:strRef>
          </c:tx>
          <c:dLbls>
            <c:dLbl>
              <c:idx val="0"/>
              <c:layout>
                <c:manualLayout>
                  <c:x val="-8.3572047084017567E-2"/>
                  <c:y val="-0.18762267096420637"/>
                </c:manualLayout>
              </c:layout>
              <c:tx>
                <c:rich>
                  <a:bodyPr/>
                  <a:lstStyle/>
                  <a:p>
                    <a:r>
                      <a:rPr lang="en-US"/>
                      <a:t>Bizkaia
%35,3</a:t>
                    </a:r>
                  </a:p>
                </c:rich>
              </c:tx>
              <c:dLblPos val="bestFit"/>
              <c:showLegendKey val="0"/>
              <c:showVal val="0"/>
              <c:showCatName val="1"/>
              <c:showSerName val="0"/>
              <c:showPercent val="1"/>
              <c:showBubbleSize val="0"/>
            </c:dLbl>
            <c:dLbl>
              <c:idx val="1"/>
              <c:layout>
                <c:manualLayout>
                  <c:x val="-3.1894456970728353E-2"/>
                  <c:y val="-1.7279931354734893E-3"/>
                </c:manualLayout>
              </c:layout>
              <c:tx>
                <c:rich>
                  <a:bodyPr/>
                  <a:lstStyle/>
                  <a:p>
                    <a:r>
                      <a:rPr lang="en-US"/>
                      <a:t>Gipuzkoa
%52,4</a:t>
                    </a:r>
                  </a:p>
                </c:rich>
              </c:tx>
              <c:dLblPos val="bestFit"/>
              <c:showLegendKey val="0"/>
              <c:showVal val="0"/>
              <c:showCatName val="1"/>
              <c:showSerName val="0"/>
              <c:showPercent val="1"/>
              <c:showBubbleSize val="0"/>
            </c:dLbl>
            <c:dLbl>
              <c:idx val="2"/>
              <c:layout>
                <c:manualLayout>
                  <c:x val="-2.3377708417078712E-2"/>
                  <c:y val="-1.4395352479674218E-3"/>
                </c:manualLayout>
              </c:layout>
              <c:tx>
                <c:rich>
                  <a:bodyPr/>
                  <a:lstStyle/>
                  <a:p>
                    <a:r>
                      <a:rPr lang="en-US"/>
                      <a:t>Araba
%12,3</a:t>
                    </a:r>
                  </a:p>
                </c:rich>
              </c:tx>
              <c:dLblPos val="bestFit"/>
              <c:showLegendKey val="0"/>
              <c:showVal val="0"/>
              <c:showCatName val="1"/>
              <c:showSerName val="0"/>
              <c:showPercent val="1"/>
              <c:showBubbleSize val="0"/>
            </c:dLbl>
            <c:numFmt formatCode="0.0%" sourceLinked="0"/>
            <c:showLegendKey val="0"/>
            <c:showVal val="0"/>
            <c:showCatName val="1"/>
            <c:showSerName val="0"/>
            <c:showPercent val="1"/>
            <c:showBubbleSize val="0"/>
            <c:showLeaderLines val="1"/>
          </c:dLbls>
          <c:cat>
            <c:strRef>
              <c:f>Sheet1!$B$1:$D$1</c:f>
              <c:strCache>
                <c:ptCount val="3"/>
                <c:pt idx="0">
                  <c:v>Bizkaia</c:v>
                </c:pt>
                <c:pt idx="1">
                  <c:v>Gipuzkoa</c:v>
                </c:pt>
                <c:pt idx="2">
                  <c:v>Araba</c:v>
                </c:pt>
              </c:strCache>
            </c:strRef>
          </c:cat>
          <c:val>
            <c:numRef>
              <c:f>Sheet1!$B$2:$D$2</c:f>
              <c:numCache>
                <c:formatCode>0.0%</c:formatCode>
                <c:ptCount val="3"/>
                <c:pt idx="0">
                  <c:v>0.35300000000000031</c:v>
                </c:pt>
                <c:pt idx="1">
                  <c:v>0.52400000000000002</c:v>
                </c:pt>
                <c:pt idx="2">
                  <c:v>0.12300000000000012</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txPr>
    <a:bodyPr/>
    <a:lstStyle/>
    <a:p>
      <a:pPr>
        <a:defRPr sz="800">
          <a:latin typeface="Arial" pitchFamily="34" charset="0"/>
          <a:cs typeface="Arial" pitchFamily="34" charset="0"/>
        </a:defRPr>
      </a:pPr>
      <a:endParaRPr lang="es-ES"/>
    </a:p>
  </c:txPr>
  <c:externalData r:id="rId1">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a:lstStyle/>
          <a:p>
            <a:pPr>
              <a:defRPr sz="900"/>
            </a:pPr>
            <a:r>
              <a:rPr lang="es-ES" sz="900"/>
              <a:t>2012</a:t>
            </a:r>
          </a:p>
        </c:rich>
      </c:tx>
      <c:layout>
        <c:manualLayout>
          <c:xMode val="edge"/>
          <c:yMode val="edge"/>
          <c:x val="0.47012760083190291"/>
          <c:y val="2.1977799650043851E-2"/>
        </c:manualLayout>
      </c:layout>
      <c:overlay val="0"/>
    </c:title>
    <c:autoTitleDeleted val="0"/>
    <c:plotArea>
      <c:layout>
        <c:manualLayout>
          <c:layoutTarget val="inner"/>
          <c:xMode val="edge"/>
          <c:yMode val="edge"/>
          <c:x val="0.26402637386590061"/>
          <c:y val="0.18788167104111986"/>
          <c:w val="0.46110744807418103"/>
          <c:h val="0.69406277340332467"/>
        </c:manualLayout>
      </c:layout>
      <c:pieChart>
        <c:varyColors val="1"/>
        <c:ser>
          <c:idx val="0"/>
          <c:order val="0"/>
          <c:tx>
            <c:strRef>
              <c:f>Sheet1!$A$2</c:f>
              <c:strCache>
                <c:ptCount val="1"/>
              </c:strCache>
            </c:strRef>
          </c:tx>
          <c:dLbls>
            <c:dLbl>
              <c:idx val="0"/>
              <c:layout>
                <c:manualLayout>
                  <c:x val="-9.4363413990492764E-2"/>
                  <c:y val="-0.18719381231192356"/>
                </c:manualLayout>
              </c:layout>
              <c:tx>
                <c:rich>
                  <a:bodyPr/>
                  <a:lstStyle/>
                  <a:p>
                    <a:r>
                      <a:rPr lang="en-US"/>
                      <a:t>Bizkaia
%32,8</a:t>
                    </a:r>
                  </a:p>
                </c:rich>
              </c:tx>
              <c:dLblPos val="bestFit"/>
              <c:showLegendKey val="0"/>
              <c:showVal val="0"/>
              <c:showCatName val="1"/>
              <c:showSerName val="0"/>
              <c:showPercent val="1"/>
              <c:showBubbleSize val="0"/>
            </c:dLbl>
            <c:dLbl>
              <c:idx val="1"/>
              <c:layout>
                <c:manualLayout>
                  <c:x val="-2.6895530792215051E-2"/>
                  <c:y val="-3.0523293963254601E-2"/>
                </c:manualLayout>
              </c:layout>
              <c:tx>
                <c:rich>
                  <a:bodyPr/>
                  <a:lstStyle/>
                  <a:p>
                    <a:r>
                      <a:rPr lang="en-US"/>
                      <a:t>Gipuzkoa
%54,9</a:t>
                    </a:r>
                  </a:p>
                </c:rich>
              </c:tx>
              <c:dLblPos val="bestFit"/>
              <c:showLegendKey val="0"/>
              <c:showVal val="0"/>
              <c:showCatName val="1"/>
              <c:showSerName val="0"/>
              <c:showPercent val="1"/>
              <c:showBubbleSize val="0"/>
            </c:dLbl>
            <c:dLbl>
              <c:idx val="2"/>
              <c:layout>
                <c:manualLayout>
                  <c:x val="-6.340371813384918E-2"/>
                  <c:y val="-1.0538057742782141E-2"/>
                </c:manualLayout>
              </c:layout>
              <c:tx>
                <c:rich>
                  <a:bodyPr/>
                  <a:lstStyle/>
                  <a:p>
                    <a:r>
                      <a:rPr lang="en-US"/>
                      <a:t>Araba
%12,3</a:t>
                    </a:r>
                  </a:p>
                </c:rich>
              </c:tx>
              <c:dLblPos val="bestFit"/>
              <c:showLegendKey val="0"/>
              <c:showVal val="0"/>
              <c:showCatName val="1"/>
              <c:showSerName val="0"/>
              <c:showPercent val="1"/>
              <c:showBubbleSize val="0"/>
            </c:dLbl>
            <c:numFmt formatCode="0.0%" sourceLinked="0"/>
            <c:showLegendKey val="0"/>
            <c:showVal val="0"/>
            <c:showCatName val="1"/>
            <c:showSerName val="0"/>
            <c:showPercent val="1"/>
            <c:showBubbleSize val="0"/>
            <c:showLeaderLines val="1"/>
          </c:dLbls>
          <c:cat>
            <c:strRef>
              <c:f>Sheet1!$B$1:$D$1</c:f>
              <c:strCache>
                <c:ptCount val="3"/>
                <c:pt idx="0">
                  <c:v>Bizkaia</c:v>
                </c:pt>
                <c:pt idx="1">
                  <c:v>Gipuzkoa</c:v>
                </c:pt>
                <c:pt idx="2">
                  <c:v>Araba</c:v>
                </c:pt>
              </c:strCache>
            </c:strRef>
          </c:cat>
          <c:val>
            <c:numRef>
              <c:f>Sheet1!$B$2:$D$2</c:f>
              <c:numCache>
                <c:formatCode>0.0%</c:formatCode>
                <c:ptCount val="3"/>
                <c:pt idx="0">
                  <c:v>0.32800000000000096</c:v>
                </c:pt>
                <c:pt idx="1">
                  <c:v>0.54900000000000004</c:v>
                </c:pt>
                <c:pt idx="2">
                  <c:v>0.12300000000000012</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txPr>
    <a:bodyPr/>
    <a:lstStyle/>
    <a:p>
      <a:pPr>
        <a:defRPr sz="800">
          <a:latin typeface="Arial" pitchFamily="34" charset="0"/>
          <a:cs typeface="Arial" pitchFamily="34" charset="0"/>
        </a:defRPr>
      </a:pPr>
      <a:endParaRPr lang="es-ES"/>
    </a:p>
  </c:txPr>
  <c:externalData r:id="rId1">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5666003976143928E-2"/>
          <c:y val="8.7912087912087933E-2"/>
          <c:w val="0.9244532803180916"/>
          <c:h val="0.72527472527472525"/>
        </c:manualLayout>
      </c:layout>
      <c:barChart>
        <c:barDir val="col"/>
        <c:grouping val="clustered"/>
        <c:varyColors val="0"/>
        <c:ser>
          <c:idx val="0"/>
          <c:order val="0"/>
          <c:tx>
            <c:strRef>
              <c:f>Sheet1!$A$2</c:f>
              <c:strCache>
                <c:ptCount val="1"/>
              </c:strCache>
            </c:strRef>
          </c:tx>
          <c:spPr>
            <a:solidFill>
              <a:schemeClr val="accent1"/>
            </a:solidFill>
            <a:ln w="12700">
              <a:noFill/>
              <a:prstDash val="solid"/>
            </a:ln>
          </c:spPr>
          <c:invertIfNegative val="0"/>
          <c:dLbls>
            <c:dLbl>
              <c:idx val="0"/>
              <c:layout>
                <c:manualLayout>
                  <c:x val="9.0246767025729327E-3"/>
                  <c:y val="-6.8155110418889886E-2"/>
                </c:manualLayout>
              </c:layout>
              <c:showLegendKey val="0"/>
              <c:showVal val="1"/>
              <c:showCatName val="0"/>
              <c:showSerName val="0"/>
              <c:showPercent val="0"/>
              <c:showBubbleSize val="0"/>
            </c:dLbl>
            <c:dLbl>
              <c:idx val="1"/>
              <c:layout>
                <c:manualLayout>
                  <c:x val="6.3694224662061904E-3"/>
                  <c:y val="-6.1068970945940132E-2"/>
                </c:manualLayout>
              </c:layout>
              <c:showLegendKey val="0"/>
              <c:showVal val="1"/>
              <c:showCatName val="0"/>
              <c:showSerName val="0"/>
              <c:showPercent val="0"/>
              <c:showBubbleSize val="0"/>
            </c:dLbl>
            <c:dLbl>
              <c:idx val="2"/>
              <c:layout>
                <c:manualLayout>
                  <c:x val="5.7022398004159588E-3"/>
                  <c:y val="-5.0420710632324832E-2"/>
                </c:manualLayout>
              </c:layout>
              <c:showLegendKey val="0"/>
              <c:showVal val="1"/>
              <c:showCatName val="0"/>
              <c:showSerName val="0"/>
              <c:showPercent val="0"/>
              <c:showBubbleSize val="0"/>
            </c:dLbl>
            <c:dLbl>
              <c:idx val="3"/>
              <c:layout>
                <c:manualLayout>
                  <c:x val="7.0231287052023913E-3"/>
                  <c:y val="-4.0075645592377647E-2"/>
                </c:manualLayout>
              </c:layout>
              <c:showLegendKey val="0"/>
              <c:showVal val="1"/>
              <c:showCatName val="0"/>
              <c:showSerName val="0"/>
              <c:showPercent val="0"/>
              <c:showBubbleSize val="0"/>
            </c:dLbl>
            <c:dLbl>
              <c:idx val="4"/>
              <c:layout>
                <c:manualLayout>
                  <c:x val="2.3798028982589862E-3"/>
                  <c:y val="-4.3751532260390545E-2"/>
                </c:manualLayout>
              </c:layout>
              <c:showLegendKey val="0"/>
              <c:showVal val="1"/>
              <c:showCatName val="0"/>
              <c:showSerName val="0"/>
              <c:showPercent val="0"/>
              <c:showBubbleSize val="0"/>
            </c:dLbl>
            <c:dLbl>
              <c:idx val="5"/>
              <c:layout>
                <c:manualLayout>
                  <c:x val="7.6768349441982894E-3"/>
                  <c:y val="-5.0193725784276964E-2"/>
                </c:manualLayout>
              </c:layout>
              <c:showLegendKey val="0"/>
              <c:showVal val="1"/>
              <c:showCatName val="0"/>
              <c:showSerName val="0"/>
              <c:showPercent val="0"/>
              <c:showBubbleSize val="0"/>
            </c:dLbl>
            <c:dLbl>
              <c:idx val="6"/>
              <c:layout>
                <c:manualLayout>
                  <c:x val="3.0335091372550912E-3"/>
                  <c:y val="-3.9545465470662441E-2"/>
                </c:manualLayout>
              </c:layout>
              <c:showLegendKey val="0"/>
              <c:showVal val="1"/>
              <c:showCatName val="0"/>
              <c:showSerName val="0"/>
              <c:showPercent val="0"/>
              <c:showBubbleSize val="0"/>
            </c:dLbl>
            <c:dLbl>
              <c:idx val="7"/>
              <c:layout>
                <c:manualLayout>
                  <c:x val="2.3663264714649202E-3"/>
                  <c:y val="-3.8370245786584788E-2"/>
                </c:manualLayout>
              </c:layout>
              <c:showLegendKey val="0"/>
              <c:showVal val="1"/>
              <c:showCatName val="0"/>
              <c:showSerName val="0"/>
              <c:showPercent val="0"/>
              <c:showBubbleSize val="0"/>
            </c:dLbl>
            <c:dLbl>
              <c:idx val="8"/>
              <c:layout>
                <c:manualLayout>
                  <c:x val="1.6991438056745368E-3"/>
                  <c:y val="-3.7195572909155615E-2"/>
                </c:manualLayout>
              </c:layout>
              <c:showLegendKey val="0"/>
              <c:showVal val="1"/>
              <c:showCatName val="0"/>
              <c:showSerName val="0"/>
              <c:showPercent val="0"/>
              <c:showBubbleSize val="0"/>
            </c:dLbl>
            <c:dLbl>
              <c:idx val="9"/>
              <c:layout>
                <c:manualLayout>
                  <c:x val="8.9842474221906096E-3"/>
                  <c:y val="-3.5300196850393699E-2"/>
                </c:manualLayout>
              </c:layout>
              <c:showLegendKey val="0"/>
              <c:showVal val="1"/>
              <c:showCatName val="0"/>
              <c:showSerName val="0"/>
              <c:showPercent val="0"/>
              <c:showBubbleSize val="0"/>
            </c:dLbl>
            <c:spPr>
              <a:noFill/>
              <a:ln w="25400">
                <a:noFill/>
              </a:ln>
            </c:spPr>
            <c:txPr>
              <a:bodyPr/>
              <a:lstStyle/>
              <a:p>
                <a:pPr>
                  <a:defRPr b="1"/>
                </a:pPr>
                <a:endParaRPr lang="es-ES"/>
              </a:p>
            </c:txPr>
            <c:showLegendKey val="0"/>
            <c:showVal val="1"/>
            <c:showCatName val="0"/>
            <c:showSerName val="0"/>
            <c:showPercent val="0"/>
            <c:showBubbleSize val="0"/>
            <c:showLeaderLines val="0"/>
          </c:dLbls>
          <c:cat>
            <c:numRef>
              <c:f>Sheet1!$B$1:$K$1</c:f>
              <c:numCache>
                <c:formatCode>General</c:formatCode>
                <c:ptCount val="10"/>
                <c:pt idx="0">
                  <c:v>1994</c:v>
                </c:pt>
                <c:pt idx="1">
                  <c:v>1996</c:v>
                </c:pt>
                <c:pt idx="2">
                  <c:v>1998</c:v>
                </c:pt>
                <c:pt idx="3">
                  <c:v>2000</c:v>
                </c:pt>
                <c:pt idx="4">
                  <c:v>2002</c:v>
                </c:pt>
                <c:pt idx="5">
                  <c:v>2004</c:v>
                </c:pt>
                <c:pt idx="6">
                  <c:v>2006</c:v>
                </c:pt>
                <c:pt idx="7">
                  <c:v>2008</c:v>
                </c:pt>
                <c:pt idx="8">
                  <c:v>2010</c:v>
                </c:pt>
                <c:pt idx="9">
                  <c:v>2012</c:v>
                </c:pt>
              </c:numCache>
            </c:numRef>
          </c:cat>
          <c:val>
            <c:numRef>
              <c:f>Sheet1!$B$2:$K$2</c:f>
              <c:numCache>
                <c:formatCode>#,##0.0</c:formatCode>
                <c:ptCount val="10"/>
                <c:pt idx="0">
                  <c:v>17</c:v>
                </c:pt>
                <c:pt idx="1">
                  <c:v>20.3</c:v>
                </c:pt>
                <c:pt idx="2">
                  <c:v>22.7</c:v>
                </c:pt>
                <c:pt idx="3">
                  <c:v>22.4</c:v>
                </c:pt>
                <c:pt idx="4">
                  <c:v>24.1</c:v>
                </c:pt>
                <c:pt idx="5">
                  <c:v>21.1</c:v>
                </c:pt>
                <c:pt idx="6">
                  <c:v>23.5</c:v>
                </c:pt>
                <c:pt idx="7">
                  <c:v>24.9</c:v>
                </c:pt>
                <c:pt idx="8">
                  <c:v>26.3</c:v>
                </c:pt>
                <c:pt idx="9" formatCode="General">
                  <c:v>32.300000000000004</c:v>
                </c:pt>
              </c:numCache>
            </c:numRef>
          </c:val>
        </c:ser>
        <c:dLbls>
          <c:showLegendKey val="0"/>
          <c:showVal val="0"/>
          <c:showCatName val="0"/>
          <c:showSerName val="0"/>
          <c:showPercent val="0"/>
          <c:showBubbleSize val="0"/>
        </c:dLbls>
        <c:gapWidth val="150"/>
        <c:axId val="109138304"/>
        <c:axId val="109139840"/>
      </c:barChart>
      <c:catAx>
        <c:axId val="109138304"/>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a:pPr>
            <a:endParaRPr lang="es-ES"/>
          </a:p>
        </c:txPr>
        <c:crossAx val="109139840"/>
        <c:crosses val="autoZero"/>
        <c:auto val="1"/>
        <c:lblAlgn val="ctr"/>
        <c:lblOffset val="100"/>
        <c:tickLblSkip val="1"/>
        <c:tickMarkSkip val="1"/>
        <c:noMultiLvlLbl val="0"/>
      </c:catAx>
      <c:valAx>
        <c:axId val="109139840"/>
        <c:scaling>
          <c:orientation val="minMax"/>
          <c:max val="33"/>
          <c:min val="0"/>
        </c:scaling>
        <c:delete val="0"/>
        <c:axPos val="l"/>
        <c:majorGridlines>
          <c:spPr>
            <a:ln w="12700">
              <a:solidFill>
                <a:srgbClr val="C0C0C0"/>
              </a:solidFill>
              <a:prstDash val="solid"/>
            </a:ln>
          </c:spPr>
        </c:majorGridlines>
        <c:numFmt formatCode="#,##0" sourceLinked="0"/>
        <c:majorTickMark val="out"/>
        <c:minorTickMark val="none"/>
        <c:tickLblPos val="nextTo"/>
        <c:spPr>
          <a:ln w="3175">
            <a:solidFill>
              <a:srgbClr val="000000"/>
            </a:solidFill>
            <a:prstDash val="solid"/>
          </a:ln>
        </c:spPr>
        <c:txPr>
          <a:bodyPr rot="0" vert="horz"/>
          <a:lstStyle/>
          <a:p>
            <a:pPr>
              <a:defRPr/>
            </a:pPr>
            <a:endParaRPr lang="es-ES"/>
          </a:p>
        </c:txPr>
        <c:crossAx val="109138304"/>
        <c:crosses val="autoZero"/>
        <c:crossBetween val="between"/>
        <c:majorUnit val="5"/>
        <c:minorUnit val="1"/>
      </c:valAx>
      <c:spPr>
        <a:noFill/>
        <a:ln w="25400">
          <a:noFill/>
        </a:ln>
      </c:spPr>
    </c:plotArea>
    <c:plotVisOnly val="1"/>
    <c:dispBlanksAs val="gap"/>
    <c:showDLblsOverMax val="0"/>
  </c:chart>
  <c:spPr>
    <a:noFill/>
    <a:ln>
      <a:noFill/>
    </a:ln>
  </c:spPr>
  <c:txPr>
    <a:bodyPr/>
    <a:lstStyle/>
    <a:p>
      <a:pPr>
        <a:defRPr sz="800" b="0" i="0" u="none" strike="noStrike" baseline="0">
          <a:solidFill>
            <a:srgbClr val="000000"/>
          </a:solidFill>
          <a:latin typeface="Arial" pitchFamily="34" charset="0"/>
          <a:ea typeface="Calibri"/>
          <a:cs typeface="Arial" pitchFamily="34" charset="0"/>
        </a:defRPr>
      </a:pPr>
      <a:endParaRPr lang="es-ES"/>
    </a:p>
  </c:txPr>
  <c:externalData r:id="rId1">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5666003976143914E-2"/>
          <c:y val="8.6330935251798552E-2"/>
          <c:w val="0.9244532803180916"/>
          <c:h val="0.74100719424460471"/>
        </c:manualLayout>
      </c:layout>
      <c:barChart>
        <c:barDir val="col"/>
        <c:grouping val="clustered"/>
        <c:varyColors val="0"/>
        <c:ser>
          <c:idx val="0"/>
          <c:order val="0"/>
          <c:tx>
            <c:strRef>
              <c:f>Sheet1!$A$2</c:f>
              <c:strCache>
                <c:ptCount val="1"/>
              </c:strCache>
            </c:strRef>
          </c:tx>
          <c:invertIfNegative val="0"/>
          <c:dPt>
            <c:idx val="0"/>
            <c:invertIfNegative val="0"/>
            <c:bubble3D val="0"/>
            <c:spPr/>
          </c:dPt>
          <c:dLbls>
            <c:txPr>
              <a:bodyPr/>
              <a:lstStyle/>
              <a:p>
                <a:pPr>
                  <a:defRPr b="1"/>
                </a:pPr>
                <a:endParaRPr lang="es-ES"/>
              </a:p>
            </c:txPr>
            <c:showLegendKey val="0"/>
            <c:showVal val="1"/>
            <c:showCatName val="0"/>
            <c:showSerName val="0"/>
            <c:showPercent val="0"/>
            <c:showBubbleSize val="0"/>
            <c:showLeaderLines val="0"/>
          </c:dLbls>
          <c:cat>
            <c:numRef>
              <c:f>Sheet1!$B$1:$F$1</c:f>
              <c:numCache>
                <c:formatCode>General</c:formatCode>
                <c:ptCount val="5"/>
                <c:pt idx="0">
                  <c:v>2004</c:v>
                </c:pt>
                <c:pt idx="1">
                  <c:v>2006</c:v>
                </c:pt>
                <c:pt idx="2">
                  <c:v>2008</c:v>
                </c:pt>
                <c:pt idx="3">
                  <c:v>2010</c:v>
                </c:pt>
                <c:pt idx="4">
                  <c:v>2012</c:v>
                </c:pt>
              </c:numCache>
            </c:numRef>
          </c:cat>
          <c:val>
            <c:numRef>
              <c:f>Sheet1!$B$2:$F$2</c:f>
              <c:numCache>
                <c:formatCode>#,##0.0</c:formatCode>
                <c:ptCount val="5"/>
                <c:pt idx="0">
                  <c:v>39.9</c:v>
                </c:pt>
                <c:pt idx="1">
                  <c:v>44</c:v>
                </c:pt>
                <c:pt idx="2">
                  <c:v>48.8</c:v>
                </c:pt>
                <c:pt idx="3">
                  <c:v>54.1</c:v>
                </c:pt>
                <c:pt idx="4">
                  <c:v>59.7</c:v>
                </c:pt>
              </c:numCache>
            </c:numRef>
          </c:val>
        </c:ser>
        <c:dLbls>
          <c:showLegendKey val="0"/>
          <c:showVal val="0"/>
          <c:showCatName val="0"/>
          <c:showSerName val="0"/>
          <c:showPercent val="0"/>
          <c:showBubbleSize val="0"/>
        </c:dLbls>
        <c:gapWidth val="150"/>
        <c:axId val="109184896"/>
        <c:axId val="109186432"/>
      </c:barChart>
      <c:catAx>
        <c:axId val="109184896"/>
        <c:scaling>
          <c:orientation val="minMax"/>
        </c:scaling>
        <c:delete val="0"/>
        <c:axPos val="b"/>
        <c:numFmt formatCode="General" sourceLinked="1"/>
        <c:majorTickMark val="out"/>
        <c:minorTickMark val="none"/>
        <c:tickLblPos val="low"/>
        <c:txPr>
          <a:bodyPr rot="0" vert="horz"/>
          <a:lstStyle/>
          <a:p>
            <a:pPr>
              <a:defRPr/>
            </a:pPr>
            <a:endParaRPr lang="es-ES"/>
          </a:p>
        </c:txPr>
        <c:crossAx val="109186432"/>
        <c:crosses val="autoZero"/>
        <c:auto val="1"/>
        <c:lblAlgn val="ctr"/>
        <c:lblOffset val="100"/>
        <c:tickLblSkip val="1"/>
        <c:tickMarkSkip val="1"/>
        <c:noMultiLvlLbl val="0"/>
      </c:catAx>
      <c:valAx>
        <c:axId val="109186432"/>
        <c:scaling>
          <c:orientation val="minMax"/>
          <c:max val="60"/>
          <c:min val="0"/>
        </c:scaling>
        <c:delete val="0"/>
        <c:axPos val="l"/>
        <c:majorGridlines/>
        <c:numFmt formatCode="#,##0" sourceLinked="0"/>
        <c:majorTickMark val="out"/>
        <c:minorTickMark val="none"/>
        <c:tickLblPos val="nextTo"/>
        <c:txPr>
          <a:bodyPr rot="0" vert="horz"/>
          <a:lstStyle/>
          <a:p>
            <a:pPr>
              <a:defRPr/>
            </a:pPr>
            <a:endParaRPr lang="es-ES"/>
          </a:p>
        </c:txPr>
        <c:crossAx val="109184896"/>
        <c:crosses val="autoZero"/>
        <c:crossBetween val="between"/>
        <c:majorUnit val="10"/>
        <c:minorUnit val="5"/>
      </c:valAx>
    </c:plotArea>
    <c:plotVisOnly val="1"/>
    <c:dispBlanksAs val="gap"/>
    <c:showDLblsOverMax val="0"/>
  </c:chart>
  <c:spPr>
    <a:ln>
      <a:noFill/>
    </a:ln>
  </c:spPr>
  <c:txPr>
    <a:bodyPr/>
    <a:lstStyle/>
    <a:p>
      <a:pPr>
        <a:defRPr sz="800">
          <a:latin typeface="Arial" pitchFamily="34" charset="0"/>
          <a:cs typeface="Arial" pitchFamily="34" charset="0"/>
        </a:defRPr>
      </a:pPr>
      <a:endParaRPr lang="es-ES"/>
    </a:p>
  </c:txPr>
  <c:externalData r:id="rId1">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0.31764976023740815"/>
          <c:y val="0.23609407647573474"/>
          <c:w val="0.31598950692083916"/>
          <c:h val="0.71149986342204963"/>
        </c:manualLayout>
      </c:layout>
      <c:pieChart>
        <c:varyColors val="1"/>
        <c:ser>
          <c:idx val="0"/>
          <c:order val="0"/>
          <c:tx>
            <c:strRef>
              <c:f>Sheet1!$A$2</c:f>
              <c:strCache>
                <c:ptCount val="1"/>
              </c:strCache>
            </c:strRef>
          </c:tx>
          <c:dLbls>
            <c:dLbl>
              <c:idx val="0"/>
              <c:layout>
                <c:manualLayout>
                  <c:x val="-7.3047430467817684E-2"/>
                  <c:y val="-6.0097781894910947E-2"/>
                </c:manualLayout>
              </c:layout>
              <c:tx>
                <c:rich>
                  <a:bodyPr/>
                  <a:lstStyle/>
                  <a:p>
                    <a:r>
                      <a:rPr lang="en-US"/>
                      <a:t>Erdialdeko Amerika eta Hego Amerika
%11,0</a:t>
                    </a:r>
                  </a:p>
                </c:rich>
              </c:tx>
              <c:dLblPos val="bestFit"/>
              <c:showLegendKey val="0"/>
              <c:showVal val="0"/>
              <c:showCatName val="1"/>
              <c:showSerName val="0"/>
              <c:showPercent val="1"/>
              <c:showBubbleSize val="0"/>
              <c:separator>
</c:separator>
            </c:dLbl>
            <c:dLbl>
              <c:idx val="1"/>
              <c:layout>
                <c:manualLayout>
                  <c:x val="5.0516892400541934E-2"/>
                  <c:y val="-2.5265398349500871E-2"/>
                </c:manualLayout>
              </c:layout>
              <c:tx>
                <c:rich>
                  <a:bodyPr/>
                  <a:lstStyle/>
                  <a:p>
                    <a:r>
                      <a:rPr lang="en-US"/>
                      <a:t>Beste batzuk
%5,8</a:t>
                    </a:r>
                  </a:p>
                </c:rich>
              </c:tx>
              <c:dLblPos val="bestFit"/>
              <c:showLegendKey val="0"/>
              <c:showVal val="0"/>
              <c:showCatName val="1"/>
              <c:showSerName val="0"/>
              <c:showPercent val="1"/>
              <c:showBubbleSize val="0"/>
              <c:separator>
</c:separator>
            </c:dLbl>
            <c:dLbl>
              <c:idx val="2"/>
              <c:layout>
                <c:manualLayout>
                  <c:x val="0.10279117228824369"/>
                  <c:y val="-4.7058823529411813E-2"/>
                </c:manualLayout>
              </c:layout>
              <c:tx>
                <c:rich>
                  <a:bodyPr/>
                  <a:lstStyle/>
                  <a:p>
                    <a:r>
                      <a:rPr lang="en-US"/>
                      <a:t>Europa
%59,4</a:t>
                    </a:r>
                  </a:p>
                </c:rich>
              </c:tx>
              <c:dLblPos val="bestFit"/>
              <c:showLegendKey val="0"/>
              <c:showVal val="0"/>
              <c:showCatName val="1"/>
              <c:showSerName val="0"/>
              <c:showPercent val="1"/>
              <c:showBubbleSize val="0"/>
              <c:separator>
</c:separator>
            </c:dLbl>
            <c:dLbl>
              <c:idx val="3"/>
              <c:layout>
                <c:manualLayout>
                  <c:x val="-4.3462157461780587E-2"/>
                  <c:y val="9.3458905872061099E-2"/>
                </c:manualLayout>
              </c:layout>
              <c:tx>
                <c:rich>
                  <a:bodyPr/>
                  <a:lstStyle/>
                  <a:p>
                    <a:r>
                      <a:rPr lang="en-US"/>
                      <a:t>Asia
%16,5</a:t>
                    </a:r>
                  </a:p>
                </c:rich>
              </c:tx>
              <c:showLegendKey val="0"/>
              <c:showVal val="0"/>
              <c:showCatName val="1"/>
              <c:showSerName val="0"/>
              <c:showPercent val="1"/>
              <c:showBubbleSize val="0"/>
              <c:separator>
</c:separator>
            </c:dLbl>
            <c:dLbl>
              <c:idx val="4"/>
              <c:layout>
                <c:manualLayout>
                  <c:x val="-7.9211960019317032E-2"/>
                  <c:y val="-7.2884771756472094E-2"/>
                </c:manualLayout>
              </c:layout>
              <c:tx>
                <c:rich>
                  <a:bodyPr/>
                  <a:lstStyle/>
                  <a:p>
                    <a:r>
                      <a:rPr lang="en-US"/>
                      <a:t>AEB
%7,3</a:t>
                    </a:r>
                  </a:p>
                </c:rich>
              </c:tx>
              <c:dLblPos val="bestFit"/>
              <c:showLegendKey val="0"/>
              <c:showVal val="0"/>
              <c:showCatName val="1"/>
              <c:showSerName val="0"/>
              <c:showPercent val="1"/>
              <c:showBubbleSize val="0"/>
              <c:separator>
</c:separator>
            </c:dLbl>
            <c:numFmt formatCode="0.0%" sourceLinked="0"/>
            <c:showLegendKey val="0"/>
            <c:showVal val="0"/>
            <c:showCatName val="1"/>
            <c:showSerName val="0"/>
            <c:showPercent val="1"/>
            <c:showBubbleSize val="0"/>
            <c:separator>
</c:separator>
            <c:showLeaderLines val="1"/>
          </c:dLbls>
          <c:cat>
            <c:strRef>
              <c:f>Sheet1!$B$1:$F$1</c:f>
              <c:strCache>
                <c:ptCount val="5"/>
                <c:pt idx="0">
                  <c:v>Erdialdeko Amerika eta Hego Amerika</c:v>
                </c:pt>
                <c:pt idx="1">
                  <c:v>Beste batzuk</c:v>
                </c:pt>
                <c:pt idx="2">
                  <c:v>Europa</c:v>
                </c:pt>
                <c:pt idx="3">
                  <c:v>Asia</c:v>
                </c:pt>
                <c:pt idx="4">
                  <c:v>AEB</c:v>
                </c:pt>
              </c:strCache>
            </c:strRef>
          </c:cat>
          <c:val>
            <c:numRef>
              <c:f>Sheet1!$B$2:$F$2</c:f>
              <c:numCache>
                <c:formatCode>0.0%</c:formatCode>
                <c:ptCount val="5"/>
                <c:pt idx="0">
                  <c:v>0.11</c:v>
                </c:pt>
                <c:pt idx="1">
                  <c:v>5.8000000000000003E-2</c:v>
                </c:pt>
                <c:pt idx="2">
                  <c:v>0.59399999999999997</c:v>
                </c:pt>
                <c:pt idx="3">
                  <c:v>0.16500000000000001</c:v>
                </c:pt>
                <c:pt idx="4">
                  <c:v>7.3000000000000009E-2</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txPr>
    <a:bodyPr/>
    <a:lstStyle/>
    <a:p>
      <a:pPr>
        <a:defRPr sz="800">
          <a:latin typeface="Arial" pitchFamily="34" charset="0"/>
          <a:cs typeface="Arial" pitchFamily="34" charset="0"/>
        </a:defRPr>
      </a:pPr>
      <a:endParaRPr lang="es-ES"/>
    </a:p>
  </c:txPr>
  <c:externalData r:id="rId1">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4.8913043478260865E-2"/>
          <c:y val="6.0439560439560454E-2"/>
          <c:w val="0.93297101449275766"/>
          <c:h val="0.60989010989010994"/>
        </c:manualLayout>
      </c:layout>
      <c:barChart>
        <c:barDir val="col"/>
        <c:grouping val="clustered"/>
        <c:varyColors val="0"/>
        <c:ser>
          <c:idx val="0"/>
          <c:order val="0"/>
          <c:tx>
            <c:strRef>
              <c:f>Sheet1!$A$2</c:f>
              <c:strCache>
                <c:ptCount val="1"/>
                <c:pt idx="0">
                  <c:v>2008</c:v>
                </c:pt>
              </c:strCache>
            </c:strRef>
          </c:tx>
          <c:spPr>
            <a:solidFill>
              <a:schemeClr val="accent1">
                <a:lumMod val="20000"/>
                <a:lumOff val="80000"/>
              </a:schemeClr>
            </a:solidFill>
          </c:spPr>
          <c:invertIfNegative val="0"/>
          <c:dLbls>
            <c:dLbl>
              <c:idx val="0"/>
              <c:layout>
                <c:manualLayout>
                  <c:x val="-1.9585705632949844E-2"/>
                  <c:y val="-5.112903397196833E-3"/>
                </c:manualLayout>
              </c:layout>
              <c:tx>
                <c:rich>
                  <a:bodyPr/>
                  <a:lstStyle/>
                  <a:p>
                    <a:r>
                      <a:rPr lang="en-US"/>
                      <a:t>%26,0</a:t>
                    </a:r>
                  </a:p>
                </c:rich>
              </c:tx>
              <c:showLegendKey val="0"/>
              <c:showVal val="1"/>
              <c:showCatName val="0"/>
              <c:showSerName val="0"/>
              <c:showPercent val="0"/>
              <c:showBubbleSize val="0"/>
            </c:dLbl>
            <c:dLbl>
              <c:idx val="1"/>
              <c:layout>
                <c:manualLayout>
                  <c:x val="-1.4676419885384148E-2"/>
                  <c:y val="4.203725546452443E-4"/>
                </c:manualLayout>
              </c:layout>
              <c:tx>
                <c:rich>
                  <a:bodyPr/>
                  <a:lstStyle/>
                  <a:p>
                    <a:r>
                      <a:rPr lang="en-US"/>
                      <a:t>%19,6</a:t>
                    </a:r>
                  </a:p>
                </c:rich>
              </c:tx>
              <c:showLegendKey val="0"/>
              <c:showVal val="1"/>
              <c:showCatName val="0"/>
              <c:showSerName val="0"/>
              <c:showPercent val="0"/>
              <c:showBubbleSize val="0"/>
            </c:dLbl>
            <c:dLbl>
              <c:idx val="2"/>
              <c:layout>
                <c:manualLayout>
                  <c:x val="-6.2673438009597914E-3"/>
                  <c:y val="1.039795126823732E-2"/>
                </c:manualLayout>
              </c:layout>
              <c:tx>
                <c:rich>
                  <a:bodyPr/>
                  <a:lstStyle/>
                  <a:p>
                    <a:r>
                      <a:rPr lang="en-US"/>
                      <a:t>%4,6</a:t>
                    </a:r>
                  </a:p>
                </c:rich>
              </c:tx>
              <c:showLegendKey val="0"/>
              <c:showVal val="1"/>
              <c:showCatName val="0"/>
              <c:showSerName val="0"/>
              <c:showPercent val="0"/>
              <c:showBubbleSize val="0"/>
            </c:dLbl>
            <c:dLbl>
              <c:idx val="3"/>
              <c:layout>
                <c:manualLayout>
                  <c:xMode val="edge"/>
                  <c:yMode val="edge"/>
                  <c:x val="0.63224637681159879"/>
                  <c:y val="0.35714285714286076"/>
                </c:manualLayout>
              </c:layout>
              <c:showLegendKey val="0"/>
              <c:showVal val="1"/>
              <c:showCatName val="0"/>
              <c:showSerName val="0"/>
              <c:showPercent val="0"/>
              <c:showBubbleSize val="0"/>
            </c:dLbl>
            <c:dLbl>
              <c:idx val="4"/>
              <c:layout>
                <c:manualLayout>
                  <c:xMode val="edge"/>
                  <c:yMode val="edge"/>
                  <c:x val="0.78442028985507251"/>
                  <c:y val="0.31318681318681768"/>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Sheet1!$B$1:$D$1</c:f>
              <c:strCache>
                <c:ptCount val="3"/>
                <c:pt idx="0">
                  <c:v>Kooperatibak</c:v>
                </c:pt>
                <c:pt idx="1">
                  <c:v>L.S.A.</c:v>
                </c:pt>
                <c:pt idx="2">
                  <c:v>L.S.M.</c:v>
                </c:pt>
              </c:strCache>
            </c:strRef>
          </c:cat>
          <c:val>
            <c:numRef>
              <c:f>Sheet1!$B$2:$D$2</c:f>
              <c:numCache>
                <c:formatCode>0.0%</c:formatCode>
                <c:ptCount val="3"/>
                <c:pt idx="0">
                  <c:v>0.26</c:v>
                </c:pt>
                <c:pt idx="1">
                  <c:v>0.19600000000000001</c:v>
                </c:pt>
                <c:pt idx="2">
                  <c:v>4.5999999999999999E-2</c:v>
                </c:pt>
              </c:numCache>
            </c:numRef>
          </c:val>
        </c:ser>
        <c:ser>
          <c:idx val="1"/>
          <c:order val="1"/>
          <c:tx>
            <c:strRef>
              <c:f>Sheet1!$A$3</c:f>
              <c:strCache>
                <c:ptCount val="1"/>
                <c:pt idx="0">
                  <c:v>2010</c:v>
                </c:pt>
              </c:strCache>
            </c:strRef>
          </c:tx>
          <c:spPr>
            <a:solidFill>
              <a:schemeClr val="tx2"/>
            </a:solidFill>
          </c:spPr>
          <c:invertIfNegative val="0"/>
          <c:dLbls>
            <c:dLbl>
              <c:idx val="0"/>
              <c:layout>
                <c:manualLayout>
                  <c:x val="-1.0032148348320161E-3"/>
                  <c:y val="-1.5416493990882741E-3"/>
                </c:manualLayout>
              </c:layout>
              <c:tx>
                <c:rich>
                  <a:bodyPr/>
                  <a:lstStyle/>
                  <a:p>
                    <a:r>
                      <a:rPr lang="en-US"/>
                      <a:t>%27,7</a:t>
                    </a:r>
                  </a:p>
                </c:rich>
              </c:tx>
              <c:showLegendKey val="0"/>
              <c:showVal val="1"/>
              <c:showCatName val="0"/>
              <c:showSerName val="0"/>
              <c:showPercent val="0"/>
              <c:showBubbleSize val="0"/>
            </c:dLbl>
            <c:dLbl>
              <c:idx val="1"/>
              <c:layout>
                <c:manualLayout>
                  <c:x val="1.8025439127801381E-3"/>
                  <c:y val="1.140489017820146E-2"/>
                </c:manualLayout>
              </c:layout>
              <c:tx>
                <c:rich>
                  <a:bodyPr/>
                  <a:lstStyle/>
                  <a:p>
                    <a:r>
                      <a:rPr lang="en-US"/>
                      <a:t>%15,9</a:t>
                    </a:r>
                  </a:p>
                </c:rich>
              </c:tx>
              <c:showLegendKey val="0"/>
              <c:showVal val="1"/>
              <c:showCatName val="0"/>
              <c:showSerName val="0"/>
              <c:showPercent val="0"/>
              <c:showBubbleSize val="0"/>
            </c:dLbl>
            <c:dLbl>
              <c:idx val="2"/>
              <c:layout>
                <c:manualLayout>
                  <c:x val="-7.7584680613149008E-4"/>
                  <c:y val="1.2335320433123997E-2"/>
                </c:manualLayout>
              </c:layout>
              <c:tx>
                <c:rich>
                  <a:bodyPr/>
                  <a:lstStyle/>
                  <a:p>
                    <a:r>
                      <a:rPr lang="en-US"/>
                      <a:t>%4,0</a:t>
                    </a:r>
                  </a:p>
                </c:rich>
              </c:tx>
              <c:showLegendKey val="0"/>
              <c:showVal val="1"/>
              <c:showCatName val="0"/>
              <c:showSerName val="0"/>
              <c:showPercent val="0"/>
              <c:showBubbleSize val="0"/>
            </c:dLbl>
            <c:dLbl>
              <c:idx val="3"/>
              <c:layout>
                <c:manualLayout>
                  <c:xMode val="edge"/>
                  <c:yMode val="edge"/>
                  <c:x val="0.67753623188405798"/>
                  <c:y val="0.44505494505494803"/>
                </c:manualLayout>
              </c:layout>
              <c:showLegendKey val="0"/>
              <c:showVal val="1"/>
              <c:showCatName val="0"/>
              <c:showSerName val="0"/>
              <c:showPercent val="0"/>
              <c:showBubbleSize val="0"/>
            </c:dLbl>
            <c:dLbl>
              <c:idx val="4"/>
              <c:layout>
                <c:manualLayout>
                  <c:xMode val="edge"/>
                  <c:yMode val="edge"/>
                  <c:x val="0.85144927536231885"/>
                  <c:y val="0.36263736263736268"/>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Sheet1!$B$1:$D$1</c:f>
              <c:strCache>
                <c:ptCount val="3"/>
                <c:pt idx="0">
                  <c:v>Kooperatibak</c:v>
                </c:pt>
                <c:pt idx="1">
                  <c:v>L.S.A.</c:v>
                </c:pt>
                <c:pt idx="2">
                  <c:v>L.S.M.</c:v>
                </c:pt>
              </c:strCache>
            </c:strRef>
          </c:cat>
          <c:val>
            <c:numRef>
              <c:f>Sheet1!$B$3:$D$3</c:f>
              <c:numCache>
                <c:formatCode>0.0%</c:formatCode>
                <c:ptCount val="3"/>
                <c:pt idx="0">
                  <c:v>0.27700000000000002</c:v>
                </c:pt>
                <c:pt idx="1">
                  <c:v>0.15900000000000017</c:v>
                </c:pt>
                <c:pt idx="2">
                  <c:v>4.0000000000000022E-2</c:v>
                </c:pt>
              </c:numCache>
            </c:numRef>
          </c:val>
        </c:ser>
        <c:ser>
          <c:idx val="2"/>
          <c:order val="2"/>
          <c:tx>
            <c:strRef>
              <c:f>Sheet1!$A$4</c:f>
              <c:strCache>
                <c:ptCount val="1"/>
                <c:pt idx="0">
                  <c:v>2012</c:v>
                </c:pt>
              </c:strCache>
            </c:strRef>
          </c:tx>
          <c:spPr>
            <a:solidFill>
              <a:schemeClr val="accent1"/>
            </a:solidFill>
          </c:spPr>
          <c:invertIfNegative val="0"/>
          <c:dLbls>
            <c:dLbl>
              <c:idx val="0"/>
              <c:layout/>
              <c:tx>
                <c:rich>
                  <a:bodyPr/>
                  <a:lstStyle/>
                  <a:p>
                    <a:r>
                      <a:rPr lang="en-US"/>
                      <a:t>%33,5</a:t>
                    </a:r>
                  </a:p>
                </c:rich>
              </c:tx>
              <c:showLegendKey val="0"/>
              <c:showVal val="1"/>
              <c:showCatName val="0"/>
              <c:showSerName val="0"/>
              <c:showPercent val="0"/>
              <c:showBubbleSize val="0"/>
            </c:dLbl>
            <c:dLbl>
              <c:idx val="1"/>
              <c:layout/>
              <c:tx>
                <c:rich>
                  <a:bodyPr/>
                  <a:lstStyle/>
                  <a:p>
                    <a:r>
                      <a:rPr lang="en-US"/>
                      <a:t>%21,20</a:t>
                    </a:r>
                  </a:p>
                </c:rich>
              </c:tx>
              <c:showLegendKey val="0"/>
              <c:showVal val="1"/>
              <c:showCatName val="0"/>
              <c:showSerName val="0"/>
              <c:showPercent val="0"/>
              <c:showBubbleSize val="0"/>
            </c:dLbl>
            <c:dLbl>
              <c:idx val="2"/>
              <c:layout/>
              <c:tx>
                <c:rich>
                  <a:bodyPr/>
                  <a:lstStyle/>
                  <a:p>
                    <a:r>
                      <a:rPr lang="en-US"/>
                      <a:t>%12,1</a:t>
                    </a:r>
                  </a:p>
                </c:rich>
              </c:tx>
              <c:showLegendKey val="0"/>
              <c:showVal val="1"/>
              <c:showCatName val="0"/>
              <c:showSerName val="0"/>
              <c:showPercent val="0"/>
              <c:showBubbleSize val="0"/>
            </c:dLbl>
            <c:showLegendKey val="0"/>
            <c:showVal val="1"/>
            <c:showCatName val="0"/>
            <c:showSerName val="0"/>
            <c:showPercent val="0"/>
            <c:showBubbleSize val="0"/>
            <c:showLeaderLines val="0"/>
          </c:dLbls>
          <c:cat>
            <c:strRef>
              <c:f>Sheet1!$B$1:$D$1</c:f>
              <c:strCache>
                <c:ptCount val="3"/>
                <c:pt idx="0">
                  <c:v>Kooperatibak</c:v>
                </c:pt>
                <c:pt idx="1">
                  <c:v>L.S.A.</c:v>
                </c:pt>
                <c:pt idx="2">
                  <c:v>L.S.M.</c:v>
                </c:pt>
              </c:strCache>
            </c:strRef>
          </c:cat>
          <c:val>
            <c:numRef>
              <c:f>Sheet1!$B$4:$D$4</c:f>
              <c:numCache>
                <c:formatCode>0.00%</c:formatCode>
                <c:ptCount val="3"/>
                <c:pt idx="0" formatCode="0.0%">
                  <c:v>0.33500000000000046</c:v>
                </c:pt>
                <c:pt idx="1">
                  <c:v>0.21200000000000016</c:v>
                </c:pt>
                <c:pt idx="2" formatCode="0.0%">
                  <c:v>0.12100000000000002</c:v>
                </c:pt>
              </c:numCache>
            </c:numRef>
          </c:val>
        </c:ser>
        <c:dLbls>
          <c:showLegendKey val="0"/>
          <c:showVal val="0"/>
          <c:showCatName val="0"/>
          <c:showSerName val="0"/>
          <c:showPercent val="0"/>
          <c:showBubbleSize val="0"/>
        </c:dLbls>
        <c:gapWidth val="150"/>
        <c:axId val="109485440"/>
        <c:axId val="109491328"/>
      </c:barChart>
      <c:catAx>
        <c:axId val="109485440"/>
        <c:scaling>
          <c:orientation val="minMax"/>
        </c:scaling>
        <c:delete val="0"/>
        <c:axPos val="b"/>
        <c:numFmt formatCode="General" sourceLinked="1"/>
        <c:majorTickMark val="out"/>
        <c:minorTickMark val="none"/>
        <c:tickLblPos val="low"/>
        <c:txPr>
          <a:bodyPr rot="0" vert="horz"/>
          <a:lstStyle/>
          <a:p>
            <a:pPr>
              <a:defRPr/>
            </a:pPr>
            <a:endParaRPr lang="es-ES"/>
          </a:p>
        </c:txPr>
        <c:crossAx val="109491328"/>
        <c:crosses val="autoZero"/>
        <c:auto val="1"/>
        <c:lblAlgn val="ctr"/>
        <c:lblOffset val="100"/>
        <c:tickLblSkip val="1"/>
        <c:tickMarkSkip val="1"/>
        <c:noMultiLvlLbl val="0"/>
      </c:catAx>
      <c:valAx>
        <c:axId val="109491328"/>
        <c:scaling>
          <c:orientation val="minMax"/>
        </c:scaling>
        <c:delete val="0"/>
        <c:axPos val="l"/>
        <c:majorGridlines>
          <c:spPr>
            <a:ln>
              <a:solidFill>
                <a:schemeClr val="bg1">
                  <a:lumMod val="85000"/>
                </a:schemeClr>
              </a:solidFill>
            </a:ln>
          </c:spPr>
        </c:majorGridlines>
        <c:numFmt formatCode="0%" sourceLinked="0"/>
        <c:majorTickMark val="out"/>
        <c:minorTickMark val="none"/>
        <c:tickLblPos val="nextTo"/>
        <c:txPr>
          <a:bodyPr rot="0" vert="horz"/>
          <a:lstStyle/>
          <a:p>
            <a:pPr>
              <a:defRPr/>
            </a:pPr>
            <a:endParaRPr lang="es-ES"/>
          </a:p>
        </c:txPr>
        <c:crossAx val="109485440"/>
        <c:crosses val="autoZero"/>
        <c:crossBetween val="between"/>
      </c:valAx>
    </c:plotArea>
    <c:legend>
      <c:legendPos val="b"/>
      <c:layout>
        <c:manualLayout>
          <c:xMode val="edge"/>
          <c:yMode val="edge"/>
          <c:x val="0.28476764664771925"/>
          <c:y val="0.82494692212056475"/>
          <c:w val="0.48764347947630804"/>
          <c:h val="8.0138140627158447E-2"/>
        </c:manualLayout>
      </c:layout>
      <c:overlay val="0"/>
    </c:legend>
    <c:plotVisOnly val="1"/>
    <c:dispBlanksAs val="gap"/>
    <c:showDLblsOverMax val="0"/>
  </c:chart>
  <c:spPr>
    <a:ln>
      <a:noFill/>
    </a:ln>
  </c:spPr>
  <c:txPr>
    <a:bodyPr/>
    <a:lstStyle/>
    <a:p>
      <a:pPr>
        <a:defRPr sz="800">
          <a:latin typeface="Arial" pitchFamily="34" charset="0"/>
          <a:cs typeface="Arial" pitchFamily="34" charset="0"/>
        </a:defRPr>
      </a:pPr>
      <a:endParaRPr lang="es-ES"/>
    </a:p>
  </c:txPr>
  <c:externalData r:id="rId1">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0.29041954386612862"/>
          <c:y val="0.28268819658412281"/>
          <c:w val="0.38254870678650782"/>
          <c:h val="0.57681691962418236"/>
        </c:manualLayout>
      </c:layout>
      <c:pieChart>
        <c:varyColors val="1"/>
        <c:ser>
          <c:idx val="0"/>
          <c:order val="0"/>
          <c:tx>
            <c:strRef>
              <c:f>Sheet1!$A$2</c:f>
              <c:strCache>
                <c:ptCount val="1"/>
              </c:strCache>
            </c:strRef>
          </c:tx>
          <c:dLbls>
            <c:dLbl>
              <c:idx val="0"/>
              <c:layout>
                <c:manualLayout>
                  <c:x val="2.0093473033287207E-2"/>
                  <c:y val="-4.6178249457948177E-2"/>
                </c:manualLayout>
              </c:layout>
              <c:tx>
                <c:rich>
                  <a:bodyPr/>
                  <a:lstStyle/>
                  <a:p>
                    <a:r>
                      <a:rPr lang="en-US"/>
                      <a:t>Bizkaia
%23,5</a:t>
                    </a:r>
                  </a:p>
                </c:rich>
              </c:tx>
              <c:dLblPos val="bestFit"/>
              <c:showLegendKey val="0"/>
              <c:showVal val="0"/>
              <c:showCatName val="1"/>
              <c:showSerName val="0"/>
              <c:showPercent val="1"/>
              <c:showBubbleSize val="0"/>
            </c:dLbl>
            <c:dLbl>
              <c:idx val="1"/>
              <c:layout>
                <c:manualLayout>
                  <c:x val="1.9051828440706919E-3"/>
                  <c:y val="-1.6336490547377243E-2"/>
                </c:manualLayout>
              </c:layout>
              <c:tx>
                <c:rich>
                  <a:bodyPr/>
                  <a:lstStyle/>
                  <a:p>
                    <a:r>
                      <a:rPr lang="en-US"/>
                      <a:t>Gipuzkoa
%70,2</a:t>
                    </a:r>
                  </a:p>
                </c:rich>
              </c:tx>
              <c:dLblPos val="bestFit"/>
              <c:showLegendKey val="0"/>
              <c:showVal val="0"/>
              <c:showCatName val="1"/>
              <c:showSerName val="0"/>
              <c:showPercent val="1"/>
              <c:showBubbleSize val="0"/>
            </c:dLbl>
            <c:dLbl>
              <c:idx val="2"/>
              <c:layout>
                <c:manualLayout>
                  <c:x val="3.9848048542612292E-3"/>
                  <c:y val="-9.0934966573995468E-2"/>
                </c:manualLayout>
              </c:layout>
              <c:tx>
                <c:rich>
                  <a:bodyPr/>
                  <a:lstStyle/>
                  <a:p>
                    <a:r>
                      <a:rPr lang="en-US"/>
                      <a:t>Araba
%6,3</a:t>
                    </a:r>
                  </a:p>
                </c:rich>
              </c:tx>
              <c:dLblPos val="bestFit"/>
              <c:showLegendKey val="0"/>
              <c:showVal val="0"/>
              <c:showCatName val="1"/>
              <c:showSerName val="0"/>
              <c:showPercent val="1"/>
              <c:showBubbleSize val="0"/>
            </c:dLbl>
            <c:numFmt formatCode="0.0%" sourceLinked="0"/>
            <c:showLegendKey val="0"/>
            <c:showVal val="0"/>
            <c:showCatName val="1"/>
            <c:showSerName val="0"/>
            <c:showPercent val="1"/>
            <c:showBubbleSize val="0"/>
            <c:showLeaderLines val="1"/>
          </c:dLbls>
          <c:cat>
            <c:strRef>
              <c:f>Sheet1!$B$1:$D$1</c:f>
              <c:strCache>
                <c:ptCount val="3"/>
                <c:pt idx="0">
                  <c:v>Bizkaia</c:v>
                </c:pt>
                <c:pt idx="1">
                  <c:v>Gipuzkoa</c:v>
                </c:pt>
                <c:pt idx="2">
                  <c:v>Araba</c:v>
                </c:pt>
              </c:strCache>
            </c:strRef>
          </c:cat>
          <c:val>
            <c:numRef>
              <c:f>Sheet1!$B$2:$D$2</c:f>
              <c:numCache>
                <c:formatCode>0.0%</c:formatCode>
                <c:ptCount val="3"/>
                <c:pt idx="0">
                  <c:v>0.23500000000000001</c:v>
                </c:pt>
                <c:pt idx="1">
                  <c:v>0.70200000000000062</c:v>
                </c:pt>
                <c:pt idx="2">
                  <c:v>6.3E-2</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txPr>
    <a:bodyPr/>
    <a:lstStyle/>
    <a:p>
      <a:pPr>
        <a:defRPr sz="800">
          <a:latin typeface="Arial" pitchFamily="34" charset="0"/>
          <a:cs typeface="Arial" pitchFamily="34" charset="0"/>
        </a:defRPr>
      </a:pPr>
      <a:endParaRPr lang="es-E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9854809437386584E-2"/>
          <c:y val="7.1428571428571425E-2"/>
          <c:w val="0.89836660617059894"/>
          <c:h val="0.59890109890109888"/>
        </c:manualLayout>
      </c:layout>
      <c:barChart>
        <c:barDir val="col"/>
        <c:grouping val="clustered"/>
        <c:varyColors val="0"/>
        <c:ser>
          <c:idx val="0"/>
          <c:order val="0"/>
          <c:tx>
            <c:strRef>
              <c:f>Sheet1!$A$2</c:f>
              <c:strCache>
                <c:ptCount val="1"/>
                <c:pt idx="0">
                  <c:v>EAEko ekonomia</c:v>
                </c:pt>
              </c:strCache>
            </c:strRef>
          </c:tx>
          <c:spPr>
            <a:solidFill>
              <a:schemeClr val="accent1">
                <a:lumMod val="20000"/>
                <a:lumOff val="80000"/>
              </a:schemeClr>
            </a:solidFill>
            <a:ln w="8358">
              <a:noFill/>
              <a:prstDash val="solid"/>
            </a:ln>
          </c:spPr>
          <c:invertIfNegative val="0"/>
          <c:dLbls>
            <c:dLbl>
              <c:idx val="0"/>
              <c:layout>
                <c:manualLayout>
                  <c:x val="-8.2234869156208971E-3"/>
                  <c:y val="-2.9888451443569552E-3"/>
                </c:manualLayout>
              </c:layout>
              <c:dLblPos val="outEnd"/>
              <c:showLegendKey val="0"/>
              <c:showVal val="1"/>
              <c:showCatName val="0"/>
              <c:showSerName val="0"/>
              <c:showPercent val="0"/>
              <c:showBubbleSize val="0"/>
            </c:dLbl>
            <c:dLbl>
              <c:idx val="1"/>
              <c:layout>
                <c:manualLayout>
                  <c:x val="-9.3953899326942539E-3"/>
                  <c:y val="-6.3533464566929137E-3"/>
                </c:manualLayout>
              </c:layout>
              <c:dLblPos val="outEnd"/>
              <c:showLegendKey val="0"/>
              <c:showVal val="1"/>
              <c:showCatName val="0"/>
              <c:showSerName val="0"/>
              <c:showPercent val="0"/>
              <c:showBubbleSize val="0"/>
            </c:dLbl>
            <c:dLbl>
              <c:idx val="2"/>
              <c:layout>
                <c:manualLayout>
                  <c:x val="-6.5861074296407222E-4"/>
                  <c:y val="-1.3967629046369516E-2"/>
                </c:manualLayout>
              </c:layout>
              <c:dLblPos val="outEnd"/>
              <c:showLegendKey val="0"/>
              <c:showVal val="1"/>
              <c:showCatName val="0"/>
              <c:showSerName val="0"/>
              <c:showPercent val="0"/>
              <c:showBubbleSize val="0"/>
            </c:dLbl>
            <c:dLbl>
              <c:idx val="3"/>
              <c:layout>
                <c:manualLayout>
                  <c:x val="1.602394821514583E-3"/>
                  <c:y val="-1.9654225914068686E-2"/>
                </c:manualLayout>
              </c:layout>
              <c:dLblPos val="outEnd"/>
              <c:showLegendKey val="0"/>
              <c:showVal val="1"/>
              <c:showCatName val="0"/>
              <c:showSerName val="0"/>
              <c:showPercent val="0"/>
              <c:showBubbleSize val="0"/>
            </c:dLbl>
            <c:dLbl>
              <c:idx val="4"/>
              <c:layout>
                <c:manualLayout>
                  <c:xMode val="edge"/>
                  <c:yMode val="edge"/>
                  <c:x val="0.69230769230769262"/>
                  <c:y val="0.43956043956044566"/>
                </c:manualLayout>
              </c:layout>
              <c:dLblPos val="outEnd"/>
              <c:showLegendKey val="0"/>
              <c:showVal val="1"/>
              <c:showCatName val="0"/>
              <c:showSerName val="0"/>
              <c:showPercent val="0"/>
              <c:showBubbleSize val="0"/>
            </c:dLbl>
            <c:spPr>
              <a:noFill/>
              <a:ln w="16716">
                <a:noFill/>
              </a:ln>
            </c:spPr>
            <c:showLegendKey val="0"/>
            <c:showVal val="1"/>
            <c:showCatName val="0"/>
            <c:showSerName val="0"/>
            <c:showPercent val="0"/>
            <c:showBubbleSize val="0"/>
            <c:showLeaderLines val="0"/>
          </c:dLbls>
          <c:cat>
            <c:strRef>
              <c:f>Sheet1!$B$1:$E$1</c:f>
              <c:strCache>
                <c:ptCount val="4"/>
                <c:pt idx="0">
                  <c:v>Lehen sektorea</c:v>
                </c:pt>
                <c:pt idx="1">
                  <c:v>Industria</c:v>
                </c:pt>
                <c:pt idx="2">
                  <c:v>Eraikuntza</c:v>
                </c:pt>
                <c:pt idx="3">
                  <c:v>Zerbitzuak</c:v>
                </c:pt>
              </c:strCache>
            </c:strRef>
          </c:cat>
          <c:val>
            <c:numRef>
              <c:f>Sheet1!$B$2:$E$2</c:f>
              <c:numCache>
                <c:formatCode>%0.0</c:formatCode>
                <c:ptCount val="4"/>
                <c:pt idx="0">
                  <c:v>9.2000000000000068E-3</c:v>
                </c:pt>
                <c:pt idx="1">
                  <c:v>0.23700000000000004</c:v>
                </c:pt>
                <c:pt idx="2">
                  <c:v>6.4000000000000071E-2</c:v>
                </c:pt>
                <c:pt idx="3">
                  <c:v>0.6900000000000005</c:v>
                </c:pt>
              </c:numCache>
            </c:numRef>
          </c:val>
        </c:ser>
        <c:ser>
          <c:idx val="1"/>
          <c:order val="1"/>
          <c:tx>
            <c:strRef>
              <c:f>Sheet1!$A$3</c:f>
              <c:strCache>
                <c:ptCount val="1"/>
                <c:pt idx="0">
                  <c:v>Gizarte Ekonomia</c:v>
                </c:pt>
              </c:strCache>
            </c:strRef>
          </c:tx>
          <c:spPr>
            <a:solidFill>
              <a:schemeClr val="tx2"/>
            </a:solidFill>
            <a:ln w="8358">
              <a:noFill/>
              <a:prstDash val="solid"/>
            </a:ln>
          </c:spPr>
          <c:invertIfNegative val="0"/>
          <c:dLbls>
            <c:dLbl>
              <c:idx val="0"/>
              <c:layout>
                <c:manualLayout>
                  <c:x val="1.3402562303474443E-2"/>
                  <c:y val="-2.1554024496937777E-2"/>
                </c:manualLayout>
              </c:layout>
              <c:dLblPos val="outEnd"/>
              <c:showLegendKey val="0"/>
              <c:showVal val="1"/>
              <c:showCatName val="0"/>
              <c:showSerName val="0"/>
              <c:showPercent val="0"/>
              <c:showBubbleSize val="0"/>
            </c:dLbl>
            <c:dLbl>
              <c:idx val="1"/>
              <c:layout>
                <c:manualLayout>
                  <c:x val="2.2858033834879652E-3"/>
                  <c:y val="-1.2630139982502189E-2"/>
                </c:manualLayout>
              </c:layout>
              <c:dLblPos val="outEnd"/>
              <c:showLegendKey val="0"/>
              <c:showVal val="1"/>
              <c:showCatName val="0"/>
              <c:showSerName val="0"/>
              <c:showPercent val="0"/>
              <c:showBubbleSize val="0"/>
            </c:dLbl>
            <c:dLbl>
              <c:idx val="2"/>
              <c:layout>
                <c:manualLayout>
                  <c:x val="2.052774096307269E-2"/>
                  <c:y val="-2.0383858267716552E-2"/>
                </c:manualLayout>
              </c:layout>
              <c:dLblPos val="outEnd"/>
              <c:showLegendKey val="0"/>
              <c:showVal val="1"/>
              <c:showCatName val="0"/>
              <c:showSerName val="0"/>
              <c:showPercent val="0"/>
              <c:showBubbleSize val="0"/>
            </c:dLbl>
            <c:dLbl>
              <c:idx val="3"/>
              <c:layout>
                <c:manualLayout>
                  <c:x val="1.9003456251137245E-2"/>
                  <c:y val="-7.5896762904638674E-4"/>
                </c:manualLayout>
              </c:layout>
              <c:dLblPos val="outEnd"/>
              <c:showLegendKey val="0"/>
              <c:showVal val="1"/>
              <c:showCatName val="0"/>
              <c:showSerName val="0"/>
              <c:showPercent val="0"/>
              <c:showBubbleSize val="0"/>
            </c:dLbl>
            <c:dLbl>
              <c:idx val="4"/>
              <c:layout>
                <c:manualLayout>
                  <c:xMode val="edge"/>
                  <c:yMode val="edge"/>
                  <c:x val="0.7672064777327936"/>
                  <c:y val="0.46153846153846551"/>
                </c:manualLayout>
              </c:layout>
              <c:dLblPos val="outEnd"/>
              <c:showLegendKey val="0"/>
              <c:showVal val="1"/>
              <c:showCatName val="0"/>
              <c:showSerName val="0"/>
              <c:showPercent val="0"/>
              <c:showBubbleSize val="0"/>
            </c:dLbl>
            <c:spPr>
              <a:noFill/>
              <a:ln w="16716">
                <a:noFill/>
              </a:ln>
            </c:spPr>
            <c:showLegendKey val="0"/>
            <c:showVal val="1"/>
            <c:showCatName val="0"/>
            <c:showSerName val="0"/>
            <c:showPercent val="0"/>
            <c:showBubbleSize val="0"/>
            <c:showLeaderLines val="0"/>
          </c:dLbls>
          <c:cat>
            <c:strRef>
              <c:f>Sheet1!$B$1:$E$1</c:f>
              <c:strCache>
                <c:ptCount val="4"/>
                <c:pt idx="0">
                  <c:v>Lehen sektorea</c:v>
                </c:pt>
                <c:pt idx="1">
                  <c:v>Industria</c:v>
                </c:pt>
                <c:pt idx="2">
                  <c:v>Eraikuntza</c:v>
                </c:pt>
                <c:pt idx="3">
                  <c:v>Zerbitzuak</c:v>
                </c:pt>
              </c:strCache>
            </c:strRef>
          </c:cat>
          <c:val>
            <c:numRef>
              <c:f>Sheet1!$B$3:$E$3</c:f>
              <c:numCache>
                <c:formatCode>%0.0</c:formatCode>
                <c:ptCount val="4"/>
                <c:pt idx="0">
                  <c:v>2.0000000000000022E-3</c:v>
                </c:pt>
                <c:pt idx="1">
                  <c:v>0.46100000000000002</c:v>
                </c:pt>
                <c:pt idx="2">
                  <c:v>3.5999999999999997E-2</c:v>
                </c:pt>
                <c:pt idx="3">
                  <c:v>0.501</c:v>
                </c:pt>
              </c:numCache>
            </c:numRef>
          </c:val>
        </c:ser>
        <c:dLbls>
          <c:showLegendKey val="0"/>
          <c:showVal val="0"/>
          <c:showCatName val="0"/>
          <c:showSerName val="0"/>
          <c:showPercent val="0"/>
          <c:showBubbleSize val="0"/>
        </c:dLbls>
        <c:gapWidth val="150"/>
        <c:axId val="104130816"/>
        <c:axId val="104144896"/>
      </c:barChart>
      <c:catAx>
        <c:axId val="104130816"/>
        <c:scaling>
          <c:orientation val="minMax"/>
        </c:scaling>
        <c:delete val="0"/>
        <c:axPos val="b"/>
        <c:numFmt formatCode="General" sourceLinked="1"/>
        <c:majorTickMark val="out"/>
        <c:minorTickMark val="none"/>
        <c:tickLblPos val="low"/>
        <c:spPr>
          <a:ln w="2089">
            <a:solidFill>
              <a:srgbClr val="000000"/>
            </a:solidFill>
            <a:prstDash val="solid"/>
          </a:ln>
        </c:spPr>
        <c:txPr>
          <a:bodyPr rot="0" vert="horz"/>
          <a:lstStyle/>
          <a:p>
            <a:pPr>
              <a:defRPr/>
            </a:pPr>
            <a:endParaRPr lang="es-ES"/>
          </a:p>
        </c:txPr>
        <c:crossAx val="104144896"/>
        <c:crosses val="autoZero"/>
        <c:auto val="1"/>
        <c:lblAlgn val="ctr"/>
        <c:lblOffset val="100"/>
        <c:tickLblSkip val="1"/>
        <c:tickMarkSkip val="1"/>
        <c:noMultiLvlLbl val="0"/>
      </c:catAx>
      <c:valAx>
        <c:axId val="104144896"/>
        <c:scaling>
          <c:orientation val="minMax"/>
        </c:scaling>
        <c:delete val="0"/>
        <c:axPos val="l"/>
        <c:majorGridlines>
          <c:spPr>
            <a:ln w="8358">
              <a:solidFill>
                <a:schemeClr val="bg1">
                  <a:lumMod val="95000"/>
                </a:schemeClr>
              </a:solidFill>
              <a:prstDash val="solid"/>
            </a:ln>
          </c:spPr>
        </c:majorGridlines>
        <c:numFmt formatCode="%0" sourceLinked="0"/>
        <c:majorTickMark val="out"/>
        <c:minorTickMark val="none"/>
        <c:tickLblPos val="nextTo"/>
        <c:spPr>
          <a:ln w="2089">
            <a:solidFill>
              <a:srgbClr val="000000"/>
            </a:solidFill>
            <a:prstDash val="solid"/>
          </a:ln>
        </c:spPr>
        <c:txPr>
          <a:bodyPr rot="0" vert="horz"/>
          <a:lstStyle/>
          <a:p>
            <a:pPr>
              <a:defRPr/>
            </a:pPr>
            <a:endParaRPr lang="es-ES"/>
          </a:p>
        </c:txPr>
        <c:crossAx val="104130816"/>
        <c:crosses val="autoZero"/>
        <c:crossBetween val="between"/>
        <c:majorUnit val="0.2"/>
      </c:valAx>
      <c:spPr>
        <a:noFill/>
        <a:ln w="16716">
          <a:noFill/>
        </a:ln>
      </c:spPr>
    </c:plotArea>
    <c:legend>
      <c:legendPos val="r"/>
      <c:layout>
        <c:manualLayout>
          <c:xMode val="edge"/>
          <c:yMode val="edge"/>
          <c:x val="0.19782214156079869"/>
          <c:y val="0.85714285714285765"/>
          <c:w val="0.67695099818511884"/>
          <c:h val="9.8901098901099063E-2"/>
        </c:manualLayout>
      </c:layout>
      <c:overlay val="0"/>
      <c:spPr>
        <a:noFill/>
        <a:ln w="2089">
          <a:noFill/>
          <a:prstDash val="solid"/>
        </a:ln>
      </c:spPr>
    </c:legend>
    <c:plotVisOnly val="1"/>
    <c:dispBlanksAs val="gap"/>
    <c:showDLblsOverMax val="0"/>
  </c:chart>
  <c:spPr>
    <a:noFill/>
    <a:ln>
      <a:noFill/>
    </a:ln>
  </c:spPr>
  <c:txPr>
    <a:bodyPr/>
    <a:lstStyle/>
    <a:p>
      <a:pPr>
        <a:defRPr sz="800" b="0" i="0" u="none" strike="noStrike" baseline="0">
          <a:solidFill>
            <a:srgbClr val="000000"/>
          </a:solidFill>
          <a:latin typeface="Arial" pitchFamily="34" charset="0"/>
          <a:ea typeface="Calibri"/>
          <a:cs typeface="Arial" pitchFamily="34" charset="0"/>
        </a:defRPr>
      </a:pPr>
      <a:endParaRPr lang="es-ES"/>
    </a:p>
  </c:txPr>
  <c:externalData r:id="rId2">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805500982318272"/>
          <c:y val="5.4945054945054944E-2"/>
          <c:w val="0.87229862475442432"/>
          <c:h val="0.75824175824176065"/>
        </c:manualLayout>
      </c:layout>
      <c:barChart>
        <c:barDir val="col"/>
        <c:grouping val="clustered"/>
        <c:varyColors val="0"/>
        <c:ser>
          <c:idx val="0"/>
          <c:order val="0"/>
          <c:tx>
            <c:strRef>
              <c:f>Sheet1!$A$2</c:f>
              <c:strCache>
                <c:ptCount val="1"/>
              </c:strCache>
            </c:strRef>
          </c:tx>
          <c:invertIfNegative val="0"/>
          <c:dLbls>
            <c:dLbl>
              <c:idx val="0"/>
              <c:layout>
                <c:manualLayout>
                  <c:x val="6.5440069317999373E-4"/>
                  <c:y val="-1.9850188291681142E-2"/>
                </c:manualLayout>
              </c:layout>
              <c:showLegendKey val="0"/>
              <c:showVal val="1"/>
              <c:showCatName val="0"/>
              <c:showSerName val="0"/>
              <c:showPercent val="0"/>
              <c:showBubbleSize val="0"/>
            </c:dLbl>
            <c:dLbl>
              <c:idx val="1"/>
              <c:layout>
                <c:manualLayout>
                  <c:x val="-2.2768700661166892E-3"/>
                  <c:y val="-5.3948647723382405E-2"/>
                </c:manualLayout>
              </c:layout>
              <c:showLegendKey val="0"/>
              <c:showVal val="1"/>
              <c:showCatName val="0"/>
              <c:showSerName val="0"/>
              <c:showPercent val="0"/>
              <c:showBubbleSize val="0"/>
            </c:dLbl>
            <c:dLbl>
              <c:idx val="2"/>
              <c:layout>
                <c:manualLayout>
                  <c:x val="8.3815802362912882E-3"/>
                  <c:y val="-8.0985963711058227E-3"/>
                </c:manualLayout>
              </c:layout>
              <c:showLegendKey val="0"/>
              <c:showVal val="1"/>
              <c:showCatName val="0"/>
              <c:showSerName val="0"/>
              <c:showPercent val="0"/>
              <c:showBubbleSize val="0"/>
            </c:dLbl>
            <c:dLbl>
              <c:idx val="3"/>
              <c:layout>
                <c:manualLayout>
                  <c:x val="-6.2036781762418811E-3"/>
                  <c:y val="0"/>
                </c:manualLayout>
              </c:layout>
              <c:showLegendKey val="0"/>
              <c:showVal val="1"/>
              <c:showCatName val="0"/>
              <c:showSerName val="0"/>
              <c:showPercent val="0"/>
              <c:showBubbleSize val="0"/>
            </c:dLbl>
            <c:dLbl>
              <c:idx val="4"/>
              <c:layout>
                <c:manualLayout>
                  <c:xMode val="edge"/>
                  <c:yMode val="edge"/>
                  <c:x val="0.5009823182711195"/>
                  <c:y val="0.1373626373626374"/>
                </c:manualLayout>
              </c:layout>
              <c:showLegendKey val="0"/>
              <c:showVal val="1"/>
              <c:showCatName val="0"/>
              <c:showSerName val="0"/>
              <c:showPercent val="0"/>
              <c:showBubbleSize val="0"/>
            </c:dLbl>
            <c:dLbl>
              <c:idx val="5"/>
              <c:layout>
                <c:manualLayout>
                  <c:xMode val="edge"/>
                  <c:yMode val="edge"/>
                  <c:x val="0.58939096267190549"/>
                  <c:y val="0.12637362637362479"/>
                </c:manualLayout>
              </c:layout>
              <c:showLegendKey val="0"/>
              <c:showVal val="1"/>
              <c:showCatName val="0"/>
              <c:showSerName val="0"/>
              <c:showPercent val="0"/>
              <c:showBubbleSize val="0"/>
            </c:dLbl>
            <c:dLbl>
              <c:idx val="6"/>
              <c:layout>
                <c:manualLayout>
                  <c:xMode val="edge"/>
                  <c:yMode val="edge"/>
                  <c:x val="0.66797642436149895"/>
                  <c:y val="0.1153846153846154"/>
                </c:manualLayout>
              </c:layout>
              <c:showLegendKey val="0"/>
              <c:showVal val="1"/>
              <c:showCatName val="0"/>
              <c:showSerName val="0"/>
              <c:showPercent val="0"/>
              <c:showBubbleSize val="0"/>
            </c:dLbl>
            <c:dLbl>
              <c:idx val="7"/>
              <c:layout>
                <c:manualLayout>
                  <c:xMode val="edge"/>
                  <c:yMode val="edge"/>
                  <c:x val="0.75245579567779963"/>
                  <c:y val="9.8901098901100118E-2"/>
                </c:manualLayout>
              </c:layout>
              <c:showLegendKey val="0"/>
              <c:showVal val="1"/>
              <c:showCatName val="0"/>
              <c:showSerName val="0"/>
              <c:showPercent val="0"/>
              <c:showBubbleSize val="0"/>
            </c:dLbl>
            <c:dLbl>
              <c:idx val="8"/>
              <c:layout>
                <c:manualLayout>
                  <c:xMode val="edge"/>
                  <c:yMode val="edge"/>
                  <c:x val="0.83889980353635185"/>
                  <c:y val="0.14285714285714432"/>
                </c:manualLayout>
              </c:layout>
              <c:showLegendKey val="0"/>
              <c:showVal val="1"/>
              <c:showCatName val="0"/>
              <c:showSerName val="0"/>
              <c:showPercent val="0"/>
              <c:showBubbleSize val="0"/>
            </c:dLbl>
            <c:txPr>
              <a:bodyPr/>
              <a:lstStyle/>
              <a:p>
                <a:pPr>
                  <a:defRPr b="1"/>
                </a:pPr>
                <a:endParaRPr lang="es-ES"/>
              </a:p>
            </c:txPr>
            <c:showLegendKey val="0"/>
            <c:showVal val="1"/>
            <c:showCatName val="0"/>
            <c:showSerName val="0"/>
            <c:showPercent val="0"/>
            <c:showBubbleSize val="0"/>
            <c:showLeaderLines val="0"/>
          </c:dLbls>
          <c:cat>
            <c:strRef>
              <c:f>Sheet1!$B$1:$E$1</c:f>
              <c:strCache>
                <c:ptCount val="4"/>
                <c:pt idx="0">
                  <c:v>Lehen sektorea</c:v>
                </c:pt>
                <c:pt idx="1">
                  <c:v>Industria</c:v>
                </c:pt>
                <c:pt idx="2">
                  <c:v>Eraikuntza</c:v>
                </c:pt>
                <c:pt idx="3">
                  <c:v>Zerbitzuak</c:v>
                </c:pt>
              </c:strCache>
            </c:strRef>
          </c:cat>
          <c:val>
            <c:numRef>
              <c:f>Sheet1!$B$2:$E$2</c:f>
              <c:numCache>
                <c:formatCode>#,##0</c:formatCode>
                <c:ptCount val="4"/>
                <c:pt idx="0">
                  <c:v>53154</c:v>
                </c:pt>
                <c:pt idx="1">
                  <c:v>94405</c:v>
                </c:pt>
                <c:pt idx="2">
                  <c:v>25474</c:v>
                </c:pt>
                <c:pt idx="3">
                  <c:v>115412</c:v>
                </c:pt>
              </c:numCache>
            </c:numRef>
          </c:val>
        </c:ser>
        <c:dLbls>
          <c:showLegendKey val="0"/>
          <c:showVal val="0"/>
          <c:showCatName val="0"/>
          <c:showSerName val="0"/>
          <c:showPercent val="0"/>
          <c:showBubbleSize val="0"/>
        </c:dLbls>
        <c:gapWidth val="150"/>
        <c:axId val="111229952"/>
        <c:axId val="111231744"/>
      </c:barChart>
      <c:catAx>
        <c:axId val="111229952"/>
        <c:scaling>
          <c:orientation val="minMax"/>
        </c:scaling>
        <c:delete val="0"/>
        <c:axPos val="b"/>
        <c:numFmt formatCode="General" sourceLinked="1"/>
        <c:majorTickMark val="out"/>
        <c:minorTickMark val="none"/>
        <c:tickLblPos val="low"/>
        <c:txPr>
          <a:bodyPr rot="0" vert="horz"/>
          <a:lstStyle/>
          <a:p>
            <a:pPr>
              <a:defRPr/>
            </a:pPr>
            <a:endParaRPr lang="es-ES"/>
          </a:p>
        </c:txPr>
        <c:crossAx val="111231744"/>
        <c:crosses val="autoZero"/>
        <c:auto val="1"/>
        <c:lblAlgn val="ctr"/>
        <c:lblOffset val="100"/>
        <c:tickLblSkip val="1"/>
        <c:tickMarkSkip val="1"/>
        <c:noMultiLvlLbl val="0"/>
      </c:catAx>
      <c:valAx>
        <c:axId val="111231744"/>
        <c:scaling>
          <c:orientation val="minMax"/>
          <c:max val="130000"/>
          <c:min val="0"/>
        </c:scaling>
        <c:delete val="0"/>
        <c:axPos val="l"/>
        <c:majorGridlines/>
        <c:numFmt formatCode="#,##0" sourceLinked="1"/>
        <c:majorTickMark val="out"/>
        <c:minorTickMark val="none"/>
        <c:tickLblPos val="nextTo"/>
        <c:txPr>
          <a:bodyPr rot="0" vert="horz"/>
          <a:lstStyle/>
          <a:p>
            <a:pPr>
              <a:defRPr/>
            </a:pPr>
            <a:endParaRPr lang="es-ES"/>
          </a:p>
        </c:txPr>
        <c:crossAx val="111229952"/>
        <c:crosses val="autoZero"/>
        <c:crossBetween val="between"/>
        <c:majorUnit val="20000"/>
      </c:valAx>
    </c:plotArea>
    <c:plotVisOnly val="1"/>
    <c:dispBlanksAs val="gap"/>
    <c:showDLblsOverMax val="0"/>
  </c:chart>
  <c:spPr>
    <a:noFill/>
    <a:ln>
      <a:noFill/>
    </a:ln>
  </c:spPr>
  <c:txPr>
    <a:bodyPr/>
    <a:lstStyle/>
    <a:p>
      <a:pPr>
        <a:defRPr sz="800">
          <a:latin typeface="Arial" pitchFamily="34" charset="0"/>
          <a:cs typeface="Arial" pitchFamily="34" charset="0"/>
        </a:defRPr>
      </a:pPr>
      <a:endParaRPr lang="es-ES"/>
    </a:p>
  </c:txPr>
  <c:externalData r:id="rId1">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6267190569744643E-2"/>
          <c:y val="0.24175824175824304"/>
          <c:w val="0.88408644400785341"/>
          <c:h val="0.5714285714285775"/>
        </c:manualLayout>
      </c:layout>
      <c:barChart>
        <c:barDir val="col"/>
        <c:grouping val="clustered"/>
        <c:varyColors val="0"/>
        <c:ser>
          <c:idx val="0"/>
          <c:order val="0"/>
          <c:tx>
            <c:strRef>
              <c:f>Sheet1!$A$2</c:f>
              <c:strCache>
                <c:ptCount val="1"/>
              </c:strCache>
            </c:strRef>
          </c:tx>
          <c:spPr>
            <a:solidFill>
              <a:schemeClr val="accent1"/>
            </a:solidFill>
            <a:ln w="12700">
              <a:noFill/>
              <a:prstDash val="solid"/>
            </a:ln>
          </c:spPr>
          <c:invertIfNegative val="0"/>
          <c:dPt>
            <c:idx val="10"/>
            <c:invertIfNegative val="0"/>
            <c:bubble3D val="0"/>
            <c:spPr>
              <a:solidFill>
                <a:schemeClr val="accent1">
                  <a:lumMod val="20000"/>
                  <a:lumOff val="80000"/>
                </a:schemeClr>
              </a:solidFill>
              <a:ln w="12700">
                <a:noFill/>
                <a:prstDash val="solid"/>
              </a:ln>
            </c:spPr>
          </c:dPt>
          <c:dLbls>
            <c:dLbl>
              <c:idx val="0"/>
              <c:layout>
                <c:manualLayout>
                  <c:x val="9.7349380578272797E-3"/>
                  <c:y val="-4.945378822839442E-2"/>
                </c:manualLayout>
              </c:layout>
              <c:showLegendKey val="0"/>
              <c:showVal val="1"/>
              <c:showCatName val="0"/>
              <c:showSerName val="0"/>
              <c:showPercent val="0"/>
              <c:showBubbleSize val="0"/>
            </c:dLbl>
            <c:dLbl>
              <c:idx val="1"/>
              <c:layout>
                <c:manualLayout>
                  <c:x val="5.1421103050588324E-3"/>
                  <c:y val="-4.3807108246084546E-2"/>
                </c:manualLayout>
              </c:layout>
              <c:showLegendKey val="0"/>
              <c:showVal val="1"/>
              <c:showCatName val="0"/>
              <c:showSerName val="0"/>
              <c:showPercent val="0"/>
              <c:showBubbleSize val="0"/>
            </c:dLbl>
            <c:dLbl>
              <c:idx val="2"/>
              <c:layout>
                <c:manualLayout>
                  <c:x val="6.4431921790094352E-3"/>
                  <c:y val="-3.9890746829723579E-2"/>
                </c:manualLayout>
              </c:layout>
              <c:showLegendKey val="0"/>
              <c:showVal val="1"/>
              <c:showCatName val="0"/>
              <c:showSerName val="0"/>
              <c:showPercent val="0"/>
              <c:showBubbleSize val="0"/>
            </c:dLbl>
            <c:dLbl>
              <c:idx val="3"/>
              <c:layout>
                <c:manualLayout>
                  <c:x val="5.779637510720294E-3"/>
                  <c:y val="-2.906001533462154E-2"/>
                </c:manualLayout>
              </c:layout>
              <c:showLegendKey val="0"/>
              <c:showVal val="1"/>
              <c:showCatName val="0"/>
              <c:showSerName val="0"/>
              <c:showPercent val="0"/>
              <c:showBubbleSize val="0"/>
            </c:dLbl>
            <c:dLbl>
              <c:idx val="4"/>
              <c:layout>
                <c:manualLayout>
                  <c:x val="3.1514463001914282E-3"/>
                  <c:y val="-2.8900792449020812E-2"/>
                </c:manualLayout>
              </c:layout>
              <c:showLegendKey val="0"/>
              <c:showVal val="1"/>
              <c:showCatName val="0"/>
              <c:showSerName val="0"/>
              <c:showPercent val="0"/>
              <c:showBubbleSize val="0"/>
            </c:dLbl>
            <c:dLbl>
              <c:idx val="5"/>
              <c:layout>
                <c:manualLayout>
                  <c:x val="8.3818012586214154E-3"/>
                  <c:y val="-4.4614405170507562E-2"/>
                </c:manualLayout>
              </c:layout>
              <c:showLegendKey val="0"/>
              <c:showVal val="1"/>
              <c:showCatName val="0"/>
              <c:showSerName val="0"/>
              <c:showPercent val="0"/>
              <c:showBubbleSize val="0"/>
            </c:dLbl>
            <c:dLbl>
              <c:idx val="6"/>
              <c:layout>
                <c:manualLayout>
                  <c:x val="3.7889735058529508E-3"/>
                  <c:y val="-2.9350844365608166E-2"/>
                </c:manualLayout>
              </c:layout>
              <c:showLegendKey val="0"/>
              <c:showVal val="1"/>
              <c:showCatName val="0"/>
              <c:showSerName val="0"/>
              <c:showPercent val="0"/>
              <c:showBubbleSize val="0"/>
            </c:dLbl>
            <c:dLbl>
              <c:idx val="7"/>
              <c:layout>
                <c:manualLayout>
                  <c:x val="5.0900553798036829E-3"/>
                  <c:y val="-4.5982353167392506E-2"/>
                </c:manualLayout>
              </c:layout>
              <c:showLegendKey val="0"/>
              <c:showVal val="1"/>
              <c:showCatName val="0"/>
              <c:showSerName val="0"/>
              <c:showPercent val="0"/>
              <c:showBubbleSize val="0"/>
            </c:dLbl>
            <c:dLbl>
              <c:idx val="8"/>
              <c:layout>
                <c:manualLayout>
                  <c:x val="6.3911372537540324E-3"/>
                  <c:y val="-3.612192105794465E-2"/>
                </c:manualLayout>
              </c:layout>
              <c:showLegendKey val="0"/>
              <c:showVal val="1"/>
              <c:showCatName val="0"/>
              <c:showSerName val="0"/>
              <c:showPercent val="0"/>
              <c:showBubbleSize val="0"/>
            </c:dLbl>
            <c:dLbl>
              <c:idx val="9"/>
              <c:layout>
                <c:manualLayout>
                  <c:x val="3.762946043225406E-3"/>
                  <c:y val="-1.894901358484026E-2"/>
                </c:manualLayout>
              </c:layout>
              <c:tx>
                <c:rich>
                  <a:bodyPr/>
                  <a:lstStyle/>
                  <a:p>
                    <a:r>
                      <a:rPr lang="es-ES" b="1"/>
                      <a:t>55.809</a:t>
                    </a:r>
                  </a:p>
                </c:rich>
              </c:tx>
              <c:showLegendKey val="0"/>
              <c:showVal val="0"/>
              <c:showCatName val="0"/>
              <c:showSerName val="0"/>
              <c:showPercent val="0"/>
              <c:showBubbleSize val="0"/>
            </c:dLbl>
            <c:spPr>
              <a:noFill/>
              <a:ln w="25400">
                <a:noFill/>
              </a:ln>
            </c:spPr>
            <c:txPr>
              <a:bodyPr/>
              <a:lstStyle/>
              <a:p>
                <a:pPr>
                  <a:defRPr b="1"/>
                </a:pPr>
                <a:endParaRPr lang="es-ES"/>
              </a:p>
            </c:txPr>
            <c:showLegendKey val="0"/>
            <c:showVal val="1"/>
            <c:showCatName val="0"/>
            <c:showSerName val="0"/>
            <c:showPercent val="0"/>
            <c:showBubbleSize val="0"/>
            <c:showLeaderLines val="0"/>
          </c:dLbls>
          <c:cat>
            <c:numRef>
              <c:f>Sheet1!$B$1:$L$1</c:f>
              <c:numCache>
                <c:formatCode>General</c:formatCode>
                <c:ptCount val="11"/>
                <c:pt idx="0">
                  <c:v>1994</c:v>
                </c:pt>
                <c:pt idx="1">
                  <c:v>1996</c:v>
                </c:pt>
                <c:pt idx="2">
                  <c:v>1998</c:v>
                </c:pt>
                <c:pt idx="3">
                  <c:v>2000</c:v>
                </c:pt>
                <c:pt idx="4">
                  <c:v>2002</c:v>
                </c:pt>
                <c:pt idx="5">
                  <c:v>2004</c:v>
                </c:pt>
                <c:pt idx="6">
                  <c:v>2006</c:v>
                </c:pt>
                <c:pt idx="7">
                  <c:v>2008</c:v>
                </c:pt>
                <c:pt idx="8">
                  <c:v>2010</c:v>
                </c:pt>
                <c:pt idx="9">
                  <c:v>2012</c:v>
                </c:pt>
                <c:pt idx="10">
                  <c:v>2013</c:v>
                </c:pt>
              </c:numCache>
            </c:numRef>
          </c:cat>
          <c:val>
            <c:numRef>
              <c:f>Sheet1!$B$2:$L$2</c:f>
              <c:numCache>
                <c:formatCode>#,##0</c:formatCode>
                <c:ptCount val="11"/>
                <c:pt idx="0">
                  <c:v>41867</c:v>
                </c:pt>
                <c:pt idx="1">
                  <c:v>43575</c:v>
                </c:pt>
                <c:pt idx="2">
                  <c:v>48387</c:v>
                </c:pt>
                <c:pt idx="3">
                  <c:v>54259</c:v>
                </c:pt>
                <c:pt idx="4">
                  <c:v>61022</c:v>
                </c:pt>
                <c:pt idx="5">
                  <c:v>61140</c:v>
                </c:pt>
                <c:pt idx="6">
                  <c:v>63480</c:v>
                </c:pt>
                <c:pt idx="7">
                  <c:v>62615</c:v>
                </c:pt>
                <c:pt idx="8">
                  <c:v>59915</c:v>
                </c:pt>
                <c:pt idx="9" formatCode="General">
                  <c:v>55809</c:v>
                </c:pt>
                <c:pt idx="10">
                  <c:v>55851</c:v>
                </c:pt>
              </c:numCache>
            </c:numRef>
          </c:val>
        </c:ser>
        <c:dLbls>
          <c:showLegendKey val="0"/>
          <c:showVal val="0"/>
          <c:showCatName val="0"/>
          <c:showSerName val="0"/>
          <c:showPercent val="0"/>
          <c:showBubbleSize val="0"/>
        </c:dLbls>
        <c:gapWidth val="150"/>
        <c:axId val="111289472"/>
        <c:axId val="111291008"/>
      </c:barChart>
      <c:catAx>
        <c:axId val="111289472"/>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a:pPr>
            <a:endParaRPr lang="es-ES"/>
          </a:p>
        </c:txPr>
        <c:crossAx val="111291008"/>
        <c:crosses val="autoZero"/>
        <c:auto val="1"/>
        <c:lblAlgn val="ctr"/>
        <c:lblOffset val="100"/>
        <c:tickLblSkip val="1"/>
        <c:tickMarkSkip val="1"/>
        <c:noMultiLvlLbl val="0"/>
      </c:catAx>
      <c:valAx>
        <c:axId val="111291008"/>
        <c:scaling>
          <c:orientation val="minMax"/>
          <c:max val="80000"/>
        </c:scaling>
        <c:delete val="0"/>
        <c:axPos val="l"/>
        <c:majorGridlines>
          <c:spPr>
            <a:ln w="12700">
              <a:solidFill>
                <a:srgbClr val="C0C0C0"/>
              </a:solidFill>
              <a:prstDash val="solid"/>
            </a:ln>
          </c:spPr>
        </c:majorGridlines>
        <c:numFmt formatCode="#,##0" sourceLinked="1"/>
        <c:majorTickMark val="out"/>
        <c:minorTickMark val="none"/>
        <c:tickLblPos val="nextTo"/>
        <c:spPr>
          <a:ln w="3175">
            <a:solidFill>
              <a:srgbClr val="000000"/>
            </a:solidFill>
            <a:prstDash val="solid"/>
          </a:ln>
        </c:spPr>
        <c:txPr>
          <a:bodyPr rot="0" vert="horz"/>
          <a:lstStyle/>
          <a:p>
            <a:pPr>
              <a:defRPr/>
            </a:pPr>
            <a:endParaRPr lang="es-ES"/>
          </a:p>
        </c:txPr>
        <c:crossAx val="111289472"/>
        <c:crosses val="autoZero"/>
        <c:crossBetween val="between"/>
        <c:majorUnit val="20000"/>
      </c:valAx>
      <c:spPr>
        <a:noFill/>
        <a:ln w="25400">
          <a:noFill/>
        </a:ln>
      </c:spPr>
    </c:plotArea>
    <c:plotVisOnly val="1"/>
    <c:dispBlanksAs val="gap"/>
    <c:showDLblsOverMax val="0"/>
  </c:chart>
  <c:spPr>
    <a:noFill/>
    <a:ln>
      <a:noFill/>
    </a:ln>
  </c:spPr>
  <c:txPr>
    <a:bodyPr/>
    <a:lstStyle/>
    <a:p>
      <a:pPr>
        <a:defRPr sz="800" b="0" i="0" u="none" strike="noStrike" baseline="0">
          <a:solidFill>
            <a:srgbClr val="000000"/>
          </a:solidFill>
          <a:latin typeface="Arial" pitchFamily="34" charset="0"/>
          <a:ea typeface="Calibri"/>
          <a:cs typeface="Arial" pitchFamily="34" charset="0"/>
        </a:defRPr>
      </a:pPr>
      <a:endParaRPr lang="es-ES"/>
    </a:p>
  </c:txPr>
  <c:externalData r:id="rId1">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6267190569744643E-2"/>
          <c:y val="0.24175824175824359"/>
          <c:w val="0.8840864440078513"/>
          <c:h val="0.57142857142858028"/>
        </c:manualLayout>
      </c:layout>
      <c:barChart>
        <c:barDir val="col"/>
        <c:grouping val="clustered"/>
        <c:varyColors val="0"/>
        <c:ser>
          <c:idx val="0"/>
          <c:order val="0"/>
          <c:tx>
            <c:strRef>
              <c:f>Sheet1!$A$2</c:f>
              <c:strCache>
                <c:ptCount val="1"/>
              </c:strCache>
            </c:strRef>
          </c:tx>
          <c:spPr>
            <a:solidFill>
              <a:schemeClr val="accent1"/>
            </a:solidFill>
            <a:ln w="12700">
              <a:noFill/>
              <a:prstDash val="solid"/>
            </a:ln>
          </c:spPr>
          <c:invertIfNegative val="0"/>
          <c:dPt>
            <c:idx val="7"/>
            <c:invertIfNegative val="0"/>
            <c:bubble3D val="0"/>
            <c:spPr>
              <a:solidFill>
                <a:schemeClr val="accent1">
                  <a:lumMod val="20000"/>
                  <a:lumOff val="80000"/>
                </a:schemeClr>
              </a:solidFill>
              <a:ln w="12700">
                <a:noFill/>
                <a:prstDash val="solid"/>
              </a:ln>
            </c:spPr>
          </c:dPt>
          <c:dLbls>
            <c:txPr>
              <a:bodyPr/>
              <a:lstStyle/>
              <a:p>
                <a:pPr>
                  <a:defRPr b="1"/>
                </a:pPr>
                <a:endParaRPr lang="es-ES"/>
              </a:p>
            </c:txPr>
            <c:showLegendKey val="0"/>
            <c:showVal val="1"/>
            <c:showCatName val="0"/>
            <c:showSerName val="0"/>
            <c:showPercent val="0"/>
            <c:showBubbleSize val="0"/>
            <c:showLeaderLines val="0"/>
          </c:dLbls>
          <c:cat>
            <c:numRef>
              <c:f>Sheet1!$B$1:$I$1</c:f>
              <c:numCache>
                <c:formatCode>General</c:formatCode>
                <c:ptCount val="8"/>
                <c:pt idx="0">
                  <c:v>2006</c:v>
                </c:pt>
                <c:pt idx="1">
                  <c:v>2007</c:v>
                </c:pt>
                <c:pt idx="2">
                  <c:v>2008</c:v>
                </c:pt>
                <c:pt idx="3">
                  <c:v>2009</c:v>
                </c:pt>
                <c:pt idx="4">
                  <c:v>2010</c:v>
                </c:pt>
                <c:pt idx="5">
                  <c:v>2011</c:v>
                </c:pt>
                <c:pt idx="6">
                  <c:v>2012</c:v>
                </c:pt>
                <c:pt idx="7">
                  <c:v>2013</c:v>
                </c:pt>
              </c:numCache>
            </c:numRef>
          </c:cat>
          <c:val>
            <c:numRef>
              <c:f>Sheet1!$B$2:$I$2</c:f>
              <c:numCache>
                <c:formatCode>#,##0</c:formatCode>
                <c:ptCount val="8"/>
                <c:pt idx="0">
                  <c:v>9523957</c:v>
                </c:pt>
                <c:pt idx="1">
                  <c:v>10314878</c:v>
                </c:pt>
                <c:pt idx="2">
                  <c:v>9757100</c:v>
                </c:pt>
                <c:pt idx="3">
                  <c:v>9205115</c:v>
                </c:pt>
                <c:pt idx="4">
                  <c:v>8563275</c:v>
                </c:pt>
                <c:pt idx="5">
                  <c:v>9109612</c:v>
                </c:pt>
                <c:pt idx="6">
                  <c:v>8283006</c:v>
                </c:pt>
                <c:pt idx="7">
                  <c:v>8304498</c:v>
                </c:pt>
              </c:numCache>
            </c:numRef>
          </c:val>
        </c:ser>
        <c:dLbls>
          <c:showLegendKey val="0"/>
          <c:showVal val="0"/>
          <c:showCatName val="0"/>
          <c:showSerName val="0"/>
          <c:showPercent val="0"/>
          <c:showBubbleSize val="0"/>
        </c:dLbls>
        <c:gapWidth val="150"/>
        <c:axId val="109582976"/>
        <c:axId val="109588864"/>
      </c:barChart>
      <c:catAx>
        <c:axId val="109582976"/>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a:pPr>
            <a:endParaRPr lang="es-ES"/>
          </a:p>
        </c:txPr>
        <c:crossAx val="109588864"/>
        <c:crosses val="autoZero"/>
        <c:auto val="1"/>
        <c:lblAlgn val="ctr"/>
        <c:lblOffset val="100"/>
        <c:tickLblSkip val="1"/>
        <c:tickMarkSkip val="1"/>
        <c:noMultiLvlLbl val="0"/>
      </c:catAx>
      <c:valAx>
        <c:axId val="109588864"/>
        <c:scaling>
          <c:orientation val="minMax"/>
          <c:max val="10316000"/>
          <c:min val="0"/>
        </c:scaling>
        <c:delete val="0"/>
        <c:axPos val="l"/>
        <c:majorGridlines>
          <c:spPr>
            <a:ln w="12700">
              <a:solidFill>
                <a:srgbClr val="C0C0C0"/>
              </a:solidFill>
              <a:prstDash val="solid"/>
            </a:ln>
          </c:spPr>
        </c:majorGridlines>
        <c:numFmt formatCode="#,##0" sourceLinked="1"/>
        <c:majorTickMark val="out"/>
        <c:minorTickMark val="none"/>
        <c:tickLblPos val="nextTo"/>
        <c:spPr>
          <a:ln w="3175">
            <a:solidFill>
              <a:srgbClr val="000000"/>
            </a:solidFill>
            <a:prstDash val="solid"/>
          </a:ln>
        </c:spPr>
        <c:txPr>
          <a:bodyPr rot="0" vert="horz"/>
          <a:lstStyle/>
          <a:p>
            <a:pPr>
              <a:defRPr/>
            </a:pPr>
            <a:endParaRPr lang="es-ES"/>
          </a:p>
        </c:txPr>
        <c:crossAx val="109582976"/>
        <c:crosses val="autoZero"/>
        <c:crossBetween val="between"/>
        <c:majorUnit val="2000000"/>
        <c:minorUnit val="400000"/>
      </c:valAx>
      <c:spPr>
        <a:noFill/>
        <a:ln w="25400">
          <a:noFill/>
        </a:ln>
      </c:spPr>
    </c:plotArea>
    <c:plotVisOnly val="1"/>
    <c:dispBlanksAs val="gap"/>
    <c:showDLblsOverMax val="0"/>
  </c:chart>
  <c:spPr>
    <a:noFill/>
    <a:ln>
      <a:noFill/>
    </a:ln>
  </c:spPr>
  <c:txPr>
    <a:bodyPr/>
    <a:lstStyle/>
    <a:p>
      <a:pPr>
        <a:defRPr sz="800" b="0" i="0" u="none" strike="noStrike" baseline="0">
          <a:solidFill>
            <a:srgbClr val="000000"/>
          </a:solidFill>
          <a:latin typeface="Arial" pitchFamily="34" charset="0"/>
          <a:ea typeface="Calibri"/>
          <a:cs typeface="Arial" pitchFamily="34" charset="0"/>
        </a:defRPr>
      </a:pPr>
      <a:endParaRPr lang="es-ES"/>
    </a:p>
  </c:txPr>
  <c:externalData r:id="rId1">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Hoja1!$B$1</c:f>
              <c:strCache>
                <c:ptCount val="1"/>
                <c:pt idx="0">
                  <c:v>Serie 1</c:v>
                </c:pt>
              </c:strCache>
            </c:strRef>
          </c:tx>
          <c:invertIfNegative val="0"/>
          <c:dLbls>
            <c:dLbl>
              <c:idx val="0"/>
              <c:layout/>
              <c:tx>
                <c:rich>
                  <a:bodyPr/>
                  <a:lstStyle/>
                  <a:p>
                    <a:r>
                      <a:rPr lang="es-ES"/>
                      <a:t>% 50,7</a:t>
                    </a:r>
                  </a:p>
                </c:rich>
              </c:tx>
              <c:showLegendKey val="0"/>
              <c:showVal val="0"/>
              <c:showCatName val="0"/>
              <c:showSerName val="0"/>
              <c:showPercent val="0"/>
              <c:showBubbleSize val="0"/>
            </c:dLbl>
            <c:dLbl>
              <c:idx val="1"/>
              <c:layout/>
              <c:tx>
                <c:rich>
                  <a:bodyPr/>
                  <a:lstStyle/>
                  <a:p>
                    <a:r>
                      <a:rPr lang="es-ES"/>
                      <a:t>% 50</a:t>
                    </a:r>
                  </a:p>
                </c:rich>
              </c:tx>
              <c:showLegendKey val="0"/>
              <c:showVal val="0"/>
              <c:showCatName val="0"/>
              <c:showSerName val="0"/>
              <c:showPercent val="0"/>
              <c:showBubbleSize val="0"/>
            </c:dLbl>
            <c:dLbl>
              <c:idx val="2"/>
              <c:layout/>
              <c:tx>
                <c:rich>
                  <a:bodyPr/>
                  <a:lstStyle/>
                  <a:p>
                    <a:r>
                      <a:rPr lang="es-ES"/>
                      <a:t>% 39,1</a:t>
                    </a:r>
                  </a:p>
                </c:rich>
              </c:tx>
              <c:showLegendKey val="0"/>
              <c:showVal val="0"/>
              <c:showCatName val="0"/>
              <c:showSerName val="0"/>
              <c:showPercent val="0"/>
              <c:showBubbleSize val="0"/>
            </c:dLbl>
            <c:dLbl>
              <c:idx val="3"/>
              <c:layout/>
              <c:tx>
                <c:rich>
                  <a:bodyPr/>
                  <a:lstStyle/>
                  <a:p>
                    <a:r>
                      <a:rPr lang="es-ES"/>
                      <a:t>% 37,6</a:t>
                    </a:r>
                  </a:p>
                </c:rich>
              </c:tx>
              <c:showLegendKey val="0"/>
              <c:showVal val="0"/>
              <c:showCatName val="0"/>
              <c:showSerName val="0"/>
              <c:showPercent val="0"/>
              <c:showBubbleSize val="0"/>
            </c:dLbl>
            <c:dLbl>
              <c:idx val="4"/>
              <c:layout/>
              <c:tx>
                <c:rich>
                  <a:bodyPr/>
                  <a:lstStyle/>
                  <a:p>
                    <a:r>
                      <a:rPr lang="es-ES"/>
                      <a:t>% 36,9</a:t>
                    </a:r>
                  </a:p>
                </c:rich>
              </c:tx>
              <c:showLegendKey val="0"/>
              <c:showVal val="0"/>
              <c:showCatName val="0"/>
              <c:showSerName val="0"/>
              <c:showPercent val="0"/>
              <c:showBubbleSize val="0"/>
            </c:dLbl>
            <c:dLbl>
              <c:idx val="5"/>
              <c:layout/>
              <c:tx>
                <c:rich>
                  <a:bodyPr/>
                  <a:lstStyle/>
                  <a:p>
                    <a:r>
                      <a:rPr lang="es-ES"/>
                      <a:t>% 35,3</a:t>
                    </a:r>
                  </a:p>
                </c:rich>
              </c:tx>
              <c:showLegendKey val="0"/>
              <c:showVal val="0"/>
              <c:showCatName val="0"/>
              <c:showSerName val="0"/>
              <c:showPercent val="0"/>
              <c:showBubbleSize val="0"/>
            </c:dLbl>
            <c:dLbl>
              <c:idx val="6"/>
              <c:layout/>
              <c:tx>
                <c:rich>
                  <a:bodyPr/>
                  <a:lstStyle/>
                  <a:p>
                    <a:r>
                      <a:rPr lang="es-ES"/>
                      <a:t>% 6,7</a:t>
                    </a:r>
                  </a:p>
                </c:rich>
              </c:tx>
              <c:showLegendKey val="0"/>
              <c:showVal val="0"/>
              <c:showCatName val="0"/>
              <c:showSerName val="0"/>
              <c:showPercent val="0"/>
              <c:showBubbleSize val="0"/>
            </c:dLbl>
            <c:spPr>
              <a:noFill/>
              <a:ln w="18696">
                <a:noFill/>
              </a:ln>
            </c:spPr>
            <c:showLegendKey val="0"/>
            <c:showVal val="1"/>
            <c:showCatName val="0"/>
            <c:showSerName val="0"/>
            <c:showPercent val="0"/>
            <c:showBubbleSize val="0"/>
            <c:showLeaderLines val="0"/>
          </c:dLbls>
          <c:cat>
            <c:strRef>
              <c:f>Hoja1!$A$2:$A$8</c:f>
              <c:strCache>
                <c:ptCount val="7"/>
                <c:pt idx="0">
                  <c:v>Soldata-doikuntza edota pertsonal- eta ordutegi-doikuntza edota lankidetza-akordioak</c:v>
                </c:pt>
                <c:pt idx="1">
                  <c:v>Soldata-doikuntza edota pertsonal- eta ordutegi-doikuntza</c:v>
                </c:pt>
                <c:pt idx="2">
                  <c:v>Pertsonal-doikuntza edota lankidetza-akordioak</c:v>
                </c:pt>
                <c:pt idx="3">
                  <c:v>Soldata-doikuntza edota lankidetza-akordioak</c:v>
                </c:pt>
                <c:pt idx="4">
                  <c:v>Pertsonal-doikuntza edota lankidetza-akordioak</c:v>
                </c:pt>
                <c:pt idx="5">
                  <c:v>Soldata-doikuntza</c:v>
                </c:pt>
                <c:pt idx="6">
                  <c:v>Kooperatiben arteko lankidetza-akordio solidarioak</c:v>
                </c:pt>
              </c:strCache>
            </c:strRef>
          </c:cat>
          <c:val>
            <c:numRef>
              <c:f>Hoja1!$B$2:$B$8</c:f>
              <c:numCache>
                <c:formatCode>General</c:formatCode>
                <c:ptCount val="7"/>
                <c:pt idx="0">
                  <c:v>50.7</c:v>
                </c:pt>
                <c:pt idx="1">
                  <c:v>50</c:v>
                </c:pt>
                <c:pt idx="2">
                  <c:v>39.1</c:v>
                </c:pt>
                <c:pt idx="3">
                  <c:v>37.6</c:v>
                </c:pt>
                <c:pt idx="4">
                  <c:v>36.9</c:v>
                </c:pt>
                <c:pt idx="5">
                  <c:v>35.300000000000004</c:v>
                </c:pt>
                <c:pt idx="6">
                  <c:v>6.7</c:v>
                </c:pt>
              </c:numCache>
            </c:numRef>
          </c:val>
        </c:ser>
        <c:dLbls>
          <c:showLegendKey val="0"/>
          <c:showVal val="0"/>
          <c:showCatName val="0"/>
          <c:showSerName val="0"/>
          <c:showPercent val="0"/>
          <c:showBubbleSize val="0"/>
        </c:dLbls>
        <c:gapWidth val="150"/>
        <c:axId val="109633920"/>
        <c:axId val="109635456"/>
      </c:barChart>
      <c:catAx>
        <c:axId val="109633920"/>
        <c:scaling>
          <c:orientation val="minMax"/>
        </c:scaling>
        <c:delete val="0"/>
        <c:axPos val="l"/>
        <c:numFmt formatCode="General" sourceLinked="1"/>
        <c:majorTickMark val="out"/>
        <c:minorTickMark val="none"/>
        <c:tickLblPos val="nextTo"/>
        <c:crossAx val="109635456"/>
        <c:crosses val="autoZero"/>
        <c:auto val="1"/>
        <c:lblAlgn val="ctr"/>
        <c:lblOffset val="100"/>
        <c:noMultiLvlLbl val="0"/>
      </c:catAx>
      <c:valAx>
        <c:axId val="109635456"/>
        <c:scaling>
          <c:orientation val="minMax"/>
        </c:scaling>
        <c:delete val="0"/>
        <c:axPos val="b"/>
        <c:majorGridlines>
          <c:spPr>
            <a:ln>
              <a:solidFill>
                <a:srgbClr val="C0C0C0"/>
              </a:solidFill>
            </a:ln>
          </c:spPr>
        </c:majorGridlines>
        <c:numFmt formatCode="General" sourceLinked="1"/>
        <c:majorTickMark val="out"/>
        <c:minorTickMark val="none"/>
        <c:tickLblPos val="nextTo"/>
        <c:crossAx val="109633920"/>
        <c:crosses val="autoZero"/>
        <c:crossBetween val="between"/>
      </c:valAx>
    </c:plotArea>
    <c:plotVisOnly val="1"/>
    <c:dispBlanksAs val="gap"/>
    <c:showDLblsOverMax val="0"/>
  </c:chart>
  <c:spPr>
    <a:ln>
      <a:noFill/>
    </a:ln>
  </c:spPr>
  <c:txPr>
    <a:bodyPr/>
    <a:lstStyle/>
    <a:p>
      <a:pPr>
        <a:defRPr sz="800">
          <a:latin typeface="Arial" pitchFamily="34" charset="0"/>
          <a:cs typeface="Arial" pitchFamily="34" charset="0"/>
        </a:defRPr>
      </a:pPr>
      <a:endParaRPr lang="es-ES"/>
    </a:p>
  </c:txPr>
  <c:externalData r:id="rId2">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52409550011067962"/>
          <c:y val="6.9565217391304404E-2"/>
          <c:w val="0.38625532049457678"/>
          <c:h val="0.81726577656054344"/>
        </c:manualLayout>
      </c:layout>
      <c:barChart>
        <c:barDir val="bar"/>
        <c:grouping val="clustered"/>
        <c:varyColors val="0"/>
        <c:ser>
          <c:idx val="0"/>
          <c:order val="0"/>
          <c:tx>
            <c:strRef>
              <c:f>Hoja1!$B$1</c:f>
              <c:strCache>
                <c:ptCount val="1"/>
                <c:pt idx="0">
                  <c:v>Serie 1</c:v>
                </c:pt>
              </c:strCache>
            </c:strRef>
          </c:tx>
          <c:invertIfNegative val="0"/>
          <c:dLbls>
            <c:dLbl>
              <c:idx val="0"/>
              <c:layout/>
              <c:tx>
                <c:rich>
                  <a:bodyPr/>
                  <a:lstStyle/>
                  <a:p>
                    <a:r>
                      <a:rPr lang="es-ES"/>
                      <a:t>% 28,8</a:t>
                    </a:r>
                  </a:p>
                </c:rich>
              </c:tx>
              <c:showLegendKey val="0"/>
              <c:showVal val="0"/>
              <c:showCatName val="0"/>
              <c:showSerName val="0"/>
              <c:showPercent val="0"/>
              <c:showBubbleSize val="0"/>
            </c:dLbl>
            <c:dLbl>
              <c:idx val="1"/>
              <c:layout/>
              <c:tx>
                <c:rich>
                  <a:bodyPr/>
                  <a:lstStyle/>
                  <a:p>
                    <a:r>
                      <a:rPr lang="es-ES"/>
                      <a:t>% 19,5</a:t>
                    </a:r>
                  </a:p>
                </c:rich>
              </c:tx>
              <c:showLegendKey val="0"/>
              <c:showVal val="0"/>
              <c:showCatName val="0"/>
              <c:showSerName val="0"/>
              <c:showPercent val="0"/>
              <c:showBubbleSize val="0"/>
            </c:dLbl>
            <c:dLbl>
              <c:idx val="2"/>
              <c:layout/>
              <c:tx>
                <c:rich>
                  <a:bodyPr/>
                  <a:lstStyle/>
                  <a:p>
                    <a:r>
                      <a:rPr lang="es-ES"/>
                      <a:t>% 3,4</a:t>
                    </a:r>
                  </a:p>
                </c:rich>
              </c:tx>
              <c:showLegendKey val="0"/>
              <c:showVal val="0"/>
              <c:showCatName val="0"/>
              <c:showSerName val="0"/>
              <c:showPercent val="0"/>
              <c:showBubbleSize val="0"/>
            </c:dLbl>
            <c:dLbl>
              <c:idx val="3"/>
              <c:layout/>
              <c:tx>
                <c:rich>
                  <a:bodyPr/>
                  <a:lstStyle/>
                  <a:p>
                    <a:r>
                      <a:rPr lang="es-ES"/>
                      <a:t>% 5</a:t>
                    </a:r>
                  </a:p>
                </c:rich>
              </c:tx>
              <c:showLegendKey val="0"/>
              <c:showVal val="0"/>
              <c:showCatName val="0"/>
              <c:showSerName val="0"/>
              <c:showPercent val="0"/>
              <c:showBubbleSize val="0"/>
            </c:dLbl>
            <c:spPr>
              <a:noFill/>
              <a:ln w="15241">
                <a:noFill/>
              </a:ln>
            </c:spPr>
            <c:showLegendKey val="0"/>
            <c:showVal val="1"/>
            <c:showCatName val="0"/>
            <c:showSerName val="0"/>
            <c:showPercent val="0"/>
            <c:showBubbleSize val="0"/>
            <c:showLeaderLines val="0"/>
          </c:dLbls>
          <c:cat>
            <c:strRef>
              <c:f>Hoja1!$A$2:$A$5</c:f>
              <c:strCache>
                <c:ptCount val="4"/>
                <c:pt idx="0">
                  <c:v>Hileko ordainsaria txikitzea</c:v>
                </c:pt>
                <c:pt idx="1">
                  <c:v>Aparteko ordainsaria txikitzea/kentzea</c:v>
                </c:pt>
                <c:pt idx="2">
                  <c:v>Bazkideen ekarpenen interesak kapitalizatzea</c:v>
                </c:pt>
                <c:pt idx="3">
                  <c:v>Beste batzuk</c:v>
                </c:pt>
              </c:strCache>
            </c:strRef>
          </c:cat>
          <c:val>
            <c:numRef>
              <c:f>Hoja1!$B$2:$B$5</c:f>
              <c:numCache>
                <c:formatCode>General</c:formatCode>
                <c:ptCount val="4"/>
                <c:pt idx="0">
                  <c:v>28.8</c:v>
                </c:pt>
                <c:pt idx="1">
                  <c:v>19.5</c:v>
                </c:pt>
                <c:pt idx="2">
                  <c:v>3.4</c:v>
                </c:pt>
                <c:pt idx="3">
                  <c:v>5</c:v>
                </c:pt>
              </c:numCache>
            </c:numRef>
          </c:val>
        </c:ser>
        <c:dLbls>
          <c:showLegendKey val="0"/>
          <c:showVal val="0"/>
          <c:showCatName val="0"/>
          <c:showSerName val="0"/>
          <c:showPercent val="0"/>
          <c:showBubbleSize val="0"/>
        </c:dLbls>
        <c:gapWidth val="150"/>
        <c:axId val="123794944"/>
        <c:axId val="123796480"/>
      </c:barChart>
      <c:catAx>
        <c:axId val="123794944"/>
        <c:scaling>
          <c:orientation val="minMax"/>
        </c:scaling>
        <c:delete val="0"/>
        <c:axPos val="l"/>
        <c:numFmt formatCode="General" sourceLinked="1"/>
        <c:majorTickMark val="out"/>
        <c:minorTickMark val="none"/>
        <c:tickLblPos val="nextTo"/>
        <c:crossAx val="123796480"/>
        <c:crosses val="autoZero"/>
        <c:auto val="1"/>
        <c:lblAlgn val="ctr"/>
        <c:lblOffset val="100"/>
        <c:noMultiLvlLbl val="0"/>
      </c:catAx>
      <c:valAx>
        <c:axId val="123796480"/>
        <c:scaling>
          <c:orientation val="minMax"/>
          <c:max val="30"/>
        </c:scaling>
        <c:delete val="0"/>
        <c:axPos val="b"/>
        <c:majorGridlines>
          <c:spPr>
            <a:ln>
              <a:solidFill>
                <a:schemeClr val="bg2"/>
              </a:solidFill>
            </a:ln>
          </c:spPr>
        </c:majorGridlines>
        <c:numFmt formatCode="General" sourceLinked="1"/>
        <c:majorTickMark val="out"/>
        <c:minorTickMark val="none"/>
        <c:tickLblPos val="nextTo"/>
        <c:crossAx val="123794944"/>
        <c:crosses val="autoZero"/>
        <c:crossBetween val="between"/>
      </c:valAx>
    </c:plotArea>
    <c:plotVisOnly val="1"/>
    <c:dispBlanksAs val="gap"/>
    <c:showDLblsOverMax val="0"/>
  </c:chart>
  <c:spPr>
    <a:ln>
      <a:noFill/>
    </a:ln>
  </c:spPr>
  <c:txPr>
    <a:bodyPr/>
    <a:lstStyle/>
    <a:p>
      <a:pPr>
        <a:defRPr sz="800">
          <a:latin typeface="Arial" pitchFamily="34" charset="0"/>
          <a:cs typeface="Arial" pitchFamily="34" charset="0"/>
        </a:defRPr>
      </a:pPr>
      <a:endParaRPr lang="es-ES"/>
    </a:p>
  </c:txPr>
  <c:externalData r:id="rId2">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52534562211981706"/>
          <c:y val="6.9518716577540121E-2"/>
          <c:w val="0.42165898617511532"/>
          <c:h val="0.78074866310160462"/>
        </c:manualLayout>
      </c:layout>
      <c:barChart>
        <c:barDir val="bar"/>
        <c:grouping val="clustered"/>
        <c:varyColors val="0"/>
        <c:ser>
          <c:idx val="0"/>
          <c:order val="0"/>
          <c:tx>
            <c:strRef>
              <c:f>Hoja1!$B$1</c:f>
              <c:strCache>
                <c:ptCount val="1"/>
                <c:pt idx="0">
                  <c:v>Serie 1</c:v>
                </c:pt>
              </c:strCache>
            </c:strRef>
          </c:tx>
          <c:invertIfNegative val="0"/>
          <c:dLbls>
            <c:dLbl>
              <c:idx val="0"/>
              <c:layout/>
              <c:tx>
                <c:rich>
                  <a:bodyPr/>
                  <a:lstStyle/>
                  <a:p>
                    <a:r>
                      <a:rPr lang="es-ES"/>
                      <a:t>% 23</a:t>
                    </a:r>
                  </a:p>
                </c:rich>
              </c:tx>
              <c:showLegendKey val="0"/>
              <c:showVal val="0"/>
              <c:showCatName val="0"/>
              <c:showSerName val="0"/>
              <c:showPercent val="0"/>
              <c:showBubbleSize val="0"/>
            </c:dLbl>
            <c:dLbl>
              <c:idx val="1"/>
              <c:layout/>
              <c:tx>
                <c:rich>
                  <a:bodyPr/>
                  <a:lstStyle/>
                  <a:p>
                    <a:r>
                      <a:rPr lang="es-ES"/>
                      <a:t>% 9,6</a:t>
                    </a:r>
                  </a:p>
                </c:rich>
              </c:tx>
              <c:showLegendKey val="0"/>
              <c:showVal val="0"/>
              <c:showCatName val="0"/>
              <c:showSerName val="0"/>
              <c:showPercent val="0"/>
              <c:showBubbleSize val="0"/>
            </c:dLbl>
            <c:dLbl>
              <c:idx val="2"/>
              <c:layout/>
              <c:tx>
                <c:rich>
                  <a:bodyPr/>
                  <a:lstStyle/>
                  <a:p>
                    <a:r>
                      <a:rPr lang="es-ES"/>
                      <a:t>% 8,6</a:t>
                    </a:r>
                  </a:p>
                </c:rich>
              </c:tx>
              <c:showLegendKey val="0"/>
              <c:showVal val="0"/>
              <c:showCatName val="0"/>
              <c:showSerName val="0"/>
              <c:showPercent val="0"/>
              <c:showBubbleSize val="0"/>
            </c:dLbl>
            <c:dLbl>
              <c:idx val="3"/>
              <c:layout/>
              <c:tx>
                <c:rich>
                  <a:bodyPr/>
                  <a:lstStyle/>
                  <a:p>
                    <a:r>
                      <a:rPr lang="es-ES"/>
                      <a:t>% 7,2</a:t>
                    </a:r>
                  </a:p>
                </c:rich>
              </c:tx>
              <c:showLegendKey val="0"/>
              <c:showVal val="0"/>
              <c:showCatName val="0"/>
              <c:showSerName val="0"/>
              <c:showPercent val="0"/>
              <c:showBubbleSize val="0"/>
            </c:dLbl>
            <c:dLbl>
              <c:idx val="4"/>
              <c:layout/>
              <c:tx>
                <c:rich>
                  <a:bodyPr/>
                  <a:lstStyle/>
                  <a:p>
                    <a:r>
                      <a:rPr lang="es-ES"/>
                      <a:t>% 6,5</a:t>
                    </a:r>
                  </a:p>
                </c:rich>
              </c:tx>
              <c:showLegendKey val="0"/>
              <c:showVal val="0"/>
              <c:showCatName val="0"/>
              <c:showSerName val="0"/>
              <c:showPercent val="0"/>
              <c:showBubbleSize val="0"/>
            </c:dLbl>
            <c:dLbl>
              <c:idx val="5"/>
              <c:layout/>
              <c:tx>
                <c:rich>
                  <a:bodyPr/>
                  <a:lstStyle/>
                  <a:p>
                    <a:r>
                      <a:rPr lang="es-ES"/>
                      <a:t>% 2,3</a:t>
                    </a:r>
                  </a:p>
                </c:rich>
              </c:tx>
              <c:showLegendKey val="0"/>
              <c:showVal val="0"/>
              <c:showCatName val="0"/>
              <c:showSerName val="0"/>
              <c:showPercent val="0"/>
              <c:showBubbleSize val="0"/>
            </c:dLbl>
            <c:spPr>
              <a:noFill/>
              <a:ln w="15858">
                <a:noFill/>
              </a:ln>
            </c:spPr>
            <c:showLegendKey val="0"/>
            <c:showVal val="1"/>
            <c:showCatName val="0"/>
            <c:showSerName val="0"/>
            <c:showPercent val="0"/>
            <c:showBubbleSize val="0"/>
            <c:showLeaderLines val="0"/>
          </c:dLbls>
          <c:cat>
            <c:strRef>
              <c:f>Hoja1!$A$2:$A$7</c:f>
              <c:strCache>
                <c:ptCount val="6"/>
                <c:pt idx="0">
                  <c:v>Soldatapekoak gutxitzea</c:v>
                </c:pt>
                <c:pt idx="1">
                  <c:v>Lanaldia laburtzea</c:v>
                </c:pt>
                <c:pt idx="2">
                  <c:v>Aurretiko erretiroak</c:v>
                </c:pt>
                <c:pt idx="3">
                  <c:v>Lan egindako orduak gehitzea</c:v>
                </c:pt>
                <c:pt idx="4">
                  <c:v>Egutegi mugikorra - Langileen urteko orduen poltsa sortzea</c:v>
                </c:pt>
                <c:pt idx="5">
                  <c:v>Beste batzuk</c:v>
                </c:pt>
              </c:strCache>
            </c:strRef>
          </c:cat>
          <c:val>
            <c:numRef>
              <c:f>Hoja1!$B$2:$B$7</c:f>
              <c:numCache>
                <c:formatCode>General</c:formatCode>
                <c:ptCount val="6"/>
                <c:pt idx="0">
                  <c:v>23</c:v>
                </c:pt>
                <c:pt idx="1">
                  <c:v>9.6</c:v>
                </c:pt>
                <c:pt idx="2">
                  <c:v>8.6</c:v>
                </c:pt>
                <c:pt idx="3">
                  <c:v>7.2</c:v>
                </c:pt>
                <c:pt idx="4">
                  <c:v>6.5</c:v>
                </c:pt>
                <c:pt idx="5">
                  <c:v>2.2999999999999998</c:v>
                </c:pt>
              </c:numCache>
            </c:numRef>
          </c:val>
        </c:ser>
        <c:dLbls>
          <c:showLegendKey val="0"/>
          <c:showVal val="0"/>
          <c:showCatName val="0"/>
          <c:showSerName val="0"/>
          <c:showPercent val="0"/>
          <c:showBubbleSize val="0"/>
        </c:dLbls>
        <c:gapWidth val="150"/>
        <c:axId val="123841152"/>
        <c:axId val="123847040"/>
      </c:barChart>
      <c:catAx>
        <c:axId val="123841152"/>
        <c:scaling>
          <c:orientation val="minMax"/>
        </c:scaling>
        <c:delete val="0"/>
        <c:axPos val="l"/>
        <c:numFmt formatCode="General" sourceLinked="1"/>
        <c:majorTickMark val="out"/>
        <c:minorTickMark val="none"/>
        <c:tickLblPos val="nextTo"/>
        <c:crossAx val="123847040"/>
        <c:crosses val="autoZero"/>
        <c:auto val="1"/>
        <c:lblAlgn val="ctr"/>
        <c:lblOffset val="100"/>
        <c:noMultiLvlLbl val="0"/>
      </c:catAx>
      <c:valAx>
        <c:axId val="123847040"/>
        <c:scaling>
          <c:orientation val="minMax"/>
        </c:scaling>
        <c:delete val="0"/>
        <c:axPos val="b"/>
        <c:majorGridlines>
          <c:spPr>
            <a:ln>
              <a:solidFill>
                <a:schemeClr val="bg2"/>
              </a:solidFill>
            </a:ln>
          </c:spPr>
        </c:majorGridlines>
        <c:numFmt formatCode="General" sourceLinked="1"/>
        <c:majorTickMark val="out"/>
        <c:minorTickMark val="none"/>
        <c:tickLblPos val="nextTo"/>
        <c:crossAx val="123841152"/>
        <c:crosses val="autoZero"/>
        <c:crossBetween val="between"/>
      </c:valAx>
    </c:plotArea>
    <c:plotVisOnly val="1"/>
    <c:dispBlanksAs val="gap"/>
    <c:showDLblsOverMax val="0"/>
  </c:chart>
  <c:spPr>
    <a:ln>
      <a:noFill/>
    </a:ln>
  </c:spPr>
  <c:txPr>
    <a:bodyPr/>
    <a:lstStyle/>
    <a:p>
      <a:pPr>
        <a:defRPr sz="800">
          <a:latin typeface="Arial" pitchFamily="34" charset="0"/>
          <a:cs typeface="Arial" pitchFamily="34" charset="0"/>
        </a:defRPr>
      </a:pPr>
      <a:endParaRPr lang="es-ES"/>
    </a:p>
  </c:txPr>
  <c:externalData r:id="rId2">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Hoja1!$B$1</c:f>
              <c:strCache>
                <c:ptCount val="1"/>
                <c:pt idx="0">
                  <c:v>Serie 1</c:v>
                </c:pt>
              </c:strCache>
            </c:strRef>
          </c:tx>
          <c:invertIfNegative val="0"/>
          <c:dLbls>
            <c:dLbl>
              <c:idx val="0"/>
              <c:layout/>
              <c:tx>
                <c:rich>
                  <a:bodyPr/>
                  <a:lstStyle/>
                  <a:p>
                    <a:r>
                      <a:rPr lang="es-ES"/>
                      <a:t>% 4,2</a:t>
                    </a:r>
                  </a:p>
                </c:rich>
              </c:tx>
              <c:showLegendKey val="0"/>
              <c:showVal val="0"/>
              <c:showCatName val="0"/>
              <c:showSerName val="0"/>
              <c:showPercent val="0"/>
              <c:showBubbleSize val="0"/>
            </c:dLbl>
            <c:dLbl>
              <c:idx val="1"/>
              <c:layout/>
              <c:tx>
                <c:rich>
                  <a:bodyPr/>
                  <a:lstStyle/>
                  <a:p>
                    <a:r>
                      <a:rPr lang="es-ES"/>
                      <a:t>% 3,6</a:t>
                    </a:r>
                  </a:p>
                </c:rich>
              </c:tx>
              <c:showLegendKey val="0"/>
              <c:showVal val="0"/>
              <c:showCatName val="0"/>
              <c:showSerName val="0"/>
              <c:showPercent val="0"/>
              <c:showBubbleSize val="0"/>
            </c:dLbl>
            <c:dLbl>
              <c:idx val="2"/>
              <c:layout/>
              <c:tx>
                <c:rich>
                  <a:bodyPr/>
                  <a:lstStyle/>
                  <a:p>
                    <a:r>
                      <a:rPr lang="es-ES"/>
                      <a:t>% 2,7</a:t>
                    </a:r>
                  </a:p>
                </c:rich>
              </c:tx>
              <c:showLegendKey val="0"/>
              <c:showVal val="0"/>
              <c:showCatName val="0"/>
              <c:showSerName val="0"/>
              <c:showPercent val="0"/>
              <c:showBubbleSize val="0"/>
            </c:dLbl>
            <c:dLbl>
              <c:idx val="3"/>
              <c:layout/>
              <c:tx>
                <c:rich>
                  <a:bodyPr/>
                  <a:lstStyle/>
                  <a:p>
                    <a:r>
                      <a:rPr lang="es-ES"/>
                      <a:t>% 0,3</a:t>
                    </a:r>
                  </a:p>
                </c:rich>
              </c:tx>
              <c:showLegendKey val="0"/>
              <c:showVal val="0"/>
              <c:showCatName val="0"/>
              <c:showSerName val="0"/>
              <c:showPercent val="0"/>
              <c:showBubbleSize val="0"/>
            </c:dLbl>
            <c:dLbl>
              <c:idx val="4"/>
              <c:layout/>
              <c:tx>
                <c:rich>
                  <a:bodyPr/>
                  <a:lstStyle/>
                  <a:p>
                    <a:r>
                      <a:rPr lang="es-ES"/>
                      <a:t>% 1</a:t>
                    </a:r>
                  </a:p>
                </c:rich>
              </c:tx>
              <c:showLegendKey val="0"/>
              <c:showVal val="0"/>
              <c:showCatName val="0"/>
              <c:showSerName val="0"/>
              <c:showPercent val="0"/>
              <c:showBubbleSize val="0"/>
            </c:dLbl>
            <c:spPr>
              <a:noFill/>
              <a:ln w="16060">
                <a:noFill/>
              </a:ln>
            </c:spPr>
            <c:showLegendKey val="0"/>
            <c:showVal val="1"/>
            <c:showCatName val="0"/>
            <c:showSerName val="0"/>
            <c:showPercent val="0"/>
            <c:showBubbleSize val="0"/>
            <c:showLeaderLines val="0"/>
          </c:dLbls>
          <c:cat>
            <c:strRef>
              <c:f>Hoja1!$A$2:$A$6</c:f>
              <c:strCache>
                <c:ptCount val="5"/>
                <c:pt idx="0">
                  <c:v>Enpresak taldeko beste enpresa batzuetako langileak hartzea</c:v>
                </c:pt>
                <c:pt idx="1">
                  <c:v>Soberako langileak taldeko EAEko beste enpresa batzuetan, enpresa aliatuetan edo enpresa laguntzaileetan birkokatzea</c:v>
                </c:pt>
                <c:pt idx="2">
                  <c:v>Enplegu-soberakinak eta aplikatu gabeko orduak finantziazio-fondo komun batean sartzea</c:v>
                </c:pt>
                <c:pt idx="3">
                  <c:v>Soberako langileak EAEtik kanpo birkokatzea, taldeko beste enpresa batzuetan, enpresa aliatuetan edo enpresa laguntzaileetan</c:v>
                </c:pt>
                <c:pt idx="4">
                  <c:v>Beste batzuk</c:v>
                </c:pt>
              </c:strCache>
            </c:strRef>
          </c:cat>
          <c:val>
            <c:numRef>
              <c:f>Hoja1!$B$2:$B$6</c:f>
              <c:numCache>
                <c:formatCode>General</c:formatCode>
                <c:ptCount val="5"/>
                <c:pt idx="0">
                  <c:v>4.2</c:v>
                </c:pt>
                <c:pt idx="1">
                  <c:v>3.6</c:v>
                </c:pt>
                <c:pt idx="2">
                  <c:v>2.7</c:v>
                </c:pt>
                <c:pt idx="3">
                  <c:v>0.30000000000000032</c:v>
                </c:pt>
                <c:pt idx="4">
                  <c:v>1</c:v>
                </c:pt>
              </c:numCache>
            </c:numRef>
          </c:val>
        </c:ser>
        <c:dLbls>
          <c:showLegendKey val="0"/>
          <c:showVal val="0"/>
          <c:showCatName val="0"/>
          <c:showSerName val="0"/>
          <c:showPercent val="0"/>
          <c:showBubbleSize val="0"/>
        </c:dLbls>
        <c:gapWidth val="150"/>
        <c:axId val="124968960"/>
        <c:axId val="124970496"/>
      </c:barChart>
      <c:catAx>
        <c:axId val="124968960"/>
        <c:scaling>
          <c:orientation val="minMax"/>
        </c:scaling>
        <c:delete val="0"/>
        <c:axPos val="l"/>
        <c:numFmt formatCode="General" sourceLinked="1"/>
        <c:majorTickMark val="out"/>
        <c:minorTickMark val="none"/>
        <c:tickLblPos val="nextTo"/>
        <c:crossAx val="124970496"/>
        <c:crosses val="autoZero"/>
        <c:auto val="1"/>
        <c:lblAlgn val="ctr"/>
        <c:lblOffset val="100"/>
        <c:noMultiLvlLbl val="0"/>
      </c:catAx>
      <c:valAx>
        <c:axId val="124970496"/>
        <c:scaling>
          <c:orientation val="minMax"/>
        </c:scaling>
        <c:delete val="0"/>
        <c:axPos val="b"/>
        <c:majorGridlines>
          <c:spPr>
            <a:ln>
              <a:solidFill>
                <a:schemeClr val="bg2"/>
              </a:solidFill>
            </a:ln>
          </c:spPr>
        </c:majorGridlines>
        <c:numFmt formatCode="General" sourceLinked="1"/>
        <c:majorTickMark val="out"/>
        <c:minorTickMark val="none"/>
        <c:tickLblPos val="nextTo"/>
        <c:crossAx val="124968960"/>
        <c:crosses val="autoZero"/>
        <c:crossBetween val="between"/>
      </c:valAx>
    </c:plotArea>
    <c:plotVisOnly val="1"/>
    <c:dispBlanksAs val="gap"/>
    <c:showDLblsOverMax val="0"/>
  </c:chart>
  <c:spPr>
    <a:ln>
      <a:noFill/>
    </a:ln>
  </c:spPr>
  <c:txPr>
    <a:bodyPr/>
    <a:lstStyle/>
    <a:p>
      <a:pPr>
        <a:defRPr sz="800">
          <a:latin typeface="Arial" pitchFamily="34" charset="0"/>
          <a:cs typeface="Arial" pitchFamily="34" charset="0"/>
        </a:defRPr>
      </a:pPr>
      <a:endParaRPr lang="es-ES"/>
    </a:p>
  </c:txPr>
  <c:externalData r:id="rId2">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0"/>
    <c:plotArea>
      <c:layout>
        <c:manualLayout>
          <c:layoutTarget val="inner"/>
          <c:xMode val="edge"/>
          <c:yMode val="edge"/>
          <c:x val="0.10147137846511672"/>
          <c:y val="4.9217002237136862E-2"/>
          <c:w val="0.87372471066647983"/>
          <c:h val="0.77608763534783265"/>
        </c:manualLayout>
      </c:layout>
      <c:barChart>
        <c:barDir val="col"/>
        <c:grouping val="clustered"/>
        <c:varyColors val="0"/>
        <c:ser>
          <c:idx val="0"/>
          <c:order val="0"/>
          <c:invertIfNegative val="0"/>
          <c:dLbls>
            <c:dLbl>
              <c:idx val="0"/>
              <c:layout/>
              <c:tx>
                <c:rich>
                  <a:bodyPr/>
                  <a:lstStyle/>
                  <a:p>
                    <a:r>
                      <a:rPr lang="en-US" b="0"/>
                      <a:t>%42,1</a:t>
                    </a:r>
                  </a:p>
                </c:rich>
              </c:tx>
              <c:showLegendKey val="0"/>
              <c:showVal val="1"/>
              <c:showCatName val="0"/>
              <c:showSerName val="0"/>
              <c:showPercent val="0"/>
              <c:showBubbleSize val="0"/>
            </c:dLbl>
            <c:dLbl>
              <c:idx val="1"/>
              <c:layout/>
              <c:tx>
                <c:rich>
                  <a:bodyPr/>
                  <a:lstStyle/>
                  <a:p>
                    <a:r>
                      <a:rPr lang="en-US" b="0"/>
                      <a:t>%58,7</a:t>
                    </a:r>
                  </a:p>
                </c:rich>
              </c:tx>
              <c:showLegendKey val="0"/>
              <c:showVal val="1"/>
              <c:showCatName val="0"/>
              <c:showSerName val="0"/>
              <c:showPercent val="0"/>
              <c:showBubbleSize val="0"/>
            </c:dLbl>
            <c:dLbl>
              <c:idx val="2"/>
              <c:layout/>
              <c:tx>
                <c:rich>
                  <a:bodyPr/>
                  <a:lstStyle/>
                  <a:p>
                    <a:r>
                      <a:rPr lang="en-US" b="0"/>
                      <a:t>%79,2</a:t>
                    </a:r>
                  </a:p>
                </c:rich>
              </c:tx>
              <c:showLegendKey val="0"/>
              <c:showVal val="1"/>
              <c:showCatName val="0"/>
              <c:showSerName val="0"/>
              <c:showPercent val="0"/>
              <c:showBubbleSize val="0"/>
            </c:dLbl>
            <c:dLbl>
              <c:idx val="3"/>
              <c:layout/>
              <c:tx>
                <c:rich>
                  <a:bodyPr/>
                  <a:lstStyle/>
                  <a:p>
                    <a:r>
                      <a:rPr lang="en-US" b="0"/>
                      <a:t>%85,8</a:t>
                    </a:r>
                  </a:p>
                </c:rich>
              </c:tx>
              <c:showLegendKey val="0"/>
              <c:showVal val="1"/>
              <c:showCatName val="0"/>
              <c:showSerName val="0"/>
              <c:showPercent val="0"/>
              <c:showBubbleSize val="0"/>
            </c:dLbl>
            <c:dLbl>
              <c:idx val="4"/>
              <c:layout/>
              <c:tx>
                <c:rich>
                  <a:bodyPr/>
                  <a:lstStyle/>
                  <a:p>
                    <a:r>
                      <a:rPr lang="en-US" b="0"/>
                      <a:t>%93,7</a:t>
                    </a:r>
                  </a:p>
                </c:rich>
              </c:tx>
              <c:showLegendKey val="0"/>
              <c:showVal val="1"/>
              <c:showCatName val="0"/>
              <c:showSerName val="0"/>
              <c:showPercent val="0"/>
              <c:showBubbleSize val="0"/>
            </c:dLbl>
            <c:dLbl>
              <c:idx val="5"/>
              <c:layout/>
              <c:tx>
                <c:rich>
                  <a:bodyPr/>
                  <a:lstStyle/>
                  <a:p>
                    <a:r>
                      <a:rPr lang="en-US" b="0"/>
                      <a:t>%100,0</a:t>
                    </a:r>
                  </a:p>
                </c:rich>
              </c:tx>
              <c:showLegendKey val="0"/>
              <c:showVal val="1"/>
              <c:showCatName val="0"/>
              <c:showSerName val="0"/>
              <c:showPercent val="0"/>
              <c:showBubbleSize val="0"/>
            </c:dLbl>
            <c:dLbl>
              <c:idx val="6"/>
              <c:layout/>
              <c:tx>
                <c:rich>
                  <a:bodyPr/>
                  <a:lstStyle/>
                  <a:p>
                    <a:r>
                      <a:rPr lang="en-US" b="0"/>
                      <a:t>%100,0</a:t>
                    </a:r>
                  </a:p>
                </c:rich>
              </c:tx>
              <c:showLegendKey val="0"/>
              <c:showVal val="1"/>
              <c:showCatName val="0"/>
              <c:showSerName val="0"/>
              <c:showPercent val="0"/>
              <c:showBubbleSize val="0"/>
            </c:dLbl>
            <c:numFmt formatCode="0.0%" sourceLinked="0"/>
            <c:showLegendKey val="0"/>
            <c:showVal val="1"/>
            <c:showCatName val="0"/>
            <c:showSerName val="0"/>
            <c:showPercent val="0"/>
            <c:showBubbleSize val="0"/>
            <c:showLeaderLines val="0"/>
          </c:dLbls>
          <c:cat>
            <c:strRef>
              <c:f>GESTIÓN!$C$89:$I$89</c:f>
              <c:strCache>
                <c:ptCount val="7"/>
                <c:pt idx="0">
                  <c:v>5 arte</c:v>
                </c:pt>
                <c:pt idx="1">
                  <c:v>6 eta 15</c:v>
                </c:pt>
                <c:pt idx="2">
                  <c:v>16 eta 50</c:v>
                </c:pt>
                <c:pt idx="3">
                  <c:v>51 eta 100</c:v>
                </c:pt>
                <c:pt idx="4">
                  <c:v>101 eta 200</c:v>
                </c:pt>
                <c:pt idx="5">
                  <c:v>201 eta 500</c:v>
                </c:pt>
                <c:pt idx="6">
                  <c:v>500dik gora</c:v>
                </c:pt>
              </c:strCache>
            </c:strRef>
          </c:cat>
          <c:val>
            <c:numRef>
              <c:f>GESTIÓN!$C$83:$I$83</c:f>
              <c:numCache>
                <c:formatCode>General</c:formatCode>
                <c:ptCount val="7"/>
                <c:pt idx="0">
                  <c:v>0.42100000000000032</c:v>
                </c:pt>
                <c:pt idx="1">
                  <c:v>0.58700000000000008</c:v>
                </c:pt>
                <c:pt idx="2">
                  <c:v>0.79200000000000004</c:v>
                </c:pt>
                <c:pt idx="3">
                  <c:v>0.85800000000000065</c:v>
                </c:pt>
                <c:pt idx="4">
                  <c:v>0.93700000000000061</c:v>
                </c:pt>
                <c:pt idx="5">
                  <c:v>1</c:v>
                </c:pt>
                <c:pt idx="6">
                  <c:v>1</c:v>
                </c:pt>
              </c:numCache>
            </c:numRef>
          </c:val>
        </c:ser>
        <c:dLbls>
          <c:showLegendKey val="0"/>
          <c:showVal val="0"/>
          <c:showCatName val="0"/>
          <c:showSerName val="0"/>
          <c:showPercent val="0"/>
          <c:showBubbleSize val="0"/>
        </c:dLbls>
        <c:gapWidth val="150"/>
        <c:axId val="125281408"/>
        <c:axId val="125282944"/>
      </c:barChart>
      <c:catAx>
        <c:axId val="125281408"/>
        <c:scaling>
          <c:orientation val="minMax"/>
        </c:scaling>
        <c:delete val="0"/>
        <c:axPos val="b"/>
        <c:majorTickMark val="out"/>
        <c:minorTickMark val="none"/>
        <c:tickLblPos val="nextTo"/>
        <c:crossAx val="125282944"/>
        <c:crosses val="autoZero"/>
        <c:auto val="1"/>
        <c:lblAlgn val="ctr"/>
        <c:lblOffset val="100"/>
        <c:noMultiLvlLbl val="0"/>
      </c:catAx>
      <c:valAx>
        <c:axId val="125282944"/>
        <c:scaling>
          <c:orientation val="minMax"/>
        </c:scaling>
        <c:delete val="0"/>
        <c:axPos val="l"/>
        <c:majorGridlines>
          <c:spPr>
            <a:ln>
              <a:solidFill>
                <a:schemeClr val="bg1">
                  <a:lumMod val="75000"/>
                </a:schemeClr>
              </a:solidFill>
            </a:ln>
          </c:spPr>
        </c:majorGridlines>
        <c:numFmt formatCode="0%" sourceLinked="0"/>
        <c:majorTickMark val="out"/>
        <c:minorTickMark val="none"/>
        <c:tickLblPos val="nextTo"/>
        <c:crossAx val="125281408"/>
        <c:crosses val="autoZero"/>
        <c:crossBetween val="between"/>
        <c:majorUnit val="0.2"/>
        <c:minorUnit val="0.1"/>
      </c:valAx>
    </c:plotArea>
    <c:plotVisOnly val="1"/>
    <c:dispBlanksAs val="gap"/>
    <c:showDLblsOverMax val="0"/>
  </c:chart>
  <c:spPr>
    <a:ln>
      <a:noFill/>
    </a:ln>
  </c:spPr>
  <c:txPr>
    <a:bodyPr/>
    <a:lstStyle/>
    <a:p>
      <a:pPr>
        <a:defRPr sz="800">
          <a:latin typeface="Arial" pitchFamily="34" charset="0"/>
          <a:cs typeface="Arial" pitchFamily="34" charset="0"/>
        </a:defRPr>
      </a:pPr>
      <a:endParaRPr lang="es-ES"/>
    </a:p>
  </c:txPr>
  <c:externalData r:id="rId1">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0"/>
    <c:plotArea>
      <c:layout/>
      <c:barChart>
        <c:barDir val="col"/>
        <c:grouping val="clustered"/>
        <c:varyColors val="0"/>
        <c:ser>
          <c:idx val="0"/>
          <c:order val="0"/>
          <c:invertIfNegative val="0"/>
          <c:dLbls>
            <c:dLbl>
              <c:idx val="0"/>
              <c:layout/>
              <c:tx>
                <c:rich>
                  <a:bodyPr/>
                  <a:lstStyle/>
                  <a:p>
                    <a:r>
                      <a:rPr lang="en-US"/>
                      <a:t>%21,3</a:t>
                    </a:r>
                  </a:p>
                </c:rich>
              </c:tx>
              <c:showLegendKey val="0"/>
              <c:showVal val="1"/>
              <c:showCatName val="0"/>
              <c:showSerName val="0"/>
              <c:showPercent val="0"/>
              <c:showBubbleSize val="0"/>
            </c:dLbl>
            <c:dLbl>
              <c:idx val="1"/>
              <c:layout/>
              <c:tx>
                <c:rich>
                  <a:bodyPr/>
                  <a:lstStyle/>
                  <a:p>
                    <a:r>
                      <a:rPr lang="en-US"/>
                      <a:t>%22,7</a:t>
                    </a:r>
                  </a:p>
                </c:rich>
              </c:tx>
              <c:showLegendKey val="0"/>
              <c:showVal val="1"/>
              <c:showCatName val="0"/>
              <c:showSerName val="0"/>
              <c:showPercent val="0"/>
              <c:showBubbleSize val="0"/>
            </c:dLbl>
            <c:dLbl>
              <c:idx val="2"/>
              <c:layout/>
              <c:tx>
                <c:rich>
                  <a:bodyPr/>
                  <a:lstStyle/>
                  <a:p>
                    <a:r>
                      <a:rPr lang="en-US"/>
                      <a:t>%56,0</a:t>
                    </a:r>
                  </a:p>
                </c:rich>
              </c:tx>
              <c:showLegendKey val="0"/>
              <c:showVal val="1"/>
              <c:showCatName val="0"/>
              <c:showSerName val="0"/>
              <c:showPercent val="0"/>
              <c:showBubbleSize val="0"/>
            </c:dLbl>
            <c:dLbl>
              <c:idx val="3"/>
              <c:layout/>
              <c:tx>
                <c:rich>
                  <a:bodyPr/>
                  <a:lstStyle/>
                  <a:p>
                    <a:r>
                      <a:rPr lang="en-US"/>
                      <a:t>%65,6</a:t>
                    </a:r>
                  </a:p>
                </c:rich>
              </c:tx>
              <c:showLegendKey val="0"/>
              <c:showVal val="1"/>
              <c:showCatName val="0"/>
              <c:showSerName val="0"/>
              <c:showPercent val="0"/>
              <c:showBubbleSize val="0"/>
            </c:dLbl>
            <c:dLbl>
              <c:idx val="4"/>
              <c:layout/>
              <c:tx>
                <c:rich>
                  <a:bodyPr/>
                  <a:lstStyle/>
                  <a:p>
                    <a:r>
                      <a:rPr lang="en-US"/>
                      <a:t>%78,4</a:t>
                    </a:r>
                  </a:p>
                </c:rich>
              </c:tx>
              <c:showLegendKey val="0"/>
              <c:showVal val="1"/>
              <c:showCatName val="0"/>
              <c:showSerName val="0"/>
              <c:showPercent val="0"/>
              <c:showBubbleSize val="0"/>
            </c:dLbl>
            <c:dLbl>
              <c:idx val="5"/>
              <c:layout/>
              <c:tx>
                <c:rich>
                  <a:bodyPr/>
                  <a:lstStyle/>
                  <a:p>
                    <a:r>
                      <a:rPr lang="en-US"/>
                      <a:t>%96,7</a:t>
                    </a:r>
                  </a:p>
                </c:rich>
              </c:tx>
              <c:showLegendKey val="0"/>
              <c:showVal val="1"/>
              <c:showCatName val="0"/>
              <c:showSerName val="0"/>
              <c:showPercent val="0"/>
              <c:showBubbleSize val="0"/>
            </c:dLbl>
            <c:dLbl>
              <c:idx val="6"/>
              <c:layout/>
              <c:tx>
                <c:rich>
                  <a:bodyPr/>
                  <a:lstStyle/>
                  <a:p>
                    <a:r>
                      <a:rPr lang="en-US"/>
                      <a:t>%100,0</a:t>
                    </a:r>
                  </a:p>
                </c:rich>
              </c:tx>
              <c:showLegendKey val="0"/>
              <c:showVal val="1"/>
              <c:showCatName val="0"/>
              <c:showSerName val="0"/>
              <c:showPercent val="0"/>
              <c:showBubbleSize val="0"/>
            </c:dLbl>
            <c:numFmt formatCode="0.0%" sourceLinked="0"/>
            <c:showLegendKey val="0"/>
            <c:showVal val="1"/>
            <c:showCatName val="0"/>
            <c:showSerName val="0"/>
            <c:showPercent val="0"/>
            <c:showBubbleSize val="0"/>
            <c:showLeaderLines val="0"/>
          </c:dLbls>
          <c:cat>
            <c:strRef>
              <c:f>FORMACIÓN!$D$4:$J$4</c:f>
              <c:strCache>
                <c:ptCount val="7"/>
                <c:pt idx="0">
                  <c:v>5 arte</c:v>
                </c:pt>
                <c:pt idx="1">
                  <c:v>6 eta 15</c:v>
                </c:pt>
                <c:pt idx="2">
                  <c:v>16 eta 50</c:v>
                </c:pt>
                <c:pt idx="3">
                  <c:v>51 eta 100</c:v>
                </c:pt>
                <c:pt idx="4">
                  <c:v>101 eta 200</c:v>
                </c:pt>
                <c:pt idx="5">
                  <c:v>201 eta 500</c:v>
                </c:pt>
                <c:pt idx="6">
                  <c:v>500dik gora</c:v>
                </c:pt>
              </c:strCache>
            </c:strRef>
          </c:cat>
          <c:val>
            <c:numRef>
              <c:f>FORMACIÓN!$D$8:$J$8</c:f>
              <c:numCache>
                <c:formatCode>General</c:formatCode>
                <c:ptCount val="7"/>
                <c:pt idx="0">
                  <c:v>0.21300000000000024</c:v>
                </c:pt>
                <c:pt idx="1">
                  <c:v>0.22700000000000001</c:v>
                </c:pt>
                <c:pt idx="2">
                  <c:v>0.56000000000000005</c:v>
                </c:pt>
                <c:pt idx="3">
                  <c:v>0.65600000000000203</c:v>
                </c:pt>
                <c:pt idx="4">
                  <c:v>0.78400000000000003</c:v>
                </c:pt>
                <c:pt idx="5">
                  <c:v>0.96700000000000064</c:v>
                </c:pt>
                <c:pt idx="6">
                  <c:v>1</c:v>
                </c:pt>
              </c:numCache>
            </c:numRef>
          </c:val>
        </c:ser>
        <c:dLbls>
          <c:showLegendKey val="0"/>
          <c:showVal val="0"/>
          <c:showCatName val="0"/>
          <c:showSerName val="0"/>
          <c:showPercent val="0"/>
          <c:showBubbleSize val="0"/>
        </c:dLbls>
        <c:gapWidth val="150"/>
        <c:axId val="125307136"/>
        <c:axId val="125325312"/>
      </c:barChart>
      <c:catAx>
        <c:axId val="125307136"/>
        <c:scaling>
          <c:orientation val="minMax"/>
        </c:scaling>
        <c:delete val="0"/>
        <c:axPos val="b"/>
        <c:majorTickMark val="out"/>
        <c:minorTickMark val="none"/>
        <c:tickLblPos val="nextTo"/>
        <c:crossAx val="125325312"/>
        <c:crosses val="autoZero"/>
        <c:auto val="1"/>
        <c:lblAlgn val="ctr"/>
        <c:lblOffset val="100"/>
        <c:noMultiLvlLbl val="0"/>
      </c:catAx>
      <c:valAx>
        <c:axId val="125325312"/>
        <c:scaling>
          <c:orientation val="minMax"/>
        </c:scaling>
        <c:delete val="0"/>
        <c:axPos val="l"/>
        <c:majorGridlines>
          <c:spPr>
            <a:ln>
              <a:solidFill>
                <a:schemeClr val="bg1">
                  <a:lumMod val="75000"/>
                </a:schemeClr>
              </a:solidFill>
            </a:ln>
          </c:spPr>
        </c:majorGridlines>
        <c:numFmt formatCode="0%" sourceLinked="0"/>
        <c:majorTickMark val="out"/>
        <c:minorTickMark val="none"/>
        <c:tickLblPos val="nextTo"/>
        <c:crossAx val="125307136"/>
        <c:crosses val="autoZero"/>
        <c:crossBetween val="between"/>
        <c:majorUnit val="0.2"/>
        <c:minorUnit val="0.1"/>
      </c:valAx>
    </c:plotArea>
    <c:plotVisOnly val="1"/>
    <c:dispBlanksAs val="gap"/>
    <c:showDLblsOverMax val="0"/>
  </c:chart>
  <c:spPr>
    <a:ln>
      <a:noFill/>
    </a:ln>
  </c:spPr>
  <c:txPr>
    <a:bodyPr/>
    <a:lstStyle/>
    <a:p>
      <a:pPr>
        <a:defRPr sz="800">
          <a:latin typeface="Arial" pitchFamily="34" charset="0"/>
          <a:cs typeface="Arial" pitchFamily="34" charset="0"/>
        </a:defRPr>
      </a:pPr>
      <a:endParaRPr lang="es-ES"/>
    </a:p>
  </c:txPr>
  <c:externalData r:id="rId1">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0"/>
    <c:plotArea>
      <c:layout/>
      <c:barChart>
        <c:barDir val="col"/>
        <c:grouping val="clustered"/>
        <c:varyColors val="0"/>
        <c:ser>
          <c:idx val="0"/>
          <c:order val="0"/>
          <c:invertIfNegative val="0"/>
          <c:dLbls>
            <c:dLbl>
              <c:idx val="0"/>
              <c:layout>
                <c:manualLayout>
                  <c:x val="1.1111111111111125E-2"/>
                  <c:y val="-2.7777777777778078E-2"/>
                </c:manualLayout>
              </c:layout>
              <c:tx>
                <c:rich>
                  <a:bodyPr/>
                  <a:lstStyle/>
                  <a:p>
                    <a:r>
                      <a:rPr lang="en-US"/>
                      <a:t>%72,4</a:t>
                    </a:r>
                  </a:p>
                </c:rich>
              </c:tx>
              <c:showLegendKey val="0"/>
              <c:showVal val="1"/>
              <c:showCatName val="0"/>
              <c:showSerName val="0"/>
              <c:showPercent val="0"/>
              <c:showBubbleSize val="0"/>
            </c:dLbl>
            <c:dLbl>
              <c:idx val="1"/>
              <c:layout>
                <c:manualLayout>
                  <c:x val="1.3888670166229185E-2"/>
                  <c:y val="-2.7777777777778078E-2"/>
                </c:manualLayout>
              </c:layout>
              <c:tx>
                <c:rich>
                  <a:bodyPr/>
                  <a:lstStyle/>
                  <a:p>
                    <a:r>
                      <a:rPr lang="en-US"/>
                      <a:t>%30,3</a:t>
                    </a:r>
                  </a:p>
                </c:rich>
              </c:tx>
              <c:showLegendKey val="0"/>
              <c:showVal val="1"/>
              <c:showCatName val="0"/>
              <c:showSerName val="0"/>
              <c:showPercent val="0"/>
              <c:showBubbleSize val="0"/>
            </c:dLbl>
            <c:dLbl>
              <c:idx val="2"/>
              <c:layout>
                <c:manualLayout>
                  <c:x val="5.5555555555555558E-3"/>
                  <c:y val="-2.7777777777778078E-2"/>
                </c:manualLayout>
              </c:layout>
              <c:tx>
                <c:rich>
                  <a:bodyPr/>
                  <a:lstStyle/>
                  <a:p>
                    <a:r>
                      <a:rPr lang="en-US"/>
                      <a:t>%26,8</a:t>
                    </a:r>
                  </a:p>
                </c:rich>
              </c:tx>
              <c:showLegendKey val="0"/>
              <c:showVal val="1"/>
              <c:showCatName val="0"/>
              <c:showSerName val="0"/>
              <c:showPercent val="0"/>
              <c:showBubbleSize val="0"/>
            </c:dLbl>
            <c:dLbl>
              <c:idx val="3"/>
              <c:layout>
                <c:manualLayout>
                  <c:x val="5.5555555555555558E-3"/>
                  <c:y val="-1.8518518518518583E-2"/>
                </c:manualLayout>
              </c:layout>
              <c:tx>
                <c:rich>
                  <a:bodyPr/>
                  <a:lstStyle/>
                  <a:p>
                    <a:r>
                      <a:rPr lang="en-US"/>
                      <a:t>%15,4</a:t>
                    </a:r>
                  </a:p>
                </c:rich>
              </c:tx>
              <c:showLegendKey val="0"/>
              <c:showVal val="1"/>
              <c:showCatName val="0"/>
              <c:showSerName val="0"/>
              <c:showPercent val="0"/>
              <c:showBubbleSize val="0"/>
            </c:dLbl>
            <c:numFmt formatCode="0.0%" sourceLinked="0"/>
            <c:showLegendKey val="0"/>
            <c:showVal val="1"/>
            <c:showCatName val="0"/>
            <c:showSerName val="0"/>
            <c:showPercent val="0"/>
            <c:showBubbleSize val="0"/>
            <c:showLeaderLines val="0"/>
          </c:dLbls>
          <c:cat>
            <c:strRef>
              <c:f>FORMACIÓN!$A$15:$A$18</c:f>
              <c:strCache>
                <c:ptCount val="4"/>
                <c:pt idx="0">
                  <c:v>Bazkideak</c:v>
                </c:pt>
                <c:pt idx="1">
                  <c:v>Administratzaileak</c:v>
                </c:pt>
                <c:pt idx="2">
                  <c:v>Zuzendaritza-Batzordeko Kideak</c:v>
                </c:pt>
                <c:pt idx="3">
                  <c:v>Beste batzuk</c:v>
                </c:pt>
              </c:strCache>
            </c:strRef>
          </c:cat>
          <c:val>
            <c:numRef>
              <c:f>FORMACIÓN!$D$15:$D$18</c:f>
              <c:numCache>
                <c:formatCode>General</c:formatCode>
                <c:ptCount val="4"/>
                <c:pt idx="0">
                  <c:v>0.72400000000000064</c:v>
                </c:pt>
                <c:pt idx="1">
                  <c:v>0.30300000000000032</c:v>
                </c:pt>
                <c:pt idx="2">
                  <c:v>0.26800000000000002</c:v>
                </c:pt>
                <c:pt idx="3">
                  <c:v>0.15400000000000041</c:v>
                </c:pt>
              </c:numCache>
            </c:numRef>
          </c:val>
        </c:ser>
        <c:dLbls>
          <c:showLegendKey val="0"/>
          <c:showVal val="0"/>
          <c:showCatName val="0"/>
          <c:showSerName val="0"/>
          <c:showPercent val="0"/>
          <c:showBubbleSize val="0"/>
        </c:dLbls>
        <c:gapWidth val="150"/>
        <c:axId val="125332864"/>
        <c:axId val="125342848"/>
      </c:barChart>
      <c:catAx>
        <c:axId val="125332864"/>
        <c:scaling>
          <c:orientation val="minMax"/>
        </c:scaling>
        <c:delete val="0"/>
        <c:axPos val="b"/>
        <c:majorTickMark val="out"/>
        <c:minorTickMark val="none"/>
        <c:tickLblPos val="nextTo"/>
        <c:crossAx val="125342848"/>
        <c:crosses val="autoZero"/>
        <c:auto val="1"/>
        <c:lblAlgn val="ctr"/>
        <c:lblOffset val="100"/>
        <c:noMultiLvlLbl val="0"/>
      </c:catAx>
      <c:valAx>
        <c:axId val="125342848"/>
        <c:scaling>
          <c:orientation val="minMax"/>
          <c:max val="1"/>
        </c:scaling>
        <c:delete val="0"/>
        <c:axPos val="l"/>
        <c:majorGridlines>
          <c:spPr>
            <a:ln>
              <a:solidFill>
                <a:schemeClr val="bg1">
                  <a:lumMod val="75000"/>
                </a:schemeClr>
              </a:solidFill>
            </a:ln>
          </c:spPr>
        </c:majorGridlines>
        <c:numFmt formatCode="0%" sourceLinked="0"/>
        <c:majorTickMark val="out"/>
        <c:minorTickMark val="none"/>
        <c:tickLblPos val="nextTo"/>
        <c:crossAx val="125332864"/>
        <c:crosses val="autoZero"/>
        <c:crossBetween val="between"/>
        <c:majorUnit val="0.2"/>
        <c:minorUnit val="0.1"/>
      </c:valAx>
    </c:plotArea>
    <c:plotVisOnly val="1"/>
    <c:dispBlanksAs val="gap"/>
    <c:showDLblsOverMax val="0"/>
  </c:chart>
  <c:spPr>
    <a:ln>
      <a:noFill/>
    </a:ln>
  </c:spPr>
  <c:txPr>
    <a:bodyPr/>
    <a:lstStyle/>
    <a:p>
      <a:pPr>
        <a:defRPr sz="800">
          <a:latin typeface="Arial" pitchFamily="34" charset="0"/>
          <a:cs typeface="Arial" pitchFamily="34" charset="0"/>
        </a:defRPr>
      </a:pPr>
      <a:endParaRPr lang="es-E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overlay val="0"/>
    </c:title>
    <c:autoTitleDeleted val="0"/>
    <c:plotArea>
      <c:layout>
        <c:manualLayout>
          <c:layoutTarget val="inner"/>
          <c:xMode val="edge"/>
          <c:yMode val="edge"/>
          <c:x val="8.5487077534791192E-2"/>
          <c:y val="0.24175824175824384"/>
          <c:w val="0.89463220675944544"/>
          <c:h val="0.5714285714285815"/>
        </c:manualLayout>
      </c:layout>
      <c:barChart>
        <c:barDir val="col"/>
        <c:grouping val="clustered"/>
        <c:varyColors val="0"/>
        <c:ser>
          <c:idx val="0"/>
          <c:order val="0"/>
          <c:tx>
            <c:strRef>
              <c:f>Sheet1!$A$2</c:f>
              <c:strCache>
                <c:ptCount val="1"/>
              </c:strCache>
            </c:strRef>
          </c:tx>
          <c:spPr>
            <a:solidFill>
              <a:schemeClr val="accent1"/>
            </a:solidFill>
          </c:spPr>
          <c:invertIfNegative val="0"/>
          <c:dLbls>
            <c:dLbl>
              <c:idx val="0"/>
              <c:layout>
                <c:manualLayout>
                  <c:x val="1.0709989395876423E-2"/>
                  <c:y val="-4.9949519531212364E-2"/>
                </c:manualLayout>
              </c:layout>
              <c:dLblPos val="outEnd"/>
              <c:showLegendKey val="0"/>
              <c:showVal val="1"/>
              <c:showCatName val="0"/>
              <c:showSerName val="0"/>
              <c:showPercent val="0"/>
              <c:showBubbleSize val="0"/>
            </c:dLbl>
            <c:dLbl>
              <c:idx val="1"/>
              <c:layout>
                <c:manualLayout>
                  <c:x val="6.4456502065731655E-3"/>
                  <c:y val="-4.5885328035918514E-2"/>
                </c:manualLayout>
              </c:layout>
              <c:dLblPos val="outEnd"/>
              <c:showLegendKey val="0"/>
              <c:showVal val="1"/>
              <c:showCatName val="0"/>
              <c:showSerName val="0"/>
              <c:showPercent val="0"/>
              <c:showBubbleSize val="0"/>
            </c:dLbl>
            <c:dLbl>
              <c:idx val="2"/>
              <c:layout>
                <c:manualLayout>
                  <c:x val="8.1455257289995125E-3"/>
                  <c:y val="-3.7638582436811042E-2"/>
                </c:manualLayout>
              </c:layout>
              <c:dLblPos val="outEnd"/>
              <c:showLegendKey val="0"/>
              <c:showVal val="1"/>
              <c:showCatName val="0"/>
              <c:showSerName val="0"/>
              <c:showPercent val="0"/>
              <c:showBubbleSize val="0"/>
            </c:dLbl>
            <c:dLbl>
              <c:idx val="3"/>
              <c:layout>
                <c:manualLayout>
                  <c:x val="5.8692581102728833E-3"/>
                  <c:y val="-2.7539183803947608E-2"/>
                </c:manualLayout>
              </c:layout>
              <c:dLblPos val="outEnd"/>
              <c:showLegendKey val="0"/>
              <c:showVal val="1"/>
              <c:showCatName val="0"/>
              <c:showSerName val="0"/>
              <c:showPercent val="0"/>
              <c:showBubbleSize val="0"/>
            </c:dLbl>
            <c:dLbl>
              <c:idx val="4"/>
              <c:layout>
                <c:manualLayout>
                  <c:x val="3.5929904915460412E-3"/>
                  <c:y val="-3.2371728774288011E-2"/>
                </c:manualLayout>
              </c:layout>
              <c:dLblPos val="outEnd"/>
              <c:showLegendKey val="0"/>
              <c:showVal val="1"/>
              <c:showCatName val="0"/>
              <c:showSerName val="0"/>
              <c:showPercent val="0"/>
              <c:showBubbleSize val="0"/>
            </c:dLbl>
            <c:dLbl>
              <c:idx val="5"/>
              <c:layout>
                <c:manualLayout>
                  <c:x val="9.2690091551257767E-3"/>
                  <c:y val="-4.1526395738994207E-2"/>
                </c:manualLayout>
              </c:layout>
              <c:dLblPos val="outEnd"/>
              <c:showLegendKey val="0"/>
              <c:showVal val="1"/>
              <c:showCatName val="0"/>
              <c:showSerName val="0"/>
              <c:showPercent val="0"/>
              <c:showBubbleSize val="0"/>
            </c:dLbl>
            <c:dLbl>
              <c:idx val="6"/>
              <c:layout>
                <c:manualLayout>
                  <c:x val="5.0046699658222744E-3"/>
                  <c:y val="-2.7656452799169451E-2"/>
                </c:manualLayout>
              </c:layout>
              <c:dLblPos val="outEnd"/>
              <c:showLegendKey val="0"/>
              <c:showVal val="1"/>
              <c:showCatName val="0"/>
              <c:showSerName val="0"/>
              <c:showPercent val="0"/>
              <c:showBubbleSize val="0"/>
            </c:dLbl>
            <c:dLbl>
              <c:idx val="7"/>
              <c:layout>
                <c:manualLayout>
                  <c:x val="6.7045454882487124E-3"/>
                  <c:y val="-4.7546736946344488E-2"/>
                </c:manualLayout>
              </c:layout>
              <c:dLblPos val="outEnd"/>
              <c:showLegendKey val="0"/>
              <c:showVal val="1"/>
              <c:showCatName val="0"/>
              <c:showSerName val="0"/>
              <c:showPercent val="0"/>
              <c:showBubbleSize val="0"/>
            </c:dLbl>
            <c:dLbl>
              <c:idx val="8"/>
              <c:layout>
                <c:manualLayout>
                  <c:x val="6.4163494400986286E-3"/>
                  <c:y val="-3.511798405007064E-2"/>
                </c:manualLayout>
              </c:layout>
              <c:dLblPos val="outEnd"/>
              <c:showLegendKey val="0"/>
              <c:showVal val="1"/>
              <c:showCatName val="0"/>
              <c:showSerName val="0"/>
              <c:showPercent val="0"/>
              <c:showBubbleSize val="0"/>
            </c:dLbl>
            <c:dLbl>
              <c:idx val="9"/>
              <c:layout>
                <c:manualLayout>
                  <c:x val="6.1281533919482125E-3"/>
                  <c:y val="-1.9023084854777841E-2"/>
                </c:manualLayout>
              </c:layout>
              <c:tx>
                <c:rich>
                  <a:bodyPr/>
                  <a:lstStyle/>
                  <a:p>
                    <a:r>
                      <a:rPr lang="es-ES" b="1"/>
                      <a:t>3.078</a:t>
                    </a:r>
                  </a:p>
                </c:rich>
              </c:tx>
              <c:dLblPos val="outEnd"/>
              <c:showLegendKey val="0"/>
              <c:showVal val="0"/>
              <c:showCatName val="0"/>
              <c:showSerName val="0"/>
              <c:showPercent val="0"/>
              <c:showBubbleSize val="0"/>
            </c:dLbl>
            <c:spPr>
              <a:noFill/>
              <a:ln w="12892">
                <a:noFill/>
              </a:ln>
            </c:spPr>
            <c:txPr>
              <a:bodyPr/>
              <a:lstStyle/>
              <a:p>
                <a:pPr>
                  <a:defRPr b="1"/>
                </a:pPr>
                <a:endParaRPr lang="es-ES"/>
              </a:p>
            </c:txPr>
            <c:showLegendKey val="0"/>
            <c:showVal val="1"/>
            <c:showCatName val="0"/>
            <c:showSerName val="0"/>
            <c:showPercent val="0"/>
            <c:showBubbleSize val="0"/>
            <c:showLeaderLines val="0"/>
          </c:dLbls>
          <c:cat>
            <c:numRef>
              <c:f>Sheet1!$B$1:$K$1</c:f>
              <c:numCache>
                <c:formatCode>General</c:formatCode>
                <c:ptCount val="10"/>
                <c:pt idx="0">
                  <c:v>1994</c:v>
                </c:pt>
                <c:pt idx="1">
                  <c:v>1996</c:v>
                </c:pt>
                <c:pt idx="2">
                  <c:v>1998</c:v>
                </c:pt>
                <c:pt idx="3">
                  <c:v>2000</c:v>
                </c:pt>
                <c:pt idx="4">
                  <c:v>2002</c:v>
                </c:pt>
                <c:pt idx="5">
                  <c:v>2004</c:v>
                </c:pt>
                <c:pt idx="6">
                  <c:v>2006</c:v>
                </c:pt>
                <c:pt idx="7">
                  <c:v>2008</c:v>
                </c:pt>
                <c:pt idx="8">
                  <c:v>2010</c:v>
                </c:pt>
                <c:pt idx="9">
                  <c:v>2012</c:v>
                </c:pt>
              </c:numCache>
            </c:numRef>
          </c:cat>
          <c:val>
            <c:numRef>
              <c:f>Sheet1!$B$2:$K$2</c:f>
              <c:numCache>
                <c:formatCode>#,##0</c:formatCode>
                <c:ptCount val="10"/>
                <c:pt idx="0">
                  <c:v>1918</c:v>
                </c:pt>
                <c:pt idx="1">
                  <c:v>2117</c:v>
                </c:pt>
                <c:pt idx="2">
                  <c:v>2222</c:v>
                </c:pt>
                <c:pt idx="3">
                  <c:v>2803</c:v>
                </c:pt>
                <c:pt idx="4">
                  <c:v>2976</c:v>
                </c:pt>
                <c:pt idx="5">
                  <c:v>3032</c:v>
                </c:pt>
                <c:pt idx="6">
                  <c:v>3096</c:v>
                </c:pt>
                <c:pt idx="7">
                  <c:v>2986</c:v>
                </c:pt>
                <c:pt idx="8">
                  <c:v>2997</c:v>
                </c:pt>
                <c:pt idx="9" formatCode="General">
                  <c:v>3078</c:v>
                </c:pt>
              </c:numCache>
            </c:numRef>
          </c:val>
        </c:ser>
        <c:dLbls>
          <c:showLegendKey val="0"/>
          <c:showVal val="0"/>
          <c:showCatName val="0"/>
          <c:showSerName val="0"/>
          <c:showPercent val="0"/>
          <c:showBubbleSize val="0"/>
        </c:dLbls>
        <c:gapWidth val="150"/>
        <c:axId val="104179200"/>
        <c:axId val="104180736"/>
      </c:barChart>
      <c:catAx>
        <c:axId val="104179200"/>
        <c:scaling>
          <c:orientation val="minMax"/>
        </c:scaling>
        <c:delete val="0"/>
        <c:axPos val="b"/>
        <c:numFmt formatCode="General" sourceLinked="1"/>
        <c:majorTickMark val="out"/>
        <c:minorTickMark val="none"/>
        <c:tickLblPos val="low"/>
        <c:txPr>
          <a:bodyPr rot="0" vert="horz"/>
          <a:lstStyle/>
          <a:p>
            <a:pPr>
              <a:defRPr/>
            </a:pPr>
            <a:endParaRPr lang="es-ES"/>
          </a:p>
        </c:txPr>
        <c:crossAx val="104180736"/>
        <c:crosses val="autoZero"/>
        <c:auto val="1"/>
        <c:lblAlgn val="ctr"/>
        <c:lblOffset val="100"/>
        <c:tickLblSkip val="1"/>
        <c:tickMarkSkip val="1"/>
        <c:noMultiLvlLbl val="0"/>
      </c:catAx>
      <c:valAx>
        <c:axId val="104180736"/>
        <c:scaling>
          <c:orientation val="minMax"/>
          <c:max val="4000"/>
        </c:scaling>
        <c:delete val="0"/>
        <c:axPos val="l"/>
        <c:majorGridlines>
          <c:spPr>
            <a:ln>
              <a:solidFill>
                <a:schemeClr val="bg2"/>
              </a:solidFill>
            </a:ln>
          </c:spPr>
        </c:majorGridlines>
        <c:numFmt formatCode="#,##0" sourceLinked="1"/>
        <c:majorTickMark val="out"/>
        <c:minorTickMark val="none"/>
        <c:tickLblPos val="nextTo"/>
        <c:txPr>
          <a:bodyPr rot="0" vert="horz"/>
          <a:lstStyle/>
          <a:p>
            <a:pPr>
              <a:defRPr/>
            </a:pPr>
            <a:endParaRPr lang="es-ES"/>
          </a:p>
        </c:txPr>
        <c:crossAx val="104179200"/>
        <c:crosses val="autoZero"/>
        <c:crossBetween val="between"/>
        <c:majorUnit val="1000"/>
      </c:valAx>
    </c:plotArea>
    <c:plotVisOnly val="1"/>
    <c:dispBlanksAs val="gap"/>
    <c:showDLblsOverMax val="0"/>
  </c:chart>
  <c:spPr>
    <a:noFill/>
    <a:ln>
      <a:noFill/>
    </a:ln>
  </c:spPr>
  <c:txPr>
    <a:bodyPr/>
    <a:lstStyle/>
    <a:p>
      <a:pPr>
        <a:defRPr sz="800">
          <a:latin typeface="Arial" pitchFamily="34" charset="0"/>
          <a:cs typeface="Arial" pitchFamily="34" charset="0"/>
        </a:defRPr>
      </a:pPr>
      <a:endParaRPr lang="es-ES"/>
    </a:p>
  </c:txPr>
  <c:externalData r:id="rId2">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0"/>
    <c:plotArea>
      <c:layout>
        <c:manualLayout>
          <c:layoutTarget val="inner"/>
          <c:xMode val="edge"/>
          <c:yMode val="edge"/>
          <c:x val="0.310912087848978"/>
          <c:y val="6.6551017060367451E-2"/>
          <c:w val="0.62172676993056397"/>
          <c:h val="0.80100311679790026"/>
        </c:manualLayout>
      </c:layout>
      <c:barChart>
        <c:barDir val="bar"/>
        <c:grouping val="clustered"/>
        <c:varyColors val="0"/>
        <c:ser>
          <c:idx val="0"/>
          <c:order val="0"/>
          <c:invertIfNegative val="0"/>
          <c:dLbls>
            <c:dLbl>
              <c:idx val="0"/>
              <c:layout/>
              <c:tx>
                <c:rich>
                  <a:bodyPr/>
                  <a:lstStyle/>
                  <a:p>
                    <a:r>
                      <a:rPr lang="en-US" b="0"/>
                      <a:t>%61,5</a:t>
                    </a:r>
                  </a:p>
                </c:rich>
              </c:tx>
              <c:showLegendKey val="0"/>
              <c:showVal val="1"/>
              <c:showCatName val="0"/>
              <c:showSerName val="0"/>
              <c:showPercent val="0"/>
              <c:showBubbleSize val="0"/>
            </c:dLbl>
            <c:dLbl>
              <c:idx val="1"/>
              <c:layout/>
              <c:tx>
                <c:rich>
                  <a:bodyPr/>
                  <a:lstStyle/>
                  <a:p>
                    <a:r>
                      <a:rPr lang="en-US" b="0"/>
                      <a:t>%39,2</a:t>
                    </a:r>
                  </a:p>
                </c:rich>
              </c:tx>
              <c:showLegendKey val="0"/>
              <c:showVal val="1"/>
              <c:showCatName val="0"/>
              <c:showSerName val="0"/>
              <c:showPercent val="0"/>
              <c:showBubbleSize val="0"/>
            </c:dLbl>
            <c:dLbl>
              <c:idx val="2"/>
              <c:layout/>
              <c:tx>
                <c:rich>
                  <a:bodyPr/>
                  <a:lstStyle/>
                  <a:p>
                    <a:r>
                      <a:rPr lang="en-US" b="0"/>
                      <a:t>%15,9</a:t>
                    </a:r>
                  </a:p>
                </c:rich>
              </c:tx>
              <c:showLegendKey val="0"/>
              <c:showVal val="1"/>
              <c:showCatName val="0"/>
              <c:showSerName val="0"/>
              <c:showPercent val="0"/>
              <c:showBubbleSize val="0"/>
            </c:dLbl>
            <c:dLbl>
              <c:idx val="3"/>
              <c:layout/>
              <c:tx>
                <c:rich>
                  <a:bodyPr/>
                  <a:lstStyle/>
                  <a:p>
                    <a:r>
                      <a:rPr lang="en-US" b="0"/>
                      <a:t>%6,6</a:t>
                    </a:r>
                  </a:p>
                </c:rich>
              </c:tx>
              <c:showLegendKey val="0"/>
              <c:showVal val="1"/>
              <c:showCatName val="0"/>
              <c:showSerName val="0"/>
              <c:showPercent val="0"/>
              <c:showBubbleSize val="0"/>
            </c:dLbl>
            <c:dLbl>
              <c:idx val="4"/>
              <c:layout/>
              <c:tx>
                <c:rich>
                  <a:bodyPr/>
                  <a:lstStyle/>
                  <a:p>
                    <a:r>
                      <a:rPr lang="en-US" b="0"/>
                      <a:t>%1,8</a:t>
                    </a:r>
                  </a:p>
                </c:rich>
              </c:tx>
              <c:showLegendKey val="0"/>
              <c:showVal val="1"/>
              <c:showCatName val="0"/>
              <c:showSerName val="0"/>
              <c:showPercent val="0"/>
              <c:showBubbleSize val="0"/>
            </c:dLbl>
            <c:dLbl>
              <c:idx val="5"/>
              <c:layout>
                <c:manualLayout>
                  <c:x val="1.4587892049598835E-2"/>
                  <c:y val="0"/>
                </c:manualLayout>
              </c:layout>
              <c:tx>
                <c:rich>
                  <a:bodyPr/>
                  <a:lstStyle/>
                  <a:p>
                    <a:r>
                      <a:rPr lang="en-US" b="0"/>
                      <a:t>%12,9</a:t>
                    </a:r>
                  </a:p>
                </c:rich>
              </c:tx>
              <c:showLegendKey val="0"/>
              <c:showVal val="1"/>
              <c:showCatName val="0"/>
              <c:showSerName val="0"/>
              <c:showPercent val="0"/>
              <c:showBubbleSize val="0"/>
            </c:dLbl>
            <c:numFmt formatCode="0.0%" sourceLinked="0"/>
            <c:txPr>
              <a:bodyPr/>
              <a:lstStyle/>
              <a:p>
                <a:pPr>
                  <a:defRPr sz="800" b="0">
                    <a:latin typeface="Arial" pitchFamily="34" charset="0"/>
                    <a:cs typeface="Arial" pitchFamily="34" charset="0"/>
                  </a:defRPr>
                </a:pPr>
                <a:endParaRPr lang="es-ES"/>
              </a:p>
            </c:txPr>
            <c:showLegendKey val="0"/>
            <c:showVal val="1"/>
            <c:showCatName val="0"/>
            <c:showSerName val="0"/>
            <c:showPercent val="0"/>
            <c:showBubbleSize val="0"/>
            <c:showLeaderLines val="0"/>
          </c:dLbls>
          <c:cat>
            <c:strRef>
              <c:f>INTERCOOPERACION!$A$15:$A$20</c:f>
              <c:strCache>
                <c:ptCount val="6"/>
                <c:pt idx="0">
                  <c:v>Elkarlan puntualak</c:v>
                </c:pt>
                <c:pt idx="1">
                  <c:v>Aliantzak</c:v>
                </c:pt>
                <c:pt idx="2">
                  <c:v>2. Mailako Kooperazioa</c:v>
                </c:pt>
                <c:pt idx="3">
                  <c:v>Akzio-Trukaketa</c:v>
                </c:pt>
                <c:pt idx="4">
                  <c:v>Joint Venture</c:v>
                </c:pt>
                <c:pt idx="5">
                  <c:v>Bestelakoak</c:v>
                </c:pt>
              </c:strCache>
            </c:strRef>
          </c:cat>
          <c:val>
            <c:numRef>
              <c:f>INTERCOOPERACION!$D$15:$D$20</c:f>
              <c:numCache>
                <c:formatCode>General</c:formatCode>
                <c:ptCount val="6"/>
                <c:pt idx="0">
                  <c:v>0.61500000000000155</c:v>
                </c:pt>
                <c:pt idx="1">
                  <c:v>0.39200000000000101</c:v>
                </c:pt>
                <c:pt idx="2">
                  <c:v>0.15900000000000042</c:v>
                </c:pt>
                <c:pt idx="3">
                  <c:v>6.6000000000000003E-2</c:v>
                </c:pt>
                <c:pt idx="4">
                  <c:v>1.7999999999999999E-2</c:v>
                </c:pt>
                <c:pt idx="5">
                  <c:v>0.129</c:v>
                </c:pt>
              </c:numCache>
            </c:numRef>
          </c:val>
        </c:ser>
        <c:dLbls>
          <c:showLegendKey val="0"/>
          <c:showVal val="0"/>
          <c:showCatName val="0"/>
          <c:showSerName val="0"/>
          <c:showPercent val="0"/>
          <c:showBubbleSize val="0"/>
        </c:dLbls>
        <c:gapWidth val="150"/>
        <c:axId val="126432000"/>
        <c:axId val="126433536"/>
      </c:barChart>
      <c:catAx>
        <c:axId val="126432000"/>
        <c:scaling>
          <c:orientation val="minMax"/>
        </c:scaling>
        <c:delete val="0"/>
        <c:axPos val="l"/>
        <c:majorTickMark val="out"/>
        <c:minorTickMark val="none"/>
        <c:tickLblPos val="nextTo"/>
        <c:txPr>
          <a:bodyPr/>
          <a:lstStyle/>
          <a:p>
            <a:pPr>
              <a:defRPr sz="800">
                <a:latin typeface="Arial" pitchFamily="34" charset="0"/>
                <a:cs typeface="Arial" pitchFamily="34" charset="0"/>
              </a:defRPr>
            </a:pPr>
            <a:endParaRPr lang="es-ES"/>
          </a:p>
        </c:txPr>
        <c:crossAx val="126433536"/>
        <c:crosses val="autoZero"/>
        <c:auto val="1"/>
        <c:lblAlgn val="ctr"/>
        <c:lblOffset val="100"/>
        <c:noMultiLvlLbl val="0"/>
      </c:catAx>
      <c:valAx>
        <c:axId val="126433536"/>
        <c:scaling>
          <c:orientation val="minMax"/>
        </c:scaling>
        <c:delete val="0"/>
        <c:axPos val="b"/>
        <c:majorGridlines>
          <c:spPr>
            <a:ln>
              <a:solidFill>
                <a:schemeClr val="bg1">
                  <a:lumMod val="75000"/>
                </a:schemeClr>
              </a:solidFill>
            </a:ln>
          </c:spPr>
        </c:majorGridlines>
        <c:numFmt formatCode="0%" sourceLinked="0"/>
        <c:majorTickMark val="out"/>
        <c:minorTickMark val="none"/>
        <c:tickLblPos val="nextTo"/>
        <c:txPr>
          <a:bodyPr/>
          <a:lstStyle/>
          <a:p>
            <a:pPr>
              <a:defRPr sz="800">
                <a:latin typeface="Arial" pitchFamily="34" charset="0"/>
                <a:cs typeface="Arial" pitchFamily="34" charset="0"/>
              </a:defRPr>
            </a:pPr>
            <a:endParaRPr lang="es-ES"/>
          </a:p>
        </c:txPr>
        <c:crossAx val="126432000"/>
        <c:crosses val="autoZero"/>
        <c:crossBetween val="between"/>
      </c:valAx>
    </c:plotArea>
    <c:plotVisOnly val="1"/>
    <c:dispBlanksAs val="gap"/>
    <c:showDLblsOverMax val="0"/>
  </c:chart>
  <c:spPr>
    <a:ln>
      <a:noFill/>
    </a:ln>
  </c:spPr>
  <c:externalData r:id="rId1">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0"/>
    <c:plotArea>
      <c:layout/>
      <c:barChart>
        <c:barDir val="col"/>
        <c:grouping val="clustered"/>
        <c:varyColors val="0"/>
        <c:ser>
          <c:idx val="0"/>
          <c:order val="0"/>
          <c:invertIfNegative val="0"/>
          <c:dLbls>
            <c:dLbl>
              <c:idx val="0"/>
              <c:layout/>
              <c:tx>
                <c:rich>
                  <a:bodyPr/>
                  <a:lstStyle/>
                  <a:p>
                    <a:r>
                      <a:rPr lang="en-US"/>
                      <a:t>%22,4</a:t>
                    </a:r>
                  </a:p>
                </c:rich>
              </c:tx>
              <c:showLegendKey val="0"/>
              <c:showVal val="1"/>
              <c:showCatName val="0"/>
              <c:showSerName val="0"/>
              <c:showPercent val="0"/>
              <c:showBubbleSize val="0"/>
            </c:dLbl>
            <c:dLbl>
              <c:idx val="1"/>
              <c:layout/>
              <c:tx>
                <c:rich>
                  <a:bodyPr/>
                  <a:lstStyle/>
                  <a:p>
                    <a:r>
                      <a:rPr lang="en-US"/>
                      <a:t>%28,9</a:t>
                    </a:r>
                  </a:p>
                </c:rich>
              </c:tx>
              <c:showLegendKey val="0"/>
              <c:showVal val="1"/>
              <c:showCatName val="0"/>
              <c:showSerName val="0"/>
              <c:showPercent val="0"/>
              <c:showBubbleSize val="0"/>
            </c:dLbl>
            <c:dLbl>
              <c:idx val="2"/>
              <c:layout/>
              <c:tx>
                <c:rich>
                  <a:bodyPr/>
                  <a:lstStyle/>
                  <a:p>
                    <a:r>
                      <a:rPr lang="en-US"/>
                      <a:t>%45,2</a:t>
                    </a:r>
                  </a:p>
                </c:rich>
              </c:tx>
              <c:showLegendKey val="0"/>
              <c:showVal val="1"/>
              <c:showCatName val="0"/>
              <c:showSerName val="0"/>
              <c:showPercent val="0"/>
              <c:showBubbleSize val="0"/>
            </c:dLbl>
            <c:dLbl>
              <c:idx val="3"/>
              <c:layout/>
              <c:tx>
                <c:rich>
                  <a:bodyPr/>
                  <a:lstStyle/>
                  <a:p>
                    <a:r>
                      <a:rPr lang="en-US"/>
                      <a:t>%78,1</a:t>
                    </a:r>
                  </a:p>
                </c:rich>
              </c:tx>
              <c:showLegendKey val="0"/>
              <c:showVal val="1"/>
              <c:showCatName val="0"/>
              <c:showSerName val="0"/>
              <c:showPercent val="0"/>
              <c:showBubbleSize val="0"/>
            </c:dLbl>
            <c:dLbl>
              <c:idx val="4"/>
              <c:layout/>
              <c:tx>
                <c:rich>
                  <a:bodyPr/>
                  <a:lstStyle/>
                  <a:p>
                    <a:r>
                      <a:rPr lang="en-US"/>
                      <a:t>%79,1</a:t>
                    </a:r>
                  </a:p>
                </c:rich>
              </c:tx>
              <c:showLegendKey val="0"/>
              <c:showVal val="1"/>
              <c:showCatName val="0"/>
              <c:showSerName val="0"/>
              <c:showPercent val="0"/>
              <c:showBubbleSize val="0"/>
            </c:dLbl>
            <c:dLbl>
              <c:idx val="5"/>
              <c:layout/>
              <c:tx>
                <c:rich>
                  <a:bodyPr/>
                  <a:lstStyle/>
                  <a:p>
                    <a:r>
                      <a:rPr lang="en-US"/>
                      <a:t>%85,1</a:t>
                    </a:r>
                  </a:p>
                </c:rich>
              </c:tx>
              <c:showLegendKey val="0"/>
              <c:showVal val="1"/>
              <c:showCatName val="0"/>
              <c:showSerName val="0"/>
              <c:showPercent val="0"/>
              <c:showBubbleSize val="0"/>
            </c:dLbl>
            <c:dLbl>
              <c:idx val="6"/>
              <c:layout/>
              <c:tx>
                <c:rich>
                  <a:bodyPr/>
                  <a:lstStyle/>
                  <a:p>
                    <a:r>
                      <a:rPr lang="en-US"/>
                      <a:t>%88,9</a:t>
                    </a:r>
                  </a:p>
                </c:rich>
              </c:tx>
              <c:showLegendKey val="0"/>
              <c:showVal val="1"/>
              <c:showCatName val="0"/>
              <c:showSerName val="0"/>
              <c:showPercent val="0"/>
              <c:showBubbleSize val="0"/>
            </c:dLbl>
            <c:numFmt formatCode="0.0%" sourceLinked="0"/>
            <c:txPr>
              <a:bodyPr/>
              <a:lstStyle/>
              <a:p>
                <a:pPr>
                  <a:defRPr sz="800" b="1">
                    <a:latin typeface="Arial" pitchFamily="34" charset="0"/>
                    <a:cs typeface="Arial" pitchFamily="34" charset="0"/>
                  </a:defRPr>
                </a:pPr>
                <a:endParaRPr lang="es-ES"/>
              </a:p>
            </c:txPr>
            <c:showLegendKey val="0"/>
            <c:showVal val="1"/>
            <c:showCatName val="0"/>
            <c:showSerName val="0"/>
            <c:showPercent val="0"/>
            <c:showBubbleSize val="0"/>
            <c:showLeaderLines val="0"/>
          </c:dLbls>
          <c:cat>
            <c:strRef>
              <c:f>INTERCOOPERACION!$A$40:$A$46</c:f>
              <c:strCache>
                <c:ptCount val="7"/>
                <c:pt idx="0">
                  <c:v>6tik behera</c:v>
                </c:pt>
                <c:pt idx="1">
                  <c:v>6 eta 15</c:v>
                </c:pt>
                <c:pt idx="2">
                  <c:v>16 eta 50</c:v>
                </c:pt>
                <c:pt idx="3">
                  <c:v>51 eta 100</c:v>
                </c:pt>
                <c:pt idx="4">
                  <c:v>101 eta 200</c:v>
                </c:pt>
                <c:pt idx="5">
                  <c:v>201 eta 500</c:v>
                </c:pt>
                <c:pt idx="6">
                  <c:v>500dik gora</c:v>
                </c:pt>
              </c:strCache>
            </c:strRef>
          </c:cat>
          <c:val>
            <c:numRef>
              <c:f>INTERCOOPERACION!$D$40:$D$46</c:f>
              <c:numCache>
                <c:formatCode>General</c:formatCode>
                <c:ptCount val="7"/>
                <c:pt idx="0">
                  <c:v>0.224</c:v>
                </c:pt>
                <c:pt idx="1">
                  <c:v>0.28900000000000031</c:v>
                </c:pt>
                <c:pt idx="2">
                  <c:v>0.45200000000000001</c:v>
                </c:pt>
                <c:pt idx="3">
                  <c:v>0.78099999999999992</c:v>
                </c:pt>
                <c:pt idx="4">
                  <c:v>0.79099999999999993</c:v>
                </c:pt>
                <c:pt idx="5">
                  <c:v>0.85100000000000064</c:v>
                </c:pt>
                <c:pt idx="6">
                  <c:v>0.88900000000000001</c:v>
                </c:pt>
              </c:numCache>
            </c:numRef>
          </c:val>
        </c:ser>
        <c:dLbls>
          <c:showLegendKey val="0"/>
          <c:showVal val="0"/>
          <c:showCatName val="0"/>
          <c:showSerName val="0"/>
          <c:showPercent val="0"/>
          <c:showBubbleSize val="0"/>
        </c:dLbls>
        <c:gapWidth val="150"/>
        <c:axId val="126474112"/>
        <c:axId val="126475648"/>
      </c:barChart>
      <c:catAx>
        <c:axId val="126474112"/>
        <c:scaling>
          <c:orientation val="minMax"/>
        </c:scaling>
        <c:delete val="0"/>
        <c:axPos val="b"/>
        <c:majorTickMark val="out"/>
        <c:minorTickMark val="none"/>
        <c:tickLblPos val="nextTo"/>
        <c:txPr>
          <a:bodyPr/>
          <a:lstStyle/>
          <a:p>
            <a:pPr>
              <a:defRPr sz="800">
                <a:latin typeface="Arial" pitchFamily="34" charset="0"/>
                <a:cs typeface="Arial" pitchFamily="34" charset="0"/>
              </a:defRPr>
            </a:pPr>
            <a:endParaRPr lang="es-ES"/>
          </a:p>
        </c:txPr>
        <c:crossAx val="126475648"/>
        <c:crosses val="autoZero"/>
        <c:auto val="1"/>
        <c:lblAlgn val="ctr"/>
        <c:lblOffset val="100"/>
        <c:noMultiLvlLbl val="0"/>
      </c:catAx>
      <c:valAx>
        <c:axId val="126475648"/>
        <c:scaling>
          <c:orientation val="minMax"/>
          <c:max val="1"/>
        </c:scaling>
        <c:delete val="0"/>
        <c:axPos val="l"/>
        <c:majorGridlines>
          <c:spPr>
            <a:ln>
              <a:solidFill>
                <a:schemeClr val="bg1">
                  <a:lumMod val="75000"/>
                </a:schemeClr>
              </a:solidFill>
            </a:ln>
          </c:spPr>
        </c:majorGridlines>
        <c:numFmt formatCode="0%" sourceLinked="0"/>
        <c:majorTickMark val="out"/>
        <c:minorTickMark val="none"/>
        <c:tickLblPos val="nextTo"/>
        <c:txPr>
          <a:bodyPr/>
          <a:lstStyle/>
          <a:p>
            <a:pPr>
              <a:defRPr sz="800">
                <a:latin typeface="Arial" pitchFamily="34" charset="0"/>
                <a:cs typeface="Arial" pitchFamily="34" charset="0"/>
              </a:defRPr>
            </a:pPr>
            <a:endParaRPr lang="es-ES"/>
          </a:p>
        </c:txPr>
        <c:crossAx val="126474112"/>
        <c:crosses val="autoZero"/>
        <c:crossBetween val="between"/>
        <c:majorUnit val="0.2"/>
        <c:minorUnit val="0.1"/>
      </c:valAx>
    </c:plotArea>
    <c:plotVisOnly val="1"/>
    <c:dispBlanksAs val="gap"/>
    <c:showDLblsOverMax val="0"/>
  </c:chart>
  <c:spPr>
    <a:ln>
      <a:noFill/>
    </a:ln>
  </c:spPr>
  <c:externalData r:id="rId1">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0"/>
    <c:plotArea>
      <c:layout>
        <c:manualLayout>
          <c:layoutTarget val="inner"/>
          <c:xMode val="edge"/>
          <c:yMode val="edge"/>
          <c:x val="0.31920492249789684"/>
          <c:y val="5.7709085851327425E-2"/>
          <c:w val="0.57461447036101665"/>
          <c:h val="0.76645162229692265"/>
        </c:manualLayout>
      </c:layout>
      <c:barChart>
        <c:barDir val="bar"/>
        <c:grouping val="clustered"/>
        <c:varyColors val="0"/>
        <c:ser>
          <c:idx val="0"/>
          <c:order val="0"/>
          <c:invertIfNegative val="0"/>
          <c:dLbls>
            <c:dLbl>
              <c:idx val="0"/>
              <c:layout/>
              <c:tx>
                <c:rich>
                  <a:bodyPr/>
                  <a:lstStyle/>
                  <a:p>
                    <a:r>
                      <a:rPr lang="en-US" b="0"/>
                      <a:t>%</a:t>
                    </a:r>
                    <a:r>
                      <a:rPr lang="en-US"/>
                      <a:t>41,5</a:t>
                    </a:r>
                  </a:p>
                </c:rich>
              </c:tx>
              <c:showLegendKey val="0"/>
              <c:showVal val="1"/>
              <c:showCatName val="0"/>
              <c:showSerName val="0"/>
              <c:showPercent val="0"/>
              <c:showBubbleSize val="0"/>
            </c:dLbl>
            <c:dLbl>
              <c:idx val="1"/>
              <c:layout/>
              <c:tx>
                <c:rich>
                  <a:bodyPr/>
                  <a:lstStyle/>
                  <a:p>
                    <a:r>
                      <a:rPr lang="en-US" b="0"/>
                      <a:t>%</a:t>
                    </a:r>
                    <a:r>
                      <a:rPr lang="en-US"/>
                      <a:t>52,8</a:t>
                    </a:r>
                  </a:p>
                </c:rich>
              </c:tx>
              <c:showLegendKey val="0"/>
              <c:showVal val="1"/>
              <c:showCatName val="0"/>
              <c:showSerName val="0"/>
              <c:showPercent val="0"/>
              <c:showBubbleSize val="0"/>
            </c:dLbl>
            <c:dLbl>
              <c:idx val="2"/>
              <c:layout/>
              <c:tx>
                <c:rich>
                  <a:bodyPr/>
                  <a:lstStyle/>
                  <a:p>
                    <a:r>
                      <a:rPr lang="en-US" b="0"/>
                      <a:t>%</a:t>
                    </a:r>
                    <a:r>
                      <a:rPr lang="en-US"/>
                      <a:t>75,7</a:t>
                    </a:r>
                  </a:p>
                </c:rich>
              </c:tx>
              <c:showLegendKey val="0"/>
              <c:showVal val="1"/>
              <c:showCatName val="0"/>
              <c:showSerName val="0"/>
              <c:showPercent val="0"/>
              <c:showBubbleSize val="0"/>
            </c:dLbl>
            <c:dLbl>
              <c:idx val="3"/>
              <c:layout/>
              <c:tx>
                <c:rich>
                  <a:bodyPr/>
                  <a:lstStyle/>
                  <a:p>
                    <a:r>
                      <a:rPr lang="en-US" b="0"/>
                      <a:t>%</a:t>
                    </a:r>
                    <a:r>
                      <a:rPr lang="en-US"/>
                      <a:t>83,8</a:t>
                    </a:r>
                  </a:p>
                </c:rich>
              </c:tx>
              <c:showLegendKey val="0"/>
              <c:showVal val="1"/>
              <c:showCatName val="0"/>
              <c:showSerName val="0"/>
              <c:showPercent val="0"/>
              <c:showBubbleSize val="0"/>
            </c:dLbl>
            <c:dLbl>
              <c:idx val="4"/>
              <c:layout>
                <c:manualLayout>
                  <c:x val="-6.2893081761006631E-3"/>
                  <c:y val="0"/>
                </c:manualLayout>
              </c:layout>
              <c:tx>
                <c:rich>
                  <a:bodyPr/>
                  <a:lstStyle/>
                  <a:p>
                    <a:r>
                      <a:rPr lang="en-US" b="0"/>
                      <a:t>%</a:t>
                    </a:r>
                    <a:r>
                      <a:rPr lang="en-US"/>
                      <a:t>89,1</a:t>
                    </a:r>
                  </a:p>
                </c:rich>
              </c:tx>
              <c:showLegendKey val="0"/>
              <c:showVal val="1"/>
              <c:showCatName val="0"/>
              <c:showSerName val="0"/>
              <c:showPercent val="0"/>
              <c:showBubbleSize val="0"/>
            </c:dLbl>
            <c:dLbl>
              <c:idx val="5"/>
              <c:layout/>
              <c:tx>
                <c:rich>
                  <a:bodyPr/>
                  <a:lstStyle/>
                  <a:p>
                    <a:r>
                      <a:rPr lang="en-US" b="0"/>
                      <a:t>%</a:t>
                    </a:r>
                    <a:r>
                      <a:rPr lang="en-US"/>
                      <a:t>96,1</a:t>
                    </a:r>
                  </a:p>
                </c:rich>
              </c:tx>
              <c:showLegendKey val="0"/>
              <c:showVal val="1"/>
              <c:showCatName val="0"/>
              <c:showSerName val="0"/>
              <c:showPercent val="0"/>
              <c:showBubbleSize val="0"/>
            </c:dLbl>
            <c:dLbl>
              <c:idx val="6"/>
              <c:layout/>
              <c:tx>
                <c:rich>
                  <a:bodyPr/>
                  <a:lstStyle/>
                  <a:p>
                    <a:r>
                      <a:rPr lang="en-US" b="0"/>
                      <a:t>%</a:t>
                    </a:r>
                    <a:r>
                      <a:rPr lang="en-US"/>
                      <a:t>46,8</a:t>
                    </a:r>
                  </a:p>
                </c:rich>
              </c:tx>
              <c:showLegendKey val="0"/>
              <c:showVal val="1"/>
              <c:showCatName val="0"/>
              <c:showSerName val="0"/>
              <c:showPercent val="0"/>
              <c:showBubbleSize val="0"/>
            </c:dLbl>
            <c:dLbl>
              <c:idx val="7"/>
              <c:layout/>
              <c:tx>
                <c:rich>
                  <a:bodyPr/>
                  <a:lstStyle/>
                  <a:p>
                    <a:r>
                      <a:rPr lang="en-US" b="0"/>
                      <a:t>%</a:t>
                    </a:r>
                    <a:r>
                      <a:rPr lang="en-US"/>
                      <a:t>51,5</a:t>
                    </a:r>
                  </a:p>
                </c:rich>
              </c:tx>
              <c:showLegendKey val="0"/>
              <c:showVal val="1"/>
              <c:showCatName val="0"/>
              <c:showSerName val="0"/>
              <c:showPercent val="0"/>
              <c:showBubbleSize val="0"/>
            </c:dLbl>
            <c:numFmt formatCode="0.0%" sourceLinked="0"/>
            <c:txPr>
              <a:bodyPr/>
              <a:lstStyle/>
              <a:p>
                <a:pPr>
                  <a:defRPr sz="800" b="0">
                    <a:latin typeface="Arial" pitchFamily="34" charset="0"/>
                    <a:cs typeface="Arial" pitchFamily="34" charset="0"/>
                  </a:defRPr>
                </a:pPr>
                <a:endParaRPr lang="es-ES"/>
              </a:p>
            </c:txPr>
            <c:showLegendKey val="0"/>
            <c:showVal val="1"/>
            <c:showCatName val="0"/>
            <c:showSerName val="0"/>
            <c:showPercent val="0"/>
            <c:showBubbleSize val="0"/>
            <c:showLeaderLines val="0"/>
          </c:dLbls>
          <c:cat>
            <c:strRef>
              <c:f>INTERCOOPERACION!$A$68:$A$75</c:f>
              <c:strCache>
                <c:ptCount val="8"/>
                <c:pt idx="0">
                  <c:v>6tik behera</c:v>
                </c:pt>
                <c:pt idx="1">
                  <c:v>6 eta 15</c:v>
                </c:pt>
                <c:pt idx="2">
                  <c:v>16 eta 50</c:v>
                </c:pt>
                <c:pt idx="3">
                  <c:v>51 eta 100</c:v>
                </c:pt>
                <c:pt idx="4">
                  <c:v>101 eta 200</c:v>
                </c:pt>
                <c:pt idx="5">
                  <c:v>201 eta 500</c:v>
                </c:pt>
                <c:pt idx="6">
                  <c:v>500dik gora</c:v>
                </c:pt>
                <c:pt idx="7">
                  <c:v>GUZTIRA</c:v>
                </c:pt>
              </c:strCache>
            </c:strRef>
          </c:cat>
          <c:val>
            <c:numRef>
              <c:f>INTERCOOPERACION!$D$68:$D$75</c:f>
              <c:numCache>
                <c:formatCode>General</c:formatCode>
                <c:ptCount val="8"/>
                <c:pt idx="0">
                  <c:v>0.41500000000000031</c:v>
                </c:pt>
                <c:pt idx="1">
                  <c:v>0.52800000000000002</c:v>
                </c:pt>
                <c:pt idx="2">
                  <c:v>0.75700000000000178</c:v>
                </c:pt>
                <c:pt idx="3">
                  <c:v>0.83800000000000063</c:v>
                </c:pt>
                <c:pt idx="4">
                  <c:v>0.8909999999999999</c:v>
                </c:pt>
                <c:pt idx="5">
                  <c:v>0.96100000000000063</c:v>
                </c:pt>
                <c:pt idx="6">
                  <c:v>0.46800000000000008</c:v>
                </c:pt>
                <c:pt idx="7">
                  <c:v>0.51500000000000001</c:v>
                </c:pt>
              </c:numCache>
            </c:numRef>
          </c:val>
        </c:ser>
        <c:dLbls>
          <c:showLegendKey val="0"/>
          <c:showVal val="0"/>
          <c:showCatName val="0"/>
          <c:showSerName val="0"/>
          <c:showPercent val="0"/>
          <c:showBubbleSize val="0"/>
        </c:dLbls>
        <c:gapWidth val="150"/>
        <c:axId val="125045760"/>
        <c:axId val="125051648"/>
      </c:barChart>
      <c:catAx>
        <c:axId val="125045760"/>
        <c:scaling>
          <c:orientation val="minMax"/>
        </c:scaling>
        <c:delete val="0"/>
        <c:axPos val="l"/>
        <c:majorTickMark val="out"/>
        <c:minorTickMark val="none"/>
        <c:tickLblPos val="nextTo"/>
        <c:txPr>
          <a:bodyPr/>
          <a:lstStyle/>
          <a:p>
            <a:pPr>
              <a:defRPr sz="800">
                <a:latin typeface="Arial" pitchFamily="34" charset="0"/>
                <a:cs typeface="Arial" pitchFamily="34" charset="0"/>
              </a:defRPr>
            </a:pPr>
            <a:endParaRPr lang="es-ES"/>
          </a:p>
        </c:txPr>
        <c:crossAx val="125051648"/>
        <c:crosses val="autoZero"/>
        <c:auto val="1"/>
        <c:lblAlgn val="ctr"/>
        <c:lblOffset val="100"/>
        <c:noMultiLvlLbl val="0"/>
      </c:catAx>
      <c:valAx>
        <c:axId val="125051648"/>
        <c:scaling>
          <c:orientation val="minMax"/>
        </c:scaling>
        <c:delete val="0"/>
        <c:axPos val="b"/>
        <c:majorGridlines>
          <c:spPr>
            <a:ln>
              <a:solidFill>
                <a:schemeClr val="bg1">
                  <a:lumMod val="75000"/>
                </a:schemeClr>
              </a:solidFill>
            </a:ln>
          </c:spPr>
        </c:majorGridlines>
        <c:numFmt formatCode="0%" sourceLinked="0"/>
        <c:majorTickMark val="out"/>
        <c:minorTickMark val="none"/>
        <c:tickLblPos val="nextTo"/>
        <c:txPr>
          <a:bodyPr/>
          <a:lstStyle/>
          <a:p>
            <a:pPr>
              <a:defRPr sz="800">
                <a:latin typeface="Arial" pitchFamily="34" charset="0"/>
                <a:cs typeface="Arial" pitchFamily="34" charset="0"/>
              </a:defRPr>
            </a:pPr>
            <a:endParaRPr lang="es-ES"/>
          </a:p>
        </c:txPr>
        <c:crossAx val="125045760"/>
        <c:crosses val="autoZero"/>
        <c:crossBetween val="between"/>
      </c:valAx>
    </c:plotArea>
    <c:plotVisOnly val="1"/>
    <c:dispBlanksAs val="gap"/>
    <c:showDLblsOverMax val="0"/>
  </c:chart>
  <c:spPr>
    <a:ln>
      <a:noFill/>
    </a:ln>
  </c:spPr>
  <c:externalData r:id="rId1">
    <c:autoUpdate val="0"/>
  </c:externalData>
</c:chartSpace>
</file>

<file path=word/charts/chart6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0"/>
    <c:plotArea>
      <c:layout>
        <c:manualLayout>
          <c:layoutTarget val="inner"/>
          <c:xMode val="edge"/>
          <c:yMode val="edge"/>
          <c:x val="0.22324230132390491"/>
          <c:y val="9.5688388090000798E-2"/>
          <c:w val="0.61514442926039559"/>
          <c:h val="0.68399973226066768"/>
        </c:manualLayout>
      </c:layout>
      <c:barChart>
        <c:barDir val="bar"/>
        <c:grouping val="clustered"/>
        <c:varyColors val="0"/>
        <c:ser>
          <c:idx val="0"/>
          <c:order val="0"/>
          <c:invertIfNegative val="0"/>
          <c:dLbls>
            <c:dLbl>
              <c:idx val="0"/>
              <c:layout>
                <c:manualLayout>
                  <c:x val="1.6666666666666701E-2"/>
                  <c:y val="-1.3888888888889063E-2"/>
                </c:manualLayout>
              </c:layout>
              <c:tx>
                <c:rich>
                  <a:bodyPr/>
                  <a:lstStyle/>
                  <a:p>
                    <a:r>
                      <a:rPr lang="en-US" b="0"/>
                      <a:t>%</a:t>
                    </a:r>
                    <a:r>
                      <a:rPr lang="en-US"/>
                      <a:t>61,5</a:t>
                    </a:r>
                  </a:p>
                </c:rich>
              </c:tx>
              <c:showLegendKey val="0"/>
              <c:showVal val="1"/>
              <c:showCatName val="0"/>
              <c:showSerName val="0"/>
              <c:showPercent val="0"/>
              <c:showBubbleSize val="0"/>
            </c:dLbl>
            <c:dLbl>
              <c:idx val="1"/>
              <c:layout>
                <c:manualLayout>
                  <c:x val="1.6666666666666701E-2"/>
                  <c:y val="-1.3888888888888987E-2"/>
                </c:manualLayout>
              </c:layout>
              <c:tx>
                <c:rich>
                  <a:bodyPr/>
                  <a:lstStyle/>
                  <a:p>
                    <a:r>
                      <a:rPr lang="en-US" b="0"/>
                      <a:t>%</a:t>
                    </a:r>
                    <a:r>
                      <a:rPr lang="en-US"/>
                      <a:t>39,5</a:t>
                    </a:r>
                  </a:p>
                </c:rich>
              </c:tx>
              <c:showLegendKey val="0"/>
              <c:showVal val="1"/>
              <c:showCatName val="0"/>
              <c:showSerName val="0"/>
              <c:showPercent val="0"/>
              <c:showBubbleSize val="0"/>
            </c:dLbl>
            <c:dLbl>
              <c:idx val="2"/>
              <c:layout>
                <c:manualLayout>
                  <c:x val="1.1111111111111125E-2"/>
                  <c:y val="-4.6296296296297014E-3"/>
                </c:manualLayout>
              </c:layout>
              <c:tx>
                <c:rich>
                  <a:bodyPr/>
                  <a:lstStyle/>
                  <a:p>
                    <a:r>
                      <a:rPr lang="en-US" b="0"/>
                      <a:t>%</a:t>
                    </a:r>
                    <a:r>
                      <a:rPr lang="en-US"/>
                      <a:t>26,9</a:t>
                    </a:r>
                  </a:p>
                </c:rich>
              </c:tx>
              <c:showLegendKey val="0"/>
              <c:showVal val="1"/>
              <c:showCatName val="0"/>
              <c:showSerName val="0"/>
              <c:showPercent val="0"/>
              <c:showBubbleSize val="0"/>
            </c:dLbl>
            <c:dLbl>
              <c:idx val="3"/>
              <c:layout>
                <c:manualLayout>
                  <c:x val="1.1111111111111125E-2"/>
                  <c:y val="-4.6296296296296589E-3"/>
                </c:manualLayout>
              </c:layout>
              <c:tx>
                <c:rich>
                  <a:bodyPr/>
                  <a:lstStyle/>
                  <a:p>
                    <a:r>
                      <a:rPr lang="en-US" b="0"/>
                      <a:t>%</a:t>
                    </a:r>
                    <a:r>
                      <a:rPr lang="en-US"/>
                      <a:t>51,5</a:t>
                    </a:r>
                  </a:p>
                </c:rich>
              </c:tx>
              <c:showLegendKey val="0"/>
              <c:showVal val="1"/>
              <c:showCatName val="0"/>
              <c:showSerName val="0"/>
              <c:showPercent val="0"/>
              <c:showBubbleSize val="0"/>
            </c:dLbl>
            <c:numFmt formatCode="0.0%" sourceLinked="0"/>
            <c:txPr>
              <a:bodyPr/>
              <a:lstStyle/>
              <a:p>
                <a:pPr>
                  <a:defRPr sz="800" b="0">
                    <a:latin typeface="Arial" pitchFamily="34" charset="0"/>
                    <a:cs typeface="Arial" pitchFamily="34" charset="0"/>
                  </a:defRPr>
                </a:pPr>
                <a:endParaRPr lang="es-ES"/>
              </a:p>
            </c:txPr>
            <c:showLegendKey val="0"/>
            <c:showVal val="1"/>
            <c:showCatName val="0"/>
            <c:showSerName val="0"/>
            <c:showPercent val="0"/>
            <c:showBubbleSize val="0"/>
            <c:showLeaderLines val="0"/>
          </c:dLbls>
          <c:cat>
            <c:strRef>
              <c:f>INTERCOOPERACION!$A$62:$A$65</c:f>
              <c:strCache>
                <c:ptCount val="4"/>
                <c:pt idx="0">
                  <c:v>KOOP.</c:v>
                </c:pt>
                <c:pt idx="1">
                  <c:v>LSA</c:v>
                </c:pt>
                <c:pt idx="2">
                  <c:v>LSM</c:v>
                </c:pt>
                <c:pt idx="3">
                  <c:v>GUZTIRA</c:v>
                </c:pt>
              </c:strCache>
            </c:strRef>
          </c:cat>
          <c:val>
            <c:numRef>
              <c:f>INTERCOOPERACION!$D$62:$D$65</c:f>
              <c:numCache>
                <c:formatCode>General</c:formatCode>
                <c:ptCount val="4"/>
                <c:pt idx="0">
                  <c:v>0.61500000000000066</c:v>
                </c:pt>
                <c:pt idx="1">
                  <c:v>0.39500000000000046</c:v>
                </c:pt>
                <c:pt idx="2">
                  <c:v>0.26900000000000002</c:v>
                </c:pt>
                <c:pt idx="3">
                  <c:v>0.51500000000000001</c:v>
                </c:pt>
              </c:numCache>
            </c:numRef>
          </c:val>
        </c:ser>
        <c:dLbls>
          <c:showLegendKey val="0"/>
          <c:showVal val="0"/>
          <c:showCatName val="0"/>
          <c:showSerName val="0"/>
          <c:showPercent val="0"/>
          <c:showBubbleSize val="0"/>
        </c:dLbls>
        <c:gapWidth val="150"/>
        <c:axId val="125080320"/>
        <c:axId val="125081856"/>
      </c:barChart>
      <c:catAx>
        <c:axId val="125080320"/>
        <c:scaling>
          <c:orientation val="minMax"/>
        </c:scaling>
        <c:delete val="0"/>
        <c:axPos val="l"/>
        <c:majorTickMark val="out"/>
        <c:minorTickMark val="none"/>
        <c:tickLblPos val="nextTo"/>
        <c:txPr>
          <a:bodyPr/>
          <a:lstStyle/>
          <a:p>
            <a:pPr>
              <a:defRPr sz="800">
                <a:latin typeface="Arial" pitchFamily="34" charset="0"/>
                <a:cs typeface="Arial" pitchFamily="34" charset="0"/>
              </a:defRPr>
            </a:pPr>
            <a:endParaRPr lang="es-ES"/>
          </a:p>
        </c:txPr>
        <c:crossAx val="125081856"/>
        <c:crosses val="autoZero"/>
        <c:auto val="1"/>
        <c:lblAlgn val="ctr"/>
        <c:lblOffset val="100"/>
        <c:noMultiLvlLbl val="0"/>
      </c:catAx>
      <c:valAx>
        <c:axId val="125081856"/>
        <c:scaling>
          <c:orientation val="minMax"/>
          <c:max val="0.8"/>
        </c:scaling>
        <c:delete val="0"/>
        <c:axPos val="b"/>
        <c:majorGridlines>
          <c:spPr>
            <a:ln>
              <a:solidFill>
                <a:schemeClr val="bg1">
                  <a:lumMod val="75000"/>
                </a:schemeClr>
              </a:solidFill>
            </a:ln>
          </c:spPr>
        </c:majorGridlines>
        <c:numFmt formatCode="0%" sourceLinked="0"/>
        <c:majorTickMark val="out"/>
        <c:minorTickMark val="none"/>
        <c:tickLblPos val="nextTo"/>
        <c:txPr>
          <a:bodyPr/>
          <a:lstStyle/>
          <a:p>
            <a:pPr>
              <a:defRPr sz="800">
                <a:latin typeface="Arial" pitchFamily="34" charset="0"/>
                <a:cs typeface="Arial" pitchFamily="34" charset="0"/>
              </a:defRPr>
            </a:pPr>
            <a:endParaRPr lang="es-ES"/>
          </a:p>
        </c:txPr>
        <c:crossAx val="125080320"/>
        <c:crosses val="autoZero"/>
        <c:crossBetween val="between"/>
        <c:majorUnit val="0.2"/>
        <c:minorUnit val="0.1"/>
      </c:valAx>
    </c:plotArea>
    <c:plotVisOnly val="1"/>
    <c:dispBlanksAs val="gap"/>
    <c:showDLblsOverMax val="0"/>
  </c:chart>
  <c:spPr>
    <a:ln>
      <a:noFill/>
    </a:ln>
  </c:spPr>
  <c:externalData r:id="rId1">
    <c:autoUpdate val="0"/>
  </c:externalData>
</c:chartSpace>
</file>

<file path=word/charts/chart6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9.9190283400809709E-2"/>
          <c:y val="4.5454545454545484E-2"/>
          <c:w val="0.88056680161943257"/>
          <c:h val="0.68181818181818199"/>
        </c:manualLayout>
      </c:layout>
      <c:barChart>
        <c:barDir val="col"/>
        <c:grouping val="clustered"/>
        <c:varyColors val="0"/>
        <c:ser>
          <c:idx val="0"/>
          <c:order val="0"/>
          <c:tx>
            <c:strRef>
              <c:f>Sheet1!$A$2</c:f>
              <c:strCache>
                <c:ptCount val="1"/>
                <c:pt idx="0">
                  <c:v>Fundazioak</c:v>
                </c:pt>
              </c:strCache>
            </c:strRef>
          </c:tx>
          <c:invertIfNegative val="0"/>
          <c:dLbls>
            <c:dLbl>
              <c:idx val="0"/>
              <c:layout>
                <c:manualLayout>
                  <c:x val="3.1296202653567505E-3"/>
                  <c:y val="-2.8561202576950693E-2"/>
                </c:manualLayout>
              </c:layout>
              <c:showLegendKey val="0"/>
              <c:showVal val="1"/>
              <c:showCatName val="0"/>
              <c:showSerName val="0"/>
              <c:showPercent val="0"/>
              <c:showBubbleSize val="0"/>
            </c:dLbl>
            <c:dLbl>
              <c:idx val="1"/>
              <c:layout>
                <c:manualLayout>
                  <c:x val="1.987628366754045E-4"/>
                  <c:y val="-9.8739758880066669E-2"/>
                </c:manualLayout>
              </c:layout>
              <c:showLegendKey val="0"/>
              <c:showVal val="1"/>
              <c:showCatName val="0"/>
              <c:showSerName val="0"/>
              <c:showPercent val="0"/>
              <c:showBubbleSize val="0"/>
            </c:dLbl>
            <c:dLbl>
              <c:idx val="2"/>
              <c:layout>
                <c:manualLayout>
                  <c:x val="9.615221941536323E-3"/>
                  <c:y val="-8.0820560133000305E-2"/>
                </c:manualLayout>
              </c:layout>
              <c:showLegendKey val="0"/>
              <c:showVal val="1"/>
              <c:showCatName val="0"/>
              <c:showSerName val="0"/>
              <c:showPercent val="0"/>
              <c:showBubbleSize val="0"/>
            </c:dLbl>
            <c:dLbl>
              <c:idx val="3"/>
              <c:layout>
                <c:manualLayout>
                  <c:xMode val="edge"/>
                  <c:yMode val="edge"/>
                  <c:x val="0.72469635627530649"/>
                  <c:y val="9.0909090909091373E-3"/>
                </c:manualLayout>
              </c:layout>
              <c:showLegendKey val="0"/>
              <c:showVal val="1"/>
              <c:showCatName val="0"/>
              <c:showSerName val="0"/>
              <c:showPercent val="0"/>
              <c:showBubbleSize val="0"/>
            </c:dLbl>
            <c:dLbl>
              <c:idx val="4"/>
              <c:layout>
                <c:manualLayout>
                  <c:xMode val="edge"/>
                  <c:yMode val="edge"/>
                  <c:x val="0.69230769230769285"/>
                  <c:y val="0.36363636363636381"/>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Sheet1!$B$1</c:f>
              <c:strCache>
                <c:ptCount val="1"/>
                <c:pt idx="0">
                  <c:v>Total</c:v>
                </c:pt>
              </c:strCache>
            </c:strRef>
          </c:cat>
          <c:val>
            <c:numRef>
              <c:f>Sheet1!$B$2</c:f>
              <c:numCache>
                <c:formatCode>#,##0</c:formatCode>
                <c:ptCount val="1"/>
                <c:pt idx="0">
                  <c:v>615</c:v>
                </c:pt>
              </c:numCache>
            </c:numRef>
          </c:val>
        </c:ser>
        <c:ser>
          <c:idx val="1"/>
          <c:order val="1"/>
          <c:tx>
            <c:strRef>
              <c:f>Sheet1!$A$3</c:f>
              <c:strCache>
                <c:ptCount val="1"/>
                <c:pt idx="0">
                  <c:v>Onura publikoko erakundeak</c:v>
                </c:pt>
              </c:strCache>
            </c:strRef>
          </c:tx>
          <c:invertIfNegative val="0"/>
          <c:dLbls>
            <c:showLegendKey val="0"/>
            <c:showVal val="1"/>
            <c:showCatName val="0"/>
            <c:showSerName val="0"/>
            <c:showPercent val="0"/>
            <c:showBubbleSize val="0"/>
            <c:showLeaderLines val="0"/>
          </c:dLbls>
          <c:cat>
            <c:strRef>
              <c:f>Sheet1!$B$1</c:f>
              <c:strCache>
                <c:ptCount val="1"/>
                <c:pt idx="0">
                  <c:v>Total</c:v>
                </c:pt>
              </c:strCache>
            </c:strRef>
          </c:cat>
          <c:val>
            <c:numRef>
              <c:f>Sheet1!$B$3</c:f>
              <c:numCache>
                <c:formatCode>#,##0</c:formatCode>
                <c:ptCount val="1"/>
                <c:pt idx="0">
                  <c:v>189</c:v>
                </c:pt>
              </c:numCache>
            </c:numRef>
          </c:val>
        </c:ser>
        <c:dLbls>
          <c:showLegendKey val="0"/>
          <c:showVal val="0"/>
          <c:showCatName val="0"/>
          <c:showSerName val="0"/>
          <c:showPercent val="0"/>
          <c:showBubbleSize val="0"/>
        </c:dLbls>
        <c:gapWidth val="150"/>
        <c:axId val="125135872"/>
        <c:axId val="125138048"/>
      </c:barChart>
      <c:catAx>
        <c:axId val="125135872"/>
        <c:scaling>
          <c:orientation val="minMax"/>
        </c:scaling>
        <c:delete val="1"/>
        <c:axPos val="b"/>
        <c:title>
          <c:tx>
            <c:rich>
              <a:bodyPr/>
              <a:lstStyle/>
              <a:p>
                <a:pPr>
                  <a:defRPr/>
                </a:pPr>
                <a:r>
                  <a:rPr lang="es-ES" b="0"/>
                  <a:t>Guztira</a:t>
                </a:r>
              </a:p>
            </c:rich>
          </c:tx>
          <c:layout>
            <c:manualLayout>
              <c:xMode val="edge"/>
              <c:yMode val="edge"/>
              <c:x val="0.42493992150063831"/>
              <c:y val="0.75420875420875588"/>
            </c:manualLayout>
          </c:layout>
          <c:overlay val="0"/>
        </c:title>
        <c:numFmt formatCode="General" sourceLinked="1"/>
        <c:majorTickMark val="out"/>
        <c:minorTickMark val="none"/>
        <c:tickLblPos val="none"/>
        <c:crossAx val="125138048"/>
        <c:crosses val="autoZero"/>
        <c:auto val="1"/>
        <c:lblAlgn val="ctr"/>
        <c:lblOffset val="100"/>
        <c:tickLblSkip val="1"/>
        <c:tickMarkSkip val="1"/>
        <c:noMultiLvlLbl val="0"/>
      </c:catAx>
      <c:valAx>
        <c:axId val="125138048"/>
        <c:scaling>
          <c:orientation val="minMax"/>
          <c:max val="800"/>
          <c:min val="0"/>
        </c:scaling>
        <c:delete val="0"/>
        <c:axPos val="l"/>
        <c:majorGridlines/>
        <c:numFmt formatCode="#,##0" sourceLinked="0"/>
        <c:majorTickMark val="out"/>
        <c:minorTickMark val="none"/>
        <c:tickLblPos val="nextTo"/>
        <c:txPr>
          <a:bodyPr rot="0" vert="horz"/>
          <a:lstStyle/>
          <a:p>
            <a:pPr>
              <a:defRPr/>
            </a:pPr>
            <a:endParaRPr lang="es-ES"/>
          </a:p>
        </c:txPr>
        <c:crossAx val="125135872"/>
        <c:crosses val="autoZero"/>
        <c:crossBetween val="between"/>
        <c:majorUnit val="200"/>
        <c:minorUnit val="200"/>
      </c:valAx>
    </c:plotArea>
    <c:legend>
      <c:legendPos val="b"/>
      <c:layout>
        <c:manualLayout>
          <c:xMode val="edge"/>
          <c:yMode val="edge"/>
          <c:x val="0.21659924390185223"/>
          <c:y val="0.84814814814814865"/>
          <c:w val="0.64331358809506556"/>
          <c:h val="9.9970306741960585E-2"/>
        </c:manualLayout>
      </c:layout>
      <c:overlay val="0"/>
    </c:legend>
    <c:plotVisOnly val="1"/>
    <c:dispBlanksAs val="gap"/>
    <c:showDLblsOverMax val="0"/>
  </c:chart>
  <c:spPr>
    <a:noFill/>
    <a:ln>
      <a:noFill/>
    </a:ln>
  </c:spPr>
  <c:txPr>
    <a:bodyPr/>
    <a:lstStyle/>
    <a:p>
      <a:pPr>
        <a:defRPr sz="800">
          <a:latin typeface="Arial" pitchFamily="34" charset="0"/>
          <a:cs typeface="Arial" pitchFamily="34" charset="0"/>
        </a:defRPr>
      </a:pPr>
      <a:endParaRPr lang="es-ES"/>
    </a:p>
  </c:txPr>
  <c:externalData r:id="rId1">
    <c:autoUpdate val="0"/>
  </c:externalData>
</c:chartSpace>
</file>

<file path=word/charts/chart6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9.9190283400809709E-2"/>
          <c:y val="4.5454545454545463E-2"/>
          <c:w val="0.88056680161943257"/>
          <c:h val="0.68181818181818177"/>
        </c:manualLayout>
      </c:layout>
      <c:barChart>
        <c:barDir val="col"/>
        <c:grouping val="clustered"/>
        <c:varyColors val="0"/>
        <c:ser>
          <c:idx val="0"/>
          <c:order val="0"/>
          <c:tx>
            <c:strRef>
              <c:f>Sheet1!$A$2</c:f>
              <c:strCache>
                <c:ptCount val="1"/>
                <c:pt idx="0">
                  <c:v>Fundazioak</c:v>
                </c:pt>
              </c:strCache>
            </c:strRef>
          </c:tx>
          <c:invertIfNegative val="0"/>
          <c:dLbls>
            <c:dLbl>
              <c:idx val="0"/>
              <c:layout>
                <c:manualLayout>
                  <c:x val="3.1295024292176251E-3"/>
                  <c:y val="-1.052125493659087E-2"/>
                </c:manualLayout>
              </c:layout>
              <c:showLegendKey val="0"/>
              <c:showVal val="1"/>
              <c:showCatName val="0"/>
              <c:showSerName val="0"/>
              <c:showPercent val="0"/>
              <c:showBubbleSize val="0"/>
            </c:dLbl>
            <c:dLbl>
              <c:idx val="1"/>
              <c:layout>
                <c:manualLayout>
                  <c:x val="1.9876283667540442E-4"/>
                  <c:y val="-9.8739758880066267E-2"/>
                </c:manualLayout>
              </c:layout>
              <c:showLegendKey val="0"/>
              <c:showVal val="1"/>
              <c:showCatName val="0"/>
              <c:showSerName val="0"/>
              <c:showPercent val="0"/>
              <c:showBubbleSize val="0"/>
            </c:dLbl>
            <c:dLbl>
              <c:idx val="2"/>
              <c:layout>
                <c:manualLayout>
                  <c:x val="9.615221941536323E-3"/>
                  <c:y val="-8.0820560133000263E-2"/>
                </c:manualLayout>
              </c:layout>
              <c:showLegendKey val="0"/>
              <c:showVal val="1"/>
              <c:showCatName val="0"/>
              <c:showSerName val="0"/>
              <c:showPercent val="0"/>
              <c:showBubbleSize val="0"/>
            </c:dLbl>
            <c:dLbl>
              <c:idx val="3"/>
              <c:layout>
                <c:manualLayout>
                  <c:xMode val="edge"/>
                  <c:yMode val="edge"/>
                  <c:x val="0.72469635627530615"/>
                  <c:y val="9.0909090909091338E-3"/>
                </c:manualLayout>
              </c:layout>
              <c:showLegendKey val="0"/>
              <c:showVal val="1"/>
              <c:showCatName val="0"/>
              <c:showSerName val="0"/>
              <c:showPercent val="0"/>
              <c:showBubbleSize val="0"/>
            </c:dLbl>
            <c:dLbl>
              <c:idx val="4"/>
              <c:layout>
                <c:manualLayout>
                  <c:xMode val="edge"/>
                  <c:yMode val="edge"/>
                  <c:x val="0.69230769230769262"/>
                  <c:y val="0.36363636363636381"/>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Sheet1!$B$1:$B$1</c:f>
              <c:strCache>
                <c:ptCount val="1"/>
                <c:pt idx="0">
                  <c:v>Guztira</c:v>
                </c:pt>
              </c:strCache>
            </c:strRef>
          </c:cat>
          <c:val>
            <c:numRef>
              <c:f>Sheet1!$B$2:$B$2</c:f>
              <c:numCache>
                <c:formatCode>#,##0</c:formatCode>
                <c:ptCount val="1"/>
                <c:pt idx="0">
                  <c:v>12315</c:v>
                </c:pt>
              </c:numCache>
            </c:numRef>
          </c:val>
        </c:ser>
        <c:ser>
          <c:idx val="1"/>
          <c:order val="1"/>
          <c:tx>
            <c:strRef>
              <c:f>Sheet1!$A$3</c:f>
              <c:strCache>
                <c:ptCount val="1"/>
                <c:pt idx="0">
                  <c:v>Onura publikoko erakundeak</c:v>
                </c:pt>
              </c:strCache>
            </c:strRef>
          </c:tx>
          <c:invertIfNegative val="0"/>
          <c:dLbls>
            <c:dLbl>
              <c:idx val="0"/>
              <c:layout>
                <c:manualLayout>
                  <c:x val="4.5990953258502444E-3"/>
                  <c:y val="-3.4286064709201071E-2"/>
                </c:manualLayout>
              </c:layout>
              <c:showLegendKey val="0"/>
              <c:showVal val="1"/>
              <c:showCatName val="0"/>
              <c:showSerName val="0"/>
              <c:showPercent val="0"/>
              <c:showBubbleSize val="0"/>
            </c:dLbl>
            <c:dLbl>
              <c:idx val="1"/>
              <c:layout>
                <c:manualLayout>
                  <c:x val="3.3686659109486879E-2"/>
                  <c:y val="-5.0228406246730091E-2"/>
                </c:manualLayout>
              </c:layout>
              <c:showLegendKey val="0"/>
              <c:showVal val="1"/>
              <c:showCatName val="0"/>
              <c:showSerName val="0"/>
              <c:showPercent val="0"/>
              <c:showBubbleSize val="0"/>
            </c:dLbl>
            <c:dLbl>
              <c:idx val="2"/>
              <c:layout>
                <c:manualLayout>
                  <c:x val="5.7071667317270931E-2"/>
                  <c:y val="-7.1937712067788567E-2"/>
                </c:manualLayout>
              </c:layout>
              <c:showLegendKey val="0"/>
              <c:showVal val="1"/>
              <c:showCatName val="0"/>
              <c:showSerName val="0"/>
              <c:showPercent val="0"/>
              <c:showBubbleSize val="0"/>
            </c:dLbl>
            <c:dLbl>
              <c:idx val="3"/>
              <c:layout>
                <c:manualLayout>
                  <c:xMode val="edge"/>
                  <c:yMode val="edge"/>
                  <c:x val="0.79757085020242913"/>
                  <c:y val="0.11363636363636358"/>
                </c:manualLayout>
              </c:layout>
              <c:showLegendKey val="0"/>
              <c:showVal val="1"/>
              <c:showCatName val="0"/>
              <c:showSerName val="0"/>
              <c:showPercent val="0"/>
              <c:showBubbleSize val="0"/>
            </c:dLbl>
            <c:dLbl>
              <c:idx val="4"/>
              <c:layout>
                <c:manualLayout>
                  <c:xMode val="edge"/>
                  <c:yMode val="edge"/>
                  <c:x val="0.7672064777327936"/>
                  <c:y val="0.38181818181818394"/>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Sheet1!$B$1:$B$1</c:f>
              <c:strCache>
                <c:ptCount val="1"/>
                <c:pt idx="0">
                  <c:v>Guztira</c:v>
                </c:pt>
              </c:strCache>
            </c:strRef>
          </c:cat>
          <c:val>
            <c:numRef>
              <c:f>Sheet1!$B$3:$B$3</c:f>
              <c:numCache>
                <c:formatCode>#,##0</c:formatCode>
                <c:ptCount val="1"/>
                <c:pt idx="0">
                  <c:v>3075</c:v>
                </c:pt>
              </c:numCache>
            </c:numRef>
          </c:val>
        </c:ser>
        <c:dLbls>
          <c:showLegendKey val="0"/>
          <c:showVal val="0"/>
          <c:showCatName val="0"/>
          <c:showSerName val="0"/>
          <c:showPercent val="0"/>
          <c:showBubbleSize val="0"/>
        </c:dLbls>
        <c:gapWidth val="150"/>
        <c:axId val="125184256"/>
        <c:axId val="125210624"/>
      </c:barChart>
      <c:catAx>
        <c:axId val="125184256"/>
        <c:scaling>
          <c:orientation val="minMax"/>
        </c:scaling>
        <c:delete val="0"/>
        <c:axPos val="b"/>
        <c:numFmt formatCode="General" sourceLinked="1"/>
        <c:majorTickMark val="out"/>
        <c:minorTickMark val="none"/>
        <c:tickLblPos val="low"/>
        <c:txPr>
          <a:bodyPr rot="0" vert="horz"/>
          <a:lstStyle/>
          <a:p>
            <a:pPr>
              <a:defRPr/>
            </a:pPr>
            <a:endParaRPr lang="es-ES"/>
          </a:p>
        </c:txPr>
        <c:crossAx val="125210624"/>
        <c:crosses val="autoZero"/>
        <c:auto val="1"/>
        <c:lblAlgn val="ctr"/>
        <c:lblOffset val="100"/>
        <c:tickLblSkip val="1"/>
        <c:tickMarkSkip val="1"/>
        <c:noMultiLvlLbl val="0"/>
      </c:catAx>
      <c:valAx>
        <c:axId val="125210624"/>
        <c:scaling>
          <c:orientation val="minMax"/>
          <c:max val="15000"/>
          <c:min val="0"/>
        </c:scaling>
        <c:delete val="0"/>
        <c:axPos val="l"/>
        <c:majorGridlines/>
        <c:numFmt formatCode="#,##0" sourceLinked="0"/>
        <c:majorTickMark val="out"/>
        <c:minorTickMark val="none"/>
        <c:tickLblPos val="nextTo"/>
        <c:txPr>
          <a:bodyPr rot="0" vert="horz"/>
          <a:lstStyle/>
          <a:p>
            <a:pPr>
              <a:defRPr/>
            </a:pPr>
            <a:endParaRPr lang="es-ES"/>
          </a:p>
        </c:txPr>
        <c:crossAx val="125184256"/>
        <c:crosses val="autoZero"/>
        <c:crossBetween val="between"/>
        <c:majorUnit val="5000"/>
        <c:minorUnit val="500"/>
      </c:valAx>
    </c:plotArea>
    <c:legend>
      <c:legendPos val="b"/>
      <c:layout>
        <c:manualLayout>
          <c:xMode val="edge"/>
          <c:yMode val="edge"/>
          <c:x val="0.21358952027159134"/>
          <c:y val="0.84221407967568462"/>
          <c:w val="0.64113044560174903"/>
          <c:h val="9.8133353597886969E-2"/>
        </c:manualLayout>
      </c:layout>
      <c:overlay val="0"/>
    </c:legend>
    <c:plotVisOnly val="1"/>
    <c:dispBlanksAs val="gap"/>
    <c:showDLblsOverMax val="0"/>
  </c:chart>
  <c:spPr>
    <a:noFill/>
    <a:ln>
      <a:noFill/>
    </a:ln>
  </c:spPr>
  <c:txPr>
    <a:bodyPr/>
    <a:lstStyle/>
    <a:p>
      <a:pPr>
        <a:defRPr sz="800">
          <a:latin typeface="Arial" pitchFamily="34" charset="0"/>
          <a:cs typeface="Arial" pitchFamily="34" charset="0"/>
        </a:defRPr>
      </a:pPr>
      <a:endParaRPr lang="es-ES"/>
    </a:p>
  </c:txPr>
  <c:externalData r:id="rId1">
    <c:autoUpdate val="0"/>
  </c:externalData>
</c:chartSpace>
</file>

<file path=word/charts/chart6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0.16355376190789522"/>
          <c:y val="0.16346534750070826"/>
          <c:w val="0.68529905906608746"/>
          <c:h val="0.83478630373724305"/>
        </c:manualLayout>
      </c:layout>
      <c:pieChart>
        <c:varyColors val="1"/>
        <c:ser>
          <c:idx val="0"/>
          <c:order val="0"/>
          <c:tx>
            <c:strRef>
              <c:f>Resumen_Estab_Empleo!$A$5</c:f>
              <c:strCache>
                <c:ptCount val="1"/>
                <c:pt idx="0">
                  <c:v>Establecimientos</c:v>
                </c:pt>
              </c:strCache>
            </c:strRef>
          </c:tx>
          <c:dLbls>
            <c:dLbl>
              <c:idx val="0"/>
              <c:layout>
                <c:manualLayout>
                  <c:x val="1.5861605689790149E-2"/>
                  <c:y val="4.3817174368355472E-2"/>
                </c:manualLayout>
              </c:layout>
              <c:tx>
                <c:rich>
                  <a:bodyPr/>
                  <a:lstStyle/>
                  <a:p>
                    <a:r>
                      <a:rPr lang="en-US"/>
                      <a:t>Araba
12
%28,6</a:t>
                    </a:r>
                  </a:p>
                </c:rich>
              </c:tx>
              <c:showLegendKey val="0"/>
              <c:showVal val="1"/>
              <c:showCatName val="1"/>
              <c:showSerName val="0"/>
              <c:showPercent val="1"/>
              <c:showBubbleSize val="0"/>
            </c:dLbl>
            <c:dLbl>
              <c:idx val="1"/>
              <c:layout>
                <c:manualLayout>
                  <c:x val="0.17976578785171698"/>
                  <c:y val="-4.6846416925157104E-3"/>
                </c:manualLayout>
              </c:layout>
              <c:tx>
                <c:rich>
                  <a:bodyPr/>
                  <a:lstStyle/>
                  <a:p>
                    <a:r>
                      <a:rPr lang="en-US"/>
                      <a:t>Bizkaia
15
%35,7</a:t>
                    </a:r>
                  </a:p>
                </c:rich>
              </c:tx>
              <c:showLegendKey val="0"/>
              <c:showVal val="1"/>
              <c:showCatName val="1"/>
              <c:showSerName val="0"/>
              <c:showPercent val="1"/>
              <c:showBubbleSize val="0"/>
            </c:dLbl>
            <c:dLbl>
              <c:idx val="2"/>
              <c:layout>
                <c:manualLayout>
                  <c:x val="1.4236386678578104E-2"/>
                  <c:y val="-0.14281290596251225"/>
                </c:manualLayout>
              </c:layout>
              <c:tx>
                <c:rich>
                  <a:bodyPr/>
                  <a:lstStyle/>
                  <a:p>
                    <a:r>
                      <a:rPr lang="en-US"/>
                      <a:t>Gipuzkoa
15
%35,7</a:t>
                    </a:r>
                  </a:p>
                </c:rich>
              </c:tx>
              <c:showLegendKey val="0"/>
              <c:showVal val="1"/>
              <c:showCatName val="1"/>
              <c:showSerName val="0"/>
              <c:showPercent val="1"/>
              <c:showBubbleSize val="0"/>
            </c:dLbl>
            <c:numFmt formatCode="0.0%" sourceLinked="0"/>
            <c:txPr>
              <a:bodyPr/>
              <a:lstStyle/>
              <a:p>
                <a:pPr>
                  <a:defRPr sz="800">
                    <a:latin typeface="Arial" pitchFamily="34" charset="0"/>
                    <a:cs typeface="Arial" pitchFamily="34" charset="0"/>
                  </a:defRPr>
                </a:pPr>
                <a:endParaRPr lang="es-ES"/>
              </a:p>
            </c:txPr>
            <c:showLegendKey val="0"/>
            <c:showVal val="1"/>
            <c:showCatName val="1"/>
            <c:showSerName val="0"/>
            <c:showPercent val="1"/>
            <c:showBubbleSize val="0"/>
            <c:showLeaderLines val="1"/>
          </c:dLbls>
          <c:cat>
            <c:strRef>
              <c:f>Resumen_Estab_Empleo!$B$4:$D$4</c:f>
              <c:strCache>
                <c:ptCount val="3"/>
                <c:pt idx="0">
                  <c:v>Araba</c:v>
                </c:pt>
                <c:pt idx="1">
                  <c:v>Bizkaia</c:v>
                </c:pt>
                <c:pt idx="2">
                  <c:v>Gipuzkoa</c:v>
                </c:pt>
              </c:strCache>
            </c:strRef>
          </c:cat>
          <c:val>
            <c:numRef>
              <c:f>Resumen_Estab_Empleo!$B$5:$D$5</c:f>
              <c:numCache>
                <c:formatCode>#,##0</c:formatCode>
                <c:ptCount val="3"/>
                <c:pt idx="0">
                  <c:v>12</c:v>
                </c:pt>
                <c:pt idx="1">
                  <c:v>15</c:v>
                </c:pt>
                <c:pt idx="2">
                  <c:v>15</c:v>
                </c:pt>
              </c:numCache>
            </c:numRef>
          </c:val>
        </c:ser>
        <c:dLbls>
          <c:showLegendKey val="0"/>
          <c:showVal val="0"/>
          <c:showCatName val="0"/>
          <c:showSerName val="0"/>
          <c:showPercent val="0"/>
          <c:showBubbleSize val="0"/>
          <c:showLeaderLines val="1"/>
        </c:dLbls>
        <c:firstSliceAng val="0"/>
      </c:pieChart>
    </c:plotArea>
    <c:plotVisOnly val="1"/>
    <c:dispBlanksAs val="gap"/>
    <c:showDLblsOverMax val="0"/>
  </c:chart>
  <c:spPr>
    <a:ln>
      <a:noFill/>
    </a:ln>
  </c:spPr>
  <c:externalData r:id="rId1">
    <c:autoUpdate val="0"/>
  </c:externalData>
</c:chartSpace>
</file>

<file path=word/charts/chart6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0.31757760108837374"/>
          <c:y val="0.17266429931552674"/>
          <c:w val="0.37765858729761709"/>
          <c:h val="0.75716844218002355"/>
        </c:manualLayout>
      </c:layout>
      <c:pieChart>
        <c:varyColors val="1"/>
        <c:ser>
          <c:idx val="0"/>
          <c:order val="0"/>
          <c:tx>
            <c:strRef>
              <c:f>Resumen_Estab_Empleo!$A$6</c:f>
              <c:strCache>
                <c:ptCount val="1"/>
                <c:pt idx="0">
                  <c:v>Empleo</c:v>
                </c:pt>
              </c:strCache>
            </c:strRef>
          </c:tx>
          <c:dLbls>
            <c:dLbl>
              <c:idx val="0"/>
              <c:layout>
                <c:manualLayout>
                  <c:x val="6.1618312380878955E-2"/>
                  <c:y val="2.6143790849673307E-2"/>
                </c:manualLayout>
              </c:layout>
              <c:tx>
                <c:rich>
                  <a:bodyPr/>
                  <a:lstStyle/>
                  <a:p>
                    <a:r>
                      <a:rPr lang="en-US"/>
                      <a:t>Araba
800
%8,5</a:t>
                    </a:r>
                  </a:p>
                </c:rich>
              </c:tx>
              <c:showLegendKey val="0"/>
              <c:showVal val="1"/>
              <c:showCatName val="1"/>
              <c:showSerName val="0"/>
              <c:showPercent val="1"/>
              <c:showBubbleSize val="0"/>
            </c:dLbl>
            <c:dLbl>
              <c:idx val="1"/>
              <c:layout>
                <c:manualLayout>
                  <c:x val="5.4230213888300849E-2"/>
                  <c:y val="-7.9044825279193043E-2"/>
                </c:manualLayout>
              </c:layout>
              <c:tx>
                <c:rich>
                  <a:bodyPr/>
                  <a:lstStyle/>
                  <a:p>
                    <a:r>
                      <a:rPr lang="en-US"/>
                      <a:t>Bizkaia
3.638
%38,8</a:t>
                    </a:r>
                  </a:p>
                </c:rich>
              </c:tx>
              <c:showLegendKey val="0"/>
              <c:showVal val="1"/>
              <c:showCatName val="1"/>
              <c:showSerName val="0"/>
              <c:showPercent val="1"/>
              <c:showBubbleSize val="0"/>
            </c:dLbl>
            <c:dLbl>
              <c:idx val="2"/>
              <c:layout>
                <c:manualLayout>
                  <c:x val="-3.9233005409776325E-2"/>
                  <c:y val="-0.17665380062786271"/>
                </c:manualLayout>
              </c:layout>
              <c:tx>
                <c:rich>
                  <a:bodyPr/>
                  <a:lstStyle/>
                  <a:p>
                    <a:r>
                      <a:rPr lang="en-US"/>
                      <a:t>Gipuzkoa
4.930
%52,6</a:t>
                    </a:r>
                  </a:p>
                </c:rich>
              </c:tx>
              <c:showLegendKey val="0"/>
              <c:showVal val="1"/>
              <c:showCatName val="1"/>
              <c:showSerName val="0"/>
              <c:showPercent val="1"/>
              <c:showBubbleSize val="0"/>
            </c:dLbl>
            <c:numFmt formatCode="0.0%" sourceLinked="0"/>
            <c:txPr>
              <a:bodyPr/>
              <a:lstStyle/>
              <a:p>
                <a:pPr>
                  <a:defRPr sz="800">
                    <a:latin typeface="Arial" pitchFamily="34" charset="0"/>
                    <a:cs typeface="Arial" pitchFamily="34" charset="0"/>
                  </a:defRPr>
                </a:pPr>
                <a:endParaRPr lang="es-ES"/>
              </a:p>
            </c:txPr>
            <c:showLegendKey val="0"/>
            <c:showVal val="1"/>
            <c:showCatName val="1"/>
            <c:showSerName val="0"/>
            <c:showPercent val="1"/>
            <c:showBubbleSize val="0"/>
            <c:showLeaderLines val="1"/>
          </c:dLbls>
          <c:cat>
            <c:strRef>
              <c:f>Resumen_Estab_Empleo!$B$4:$D$4</c:f>
              <c:strCache>
                <c:ptCount val="3"/>
                <c:pt idx="0">
                  <c:v>Araba</c:v>
                </c:pt>
                <c:pt idx="1">
                  <c:v>Bizkaia</c:v>
                </c:pt>
                <c:pt idx="2">
                  <c:v>Gipuzkoa</c:v>
                </c:pt>
              </c:strCache>
            </c:strRef>
          </c:cat>
          <c:val>
            <c:numRef>
              <c:f>Resumen_Estab_Empleo!$B$6:$D$6</c:f>
              <c:numCache>
                <c:formatCode>#,##0</c:formatCode>
                <c:ptCount val="3"/>
                <c:pt idx="0">
                  <c:v>800.35333333333335</c:v>
                </c:pt>
                <c:pt idx="1">
                  <c:v>3637.71</c:v>
                </c:pt>
                <c:pt idx="2">
                  <c:v>4929.6666666667115</c:v>
                </c:pt>
              </c:numCache>
            </c:numRef>
          </c:val>
        </c:ser>
        <c:dLbls>
          <c:showLegendKey val="0"/>
          <c:showVal val="0"/>
          <c:showCatName val="0"/>
          <c:showSerName val="0"/>
          <c:showPercent val="0"/>
          <c:showBubbleSize val="0"/>
          <c:showLeaderLines val="1"/>
        </c:dLbls>
        <c:firstSliceAng val="0"/>
      </c:pieChart>
    </c:plotArea>
    <c:plotVisOnly val="1"/>
    <c:dispBlanksAs val="gap"/>
    <c:showDLblsOverMax val="0"/>
  </c:chart>
  <c:spPr>
    <a:ln>
      <a:noFill/>
    </a:ln>
  </c:spPr>
  <c:externalData r:id="rId1">
    <c:autoUpdate val="0"/>
  </c:externalData>
</c:chartSpace>
</file>

<file path=word/charts/chart6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0.13657638948977541"/>
          <c:y val="0.26954861411554332"/>
          <c:w val="0.76729351727970285"/>
          <c:h val="0.64160073616296065"/>
        </c:manualLayout>
      </c:layout>
      <c:pieChart>
        <c:varyColors val="1"/>
        <c:ser>
          <c:idx val="0"/>
          <c:order val="0"/>
          <c:tx>
            <c:strRef>
              <c:f>Resumen_Estab_Empleo!$A$22</c:f>
              <c:strCache>
                <c:ptCount val="1"/>
                <c:pt idx="0">
                  <c:v>Establecimientos - TOTAL</c:v>
                </c:pt>
              </c:strCache>
            </c:strRef>
          </c:tx>
          <c:dLbls>
            <c:dLbl>
              <c:idx val="0"/>
              <c:layout>
                <c:manualLayout>
                  <c:x val="9.041878856052081E-2"/>
                  <c:y val="4.8345493510558883E-2"/>
                </c:manualLayout>
              </c:layout>
              <c:tx>
                <c:rich>
                  <a:bodyPr/>
                  <a:lstStyle/>
                  <a:p>
                    <a:r>
                      <a:rPr lang="en-US"/>
                      <a:t>Araba
12
%15,4</a:t>
                    </a:r>
                  </a:p>
                </c:rich>
              </c:tx>
              <c:showLegendKey val="0"/>
              <c:showVal val="1"/>
              <c:showCatName val="1"/>
              <c:showSerName val="0"/>
              <c:showPercent val="1"/>
              <c:showBubbleSize val="0"/>
            </c:dLbl>
            <c:dLbl>
              <c:idx val="1"/>
              <c:layout>
                <c:manualLayout>
                  <c:x val="0.17673409005692553"/>
                  <c:y val="-2.971754677454316E-2"/>
                </c:manualLayout>
              </c:layout>
              <c:tx>
                <c:rich>
                  <a:bodyPr/>
                  <a:lstStyle/>
                  <a:p>
                    <a:r>
                      <a:rPr lang="en-US"/>
                      <a:t>Bizkaia
52
%66,7</a:t>
                    </a:r>
                  </a:p>
                </c:rich>
              </c:tx>
              <c:showLegendKey val="0"/>
              <c:showVal val="1"/>
              <c:showCatName val="1"/>
              <c:showSerName val="0"/>
              <c:showPercent val="1"/>
              <c:showBubbleSize val="0"/>
            </c:dLbl>
            <c:dLbl>
              <c:idx val="2"/>
              <c:layout>
                <c:manualLayout>
                  <c:x val="-6.3983638408835433E-2"/>
                  <c:y val="7.8447350044547184E-2"/>
                </c:manualLayout>
              </c:layout>
              <c:tx>
                <c:rich>
                  <a:bodyPr/>
                  <a:lstStyle/>
                  <a:p>
                    <a:r>
                      <a:rPr lang="en-US"/>
                      <a:t>Gipuzkoa
14
%17,9</a:t>
                    </a:r>
                  </a:p>
                </c:rich>
              </c:tx>
              <c:showLegendKey val="0"/>
              <c:showVal val="1"/>
              <c:showCatName val="1"/>
              <c:showSerName val="0"/>
              <c:showPercent val="1"/>
              <c:showBubbleSize val="0"/>
            </c:dLbl>
            <c:numFmt formatCode="0.0%" sourceLinked="0"/>
            <c:txPr>
              <a:bodyPr/>
              <a:lstStyle/>
              <a:p>
                <a:pPr>
                  <a:defRPr sz="800">
                    <a:latin typeface="Arial" pitchFamily="34" charset="0"/>
                    <a:cs typeface="Arial" pitchFamily="34" charset="0"/>
                  </a:defRPr>
                </a:pPr>
                <a:endParaRPr lang="es-ES"/>
              </a:p>
            </c:txPr>
            <c:showLegendKey val="0"/>
            <c:showVal val="1"/>
            <c:showCatName val="1"/>
            <c:showSerName val="0"/>
            <c:showPercent val="1"/>
            <c:showBubbleSize val="0"/>
            <c:showLeaderLines val="1"/>
          </c:dLbls>
          <c:cat>
            <c:strRef>
              <c:f>Resumen_Estab_Empleo!$B$17:$D$17</c:f>
              <c:strCache>
                <c:ptCount val="3"/>
                <c:pt idx="0">
                  <c:v>Araba</c:v>
                </c:pt>
                <c:pt idx="1">
                  <c:v>Bizkaia</c:v>
                </c:pt>
                <c:pt idx="2">
                  <c:v>Gipuzkoa</c:v>
                </c:pt>
              </c:strCache>
            </c:strRef>
          </c:cat>
          <c:val>
            <c:numRef>
              <c:f>Resumen_Estab_Empleo!$B$22:$D$22</c:f>
              <c:numCache>
                <c:formatCode>#,##0</c:formatCode>
                <c:ptCount val="3"/>
                <c:pt idx="0">
                  <c:v>12</c:v>
                </c:pt>
                <c:pt idx="1">
                  <c:v>52</c:v>
                </c:pt>
                <c:pt idx="2">
                  <c:v>14</c:v>
                </c:pt>
              </c:numCache>
            </c:numRef>
          </c:val>
        </c:ser>
        <c:dLbls>
          <c:showLegendKey val="0"/>
          <c:showVal val="0"/>
          <c:showCatName val="0"/>
          <c:showSerName val="0"/>
          <c:showPercent val="0"/>
          <c:showBubbleSize val="0"/>
          <c:showLeaderLines val="1"/>
        </c:dLbls>
        <c:firstSliceAng val="0"/>
      </c:pieChart>
    </c:plotArea>
    <c:plotVisOnly val="1"/>
    <c:dispBlanksAs val="gap"/>
    <c:showDLblsOverMax val="0"/>
  </c:chart>
  <c:spPr>
    <a:ln>
      <a:noFill/>
    </a:ln>
  </c:spPr>
  <c:externalData r:id="rId1">
    <c:autoUpdate val="0"/>
  </c:externalData>
</c:chartSpace>
</file>

<file path=word/charts/chart6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0.31055336076070161"/>
          <c:y val="0.12858408827928766"/>
          <c:w val="0.47577872835099788"/>
          <c:h val="0.73924759405074369"/>
        </c:manualLayout>
      </c:layout>
      <c:pieChart>
        <c:varyColors val="1"/>
        <c:ser>
          <c:idx val="0"/>
          <c:order val="0"/>
          <c:tx>
            <c:strRef>
              <c:f>Resumen_Estab_Empleo!$A$33</c:f>
              <c:strCache>
                <c:ptCount val="1"/>
                <c:pt idx="0">
                  <c:v>Establecimientos</c:v>
                </c:pt>
              </c:strCache>
            </c:strRef>
          </c:tx>
          <c:dLbls>
            <c:dLbl>
              <c:idx val="0"/>
              <c:layout>
                <c:manualLayout>
                  <c:x val="-3.1033248871572897E-2"/>
                  <c:y val="9.8845708802528714E-2"/>
                </c:manualLayout>
              </c:layout>
              <c:tx>
                <c:rich>
                  <a:bodyPr/>
                  <a:lstStyle/>
                  <a:p>
                    <a:r>
                      <a:rPr lang="en-US"/>
                      <a:t>Bizkaia
9
%56,3</a:t>
                    </a:r>
                  </a:p>
                </c:rich>
              </c:tx>
              <c:showLegendKey val="0"/>
              <c:showVal val="1"/>
              <c:showCatName val="1"/>
              <c:showSerName val="0"/>
              <c:showPercent val="1"/>
              <c:showBubbleSize val="0"/>
            </c:dLbl>
            <c:dLbl>
              <c:idx val="1"/>
              <c:layout>
                <c:manualLayout>
                  <c:x val="2.7397760401057212E-2"/>
                  <c:y val="-4.9849010809132878E-2"/>
                </c:manualLayout>
              </c:layout>
              <c:tx>
                <c:rich>
                  <a:bodyPr/>
                  <a:lstStyle/>
                  <a:p>
                    <a:r>
                      <a:rPr lang="en-US"/>
                      <a:t>Gipuzkoa
7
%43,8</a:t>
                    </a:r>
                  </a:p>
                </c:rich>
              </c:tx>
              <c:showLegendKey val="0"/>
              <c:showVal val="1"/>
              <c:showCatName val="1"/>
              <c:showSerName val="0"/>
              <c:showPercent val="1"/>
              <c:showBubbleSize val="0"/>
            </c:dLbl>
            <c:numFmt formatCode="0.0%" sourceLinked="0"/>
            <c:txPr>
              <a:bodyPr/>
              <a:lstStyle/>
              <a:p>
                <a:pPr>
                  <a:defRPr sz="800">
                    <a:latin typeface="Arial" pitchFamily="34" charset="0"/>
                    <a:cs typeface="Arial" pitchFamily="34" charset="0"/>
                  </a:defRPr>
                </a:pPr>
                <a:endParaRPr lang="es-ES"/>
              </a:p>
            </c:txPr>
            <c:showLegendKey val="0"/>
            <c:showVal val="1"/>
            <c:showCatName val="1"/>
            <c:showSerName val="0"/>
            <c:showPercent val="1"/>
            <c:showBubbleSize val="0"/>
            <c:showLeaderLines val="1"/>
          </c:dLbls>
          <c:cat>
            <c:strRef>
              <c:f>Resumen_Estab_Empleo!$B$32:$C$32</c:f>
              <c:strCache>
                <c:ptCount val="2"/>
                <c:pt idx="0">
                  <c:v>Bizkaia</c:v>
                </c:pt>
                <c:pt idx="1">
                  <c:v>Gipuzkoa</c:v>
                </c:pt>
              </c:strCache>
            </c:strRef>
          </c:cat>
          <c:val>
            <c:numRef>
              <c:f>Resumen_Estab_Empleo!$B$33:$C$33</c:f>
              <c:numCache>
                <c:formatCode>#,##0</c:formatCode>
                <c:ptCount val="2"/>
                <c:pt idx="0">
                  <c:v>9</c:v>
                </c:pt>
                <c:pt idx="1">
                  <c:v>7</c:v>
                </c:pt>
              </c:numCache>
            </c:numRef>
          </c:val>
        </c:ser>
        <c:dLbls>
          <c:showLegendKey val="0"/>
          <c:showVal val="0"/>
          <c:showCatName val="0"/>
          <c:showSerName val="0"/>
          <c:showPercent val="0"/>
          <c:showBubbleSize val="0"/>
          <c:showLeaderLines val="1"/>
        </c:dLbls>
        <c:firstSliceAng val="0"/>
      </c:pieChart>
    </c:plotArea>
    <c:plotVisOnly val="1"/>
    <c:dispBlanksAs val="gap"/>
    <c:showDLblsOverMax val="0"/>
  </c:chart>
  <c:spPr>
    <a:ln>
      <a:noFill/>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overlay val="0"/>
    </c:title>
    <c:autoTitleDeleted val="0"/>
    <c:plotArea>
      <c:layout>
        <c:manualLayout>
          <c:layoutTarget val="inner"/>
          <c:xMode val="edge"/>
          <c:yMode val="edge"/>
          <c:x val="9.6267190569744643E-2"/>
          <c:y val="0.24175824175824379"/>
          <c:w val="0.88408644400785075"/>
          <c:h val="0.57142857142858106"/>
        </c:manualLayout>
      </c:layout>
      <c:barChart>
        <c:barDir val="col"/>
        <c:grouping val="clustered"/>
        <c:varyColors val="0"/>
        <c:ser>
          <c:idx val="0"/>
          <c:order val="0"/>
          <c:tx>
            <c:strRef>
              <c:f>Sheet1!$A$2</c:f>
              <c:strCache>
                <c:ptCount val="1"/>
              </c:strCache>
            </c:strRef>
          </c:tx>
          <c:spPr>
            <a:solidFill>
              <a:schemeClr val="accent1"/>
            </a:solidFill>
            <a:ln w="7018">
              <a:noFill/>
              <a:prstDash val="solid"/>
            </a:ln>
          </c:spPr>
          <c:invertIfNegative val="0"/>
          <c:dPt>
            <c:idx val="4"/>
            <c:invertIfNegative val="0"/>
            <c:bubble3D val="0"/>
            <c:spPr>
              <a:solidFill>
                <a:srgbClr val="4F81BD"/>
              </a:solidFill>
              <a:ln w="7018">
                <a:noFill/>
                <a:prstDash val="solid"/>
              </a:ln>
            </c:spPr>
          </c:dPt>
          <c:dPt>
            <c:idx val="5"/>
            <c:invertIfNegative val="0"/>
            <c:bubble3D val="0"/>
            <c:spPr>
              <a:solidFill>
                <a:srgbClr val="4F81BD"/>
              </a:solidFill>
              <a:ln w="7018">
                <a:noFill/>
                <a:prstDash val="solid"/>
              </a:ln>
            </c:spPr>
          </c:dPt>
          <c:dLbls>
            <c:spPr>
              <a:noFill/>
              <a:ln w="14037">
                <a:noFill/>
              </a:ln>
            </c:spPr>
            <c:txPr>
              <a:bodyPr/>
              <a:lstStyle/>
              <a:p>
                <a:pPr>
                  <a:defRPr b="1"/>
                </a:pPr>
                <a:endParaRPr lang="es-ES"/>
              </a:p>
            </c:txPr>
            <c:showLegendKey val="0"/>
            <c:showVal val="1"/>
            <c:showCatName val="0"/>
            <c:showSerName val="0"/>
            <c:showPercent val="0"/>
            <c:showBubbleSize val="0"/>
            <c:showLeaderLines val="0"/>
          </c:dLbls>
          <c:cat>
            <c:numRef>
              <c:f>Sheet1!$B$1:$I$1</c:f>
              <c:numCache>
                <c:formatCode>General</c:formatCode>
                <c:ptCount val="8"/>
                <c:pt idx="0">
                  <c:v>2006</c:v>
                </c:pt>
                <c:pt idx="1">
                  <c:v>2007</c:v>
                </c:pt>
                <c:pt idx="2">
                  <c:v>2008</c:v>
                </c:pt>
                <c:pt idx="3">
                  <c:v>2009</c:v>
                </c:pt>
                <c:pt idx="4">
                  <c:v>2010</c:v>
                </c:pt>
                <c:pt idx="5">
                  <c:v>2011</c:v>
                </c:pt>
                <c:pt idx="6">
                  <c:v>2012</c:v>
                </c:pt>
                <c:pt idx="7">
                  <c:v>2013</c:v>
                </c:pt>
              </c:numCache>
            </c:numRef>
          </c:cat>
          <c:val>
            <c:numRef>
              <c:f>Sheet1!$B$2:$I$2</c:f>
              <c:numCache>
                <c:formatCode>#,##0</c:formatCode>
                <c:ptCount val="8"/>
                <c:pt idx="0">
                  <c:v>9523957</c:v>
                </c:pt>
                <c:pt idx="1">
                  <c:v>10314878</c:v>
                </c:pt>
                <c:pt idx="2">
                  <c:v>9757100</c:v>
                </c:pt>
                <c:pt idx="3">
                  <c:v>9205115</c:v>
                </c:pt>
                <c:pt idx="4">
                  <c:v>8563275</c:v>
                </c:pt>
                <c:pt idx="5">
                  <c:v>9109612</c:v>
                </c:pt>
                <c:pt idx="6">
                  <c:v>8283006</c:v>
                </c:pt>
                <c:pt idx="7">
                  <c:v>8304498</c:v>
                </c:pt>
              </c:numCache>
            </c:numRef>
          </c:val>
        </c:ser>
        <c:dLbls>
          <c:showLegendKey val="0"/>
          <c:showVal val="0"/>
          <c:showCatName val="0"/>
          <c:showSerName val="0"/>
          <c:showPercent val="0"/>
          <c:showBubbleSize val="0"/>
        </c:dLbls>
        <c:gapWidth val="150"/>
        <c:axId val="104395136"/>
        <c:axId val="104396672"/>
      </c:barChart>
      <c:catAx>
        <c:axId val="104395136"/>
        <c:scaling>
          <c:orientation val="minMax"/>
        </c:scaling>
        <c:delete val="0"/>
        <c:axPos val="b"/>
        <c:numFmt formatCode="General" sourceLinked="1"/>
        <c:majorTickMark val="out"/>
        <c:minorTickMark val="none"/>
        <c:tickLblPos val="low"/>
        <c:spPr>
          <a:ln w="1755">
            <a:solidFill>
              <a:srgbClr val="000000"/>
            </a:solidFill>
            <a:prstDash val="solid"/>
          </a:ln>
        </c:spPr>
        <c:txPr>
          <a:bodyPr rot="0" vert="horz"/>
          <a:lstStyle/>
          <a:p>
            <a:pPr>
              <a:defRPr/>
            </a:pPr>
            <a:endParaRPr lang="es-ES"/>
          </a:p>
        </c:txPr>
        <c:crossAx val="104396672"/>
        <c:crosses val="autoZero"/>
        <c:auto val="1"/>
        <c:lblAlgn val="ctr"/>
        <c:lblOffset val="100"/>
        <c:tickLblSkip val="1"/>
        <c:tickMarkSkip val="1"/>
        <c:noMultiLvlLbl val="0"/>
      </c:catAx>
      <c:valAx>
        <c:axId val="104396672"/>
        <c:scaling>
          <c:orientation val="minMax"/>
          <c:max val="10316000"/>
          <c:min val="0"/>
        </c:scaling>
        <c:delete val="0"/>
        <c:axPos val="l"/>
        <c:majorGridlines>
          <c:spPr>
            <a:ln w="7018">
              <a:solidFill>
                <a:schemeClr val="bg1">
                  <a:lumMod val="95000"/>
                </a:schemeClr>
              </a:solidFill>
              <a:prstDash val="solid"/>
            </a:ln>
          </c:spPr>
        </c:majorGridlines>
        <c:numFmt formatCode="#,##0" sourceLinked="1"/>
        <c:majorTickMark val="out"/>
        <c:minorTickMark val="none"/>
        <c:tickLblPos val="nextTo"/>
        <c:spPr>
          <a:ln w="1755">
            <a:solidFill>
              <a:srgbClr val="000000"/>
            </a:solidFill>
            <a:prstDash val="solid"/>
          </a:ln>
        </c:spPr>
        <c:txPr>
          <a:bodyPr rot="0" vert="horz"/>
          <a:lstStyle/>
          <a:p>
            <a:pPr>
              <a:defRPr/>
            </a:pPr>
            <a:endParaRPr lang="es-ES"/>
          </a:p>
        </c:txPr>
        <c:crossAx val="104395136"/>
        <c:crosses val="autoZero"/>
        <c:crossBetween val="between"/>
        <c:majorUnit val="2000000"/>
        <c:minorUnit val="400000"/>
      </c:valAx>
      <c:spPr>
        <a:noFill/>
        <a:ln w="14037">
          <a:noFill/>
        </a:ln>
      </c:spPr>
    </c:plotArea>
    <c:plotVisOnly val="1"/>
    <c:dispBlanksAs val="gap"/>
    <c:showDLblsOverMax val="0"/>
  </c:chart>
  <c:spPr>
    <a:noFill/>
    <a:ln>
      <a:noFill/>
    </a:ln>
  </c:spPr>
  <c:txPr>
    <a:bodyPr/>
    <a:lstStyle/>
    <a:p>
      <a:pPr>
        <a:defRPr sz="800" b="0" i="0" u="none" strike="noStrike" baseline="0">
          <a:solidFill>
            <a:srgbClr val="000000"/>
          </a:solidFill>
          <a:latin typeface="Arial" pitchFamily="34" charset="0"/>
          <a:ea typeface="Calibri"/>
          <a:cs typeface="Arial" pitchFamily="34" charset="0"/>
        </a:defRPr>
      </a:pPr>
      <a:endParaRPr lang="es-ES"/>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818181818181818"/>
          <c:y val="4.5454545454545463E-2"/>
          <c:w val="0.86000000000000054"/>
          <c:h val="0.61931818181818177"/>
        </c:manualLayout>
      </c:layout>
      <c:barChart>
        <c:barDir val="col"/>
        <c:grouping val="clustered"/>
        <c:varyColors val="0"/>
        <c:ser>
          <c:idx val="0"/>
          <c:order val="0"/>
          <c:tx>
            <c:strRef>
              <c:f>Sheet1!$A$2</c:f>
              <c:strCache>
                <c:ptCount val="1"/>
                <c:pt idx="0">
                  <c:v>2002</c:v>
                </c:pt>
              </c:strCache>
            </c:strRef>
          </c:tx>
          <c:invertIfNegative val="0"/>
          <c:dLbls>
            <c:dLbl>
              <c:idx val="0"/>
              <c:layout>
                <c:manualLayout>
                  <c:x val="-2.501563477173234E-2"/>
                  <c:y val="4.2735042735042764E-2"/>
                </c:manualLayout>
              </c:layout>
              <c:dLblPos val="outEnd"/>
              <c:showLegendKey val="0"/>
              <c:showVal val="1"/>
              <c:showCatName val="0"/>
              <c:showSerName val="0"/>
              <c:showPercent val="0"/>
              <c:showBubbleSize val="0"/>
            </c:dLbl>
            <c:dLbl>
              <c:idx val="1"/>
              <c:layout>
                <c:manualLayout>
                  <c:x val="-2.2514071294559089E-2"/>
                  <c:y val="4.2735042735042764E-2"/>
                </c:manualLayout>
              </c:layout>
              <c:dLblPos val="outEnd"/>
              <c:showLegendKey val="0"/>
              <c:showVal val="1"/>
              <c:showCatName val="0"/>
              <c:showSerName val="0"/>
              <c:showPercent val="0"/>
              <c:showBubbleSize val="0"/>
            </c:dLbl>
            <c:numFmt formatCode="#,##0" sourceLinked="0"/>
            <c:spPr>
              <a:noFill/>
              <a:ln w="17547">
                <a:noFill/>
              </a:ln>
            </c:spPr>
            <c:showLegendKey val="0"/>
            <c:showVal val="1"/>
            <c:showCatName val="0"/>
            <c:showSerName val="0"/>
            <c:showPercent val="0"/>
            <c:showBubbleSize val="0"/>
            <c:showLeaderLines val="0"/>
          </c:dLbls>
          <c:cat>
            <c:strRef>
              <c:f>Sheet1!$B$1:$C$1</c:f>
              <c:strCache>
                <c:ptCount val="2"/>
                <c:pt idx="0">
                  <c:v>Emaitzak</c:v>
                </c:pt>
                <c:pt idx="1">
                  <c:v>Cash Flowa</c:v>
                </c:pt>
              </c:strCache>
            </c:strRef>
          </c:cat>
          <c:val>
            <c:numRef>
              <c:f>Sheet1!$B$2:$C$2</c:f>
              <c:numCache>
                <c:formatCode>General</c:formatCode>
                <c:ptCount val="2"/>
                <c:pt idx="0">
                  <c:v>334217</c:v>
                </c:pt>
                <c:pt idx="1">
                  <c:v>768799</c:v>
                </c:pt>
              </c:numCache>
            </c:numRef>
          </c:val>
        </c:ser>
        <c:ser>
          <c:idx val="1"/>
          <c:order val="1"/>
          <c:tx>
            <c:strRef>
              <c:f>Sheet1!$A$3</c:f>
              <c:strCache>
                <c:ptCount val="1"/>
                <c:pt idx="0">
                  <c:v>2004</c:v>
                </c:pt>
              </c:strCache>
            </c:strRef>
          </c:tx>
          <c:invertIfNegative val="0"/>
          <c:dLbls>
            <c:dLbl>
              <c:idx val="0"/>
              <c:layout>
                <c:manualLayout>
                  <c:x val="-2.5015634771732346E-3"/>
                  <c:y val="8.5470085470085513E-3"/>
                </c:manualLayout>
              </c:layout>
              <c:dLblPos val="outEnd"/>
              <c:showLegendKey val="0"/>
              <c:showVal val="1"/>
              <c:showCatName val="0"/>
              <c:showSerName val="0"/>
              <c:showPercent val="0"/>
              <c:showBubbleSize val="0"/>
            </c:dLbl>
            <c:dLbl>
              <c:idx val="1"/>
              <c:layout>
                <c:manualLayout>
                  <c:x val="-1.2507817385866201E-2"/>
                  <c:y val="2.5641025641025859E-2"/>
                </c:manualLayout>
              </c:layout>
              <c:dLblPos val="outEnd"/>
              <c:showLegendKey val="0"/>
              <c:showVal val="1"/>
              <c:showCatName val="0"/>
              <c:showSerName val="0"/>
              <c:showPercent val="0"/>
              <c:showBubbleSize val="0"/>
            </c:dLbl>
            <c:numFmt formatCode="#,##0" sourceLinked="0"/>
            <c:spPr>
              <a:noFill/>
              <a:ln w="17547">
                <a:noFill/>
              </a:ln>
            </c:spPr>
            <c:showLegendKey val="0"/>
            <c:showVal val="1"/>
            <c:showCatName val="0"/>
            <c:showSerName val="0"/>
            <c:showPercent val="0"/>
            <c:showBubbleSize val="0"/>
            <c:showLeaderLines val="0"/>
          </c:dLbls>
          <c:cat>
            <c:strRef>
              <c:f>Sheet1!$B$1:$C$1</c:f>
              <c:strCache>
                <c:ptCount val="2"/>
                <c:pt idx="0">
                  <c:v>Emaitzak</c:v>
                </c:pt>
                <c:pt idx="1">
                  <c:v>Cash Flowa</c:v>
                </c:pt>
              </c:strCache>
            </c:strRef>
          </c:cat>
          <c:val>
            <c:numRef>
              <c:f>Sheet1!$B$3:$C$3</c:f>
              <c:numCache>
                <c:formatCode>General</c:formatCode>
                <c:ptCount val="2"/>
                <c:pt idx="0">
                  <c:v>368142</c:v>
                </c:pt>
                <c:pt idx="1">
                  <c:v>821856</c:v>
                </c:pt>
              </c:numCache>
            </c:numRef>
          </c:val>
        </c:ser>
        <c:ser>
          <c:idx val="2"/>
          <c:order val="2"/>
          <c:tx>
            <c:strRef>
              <c:f>Sheet1!$A$4</c:f>
              <c:strCache>
                <c:ptCount val="1"/>
                <c:pt idx="0">
                  <c:v>2006</c:v>
                </c:pt>
              </c:strCache>
            </c:strRef>
          </c:tx>
          <c:invertIfNegative val="0"/>
          <c:dLbls>
            <c:dLbl>
              <c:idx val="0"/>
              <c:layout>
                <c:manualLayout>
                  <c:x val="2.5015634771732346E-3"/>
                  <c:y val="0"/>
                </c:manualLayout>
              </c:layout>
              <c:dLblPos val="outEnd"/>
              <c:showLegendKey val="0"/>
              <c:showVal val="1"/>
              <c:showCatName val="0"/>
              <c:showSerName val="0"/>
              <c:showPercent val="0"/>
              <c:showBubbleSize val="0"/>
            </c:dLbl>
            <c:dLbl>
              <c:idx val="1"/>
              <c:layout>
                <c:manualLayout>
                  <c:x val="-1.0006253908692838E-2"/>
                  <c:y val="1.7094017094017123E-2"/>
                </c:manualLayout>
              </c:layout>
              <c:dLblPos val="outEnd"/>
              <c:showLegendKey val="0"/>
              <c:showVal val="1"/>
              <c:showCatName val="0"/>
              <c:showSerName val="0"/>
              <c:showPercent val="0"/>
              <c:showBubbleSize val="0"/>
            </c:dLbl>
            <c:numFmt formatCode="#,##0" sourceLinked="0"/>
            <c:spPr>
              <a:noFill/>
              <a:ln w="17547">
                <a:noFill/>
              </a:ln>
            </c:spPr>
            <c:showLegendKey val="0"/>
            <c:showVal val="1"/>
            <c:showCatName val="0"/>
            <c:showSerName val="0"/>
            <c:showPercent val="0"/>
            <c:showBubbleSize val="0"/>
            <c:showLeaderLines val="0"/>
          </c:dLbls>
          <c:cat>
            <c:strRef>
              <c:f>Sheet1!$B$1:$C$1</c:f>
              <c:strCache>
                <c:ptCount val="2"/>
                <c:pt idx="0">
                  <c:v>Emaitzak</c:v>
                </c:pt>
                <c:pt idx="1">
                  <c:v>Cash Flowa</c:v>
                </c:pt>
              </c:strCache>
            </c:strRef>
          </c:cat>
          <c:val>
            <c:numRef>
              <c:f>Sheet1!$B$4:$C$4</c:f>
              <c:numCache>
                <c:formatCode>General</c:formatCode>
                <c:ptCount val="2"/>
                <c:pt idx="0">
                  <c:v>527196</c:v>
                </c:pt>
                <c:pt idx="1">
                  <c:v>984091</c:v>
                </c:pt>
              </c:numCache>
            </c:numRef>
          </c:val>
        </c:ser>
        <c:ser>
          <c:idx val="3"/>
          <c:order val="3"/>
          <c:tx>
            <c:strRef>
              <c:f>Sheet1!$A$5</c:f>
              <c:strCache>
                <c:ptCount val="1"/>
                <c:pt idx="0">
                  <c:v>2008</c:v>
                </c:pt>
              </c:strCache>
            </c:strRef>
          </c:tx>
          <c:invertIfNegative val="0"/>
          <c:dLbls>
            <c:dLbl>
              <c:idx val="0"/>
              <c:layout/>
              <c:tx>
                <c:rich>
                  <a:bodyPr/>
                  <a:lstStyle/>
                  <a:p>
                    <a:r>
                      <a:rPr lang="en-US"/>
                      <a:t>248.232*</a:t>
                    </a:r>
                  </a:p>
                </c:rich>
              </c:tx>
              <c:showLegendKey val="0"/>
              <c:showVal val="0"/>
              <c:showCatName val="0"/>
              <c:showSerName val="0"/>
              <c:showPercent val="0"/>
              <c:showBubbleSize val="0"/>
            </c:dLbl>
            <c:dLbl>
              <c:idx val="1"/>
              <c:layout>
                <c:manualLayout>
                  <c:x val="-2.2753128555177246E-3"/>
                  <c:y val="-2.1978021978022001E-2"/>
                </c:manualLayout>
              </c:layout>
              <c:tx>
                <c:rich>
                  <a:bodyPr/>
                  <a:lstStyle/>
                  <a:p>
                    <a:r>
                      <a:rPr lang="en-US"/>
                      <a:t>1.040.589*</a:t>
                    </a:r>
                  </a:p>
                </c:rich>
              </c:tx>
              <c:dLblPos val="outEnd"/>
              <c:showLegendKey val="0"/>
              <c:showVal val="0"/>
              <c:showCatName val="0"/>
              <c:showSerName val="0"/>
              <c:showPercent val="0"/>
              <c:showBubbleSize val="0"/>
            </c:dLbl>
            <c:spPr>
              <a:noFill/>
              <a:ln w="17547">
                <a:noFill/>
              </a:ln>
            </c:spPr>
            <c:showLegendKey val="0"/>
            <c:showVal val="1"/>
            <c:showCatName val="0"/>
            <c:showSerName val="0"/>
            <c:showPercent val="0"/>
            <c:showBubbleSize val="0"/>
            <c:showLeaderLines val="0"/>
          </c:dLbls>
          <c:cat>
            <c:strRef>
              <c:f>Sheet1!$B$1:$C$1</c:f>
              <c:strCache>
                <c:ptCount val="2"/>
                <c:pt idx="0">
                  <c:v>Emaitzak</c:v>
                </c:pt>
                <c:pt idx="1">
                  <c:v>Cash Flowa</c:v>
                </c:pt>
              </c:strCache>
            </c:strRef>
          </c:cat>
          <c:val>
            <c:numRef>
              <c:f>Sheet1!$B$5:$C$5</c:f>
              <c:numCache>
                <c:formatCode>General</c:formatCode>
                <c:ptCount val="2"/>
                <c:pt idx="0">
                  <c:v>248232</c:v>
                </c:pt>
                <c:pt idx="1">
                  <c:v>1040589</c:v>
                </c:pt>
              </c:numCache>
            </c:numRef>
          </c:val>
        </c:ser>
        <c:ser>
          <c:idx val="4"/>
          <c:order val="4"/>
          <c:tx>
            <c:strRef>
              <c:f>Sheet1!$A$6</c:f>
              <c:strCache>
                <c:ptCount val="1"/>
                <c:pt idx="0">
                  <c:v>2010</c:v>
                </c:pt>
              </c:strCache>
            </c:strRef>
          </c:tx>
          <c:invertIfNegative val="0"/>
          <c:dLbls>
            <c:dLbl>
              <c:idx val="0"/>
              <c:layout/>
              <c:tx>
                <c:rich>
                  <a:bodyPr/>
                  <a:lstStyle/>
                  <a:p>
                    <a:r>
                      <a:rPr lang="en-US"/>
                      <a:t>99.716*</a:t>
                    </a:r>
                  </a:p>
                </c:rich>
              </c:tx>
              <c:showLegendKey val="0"/>
              <c:showVal val="0"/>
              <c:showCatName val="0"/>
              <c:showSerName val="0"/>
              <c:showPercent val="0"/>
              <c:showBubbleSize val="0"/>
            </c:dLbl>
            <c:dLbl>
              <c:idx val="1"/>
              <c:layout/>
              <c:tx>
                <c:rich>
                  <a:bodyPr/>
                  <a:lstStyle/>
                  <a:p>
                    <a:r>
                      <a:rPr lang="en-US"/>
                      <a:t>954.690*</a:t>
                    </a:r>
                  </a:p>
                </c:rich>
              </c:tx>
              <c:showLegendKey val="0"/>
              <c:showVal val="0"/>
              <c:showCatName val="0"/>
              <c:showSerName val="0"/>
              <c:showPercent val="0"/>
              <c:showBubbleSize val="0"/>
            </c:dLbl>
            <c:spPr>
              <a:noFill/>
              <a:ln w="17547">
                <a:noFill/>
              </a:ln>
            </c:spPr>
            <c:showLegendKey val="0"/>
            <c:showVal val="1"/>
            <c:showCatName val="0"/>
            <c:showSerName val="0"/>
            <c:showPercent val="0"/>
            <c:showBubbleSize val="0"/>
            <c:showLeaderLines val="0"/>
          </c:dLbls>
          <c:cat>
            <c:strRef>
              <c:f>Sheet1!$B$1:$C$1</c:f>
              <c:strCache>
                <c:ptCount val="2"/>
                <c:pt idx="0">
                  <c:v>Emaitzak</c:v>
                </c:pt>
                <c:pt idx="1">
                  <c:v>Cash Flowa</c:v>
                </c:pt>
              </c:strCache>
            </c:strRef>
          </c:cat>
          <c:val>
            <c:numRef>
              <c:f>Sheet1!$B$6:$C$6</c:f>
              <c:numCache>
                <c:formatCode>#,##0</c:formatCode>
                <c:ptCount val="2"/>
                <c:pt idx="0">
                  <c:v>99716</c:v>
                </c:pt>
                <c:pt idx="1">
                  <c:v>954690</c:v>
                </c:pt>
              </c:numCache>
            </c:numRef>
          </c:val>
        </c:ser>
        <c:ser>
          <c:idx val="5"/>
          <c:order val="5"/>
          <c:tx>
            <c:strRef>
              <c:f>Sheet1!$A$7</c:f>
              <c:strCache>
                <c:ptCount val="1"/>
                <c:pt idx="0">
                  <c:v>2012</c:v>
                </c:pt>
              </c:strCache>
            </c:strRef>
          </c:tx>
          <c:invertIfNegative val="0"/>
          <c:dLbls>
            <c:dLbl>
              <c:idx val="0"/>
              <c:layout>
                <c:manualLayout>
                  <c:x val="1.000625390869293E-2"/>
                  <c:y val="0"/>
                </c:manualLayout>
              </c:layout>
              <c:tx>
                <c:rich>
                  <a:bodyPr/>
                  <a:lstStyle/>
                  <a:p>
                    <a:r>
                      <a:rPr lang="en-US"/>
                      <a:t>79.320*</a:t>
                    </a:r>
                  </a:p>
                </c:rich>
              </c:tx>
              <c:dLblPos val="outEnd"/>
              <c:showLegendKey val="0"/>
              <c:showVal val="0"/>
              <c:showCatName val="0"/>
              <c:showSerName val="0"/>
              <c:showPercent val="0"/>
              <c:showBubbleSize val="0"/>
            </c:dLbl>
            <c:dLbl>
              <c:idx val="1"/>
              <c:layout>
                <c:manualLayout>
                  <c:x val="2.7517198248905611E-2"/>
                  <c:y val="2.5641025641025814E-2"/>
                </c:manualLayout>
              </c:layout>
              <c:tx>
                <c:rich>
                  <a:bodyPr/>
                  <a:lstStyle/>
                  <a:p>
                    <a:r>
                      <a:rPr lang="en-US"/>
                      <a:t>932.293*</a:t>
                    </a:r>
                  </a:p>
                </c:rich>
              </c:tx>
              <c:dLblPos val="outEnd"/>
              <c:showLegendKey val="0"/>
              <c:showVal val="0"/>
              <c:showCatName val="0"/>
              <c:showSerName val="0"/>
              <c:showPercent val="0"/>
              <c:showBubbleSize val="0"/>
            </c:dLbl>
            <c:spPr>
              <a:noFill/>
              <a:ln w="17547">
                <a:noFill/>
              </a:ln>
            </c:spPr>
            <c:showLegendKey val="0"/>
            <c:showVal val="1"/>
            <c:showCatName val="0"/>
            <c:showSerName val="0"/>
            <c:showPercent val="0"/>
            <c:showBubbleSize val="0"/>
            <c:showLeaderLines val="0"/>
          </c:dLbls>
          <c:cat>
            <c:strRef>
              <c:f>Sheet1!$B$1:$C$1</c:f>
              <c:strCache>
                <c:ptCount val="2"/>
                <c:pt idx="0">
                  <c:v>Emaitzak</c:v>
                </c:pt>
                <c:pt idx="1">
                  <c:v>Cash Flowa</c:v>
                </c:pt>
              </c:strCache>
            </c:strRef>
          </c:cat>
          <c:val>
            <c:numRef>
              <c:f>Sheet1!$B$7:$C$7</c:f>
              <c:numCache>
                <c:formatCode>#,##0</c:formatCode>
                <c:ptCount val="2"/>
                <c:pt idx="0">
                  <c:v>79320</c:v>
                </c:pt>
                <c:pt idx="1">
                  <c:v>932293</c:v>
                </c:pt>
              </c:numCache>
            </c:numRef>
          </c:val>
        </c:ser>
        <c:dLbls>
          <c:showLegendKey val="0"/>
          <c:showVal val="0"/>
          <c:showCatName val="0"/>
          <c:showSerName val="0"/>
          <c:showPercent val="0"/>
          <c:showBubbleSize val="0"/>
        </c:dLbls>
        <c:gapWidth val="150"/>
        <c:axId val="104477056"/>
        <c:axId val="104478592"/>
      </c:barChart>
      <c:catAx>
        <c:axId val="104477056"/>
        <c:scaling>
          <c:orientation val="minMax"/>
        </c:scaling>
        <c:delete val="0"/>
        <c:axPos val="b"/>
        <c:numFmt formatCode="General" sourceLinked="1"/>
        <c:majorTickMark val="out"/>
        <c:minorTickMark val="none"/>
        <c:tickLblPos val="low"/>
        <c:txPr>
          <a:bodyPr rot="0" vert="horz"/>
          <a:lstStyle/>
          <a:p>
            <a:pPr>
              <a:defRPr/>
            </a:pPr>
            <a:endParaRPr lang="es-ES"/>
          </a:p>
        </c:txPr>
        <c:crossAx val="104478592"/>
        <c:crosses val="autoZero"/>
        <c:auto val="1"/>
        <c:lblAlgn val="ctr"/>
        <c:lblOffset val="100"/>
        <c:tickLblSkip val="1"/>
        <c:tickMarkSkip val="1"/>
        <c:noMultiLvlLbl val="0"/>
      </c:catAx>
      <c:valAx>
        <c:axId val="104478592"/>
        <c:scaling>
          <c:orientation val="minMax"/>
          <c:max val="1500000"/>
        </c:scaling>
        <c:delete val="0"/>
        <c:axPos val="l"/>
        <c:majorGridlines>
          <c:spPr>
            <a:ln>
              <a:solidFill>
                <a:schemeClr val="bg1">
                  <a:lumMod val="95000"/>
                </a:schemeClr>
              </a:solidFill>
            </a:ln>
          </c:spPr>
        </c:majorGridlines>
        <c:numFmt formatCode="#,##0" sourceLinked="0"/>
        <c:majorTickMark val="out"/>
        <c:minorTickMark val="none"/>
        <c:tickLblPos val="nextTo"/>
        <c:txPr>
          <a:bodyPr rot="0" vert="horz"/>
          <a:lstStyle/>
          <a:p>
            <a:pPr>
              <a:defRPr/>
            </a:pPr>
            <a:endParaRPr lang="es-ES"/>
          </a:p>
        </c:txPr>
        <c:crossAx val="104477056"/>
        <c:crosses val="autoZero"/>
        <c:crossBetween val="between"/>
        <c:majorUnit val="500000"/>
      </c:valAx>
    </c:plotArea>
    <c:legend>
      <c:legendPos val="r"/>
      <c:layout>
        <c:manualLayout>
          <c:xMode val="edge"/>
          <c:yMode val="edge"/>
          <c:x val="0.20909090909090922"/>
          <c:y val="0.86931818181818177"/>
          <c:w val="0.54363636363636358"/>
          <c:h val="0.11931818181818182"/>
        </c:manualLayout>
      </c:layout>
      <c:overlay val="0"/>
    </c:legend>
    <c:plotVisOnly val="1"/>
    <c:dispBlanksAs val="gap"/>
    <c:showDLblsOverMax val="0"/>
  </c:chart>
  <c:spPr>
    <a:ln>
      <a:noFill/>
    </a:ln>
  </c:spPr>
  <c:txPr>
    <a:bodyPr/>
    <a:lstStyle/>
    <a:p>
      <a:pPr>
        <a:defRPr sz="800">
          <a:latin typeface="Arial" pitchFamily="34" charset="0"/>
          <a:cs typeface="Arial" pitchFamily="34" charset="0"/>
        </a:defRPr>
      </a:pPr>
      <a:endParaRPr lang="es-ES"/>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overlay val="0"/>
    </c:title>
    <c:autoTitleDeleted val="0"/>
    <c:plotArea>
      <c:layout>
        <c:manualLayout>
          <c:layoutTarget val="inner"/>
          <c:xMode val="edge"/>
          <c:yMode val="edge"/>
          <c:x val="5.5666003976144025E-2"/>
          <c:y val="8.7912087912087933E-2"/>
          <c:w val="0.9244532803180916"/>
          <c:h val="0.72527472527472525"/>
        </c:manualLayout>
      </c:layout>
      <c:barChart>
        <c:barDir val="col"/>
        <c:grouping val="clustered"/>
        <c:varyColors val="0"/>
        <c:ser>
          <c:idx val="0"/>
          <c:order val="0"/>
          <c:tx>
            <c:strRef>
              <c:f>Sheet1!$A$2</c:f>
              <c:strCache>
                <c:ptCount val="1"/>
              </c:strCache>
            </c:strRef>
          </c:tx>
          <c:spPr>
            <a:solidFill>
              <a:schemeClr val="accent1"/>
            </a:solidFill>
            <a:ln w="7892">
              <a:noFill/>
              <a:prstDash val="solid"/>
            </a:ln>
          </c:spPr>
          <c:invertIfNegative val="0"/>
          <c:dLbls>
            <c:dLbl>
              <c:idx val="0"/>
              <c:layout>
                <c:manualLayout>
                  <c:x val="9.0246767025729327E-3"/>
                  <c:y val="-6.8155110418889886E-2"/>
                </c:manualLayout>
              </c:layout>
              <c:tx>
                <c:rich>
                  <a:bodyPr/>
                  <a:lstStyle/>
                  <a:p>
                    <a:r>
                      <a:rPr lang="en-US" sz="800" b="1" i="0" u="none" strike="noStrike" baseline="0"/>
                      <a:t>%</a:t>
                    </a:r>
                    <a:r>
                      <a:rPr lang="en-US"/>
                      <a:t>17,0</a:t>
                    </a:r>
                  </a:p>
                </c:rich>
              </c:tx>
              <c:dLblPos val="outEnd"/>
              <c:showLegendKey val="0"/>
              <c:showVal val="1"/>
              <c:showCatName val="0"/>
              <c:showSerName val="0"/>
              <c:showPercent val="0"/>
              <c:showBubbleSize val="0"/>
            </c:dLbl>
            <c:dLbl>
              <c:idx val="1"/>
              <c:layout>
                <c:manualLayout>
                  <c:x val="6.3694224662061904E-3"/>
                  <c:y val="-6.1068970945940285E-2"/>
                </c:manualLayout>
              </c:layout>
              <c:dLblPos val="outEnd"/>
              <c:showLegendKey val="0"/>
              <c:showVal val="1"/>
              <c:showCatName val="0"/>
              <c:showSerName val="0"/>
              <c:showPercent val="0"/>
              <c:showBubbleSize val="0"/>
            </c:dLbl>
            <c:dLbl>
              <c:idx val="2"/>
              <c:layout>
                <c:manualLayout>
                  <c:x val="5.7022398004159588E-3"/>
                  <c:y val="-5.0420710632324832E-2"/>
                </c:manualLayout>
              </c:layout>
              <c:dLblPos val="outEnd"/>
              <c:showLegendKey val="0"/>
              <c:showVal val="1"/>
              <c:showCatName val="0"/>
              <c:showSerName val="0"/>
              <c:showPercent val="0"/>
              <c:showBubbleSize val="0"/>
            </c:dLbl>
            <c:dLbl>
              <c:idx val="3"/>
              <c:layout>
                <c:manualLayout>
                  <c:x val="7.023128705202406E-3"/>
                  <c:y val="-4.0075645592377647E-2"/>
                </c:manualLayout>
              </c:layout>
              <c:dLblPos val="outEnd"/>
              <c:showLegendKey val="0"/>
              <c:showVal val="1"/>
              <c:showCatName val="0"/>
              <c:showSerName val="0"/>
              <c:showPercent val="0"/>
              <c:showBubbleSize val="0"/>
            </c:dLbl>
            <c:dLbl>
              <c:idx val="4"/>
              <c:layout>
                <c:manualLayout>
                  <c:x val="2.3798028982589862E-3"/>
                  <c:y val="-4.3751532260390545E-2"/>
                </c:manualLayout>
              </c:layout>
              <c:dLblPos val="outEnd"/>
              <c:showLegendKey val="0"/>
              <c:showVal val="1"/>
              <c:showCatName val="0"/>
              <c:showSerName val="0"/>
              <c:showPercent val="0"/>
              <c:showBubbleSize val="0"/>
            </c:dLbl>
            <c:dLbl>
              <c:idx val="5"/>
              <c:layout>
                <c:manualLayout>
                  <c:x val="7.6768349441982894E-3"/>
                  <c:y val="-5.0193725784276964E-2"/>
                </c:manualLayout>
              </c:layout>
              <c:dLblPos val="outEnd"/>
              <c:showLegendKey val="0"/>
              <c:showVal val="1"/>
              <c:showCatName val="0"/>
              <c:showSerName val="0"/>
              <c:showPercent val="0"/>
              <c:showBubbleSize val="0"/>
            </c:dLbl>
            <c:dLbl>
              <c:idx val="6"/>
              <c:layout>
                <c:manualLayout>
                  <c:x val="3.0335091372550912E-3"/>
                  <c:y val="-3.9545465470662441E-2"/>
                </c:manualLayout>
              </c:layout>
              <c:dLblPos val="outEnd"/>
              <c:showLegendKey val="0"/>
              <c:showVal val="1"/>
              <c:showCatName val="0"/>
              <c:showSerName val="0"/>
              <c:showPercent val="0"/>
              <c:showBubbleSize val="0"/>
            </c:dLbl>
            <c:dLbl>
              <c:idx val="7"/>
              <c:layout>
                <c:manualLayout>
                  <c:x val="2.3663264714649202E-3"/>
                  <c:y val="-3.837024578658485E-2"/>
                </c:manualLayout>
              </c:layout>
              <c:dLblPos val="outEnd"/>
              <c:showLegendKey val="0"/>
              <c:showVal val="1"/>
              <c:showCatName val="0"/>
              <c:showSerName val="0"/>
              <c:showPercent val="0"/>
              <c:showBubbleSize val="0"/>
            </c:dLbl>
            <c:dLbl>
              <c:idx val="8"/>
              <c:layout>
                <c:manualLayout>
                  <c:x val="1.6991438056745403E-3"/>
                  <c:y val="-3.7195572909155615E-2"/>
                </c:manualLayout>
              </c:layout>
              <c:dLblPos val="outEnd"/>
              <c:showLegendKey val="0"/>
              <c:showVal val="1"/>
              <c:showCatName val="0"/>
              <c:showSerName val="0"/>
              <c:showPercent val="0"/>
              <c:showBubbleSize val="0"/>
            </c:dLbl>
            <c:dLbl>
              <c:idx val="9"/>
              <c:layout>
                <c:manualLayout>
                  <c:x val="8.9842474221906096E-3"/>
                  <c:y val="-3.5300196850393699E-2"/>
                </c:manualLayout>
              </c:layout>
              <c:dLblPos val="outEnd"/>
              <c:showLegendKey val="0"/>
              <c:showVal val="1"/>
              <c:showCatName val="0"/>
              <c:showSerName val="0"/>
              <c:showPercent val="0"/>
              <c:showBubbleSize val="0"/>
            </c:dLbl>
            <c:spPr>
              <a:noFill/>
              <a:ln w="15783">
                <a:noFill/>
              </a:ln>
            </c:spPr>
            <c:txPr>
              <a:bodyPr/>
              <a:lstStyle/>
              <a:p>
                <a:pPr>
                  <a:defRPr b="1"/>
                </a:pPr>
                <a:endParaRPr lang="es-ES"/>
              </a:p>
            </c:txPr>
            <c:showLegendKey val="0"/>
            <c:showVal val="1"/>
            <c:showCatName val="0"/>
            <c:showSerName val="0"/>
            <c:showPercent val="0"/>
            <c:showBubbleSize val="0"/>
            <c:showLeaderLines val="0"/>
          </c:dLbls>
          <c:cat>
            <c:numRef>
              <c:f>Sheet1!$B$1:$K$1</c:f>
              <c:numCache>
                <c:formatCode>General</c:formatCode>
                <c:ptCount val="10"/>
                <c:pt idx="0">
                  <c:v>1994</c:v>
                </c:pt>
                <c:pt idx="1">
                  <c:v>1996</c:v>
                </c:pt>
                <c:pt idx="2">
                  <c:v>1998</c:v>
                </c:pt>
                <c:pt idx="3">
                  <c:v>2000</c:v>
                </c:pt>
                <c:pt idx="4">
                  <c:v>2002</c:v>
                </c:pt>
                <c:pt idx="5">
                  <c:v>2004</c:v>
                </c:pt>
                <c:pt idx="6">
                  <c:v>2006</c:v>
                </c:pt>
                <c:pt idx="7">
                  <c:v>2008</c:v>
                </c:pt>
                <c:pt idx="8">
                  <c:v>2010</c:v>
                </c:pt>
                <c:pt idx="9">
                  <c:v>2012</c:v>
                </c:pt>
              </c:numCache>
            </c:numRef>
          </c:cat>
          <c:val>
            <c:numRef>
              <c:f>Sheet1!$B$2:$K$2</c:f>
              <c:numCache>
                <c:formatCode>%0.0</c:formatCode>
                <c:ptCount val="10"/>
                <c:pt idx="0" formatCode="0.0%">
                  <c:v>0.17</c:v>
                </c:pt>
                <c:pt idx="1">
                  <c:v>0.20300000000000001</c:v>
                </c:pt>
                <c:pt idx="2">
                  <c:v>0.22700000000000001</c:v>
                </c:pt>
                <c:pt idx="3">
                  <c:v>0.224</c:v>
                </c:pt>
                <c:pt idx="4">
                  <c:v>0.24100000000000013</c:v>
                </c:pt>
                <c:pt idx="5">
                  <c:v>0.21100000000000013</c:v>
                </c:pt>
                <c:pt idx="6">
                  <c:v>0.23500000000000001</c:v>
                </c:pt>
                <c:pt idx="7">
                  <c:v>0.24900000000000014</c:v>
                </c:pt>
                <c:pt idx="8">
                  <c:v>0.26300000000000001</c:v>
                </c:pt>
                <c:pt idx="9">
                  <c:v>0.32300000000000034</c:v>
                </c:pt>
              </c:numCache>
            </c:numRef>
          </c:val>
        </c:ser>
        <c:dLbls>
          <c:showLegendKey val="0"/>
          <c:showVal val="0"/>
          <c:showCatName val="0"/>
          <c:showSerName val="0"/>
          <c:showPercent val="0"/>
          <c:showBubbleSize val="0"/>
        </c:dLbls>
        <c:gapWidth val="150"/>
        <c:axId val="104519168"/>
        <c:axId val="104520704"/>
      </c:barChart>
      <c:catAx>
        <c:axId val="104519168"/>
        <c:scaling>
          <c:orientation val="minMax"/>
        </c:scaling>
        <c:delete val="0"/>
        <c:axPos val="b"/>
        <c:numFmt formatCode="General" sourceLinked="1"/>
        <c:majorTickMark val="out"/>
        <c:minorTickMark val="none"/>
        <c:tickLblPos val="low"/>
        <c:spPr>
          <a:ln w="1973">
            <a:solidFill>
              <a:srgbClr val="000000"/>
            </a:solidFill>
            <a:prstDash val="solid"/>
          </a:ln>
        </c:spPr>
        <c:txPr>
          <a:bodyPr rot="0" vert="horz"/>
          <a:lstStyle/>
          <a:p>
            <a:pPr>
              <a:defRPr/>
            </a:pPr>
            <a:endParaRPr lang="es-ES"/>
          </a:p>
        </c:txPr>
        <c:crossAx val="104520704"/>
        <c:crosses val="autoZero"/>
        <c:auto val="1"/>
        <c:lblAlgn val="ctr"/>
        <c:lblOffset val="100"/>
        <c:tickLblSkip val="1"/>
        <c:tickMarkSkip val="1"/>
        <c:noMultiLvlLbl val="0"/>
      </c:catAx>
      <c:valAx>
        <c:axId val="104520704"/>
        <c:scaling>
          <c:orientation val="minMax"/>
          <c:max val="0.4"/>
          <c:min val="0"/>
        </c:scaling>
        <c:delete val="0"/>
        <c:axPos val="l"/>
        <c:majorGridlines>
          <c:spPr>
            <a:ln w="7892">
              <a:solidFill>
                <a:schemeClr val="bg1">
                  <a:lumMod val="95000"/>
                </a:schemeClr>
              </a:solidFill>
              <a:prstDash val="solid"/>
            </a:ln>
          </c:spPr>
        </c:majorGridlines>
        <c:numFmt formatCode="%0" sourceLinked="0"/>
        <c:majorTickMark val="out"/>
        <c:minorTickMark val="none"/>
        <c:tickLblPos val="nextTo"/>
        <c:spPr>
          <a:ln w="1973">
            <a:solidFill>
              <a:srgbClr val="000000"/>
            </a:solidFill>
            <a:prstDash val="solid"/>
          </a:ln>
        </c:spPr>
        <c:txPr>
          <a:bodyPr rot="0" vert="horz"/>
          <a:lstStyle/>
          <a:p>
            <a:pPr>
              <a:defRPr/>
            </a:pPr>
            <a:endParaRPr lang="es-ES"/>
          </a:p>
        </c:txPr>
        <c:crossAx val="104519168"/>
        <c:crosses val="autoZero"/>
        <c:crossBetween val="between"/>
        <c:majorUnit val="0.2"/>
        <c:minorUnit val="0.2"/>
      </c:valAx>
      <c:spPr>
        <a:noFill/>
        <a:ln w="15783">
          <a:noFill/>
        </a:ln>
      </c:spPr>
    </c:plotArea>
    <c:plotVisOnly val="1"/>
    <c:dispBlanksAs val="gap"/>
    <c:showDLblsOverMax val="0"/>
  </c:chart>
  <c:spPr>
    <a:noFill/>
    <a:ln>
      <a:noFill/>
    </a:ln>
  </c:spPr>
  <c:txPr>
    <a:bodyPr/>
    <a:lstStyle/>
    <a:p>
      <a:pPr>
        <a:defRPr sz="800" b="0" i="0" u="none" strike="noStrike" baseline="0">
          <a:solidFill>
            <a:srgbClr val="000000"/>
          </a:solidFill>
          <a:latin typeface="Arial" pitchFamily="34" charset="0"/>
          <a:ea typeface="Calibri"/>
          <a:cs typeface="Arial" pitchFamily="34" charset="0"/>
        </a:defRPr>
      </a:pPr>
      <a:endParaRPr lang="es-E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563AEF-BE75-4795-B982-E381946430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76</TotalTime>
  <Pages>98</Pages>
  <Words>16130</Words>
  <Characters>139270</Characters>
  <Application>Microsoft Office Word</Application>
  <DocSecurity>0</DocSecurity>
  <Lines>1160</Lines>
  <Paragraphs>310</Paragraphs>
  <ScaleCrop>false</ScaleCrop>
  <HeadingPairs>
    <vt:vector size="2" baseType="variant">
      <vt:variant>
        <vt:lpstr>Título</vt:lpstr>
      </vt:variant>
      <vt:variant>
        <vt:i4>1</vt:i4>
      </vt:variant>
    </vt:vector>
  </HeadingPairs>
  <TitlesOfParts>
    <vt:vector size="1" baseType="lpstr">
      <vt:lpstr>ESTADÍSTICA DE LA ECONOMÍA SOCIAL 2012Y AVANCE 2013</vt:lpstr>
    </vt:vector>
  </TitlesOfParts>
  <Company>EJIE</Company>
  <LinksUpToDate>false</LinksUpToDate>
  <CharactersWithSpaces>155090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ESTADÍSTICA DE LA ECONOMÍA SOCIAL 2012Y AVANCE 2013</dc:title>
  <dc:subject>30 de junio de 2014</dc:subject>
  <dc:creator>IKERTALDE</dc:creator>
  <cp:lastModifiedBy>Puerta Goikoetxea, Aitor</cp:lastModifiedBy>
  <cp:revision>7</cp:revision>
  <cp:lastPrinted>2014-07-09T09:31:00Z</cp:lastPrinted>
  <dcterms:created xsi:type="dcterms:W3CDTF">2014-07-09T07:30:00Z</dcterms:created>
  <dcterms:modified xsi:type="dcterms:W3CDTF">2014-07-09T09:46:00Z</dcterms:modified>
</cp:coreProperties>
</file>