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09C1" w14:textId="77777777" w:rsidR="005F42B8" w:rsidRDefault="005F42B8" w:rsidP="00DA46E5">
      <w:pPr>
        <w:pStyle w:val="Blockquote"/>
        <w:ind w:left="284" w:right="0"/>
        <w:jc w:val="center"/>
        <w:rPr>
          <w:rStyle w:val="Textoennegrita"/>
          <w:rFonts w:ascii="Calibri" w:hAnsi="Calibri" w:cs="Calibri"/>
          <w:bCs/>
          <w:sz w:val="22"/>
          <w:szCs w:val="22"/>
        </w:rPr>
      </w:pPr>
    </w:p>
    <w:p w14:paraId="2C926F06" w14:textId="3DBA051D" w:rsidR="00447734" w:rsidRPr="004E2591" w:rsidRDefault="00661ECA" w:rsidP="00A11F95">
      <w:pPr>
        <w:pStyle w:val="Blockquote"/>
        <w:ind w:left="0" w:right="0"/>
        <w:jc w:val="both"/>
        <w:rPr>
          <w:rStyle w:val="Textoennegrita"/>
          <w:rFonts w:ascii="Calibri" w:hAnsi="Calibri" w:cs="Calibri"/>
          <w:bCs/>
          <w:szCs w:val="24"/>
        </w:rPr>
      </w:pPr>
      <w:r>
        <w:rPr>
          <w:rStyle w:val="Textoennegrita"/>
          <w:rFonts w:ascii="Calibri" w:hAnsi="Calibri" w:cs="Calibri"/>
          <w:bCs/>
          <w:szCs w:val="24"/>
        </w:rPr>
        <w:t>Memoria justificativa de modificación del Decreto 243/1992</w:t>
      </w:r>
      <w:r w:rsidR="00556A58">
        <w:rPr>
          <w:rStyle w:val="Textoennegrita"/>
          <w:rFonts w:ascii="Calibri" w:hAnsi="Calibri" w:cs="Calibri"/>
          <w:bCs/>
          <w:szCs w:val="24"/>
        </w:rPr>
        <w:t>, de 1 de septiembre</w:t>
      </w:r>
      <w:r w:rsidR="00D74C1B">
        <w:rPr>
          <w:rStyle w:val="Textoennegrita"/>
          <w:rFonts w:ascii="Calibri" w:hAnsi="Calibri" w:cs="Calibri"/>
          <w:bCs/>
          <w:szCs w:val="24"/>
        </w:rPr>
        <w:t xml:space="preserve"> por el que se ordenan los servicios farmacéuticos de los Hospitales de la Comunidad Autónoma del País Vasco</w:t>
      </w:r>
      <w:r w:rsidR="00A11F95">
        <w:rPr>
          <w:rStyle w:val="Textoennegrita"/>
          <w:rFonts w:ascii="Calibri" w:hAnsi="Calibri" w:cs="Calibri"/>
          <w:bCs/>
          <w:szCs w:val="24"/>
        </w:rPr>
        <w:t>.</w:t>
      </w:r>
    </w:p>
    <w:p w14:paraId="7924FA8A" w14:textId="77777777" w:rsidR="00DF1CD7" w:rsidRDefault="00DB61AD" w:rsidP="005F42B8">
      <w:pPr>
        <w:autoSpaceDE w:val="0"/>
        <w:autoSpaceDN w:val="0"/>
        <w:adjustRightInd w:val="0"/>
        <w:rPr>
          <w:b/>
          <w:bCs/>
          <w:color w:val="FFFFFF"/>
          <w:sz w:val="26"/>
          <w:szCs w:val="26"/>
          <w:lang w:val="es-ES" w:eastAsia="es-ES"/>
        </w:rPr>
      </w:pPr>
      <w:r>
        <w:rPr>
          <w:b/>
          <w:bCs/>
          <w:color w:val="FFFFFF"/>
          <w:sz w:val="26"/>
          <w:szCs w:val="26"/>
          <w:lang w:val="es-ES" w:eastAsia="es-ES"/>
        </w:rPr>
        <w:t>en lo que rc</w:t>
      </w:r>
    </w:p>
    <w:p w14:paraId="08D369A3" w14:textId="77777777" w:rsidR="00E535D7" w:rsidRDefault="0018620E" w:rsidP="0007113A">
      <w:pPr>
        <w:autoSpaceDE w:val="0"/>
        <w:autoSpaceDN w:val="0"/>
        <w:adjustRightInd w:val="0"/>
        <w:jc w:val="both"/>
        <w:rPr>
          <w:rFonts w:ascii="Calibri" w:hAnsi="Calibri" w:cs="Calibri"/>
          <w:szCs w:val="24"/>
          <w:lang w:val="es-ES" w:eastAsia="es-ES"/>
        </w:rPr>
      </w:pPr>
      <w:r>
        <w:rPr>
          <w:rFonts w:ascii="Calibri" w:hAnsi="Calibri" w:cs="Calibri"/>
          <w:szCs w:val="24"/>
          <w:lang w:val="es-ES" w:eastAsia="es-ES"/>
        </w:rPr>
        <w:t xml:space="preserve">El </w:t>
      </w:r>
      <w:r w:rsidR="00C44E0E">
        <w:rPr>
          <w:rFonts w:ascii="Calibri" w:hAnsi="Calibri" w:cs="Calibri"/>
          <w:szCs w:val="24"/>
          <w:lang w:val="es-ES" w:eastAsia="es-ES"/>
        </w:rPr>
        <w:t>P</w:t>
      </w:r>
      <w:r>
        <w:rPr>
          <w:rFonts w:ascii="Calibri" w:hAnsi="Calibri" w:cs="Calibri"/>
          <w:szCs w:val="24"/>
          <w:lang w:val="es-ES" w:eastAsia="es-ES"/>
        </w:rPr>
        <w:t xml:space="preserve">aís </w:t>
      </w:r>
      <w:r w:rsidR="00C44E0E">
        <w:rPr>
          <w:rFonts w:ascii="Calibri" w:hAnsi="Calibri" w:cs="Calibri"/>
          <w:szCs w:val="24"/>
          <w:lang w:val="es-ES" w:eastAsia="es-ES"/>
        </w:rPr>
        <w:t>V</w:t>
      </w:r>
      <w:r>
        <w:rPr>
          <w:rFonts w:ascii="Calibri" w:hAnsi="Calibri" w:cs="Calibri"/>
          <w:szCs w:val="24"/>
          <w:lang w:val="es-ES" w:eastAsia="es-ES"/>
        </w:rPr>
        <w:t>asco tiene competencia exclusiva</w:t>
      </w:r>
      <w:r w:rsidR="00C44E0E">
        <w:rPr>
          <w:rFonts w:ascii="Calibri" w:hAnsi="Calibri" w:cs="Calibri"/>
          <w:szCs w:val="24"/>
          <w:lang w:val="es-ES" w:eastAsia="es-ES"/>
        </w:rPr>
        <w:t xml:space="preserve"> en Ordenación Farmacéutica. </w:t>
      </w:r>
      <w:r w:rsidR="0064593B">
        <w:rPr>
          <w:rFonts w:ascii="Calibri" w:hAnsi="Calibri" w:cs="Calibri"/>
          <w:szCs w:val="24"/>
          <w:lang w:val="es-ES" w:eastAsia="es-ES"/>
        </w:rPr>
        <w:t xml:space="preserve">El establecimiento de los requisitos técnico-sanitarios </w:t>
      </w:r>
      <w:r w:rsidR="00DD39B6">
        <w:rPr>
          <w:rFonts w:ascii="Calibri" w:hAnsi="Calibri" w:cs="Calibri"/>
          <w:szCs w:val="24"/>
          <w:lang w:val="es-ES" w:eastAsia="es-ES"/>
        </w:rPr>
        <w:t>de los Servicios de Farmacia Hospitalaria no es legislación básica</w:t>
      </w:r>
      <w:r w:rsidR="006C72C4">
        <w:rPr>
          <w:rFonts w:ascii="Calibri" w:hAnsi="Calibri" w:cs="Calibri"/>
          <w:szCs w:val="24"/>
          <w:lang w:val="es-ES" w:eastAsia="es-ES"/>
        </w:rPr>
        <w:t>.</w:t>
      </w:r>
      <w:r w:rsidR="003E77E2">
        <w:rPr>
          <w:rFonts w:ascii="Calibri" w:hAnsi="Calibri" w:cs="Calibri"/>
          <w:szCs w:val="24"/>
          <w:lang w:val="es-ES" w:eastAsia="es-ES"/>
        </w:rPr>
        <w:t xml:space="preserve"> </w:t>
      </w:r>
    </w:p>
    <w:p w14:paraId="41CDD787" w14:textId="77777777" w:rsidR="00512BB0" w:rsidRDefault="00512BB0" w:rsidP="0007113A">
      <w:pPr>
        <w:autoSpaceDE w:val="0"/>
        <w:autoSpaceDN w:val="0"/>
        <w:adjustRightInd w:val="0"/>
        <w:jc w:val="both"/>
        <w:rPr>
          <w:rFonts w:ascii="Calibri" w:hAnsi="Calibri" w:cs="Calibri"/>
          <w:szCs w:val="24"/>
          <w:lang w:val="es-ES" w:eastAsia="es-ES"/>
        </w:rPr>
      </w:pPr>
    </w:p>
    <w:p w14:paraId="1D4F80E3" w14:textId="44800A3A" w:rsidR="00F5017A" w:rsidRDefault="00410731" w:rsidP="0007113A">
      <w:pPr>
        <w:autoSpaceDE w:val="0"/>
        <w:autoSpaceDN w:val="0"/>
        <w:adjustRightInd w:val="0"/>
        <w:jc w:val="both"/>
        <w:rPr>
          <w:rStyle w:val="Textoennegrita"/>
          <w:rFonts w:ascii="Calibri" w:hAnsi="Calibri" w:cs="Calibri"/>
          <w:b w:val="0"/>
          <w:szCs w:val="24"/>
        </w:rPr>
      </w:pPr>
      <w:r>
        <w:rPr>
          <w:rFonts w:ascii="Calibri" w:hAnsi="Calibri" w:cs="Calibri"/>
          <w:szCs w:val="24"/>
          <w:lang w:val="es-ES" w:eastAsia="es-ES"/>
        </w:rPr>
        <w:t>En la CAPV m</w:t>
      </w:r>
      <w:r w:rsidR="00DC6373">
        <w:rPr>
          <w:rFonts w:ascii="Calibri" w:hAnsi="Calibri" w:cs="Calibri"/>
          <w:szCs w:val="24"/>
          <w:lang w:val="es-ES" w:eastAsia="es-ES"/>
        </w:rPr>
        <w:t xml:space="preserve">ediante </w:t>
      </w:r>
      <w:r w:rsidR="00DE4DF9">
        <w:rPr>
          <w:rStyle w:val="Textoennegrita"/>
          <w:rFonts w:ascii="Calibri" w:hAnsi="Calibri" w:cs="Calibri"/>
          <w:bCs/>
          <w:i/>
          <w:iCs/>
          <w:szCs w:val="24"/>
        </w:rPr>
        <w:t xml:space="preserve">el Decreto 243/1992, de 1 de septiembre, se </w:t>
      </w:r>
      <w:r w:rsidR="00E360BA">
        <w:rPr>
          <w:rStyle w:val="Textoennegrita"/>
          <w:rFonts w:ascii="Calibri" w:hAnsi="Calibri" w:cs="Calibri"/>
          <w:bCs/>
          <w:i/>
          <w:iCs/>
          <w:szCs w:val="24"/>
        </w:rPr>
        <w:t>ordena</w:t>
      </w:r>
      <w:r w:rsidR="00A92737">
        <w:rPr>
          <w:rStyle w:val="Textoennegrita"/>
          <w:rFonts w:ascii="Calibri" w:hAnsi="Calibri" w:cs="Calibri"/>
          <w:bCs/>
          <w:i/>
          <w:iCs/>
          <w:szCs w:val="24"/>
        </w:rPr>
        <w:t>ron</w:t>
      </w:r>
      <w:r w:rsidR="00E360BA">
        <w:rPr>
          <w:rStyle w:val="Textoennegrita"/>
          <w:rFonts w:ascii="Calibri" w:hAnsi="Calibri" w:cs="Calibri"/>
          <w:bCs/>
          <w:i/>
          <w:iCs/>
          <w:szCs w:val="24"/>
        </w:rPr>
        <w:t xml:space="preserve"> los servicios </w:t>
      </w:r>
      <w:r w:rsidR="00DA2C80">
        <w:rPr>
          <w:rStyle w:val="Textoennegrita"/>
          <w:rFonts w:ascii="Calibri" w:hAnsi="Calibri" w:cs="Calibri"/>
          <w:bCs/>
          <w:i/>
          <w:iCs/>
          <w:szCs w:val="24"/>
        </w:rPr>
        <w:t>farmacéuticos de los hospitales</w:t>
      </w:r>
      <w:r w:rsidR="00DA2C80">
        <w:rPr>
          <w:rStyle w:val="Textoennegrita"/>
          <w:rFonts w:ascii="Calibri" w:hAnsi="Calibri" w:cs="Calibri"/>
          <w:b w:val="0"/>
          <w:szCs w:val="24"/>
        </w:rPr>
        <w:t>.</w:t>
      </w:r>
      <w:r w:rsidR="00593040">
        <w:rPr>
          <w:rStyle w:val="Textoennegrita"/>
          <w:rFonts w:ascii="Calibri" w:hAnsi="Calibri" w:cs="Calibri"/>
          <w:b w:val="0"/>
          <w:szCs w:val="24"/>
        </w:rPr>
        <w:t xml:space="preserve"> </w:t>
      </w:r>
    </w:p>
    <w:p w14:paraId="10B24CF7" w14:textId="62ACE163" w:rsidR="001E4D66" w:rsidRDefault="00580585" w:rsidP="0007113A">
      <w:pPr>
        <w:autoSpaceDE w:val="0"/>
        <w:autoSpaceDN w:val="0"/>
        <w:adjustRightInd w:val="0"/>
        <w:jc w:val="both"/>
        <w:rPr>
          <w:rStyle w:val="Textoennegrita"/>
          <w:rFonts w:ascii="Calibri" w:hAnsi="Calibri" w:cs="Calibri"/>
          <w:b w:val="0"/>
          <w:color w:val="FFFFFF"/>
          <w:szCs w:val="24"/>
          <w:lang w:val="es-ES" w:eastAsia="es-ES"/>
        </w:rPr>
      </w:pPr>
      <w:r>
        <w:rPr>
          <w:rStyle w:val="Textoennegrita"/>
          <w:rFonts w:ascii="Calibri" w:hAnsi="Calibri" w:cs="Calibri"/>
          <w:b w:val="0"/>
          <w:szCs w:val="24"/>
        </w:rPr>
        <w:t xml:space="preserve">Esta </w:t>
      </w:r>
      <w:r w:rsidR="00CC7172">
        <w:rPr>
          <w:rStyle w:val="Textoennegrita"/>
          <w:rFonts w:ascii="Calibri" w:hAnsi="Calibri" w:cs="Calibri"/>
          <w:b w:val="0"/>
          <w:szCs w:val="24"/>
        </w:rPr>
        <w:t xml:space="preserve">disposición tuvo gran importancia por </w:t>
      </w:r>
      <w:r w:rsidR="00281F6D">
        <w:rPr>
          <w:rStyle w:val="Textoennegrita"/>
          <w:rFonts w:ascii="Calibri" w:hAnsi="Calibri" w:cs="Calibri"/>
          <w:b w:val="0"/>
          <w:szCs w:val="24"/>
        </w:rPr>
        <w:t>ser el primer texto legal que se publicó</w:t>
      </w:r>
      <w:r w:rsidR="001E4D66">
        <w:rPr>
          <w:rStyle w:val="Textoennegrita"/>
          <w:rFonts w:ascii="Calibri" w:hAnsi="Calibri" w:cs="Calibri"/>
          <w:b w:val="0"/>
          <w:szCs w:val="24"/>
        </w:rPr>
        <w:t xml:space="preserve"> íntegramente dedicado a la Farmacia Hospitalaria</w:t>
      </w:r>
      <w:r w:rsidR="00182793">
        <w:rPr>
          <w:rStyle w:val="Textoennegrita"/>
          <w:rFonts w:ascii="Calibri" w:hAnsi="Calibri" w:cs="Calibri"/>
          <w:b w:val="0"/>
          <w:szCs w:val="24"/>
        </w:rPr>
        <w:t xml:space="preserve"> a nivel nacional</w:t>
      </w:r>
      <w:r w:rsidR="001E4D66">
        <w:rPr>
          <w:rStyle w:val="Textoennegrita"/>
          <w:rFonts w:ascii="Calibri" w:hAnsi="Calibri" w:cs="Calibri"/>
          <w:b w:val="0"/>
          <w:szCs w:val="24"/>
        </w:rPr>
        <w:t>.</w:t>
      </w:r>
    </w:p>
    <w:p w14:paraId="3D936F08" w14:textId="499AE5B7" w:rsidR="00143B29" w:rsidRDefault="001C7362" w:rsidP="00DA46E5">
      <w:pPr>
        <w:pStyle w:val="Blockquote"/>
        <w:ind w:left="0" w:right="0"/>
        <w:jc w:val="both"/>
        <w:rPr>
          <w:rStyle w:val="Textoennegrita"/>
          <w:rFonts w:ascii="Calibri" w:hAnsi="Calibri" w:cs="Calibri"/>
          <w:b w:val="0"/>
          <w:szCs w:val="24"/>
        </w:rPr>
      </w:pPr>
      <w:r>
        <w:rPr>
          <w:rStyle w:val="Textoennegrita"/>
          <w:rFonts w:ascii="Calibri" w:hAnsi="Calibri" w:cs="Calibri"/>
          <w:b w:val="0"/>
          <w:szCs w:val="24"/>
        </w:rPr>
        <w:t xml:space="preserve">En </w:t>
      </w:r>
      <w:r w:rsidR="00842569">
        <w:rPr>
          <w:rStyle w:val="Textoennegrita"/>
          <w:rFonts w:ascii="Calibri" w:hAnsi="Calibri" w:cs="Calibri"/>
          <w:b w:val="0"/>
          <w:szCs w:val="24"/>
        </w:rPr>
        <w:t>é</w:t>
      </w:r>
      <w:r>
        <w:rPr>
          <w:rStyle w:val="Textoennegrita"/>
          <w:rFonts w:ascii="Calibri" w:hAnsi="Calibri" w:cs="Calibri"/>
          <w:b w:val="0"/>
          <w:szCs w:val="24"/>
        </w:rPr>
        <w:t xml:space="preserve">l </w:t>
      </w:r>
      <w:r w:rsidR="001178C0">
        <w:rPr>
          <w:rStyle w:val="Textoennegrita"/>
          <w:rFonts w:ascii="Calibri" w:hAnsi="Calibri" w:cs="Calibri"/>
          <w:b w:val="0"/>
          <w:szCs w:val="24"/>
        </w:rPr>
        <w:t>se regu</w:t>
      </w:r>
      <w:r w:rsidR="00842569">
        <w:rPr>
          <w:rStyle w:val="Textoennegrita"/>
          <w:rFonts w:ascii="Calibri" w:hAnsi="Calibri" w:cs="Calibri"/>
          <w:b w:val="0"/>
          <w:szCs w:val="24"/>
        </w:rPr>
        <w:t>l</w:t>
      </w:r>
      <w:r w:rsidR="003B5E3A">
        <w:rPr>
          <w:rStyle w:val="Textoennegrita"/>
          <w:rFonts w:ascii="Calibri" w:hAnsi="Calibri" w:cs="Calibri"/>
          <w:b w:val="0"/>
          <w:szCs w:val="24"/>
        </w:rPr>
        <w:t>a</w:t>
      </w:r>
      <w:r w:rsidR="00842569">
        <w:rPr>
          <w:rStyle w:val="Textoennegrita"/>
          <w:rFonts w:ascii="Calibri" w:hAnsi="Calibri" w:cs="Calibri"/>
          <w:b w:val="0"/>
          <w:szCs w:val="24"/>
        </w:rPr>
        <w:t xml:space="preserve"> que todos los hospitales </w:t>
      </w:r>
      <w:r w:rsidR="00293806">
        <w:rPr>
          <w:rStyle w:val="Textoennegrita"/>
          <w:rFonts w:ascii="Calibri" w:hAnsi="Calibri" w:cs="Calibri"/>
          <w:b w:val="0"/>
          <w:szCs w:val="24"/>
        </w:rPr>
        <w:t>deb</w:t>
      </w:r>
      <w:r w:rsidR="003B5E3A">
        <w:rPr>
          <w:rStyle w:val="Textoennegrita"/>
          <w:rFonts w:ascii="Calibri" w:hAnsi="Calibri" w:cs="Calibri"/>
          <w:b w:val="0"/>
          <w:szCs w:val="24"/>
        </w:rPr>
        <w:t>en</w:t>
      </w:r>
      <w:r w:rsidR="00293806">
        <w:rPr>
          <w:rStyle w:val="Textoennegrita"/>
          <w:rFonts w:ascii="Calibri" w:hAnsi="Calibri" w:cs="Calibri"/>
          <w:b w:val="0"/>
          <w:szCs w:val="24"/>
        </w:rPr>
        <w:t xml:space="preserve"> disponer de una de las modalidades de servicio farmacéutico, </w:t>
      </w:r>
      <w:r w:rsidR="00C81601">
        <w:rPr>
          <w:rStyle w:val="Textoennegrita"/>
          <w:rFonts w:ascii="Calibri" w:hAnsi="Calibri" w:cs="Calibri"/>
          <w:b w:val="0"/>
          <w:szCs w:val="24"/>
        </w:rPr>
        <w:t>sie</w:t>
      </w:r>
      <w:r w:rsidR="001D0576">
        <w:rPr>
          <w:rStyle w:val="Textoennegrita"/>
          <w:rFonts w:ascii="Calibri" w:hAnsi="Calibri" w:cs="Calibri"/>
          <w:b w:val="0"/>
          <w:szCs w:val="24"/>
        </w:rPr>
        <w:t xml:space="preserve">ndo obligatorio el establecimiento de Depósitos Hospitalarios de medicamentos en todos los centros de menos de 100 camas que </w:t>
      </w:r>
      <w:r w:rsidR="00F8232A">
        <w:rPr>
          <w:rStyle w:val="Textoennegrita"/>
          <w:rFonts w:ascii="Calibri" w:hAnsi="Calibri" w:cs="Calibri"/>
          <w:b w:val="0"/>
          <w:szCs w:val="24"/>
        </w:rPr>
        <w:t xml:space="preserve">no </w:t>
      </w:r>
      <w:r w:rsidR="00093BE4">
        <w:rPr>
          <w:rStyle w:val="Textoennegrita"/>
          <w:rFonts w:ascii="Calibri" w:hAnsi="Calibri" w:cs="Calibri"/>
          <w:b w:val="0"/>
          <w:szCs w:val="24"/>
        </w:rPr>
        <w:t>deban</w:t>
      </w:r>
      <w:r w:rsidR="00F8232A">
        <w:rPr>
          <w:rStyle w:val="Textoennegrita"/>
          <w:rFonts w:ascii="Calibri" w:hAnsi="Calibri" w:cs="Calibri"/>
          <w:b w:val="0"/>
          <w:szCs w:val="24"/>
        </w:rPr>
        <w:t xml:space="preserve"> tener Servicio de Farmacia</w:t>
      </w:r>
      <w:r w:rsidR="007A09D1">
        <w:rPr>
          <w:rStyle w:val="Textoennegrita"/>
          <w:rFonts w:ascii="Calibri" w:hAnsi="Calibri" w:cs="Calibri"/>
          <w:b w:val="0"/>
          <w:szCs w:val="24"/>
        </w:rPr>
        <w:t>.</w:t>
      </w:r>
    </w:p>
    <w:p w14:paraId="07CEFFB0" w14:textId="533E022C" w:rsidR="00610E2E" w:rsidRDefault="00C93DBB" w:rsidP="00DA46E5">
      <w:pPr>
        <w:pStyle w:val="Blockquote"/>
        <w:ind w:left="0" w:right="0" w:hanging="284"/>
        <w:jc w:val="both"/>
        <w:rPr>
          <w:rStyle w:val="Textoennegrita"/>
          <w:rFonts w:ascii="Calibri" w:hAnsi="Calibri" w:cs="Calibri"/>
          <w:b w:val="0"/>
          <w:szCs w:val="24"/>
        </w:rPr>
      </w:pPr>
      <w:r>
        <w:rPr>
          <w:rStyle w:val="Textoennegrita"/>
          <w:rFonts w:ascii="Calibri" w:hAnsi="Calibri" w:cs="Calibri"/>
          <w:b w:val="0"/>
          <w:szCs w:val="24"/>
        </w:rPr>
        <w:t xml:space="preserve">     </w:t>
      </w:r>
      <w:r w:rsidR="00604F48">
        <w:rPr>
          <w:rStyle w:val="Textoennegrita"/>
          <w:rFonts w:ascii="Calibri" w:hAnsi="Calibri" w:cs="Calibri"/>
          <w:b w:val="0"/>
          <w:szCs w:val="24"/>
        </w:rPr>
        <w:t>Adem</w:t>
      </w:r>
      <w:r w:rsidR="00C8576A">
        <w:rPr>
          <w:rStyle w:val="Textoennegrita"/>
          <w:rFonts w:ascii="Calibri" w:hAnsi="Calibri" w:cs="Calibri"/>
          <w:b w:val="0"/>
          <w:szCs w:val="24"/>
        </w:rPr>
        <w:t xml:space="preserve">ás de las funciones de la ley del Medicamento, </w:t>
      </w:r>
      <w:r w:rsidR="006B4131">
        <w:rPr>
          <w:rStyle w:val="Textoennegrita"/>
          <w:rFonts w:ascii="Calibri" w:hAnsi="Calibri" w:cs="Calibri"/>
          <w:b w:val="0"/>
          <w:szCs w:val="24"/>
        </w:rPr>
        <w:t xml:space="preserve">se establece </w:t>
      </w:r>
      <w:r w:rsidR="003C6A65">
        <w:rPr>
          <w:rStyle w:val="Textoennegrita"/>
          <w:rFonts w:ascii="Calibri" w:hAnsi="Calibri" w:cs="Calibri"/>
          <w:b w:val="0"/>
          <w:szCs w:val="24"/>
        </w:rPr>
        <w:t xml:space="preserve">la capacidad </w:t>
      </w:r>
      <w:r w:rsidR="006B4131">
        <w:rPr>
          <w:rStyle w:val="Textoennegrita"/>
          <w:rFonts w:ascii="Calibri" w:hAnsi="Calibri" w:cs="Calibri"/>
          <w:b w:val="0"/>
          <w:szCs w:val="24"/>
        </w:rPr>
        <w:t xml:space="preserve">de los Depósitos </w:t>
      </w:r>
      <w:r w:rsidR="003C6A65">
        <w:rPr>
          <w:rStyle w:val="Textoennegrita"/>
          <w:rFonts w:ascii="Calibri" w:hAnsi="Calibri" w:cs="Calibri"/>
          <w:b w:val="0"/>
          <w:szCs w:val="24"/>
        </w:rPr>
        <w:t>para adquirir medicamentos</w:t>
      </w:r>
      <w:r w:rsidR="003151A8">
        <w:rPr>
          <w:rStyle w:val="Textoennegrita"/>
          <w:rFonts w:ascii="Calibri" w:hAnsi="Calibri" w:cs="Calibri"/>
          <w:b w:val="0"/>
          <w:szCs w:val="24"/>
        </w:rPr>
        <w:t xml:space="preserve"> y también para preparar fórmulas magistrales</w:t>
      </w:r>
      <w:r w:rsidR="00FD48E3">
        <w:rPr>
          <w:rStyle w:val="Textoennegrita"/>
          <w:rFonts w:ascii="Calibri" w:hAnsi="Calibri" w:cs="Calibri"/>
          <w:b w:val="0"/>
          <w:szCs w:val="24"/>
        </w:rPr>
        <w:t xml:space="preserve">, </w:t>
      </w:r>
      <w:r w:rsidR="00434425">
        <w:rPr>
          <w:rStyle w:val="Textoennegrita"/>
          <w:rFonts w:ascii="Calibri" w:hAnsi="Calibri" w:cs="Calibri"/>
          <w:b w:val="0"/>
          <w:szCs w:val="24"/>
        </w:rPr>
        <w:t xml:space="preserve">esto último </w:t>
      </w:r>
      <w:r w:rsidR="00BD593E">
        <w:rPr>
          <w:rStyle w:val="Textoennegrita"/>
          <w:rFonts w:ascii="Calibri" w:hAnsi="Calibri" w:cs="Calibri"/>
          <w:b w:val="0"/>
          <w:szCs w:val="24"/>
        </w:rPr>
        <w:t xml:space="preserve">por considerar que </w:t>
      </w:r>
      <w:r w:rsidR="00377595">
        <w:rPr>
          <w:rStyle w:val="Textoennegrita"/>
          <w:rFonts w:ascii="Calibri" w:hAnsi="Calibri" w:cs="Calibri"/>
          <w:b w:val="0"/>
          <w:szCs w:val="24"/>
        </w:rPr>
        <w:t>los Depósitos son</w:t>
      </w:r>
      <w:r w:rsidR="00D92966">
        <w:rPr>
          <w:rStyle w:val="Textoennegrita"/>
          <w:rFonts w:ascii="Calibri" w:hAnsi="Calibri" w:cs="Calibri"/>
          <w:b w:val="0"/>
          <w:szCs w:val="24"/>
        </w:rPr>
        <w:t xml:space="preserve"> </w:t>
      </w:r>
      <w:r w:rsidR="00884BDA">
        <w:rPr>
          <w:rStyle w:val="Textoennegrita"/>
          <w:rFonts w:ascii="Calibri" w:hAnsi="Calibri" w:cs="Calibri"/>
          <w:b w:val="0"/>
          <w:szCs w:val="24"/>
        </w:rPr>
        <w:t>u</w:t>
      </w:r>
      <w:r w:rsidR="00BD593E">
        <w:rPr>
          <w:rStyle w:val="Textoennegrita"/>
          <w:rFonts w:ascii="Calibri" w:hAnsi="Calibri" w:cs="Calibri"/>
          <w:b w:val="0"/>
          <w:szCs w:val="24"/>
        </w:rPr>
        <w:t>na modalidad de servicio de farma</w:t>
      </w:r>
      <w:r w:rsidR="00377595">
        <w:rPr>
          <w:rStyle w:val="Textoennegrita"/>
          <w:rFonts w:ascii="Calibri" w:hAnsi="Calibri" w:cs="Calibri"/>
          <w:b w:val="0"/>
          <w:szCs w:val="24"/>
        </w:rPr>
        <w:t>c</w:t>
      </w:r>
      <w:r w:rsidR="00BD593E">
        <w:rPr>
          <w:rStyle w:val="Textoennegrita"/>
          <w:rFonts w:ascii="Calibri" w:hAnsi="Calibri" w:cs="Calibri"/>
          <w:b w:val="0"/>
          <w:szCs w:val="24"/>
        </w:rPr>
        <w:t>i</w:t>
      </w:r>
      <w:r w:rsidR="00A16AC4">
        <w:rPr>
          <w:rStyle w:val="Textoennegrita"/>
          <w:rFonts w:ascii="Calibri" w:hAnsi="Calibri" w:cs="Calibri"/>
          <w:b w:val="0"/>
          <w:szCs w:val="24"/>
        </w:rPr>
        <w:t>a</w:t>
      </w:r>
      <w:r w:rsidR="00D92966">
        <w:rPr>
          <w:rStyle w:val="Textoennegrita"/>
          <w:rFonts w:ascii="Calibri" w:hAnsi="Calibri" w:cs="Calibri"/>
          <w:b w:val="0"/>
          <w:szCs w:val="24"/>
        </w:rPr>
        <w:t>.</w:t>
      </w:r>
    </w:p>
    <w:p w14:paraId="471E248C" w14:textId="77777777" w:rsidR="00990EDD" w:rsidRDefault="00FC43DB" w:rsidP="00990EDD">
      <w:pPr>
        <w:pStyle w:val="Blockquote"/>
        <w:ind w:left="0" w:right="0"/>
        <w:jc w:val="both"/>
        <w:rPr>
          <w:rStyle w:val="Textoennegrita"/>
          <w:rFonts w:ascii="Calibri" w:hAnsi="Calibri" w:cs="Calibri"/>
          <w:b w:val="0"/>
          <w:szCs w:val="24"/>
        </w:rPr>
      </w:pPr>
      <w:r>
        <w:rPr>
          <w:rStyle w:val="Textoennegrita"/>
          <w:rFonts w:ascii="Calibri" w:hAnsi="Calibri" w:cs="Calibri"/>
          <w:b w:val="0"/>
          <w:szCs w:val="24"/>
        </w:rPr>
        <w:t>También contempla la posibilidad de que el suministro de medicamentos al Depós</w:t>
      </w:r>
      <w:r w:rsidR="00EF091A">
        <w:rPr>
          <w:rStyle w:val="Textoennegrita"/>
          <w:rFonts w:ascii="Calibri" w:hAnsi="Calibri" w:cs="Calibri"/>
          <w:b w:val="0"/>
          <w:szCs w:val="24"/>
        </w:rPr>
        <w:t>ito</w:t>
      </w:r>
      <w:r w:rsidR="00F1189C">
        <w:rPr>
          <w:rStyle w:val="Textoennegrita"/>
          <w:rFonts w:ascii="Calibri" w:hAnsi="Calibri" w:cs="Calibri"/>
          <w:b w:val="0"/>
          <w:szCs w:val="24"/>
        </w:rPr>
        <w:t xml:space="preserve"> </w:t>
      </w:r>
      <w:r w:rsidR="007078CD">
        <w:rPr>
          <w:rStyle w:val="Textoennegrita"/>
          <w:rFonts w:ascii="Calibri" w:hAnsi="Calibri" w:cs="Calibri"/>
          <w:b w:val="0"/>
          <w:szCs w:val="24"/>
        </w:rPr>
        <w:t>esté organizado mediante su vinculación</w:t>
      </w:r>
      <w:r w:rsidR="00C14042">
        <w:rPr>
          <w:rStyle w:val="Textoennegrita"/>
          <w:rFonts w:ascii="Calibri" w:hAnsi="Calibri" w:cs="Calibri"/>
          <w:b w:val="0"/>
          <w:szCs w:val="24"/>
        </w:rPr>
        <w:t xml:space="preserve"> </w:t>
      </w:r>
      <w:r w:rsidR="007078CD">
        <w:rPr>
          <w:rStyle w:val="Textoennegrita"/>
          <w:rFonts w:ascii="Calibri" w:hAnsi="Calibri" w:cs="Calibri"/>
          <w:b w:val="0"/>
          <w:szCs w:val="24"/>
        </w:rPr>
        <w:t>a cualquier entidad legalmente</w:t>
      </w:r>
      <w:r w:rsidR="000D2FD6">
        <w:rPr>
          <w:rStyle w:val="Textoennegrita"/>
          <w:rFonts w:ascii="Calibri" w:hAnsi="Calibri" w:cs="Calibri"/>
          <w:b w:val="0"/>
          <w:szCs w:val="24"/>
        </w:rPr>
        <w:t xml:space="preserve"> </w:t>
      </w:r>
      <w:r w:rsidR="00C14042">
        <w:rPr>
          <w:rStyle w:val="Textoennegrita"/>
          <w:rFonts w:ascii="Calibri" w:hAnsi="Calibri" w:cs="Calibri"/>
          <w:b w:val="0"/>
          <w:szCs w:val="24"/>
        </w:rPr>
        <w:t>autorizada para la custodia, conservación y dispensación</w:t>
      </w:r>
      <w:r w:rsidR="000D2FD6">
        <w:rPr>
          <w:rStyle w:val="Textoennegrita"/>
          <w:rFonts w:ascii="Calibri" w:hAnsi="Calibri" w:cs="Calibri"/>
          <w:b w:val="0"/>
          <w:szCs w:val="24"/>
        </w:rPr>
        <w:t xml:space="preserve"> de medicamentos. Es decir</w:t>
      </w:r>
      <w:r w:rsidR="00AD719A">
        <w:rPr>
          <w:rStyle w:val="Textoennegrita"/>
          <w:rFonts w:ascii="Calibri" w:hAnsi="Calibri" w:cs="Calibri"/>
          <w:b w:val="0"/>
          <w:szCs w:val="24"/>
        </w:rPr>
        <w:t>,</w:t>
      </w:r>
      <w:r w:rsidR="00C62E18">
        <w:rPr>
          <w:rStyle w:val="Textoennegrita"/>
          <w:rFonts w:ascii="Calibri" w:hAnsi="Calibri" w:cs="Calibri"/>
          <w:b w:val="0"/>
          <w:szCs w:val="24"/>
        </w:rPr>
        <w:t xml:space="preserve"> a una</w:t>
      </w:r>
      <w:r w:rsidR="00B062D8">
        <w:rPr>
          <w:rStyle w:val="Textoennegrita"/>
          <w:rFonts w:ascii="Calibri" w:hAnsi="Calibri" w:cs="Calibri"/>
          <w:b w:val="0"/>
          <w:szCs w:val="24"/>
        </w:rPr>
        <w:t xml:space="preserve"> o</w:t>
      </w:r>
      <w:r w:rsidR="00C62E18">
        <w:rPr>
          <w:rStyle w:val="Textoennegrita"/>
          <w:rFonts w:ascii="Calibri" w:hAnsi="Calibri" w:cs="Calibri"/>
          <w:b w:val="0"/>
          <w:szCs w:val="24"/>
        </w:rPr>
        <w:t>ficina de farmacia</w:t>
      </w:r>
      <w:r w:rsidR="00B062D8">
        <w:rPr>
          <w:rStyle w:val="Textoennegrita"/>
          <w:rFonts w:ascii="Calibri" w:hAnsi="Calibri" w:cs="Calibri"/>
          <w:b w:val="0"/>
          <w:szCs w:val="24"/>
        </w:rPr>
        <w:t xml:space="preserve"> o </w:t>
      </w:r>
      <w:r w:rsidR="00C62E18">
        <w:rPr>
          <w:rStyle w:val="Textoennegrita"/>
          <w:rFonts w:ascii="Calibri" w:hAnsi="Calibri" w:cs="Calibri"/>
          <w:b w:val="0"/>
          <w:szCs w:val="24"/>
        </w:rPr>
        <w:t>a un Servicio de Farmacia</w:t>
      </w:r>
      <w:r w:rsidR="00B062D8">
        <w:rPr>
          <w:rStyle w:val="Textoennegrita"/>
          <w:rFonts w:ascii="Calibri" w:hAnsi="Calibri" w:cs="Calibri"/>
          <w:b w:val="0"/>
          <w:szCs w:val="24"/>
        </w:rPr>
        <w:t>.</w:t>
      </w:r>
      <w:r w:rsidR="00C62E18">
        <w:rPr>
          <w:rStyle w:val="Textoennegrita"/>
          <w:rFonts w:ascii="Calibri" w:hAnsi="Calibri" w:cs="Calibri"/>
          <w:b w:val="0"/>
          <w:szCs w:val="24"/>
        </w:rPr>
        <w:t xml:space="preserve"> </w:t>
      </w:r>
    </w:p>
    <w:p w14:paraId="7D6D54B1" w14:textId="3BAA1E9D" w:rsidR="00232F1E" w:rsidRDefault="00EE3C96" w:rsidP="00990EDD">
      <w:pPr>
        <w:pStyle w:val="Blockquote"/>
        <w:ind w:left="0" w:right="0"/>
        <w:jc w:val="both"/>
        <w:rPr>
          <w:rFonts w:ascii="Calibri" w:hAnsi="Calibri" w:cs="Calibri"/>
          <w:szCs w:val="24"/>
        </w:rPr>
      </w:pPr>
      <w:r>
        <w:rPr>
          <w:rFonts w:ascii="Calibri" w:hAnsi="Calibri" w:cs="Calibri"/>
          <w:color w:val="313131"/>
          <w:szCs w:val="24"/>
        </w:rPr>
        <w:t>De conformidad con</w:t>
      </w:r>
      <w:r w:rsidR="00990EDD">
        <w:rPr>
          <w:rFonts w:ascii="Calibri" w:hAnsi="Calibri" w:cs="Calibri"/>
          <w:color w:val="313131"/>
          <w:szCs w:val="24"/>
        </w:rPr>
        <w:t xml:space="preserve"> l</w:t>
      </w:r>
      <w:r w:rsidR="00232F1E">
        <w:rPr>
          <w:rFonts w:ascii="Calibri" w:hAnsi="Calibri" w:cs="Calibri"/>
          <w:color w:val="313131"/>
          <w:szCs w:val="24"/>
        </w:rPr>
        <w:t xml:space="preserve">a </w:t>
      </w:r>
      <w:r w:rsidR="006B6CA7">
        <w:rPr>
          <w:rFonts w:ascii="Calibri" w:hAnsi="Calibri" w:cs="Calibri"/>
          <w:color w:val="313131"/>
          <w:szCs w:val="24"/>
        </w:rPr>
        <w:t xml:space="preserve">previsión de la </w:t>
      </w:r>
      <w:r w:rsidR="00232F1E">
        <w:rPr>
          <w:rFonts w:ascii="Calibri" w:hAnsi="Calibri" w:cs="Calibri"/>
          <w:color w:val="313131"/>
          <w:szCs w:val="24"/>
        </w:rPr>
        <w:t xml:space="preserve">Ley 11/1994, de 17 de junio, de Ordenación Farmacéutica de la Comunidad Autónoma del País Vasco </w:t>
      </w:r>
      <w:r w:rsidR="00A05236">
        <w:rPr>
          <w:rFonts w:ascii="Calibri" w:hAnsi="Calibri" w:cs="Calibri"/>
          <w:color w:val="313131"/>
          <w:szCs w:val="24"/>
        </w:rPr>
        <w:t xml:space="preserve">que </w:t>
      </w:r>
      <w:r w:rsidR="00232F1E">
        <w:rPr>
          <w:rFonts w:ascii="Calibri" w:hAnsi="Calibri" w:cs="Calibri"/>
          <w:color w:val="313131"/>
          <w:szCs w:val="24"/>
        </w:rPr>
        <w:t>habilitó, en su artículo 27 y en su disposición adicional quinta, la regulación reglamentaria de los servicios de farmacia hospitalaria y depósitos de medicamentos en los centros socio-sanitarios y centros penitenciarios respectivamente</w:t>
      </w:r>
      <w:r w:rsidR="00E022F8">
        <w:rPr>
          <w:rFonts w:ascii="Calibri" w:hAnsi="Calibri" w:cs="Calibri"/>
          <w:color w:val="313131"/>
          <w:szCs w:val="24"/>
        </w:rPr>
        <w:t>,</w:t>
      </w:r>
      <w:r w:rsidR="00A05236">
        <w:rPr>
          <w:rFonts w:ascii="Calibri" w:hAnsi="Calibri" w:cs="Calibri"/>
          <w:color w:val="313131"/>
          <w:szCs w:val="24"/>
        </w:rPr>
        <w:t xml:space="preserve"> se</w:t>
      </w:r>
      <w:r w:rsidR="007726E9">
        <w:rPr>
          <w:rFonts w:ascii="Calibri" w:hAnsi="Calibri" w:cs="Calibri"/>
          <w:color w:val="313131"/>
          <w:szCs w:val="24"/>
        </w:rPr>
        <w:t xml:space="preserve"> han desarrollado:</w:t>
      </w:r>
    </w:p>
    <w:p w14:paraId="6657118B" w14:textId="77777777" w:rsidR="00232F1E" w:rsidRDefault="00232F1E" w:rsidP="0066050C">
      <w:pPr>
        <w:ind w:hanging="426"/>
        <w:rPr>
          <w:rFonts w:ascii="Calibri" w:hAnsi="Calibri" w:cs="Calibri"/>
          <w:szCs w:val="24"/>
        </w:rPr>
      </w:pPr>
    </w:p>
    <w:p w14:paraId="2EB41512" w14:textId="77777777" w:rsidR="00232F1E" w:rsidRDefault="00232F1E" w:rsidP="0066050C">
      <w:pPr>
        <w:pStyle w:val="Ttulo3"/>
        <w:numPr>
          <w:ilvl w:val="0"/>
          <w:numId w:val="25"/>
        </w:numPr>
        <w:spacing w:before="0"/>
        <w:ind w:left="0" w:hanging="426"/>
        <w:jc w:val="both"/>
        <w:rPr>
          <w:rFonts w:ascii="Calibri" w:hAnsi="Calibri" w:cs="Calibri"/>
          <w:b/>
          <w:color w:val="313131"/>
          <w:sz w:val="24"/>
          <w:szCs w:val="24"/>
        </w:rPr>
      </w:pPr>
      <w:r>
        <w:rPr>
          <w:rFonts w:ascii="Calibri" w:hAnsi="Calibri" w:cs="Calibri"/>
          <w:b/>
          <w:color w:val="313131"/>
          <w:sz w:val="24"/>
          <w:szCs w:val="24"/>
        </w:rPr>
        <w:t>DECRETO 29/2019, de 26 de febrero, sobre servicios de farmacia y depósitos de medicamentos en las residencias para personas mayores ubicadas en la Comunidad Autónoma de Euskadi.</w:t>
      </w:r>
    </w:p>
    <w:p w14:paraId="4D992DE7" w14:textId="77777777" w:rsidR="00232F1E" w:rsidRDefault="00232F1E" w:rsidP="0066050C">
      <w:pPr>
        <w:ind w:hanging="426"/>
        <w:jc w:val="both"/>
        <w:rPr>
          <w:rFonts w:ascii="Calibri" w:hAnsi="Calibri" w:cs="Calibri"/>
          <w:b/>
          <w:i/>
          <w:szCs w:val="24"/>
        </w:rPr>
      </w:pPr>
    </w:p>
    <w:p w14:paraId="0882D302" w14:textId="77777777" w:rsidR="00232F1E" w:rsidRDefault="00232F1E" w:rsidP="0066050C">
      <w:pPr>
        <w:pStyle w:val="Ttulo3"/>
        <w:numPr>
          <w:ilvl w:val="0"/>
          <w:numId w:val="25"/>
        </w:numPr>
        <w:spacing w:before="0"/>
        <w:ind w:left="0" w:hanging="426"/>
        <w:jc w:val="both"/>
        <w:rPr>
          <w:rFonts w:ascii="Calibri" w:hAnsi="Calibri" w:cs="Calibri"/>
          <w:b/>
          <w:bCs/>
          <w:color w:val="313131"/>
          <w:sz w:val="24"/>
          <w:szCs w:val="24"/>
        </w:rPr>
      </w:pPr>
      <w:r>
        <w:rPr>
          <w:rFonts w:ascii="Calibri" w:hAnsi="Calibri" w:cs="Calibri"/>
          <w:b/>
          <w:bCs/>
          <w:color w:val="313131"/>
          <w:sz w:val="24"/>
          <w:szCs w:val="24"/>
        </w:rPr>
        <w:t>DECRETO 208/2012, de 16 de octubre, sobre depósitos de medicamentos en las instituciones penitenciarias de la Comunidad Autónoma del País Vasco.</w:t>
      </w:r>
    </w:p>
    <w:p w14:paraId="1DE5B045" w14:textId="77777777" w:rsidR="00232F1E" w:rsidRDefault="00232F1E" w:rsidP="00232F1E">
      <w:pPr>
        <w:rPr>
          <w:rFonts w:ascii="Calibri" w:hAnsi="Calibri" w:cs="Calibri"/>
          <w:szCs w:val="24"/>
        </w:rPr>
      </w:pPr>
    </w:p>
    <w:p w14:paraId="2F8751C9" w14:textId="77777777" w:rsidR="00512BB0" w:rsidRDefault="00512BB0" w:rsidP="00232F1E">
      <w:pPr>
        <w:rPr>
          <w:rFonts w:ascii="Calibri" w:hAnsi="Calibri" w:cs="Calibri"/>
          <w:szCs w:val="24"/>
        </w:rPr>
      </w:pPr>
    </w:p>
    <w:p w14:paraId="7DE285EA" w14:textId="77777777" w:rsidR="00512BB0" w:rsidRDefault="00512BB0" w:rsidP="00232F1E">
      <w:pPr>
        <w:rPr>
          <w:rFonts w:ascii="Calibri" w:hAnsi="Calibri" w:cs="Calibri"/>
          <w:szCs w:val="24"/>
        </w:rPr>
      </w:pPr>
    </w:p>
    <w:p w14:paraId="6BFA04EA" w14:textId="77777777" w:rsidR="00512BB0" w:rsidRDefault="00512BB0" w:rsidP="00232F1E">
      <w:pPr>
        <w:rPr>
          <w:rFonts w:ascii="Calibri" w:hAnsi="Calibri" w:cs="Calibri"/>
          <w:szCs w:val="24"/>
        </w:rPr>
      </w:pPr>
    </w:p>
    <w:p w14:paraId="7338DE0E" w14:textId="77777777" w:rsidR="00512BB0" w:rsidRDefault="00512BB0" w:rsidP="00232F1E">
      <w:pPr>
        <w:rPr>
          <w:rFonts w:ascii="Calibri" w:hAnsi="Calibri" w:cs="Calibri"/>
          <w:szCs w:val="24"/>
        </w:rPr>
      </w:pPr>
    </w:p>
    <w:p w14:paraId="6324BC79" w14:textId="587378D8" w:rsidR="003C7272" w:rsidRDefault="00045049" w:rsidP="0019101A">
      <w:pPr>
        <w:jc w:val="both"/>
        <w:rPr>
          <w:rFonts w:ascii="Calibri" w:hAnsi="Calibri" w:cs="Calibri"/>
          <w:bCs/>
          <w:szCs w:val="24"/>
        </w:rPr>
      </w:pPr>
      <w:r>
        <w:rPr>
          <w:rFonts w:ascii="Calibri" w:hAnsi="Calibri" w:cs="Calibri"/>
          <w:bCs/>
          <w:szCs w:val="24"/>
        </w:rPr>
        <w:t>Por otra parte</w:t>
      </w:r>
      <w:r w:rsidR="00866E87">
        <w:rPr>
          <w:rFonts w:ascii="Calibri" w:hAnsi="Calibri" w:cs="Calibri"/>
          <w:bCs/>
          <w:szCs w:val="24"/>
        </w:rPr>
        <w:t>,</w:t>
      </w:r>
      <w:r>
        <w:rPr>
          <w:rFonts w:ascii="Calibri" w:hAnsi="Calibri" w:cs="Calibri"/>
          <w:bCs/>
          <w:szCs w:val="24"/>
        </w:rPr>
        <w:t xml:space="preserve"> </w:t>
      </w:r>
      <w:r w:rsidR="003007AF">
        <w:rPr>
          <w:rFonts w:ascii="Calibri" w:hAnsi="Calibri" w:cs="Calibri"/>
          <w:bCs/>
          <w:szCs w:val="24"/>
        </w:rPr>
        <w:t xml:space="preserve">esta normativa autonómica precisa </w:t>
      </w:r>
      <w:r w:rsidR="00866E87">
        <w:rPr>
          <w:rFonts w:ascii="Calibri" w:hAnsi="Calibri" w:cs="Calibri"/>
          <w:bCs/>
          <w:szCs w:val="24"/>
        </w:rPr>
        <w:t xml:space="preserve">ser adaptadas </w:t>
      </w:r>
      <w:r w:rsidR="007B3C3B">
        <w:rPr>
          <w:rFonts w:ascii="Calibri" w:hAnsi="Calibri" w:cs="Calibri"/>
          <w:bCs/>
          <w:szCs w:val="24"/>
        </w:rPr>
        <w:t xml:space="preserve">de acuerdo </w:t>
      </w:r>
      <w:r w:rsidR="006B5AE3">
        <w:rPr>
          <w:rFonts w:ascii="Calibri" w:hAnsi="Calibri" w:cs="Calibri"/>
          <w:bCs/>
          <w:szCs w:val="24"/>
        </w:rPr>
        <w:t>con</w:t>
      </w:r>
      <w:r w:rsidR="007B3C3B">
        <w:rPr>
          <w:rFonts w:ascii="Calibri" w:hAnsi="Calibri" w:cs="Calibri"/>
          <w:bCs/>
          <w:szCs w:val="24"/>
        </w:rPr>
        <w:t xml:space="preserve"> regulaciones </w:t>
      </w:r>
      <w:r w:rsidR="00DA1F62">
        <w:rPr>
          <w:rFonts w:ascii="Calibri" w:hAnsi="Calibri" w:cs="Calibri"/>
          <w:bCs/>
          <w:szCs w:val="24"/>
        </w:rPr>
        <w:t xml:space="preserve">posteriores: </w:t>
      </w:r>
    </w:p>
    <w:p w14:paraId="13DE4B01" w14:textId="77777777" w:rsidR="003D6BF2" w:rsidRDefault="003D6BF2" w:rsidP="003C7272">
      <w:pPr>
        <w:jc w:val="center"/>
        <w:rPr>
          <w:rFonts w:ascii="Calibri" w:hAnsi="Calibri" w:cs="Calibri"/>
          <w:bCs/>
          <w:szCs w:val="24"/>
        </w:rPr>
      </w:pPr>
    </w:p>
    <w:p w14:paraId="0EA706CB" w14:textId="77777777" w:rsidR="0074211F" w:rsidRDefault="0074211F" w:rsidP="00DA1F62">
      <w:pPr>
        <w:numPr>
          <w:ilvl w:val="0"/>
          <w:numId w:val="21"/>
        </w:numPr>
        <w:ind w:left="0" w:hanging="284"/>
        <w:jc w:val="both"/>
        <w:rPr>
          <w:rFonts w:ascii="Calibri" w:hAnsi="Calibri" w:cs="Calibri"/>
          <w:b/>
          <w:i/>
          <w:iCs/>
          <w:szCs w:val="24"/>
          <w:lang w:val="es-ES"/>
        </w:rPr>
      </w:pPr>
      <w:r>
        <w:rPr>
          <w:rFonts w:ascii="Calibri" w:hAnsi="Calibri" w:cs="Calibri"/>
          <w:b/>
          <w:i/>
          <w:iCs/>
          <w:szCs w:val="24"/>
          <w:lang w:val="es-ES"/>
        </w:rPr>
        <w:t>Real Decreto-ley 16/2012, de 20 de abril, de medidas urgentes para garantizar la sostenibilidad del Sistema Nacional de Salud y mejorar la calidad y seguridad de sus prestaciones.</w:t>
      </w:r>
    </w:p>
    <w:p w14:paraId="6BAFAEE0" w14:textId="77777777" w:rsidR="00754DFC" w:rsidRDefault="00754DFC" w:rsidP="00DA1F62">
      <w:pPr>
        <w:jc w:val="both"/>
        <w:rPr>
          <w:rFonts w:ascii="Calibri" w:hAnsi="Calibri" w:cs="Calibri"/>
          <w:i/>
          <w:iCs/>
          <w:szCs w:val="24"/>
        </w:rPr>
      </w:pPr>
    </w:p>
    <w:p w14:paraId="0BEE2B5A" w14:textId="77777777" w:rsidR="00CD6786" w:rsidRDefault="006B3995" w:rsidP="00DA1F62">
      <w:pPr>
        <w:jc w:val="both"/>
        <w:rPr>
          <w:rFonts w:ascii="Calibri" w:hAnsi="Calibri" w:cs="Calibri"/>
          <w:b/>
          <w:bCs/>
          <w:szCs w:val="24"/>
        </w:rPr>
      </w:pPr>
      <w:r>
        <w:rPr>
          <w:rFonts w:ascii="Calibri" w:hAnsi="Calibri" w:cs="Calibri"/>
          <w:b/>
          <w:bCs/>
          <w:szCs w:val="24"/>
        </w:rPr>
        <w:t>Artículo 7</w:t>
      </w:r>
      <w:r>
        <w:rPr>
          <w:rFonts w:ascii="Calibri" w:hAnsi="Calibri" w:cs="Calibri"/>
          <w:szCs w:val="24"/>
        </w:rPr>
        <w:t xml:space="preserve">. </w:t>
      </w:r>
      <w:r>
        <w:rPr>
          <w:rFonts w:ascii="Calibri" w:hAnsi="Calibri" w:cs="Calibri"/>
          <w:b/>
          <w:bCs/>
          <w:szCs w:val="24"/>
        </w:rPr>
        <w:t xml:space="preserve">Manipulación y adecuación de preparaciones de medicamentos. </w:t>
      </w:r>
    </w:p>
    <w:p w14:paraId="364855FE" w14:textId="77777777" w:rsidR="004D3CE6" w:rsidRDefault="006B3995" w:rsidP="2F78FB91">
      <w:pPr>
        <w:jc w:val="both"/>
        <w:rPr>
          <w:rFonts w:ascii="Calibri" w:hAnsi="Calibri" w:cs="Calibri"/>
          <w:lang w:val="es-ES"/>
        </w:rPr>
      </w:pPr>
      <w:r w:rsidRPr="2F78FB91">
        <w:rPr>
          <w:rFonts w:ascii="Calibri" w:hAnsi="Calibri" w:cs="Calibri"/>
          <w:lang w:val="es-ES"/>
        </w:rPr>
        <w:t xml:space="preserve">1. Con el fin de mejorar la eficacia en el uso de los medicamentos en el ámbito hospitalario, las comunidades autónomas podrán acreditar a los servicios de farmacia hospitalaria de su territorio para que en los mismos se puedan llevar a cabo operaciones de fraccionamiento, personalización de dosis y otras operaciones de remanipulación y transformación de medicamentos. </w:t>
      </w:r>
    </w:p>
    <w:p w14:paraId="653D6398" w14:textId="1DC62CA1" w:rsidR="00851868" w:rsidRDefault="006B3995" w:rsidP="00DA1F62">
      <w:pPr>
        <w:jc w:val="both"/>
        <w:rPr>
          <w:rFonts w:ascii="Calibri" w:hAnsi="Calibri" w:cs="Calibri"/>
          <w:bCs/>
          <w:szCs w:val="24"/>
        </w:rPr>
      </w:pPr>
      <w:r>
        <w:rPr>
          <w:rFonts w:ascii="Calibri" w:hAnsi="Calibri" w:cs="Calibri"/>
          <w:szCs w:val="24"/>
        </w:rPr>
        <w:t xml:space="preserve">2. La acreditación prevista en el apartado anterior se efectuará de modo que se garantice el cumplimiento de las guías técnicas de buena práctica aplicables al caso por los servicios de farmacia hospitalaria donde se vayan a efectuar las operaciones señaladas. </w:t>
      </w:r>
      <w:r w:rsidR="00851868">
        <w:rPr>
          <w:rFonts w:ascii="Calibri" w:hAnsi="Calibri" w:cs="Calibri"/>
          <w:bCs/>
          <w:szCs w:val="24"/>
        </w:rPr>
        <w:t>Real Decreto Legislativo 1/2015, de 24 de julio, por el que se aprueba el texto refundido de la Ley de garantías y uso racional de los medicamentos y productos sanitarios.</w:t>
      </w:r>
    </w:p>
    <w:p w14:paraId="5E8ABB1C" w14:textId="77777777" w:rsidR="00BD6676" w:rsidRDefault="00BD6676" w:rsidP="00743E0F">
      <w:pPr>
        <w:ind w:left="709"/>
        <w:jc w:val="both"/>
        <w:rPr>
          <w:rFonts w:ascii="Calibri" w:hAnsi="Calibri" w:cs="Calibri"/>
          <w:bCs/>
          <w:szCs w:val="24"/>
        </w:rPr>
      </w:pPr>
    </w:p>
    <w:p w14:paraId="0575859A" w14:textId="77777777" w:rsidR="00263219" w:rsidRDefault="00263219" w:rsidP="00263219">
      <w:pPr>
        <w:ind w:left="1004"/>
        <w:jc w:val="both"/>
        <w:rPr>
          <w:rFonts w:ascii="Calibri" w:hAnsi="Calibri" w:cs="Calibri"/>
          <w:bCs/>
          <w:szCs w:val="24"/>
        </w:rPr>
      </w:pPr>
    </w:p>
    <w:p w14:paraId="05116DB0" w14:textId="7660713F" w:rsidR="000961CC" w:rsidRDefault="000961CC" w:rsidP="006B5AE3">
      <w:pPr>
        <w:pStyle w:val="Textoindependiente"/>
        <w:numPr>
          <w:ilvl w:val="0"/>
          <w:numId w:val="21"/>
        </w:numPr>
        <w:ind w:left="0" w:hanging="426"/>
        <w:jc w:val="both"/>
        <w:rPr>
          <w:rFonts w:ascii="Calibri" w:hAnsi="Calibri" w:cs="Calibri"/>
          <w:b/>
          <w:i/>
          <w:iCs/>
          <w:sz w:val="24"/>
          <w:szCs w:val="24"/>
          <w:lang w:val="eu-ES"/>
        </w:rPr>
      </w:pPr>
      <w:r>
        <w:rPr>
          <w:rFonts w:ascii="Calibri" w:hAnsi="Calibri" w:cs="Calibri"/>
          <w:b/>
          <w:i/>
          <w:iCs/>
          <w:sz w:val="24"/>
          <w:szCs w:val="24"/>
        </w:rPr>
        <w:t xml:space="preserve">Guía para la aplicación de las normas contenidas en el Real Decreto 175/2001, </w:t>
      </w:r>
      <w:r w:rsidR="006E1353">
        <w:rPr>
          <w:rFonts w:ascii="Calibri" w:hAnsi="Calibri" w:cs="Calibri"/>
          <w:b/>
          <w:i/>
          <w:iCs/>
          <w:sz w:val="24"/>
          <w:szCs w:val="24"/>
        </w:rPr>
        <w:t>de normas</w:t>
      </w:r>
      <w:r>
        <w:rPr>
          <w:rFonts w:ascii="Calibri" w:hAnsi="Calibri" w:cs="Calibri"/>
          <w:b/>
          <w:i/>
          <w:iCs/>
          <w:sz w:val="24"/>
          <w:szCs w:val="24"/>
        </w:rPr>
        <w:t xml:space="preserve"> de correcta elaboración de fórmulas magistrales y preparados oficinales</w:t>
      </w:r>
      <w:r w:rsidR="00F537AC">
        <w:rPr>
          <w:rFonts w:ascii="Calibri" w:hAnsi="Calibri" w:cs="Calibri"/>
          <w:b/>
          <w:i/>
          <w:iCs/>
          <w:sz w:val="24"/>
          <w:szCs w:val="24"/>
        </w:rPr>
        <w:t>.</w:t>
      </w:r>
    </w:p>
    <w:p w14:paraId="45E2E047" w14:textId="77777777" w:rsidR="00941A0F" w:rsidRDefault="00941A0F" w:rsidP="006B5AE3">
      <w:pPr>
        <w:pStyle w:val="Textoindependiente"/>
        <w:ind w:hanging="426"/>
        <w:jc w:val="both"/>
        <w:rPr>
          <w:rFonts w:ascii="Calibri" w:hAnsi="Calibri" w:cs="Calibri"/>
          <w:b/>
          <w:i/>
          <w:iCs/>
          <w:sz w:val="24"/>
          <w:szCs w:val="24"/>
        </w:rPr>
      </w:pPr>
    </w:p>
    <w:p w14:paraId="10816086" w14:textId="5D298CF6" w:rsidR="00370763" w:rsidRDefault="00D20591" w:rsidP="006B5AE3">
      <w:pPr>
        <w:jc w:val="both"/>
        <w:rPr>
          <w:rFonts w:ascii="Calibri" w:hAnsi="Calibri" w:cs="Calibri"/>
          <w:szCs w:val="24"/>
          <w:lang w:val="es-ES" w:eastAsia="es-ES"/>
        </w:rPr>
      </w:pPr>
      <w:r>
        <w:rPr>
          <w:rFonts w:ascii="Calibri" w:hAnsi="Calibri" w:cs="Calibri"/>
          <w:szCs w:val="24"/>
          <w:lang w:val="es-ES" w:eastAsia="es-ES"/>
        </w:rPr>
        <w:t>Pendiente de la modificación del RD175</w:t>
      </w:r>
      <w:r w:rsidR="00FB5A39">
        <w:rPr>
          <w:rFonts w:ascii="Calibri" w:hAnsi="Calibri" w:cs="Calibri"/>
          <w:szCs w:val="24"/>
          <w:lang w:val="es-ES" w:eastAsia="es-ES"/>
        </w:rPr>
        <w:t>/2001, en la CAE se ha actualizado la Guía de aplicación de las normas</w:t>
      </w:r>
      <w:r w:rsidR="009979C0">
        <w:rPr>
          <w:rFonts w:ascii="Calibri" w:hAnsi="Calibri" w:cs="Calibri"/>
          <w:szCs w:val="24"/>
          <w:lang w:val="es-ES" w:eastAsia="es-ES"/>
        </w:rPr>
        <w:t xml:space="preserve"> contenidas en dicho </w:t>
      </w:r>
      <w:r w:rsidR="00D61337">
        <w:rPr>
          <w:rFonts w:ascii="Calibri" w:hAnsi="Calibri" w:cs="Calibri"/>
          <w:szCs w:val="24"/>
          <w:lang w:val="es-ES" w:eastAsia="es-ES"/>
        </w:rPr>
        <w:t>RD exigiendo</w:t>
      </w:r>
      <w:r w:rsidR="009979C0">
        <w:rPr>
          <w:rFonts w:ascii="Calibri" w:hAnsi="Calibri" w:cs="Calibri"/>
          <w:szCs w:val="24"/>
          <w:lang w:val="es-ES" w:eastAsia="es-ES"/>
        </w:rPr>
        <w:t xml:space="preserve"> tanto a las oficinas de farmacia como a los SF</w:t>
      </w:r>
      <w:r w:rsidR="00D61337">
        <w:rPr>
          <w:rFonts w:ascii="Calibri" w:hAnsi="Calibri" w:cs="Calibri"/>
          <w:szCs w:val="24"/>
          <w:lang w:val="es-ES" w:eastAsia="es-ES"/>
        </w:rPr>
        <w:t>H</w:t>
      </w:r>
      <w:r w:rsidR="00A61954">
        <w:rPr>
          <w:rFonts w:ascii="Calibri" w:hAnsi="Calibri" w:cs="Calibri"/>
          <w:szCs w:val="24"/>
          <w:lang w:val="es-ES" w:eastAsia="es-ES"/>
        </w:rPr>
        <w:t>:</w:t>
      </w:r>
      <w:r w:rsidR="00D61337">
        <w:rPr>
          <w:rFonts w:ascii="Calibri" w:hAnsi="Calibri" w:cs="Calibri"/>
          <w:szCs w:val="24"/>
          <w:lang w:val="es-ES" w:eastAsia="es-ES"/>
        </w:rPr>
        <w:t xml:space="preserve"> </w:t>
      </w:r>
    </w:p>
    <w:p w14:paraId="381D3D15" w14:textId="77777777" w:rsidR="00D61337" w:rsidRDefault="00D61337" w:rsidP="006B5AE3">
      <w:pPr>
        <w:ind w:hanging="426"/>
        <w:jc w:val="both"/>
        <w:rPr>
          <w:rFonts w:ascii="Calibri" w:hAnsi="Calibri" w:cs="Calibri"/>
          <w:szCs w:val="24"/>
          <w:lang w:val="es-ES" w:eastAsia="es-ES"/>
        </w:rPr>
      </w:pPr>
    </w:p>
    <w:p w14:paraId="5826E81D" w14:textId="7AFB4AA6" w:rsidR="008E534F" w:rsidRDefault="00D61337" w:rsidP="006B5AE3">
      <w:pPr>
        <w:numPr>
          <w:ilvl w:val="0"/>
          <w:numId w:val="24"/>
        </w:numPr>
        <w:ind w:left="0" w:hanging="426"/>
        <w:jc w:val="both"/>
        <w:rPr>
          <w:rFonts w:ascii="Calibri" w:hAnsi="Calibri" w:cs="Calibri"/>
          <w:szCs w:val="24"/>
          <w:lang w:val="es-ES" w:eastAsia="es-ES"/>
        </w:rPr>
      </w:pPr>
      <w:r>
        <w:rPr>
          <w:rFonts w:ascii="Calibri" w:hAnsi="Calibri" w:cs="Calibri"/>
          <w:szCs w:val="24"/>
          <w:lang w:val="es-ES" w:eastAsia="es-ES"/>
        </w:rPr>
        <w:t>D</w:t>
      </w:r>
      <w:r w:rsidR="008E534F">
        <w:rPr>
          <w:rFonts w:ascii="Calibri" w:hAnsi="Calibri" w:cs="Calibri"/>
          <w:szCs w:val="24"/>
          <w:lang w:val="es-ES" w:eastAsia="es-ES"/>
        </w:rPr>
        <w:t>isponer de mecanismos de filtración del aire adecuados, tanto en la sala blanca de elaboración como en la esclusa (SAS) o presala.</w:t>
      </w:r>
    </w:p>
    <w:p w14:paraId="67A37367" w14:textId="77777777" w:rsidR="008E534F" w:rsidRDefault="008E534F" w:rsidP="006B5AE3">
      <w:pPr>
        <w:ind w:hanging="426"/>
        <w:jc w:val="both"/>
        <w:rPr>
          <w:rFonts w:ascii="Calibri" w:hAnsi="Calibri" w:cs="Calibri"/>
          <w:szCs w:val="24"/>
          <w:lang w:val="es-ES" w:eastAsia="es-ES"/>
        </w:rPr>
      </w:pPr>
    </w:p>
    <w:p w14:paraId="615ADFFD" w14:textId="2246F993" w:rsidR="005B432A" w:rsidRDefault="005B432A" w:rsidP="006B5AE3">
      <w:pPr>
        <w:pStyle w:val="Textoindependiente"/>
        <w:numPr>
          <w:ilvl w:val="0"/>
          <w:numId w:val="24"/>
        </w:numPr>
        <w:ind w:left="0" w:hanging="426"/>
        <w:jc w:val="both"/>
        <w:rPr>
          <w:rFonts w:ascii="Calibri" w:hAnsi="Calibri" w:cs="Calibri"/>
          <w:sz w:val="24"/>
          <w:szCs w:val="24"/>
        </w:rPr>
      </w:pPr>
      <w:r>
        <w:rPr>
          <w:rFonts w:ascii="Calibri" w:hAnsi="Calibri" w:cs="Calibri"/>
          <w:sz w:val="24"/>
          <w:szCs w:val="24"/>
        </w:rPr>
        <w:t>Campana de flujo laminar (grado A) que se ubicará en una sala de ambiente clasificado (mínimo categoría C) y presala también clasificada. En todos los casos requieren certificación anual.</w:t>
      </w:r>
    </w:p>
    <w:p w14:paraId="0CD4F8D6" w14:textId="77777777" w:rsidR="005B432A" w:rsidRDefault="005B432A" w:rsidP="005B432A">
      <w:pPr>
        <w:ind w:left="993"/>
        <w:rPr>
          <w:rFonts w:ascii="Calibri" w:hAnsi="Calibri" w:cs="Calibri"/>
          <w:szCs w:val="24"/>
        </w:rPr>
      </w:pPr>
    </w:p>
    <w:p w14:paraId="413478A4" w14:textId="2BE0D4BA" w:rsidR="00E07CE4" w:rsidRDefault="00A0455A" w:rsidP="00E07CE4">
      <w:pPr>
        <w:pStyle w:val="Cuerpo"/>
        <w:numPr>
          <w:ilvl w:val="0"/>
          <w:numId w:val="21"/>
        </w:numPr>
        <w:spacing w:before="100" w:after="100"/>
        <w:ind w:left="0" w:hanging="426"/>
        <w:jc w:val="both"/>
        <w:rPr>
          <w:rFonts w:ascii="Calibri" w:hAnsi="Calibri" w:cs="Calibri"/>
          <w:b/>
          <w:bCs/>
          <w:i/>
          <w:iCs/>
          <w:sz w:val="24"/>
          <w:szCs w:val="24"/>
          <w:u w:color="000000"/>
        </w:rPr>
      </w:pPr>
      <w:r>
        <w:rPr>
          <w:rFonts w:ascii="Calibri" w:hAnsi="Calibri" w:cs="Calibri"/>
          <w:b/>
          <w:bCs/>
          <w:i/>
          <w:iCs/>
          <w:sz w:val="24"/>
          <w:szCs w:val="24"/>
          <w:u w:color="000000"/>
        </w:rPr>
        <w:t>Por otra parte, en este nuevo texto normativo deben reflejarse los cambios habidos en la prestación de servicios farmacéuticos y en la sociedad, y garantizar que la atención y prestación farmacéutica</w:t>
      </w:r>
      <w:r>
        <w:rPr>
          <w:rFonts w:ascii="Calibri" w:hAnsi="Calibri" w:cs="Calibri"/>
          <w:b/>
          <w:bCs/>
          <w:i/>
          <w:iCs/>
          <w:sz w:val="24"/>
          <w:szCs w:val="24"/>
          <w:u w:color="000000"/>
          <w:lang w:val="es-ES"/>
        </w:rPr>
        <w:t xml:space="preserve"> se </w:t>
      </w:r>
      <w:r>
        <w:rPr>
          <w:rFonts w:ascii="Calibri" w:hAnsi="Calibri" w:cs="Calibri"/>
          <w:b/>
          <w:bCs/>
          <w:i/>
          <w:iCs/>
          <w:sz w:val="24"/>
          <w:szCs w:val="24"/>
          <w:u w:color="000000"/>
        </w:rPr>
        <w:t>realice de forma acorde con los avances tecnológicos y científicos seguros, eficaces y eficientes</w:t>
      </w:r>
      <w:r w:rsidR="00E07CE4">
        <w:rPr>
          <w:rFonts w:ascii="Calibri" w:hAnsi="Calibri" w:cs="Calibri"/>
          <w:b/>
          <w:bCs/>
          <w:i/>
          <w:iCs/>
          <w:sz w:val="24"/>
          <w:szCs w:val="24"/>
          <w:u w:color="000000"/>
        </w:rPr>
        <w:t>, para ello es necesario:</w:t>
      </w:r>
    </w:p>
    <w:p w14:paraId="07F3C1F0" w14:textId="4AFCF6F4" w:rsidR="00A0455A" w:rsidRDefault="00E07CE4" w:rsidP="00E07CE4">
      <w:pPr>
        <w:pStyle w:val="Cuerpo"/>
        <w:numPr>
          <w:ilvl w:val="0"/>
          <w:numId w:val="30"/>
        </w:numPr>
        <w:spacing w:before="100" w:after="100"/>
        <w:jc w:val="both"/>
        <w:rPr>
          <w:rFonts w:ascii="Calibri" w:hAnsi="Calibri" w:cs="Calibri"/>
          <w:sz w:val="24"/>
          <w:szCs w:val="24"/>
          <w:u w:color="000000"/>
        </w:rPr>
      </w:pPr>
      <w:r>
        <w:rPr>
          <w:rFonts w:ascii="Calibri" w:hAnsi="Calibri" w:cs="Calibri"/>
          <w:sz w:val="24"/>
          <w:szCs w:val="24"/>
          <w:u w:color="000000"/>
          <w:lang w:val="es-ES"/>
        </w:rPr>
        <w:t>I</w:t>
      </w:r>
      <w:r w:rsidR="00A0455A">
        <w:rPr>
          <w:rFonts w:ascii="Calibri" w:hAnsi="Calibri" w:cs="Calibri"/>
          <w:sz w:val="24"/>
          <w:szCs w:val="24"/>
          <w:u w:color="000000"/>
          <w:lang w:val="es-ES"/>
        </w:rPr>
        <w:t>ncorporar</w:t>
      </w:r>
      <w:r w:rsidR="00A0455A">
        <w:rPr>
          <w:rFonts w:ascii="Calibri" w:hAnsi="Calibri" w:cs="Calibri"/>
          <w:sz w:val="24"/>
          <w:szCs w:val="24"/>
          <w:u w:color="000000"/>
        </w:rPr>
        <w:t xml:space="preserve"> la actuación del farmacéutico </w:t>
      </w:r>
      <w:r w:rsidR="00A0455A">
        <w:rPr>
          <w:rFonts w:ascii="Calibri" w:hAnsi="Calibri" w:cs="Calibri"/>
          <w:sz w:val="24"/>
          <w:szCs w:val="24"/>
          <w:u w:color="000000"/>
          <w:lang w:val="pt-PT"/>
        </w:rPr>
        <w:t>de hospital no sólo</w:t>
      </w:r>
      <w:r w:rsidR="00A0455A">
        <w:rPr>
          <w:rFonts w:ascii="Calibri" w:hAnsi="Calibri" w:cs="Calibri"/>
          <w:sz w:val="24"/>
          <w:szCs w:val="24"/>
          <w:u w:color="000000"/>
        </w:rPr>
        <w:t xml:space="preserve"> en procesos farmacéuticos relacionados con los medicamentos, sino también en procesos clínicos de atención a pacientes. Es relevante destacar la presencia y actuación profesional de los farmacéuticos hospitalarios en áreas de alto riesgo en el uso de medicamentos (á</w:t>
      </w:r>
      <w:r w:rsidR="00A0455A">
        <w:rPr>
          <w:rFonts w:ascii="Calibri" w:hAnsi="Calibri" w:cs="Calibri"/>
          <w:sz w:val="24"/>
          <w:szCs w:val="24"/>
          <w:u w:color="000000"/>
          <w:lang w:val="pt-PT"/>
        </w:rPr>
        <w:t>reas de oncología</w:t>
      </w:r>
      <w:r w:rsidR="00A0455A">
        <w:rPr>
          <w:rFonts w:ascii="Calibri" w:hAnsi="Calibri" w:cs="Calibri"/>
          <w:sz w:val="24"/>
          <w:szCs w:val="24"/>
          <w:u w:color="000000"/>
        </w:rPr>
        <w:t xml:space="preserve"> y hematología</w:t>
      </w:r>
      <w:r w:rsidR="00A0455A">
        <w:rPr>
          <w:rFonts w:ascii="Calibri" w:hAnsi="Calibri" w:cs="Calibri"/>
          <w:sz w:val="24"/>
          <w:szCs w:val="24"/>
          <w:u w:color="000000"/>
          <w:lang w:val="pt-PT"/>
        </w:rPr>
        <w:t>, hospitales de día</w:t>
      </w:r>
      <w:r w:rsidR="00A0455A">
        <w:rPr>
          <w:rFonts w:ascii="Calibri" w:hAnsi="Calibri" w:cs="Calibri"/>
          <w:sz w:val="24"/>
          <w:szCs w:val="24"/>
          <w:u w:color="000000"/>
        </w:rPr>
        <w:t>, urgencias, unidades de críticos</w:t>
      </w:r>
      <w:r w:rsidR="00A0455A">
        <w:rPr>
          <w:rFonts w:ascii="Calibri" w:hAnsi="Calibri" w:cs="Calibri"/>
          <w:sz w:val="24"/>
          <w:szCs w:val="24"/>
          <w:u w:color="000000"/>
          <w:lang w:val="pt-PT"/>
        </w:rPr>
        <w:t>, pediatría</w:t>
      </w:r>
      <w:r w:rsidR="00A0455A">
        <w:rPr>
          <w:rFonts w:ascii="Calibri" w:hAnsi="Calibri" w:cs="Calibri"/>
          <w:sz w:val="24"/>
          <w:szCs w:val="24"/>
          <w:u w:color="000000"/>
        </w:rPr>
        <w:t xml:space="preserve">, área quirúrgica y trasplantes). </w:t>
      </w:r>
    </w:p>
    <w:p w14:paraId="2D63CEA2" w14:textId="458384C3" w:rsidR="00A0455A" w:rsidRDefault="00E07CE4" w:rsidP="00261BE3">
      <w:pPr>
        <w:pStyle w:val="Cuerpo"/>
        <w:numPr>
          <w:ilvl w:val="0"/>
          <w:numId w:val="30"/>
        </w:numPr>
        <w:spacing w:before="100" w:after="100"/>
        <w:jc w:val="both"/>
        <w:rPr>
          <w:rFonts w:ascii="Calibri" w:hAnsi="Calibri" w:cs="Calibri"/>
          <w:sz w:val="24"/>
          <w:szCs w:val="24"/>
          <w:u w:color="000000"/>
        </w:rPr>
      </w:pPr>
      <w:r>
        <w:rPr>
          <w:rFonts w:ascii="Calibri" w:hAnsi="Calibri" w:cs="Calibri"/>
          <w:sz w:val="24"/>
          <w:szCs w:val="24"/>
          <w:u w:color="000000"/>
        </w:rPr>
        <w:t>I</w:t>
      </w:r>
      <w:r w:rsidR="00A0455A">
        <w:rPr>
          <w:rFonts w:ascii="Calibri" w:hAnsi="Calibri" w:cs="Calibri"/>
          <w:sz w:val="24"/>
          <w:szCs w:val="24"/>
          <w:u w:color="000000"/>
        </w:rPr>
        <w:t>ncorporar la dispensación de medicamentos hospitalarios y de dispensación hospitalaria de forma no presencial, siempre bajo la responsabilidad y actuación profesional del farmacéutico de hospital, y con canales de entrega informada de los medicamentos en el propio domicilio del paciente,</w:t>
      </w:r>
      <w:r w:rsidR="00A0455A">
        <w:rPr>
          <w:rFonts w:ascii="Calibri" w:hAnsi="Calibri" w:cs="Calibri"/>
          <w:sz w:val="24"/>
          <w:szCs w:val="24"/>
          <w:u w:color="000000"/>
          <w:lang w:val="pt-PT"/>
        </w:rPr>
        <w:t xml:space="preserve"> o mediante dispositivos automatizados de dispensación</w:t>
      </w:r>
      <w:r w:rsidR="00A0455A">
        <w:rPr>
          <w:rFonts w:ascii="Calibri" w:hAnsi="Calibri" w:cs="Calibri"/>
          <w:sz w:val="24"/>
          <w:szCs w:val="24"/>
          <w:u w:color="000000"/>
        </w:rPr>
        <w:t xml:space="preserve"> de proximidad y continuidad. Se debe establecer un marco orientado a la singularidad de cada paciente concreto, disponer de criterios de priorización de pacientes y de seguimiento, siendo determinante el farmacéutico de hospital tanto en la elegibilidad de estas formas de entrega, como para el establecimiento de los criterios de estratificación, como responsable del seguimiento farmacoterapéutico del paciente. Esta dispensación no presencial debe realizarse garantizando la atención farmacéutica</w:t>
      </w:r>
      <w:r w:rsidR="00A0455A">
        <w:rPr>
          <w:rFonts w:ascii="Calibri" w:hAnsi="Calibri" w:cs="Calibri"/>
          <w:sz w:val="24"/>
          <w:szCs w:val="24"/>
          <w:u w:color="000000"/>
          <w:lang w:val="pt-PT"/>
        </w:rPr>
        <w:t xml:space="preserve"> telem</w:t>
      </w:r>
      <w:r w:rsidR="00A0455A">
        <w:rPr>
          <w:rFonts w:ascii="Calibri" w:hAnsi="Calibri" w:cs="Calibri"/>
          <w:sz w:val="24"/>
          <w:szCs w:val="24"/>
          <w:u w:color="000000"/>
        </w:rPr>
        <w:t>ática y el seguimiento no presencial de los resultados de la farmacoterapia en el paciente, con valoración de la adherencia terapéutica, y el cumplimiento de los objetivos terapéuticos.</w:t>
      </w:r>
    </w:p>
    <w:p w14:paraId="68FAEA66" w14:textId="77777777" w:rsidR="00A0455A" w:rsidRDefault="00A0455A" w:rsidP="00261BE3">
      <w:pPr>
        <w:pStyle w:val="Cuerpo"/>
        <w:spacing w:before="100" w:after="100"/>
        <w:jc w:val="both"/>
        <w:rPr>
          <w:rFonts w:ascii="Calibri" w:hAnsi="Calibri" w:cs="Calibri"/>
          <w:b/>
          <w:bCs/>
          <w:i/>
          <w:iCs/>
          <w:sz w:val="24"/>
          <w:szCs w:val="24"/>
          <w:u w:color="000000"/>
        </w:rPr>
      </w:pPr>
      <w:r>
        <w:rPr>
          <w:rFonts w:ascii="Calibri" w:hAnsi="Calibri" w:cs="Calibri"/>
          <w:b/>
          <w:bCs/>
          <w:i/>
          <w:iCs/>
          <w:sz w:val="24"/>
          <w:szCs w:val="24"/>
          <w:u w:color="000000"/>
        </w:rPr>
        <w:t xml:space="preserve">Desde el punto de vista de la Seguridad Clínica en el uso del medicamento, cabe destacar al menos 5 funciones básicas de la Farmacia Hospitalaria que contribuyen a la misma: </w:t>
      </w:r>
    </w:p>
    <w:p w14:paraId="7CFF4B2E" w14:textId="77777777" w:rsidR="00A0455A" w:rsidRDefault="00A0455A" w:rsidP="00A0455A">
      <w:pPr>
        <w:pStyle w:val="Cuerpo"/>
        <w:numPr>
          <w:ilvl w:val="2"/>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hAnsi="Calibri" w:cs="Calibri"/>
          <w:sz w:val="24"/>
          <w:szCs w:val="24"/>
          <w:u w:color="000000"/>
        </w:rPr>
      </w:pPr>
      <w:r>
        <w:rPr>
          <w:rFonts w:ascii="Calibri" w:hAnsi="Calibri" w:cs="Calibri"/>
          <w:sz w:val="24"/>
          <w:szCs w:val="24"/>
          <w:u w:color="000000"/>
        </w:rPr>
        <w:t xml:space="preserve">   Validación farmacéutica de los tratamientos en el ámbito hospitalario, idealmente antes de su dispensación y administración, para comprobar su adecuación de uso según indicación, condiciones de financiación, características</w:t>
      </w:r>
      <w:r>
        <w:rPr>
          <w:rFonts w:ascii="Calibri" w:hAnsi="Calibri" w:cs="Calibri"/>
          <w:sz w:val="24"/>
          <w:szCs w:val="24"/>
          <w:u w:color="000000"/>
          <w:lang w:val="pt-PT"/>
        </w:rPr>
        <w:t xml:space="preserve"> </w:t>
      </w:r>
      <w:r>
        <w:rPr>
          <w:rFonts w:ascii="Calibri" w:hAnsi="Calibri" w:cs="Calibri"/>
          <w:sz w:val="24"/>
          <w:szCs w:val="24"/>
          <w:u w:color="000000"/>
        </w:rPr>
        <w:t>individuales del paciente y situación</w:t>
      </w:r>
      <w:r>
        <w:rPr>
          <w:rFonts w:ascii="Calibri" w:hAnsi="Calibri" w:cs="Calibri"/>
          <w:sz w:val="24"/>
          <w:szCs w:val="24"/>
          <w:u w:color="000000"/>
          <w:lang w:val="es-ES"/>
        </w:rPr>
        <w:t xml:space="preserve"> clínica </w:t>
      </w:r>
      <w:r>
        <w:rPr>
          <w:rFonts w:ascii="Calibri" w:hAnsi="Calibri" w:cs="Calibri"/>
          <w:sz w:val="24"/>
          <w:szCs w:val="24"/>
          <w:u w:color="000000"/>
        </w:rPr>
        <w:t>del mismo en el momento de la prescripción. Fuera del ámbito hospitalario, existen determinadas circunstancias en las cuales puede ser también necesaria la validación farmacéutica previa a su dispensación como parte del proceso de uso de medicamentos sujetos a protocolización o por razones de seguridad, efectividad o eficiencia.</w:t>
      </w:r>
    </w:p>
    <w:p w14:paraId="5A23F993" w14:textId="1C4DA5B5" w:rsidR="00261BE3" w:rsidRDefault="00261BE3" w:rsidP="00261BE3">
      <w:pPr>
        <w:pStyle w:val="Cuerpo"/>
        <w:numPr>
          <w:ilvl w:val="2"/>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hAnsi="Calibri" w:cs="Calibri"/>
          <w:sz w:val="24"/>
          <w:szCs w:val="24"/>
          <w:u w:color="000000"/>
        </w:rPr>
      </w:pPr>
      <w:r>
        <w:rPr>
          <w:rFonts w:ascii="Calibri" w:hAnsi="Calibri" w:cs="Calibri"/>
          <w:sz w:val="24"/>
          <w:szCs w:val="24"/>
          <w:u w:color="000000"/>
        </w:rPr>
        <w:t xml:space="preserve">  Conciliación de medicamentos en las transiciones asistenciales.</w:t>
      </w:r>
    </w:p>
    <w:p w14:paraId="76CDF3E0" w14:textId="228AE49A" w:rsidR="00A0455A" w:rsidRDefault="00261BE3" w:rsidP="00261BE3">
      <w:pPr>
        <w:pStyle w:val="Cuerpo"/>
        <w:numPr>
          <w:ilvl w:val="2"/>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hAnsi="Calibri" w:cs="Calibri"/>
          <w:sz w:val="24"/>
          <w:szCs w:val="24"/>
          <w:u w:color="000000"/>
        </w:rPr>
      </w:pPr>
      <w:r>
        <w:rPr>
          <w:rFonts w:ascii="Calibri" w:hAnsi="Calibri" w:cs="Calibri"/>
          <w:sz w:val="24"/>
          <w:szCs w:val="24"/>
          <w:u w:color="000000"/>
        </w:rPr>
        <w:t xml:space="preserve">   </w:t>
      </w:r>
      <w:r w:rsidR="00A0455A">
        <w:rPr>
          <w:rFonts w:ascii="Calibri" w:hAnsi="Calibri" w:cs="Calibri"/>
          <w:sz w:val="24"/>
          <w:szCs w:val="24"/>
          <w:u w:color="000000"/>
          <w:lang w:val="es-ES"/>
        </w:rPr>
        <w:t>Revisión periódica</w:t>
      </w:r>
      <w:r w:rsidR="00A0455A">
        <w:rPr>
          <w:rFonts w:ascii="Calibri" w:hAnsi="Calibri" w:cs="Calibri"/>
          <w:sz w:val="24"/>
          <w:szCs w:val="24"/>
          <w:u w:color="000000"/>
        </w:rPr>
        <w:t xml:space="preserve"> del tratamiento crónico incluida la valoración de la deprescripción de medicamentos.</w:t>
      </w:r>
    </w:p>
    <w:p w14:paraId="5611D38E" w14:textId="244D69EA" w:rsidR="00A0455A" w:rsidRDefault="00261BE3" w:rsidP="00261BE3">
      <w:pPr>
        <w:pStyle w:val="Cuerpo"/>
        <w:numPr>
          <w:ilvl w:val="2"/>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hAnsi="Calibri" w:cs="Calibri"/>
          <w:sz w:val="24"/>
          <w:szCs w:val="24"/>
          <w:u w:color="000000"/>
        </w:rPr>
      </w:pPr>
      <w:r>
        <w:rPr>
          <w:rFonts w:ascii="Calibri" w:hAnsi="Calibri" w:cs="Calibri"/>
          <w:sz w:val="24"/>
          <w:szCs w:val="24"/>
          <w:u w:color="000000"/>
        </w:rPr>
        <w:t xml:space="preserve">   </w:t>
      </w:r>
      <w:r w:rsidR="00A0455A">
        <w:rPr>
          <w:rFonts w:ascii="Calibri" w:hAnsi="Calibri" w:cs="Calibri"/>
          <w:sz w:val="24"/>
          <w:szCs w:val="24"/>
          <w:u w:color="000000"/>
        </w:rPr>
        <w:t>Valoración continuada y promoción de la adherencia terapéutica.</w:t>
      </w:r>
    </w:p>
    <w:p w14:paraId="04EDE01B" w14:textId="0DEFBC5E" w:rsidR="00A0455A" w:rsidRDefault="00261BE3" w:rsidP="00261BE3">
      <w:pPr>
        <w:pStyle w:val="Cuerpo"/>
        <w:numPr>
          <w:ilvl w:val="2"/>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hAnsi="Calibri" w:cs="Calibri"/>
          <w:sz w:val="24"/>
          <w:szCs w:val="24"/>
          <w:u w:color="000000"/>
        </w:rPr>
      </w:pPr>
      <w:r>
        <w:rPr>
          <w:rFonts w:ascii="Calibri" w:hAnsi="Calibri" w:cs="Calibri"/>
          <w:sz w:val="24"/>
          <w:szCs w:val="24"/>
          <w:u w:color="000000"/>
        </w:rPr>
        <w:t xml:space="preserve">    </w:t>
      </w:r>
      <w:r w:rsidR="00A0455A">
        <w:rPr>
          <w:rFonts w:ascii="Calibri" w:hAnsi="Calibri" w:cs="Calibri"/>
          <w:sz w:val="24"/>
          <w:szCs w:val="24"/>
          <w:u w:color="000000"/>
        </w:rPr>
        <w:t xml:space="preserve">Centralización de la preparación y reacondicionamiento de medicamentos en </w:t>
      </w:r>
      <w:r>
        <w:rPr>
          <w:rFonts w:ascii="Calibri" w:hAnsi="Calibri" w:cs="Calibri"/>
          <w:sz w:val="24"/>
          <w:szCs w:val="24"/>
          <w:u w:color="000000"/>
        </w:rPr>
        <w:t xml:space="preserve">  </w:t>
      </w:r>
      <w:r w:rsidR="00A0455A">
        <w:rPr>
          <w:rFonts w:ascii="Calibri" w:hAnsi="Calibri" w:cs="Calibri"/>
          <w:sz w:val="24"/>
          <w:szCs w:val="24"/>
          <w:u w:color="000000"/>
        </w:rPr>
        <w:t xml:space="preserve">los Servicios de Farmacia Hospitalaria para medicamentos de riesgo (antineoplásicos, terapias avanzadas, mezclas complejas, etc.) </w:t>
      </w:r>
      <w:r w:rsidR="00A0455A">
        <w:rPr>
          <w:rFonts w:ascii="Calibri" w:hAnsi="Calibri" w:cs="Calibri"/>
          <w:sz w:val="24"/>
          <w:szCs w:val="24"/>
          <w:u w:color="000000"/>
          <w:lang w:val="es-ES"/>
        </w:rPr>
        <w:t>según</w:t>
      </w:r>
      <w:r w:rsidR="00A0455A">
        <w:rPr>
          <w:rFonts w:ascii="Calibri" w:hAnsi="Calibri" w:cs="Calibri"/>
          <w:sz w:val="24"/>
          <w:szCs w:val="24"/>
          <w:u w:color="000000"/>
        </w:rPr>
        <w:t xml:space="preserve"> la Guía de Buenas Prácticas de preparación de medicamentos.</w:t>
      </w:r>
    </w:p>
    <w:p w14:paraId="78070281" w14:textId="389D45E9" w:rsidR="00261BE3" w:rsidRDefault="00A0455A"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hAnsi="Calibri" w:cs="Calibri"/>
          <w:sz w:val="24"/>
          <w:szCs w:val="24"/>
          <w:u w:color="000000"/>
        </w:rPr>
      </w:pPr>
      <w:r>
        <w:rPr>
          <w:rFonts w:ascii="Calibri" w:hAnsi="Calibri" w:cs="Calibri"/>
          <w:sz w:val="24"/>
          <w:szCs w:val="24"/>
          <w:u w:color="000000"/>
        </w:rPr>
        <w:t xml:space="preserve">Por todo ello, </w:t>
      </w:r>
      <w:r w:rsidR="00261BE3">
        <w:rPr>
          <w:rFonts w:ascii="Calibri" w:hAnsi="Calibri" w:cs="Calibri"/>
          <w:sz w:val="24"/>
          <w:szCs w:val="24"/>
          <w:u w:color="000000"/>
        </w:rPr>
        <w:t>es</w:t>
      </w:r>
      <w:r>
        <w:rPr>
          <w:rFonts w:ascii="Calibri" w:hAnsi="Calibri" w:cs="Calibri"/>
          <w:sz w:val="24"/>
          <w:szCs w:val="24"/>
          <w:u w:color="000000"/>
        </w:rPr>
        <w:t xml:space="preserve"> necesari</w:t>
      </w:r>
      <w:r w:rsidR="00261BE3">
        <w:rPr>
          <w:rFonts w:ascii="Calibri" w:hAnsi="Calibri" w:cs="Calibri"/>
          <w:sz w:val="24"/>
          <w:szCs w:val="24"/>
          <w:u w:color="000000"/>
        </w:rPr>
        <w:t>a</w:t>
      </w:r>
      <w:r>
        <w:rPr>
          <w:rFonts w:ascii="Calibri" w:hAnsi="Calibri" w:cs="Calibri"/>
          <w:sz w:val="24"/>
          <w:szCs w:val="24"/>
          <w:u w:color="000000"/>
        </w:rPr>
        <w:t xml:space="preserve"> </w:t>
      </w:r>
      <w:r w:rsidR="00261BE3">
        <w:rPr>
          <w:rFonts w:ascii="Calibri" w:hAnsi="Calibri" w:cs="Calibri"/>
          <w:sz w:val="24"/>
          <w:szCs w:val="24"/>
          <w:u w:color="000000"/>
        </w:rPr>
        <w:t>que</w:t>
      </w:r>
      <w:r>
        <w:rPr>
          <w:rFonts w:ascii="Calibri" w:hAnsi="Calibri" w:cs="Calibri"/>
          <w:sz w:val="24"/>
          <w:szCs w:val="24"/>
          <w:u w:color="000000"/>
        </w:rPr>
        <w:t xml:space="preserve"> las funciones asignadas a la Farmacia Hospitalaria </w:t>
      </w:r>
      <w:r w:rsidR="00261BE3">
        <w:rPr>
          <w:rFonts w:ascii="Calibri" w:hAnsi="Calibri" w:cs="Calibri"/>
          <w:sz w:val="24"/>
          <w:szCs w:val="24"/>
          <w:u w:color="000000"/>
        </w:rPr>
        <w:t>se</w:t>
      </w:r>
      <w:r>
        <w:rPr>
          <w:rFonts w:ascii="Calibri" w:hAnsi="Calibri" w:cs="Calibri"/>
          <w:sz w:val="24"/>
          <w:szCs w:val="24"/>
          <w:u w:color="000000"/>
        </w:rPr>
        <w:t xml:space="preserve"> adecu</w:t>
      </w:r>
      <w:r w:rsidR="00261BE3">
        <w:rPr>
          <w:rFonts w:ascii="Calibri" w:hAnsi="Calibri" w:cs="Calibri"/>
          <w:sz w:val="24"/>
          <w:szCs w:val="24"/>
          <w:u w:color="000000"/>
        </w:rPr>
        <w:t>en</w:t>
      </w:r>
      <w:r>
        <w:rPr>
          <w:rFonts w:ascii="Calibri" w:hAnsi="Calibri" w:cs="Calibri"/>
          <w:sz w:val="24"/>
          <w:szCs w:val="24"/>
          <w:u w:color="000000"/>
        </w:rPr>
        <w:t xml:space="preserve"> a la situación actual y reflej</w:t>
      </w:r>
      <w:r w:rsidR="00261BE3">
        <w:rPr>
          <w:rFonts w:ascii="Calibri" w:hAnsi="Calibri" w:cs="Calibri"/>
          <w:sz w:val="24"/>
          <w:szCs w:val="24"/>
          <w:u w:color="000000"/>
        </w:rPr>
        <w:t>en</w:t>
      </w:r>
      <w:r>
        <w:rPr>
          <w:rFonts w:ascii="Calibri" w:hAnsi="Calibri" w:cs="Calibri"/>
          <w:sz w:val="24"/>
          <w:szCs w:val="24"/>
          <w:u w:color="000000"/>
        </w:rPr>
        <w:t xml:space="preserve"> los cambios habidos en el desarrollo profesional, proponiéndose las siguientes modificaciones:</w:t>
      </w:r>
    </w:p>
    <w:p w14:paraId="0ABD18E9" w14:textId="77777777" w:rsidR="00A0455A" w:rsidRDefault="00A0455A"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eastAsia="Calibri" w:hAnsi="Calibri" w:cs="Calibri"/>
          <w:sz w:val="24"/>
          <w:szCs w:val="24"/>
          <w:u w:color="000000"/>
        </w:rPr>
      </w:pPr>
    </w:p>
    <w:p w14:paraId="1C0C5296" w14:textId="77777777" w:rsidR="00327318" w:rsidRDefault="00327318"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eastAsia="Calibri" w:hAnsi="Calibri" w:cs="Calibri"/>
          <w:sz w:val="24"/>
          <w:szCs w:val="24"/>
          <w:u w:color="000000"/>
        </w:rPr>
      </w:pPr>
    </w:p>
    <w:p w14:paraId="7BEEF5FC" w14:textId="77777777" w:rsidR="00327318" w:rsidRDefault="00327318"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eastAsia="Calibri" w:hAnsi="Calibri" w:cs="Calibri"/>
          <w:sz w:val="24"/>
          <w:szCs w:val="24"/>
          <w:u w:color="000000"/>
        </w:rPr>
      </w:pPr>
    </w:p>
    <w:p w14:paraId="0C05B4BD" w14:textId="77777777" w:rsidR="00327318" w:rsidRDefault="00327318"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Calibri" w:eastAsia="Calibri" w:hAnsi="Calibri" w:cs="Calibri"/>
          <w:sz w:val="24"/>
          <w:szCs w:val="24"/>
          <w:u w:color="000000"/>
        </w:rPr>
      </w:pPr>
    </w:p>
    <w:p w14:paraId="13714DCE" w14:textId="7FB562DF" w:rsidR="00A0455A" w:rsidRDefault="00282955" w:rsidP="00A0455A">
      <w:pPr>
        <w:pStyle w:val="Cuerpo"/>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ind w:left="357" w:hanging="357"/>
        <w:jc w:val="both"/>
        <w:rPr>
          <w:rFonts w:ascii="Calibri" w:eastAsia="Calibri" w:hAnsi="Calibri" w:cs="Calibri"/>
          <w:b/>
          <w:bCs/>
          <w:sz w:val="24"/>
          <w:szCs w:val="24"/>
          <w:u w:color="000000"/>
        </w:rPr>
      </w:pPr>
      <w:r>
        <w:rPr>
          <w:rFonts w:ascii="Calibri" w:eastAsia="Calibri" w:hAnsi="Calibri" w:cs="Calibri"/>
          <w:b/>
          <w:bCs/>
          <w:sz w:val="24"/>
          <w:szCs w:val="24"/>
          <w:u w:color="000000"/>
        </w:rPr>
        <w:t xml:space="preserve">Actualización de las </w:t>
      </w:r>
      <w:r w:rsidR="00A0455A">
        <w:rPr>
          <w:rFonts w:ascii="Calibri" w:eastAsia="Calibri" w:hAnsi="Calibri" w:cs="Calibri"/>
          <w:b/>
          <w:bCs/>
          <w:sz w:val="24"/>
          <w:szCs w:val="24"/>
          <w:u w:color="000000"/>
        </w:rPr>
        <w:t>Funciones de los Servicios de Farmacia Hospitalaria</w:t>
      </w:r>
    </w:p>
    <w:p w14:paraId="7CC2A349"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hAnsi="Calibri" w:cs="Calibri"/>
          <w:color w:val="auto"/>
          <w:sz w:val="24"/>
          <w:szCs w:val="24"/>
          <w:u w:color="C45911"/>
        </w:rPr>
      </w:pPr>
      <w:r>
        <w:rPr>
          <w:rStyle w:val="Ninguno"/>
          <w:rFonts w:ascii="Calibri" w:hAnsi="Calibri" w:cs="Calibri"/>
          <w:color w:val="auto"/>
          <w:sz w:val="24"/>
          <w:szCs w:val="24"/>
          <w:u w:color="C45911"/>
        </w:rPr>
        <w:t>Participar en el proceso multidisciplinar de evaluación, selección y posicionamiento de los medicamentos y productos sanitarios</w:t>
      </w:r>
      <w:r>
        <w:rPr>
          <w:rFonts w:ascii="Calibri" w:hAnsi="Calibri" w:cs="Calibri"/>
          <w:color w:val="auto"/>
          <w:sz w:val="24"/>
          <w:szCs w:val="24"/>
          <w:u w:color="000000"/>
        </w:rPr>
        <w:t>,</w:t>
      </w:r>
      <w:r>
        <w:rPr>
          <w:rStyle w:val="Ninguno"/>
          <w:rFonts w:ascii="Calibri" w:hAnsi="Calibri" w:cs="Calibri"/>
          <w:color w:val="auto"/>
          <w:sz w:val="24"/>
          <w:szCs w:val="24"/>
          <w:u w:color="C45911"/>
        </w:rPr>
        <w:t xml:space="preserve"> bajo criterios de eficacia, seguridad y eficiencia, así como en el desarrollo de estrategias de uso racional de los mismos.</w:t>
      </w:r>
    </w:p>
    <w:p w14:paraId="51FF2459"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Colaborar en el desarrollo de protocolos y guías farmacoterapéuticas que garanticen la correcta asistencia farmacoterapéutica a los pacientes y la continuidad de los tratamientos, incorporando sistemas de apoyo a la toma de decisiones clínicas en farmacoterapia.</w:t>
      </w:r>
    </w:p>
    <w:p w14:paraId="44225BD9"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hAnsi="Calibri" w:cs="Calibri"/>
          <w:color w:val="auto"/>
          <w:sz w:val="24"/>
          <w:szCs w:val="24"/>
          <w:u w:color="FF0000"/>
        </w:rPr>
      </w:pPr>
      <w:r>
        <w:rPr>
          <w:rFonts w:ascii="Calibri" w:hAnsi="Calibri" w:cs="Calibri"/>
          <w:sz w:val="24"/>
          <w:szCs w:val="24"/>
          <w:u w:color="000000"/>
        </w:rPr>
        <w:t xml:space="preserve">Garantizar y asumir la responsabilidad técnica de la adquisición, calidad, cobertura de necesidades, almacenamiento, periodo de validez, conservación, custodia y dispensación de los medicamentos precisos para las actividades intrahospitalarias y de aquellos otros, para tratamientos extrahospitalarios. </w:t>
      </w:r>
    </w:p>
    <w:p w14:paraId="752A74C9"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color w:val="auto"/>
          <w:sz w:val="24"/>
          <w:szCs w:val="24"/>
          <w:u w:color="000000"/>
        </w:rPr>
      </w:pPr>
      <w:r>
        <w:rPr>
          <w:rStyle w:val="Ninguno"/>
          <w:rFonts w:ascii="Calibri" w:hAnsi="Calibri" w:cs="Calibri"/>
          <w:color w:val="auto"/>
          <w:sz w:val="24"/>
          <w:szCs w:val="24"/>
          <w:u w:color="C45911"/>
        </w:rPr>
        <w:t xml:space="preserve">Elaborar y dispensar fórmulas magistrales y preparados oficinales y llevar a cabo operaciones de fraccionamiento y personalización de dosis de medicamentos, de acuerdo con las Buenas Prácticas de Preparación de Medicamentos en los Servicios de Farmacia de los Hospitales. </w:t>
      </w:r>
    </w:p>
    <w:p w14:paraId="78CF44DE"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Fonts w:ascii="Calibri" w:hAnsi="Calibri" w:cs="Calibri"/>
          <w:color w:val="auto"/>
          <w:sz w:val="24"/>
          <w:szCs w:val="24"/>
          <w:u w:color="000000"/>
        </w:rPr>
        <w:t xml:space="preserve">Establecer un sistema </w:t>
      </w:r>
      <w:r>
        <w:rPr>
          <w:rStyle w:val="Ninguno"/>
          <w:rFonts w:ascii="Calibri" w:hAnsi="Calibri" w:cs="Calibri"/>
          <w:color w:val="auto"/>
          <w:sz w:val="24"/>
          <w:szCs w:val="24"/>
          <w:u w:color="FF0000"/>
        </w:rPr>
        <w:t xml:space="preserve">eficaz y seguro </w:t>
      </w:r>
      <w:r>
        <w:rPr>
          <w:rFonts w:ascii="Calibri" w:hAnsi="Calibri" w:cs="Calibri"/>
          <w:color w:val="auto"/>
          <w:sz w:val="24"/>
          <w:szCs w:val="24"/>
          <w:u w:color="000000"/>
          <w:lang w:val="es-ES"/>
        </w:rPr>
        <w:t xml:space="preserve">de dispensación </w:t>
      </w:r>
      <w:r>
        <w:rPr>
          <w:rFonts w:ascii="Calibri" w:hAnsi="Calibri" w:cs="Calibri"/>
          <w:color w:val="auto"/>
          <w:sz w:val="24"/>
          <w:szCs w:val="24"/>
          <w:u w:color="000000"/>
        </w:rPr>
        <w:t xml:space="preserve">de medicamentos, que </w:t>
      </w:r>
      <w:r>
        <w:rPr>
          <w:rFonts w:ascii="Calibri" w:hAnsi="Calibri" w:cs="Calibri"/>
          <w:color w:val="auto"/>
          <w:sz w:val="24"/>
          <w:szCs w:val="24"/>
          <w:u w:color="000000"/>
          <w:lang w:val="es-ES"/>
        </w:rPr>
        <w:t xml:space="preserve">garantice proporcionar a cada paciente el tratamiento farmacológico individualizado indicado y tomar las medidas para garantizar su correcta administración. </w:t>
      </w:r>
    </w:p>
    <w:p w14:paraId="4291F09C"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color w:val="auto"/>
          <w:sz w:val="24"/>
          <w:szCs w:val="24"/>
          <w:u w:color="000000"/>
        </w:rPr>
      </w:pPr>
      <w:r>
        <w:rPr>
          <w:rFonts w:ascii="Calibri" w:hAnsi="Calibri" w:cs="Calibri"/>
          <w:sz w:val="24"/>
          <w:szCs w:val="24"/>
          <w:u w:color="000000"/>
        </w:rPr>
        <w:t>Velar por el cumplimiento de la legislación sobre estupefacientes y psicótropo</w:t>
      </w:r>
      <w:r>
        <w:rPr>
          <w:rFonts w:ascii="Calibri" w:hAnsi="Calibri" w:cs="Calibri"/>
          <w:sz w:val="24"/>
          <w:szCs w:val="24"/>
          <w:u w:color="000000"/>
          <w:lang w:val="pt-PT"/>
        </w:rPr>
        <w:t>s o</w:t>
      </w:r>
      <w:r>
        <w:rPr>
          <w:rFonts w:ascii="Calibri" w:hAnsi="Calibri" w:cs="Calibri"/>
          <w:sz w:val="24"/>
          <w:szCs w:val="24"/>
          <w:u w:color="000000"/>
        </w:rPr>
        <w:t xml:space="preserve"> cualquier medicamento que requiera un control especial.</w:t>
      </w:r>
    </w:p>
    <w:p w14:paraId="73C8632A"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FF0000"/>
        </w:rPr>
        <w:t xml:space="preserve">Promover un sistema de farmacovigilancia intrahospitalario y la notificación de incidentes relacionados con el uso de medicamentos a través de los sistemas de notificación </w:t>
      </w:r>
      <w:r>
        <w:rPr>
          <w:rStyle w:val="Ninguno"/>
          <w:rFonts w:ascii="Calibri" w:hAnsi="Calibri" w:cs="Calibri"/>
          <w:color w:val="auto"/>
          <w:sz w:val="24"/>
          <w:szCs w:val="24"/>
          <w:u w:color="FF0000"/>
          <w:lang w:val="es-ES"/>
        </w:rPr>
        <w:t>existentes.</w:t>
      </w:r>
    </w:p>
    <w:p w14:paraId="699141EF"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FF0000"/>
          <w:lang w:val="es-ES"/>
        </w:rPr>
        <w:t>Realizar actuaciones que contribuyan a garantizar la adherencia terapéutica de los pacientes en colaboración con otros profesionales sanitarios.</w:t>
      </w:r>
    </w:p>
    <w:p w14:paraId="049B5B73"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FF0000"/>
        </w:rPr>
        <w:t>Proporcionar atención farmacéutica especializada a los pacientes en cualquiera de los ámbitos asistenciales, hospitalario, ambulatorio, sociosanitario y domiciliario, incluida la posible asistencia al paciente por vía telemática.</w:t>
      </w:r>
    </w:p>
    <w:p w14:paraId="570FF449"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FF0000"/>
        </w:rPr>
        <w:t>Definir y establecer las medidas oportunas para la dispensación en modalidad no presencial de medicamentos cuya dispensación se encuentre restringida a su ámbito, con la entrega, si procede, de los medicamentos en el propio domicilio del paciente. la inclusión de los pacientes en esta modalidad de dispensación</w:t>
      </w:r>
      <w:r>
        <w:rPr>
          <w:rStyle w:val="Ninguno"/>
          <w:rFonts w:ascii="Calibri" w:hAnsi="Calibri" w:cs="Calibri"/>
          <w:color w:val="auto"/>
          <w:sz w:val="24"/>
          <w:szCs w:val="24"/>
          <w:u w:color="C45911"/>
        </w:rPr>
        <w:t xml:space="preserve"> </w:t>
      </w:r>
      <w:r>
        <w:rPr>
          <w:rStyle w:val="Ninguno"/>
          <w:rFonts w:ascii="Calibri" w:hAnsi="Calibri" w:cs="Calibri"/>
          <w:color w:val="auto"/>
          <w:sz w:val="24"/>
          <w:szCs w:val="24"/>
          <w:u w:color="C45911"/>
          <w:lang w:val="pt-PT"/>
        </w:rPr>
        <w:t>se ajustar</w:t>
      </w:r>
      <w:r>
        <w:rPr>
          <w:rStyle w:val="Ninguno"/>
          <w:rFonts w:ascii="Calibri" w:hAnsi="Calibri" w:cs="Calibri"/>
          <w:color w:val="auto"/>
          <w:sz w:val="24"/>
          <w:szCs w:val="24"/>
          <w:u w:color="C45911"/>
        </w:rPr>
        <w:t>á, en todo caso, a protocolos establecidos por el servicio de farmacia hospitalaria responsable del seguimiento farmacoterapéutico. La entrega de los medicamentos hasta el lugar de destino deberá realizarse de manera que no sufran ninguna alteración ni merma de su calidad.</w:t>
      </w:r>
    </w:p>
    <w:p w14:paraId="1A1B867D"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Desarrollar actividades de farmacocinética clínica y farmacogenética</w:t>
      </w:r>
      <w:r>
        <w:rPr>
          <w:rStyle w:val="Ninguno"/>
          <w:rFonts w:ascii="Calibri" w:eastAsia="Calibri" w:hAnsi="Calibri" w:cs="Calibri"/>
          <w:color w:val="auto"/>
          <w:sz w:val="24"/>
          <w:szCs w:val="24"/>
          <w:u w:color="000000"/>
        </w:rPr>
        <w:t xml:space="preserve">. </w:t>
      </w:r>
    </w:p>
    <w:p w14:paraId="2D032774"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Realizar el seguimiento de los tratamientos farmacoterapéuticos de los pacientes y colaborar en cuantas funciones asistenciales puedan redundar en un mejor uso y control de medicamentos, productos sanitarios y de soporte nutricional.</w:t>
      </w:r>
    </w:p>
    <w:p w14:paraId="6D0D4FE6"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Formar parte de las comisiones y equipos asistenciales en que puedan ser útiles sus conocimientos, y específicamente en aquellas relacionadas con la selección, evaluación científica y utilización de medicamentos y productos sanitarios.</w:t>
      </w:r>
    </w:p>
    <w:p w14:paraId="32BF24B0"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Establecer y participar en programas de Garantía de Calidad.</w:t>
      </w:r>
    </w:p>
    <w:p w14:paraId="69EF50C5"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Establecer un servicio de información de medicamentos para profesionales y pacientes.</w:t>
      </w:r>
    </w:p>
    <w:p w14:paraId="1CFA97CB"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Proporcionar información y formación sobre medicamentos y productos sanitarios a los profesionales sanitarios.</w:t>
      </w:r>
    </w:p>
    <w:p w14:paraId="549E14BF"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Impulsar y participar en programas de educación de la población sobre medicamentos, su utilización racional y prevención de uso inadecuado.</w:t>
      </w:r>
    </w:p>
    <w:p w14:paraId="4F8EC099"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Promover la formación continuada y la competencia técnica de los profesionales del Servicio de Farmacia.</w:t>
      </w:r>
    </w:p>
    <w:p w14:paraId="327F85EC"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Elaborar estudios sistemáticos de utilización de medicamentos.</w:t>
      </w:r>
    </w:p>
    <w:p w14:paraId="61418E7E"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Participar en los ensayos clínicos de medicamentos y productos sanitarios, y custodiar y dispensar los productos en fase de investigación clínica.</w:t>
      </w:r>
    </w:p>
    <w:p w14:paraId="2B0456DC" w14:textId="77777777" w:rsidR="00A0455A" w:rsidRDefault="00A0455A" w:rsidP="00A0455A">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u w:color="000000"/>
        </w:rPr>
      </w:pPr>
      <w:r>
        <w:rPr>
          <w:rStyle w:val="Ninguno"/>
          <w:rFonts w:ascii="Calibri" w:hAnsi="Calibri" w:cs="Calibri"/>
          <w:color w:val="auto"/>
          <w:sz w:val="24"/>
          <w:szCs w:val="24"/>
          <w:u w:color="C45911"/>
        </w:rPr>
        <w:t>Efectuar trabajos de investigación propios o en colaboración con otras unidades o servicios y difundir sus resultados.</w:t>
      </w:r>
    </w:p>
    <w:p w14:paraId="6084FCA7" w14:textId="77777777" w:rsidR="00A0455A" w:rsidRDefault="00A0455A" w:rsidP="2F78FB91">
      <w:pPr>
        <w:pStyle w:val="Cuerpo"/>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Style w:val="Ninguno"/>
          <w:rFonts w:ascii="Calibri" w:eastAsia="Calibri" w:hAnsi="Calibri" w:cs="Calibri"/>
          <w:color w:val="auto"/>
          <w:sz w:val="24"/>
          <w:szCs w:val="24"/>
          <w:lang w:val="es-ES"/>
        </w:rPr>
      </w:pPr>
      <w:r w:rsidRPr="2F78FB91">
        <w:rPr>
          <w:rStyle w:val="Ninguno"/>
          <w:rFonts w:ascii="Calibri" w:hAnsi="Calibri" w:cs="Calibri"/>
          <w:color w:val="auto"/>
          <w:sz w:val="24"/>
          <w:szCs w:val="24"/>
          <w:lang w:val="es-ES"/>
        </w:rPr>
        <w:t>Cualquier otra función que redunde en un mejor uso de los medicamentos, productos sanitarios y dietoterápicos.</w:t>
      </w:r>
    </w:p>
    <w:p w14:paraId="68DD7E7D" w14:textId="77777777" w:rsidR="00A0455A" w:rsidRDefault="00A0455A"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rPr>
      </w:pPr>
    </w:p>
    <w:p w14:paraId="144A69DD" w14:textId="77777777" w:rsidR="00A0455A" w:rsidRDefault="00A0455A" w:rsidP="00A0455A">
      <w:pPr>
        <w:pStyle w:val="Cuerpo"/>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ind w:left="357" w:hanging="357"/>
        <w:jc w:val="both"/>
        <w:rPr>
          <w:rFonts w:ascii="Calibri" w:eastAsia="Calibri" w:hAnsi="Calibri" w:cs="Calibri"/>
          <w:b/>
          <w:bCs/>
          <w:sz w:val="24"/>
          <w:szCs w:val="24"/>
          <w:u w:color="000000"/>
        </w:rPr>
      </w:pPr>
      <w:r>
        <w:rPr>
          <w:rFonts w:ascii="Calibri" w:eastAsia="Calibri" w:hAnsi="Calibri" w:cs="Calibri"/>
          <w:b/>
          <w:bCs/>
          <w:sz w:val="24"/>
          <w:szCs w:val="24"/>
          <w:u w:color="000000"/>
        </w:rPr>
        <w:t>Propuestas de incorporación al texto actual:</w:t>
      </w:r>
    </w:p>
    <w:p w14:paraId="05CBFEB5" w14:textId="77777777" w:rsidR="00A0455A" w:rsidRDefault="00A0455A"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rPr>
      </w:pPr>
      <w:r>
        <w:rPr>
          <w:rFonts w:ascii="Calibri" w:hAnsi="Calibri" w:cs="Calibri"/>
          <w:sz w:val="24"/>
          <w:szCs w:val="24"/>
          <w:u w:color="000000"/>
        </w:rPr>
        <w:t>También se proponen las siguientes incorporaciones al texto actual:</w:t>
      </w:r>
    </w:p>
    <w:p w14:paraId="7DF71ACD" w14:textId="77777777" w:rsidR="00A0455A" w:rsidRDefault="00A0455A" w:rsidP="000019CC">
      <w:pPr>
        <w:pStyle w:val="Cuerpo"/>
        <w:numPr>
          <w:ilvl w:val="1"/>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ind w:left="709" w:hanging="567"/>
        <w:jc w:val="both"/>
        <w:rPr>
          <w:rFonts w:ascii="Calibri" w:eastAsia="Calibri" w:hAnsi="Calibri" w:cs="Calibri"/>
          <w:sz w:val="24"/>
          <w:szCs w:val="24"/>
          <w:u w:color="000000"/>
          <w:shd w:val="clear" w:color="auto" w:fill="FEFFFF"/>
        </w:rPr>
      </w:pPr>
      <w:r>
        <w:rPr>
          <w:rFonts w:ascii="Calibri" w:hAnsi="Calibri" w:cs="Calibri"/>
          <w:sz w:val="24"/>
          <w:szCs w:val="24"/>
          <w:u w:color="000000"/>
          <w:shd w:val="clear" w:color="auto" w:fill="FEFFFF"/>
        </w:rPr>
        <w:t>Debe contemplarse el concepto de Organización Sanitaria Integrada, e incluir la integración en los servicios de farmacia hospitalarios de la atención farmacéutica en los hospitales y en atención primaria.</w:t>
      </w:r>
    </w:p>
    <w:p w14:paraId="0BCC1B65" w14:textId="77777777" w:rsidR="00A0455A" w:rsidRDefault="00A0455A" w:rsidP="0036461F">
      <w:pPr>
        <w:pStyle w:val="Cuerpo"/>
        <w:numPr>
          <w:ilvl w:val="1"/>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ind w:left="709" w:hanging="567"/>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Incluir las áreas o espacios físicos que deben diferenciarse convenientemente en los Servicios de Farmacia Hospitalaria:</w:t>
      </w:r>
    </w:p>
    <w:p w14:paraId="30439AFA"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Almacenes generales. </w:t>
      </w:r>
    </w:p>
    <w:p w14:paraId="2C9D45E2"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Almacenes especiales para estupefacientes, termolábiles, gases, inflamables, medicamentos peligrosos, residuos y otros. </w:t>
      </w:r>
    </w:p>
    <w:p w14:paraId="288EB982"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 de elaboración y acondicionamiento de medicamentos no estériles. </w:t>
      </w:r>
    </w:p>
    <w:p w14:paraId="066F71DE"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Áreas para la preparación de medicamentos estériles, de manipulación de medicamentos peligrosos y de terapias avanzadas. </w:t>
      </w:r>
    </w:p>
    <w:p w14:paraId="7C70099E"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 de dispensación. </w:t>
      </w:r>
    </w:p>
    <w:p w14:paraId="712DE689"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 de atención a pacientes de consulta externa y sala de espera que garanticen el acceso, la confidencialidad y la atención adecuada al paciente. </w:t>
      </w:r>
    </w:p>
    <w:p w14:paraId="08F20498"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Áreas de farmacocinética y farmacogenética. </w:t>
      </w:r>
    </w:p>
    <w:p w14:paraId="47A6E135"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 de ensayos clínicos e investigación. </w:t>
      </w:r>
    </w:p>
    <w:p w14:paraId="681A8B9D"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Área de trabajo de profesionales del Servicio de Farmacia. </w:t>
      </w:r>
    </w:p>
    <w:p w14:paraId="5D6AEC50"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Área de docencia y formación continuada.</w:t>
      </w:r>
    </w:p>
    <w:p w14:paraId="69F89094" w14:textId="77777777" w:rsidR="00A0455A" w:rsidRDefault="00A0455A" w:rsidP="00A0455A">
      <w:pPr>
        <w:pStyle w:val="Cuerpo"/>
        <w:numPr>
          <w:ilvl w:val="2"/>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Área de gestión administrativa.</w:t>
      </w:r>
    </w:p>
    <w:p w14:paraId="7FCF5D98" w14:textId="77777777" w:rsidR="00A0455A" w:rsidRDefault="00A0455A" w:rsidP="2F78FB9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shd w:val="clear" w:color="auto" w:fill="FEFFFF"/>
          <w:lang w:val="es-ES"/>
        </w:rPr>
      </w:pPr>
      <w:r>
        <w:rPr>
          <w:rFonts w:ascii="Calibri" w:eastAsia="Calibri" w:hAnsi="Calibri" w:cs="Calibri"/>
          <w:sz w:val="24"/>
          <w:szCs w:val="24"/>
          <w:u w:color="000000"/>
          <w:shd w:val="clear" w:color="auto" w:fill="FEFFFF"/>
        </w:rPr>
        <w:tab/>
      </w:r>
      <w:r w:rsidRPr="2F78FB91">
        <w:rPr>
          <w:rFonts w:ascii="Calibri" w:eastAsia="Calibri" w:hAnsi="Calibri" w:cs="Calibri"/>
          <w:sz w:val="24"/>
          <w:szCs w:val="24"/>
          <w:shd w:val="clear" w:color="auto" w:fill="FEFFFF"/>
          <w:lang w:val="es-ES"/>
        </w:rPr>
        <w:t>En todo caso, serán obligatorias las áreas correspondientes a los apartados a), b), c), e), i) y k), siendo el resto de las áreas exigibles en función de la actividad desarrollada por el Servicio de Farmacia.</w:t>
      </w:r>
    </w:p>
    <w:p w14:paraId="51469CA2"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Estas áreas deberán tener la dotación adecuada y necesaria de utillaje, material fungible y equipamiento para realizar sus funciones y, en cualquier caso, de acuerdo con lo establecido en la normativa específica.</w:t>
      </w:r>
    </w:p>
    <w:p w14:paraId="1CF3DBFA"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El Servicio de Farmacia dispondrá de un sistema de información que gestione todos los procesos de la cadena de utilización del medicamento. Este sistema deberá estar integrado en el sistema de información clínica general del centro. </w:t>
      </w:r>
    </w:p>
    <w:p w14:paraId="524AD997"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El Servicio de Farmacia dispondrá de herramientas que garanticen la integridad, seguridad y trazabilidad de sus registros y datos.  </w:t>
      </w:r>
    </w:p>
    <w:p w14:paraId="1C8A528B"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El Servicio de Farmacia deberá disponer de mecanismos de acceso, preferiblemente electrónicos, a la Real Farmacopea Española, al Formulario Nacional y a cuantos otros documentos y entidades sean necesarios para el desarrollo de sus funciones. </w:t>
      </w:r>
    </w:p>
    <w:p w14:paraId="018D6C6D"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El Servicio de Farmacia dispondrá de los procedimientos normalizados de trabajo y de los correspondientes registros establecidos por la normativa específica vigente.</w:t>
      </w:r>
    </w:p>
    <w:p w14:paraId="2985417B"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Los Servicios de Farmacia Hospitalaria funcionarán en todo momento bajo la responsabilidad de un Farmacéutico Especialista en Farmacia Hospitalaria que asumirá la responsabilidad de la gestión del servicio. Además, deberán estar dotados de cuantos Farmacéuticos Especialistas en Farmacia Hospitalaria sean necesarios para desarrollar en el centro las funciones que esta Ley les atribuye. </w:t>
      </w:r>
    </w:p>
    <w:p w14:paraId="782DC1C8"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Durante el funcionamiento del Servicio de Farmacia se deberá contar con la presencia de al menos un Farmacéutico Especialista en Farmacia Hospitalaria. Se contemplará la posibilidad de presencia telemática siempre que se garantice la disponibilidad de los medios técnicos necesarios para ello.</w:t>
      </w:r>
    </w:p>
    <w:p w14:paraId="0E70008B"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 xml:space="preserve">Los Servicios de Farmacia Hospitalaria dispondrán del personal no farmacéutico suficiente para llevar a cabo las funciones encomendadas al mismo. Dicho personal contará con la titulación requerida para el desempeño de estas funciones. </w:t>
      </w:r>
    </w:p>
    <w:p w14:paraId="79D19F7F" w14:textId="77777777" w:rsidR="00A0455A" w:rsidRDefault="00A0455A" w:rsidP="00A0455A">
      <w:pPr>
        <w:pStyle w:val="Cuerpo"/>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jc w:val="both"/>
        <w:rPr>
          <w:rFonts w:ascii="Calibri" w:eastAsia="Calibri" w:hAnsi="Calibri" w:cs="Calibri"/>
          <w:sz w:val="24"/>
          <w:szCs w:val="24"/>
          <w:u w:color="000000"/>
          <w:shd w:val="clear" w:color="auto" w:fill="FEFFFF"/>
        </w:rPr>
      </w:pPr>
      <w:r>
        <w:rPr>
          <w:rFonts w:ascii="Calibri" w:eastAsia="Calibri" w:hAnsi="Calibri" w:cs="Calibri"/>
          <w:sz w:val="24"/>
          <w:szCs w:val="24"/>
          <w:u w:color="000000"/>
          <w:shd w:val="clear" w:color="auto" w:fill="FEFFFF"/>
        </w:rPr>
        <w:t>La superficie de los servicios será la adecuada para desarrollar las funciones que esta Ley les encomienda y a la actividad asistencial, cartera de servicios y complejidad del hospital. Los servicios tendrán fácil acceso dentro del centro hospitalario para los profesionales sanitarios y los pacientes.</w:t>
      </w:r>
    </w:p>
    <w:p w14:paraId="79E0C484" w14:textId="77777777" w:rsidR="00A0455A" w:rsidRDefault="00A0455A" w:rsidP="00A0455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ind w:left="720"/>
        <w:jc w:val="both"/>
        <w:rPr>
          <w:rFonts w:ascii="Calibri" w:eastAsia="Calibri" w:hAnsi="Calibri" w:cs="Calibri"/>
          <w:sz w:val="24"/>
          <w:szCs w:val="24"/>
          <w:u w:color="000000"/>
          <w:shd w:val="clear" w:color="auto" w:fill="FEFFFF"/>
        </w:rPr>
      </w:pPr>
    </w:p>
    <w:p w14:paraId="2466311E" w14:textId="77777777" w:rsidR="00A0455A" w:rsidRDefault="00A0455A" w:rsidP="005B432A">
      <w:pPr>
        <w:ind w:left="993"/>
        <w:rPr>
          <w:rFonts w:ascii="Calibri" w:hAnsi="Calibri" w:cs="Calibri"/>
          <w:szCs w:val="24"/>
        </w:rPr>
      </w:pPr>
    </w:p>
    <w:p w14:paraId="549344B4" w14:textId="77777777" w:rsidR="00AC3B5B" w:rsidRDefault="00AC3B5B" w:rsidP="00AC3B5B">
      <w:pPr>
        <w:rPr>
          <w:rFonts w:ascii="Calibri" w:hAnsi="Calibri" w:cs="Calibri"/>
          <w:szCs w:val="24"/>
        </w:rPr>
      </w:pPr>
    </w:p>
    <w:p w14:paraId="42CCE4E7" w14:textId="30C11976" w:rsidR="00AC3B5B" w:rsidRDefault="00AC3B5B" w:rsidP="007511D6">
      <w:pPr>
        <w:numPr>
          <w:ilvl w:val="0"/>
          <w:numId w:val="32"/>
        </w:numPr>
        <w:rPr>
          <w:rFonts w:ascii="Calibri" w:hAnsi="Calibri" w:cs="Calibri"/>
          <w:szCs w:val="24"/>
        </w:rPr>
      </w:pPr>
      <w:r>
        <w:rPr>
          <w:rFonts w:ascii="Calibri" w:hAnsi="Calibri" w:cs="Calibri"/>
          <w:szCs w:val="24"/>
        </w:rPr>
        <w:t>Se requier</w:t>
      </w:r>
      <w:r w:rsidR="009F6EB5">
        <w:rPr>
          <w:rFonts w:ascii="Calibri" w:hAnsi="Calibri" w:cs="Calibri"/>
          <w:szCs w:val="24"/>
        </w:rPr>
        <w:t xml:space="preserve">e desarrollar la </w:t>
      </w:r>
      <w:r w:rsidR="008138DC">
        <w:rPr>
          <w:rFonts w:ascii="Calibri" w:hAnsi="Calibri" w:cs="Calibri"/>
          <w:b/>
          <w:bCs/>
          <w:szCs w:val="24"/>
        </w:rPr>
        <w:t>FARMACIA AMBULATORIA</w:t>
      </w:r>
      <w:r w:rsidR="009F6EB5">
        <w:rPr>
          <w:rFonts w:ascii="Calibri" w:hAnsi="Calibri" w:cs="Calibri"/>
          <w:szCs w:val="24"/>
        </w:rPr>
        <w:t xml:space="preserve"> en los Hospitales</w:t>
      </w:r>
      <w:r w:rsidR="00AD3E61">
        <w:rPr>
          <w:rFonts w:ascii="Calibri" w:hAnsi="Calibri" w:cs="Calibri"/>
          <w:szCs w:val="24"/>
        </w:rPr>
        <w:t>.</w:t>
      </w:r>
    </w:p>
    <w:p w14:paraId="5803BA0E" w14:textId="77777777" w:rsidR="00F51D09" w:rsidRDefault="00F51D09" w:rsidP="00F51D09">
      <w:pPr>
        <w:ind w:left="360"/>
        <w:rPr>
          <w:rFonts w:ascii="Calibri" w:hAnsi="Calibri" w:cs="Calibri"/>
          <w:szCs w:val="24"/>
        </w:rPr>
      </w:pPr>
    </w:p>
    <w:p w14:paraId="70428B19" w14:textId="4530325F" w:rsidR="00121CF6" w:rsidRDefault="004F610A" w:rsidP="007511D6">
      <w:pPr>
        <w:numPr>
          <w:ilvl w:val="0"/>
          <w:numId w:val="32"/>
        </w:numPr>
        <w:rPr>
          <w:rFonts w:ascii="Calibri" w:hAnsi="Calibri" w:cs="Calibri"/>
          <w:szCs w:val="24"/>
        </w:rPr>
      </w:pPr>
      <w:r>
        <w:rPr>
          <w:rFonts w:ascii="Calibri" w:hAnsi="Calibri" w:cs="Calibri"/>
          <w:szCs w:val="24"/>
        </w:rPr>
        <w:t xml:space="preserve">Respecto a los Depósitos de Medicamentos, </w:t>
      </w:r>
      <w:r w:rsidR="00B23007">
        <w:rPr>
          <w:rFonts w:ascii="Calibri" w:hAnsi="Calibri" w:cs="Calibri"/>
          <w:szCs w:val="24"/>
        </w:rPr>
        <w:t xml:space="preserve">habría que actualizar el Artículo 6 conforme a las nuevas funciones </w:t>
      </w:r>
      <w:r w:rsidR="00F51D09">
        <w:rPr>
          <w:rFonts w:ascii="Calibri" w:hAnsi="Calibri" w:cs="Calibri"/>
          <w:szCs w:val="24"/>
        </w:rPr>
        <w:t>que se establecerán en los SFH</w:t>
      </w:r>
      <w:r w:rsidR="0047551B">
        <w:rPr>
          <w:rFonts w:ascii="Calibri" w:hAnsi="Calibri" w:cs="Calibri"/>
          <w:szCs w:val="24"/>
        </w:rPr>
        <w:t>.</w:t>
      </w:r>
    </w:p>
    <w:p w14:paraId="70D5EC69" w14:textId="77777777" w:rsidR="00696D3A" w:rsidRDefault="00696D3A" w:rsidP="00353092">
      <w:pPr>
        <w:ind w:left="1418"/>
        <w:rPr>
          <w:rStyle w:val="x42theaderid"/>
          <w:rFonts w:ascii="Calibri" w:hAnsi="Calibri" w:cs="Calibri"/>
          <w:color w:val="313131"/>
          <w:szCs w:val="24"/>
          <w:shd w:val="clear" w:color="auto" w:fill="FFFFFF"/>
        </w:rPr>
      </w:pPr>
      <w:bookmarkStart w:id="0" w:name="ARTICULO1b114f17"/>
    </w:p>
    <w:bookmarkEnd w:id="0"/>
    <w:p w14:paraId="6DED4FC8" w14:textId="1A650A40" w:rsidR="00D43CC5" w:rsidRDefault="00E73B28" w:rsidP="0092683E">
      <w:pPr>
        <w:pStyle w:val="NormalWeb"/>
        <w:numPr>
          <w:ilvl w:val="0"/>
          <w:numId w:val="32"/>
        </w:numPr>
        <w:spacing w:after="45" w:afterAutospacing="0"/>
        <w:jc w:val="both"/>
        <w:rPr>
          <w:rFonts w:ascii="Calibri" w:hAnsi="Calibri" w:cs="Calibri"/>
          <w:color w:val="313131"/>
        </w:rPr>
      </w:pPr>
      <w:r>
        <w:rPr>
          <w:rFonts w:ascii="Calibri" w:hAnsi="Calibri" w:cs="Calibri"/>
          <w:b/>
          <w:bCs/>
          <w:color w:val="313131"/>
        </w:rPr>
        <w:t>No procede</w:t>
      </w:r>
      <w:r w:rsidR="00C177C4">
        <w:rPr>
          <w:rFonts w:ascii="Calibri" w:hAnsi="Calibri" w:cs="Calibri"/>
          <w:b/>
          <w:bCs/>
          <w:color w:val="313131"/>
        </w:rPr>
        <w:t xml:space="preserve"> lo establecido en estos</w:t>
      </w:r>
      <w:r w:rsidR="00AD3E61">
        <w:rPr>
          <w:rFonts w:ascii="Calibri" w:hAnsi="Calibri" w:cs="Calibri"/>
          <w:b/>
          <w:bCs/>
          <w:color w:val="313131"/>
        </w:rPr>
        <w:t xml:space="preserve"> artículos</w:t>
      </w:r>
      <w:r w:rsidR="00677FFB">
        <w:rPr>
          <w:rFonts w:ascii="Calibri" w:hAnsi="Calibri" w:cs="Calibri"/>
          <w:b/>
          <w:bCs/>
          <w:color w:val="313131"/>
        </w:rPr>
        <w:t xml:space="preserve"> del Decreto 243/1992</w:t>
      </w:r>
      <w:r w:rsidR="00677FFB">
        <w:rPr>
          <w:rFonts w:ascii="Calibri" w:hAnsi="Calibri" w:cs="Calibri"/>
          <w:color w:val="313131"/>
        </w:rPr>
        <w:t>:</w:t>
      </w:r>
    </w:p>
    <w:p w14:paraId="081A60AE" w14:textId="6789DFFD" w:rsidR="00677FFB" w:rsidRDefault="00677FFB" w:rsidP="00AB53E7">
      <w:pPr>
        <w:pStyle w:val="NormalWeb"/>
        <w:spacing w:after="45" w:afterAutospacing="0"/>
        <w:ind w:left="567"/>
        <w:jc w:val="both"/>
        <w:rPr>
          <w:rFonts w:ascii="Calibri" w:hAnsi="Calibri" w:cs="Calibri"/>
          <w:i/>
          <w:iCs/>
          <w:color w:val="313131"/>
        </w:rPr>
      </w:pPr>
      <w:r>
        <w:rPr>
          <w:rFonts w:ascii="Calibri" w:hAnsi="Calibri" w:cs="Calibri"/>
          <w:b/>
          <w:bCs/>
          <w:color w:val="313131"/>
        </w:rPr>
        <w:t>Artículo 7</w:t>
      </w:r>
      <w:r>
        <w:rPr>
          <w:rFonts w:ascii="Calibri" w:hAnsi="Calibri" w:cs="Calibri"/>
          <w:b/>
          <w:bCs/>
          <w:i/>
          <w:iCs/>
          <w:color w:val="313131"/>
        </w:rPr>
        <w:t xml:space="preserve">: </w:t>
      </w:r>
      <w:r w:rsidR="00DC512B">
        <w:rPr>
          <w:rFonts w:ascii="Calibri" w:hAnsi="Calibri" w:cs="Calibri"/>
          <w:i/>
          <w:iCs/>
          <w:color w:val="313131"/>
        </w:rPr>
        <w:t xml:space="preserve">Los servicios farmacéuticos de los Hospitales únicamente podrán dispensar medicamentos para su aplicación </w:t>
      </w:r>
      <w:r w:rsidR="00DC512B">
        <w:rPr>
          <w:rFonts w:ascii="Calibri" w:hAnsi="Calibri" w:cs="Calibri"/>
          <w:b/>
          <w:bCs/>
          <w:i/>
          <w:iCs/>
          <w:color w:val="313131"/>
          <w:u w:val="single"/>
        </w:rPr>
        <w:t>en el propio establecimiento</w:t>
      </w:r>
      <w:r w:rsidR="00DC512B">
        <w:rPr>
          <w:rFonts w:ascii="Calibri" w:hAnsi="Calibri" w:cs="Calibri"/>
          <w:i/>
          <w:iCs/>
          <w:color w:val="313131"/>
        </w:rPr>
        <w:t>.</w:t>
      </w:r>
    </w:p>
    <w:p w14:paraId="7352028B" w14:textId="4016AC79" w:rsidR="00C55C93" w:rsidRDefault="00C55C93" w:rsidP="00AB53E7">
      <w:pPr>
        <w:pStyle w:val="NormalWeb"/>
        <w:spacing w:after="45" w:afterAutospacing="0"/>
        <w:ind w:left="567"/>
        <w:jc w:val="both"/>
        <w:rPr>
          <w:rFonts w:ascii="Calibri" w:hAnsi="Calibri" w:cs="Calibri"/>
          <w:b/>
          <w:bCs/>
          <w:i/>
          <w:iCs/>
          <w:color w:val="313131"/>
          <w:u w:val="single"/>
        </w:rPr>
      </w:pPr>
      <w:r>
        <w:rPr>
          <w:rFonts w:ascii="Calibri" w:hAnsi="Calibri" w:cs="Calibri"/>
          <w:b/>
          <w:bCs/>
          <w:color w:val="313131"/>
        </w:rPr>
        <w:t>Artículo 17</w:t>
      </w:r>
      <w:r>
        <w:rPr>
          <w:rFonts w:ascii="Calibri" w:hAnsi="Calibri" w:cs="Calibri"/>
          <w:color w:val="313131"/>
        </w:rPr>
        <w:t xml:space="preserve">.- </w:t>
      </w:r>
      <w:r>
        <w:rPr>
          <w:rFonts w:ascii="Calibri" w:hAnsi="Calibri" w:cs="Calibri"/>
          <w:i/>
          <w:iCs/>
          <w:color w:val="313131"/>
        </w:rPr>
        <w:t xml:space="preserve">Los servicios farmacéuticos a los que se refiere la presente disposición deberán cumplir los siguientes requisitos y condiciones: 1. Disponer de una localización adecuada, </w:t>
      </w:r>
      <w:r>
        <w:rPr>
          <w:rFonts w:ascii="Calibri" w:hAnsi="Calibri" w:cs="Calibri"/>
          <w:b/>
          <w:bCs/>
          <w:i/>
          <w:iCs/>
          <w:color w:val="313131"/>
          <w:u w:val="single"/>
        </w:rPr>
        <w:t>que posibilite el acceso directo desde el exterior del Hospital y ofrezca una buena comunicación con el reato de Servicios del Hospital</w:t>
      </w:r>
      <w:r w:rsidR="008733CB">
        <w:rPr>
          <w:rFonts w:ascii="Calibri" w:hAnsi="Calibri" w:cs="Calibri"/>
          <w:b/>
          <w:bCs/>
          <w:i/>
          <w:iCs/>
          <w:color w:val="313131"/>
          <w:u w:val="single"/>
        </w:rPr>
        <w:t>.</w:t>
      </w:r>
    </w:p>
    <w:p w14:paraId="722CB6A2" w14:textId="1F7BBEE2" w:rsidR="008733CB" w:rsidRDefault="008733CB" w:rsidP="00AB53E7">
      <w:pPr>
        <w:pStyle w:val="NormalWeb"/>
        <w:spacing w:after="45" w:afterAutospacing="0"/>
        <w:ind w:left="567"/>
        <w:jc w:val="both"/>
        <w:rPr>
          <w:rFonts w:ascii="Calibri" w:hAnsi="Calibri" w:cs="Calibri"/>
          <w:color w:val="313131"/>
        </w:rPr>
      </w:pPr>
      <w:r>
        <w:rPr>
          <w:rFonts w:ascii="Calibri" w:hAnsi="Calibri" w:cs="Calibri"/>
          <w:b/>
          <w:bCs/>
          <w:color w:val="313131"/>
        </w:rPr>
        <w:t>Artículo 19</w:t>
      </w:r>
      <w:r>
        <w:rPr>
          <w:rFonts w:ascii="Calibri" w:hAnsi="Calibri" w:cs="Calibri"/>
          <w:color w:val="313131"/>
        </w:rPr>
        <w:t xml:space="preserve">: 1. La creación, modificación o traslado de los Servicios de Farmacia Hospitalaria y Depósitos Hospitalarios de Medicamentos </w:t>
      </w:r>
      <w:r>
        <w:rPr>
          <w:rFonts w:ascii="Calibri" w:hAnsi="Calibri" w:cs="Calibri"/>
          <w:b/>
          <w:bCs/>
          <w:i/>
          <w:iCs/>
          <w:color w:val="313131"/>
          <w:u w:val="single"/>
        </w:rPr>
        <w:t>requerirán una única autorización administrativo-sanitaria de apertura y funcionamiento</w:t>
      </w:r>
      <w:r>
        <w:rPr>
          <w:rFonts w:ascii="Calibri" w:hAnsi="Calibri" w:cs="Calibri"/>
          <w:color w:val="313131"/>
        </w:rPr>
        <w:t xml:space="preserve">, cuyo otorgamiento se determinará en función de que se cumplan los requisitos funcionales, asistenciales y materiales establecidos en el presente Decreto, así como las exigencias de </w:t>
      </w:r>
      <w:r>
        <w:rPr>
          <w:rFonts w:ascii="Calibri" w:hAnsi="Calibri" w:cs="Calibri"/>
          <w:b/>
          <w:bCs/>
          <w:color w:val="313131"/>
          <w:u w:val="single"/>
        </w:rPr>
        <w:t>ordenación sanitaria</w:t>
      </w:r>
      <w:r>
        <w:rPr>
          <w:rFonts w:ascii="Calibri" w:hAnsi="Calibri" w:cs="Calibri"/>
          <w:color w:val="313131"/>
        </w:rPr>
        <w:t xml:space="preserve"> que se establezcan en la Comunidad Autónoma del País Vasco</w:t>
      </w:r>
      <w:r w:rsidR="00597FD6">
        <w:rPr>
          <w:rFonts w:ascii="Calibri" w:hAnsi="Calibri" w:cs="Calibri"/>
          <w:color w:val="313131"/>
        </w:rPr>
        <w:t>.</w:t>
      </w:r>
    </w:p>
    <w:p w14:paraId="26A6513E" w14:textId="16B7ADC5" w:rsidR="004F421B" w:rsidRDefault="004F421B" w:rsidP="00AB53E7">
      <w:pPr>
        <w:pStyle w:val="NormalWeb"/>
        <w:tabs>
          <w:tab w:val="left" w:pos="4111"/>
        </w:tabs>
        <w:spacing w:after="45" w:afterAutospacing="0"/>
        <w:ind w:left="567"/>
        <w:jc w:val="both"/>
        <w:rPr>
          <w:rFonts w:ascii="Calibri" w:hAnsi="Calibri" w:cs="Calibri"/>
          <w:i/>
          <w:iCs/>
          <w:color w:val="313131"/>
        </w:rPr>
      </w:pPr>
      <w:r>
        <w:rPr>
          <w:rFonts w:ascii="Calibri" w:hAnsi="Calibri" w:cs="Calibri"/>
          <w:b/>
          <w:bCs/>
          <w:color w:val="313131"/>
        </w:rPr>
        <w:t>Artículo 22</w:t>
      </w:r>
      <w:r>
        <w:rPr>
          <w:rFonts w:ascii="Calibri" w:hAnsi="Calibri" w:cs="Calibri"/>
          <w:color w:val="313131"/>
        </w:rPr>
        <w:t xml:space="preserve">.-1. </w:t>
      </w:r>
      <w:r>
        <w:rPr>
          <w:rFonts w:ascii="Calibri" w:hAnsi="Calibri" w:cs="Calibri"/>
          <w:i/>
          <w:iCs/>
          <w:color w:val="313131"/>
        </w:rPr>
        <w:t xml:space="preserve">La concesión o denegación de autorizaciones corresponderá al </w:t>
      </w:r>
      <w:r>
        <w:rPr>
          <w:rFonts w:ascii="Calibri" w:hAnsi="Calibri" w:cs="Calibri"/>
          <w:b/>
          <w:bCs/>
          <w:i/>
          <w:iCs/>
          <w:color w:val="313131"/>
          <w:u w:val="single"/>
        </w:rPr>
        <w:t>Viceconsejero de Sanidad</w:t>
      </w:r>
      <w:r>
        <w:rPr>
          <w:rFonts w:ascii="Calibri" w:hAnsi="Calibri" w:cs="Calibri"/>
          <w:i/>
          <w:iCs/>
          <w:color w:val="313131"/>
        </w:rPr>
        <w:t>, de acuerdo con lo expresado en los artículos precedentes</w:t>
      </w:r>
      <w:r w:rsidR="00450287">
        <w:rPr>
          <w:rFonts w:ascii="Calibri" w:hAnsi="Calibri" w:cs="Calibri"/>
          <w:i/>
          <w:iCs/>
          <w:color w:val="313131"/>
        </w:rPr>
        <w:t>.</w:t>
      </w:r>
    </w:p>
    <w:p w14:paraId="440CDEAD" w14:textId="7D2B0A3C" w:rsidR="00450287" w:rsidRDefault="00450287" w:rsidP="00AB53E7">
      <w:pPr>
        <w:pStyle w:val="NormalWeb"/>
        <w:tabs>
          <w:tab w:val="left" w:pos="4111"/>
        </w:tabs>
        <w:spacing w:after="45" w:afterAutospacing="0"/>
        <w:ind w:left="567"/>
        <w:jc w:val="both"/>
        <w:rPr>
          <w:rFonts w:ascii="Calibri" w:hAnsi="Calibri" w:cs="Calibri"/>
          <w:b/>
          <w:bCs/>
          <w:i/>
          <w:iCs/>
          <w:color w:val="313131"/>
          <w:u w:val="single"/>
        </w:rPr>
      </w:pPr>
      <w:r>
        <w:rPr>
          <w:rFonts w:ascii="Calibri" w:hAnsi="Calibri" w:cs="Calibri"/>
          <w:b/>
          <w:bCs/>
          <w:color w:val="313131"/>
        </w:rPr>
        <w:t>Artículo 23</w:t>
      </w:r>
      <w:r>
        <w:rPr>
          <w:rFonts w:ascii="Calibri" w:hAnsi="Calibri" w:cs="Calibri"/>
          <w:color w:val="313131"/>
        </w:rPr>
        <w:t xml:space="preserve">.- </w:t>
      </w:r>
      <w:r>
        <w:rPr>
          <w:rFonts w:ascii="Calibri" w:hAnsi="Calibri" w:cs="Calibri"/>
          <w:i/>
          <w:iCs/>
          <w:color w:val="313131"/>
        </w:rPr>
        <w:t xml:space="preserve">1. Las autorizaciones de apertura y funcionamiento de servicios farmacéuticos de Hospitales caducarán a los cinco años de su concesión. 2. Con carácter previo al transcurso del citado plazo, los Hospitales podrán solicitar la renovación de la autorización, mediante instancia dirigida al </w:t>
      </w:r>
      <w:r>
        <w:rPr>
          <w:rFonts w:ascii="Calibri" w:hAnsi="Calibri" w:cs="Calibri"/>
          <w:b/>
          <w:bCs/>
          <w:i/>
          <w:iCs/>
          <w:color w:val="313131"/>
          <w:u w:val="single"/>
        </w:rPr>
        <w:t>Viceconsejero de Sanidad</w:t>
      </w:r>
      <w:r>
        <w:rPr>
          <w:rFonts w:ascii="Calibri" w:hAnsi="Calibri" w:cs="Calibri"/>
          <w:i/>
          <w:iCs/>
          <w:color w:val="313131"/>
        </w:rPr>
        <w:t xml:space="preserve"> </w:t>
      </w:r>
      <w:r>
        <w:rPr>
          <w:rFonts w:ascii="Calibri" w:hAnsi="Calibri" w:cs="Calibri"/>
          <w:b/>
          <w:bCs/>
          <w:i/>
          <w:iCs/>
          <w:color w:val="313131"/>
          <w:u w:val="single"/>
        </w:rPr>
        <w:t>por la que se declaren subsistente las condiciones originarias que fundamentaron su otorgamiento</w:t>
      </w:r>
      <w:r w:rsidR="00A432FB">
        <w:rPr>
          <w:rFonts w:ascii="Calibri" w:hAnsi="Calibri" w:cs="Calibri"/>
          <w:b/>
          <w:bCs/>
          <w:i/>
          <w:iCs/>
          <w:color w:val="313131"/>
          <w:u w:val="single"/>
        </w:rPr>
        <w:t>.</w:t>
      </w:r>
    </w:p>
    <w:p w14:paraId="71DB6875" w14:textId="77777777" w:rsidR="00CC4DD9" w:rsidRDefault="00CC4DD9" w:rsidP="00AB53E7">
      <w:pPr>
        <w:pStyle w:val="NormalWeb"/>
        <w:tabs>
          <w:tab w:val="left" w:pos="4111"/>
        </w:tabs>
        <w:spacing w:after="45" w:afterAutospacing="0"/>
        <w:ind w:left="567"/>
        <w:jc w:val="both"/>
        <w:rPr>
          <w:rFonts w:ascii="Calibri" w:hAnsi="Calibri" w:cs="Calibri"/>
          <w:b/>
          <w:bCs/>
          <w:i/>
          <w:iCs/>
          <w:color w:val="313131"/>
          <w:u w:val="single"/>
        </w:rPr>
      </w:pPr>
    </w:p>
    <w:p w14:paraId="7B3FAB73" w14:textId="06FED675" w:rsidR="00182B12" w:rsidRPr="00363964" w:rsidRDefault="00182B12" w:rsidP="00182B12">
      <w:pPr>
        <w:numPr>
          <w:ilvl w:val="0"/>
          <w:numId w:val="38"/>
        </w:numPr>
        <w:ind w:left="567" w:hanging="567"/>
        <w:jc w:val="both"/>
        <w:rPr>
          <w:rFonts w:ascii="Calibri" w:hAnsi="Calibri" w:cs="Calibri"/>
          <w:szCs w:val="24"/>
        </w:rPr>
      </w:pPr>
      <w:r w:rsidRPr="00363964">
        <w:rPr>
          <w:rFonts w:ascii="Calibri" w:hAnsi="Calibri" w:cs="Calibri"/>
          <w:szCs w:val="24"/>
        </w:rPr>
        <w:t xml:space="preserve">Se requiere desarrollar </w:t>
      </w:r>
      <w:r>
        <w:rPr>
          <w:rFonts w:ascii="Calibri" w:hAnsi="Calibri" w:cs="Calibri"/>
          <w:b/>
          <w:bCs/>
          <w:color w:val="313131"/>
          <w:u w:val="single"/>
        </w:rPr>
        <w:t xml:space="preserve">el procedimiento de </w:t>
      </w:r>
      <w:r w:rsidR="00C27E5F">
        <w:rPr>
          <w:rFonts w:ascii="Calibri" w:hAnsi="Calibri" w:cs="Calibri"/>
          <w:b/>
          <w:bCs/>
          <w:color w:val="313131"/>
          <w:u w:val="single"/>
        </w:rPr>
        <w:t>creación y funcionamiento de los SFH y DHM</w:t>
      </w:r>
      <w:r w:rsidRPr="00363964">
        <w:rPr>
          <w:rFonts w:ascii="Calibri" w:hAnsi="Calibri" w:cs="Calibri"/>
          <w:szCs w:val="24"/>
        </w:rPr>
        <w:t xml:space="preserve"> </w:t>
      </w:r>
    </w:p>
    <w:p w14:paraId="7EECCB60" w14:textId="77777777" w:rsidR="00360ECA" w:rsidRDefault="00360ECA" w:rsidP="00AB53E7">
      <w:pPr>
        <w:pStyle w:val="NormalWeb"/>
        <w:tabs>
          <w:tab w:val="left" w:pos="4111"/>
        </w:tabs>
        <w:spacing w:after="45" w:afterAutospacing="0"/>
        <w:ind w:left="567"/>
        <w:jc w:val="both"/>
        <w:rPr>
          <w:rFonts w:ascii="Calibri" w:hAnsi="Calibri" w:cs="Calibri"/>
          <w:b/>
          <w:bCs/>
          <w:i/>
          <w:iCs/>
          <w:color w:val="313131"/>
          <w:u w:val="single"/>
        </w:rPr>
      </w:pPr>
    </w:p>
    <w:p w14:paraId="74F0CDF9" w14:textId="3679E573" w:rsidR="00363964" w:rsidRPr="00363964" w:rsidRDefault="00FF5D74" w:rsidP="00770086">
      <w:pPr>
        <w:numPr>
          <w:ilvl w:val="0"/>
          <w:numId w:val="38"/>
        </w:numPr>
        <w:ind w:left="567" w:hanging="567"/>
        <w:jc w:val="both"/>
        <w:rPr>
          <w:rFonts w:ascii="Calibri" w:hAnsi="Calibri" w:cs="Calibri"/>
          <w:szCs w:val="24"/>
        </w:rPr>
      </w:pPr>
      <w:r>
        <w:rPr>
          <w:rFonts w:ascii="Calibri" w:hAnsi="Calibri" w:cs="Calibri"/>
          <w:szCs w:val="24"/>
        </w:rPr>
        <w:t>Asimismo, sería oportuno el</w:t>
      </w:r>
      <w:r w:rsidR="00363964" w:rsidRPr="00363964">
        <w:rPr>
          <w:rFonts w:ascii="Calibri" w:hAnsi="Calibri" w:cs="Calibri"/>
          <w:szCs w:val="24"/>
        </w:rPr>
        <w:t xml:space="preserve"> desarrollar </w:t>
      </w:r>
      <w:r w:rsidR="00363964" w:rsidRPr="002E1439">
        <w:rPr>
          <w:rFonts w:ascii="Calibri" w:hAnsi="Calibri" w:cs="Calibri"/>
          <w:b/>
          <w:bCs/>
          <w:color w:val="313131"/>
          <w:u w:val="single"/>
        </w:rPr>
        <w:t>U84 – DEPÓSITO DE MEDICAMENTOS</w:t>
      </w:r>
      <w:r w:rsidR="00363964" w:rsidRPr="00363964">
        <w:rPr>
          <w:rFonts w:ascii="Calibri" w:hAnsi="Calibri" w:cs="Calibri"/>
          <w:szCs w:val="24"/>
        </w:rPr>
        <w:t xml:space="preserve"> en los </w:t>
      </w:r>
      <w:r w:rsidR="00770086">
        <w:rPr>
          <w:rFonts w:ascii="Calibri" w:hAnsi="Calibri" w:cs="Calibri"/>
          <w:szCs w:val="24"/>
        </w:rPr>
        <w:t>establecimientos sanitarios</w:t>
      </w:r>
    </w:p>
    <w:p w14:paraId="6ACC54E1" w14:textId="5DDC586D" w:rsidR="009D52A4" w:rsidRDefault="003925E1" w:rsidP="00770086">
      <w:pPr>
        <w:pStyle w:val="NormalWeb"/>
        <w:tabs>
          <w:tab w:val="left" w:pos="4111"/>
        </w:tabs>
        <w:spacing w:after="45" w:afterAutospacing="0"/>
        <w:ind w:left="567"/>
        <w:jc w:val="both"/>
        <w:rPr>
          <w:rFonts w:ascii="Calibri" w:hAnsi="Calibri" w:cs="Calibri"/>
          <w:b/>
          <w:bCs/>
          <w:color w:val="313131"/>
          <w:u w:val="single"/>
        </w:rPr>
      </w:pPr>
      <w:r>
        <w:rPr>
          <w:rFonts w:ascii="Calibri" w:hAnsi="Calibri" w:cs="Calibri"/>
        </w:rPr>
        <w:t xml:space="preserve">La unidad asistencial de Depósito de Medicamentos (U.84) está definida en el anexo II del Real Decreto 1277/2003, de 10 de octubre, por el que se establecen las bases generales sobre autorización de centros, servicios y establecimientos sanitarios, como “unidad asistencial, dependiente de una oficina o servicio de farmacia, en la que se conservan y dispensan medicamentos a los pacientes atendidos en el centro en el que está ubicada.” Por lo tanto, las autorizaciones necesarias para su funcionamiento son las mismas que rigen para los centros sanitarios, que en </w:t>
      </w:r>
      <w:r w:rsidR="00E05102">
        <w:rPr>
          <w:rFonts w:ascii="Calibri" w:hAnsi="Calibri" w:cs="Calibri"/>
        </w:rPr>
        <w:t xml:space="preserve">Euskadi </w:t>
      </w:r>
      <w:hyperlink r:id="rId11" w:tgtFrame="_blank" w:tooltip="DECRETO 31/2006, de 21 de febrero, de autorización de centros, servicios y establecimientos sanitarios" w:history="1">
        <w:r w:rsidR="00E05102">
          <w:rPr>
            <w:rStyle w:val="Hipervnculo"/>
            <w:rFonts w:ascii="Open Sans" w:hAnsi="Open Sans" w:cs="Open Sans"/>
            <w:b/>
            <w:bCs/>
            <w:color w:val="1472A4"/>
            <w:spacing w:val="-10"/>
            <w:shd w:val="clear" w:color="auto" w:fill="FFFFFF"/>
          </w:rPr>
          <w:t>DECRETO 31/2006, de 21 de febrero, de autorización de centros, servicios y establecimientos sanitarios</w:t>
        </w:r>
      </w:hyperlink>
      <w:r w:rsidR="00E05102">
        <w:t>.</w:t>
      </w:r>
    </w:p>
    <w:p w14:paraId="300C1352" w14:textId="77777777" w:rsidR="003B7A02" w:rsidRDefault="003B7A02" w:rsidP="00AB53E7">
      <w:pPr>
        <w:pStyle w:val="NormalWeb"/>
        <w:tabs>
          <w:tab w:val="left" w:pos="4111"/>
        </w:tabs>
        <w:spacing w:after="45" w:afterAutospacing="0"/>
        <w:ind w:left="567"/>
        <w:jc w:val="both"/>
        <w:rPr>
          <w:rFonts w:ascii="Calibri" w:hAnsi="Calibri" w:cs="Calibri"/>
          <w:color w:val="313131"/>
        </w:rPr>
      </w:pPr>
    </w:p>
    <w:p w14:paraId="7E3AFF0E" w14:textId="77777777" w:rsidR="00BC50F4" w:rsidRDefault="00BC50F4" w:rsidP="00407090">
      <w:pPr>
        <w:shd w:val="clear" w:color="auto" w:fill="FFFFFF"/>
        <w:spacing w:before="100" w:beforeAutospacing="1" w:after="45"/>
        <w:ind w:left="1418"/>
        <w:jc w:val="both"/>
        <w:rPr>
          <w:rFonts w:ascii="Calibri" w:hAnsi="Calibri" w:cs="Calibri"/>
          <w:b/>
          <w:bCs/>
          <w:iCs/>
          <w:color w:val="313131"/>
          <w:szCs w:val="24"/>
          <w:lang w:val="es-ES" w:eastAsia="es-ES"/>
        </w:rPr>
      </w:pPr>
    </w:p>
    <w:p w14:paraId="61AD29FE" w14:textId="77777777" w:rsidR="00797219" w:rsidRDefault="00797219" w:rsidP="00797219">
      <w:pPr>
        <w:rPr>
          <w:rFonts w:ascii="Calibri" w:hAnsi="Calibri" w:cs="Calibri"/>
          <w:iCs/>
          <w:szCs w:val="24"/>
        </w:rPr>
      </w:pPr>
    </w:p>
    <w:p w14:paraId="703B84CF" w14:textId="77777777" w:rsidR="00941A0F" w:rsidRDefault="00941A0F" w:rsidP="00941A0F">
      <w:pPr>
        <w:pStyle w:val="Textoindependiente"/>
        <w:ind w:left="1418"/>
        <w:jc w:val="both"/>
        <w:rPr>
          <w:rFonts w:ascii="Calibri" w:hAnsi="Calibri" w:cs="Calibri"/>
          <w:b/>
          <w:bCs/>
          <w:iCs/>
          <w:sz w:val="24"/>
          <w:szCs w:val="24"/>
        </w:rPr>
      </w:pPr>
    </w:p>
    <w:p w14:paraId="29ED908E" w14:textId="77777777" w:rsidR="000961CC" w:rsidRDefault="000961CC" w:rsidP="00941A0F">
      <w:pPr>
        <w:ind w:left="1418"/>
        <w:jc w:val="both"/>
        <w:rPr>
          <w:rFonts w:ascii="Calibri" w:hAnsi="Calibri" w:cs="Calibri"/>
          <w:b/>
          <w:bCs/>
          <w:iCs/>
          <w:szCs w:val="24"/>
        </w:rPr>
      </w:pPr>
    </w:p>
    <w:sectPr w:rsidR="000961CC" w:rsidSect="00263DD6">
      <w:headerReference w:type="default" r:id="rId12"/>
      <w:headerReference w:type="first" r:id="rId13"/>
      <w:footerReference w:type="first" r:id="rId14"/>
      <w:pgSz w:w="11907" w:h="16840" w:code="9"/>
      <w:pgMar w:top="1418" w:right="1701" w:bottom="1418" w:left="1701" w:header="720" w:footer="79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71BE" w14:textId="77777777" w:rsidR="00B752FD" w:rsidRDefault="00B752FD">
      <w:r>
        <w:separator/>
      </w:r>
    </w:p>
  </w:endnote>
  <w:endnote w:type="continuationSeparator" w:id="0">
    <w:p w14:paraId="219BB212" w14:textId="77777777" w:rsidR="00B752FD" w:rsidRDefault="00B7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1CD2" w14:textId="77777777" w:rsidR="002A546E" w:rsidRDefault="002A546E" w:rsidP="2F78FB91">
    <w:pPr>
      <w:pStyle w:val="Piedepgina"/>
      <w:tabs>
        <w:tab w:val="clear" w:pos="4819"/>
        <w:tab w:val="clear" w:pos="9071"/>
        <w:tab w:val="center" w:pos="4253"/>
      </w:tabs>
      <w:rPr>
        <w:rFonts w:ascii="Arial" w:hAnsi="Arial"/>
        <w:sz w:val="13"/>
        <w:szCs w:val="13"/>
        <w:lang w:val="es-ES"/>
      </w:rPr>
    </w:pPr>
    <w:r>
      <w:rPr>
        <w:rFonts w:ascii="Arial" w:hAnsi="Arial"/>
        <w:sz w:val="13"/>
      </w:rPr>
      <w:tab/>
    </w:r>
    <w:r w:rsidR="2F78FB91" w:rsidRPr="2F78FB91">
      <w:rPr>
        <w:rFonts w:ascii="Arial" w:hAnsi="Arial"/>
        <w:sz w:val="13"/>
        <w:szCs w:val="13"/>
        <w:lang w:val="es-ES"/>
      </w:rPr>
      <w:t>Donostia - San Sebastian, 1 –  01010 VITORIA-GASTEIZ</w:t>
    </w:r>
  </w:p>
  <w:p w14:paraId="3F8471EA" w14:textId="3670C09E" w:rsidR="002A546E" w:rsidRDefault="2F78FB91" w:rsidP="2F78FB91">
    <w:pPr>
      <w:pStyle w:val="Piedepgina"/>
      <w:tabs>
        <w:tab w:val="clear" w:pos="9071"/>
      </w:tabs>
      <w:jc w:val="center"/>
      <w:rPr>
        <w:rFonts w:ascii="Arial" w:hAnsi="Arial"/>
        <w:sz w:val="13"/>
        <w:szCs w:val="13"/>
        <w:lang w:val="es-ES"/>
      </w:rPr>
    </w:pPr>
    <w:r w:rsidRPr="2F78FB91">
      <w:rPr>
        <w:rFonts w:ascii="Arial" w:hAnsi="Arial"/>
        <w:sz w:val="13"/>
        <w:szCs w:val="13"/>
        <w:lang w:val="es-ES"/>
      </w:rPr>
      <w:t>Tfno. 945 01 92 69 – Fax 945 01 92 00 – E-mail: ordfarma-san@euskadi.eus</w:t>
    </w:r>
  </w:p>
  <w:p w14:paraId="5712FEBD" w14:textId="77777777" w:rsidR="002A546E" w:rsidRDefault="002A546E">
    <w:pPr>
      <w:pStyle w:val="Piedepgina"/>
      <w:tabs>
        <w:tab w:val="clear" w:pos="9071"/>
      </w:tabs>
      <w:jc w:val="center"/>
      <w:rPr>
        <w:rFonts w:ascii="Arial" w:hAnsi="Arial"/>
        <w:sz w:val="13"/>
      </w:rPr>
    </w:pPr>
    <w:r>
      <w:rPr>
        <w:rFonts w:ascii="Arial" w:hAnsi="Arial"/>
        <w:sz w:val="13"/>
      </w:rPr>
      <w:t>SOF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46F6" w14:textId="77777777" w:rsidR="00B752FD" w:rsidRDefault="00B752FD">
      <w:r>
        <w:separator/>
      </w:r>
    </w:p>
  </w:footnote>
  <w:footnote w:type="continuationSeparator" w:id="0">
    <w:p w14:paraId="2F1944AB" w14:textId="77777777" w:rsidR="00B752FD" w:rsidRDefault="00B7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E3BC" w14:textId="3FA441EE" w:rsidR="002A546E" w:rsidRDefault="002A546E" w:rsidP="00792F5D">
    <w:pPr>
      <w:pStyle w:val="Encabezado"/>
      <w:tabs>
        <w:tab w:val="right" w:pos="9923"/>
      </w:tabs>
      <w:ind w:right="-142"/>
      <w:jc w:val="center"/>
      <w:rPr>
        <w:rFonts w:ascii="Arial" w:hAnsi="Arial"/>
        <w:sz w:val="16"/>
      </w:rPr>
    </w:pPr>
    <w:r>
      <w:rPr>
        <w:rFonts w:ascii="Arial" w:hAnsi="Arial"/>
        <w:noProof/>
        <w:sz w:val="16"/>
      </w:rPr>
      <w:object w:dxaOrig="18028" w:dyaOrig="2235" w14:anchorId="28FF0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45pt;height:36.9pt" fillcolor="window">
          <v:imagedata r:id="rId1" o:title=""/>
        </v:shape>
        <o:OLEObject Type="Embed" ProgID="MSPhotoEd.3" ShapeID="_x0000_i1025" DrawAspect="Content" ObjectID="_1799133901" r:id="rId2"/>
      </w:object>
    </w:r>
  </w:p>
  <w:p w14:paraId="36BC8E72" w14:textId="77777777" w:rsidR="002A546E" w:rsidRDefault="002A546E" w:rsidP="00792F5D">
    <w:pPr>
      <w:pStyle w:val="Encabezado"/>
      <w:tabs>
        <w:tab w:val="right" w:pos="9923"/>
      </w:tabs>
      <w:ind w:right="-142"/>
      <w:jc w:val="cent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1B4C" w14:textId="56C48FDA" w:rsidR="002A546E" w:rsidRDefault="00000000" w:rsidP="006141C1">
    <w:pPr>
      <w:pStyle w:val="Encabezado"/>
      <w:tabs>
        <w:tab w:val="right" w:pos="9923"/>
      </w:tabs>
      <w:ind w:right="-142"/>
      <w:jc w:val="center"/>
      <w:rPr>
        <w:rFonts w:ascii="Arial" w:hAnsi="Arial"/>
        <w:sz w:val="16"/>
      </w:rPr>
    </w:pPr>
    <w:r>
      <w:rPr>
        <w:noProof/>
      </w:rPr>
      <w:pict w14:anchorId="0615CBEF">
        <v:shapetype id="_x0000_t202" coordsize="21600,21600" o:spt="202" path="m,l,21600r21600,l21600,xe">
          <v:stroke joinstyle="miter"/>
          <v:path gradientshapeok="t" o:connecttype="rect"/>
        </v:shapetype>
        <v:shape id="Cuadro de texto 2" o:spid="_x0000_s1025" type="#_x0000_t202" style="position:absolute;left:0;text-align:left;margin-left:156pt;margin-top:60pt;width:139.25pt;height:44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lwvAIAAMc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" o:allowincell="f" filled="f" stroked="f">
          <v:textbox style="mso-next-textbox:#Cuadro de texto 2">
            <w:txbxContent>
              <w:p w14:paraId="20A83AE4" w14:textId="77777777" w:rsidR="002A546E" w:rsidRDefault="002A546E" w:rsidP="006141C1">
                <w:pPr>
                  <w:pStyle w:val="Ttulo2"/>
                  <w:spacing w:after="40"/>
                </w:pPr>
                <w:r>
                  <w:t>OSASUN SAILA</w:t>
                </w:r>
              </w:p>
              <w:p w14:paraId="70E80BA6" w14:textId="77777777" w:rsidR="002A546E" w:rsidRDefault="002A546E" w:rsidP="006141C1">
                <w:pPr>
                  <w:spacing w:after="20"/>
                  <w:rPr>
                    <w:rFonts w:ascii="Arial" w:hAnsi="Arial"/>
                    <w:sz w:val="14"/>
                  </w:rPr>
                </w:pPr>
                <w:r>
                  <w:rPr>
                    <w:rFonts w:ascii="Arial" w:hAnsi="Arial"/>
                    <w:sz w:val="14"/>
                  </w:rPr>
                  <w:t>Administrazio eta Finantzaketa Sanitarioko Sailburuordetza</w:t>
                </w:r>
              </w:p>
              <w:p w14:paraId="1113E2CF" w14:textId="77777777" w:rsidR="002A546E" w:rsidRDefault="002A546E" w:rsidP="006141C1">
                <w:pPr>
                  <w:pStyle w:val="Ttulo4"/>
                  <w:spacing w:before="0"/>
                </w:pPr>
                <w:r>
                  <w:t>Farmaziako Zuzendaritza</w:t>
                </w:r>
              </w:p>
            </w:txbxContent>
          </v:textbox>
          <w10:wrap type="square" anchorx="page" anchory="page"/>
        </v:shape>
      </w:pict>
    </w:r>
    <w:r w:rsidR="002A546E">
      <w:rPr>
        <w:rFonts w:ascii="Arial" w:hAnsi="Arial"/>
        <w:noProof/>
        <w:sz w:val="16"/>
      </w:rPr>
      <w:object w:dxaOrig="18028" w:dyaOrig="2235" w14:anchorId="5AFF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45pt;height:36.9pt" fillcolor="window">
          <v:imagedata r:id="rId1" o:title=""/>
        </v:shape>
        <o:OLEObject Type="Embed" ProgID="MSPhotoEd.3" ShapeID="_x0000_i1026" DrawAspect="Content" ObjectID="_1799133902" r:id="rId2"/>
      </w:object>
    </w:r>
  </w:p>
  <w:p w14:paraId="24C1FB24" w14:textId="77777777" w:rsidR="002A546E" w:rsidRDefault="002A546E" w:rsidP="006141C1">
    <w:pPr>
      <w:pStyle w:val="Encabezado"/>
      <w:tabs>
        <w:tab w:val="right" w:pos="9923"/>
      </w:tabs>
      <w:ind w:right="-142"/>
      <w:jc w:val="center"/>
      <w:rPr>
        <w:rFonts w:ascii="Arial" w:hAnsi="Arial"/>
        <w:sz w:val="16"/>
      </w:rPr>
    </w:pPr>
  </w:p>
  <w:p w14:paraId="40CC6753" w14:textId="32ED5AE3" w:rsidR="002A546E" w:rsidRDefault="00000000" w:rsidP="006141C1">
    <w:pPr>
      <w:pStyle w:val="Encabezado"/>
      <w:tabs>
        <w:tab w:val="right" w:pos="9923"/>
      </w:tabs>
      <w:ind w:right="-142"/>
      <w:jc w:val="center"/>
      <w:rPr>
        <w:rFonts w:ascii="Arial" w:hAnsi="Arial"/>
        <w:sz w:val="16"/>
      </w:rPr>
    </w:pPr>
    <w:r>
      <w:rPr>
        <w:noProof/>
      </w:rPr>
      <w:pict w14:anchorId="0D3D53F0">
        <v:shape id="Cuadro de texto 1" o:spid="_x0000_s1026" type="#_x0000_t202" style="position:absolute;left:0;text-align:left;margin-left:321.75pt;margin-top:60pt;width:146.25pt;height:44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" o:allowincell="f" filled="f" stroked="f">
          <v:textbox style="mso-next-textbox:#Cuadro de texto 1">
            <w:txbxContent>
              <w:p w14:paraId="2A8D1701" w14:textId="77777777" w:rsidR="002A546E" w:rsidRDefault="002A546E" w:rsidP="006141C1">
                <w:pPr>
                  <w:pStyle w:val="Ttulo2"/>
                  <w:spacing w:after="40"/>
                </w:pPr>
                <w:r>
                  <w:t>DEPARTAMENTO DE SALUD</w:t>
                </w:r>
              </w:p>
              <w:p w14:paraId="01B85BF5" w14:textId="77777777" w:rsidR="002A546E" w:rsidRDefault="002A546E" w:rsidP="006141C1">
                <w:pPr>
                  <w:spacing w:after="20"/>
                  <w:rPr>
                    <w:rFonts w:ascii="Arial" w:hAnsi="Arial"/>
                    <w:sz w:val="14"/>
                  </w:rPr>
                </w:pPr>
                <w:r>
                  <w:rPr>
                    <w:rFonts w:ascii="Arial" w:hAnsi="Arial"/>
                    <w:sz w:val="14"/>
                  </w:rPr>
                  <w:t>Viceconsejería de Administración y Financiación Sanitarias</w:t>
                </w:r>
              </w:p>
              <w:p w14:paraId="18AC6A46" w14:textId="77777777" w:rsidR="002A546E" w:rsidRDefault="002A546E" w:rsidP="006141C1">
                <w:pPr>
                  <w:pStyle w:val="Ttulo4"/>
                  <w:spacing w:before="0"/>
                </w:pPr>
                <w:r>
                  <w:t>Dirección de Farmacia</w:t>
                </w:r>
              </w:p>
            </w:txbxContent>
          </v:textbox>
          <w10:wrap type="square" anchorx="page" anchory="page"/>
        </v:shape>
      </w:pict>
    </w:r>
  </w:p>
  <w:p w14:paraId="7CA4AD6C" w14:textId="77777777" w:rsidR="002A546E" w:rsidRDefault="002A546E" w:rsidP="006141C1">
    <w:pPr>
      <w:pStyle w:val="Encabezado"/>
      <w:tabs>
        <w:tab w:val="right" w:pos="9923"/>
      </w:tabs>
      <w:ind w:right="-142"/>
      <w:jc w:val="center"/>
      <w:rPr>
        <w:rFonts w:ascii="Arial" w:hAnsi="Arial"/>
        <w:sz w:val="16"/>
      </w:rPr>
    </w:pPr>
  </w:p>
  <w:p w14:paraId="549DF302" w14:textId="77777777" w:rsidR="002A546E" w:rsidRDefault="002A546E" w:rsidP="006141C1">
    <w:pPr>
      <w:pStyle w:val="Encabezado"/>
      <w:tabs>
        <w:tab w:val="right" w:pos="9923"/>
      </w:tabs>
      <w:ind w:right="-142"/>
      <w:jc w:val="center"/>
      <w:rPr>
        <w:rFonts w:ascii="Arial" w:hAnsi="Arial"/>
        <w:sz w:val="16"/>
      </w:rPr>
    </w:pPr>
  </w:p>
  <w:p w14:paraId="4A80676C" w14:textId="77777777" w:rsidR="002A546E" w:rsidRDefault="002A546E" w:rsidP="006141C1">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4B80"/>
    <w:multiLevelType w:val="hybridMultilevel"/>
    <w:tmpl w:val="FFBC950E"/>
    <w:lvl w:ilvl="0" w:tplc="7FFED1E6">
      <w:start w:val="6"/>
      <w:numFmt w:val="bullet"/>
      <w:lvlText w:val="-"/>
      <w:lvlJc w:val="left"/>
      <w:pPr>
        <w:ind w:left="1065" w:hanging="360"/>
      </w:pPr>
      <w:rPr>
        <w:rFonts w:ascii="Verdana" w:eastAsia="Times New Roman" w:hAnsi="Verdana"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0B33575E"/>
    <w:multiLevelType w:val="hybridMultilevel"/>
    <w:tmpl w:val="F808D130"/>
    <w:lvl w:ilvl="0" w:tplc="0C0A000B">
      <w:start w:val="1"/>
      <w:numFmt w:val="bullet"/>
      <w:lvlText w:val=""/>
      <w:lvlJc w:val="left"/>
      <w:pPr>
        <w:tabs>
          <w:tab w:val="num" w:pos="795"/>
        </w:tabs>
        <w:ind w:left="795" w:hanging="360"/>
      </w:pPr>
      <w:rPr>
        <w:rFonts w:ascii="Wingdings" w:hAnsi="Wingdings" w:hint="default"/>
      </w:rPr>
    </w:lvl>
    <w:lvl w:ilvl="1" w:tplc="0C0A0003">
      <w:start w:val="1"/>
      <w:numFmt w:val="bullet"/>
      <w:lvlText w:val="o"/>
      <w:lvlJc w:val="left"/>
      <w:pPr>
        <w:tabs>
          <w:tab w:val="num" w:pos="1515"/>
        </w:tabs>
        <w:ind w:left="1515" w:hanging="360"/>
      </w:pPr>
      <w:rPr>
        <w:rFonts w:ascii="Courier New" w:hAnsi="Courier New" w:cs="Courier New" w:hint="default"/>
      </w:rPr>
    </w:lvl>
    <w:lvl w:ilvl="2" w:tplc="0C0A0005">
      <w:start w:val="1"/>
      <w:numFmt w:val="bullet"/>
      <w:lvlText w:val=""/>
      <w:lvlJc w:val="left"/>
      <w:pPr>
        <w:tabs>
          <w:tab w:val="num" w:pos="2235"/>
        </w:tabs>
        <w:ind w:left="2235" w:hanging="360"/>
      </w:pPr>
      <w:rPr>
        <w:rFonts w:ascii="Wingdings" w:hAnsi="Wingdings" w:hint="default"/>
      </w:rPr>
    </w:lvl>
    <w:lvl w:ilvl="3" w:tplc="0C0A0001">
      <w:start w:val="1"/>
      <w:numFmt w:val="bullet"/>
      <w:lvlText w:val=""/>
      <w:lvlJc w:val="left"/>
      <w:pPr>
        <w:tabs>
          <w:tab w:val="num" w:pos="2955"/>
        </w:tabs>
        <w:ind w:left="2955" w:hanging="360"/>
      </w:pPr>
      <w:rPr>
        <w:rFonts w:ascii="Symbol" w:hAnsi="Symbol" w:hint="default"/>
      </w:rPr>
    </w:lvl>
    <w:lvl w:ilvl="4" w:tplc="0C0A0003">
      <w:start w:val="1"/>
      <w:numFmt w:val="bullet"/>
      <w:lvlText w:val="o"/>
      <w:lvlJc w:val="left"/>
      <w:pPr>
        <w:tabs>
          <w:tab w:val="num" w:pos="3675"/>
        </w:tabs>
        <w:ind w:left="3675" w:hanging="360"/>
      </w:pPr>
      <w:rPr>
        <w:rFonts w:ascii="Courier New" w:hAnsi="Courier New" w:cs="Courier New" w:hint="default"/>
      </w:rPr>
    </w:lvl>
    <w:lvl w:ilvl="5" w:tplc="0C0A0005">
      <w:start w:val="1"/>
      <w:numFmt w:val="bullet"/>
      <w:lvlText w:val=""/>
      <w:lvlJc w:val="left"/>
      <w:pPr>
        <w:tabs>
          <w:tab w:val="num" w:pos="4395"/>
        </w:tabs>
        <w:ind w:left="4395" w:hanging="360"/>
      </w:pPr>
      <w:rPr>
        <w:rFonts w:ascii="Wingdings" w:hAnsi="Wingdings" w:hint="default"/>
      </w:rPr>
    </w:lvl>
    <w:lvl w:ilvl="6" w:tplc="0C0A0001">
      <w:start w:val="1"/>
      <w:numFmt w:val="bullet"/>
      <w:lvlText w:val=""/>
      <w:lvlJc w:val="left"/>
      <w:pPr>
        <w:tabs>
          <w:tab w:val="num" w:pos="5115"/>
        </w:tabs>
        <w:ind w:left="5115" w:hanging="360"/>
      </w:pPr>
      <w:rPr>
        <w:rFonts w:ascii="Symbol" w:hAnsi="Symbol" w:hint="default"/>
      </w:rPr>
    </w:lvl>
    <w:lvl w:ilvl="7" w:tplc="0C0A0003">
      <w:start w:val="1"/>
      <w:numFmt w:val="bullet"/>
      <w:lvlText w:val="o"/>
      <w:lvlJc w:val="left"/>
      <w:pPr>
        <w:tabs>
          <w:tab w:val="num" w:pos="5835"/>
        </w:tabs>
        <w:ind w:left="5835" w:hanging="360"/>
      </w:pPr>
      <w:rPr>
        <w:rFonts w:ascii="Courier New" w:hAnsi="Courier New" w:cs="Courier New" w:hint="default"/>
      </w:rPr>
    </w:lvl>
    <w:lvl w:ilvl="8" w:tplc="0C0A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C181CA1"/>
    <w:multiLevelType w:val="hybridMultilevel"/>
    <w:tmpl w:val="2E247EBE"/>
    <w:lvl w:ilvl="0"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rPr>
    </w:lvl>
    <w:lvl w:ilvl="1"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rPr>
    </w:lvl>
    <w:lvl w:ilvl="2" w:tplc="0C0A000F">
      <w:start w:val="1"/>
      <w:numFmt w:val="decimal"/>
      <w:lvlText w:val="%3."/>
      <w:lvlJc w:val="left"/>
      <w:pPr>
        <w:ind w:left="840" w:hanging="360"/>
      </w:pPr>
    </w:lvl>
    <w:lvl w:ilvl="3"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rPr>
    </w:lvl>
    <w:lvl w:ilvl="4"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rPr>
    </w:lvl>
    <w:lvl w:ilvl="5" w:tplc="FFFFFFFF">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rPr>
    </w:lvl>
    <w:lvl w:ilvl="6"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rPr>
    </w:lvl>
    <w:lvl w:ilvl="7"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rPr>
    </w:lvl>
    <w:lvl w:ilvl="8" w:tplc="FFFFFFFF">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rPr>
    </w:lvl>
  </w:abstractNum>
  <w:abstractNum w:abstractNumId="3" w15:restartNumberingAfterBreak="0">
    <w:nsid w:val="13292EF3"/>
    <w:multiLevelType w:val="hybridMultilevel"/>
    <w:tmpl w:val="7E3A1E16"/>
    <w:lvl w:ilvl="0" w:tplc="F7563420">
      <w:numFmt w:val="bullet"/>
      <w:lvlText w:val="-"/>
      <w:lvlJc w:val="left"/>
      <w:pPr>
        <w:ind w:left="1854" w:hanging="360"/>
      </w:pPr>
      <w:rPr>
        <w:rFonts w:ascii="Verdana" w:eastAsia="Times New Roman" w:hAnsi="Verdana" w:cs="Times New Roman" w:hint="default"/>
      </w:rPr>
    </w:lvl>
    <w:lvl w:ilvl="1" w:tplc="042D0003" w:tentative="1">
      <w:start w:val="1"/>
      <w:numFmt w:val="bullet"/>
      <w:lvlText w:val="o"/>
      <w:lvlJc w:val="left"/>
      <w:pPr>
        <w:ind w:left="2574" w:hanging="360"/>
      </w:pPr>
      <w:rPr>
        <w:rFonts w:ascii="Courier New" w:hAnsi="Courier New" w:cs="Courier New" w:hint="default"/>
      </w:rPr>
    </w:lvl>
    <w:lvl w:ilvl="2" w:tplc="042D0005" w:tentative="1">
      <w:start w:val="1"/>
      <w:numFmt w:val="bullet"/>
      <w:lvlText w:val=""/>
      <w:lvlJc w:val="left"/>
      <w:pPr>
        <w:ind w:left="3294" w:hanging="360"/>
      </w:pPr>
      <w:rPr>
        <w:rFonts w:ascii="Wingdings" w:hAnsi="Wingdings" w:hint="default"/>
      </w:rPr>
    </w:lvl>
    <w:lvl w:ilvl="3" w:tplc="042D0001" w:tentative="1">
      <w:start w:val="1"/>
      <w:numFmt w:val="bullet"/>
      <w:lvlText w:val=""/>
      <w:lvlJc w:val="left"/>
      <w:pPr>
        <w:ind w:left="4014" w:hanging="360"/>
      </w:pPr>
      <w:rPr>
        <w:rFonts w:ascii="Symbol" w:hAnsi="Symbol" w:hint="default"/>
      </w:rPr>
    </w:lvl>
    <w:lvl w:ilvl="4" w:tplc="042D0003" w:tentative="1">
      <w:start w:val="1"/>
      <w:numFmt w:val="bullet"/>
      <w:lvlText w:val="o"/>
      <w:lvlJc w:val="left"/>
      <w:pPr>
        <w:ind w:left="4734" w:hanging="360"/>
      </w:pPr>
      <w:rPr>
        <w:rFonts w:ascii="Courier New" w:hAnsi="Courier New" w:cs="Courier New" w:hint="default"/>
      </w:rPr>
    </w:lvl>
    <w:lvl w:ilvl="5" w:tplc="042D0005" w:tentative="1">
      <w:start w:val="1"/>
      <w:numFmt w:val="bullet"/>
      <w:lvlText w:val=""/>
      <w:lvlJc w:val="left"/>
      <w:pPr>
        <w:ind w:left="5454" w:hanging="360"/>
      </w:pPr>
      <w:rPr>
        <w:rFonts w:ascii="Wingdings" w:hAnsi="Wingdings" w:hint="default"/>
      </w:rPr>
    </w:lvl>
    <w:lvl w:ilvl="6" w:tplc="042D0001" w:tentative="1">
      <w:start w:val="1"/>
      <w:numFmt w:val="bullet"/>
      <w:lvlText w:val=""/>
      <w:lvlJc w:val="left"/>
      <w:pPr>
        <w:ind w:left="6174" w:hanging="360"/>
      </w:pPr>
      <w:rPr>
        <w:rFonts w:ascii="Symbol" w:hAnsi="Symbol" w:hint="default"/>
      </w:rPr>
    </w:lvl>
    <w:lvl w:ilvl="7" w:tplc="042D0003" w:tentative="1">
      <w:start w:val="1"/>
      <w:numFmt w:val="bullet"/>
      <w:lvlText w:val="o"/>
      <w:lvlJc w:val="left"/>
      <w:pPr>
        <w:ind w:left="6894" w:hanging="360"/>
      </w:pPr>
      <w:rPr>
        <w:rFonts w:ascii="Courier New" w:hAnsi="Courier New" w:cs="Courier New" w:hint="default"/>
      </w:rPr>
    </w:lvl>
    <w:lvl w:ilvl="8" w:tplc="042D0005" w:tentative="1">
      <w:start w:val="1"/>
      <w:numFmt w:val="bullet"/>
      <w:lvlText w:val=""/>
      <w:lvlJc w:val="left"/>
      <w:pPr>
        <w:ind w:left="7614" w:hanging="360"/>
      </w:pPr>
      <w:rPr>
        <w:rFonts w:ascii="Wingdings" w:hAnsi="Wingdings" w:hint="default"/>
      </w:rPr>
    </w:lvl>
  </w:abstractNum>
  <w:abstractNum w:abstractNumId="4" w15:restartNumberingAfterBreak="0">
    <w:nsid w:val="16137AB0"/>
    <w:multiLevelType w:val="hybridMultilevel"/>
    <w:tmpl w:val="16C6FB40"/>
    <w:lvl w:ilvl="0" w:tplc="95D6B7F0">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F6593C"/>
    <w:multiLevelType w:val="hybridMultilevel"/>
    <w:tmpl w:val="4E24502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FD73CCD"/>
    <w:multiLevelType w:val="hybridMultilevel"/>
    <w:tmpl w:val="9566D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003558"/>
    <w:multiLevelType w:val="singleLevel"/>
    <w:tmpl w:val="698C75D4"/>
    <w:lvl w:ilvl="0">
      <w:numFmt w:val="bullet"/>
      <w:lvlText w:val="-"/>
      <w:lvlJc w:val="left"/>
      <w:pPr>
        <w:tabs>
          <w:tab w:val="num" w:pos="1425"/>
        </w:tabs>
        <w:ind w:left="1425" w:hanging="360"/>
      </w:pPr>
      <w:rPr>
        <w:rFonts w:hint="default"/>
      </w:rPr>
    </w:lvl>
  </w:abstractNum>
  <w:abstractNum w:abstractNumId="8" w15:restartNumberingAfterBreak="0">
    <w:nsid w:val="21306A4F"/>
    <w:multiLevelType w:val="hybridMultilevel"/>
    <w:tmpl w:val="6A6E7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D94909"/>
    <w:multiLevelType w:val="hybridMultilevel"/>
    <w:tmpl w:val="3F7AA424"/>
    <w:lvl w:ilvl="0" w:tplc="50EE08E0">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0" w15:restartNumberingAfterBreak="0">
    <w:nsid w:val="28477291"/>
    <w:multiLevelType w:val="hybridMultilevel"/>
    <w:tmpl w:val="46F81142"/>
    <w:lvl w:ilvl="0" w:tplc="5C744D64">
      <w:numFmt w:val="bullet"/>
      <w:lvlText w:val="-"/>
      <w:lvlJc w:val="left"/>
      <w:pPr>
        <w:ind w:left="927" w:hanging="360"/>
      </w:pPr>
      <w:rPr>
        <w:rFonts w:ascii="Calibri" w:eastAsia="Times New Roman"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299619A6"/>
    <w:multiLevelType w:val="multilevel"/>
    <w:tmpl w:val="711A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00948"/>
    <w:multiLevelType w:val="hybridMultilevel"/>
    <w:tmpl w:val="96B66B70"/>
    <w:lvl w:ilvl="0" w:tplc="F7563420">
      <w:numFmt w:val="bullet"/>
      <w:lvlText w:val="-"/>
      <w:lvlJc w:val="left"/>
      <w:pPr>
        <w:ind w:left="644"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284253"/>
    <w:multiLevelType w:val="hybridMultilevel"/>
    <w:tmpl w:val="76B43580"/>
    <w:lvl w:ilvl="0" w:tplc="50EE08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7B258F6"/>
    <w:multiLevelType w:val="hybridMultilevel"/>
    <w:tmpl w:val="74B0FB8A"/>
    <w:lvl w:ilvl="0" w:tplc="50EE08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4D2123BD"/>
    <w:multiLevelType w:val="singleLevel"/>
    <w:tmpl w:val="958CAACA"/>
    <w:lvl w:ilvl="0">
      <w:start w:val="3"/>
      <w:numFmt w:val="lowerLetter"/>
      <w:lvlText w:val="%1)"/>
      <w:lvlJc w:val="left"/>
      <w:pPr>
        <w:tabs>
          <w:tab w:val="num" w:pos="999"/>
        </w:tabs>
        <w:ind w:left="999" w:hanging="432"/>
      </w:pPr>
      <w:rPr>
        <w:rFonts w:hint="default"/>
      </w:rPr>
    </w:lvl>
  </w:abstractNum>
  <w:abstractNum w:abstractNumId="16" w15:restartNumberingAfterBreak="0">
    <w:nsid w:val="4F2809DD"/>
    <w:multiLevelType w:val="singleLevel"/>
    <w:tmpl w:val="0C0A0001"/>
    <w:lvl w:ilvl="0">
      <w:start w:val="1"/>
      <w:numFmt w:val="bullet"/>
      <w:lvlText w:val=""/>
      <w:lvlJc w:val="left"/>
      <w:pPr>
        <w:ind w:left="720" w:hanging="360"/>
      </w:pPr>
      <w:rPr>
        <w:rFonts w:ascii="Symbol" w:hAnsi="Symbol" w:hint="default"/>
      </w:rPr>
    </w:lvl>
  </w:abstractNum>
  <w:abstractNum w:abstractNumId="17" w15:restartNumberingAfterBreak="0">
    <w:nsid w:val="54CC55A7"/>
    <w:multiLevelType w:val="hybridMultilevel"/>
    <w:tmpl w:val="0CD6DC00"/>
    <w:lvl w:ilvl="0" w:tplc="7A6E5A5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6D204DE"/>
    <w:multiLevelType w:val="hybridMultilevel"/>
    <w:tmpl w:val="D0528284"/>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56FD708F"/>
    <w:multiLevelType w:val="hybridMultilevel"/>
    <w:tmpl w:val="6B749810"/>
    <w:lvl w:ilvl="0" w:tplc="7F6A78F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731D87"/>
    <w:multiLevelType w:val="hybridMultilevel"/>
    <w:tmpl w:val="342E2C64"/>
    <w:lvl w:ilvl="0" w:tplc="14C2A1B6">
      <w:numFmt w:val="bullet"/>
      <w:lvlText w:val="-"/>
      <w:lvlJc w:val="left"/>
      <w:pPr>
        <w:ind w:left="927" w:hanging="360"/>
      </w:pPr>
      <w:rPr>
        <w:rFonts w:ascii="Calibri" w:eastAsia="Times New Roman"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15:restartNumberingAfterBreak="0">
    <w:nsid w:val="5C9218C3"/>
    <w:multiLevelType w:val="multilevel"/>
    <w:tmpl w:val="3288E6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6223F"/>
    <w:multiLevelType w:val="hybridMultilevel"/>
    <w:tmpl w:val="CB867B70"/>
    <w:lvl w:ilvl="0" w:tplc="34E6DC6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60877029"/>
    <w:multiLevelType w:val="multilevel"/>
    <w:tmpl w:val="509CD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AC61E5"/>
    <w:multiLevelType w:val="hybridMultilevel"/>
    <w:tmpl w:val="CBB453F6"/>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5" w15:restartNumberingAfterBreak="1">
    <w:nsid w:val="641E0F89"/>
    <w:multiLevelType w:val="singleLevel"/>
    <w:tmpl w:val="0C0A0017"/>
    <w:lvl w:ilvl="0">
      <w:start w:val="1"/>
      <w:numFmt w:val="lowerLetter"/>
      <w:lvlText w:val="%1)"/>
      <w:lvlJc w:val="left"/>
      <w:pPr>
        <w:tabs>
          <w:tab w:val="num" w:pos="360"/>
        </w:tabs>
        <w:ind w:left="360" w:hanging="360"/>
      </w:pPr>
    </w:lvl>
  </w:abstractNum>
  <w:abstractNum w:abstractNumId="26" w15:restartNumberingAfterBreak="0">
    <w:nsid w:val="698D08CE"/>
    <w:multiLevelType w:val="hybridMultilevel"/>
    <w:tmpl w:val="00E8247A"/>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B0604CA"/>
    <w:multiLevelType w:val="hybridMultilevel"/>
    <w:tmpl w:val="D0E69D5E"/>
    <w:lvl w:ilvl="0" w:tplc="F7563420">
      <w:numFmt w:val="bullet"/>
      <w:lvlText w:val="-"/>
      <w:lvlJc w:val="left"/>
      <w:pPr>
        <w:ind w:left="720" w:hanging="360"/>
      </w:pPr>
      <w:rPr>
        <w:rFonts w:ascii="Verdana" w:eastAsia="Times New Roman" w:hAnsi="Verdana"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F7563420">
      <w:numFmt w:val="bullet"/>
      <w:lvlText w:val="-"/>
      <w:lvlJc w:val="left"/>
      <w:pPr>
        <w:ind w:left="2160" w:hanging="360"/>
      </w:pPr>
      <w:rPr>
        <w:rFonts w:ascii="Verdana" w:eastAsia="Times New Roman" w:hAnsi="Verdana" w:cs="Times New Roman"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BBC4A43"/>
    <w:multiLevelType w:val="hybridMultilevel"/>
    <w:tmpl w:val="DB40BFA6"/>
    <w:lvl w:ilvl="0" w:tplc="040A0005">
      <w:start w:val="1"/>
      <w:numFmt w:val="bullet"/>
      <w:lvlText w:val=""/>
      <w:lvlJc w:val="left"/>
      <w:pPr>
        <w:tabs>
          <w:tab w:val="num" w:pos="720"/>
        </w:tabs>
        <w:ind w:left="720" w:hanging="360"/>
      </w:pPr>
      <w:rPr>
        <w:rFonts w:ascii="Wingdings" w:hAnsi="Wingdings" w:hint="default"/>
      </w:rPr>
    </w:lvl>
    <w:lvl w:ilvl="1" w:tplc="2C16C260">
      <w:start w:val="1"/>
      <w:numFmt w:val="lowerLetter"/>
      <w:lvlText w:val="%2)"/>
      <w:lvlJc w:val="left"/>
      <w:pPr>
        <w:tabs>
          <w:tab w:val="num" w:pos="1440"/>
        </w:tabs>
        <w:ind w:left="1440" w:hanging="360"/>
      </w:p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05CF3"/>
    <w:multiLevelType w:val="hybridMultilevel"/>
    <w:tmpl w:val="1B6E9CFE"/>
    <w:styleLink w:val="Guion"/>
    <w:lvl w:ilvl="0" w:tplc="2646D8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rPr>
    </w:lvl>
    <w:lvl w:ilvl="1" w:tplc="16040D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rPr>
    </w:lvl>
    <w:lvl w:ilvl="2" w:tplc="70BA1B0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color w:val="000000"/>
        <w:spacing w:val="0"/>
        <w:w w:val="100"/>
        <w:kern w:val="0"/>
        <w:position w:val="4"/>
        <w:sz w:val="29"/>
        <w:szCs w:val="29"/>
        <w:highlight w:val="none"/>
        <w:vertAlign w:val="baseline"/>
      </w:rPr>
    </w:lvl>
    <w:lvl w:ilvl="3" w:tplc="93D27B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rPr>
    </w:lvl>
    <w:lvl w:ilvl="4" w:tplc="7CCC0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rPr>
    </w:lvl>
    <w:lvl w:ilvl="5" w:tplc="60AE90B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rPr>
    </w:lvl>
    <w:lvl w:ilvl="6" w:tplc="2B0243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rPr>
    </w:lvl>
    <w:lvl w:ilvl="7" w:tplc="FF6ED8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rPr>
    </w:lvl>
    <w:lvl w:ilvl="8" w:tplc="7382C7F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rPr>
    </w:lvl>
  </w:abstractNum>
  <w:abstractNum w:abstractNumId="30" w15:restartNumberingAfterBreak="0">
    <w:nsid w:val="6CA66232"/>
    <w:multiLevelType w:val="hybridMultilevel"/>
    <w:tmpl w:val="AF5862AC"/>
    <w:lvl w:ilvl="0" w:tplc="BCAA628A">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1" w15:restartNumberingAfterBreak="0">
    <w:nsid w:val="6EB863BF"/>
    <w:multiLevelType w:val="hybridMultilevel"/>
    <w:tmpl w:val="D5E09462"/>
    <w:lvl w:ilvl="0" w:tplc="50EE08E0">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2" w15:restartNumberingAfterBreak="0">
    <w:nsid w:val="6F683882"/>
    <w:multiLevelType w:val="hybridMultilevel"/>
    <w:tmpl w:val="ADF40A8A"/>
    <w:lvl w:ilvl="0" w:tplc="0C0A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Ansi="Arial Unicode MS" w:hint="default"/>
        <w:caps w:val="0"/>
        <w:smallCaps w:val="0"/>
        <w:strike w:val="0"/>
        <w:dstrike w:val="0"/>
        <w:color w:val="000000"/>
        <w:spacing w:val="0"/>
        <w:w w:val="100"/>
        <w:kern w:val="0"/>
        <w:position w:val="4"/>
        <w:sz w:val="29"/>
        <w:szCs w:val="29"/>
        <w:highlight w:val="none"/>
        <w:vertAlign w:val="baseline"/>
      </w:rPr>
    </w:lvl>
    <w:lvl w:ilvl="2" w:tplc="0C0A0017">
      <w:start w:val="1"/>
      <w:numFmt w:val="lowerLetter"/>
      <w:lvlText w:val="%3)"/>
      <w:lvlJc w:val="left"/>
      <w:pPr>
        <w:ind w:left="1800" w:hanging="360"/>
      </w:pPr>
      <w:rPr>
        <w:rFont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FFB3688"/>
    <w:multiLevelType w:val="hybridMultilevel"/>
    <w:tmpl w:val="1B6E9CFE"/>
    <w:numStyleLink w:val="Guion"/>
  </w:abstractNum>
  <w:abstractNum w:abstractNumId="34" w15:restartNumberingAfterBreak="0">
    <w:nsid w:val="73722056"/>
    <w:multiLevelType w:val="hybridMultilevel"/>
    <w:tmpl w:val="984C250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75C55F55"/>
    <w:multiLevelType w:val="hybridMultilevel"/>
    <w:tmpl w:val="C1E284F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15:restartNumberingAfterBreak="0">
    <w:nsid w:val="793E1A2A"/>
    <w:multiLevelType w:val="hybridMultilevel"/>
    <w:tmpl w:val="731A4C36"/>
    <w:lvl w:ilvl="0" w:tplc="5940810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2B696E"/>
    <w:multiLevelType w:val="hybridMultilevel"/>
    <w:tmpl w:val="670A5C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27191551">
    <w:abstractNumId w:val="25"/>
  </w:num>
  <w:num w:numId="2" w16cid:durableId="784543601">
    <w:abstractNumId w:val="15"/>
  </w:num>
  <w:num w:numId="3" w16cid:durableId="2088384487">
    <w:abstractNumId w:val="17"/>
  </w:num>
  <w:num w:numId="4" w16cid:durableId="1006445167">
    <w:abstractNumId w:val="14"/>
  </w:num>
  <w:num w:numId="5" w16cid:durableId="1311717373">
    <w:abstractNumId w:val="0"/>
  </w:num>
  <w:num w:numId="6" w16cid:durableId="912739288">
    <w:abstractNumId w:val="31"/>
  </w:num>
  <w:num w:numId="7" w16cid:durableId="528026818">
    <w:abstractNumId w:val="9"/>
  </w:num>
  <w:num w:numId="8" w16cid:durableId="1648392506">
    <w:abstractNumId w:val="13"/>
  </w:num>
  <w:num w:numId="9" w16cid:durableId="1947272527">
    <w:abstractNumId w:val="28"/>
    <w:lvlOverride w:ilvl="0"/>
    <w:lvlOverride w:ilvl="1">
      <w:startOverride w:val="1"/>
    </w:lvlOverride>
    <w:lvlOverride w:ilvl="2"/>
    <w:lvlOverride w:ilvl="3"/>
    <w:lvlOverride w:ilvl="4"/>
    <w:lvlOverride w:ilvl="5"/>
    <w:lvlOverride w:ilvl="6"/>
    <w:lvlOverride w:ilvl="7"/>
    <w:lvlOverride w:ilvl="8"/>
  </w:num>
  <w:num w:numId="10" w16cid:durableId="1096025772">
    <w:abstractNumId w:val="1"/>
  </w:num>
  <w:num w:numId="11" w16cid:durableId="2084134968">
    <w:abstractNumId w:val="12"/>
  </w:num>
  <w:num w:numId="12" w16cid:durableId="2087727276">
    <w:abstractNumId w:val="16"/>
  </w:num>
  <w:num w:numId="13" w16cid:durableId="1635788092">
    <w:abstractNumId w:val="7"/>
  </w:num>
  <w:num w:numId="14" w16cid:durableId="866330817">
    <w:abstractNumId w:val="37"/>
  </w:num>
  <w:num w:numId="15" w16cid:durableId="587888396">
    <w:abstractNumId w:val="26"/>
  </w:num>
  <w:num w:numId="16" w16cid:durableId="1586106680">
    <w:abstractNumId w:val="27"/>
  </w:num>
  <w:num w:numId="17" w16cid:durableId="1443645340">
    <w:abstractNumId w:val="3"/>
  </w:num>
  <w:num w:numId="18" w16cid:durableId="198902357">
    <w:abstractNumId w:val="23"/>
  </w:num>
  <w:num w:numId="19" w16cid:durableId="1623923729">
    <w:abstractNumId w:val="21"/>
  </w:num>
  <w:num w:numId="20" w16cid:durableId="475529880">
    <w:abstractNumId w:val="11"/>
  </w:num>
  <w:num w:numId="21" w16cid:durableId="281810851">
    <w:abstractNumId w:val="35"/>
  </w:num>
  <w:num w:numId="22" w16cid:durableId="163319743">
    <w:abstractNumId w:val="19"/>
  </w:num>
  <w:num w:numId="23" w16cid:durableId="316883165">
    <w:abstractNumId w:val="22"/>
  </w:num>
  <w:num w:numId="24" w16cid:durableId="970481382">
    <w:abstractNumId w:val="30"/>
  </w:num>
  <w:num w:numId="25" w16cid:durableId="701439066">
    <w:abstractNumId w:val="18"/>
  </w:num>
  <w:num w:numId="26" w16cid:durableId="607350309">
    <w:abstractNumId w:val="24"/>
  </w:num>
  <w:num w:numId="27" w16cid:durableId="651369898">
    <w:abstractNumId w:val="10"/>
  </w:num>
  <w:num w:numId="28" w16cid:durableId="2036611629">
    <w:abstractNumId w:val="20"/>
  </w:num>
  <w:num w:numId="29" w16cid:durableId="1715305203">
    <w:abstractNumId w:val="29"/>
  </w:num>
  <w:num w:numId="30" w16cid:durableId="709844111">
    <w:abstractNumId w:val="33"/>
  </w:num>
  <w:num w:numId="31" w16cid:durableId="1247377815">
    <w:abstractNumId w:val="2"/>
  </w:num>
  <w:num w:numId="32" w16cid:durableId="638999232">
    <w:abstractNumId w:val="32"/>
  </w:num>
  <w:num w:numId="33" w16cid:durableId="110176695">
    <w:abstractNumId w:val="36"/>
  </w:num>
  <w:num w:numId="34" w16cid:durableId="1630549438">
    <w:abstractNumId w:val="4"/>
  </w:num>
  <w:num w:numId="35" w16cid:durableId="1162769863">
    <w:abstractNumId w:val="8"/>
  </w:num>
  <w:num w:numId="36" w16cid:durableId="265308338">
    <w:abstractNumId w:val="5"/>
  </w:num>
  <w:num w:numId="37" w16cid:durableId="598216707">
    <w:abstractNumId w:val="34"/>
  </w:num>
  <w:num w:numId="38" w16cid:durableId="448202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08D"/>
    <w:rsid w:val="00000C31"/>
    <w:rsid w:val="000018A2"/>
    <w:rsid w:val="000019CC"/>
    <w:rsid w:val="00004D32"/>
    <w:rsid w:val="000444D9"/>
    <w:rsid w:val="00045049"/>
    <w:rsid w:val="00054B63"/>
    <w:rsid w:val="000555E7"/>
    <w:rsid w:val="00055ACE"/>
    <w:rsid w:val="000569FE"/>
    <w:rsid w:val="000634EF"/>
    <w:rsid w:val="00066983"/>
    <w:rsid w:val="0007113A"/>
    <w:rsid w:val="00071AD7"/>
    <w:rsid w:val="00076BF2"/>
    <w:rsid w:val="000861A4"/>
    <w:rsid w:val="00087791"/>
    <w:rsid w:val="00091C6E"/>
    <w:rsid w:val="00093BE4"/>
    <w:rsid w:val="000961CC"/>
    <w:rsid w:val="000B240E"/>
    <w:rsid w:val="000B2DD3"/>
    <w:rsid w:val="000B6911"/>
    <w:rsid w:val="000B69EE"/>
    <w:rsid w:val="000C1969"/>
    <w:rsid w:val="000C4D82"/>
    <w:rsid w:val="000D2FD6"/>
    <w:rsid w:val="000D3104"/>
    <w:rsid w:val="000D6CCA"/>
    <w:rsid w:val="000D76AA"/>
    <w:rsid w:val="000E0D66"/>
    <w:rsid w:val="000E75C5"/>
    <w:rsid w:val="000F4B7C"/>
    <w:rsid w:val="000F6604"/>
    <w:rsid w:val="001178C0"/>
    <w:rsid w:val="00120B2B"/>
    <w:rsid w:val="00121CF6"/>
    <w:rsid w:val="00124BE1"/>
    <w:rsid w:val="00143B29"/>
    <w:rsid w:val="001510FA"/>
    <w:rsid w:val="001513E9"/>
    <w:rsid w:val="00172C93"/>
    <w:rsid w:val="00176C9C"/>
    <w:rsid w:val="00182793"/>
    <w:rsid w:val="00182B12"/>
    <w:rsid w:val="00183AD2"/>
    <w:rsid w:val="0018620E"/>
    <w:rsid w:val="0019101A"/>
    <w:rsid w:val="001924A0"/>
    <w:rsid w:val="00195BAE"/>
    <w:rsid w:val="001B7DF0"/>
    <w:rsid w:val="001C7362"/>
    <w:rsid w:val="001D0576"/>
    <w:rsid w:val="001E4D66"/>
    <w:rsid w:val="001E4F32"/>
    <w:rsid w:val="001E5DBE"/>
    <w:rsid w:val="002032B5"/>
    <w:rsid w:val="00210E1A"/>
    <w:rsid w:val="00211BF5"/>
    <w:rsid w:val="00213C21"/>
    <w:rsid w:val="0022706F"/>
    <w:rsid w:val="00231208"/>
    <w:rsid w:val="00232758"/>
    <w:rsid w:val="00232F1E"/>
    <w:rsid w:val="002344E9"/>
    <w:rsid w:val="00235D51"/>
    <w:rsid w:val="00243215"/>
    <w:rsid w:val="00252D2D"/>
    <w:rsid w:val="00261BE3"/>
    <w:rsid w:val="00263219"/>
    <w:rsid w:val="00263DD6"/>
    <w:rsid w:val="002646A7"/>
    <w:rsid w:val="0027011F"/>
    <w:rsid w:val="00276E40"/>
    <w:rsid w:val="00281ED8"/>
    <w:rsid w:val="00281F6D"/>
    <w:rsid w:val="00282955"/>
    <w:rsid w:val="00283912"/>
    <w:rsid w:val="00293806"/>
    <w:rsid w:val="002A138D"/>
    <w:rsid w:val="002A3A13"/>
    <w:rsid w:val="002A546E"/>
    <w:rsid w:val="002A6500"/>
    <w:rsid w:val="002B2A60"/>
    <w:rsid w:val="002C1215"/>
    <w:rsid w:val="002E081F"/>
    <w:rsid w:val="002E1439"/>
    <w:rsid w:val="002E7A1B"/>
    <w:rsid w:val="003007AF"/>
    <w:rsid w:val="00304542"/>
    <w:rsid w:val="003104D6"/>
    <w:rsid w:val="0031124F"/>
    <w:rsid w:val="003151A8"/>
    <w:rsid w:val="003153E3"/>
    <w:rsid w:val="00327318"/>
    <w:rsid w:val="0034018B"/>
    <w:rsid w:val="00342BFC"/>
    <w:rsid w:val="00345A14"/>
    <w:rsid w:val="00353092"/>
    <w:rsid w:val="0035342A"/>
    <w:rsid w:val="003552A0"/>
    <w:rsid w:val="00355F3A"/>
    <w:rsid w:val="00360605"/>
    <w:rsid w:val="00360ECA"/>
    <w:rsid w:val="00362C3F"/>
    <w:rsid w:val="00363964"/>
    <w:rsid w:val="0036461F"/>
    <w:rsid w:val="00370763"/>
    <w:rsid w:val="00372BCA"/>
    <w:rsid w:val="00377595"/>
    <w:rsid w:val="003777F5"/>
    <w:rsid w:val="00380533"/>
    <w:rsid w:val="003925E1"/>
    <w:rsid w:val="003973EF"/>
    <w:rsid w:val="003B0327"/>
    <w:rsid w:val="003B29D9"/>
    <w:rsid w:val="003B5E3A"/>
    <w:rsid w:val="003B7A02"/>
    <w:rsid w:val="003C590D"/>
    <w:rsid w:val="003C6A65"/>
    <w:rsid w:val="003C7272"/>
    <w:rsid w:val="003D34E6"/>
    <w:rsid w:val="003D581D"/>
    <w:rsid w:val="003D6BF2"/>
    <w:rsid w:val="003E43F7"/>
    <w:rsid w:val="003E77E2"/>
    <w:rsid w:val="00407090"/>
    <w:rsid w:val="00410731"/>
    <w:rsid w:val="00411033"/>
    <w:rsid w:val="004117C3"/>
    <w:rsid w:val="00413020"/>
    <w:rsid w:val="00433236"/>
    <w:rsid w:val="00434425"/>
    <w:rsid w:val="00434E03"/>
    <w:rsid w:val="00447524"/>
    <w:rsid w:val="00447734"/>
    <w:rsid w:val="00450287"/>
    <w:rsid w:val="0045640F"/>
    <w:rsid w:val="00456733"/>
    <w:rsid w:val="00456C12"/>
    <w:rsid w:val="00461F86"/>
    <w:rsid w:val="00473557"/>
    <w:rsid w:val="0047551B"/>
    <w:rsid w:val="00485154"/>
    <w:rsid w:val="004B1F8B"/>
    <w:rsid w:val="004B67F6"/>
    <w:rsid w:val="004D1AA5"/>
    <w:rsid w:val="004D3CE6"/>
    <w:rsid w:val="004E252F"/>
    <w:rsid w:val="004E2591"/>
    <w:rsid w:val="004F1204"/>
    <w:rsid w:val="004F421B"/>
    <w:rsid w:val="004F610A"/>
    <w:rsid w:val="00502990"/>
    <w:rsid w:val="00512BB0"/>
    <w:rsid w:val="00525600"/>
    <w:rsid w:val="005370F0"/>
    <w:rsid w:val="00537941"/>
    <w:rsid w:val="005432AF"/>
    <w:rsid w:val="00553A2E"/>
    <w:rsid w:val="00556A58"/>
    <w:rsid w:val="00557CCD"/>
    <w:rsid w:val="00571177"/>
    <w:rsid w:val="00580585"/>
    <w:rsid w:val="0059033B"/>
    <w:rsid w:val="00593040"/>
    <w:rsid w:val="00593B66"/>
    <w:rsid w:val="00593C40"/>
    <w:rsid w:val="00595F24"/>
    <w:rsid w:val="005966F5"/>
    <w:rsid w:val="00597FD6"/>
    <w:rsid w:val="005A0AB3"/>
    <w:rsid w:val="005B432A"/>
    <w:rsid w:val="005B5874"/>
    <w:rsid w:val="005C1601"/>
    <w:rsid w:val="005C2BD3"/>
    <w:rsid w:val="005C5B7F"/>
    <w:rsid w:val="005D7428"/>
    <w:rsid w:val="005E3787"/>
    <w:rsid w:val="005F42B8"/>
    <w:rsid w:val="006003DA"/>
    <w:rsid w:val="00604F48"/>
    <w:rsid w:val="00610E2E"/>
    <w:rsid w:val="00610F01"/>
    <w:rsid w:val="006141C1"/>
    <w:rsid w:val="00627856"/>
    <w:rsid w:val="00636E8F"/>
    <w:rsid w:val="0064593B"/>
    <w:rsid w:val="0066050C"/>
    <w:rsid w:val="00661ECA"/>
    <w:rsid w:val="00666CA6"/>
    <w:rsid w:val="00671A9C"/>
    <w:rsid w:val="00671FD5"/>
    <w:rsid w:val="0067708D"/>
    <w:rsid w:val="00677FFB"/>
    <w:rsid w:val="00693F5E"/>
    <w:rsid w:val="00696D3A"/>
    <w:rsid w:val="00696F92"/>
    <w:rsid w:val="006B3995"/>
    <w:rsid w:val="006B4131"/>
    <w:rsid w:val="006B5383"/>
    <w:rsid w:val="006B5AE3"/>
    <w:rsid w:val="006B6B33"/>
    <w:rsid w:val="006B6CA7"/>
    <w:rsid w:val="006B75DD"/>
    <w:rsid w:val="006C5EA1"/>
    <w:rsid w:val="006C72C4"/>
    <w:rsid w:val="006E1353"/>
    <w:rsid w:val="006E39FE"/>
    <w:rsid w:val="006E5CAF"/>
    <w:rsid w:val="006F1918"/>
    <w:rsid w:val="006F595E"/>
    <w:rsid w:val="006F7E5E"/>
    <w:rsid w:val="00704224"/>
    <w:rsid w:val="00706635"/>
    <w:rsid w:val="007078CD"/>
    <w:rsid w:val="007175AE"/>
    <w:rsid w:val="00740C99"/>
    <w:rsid w:val="0074211F"/>
    <w:rsid w:val="00743A88"/>
    <w:rsid w:val="00743E0F"/>
    <w:rsid w:val="00744A41"/>
    <w:rsid w:val="007511D6"/>
    <w:rsid w:val="00753C60"/>
    <w:rsid w:val="00754DFC"/>
    <w:rsid w:val="007628AC"/>
    <w:rsid w:val="00765E14"/>
    <w:rsid w:val="00770086"/>
    <w:rsid w:val="007726E9"/>
    <w:rsid w:val="00772ED0"/>
    <w:rsid w:val="007741BE"/>
    <w:rsid w:val="007872D7"/>
    <w:rsid w:val="00792F5D"/>
    <w:rsid w:val="00797219"/>
    <w:rsid w:val="007A09D1"/>
    <w:rsid w:val="007A3AF5"/>
    <w:rsid w:val="007B3C3B"/>
    <w:rsid w:val="007B6DCE"/>
    <w:rsid w:val="007B6FBD"/>
    <w:rsid w:val="007D4FD8"/>
    <w:rsid w:val="007D5872"/>
    <w:rsid w:val="007F7900"/>
    <w:rsid w:val="00803A26"/>
    <w:rsid w:val="008138DC"/>
    <w:rsid w:val="00830838"/>
    <w:rsid w:val="00842569"/>
    <w:rsid w:val="00851868"/>
    <w:rsid w:val="00862990"/>
    <w:rsid w:val="00866E87"/>
    <w:rsid w:val="00870D07"/>
    <w:rsid w:val="008733CB"/>
    <w:rsid w:val="00882523"/>
    <w:rsid w:val="00884BDA"/>
    <w:rsid w:val="008860F7"/>
    <w:rsid w:val="008866D0"/>
    <w:rsid w:val="008932C8"/>
    <w:rsid w:val="0089476A"/>
    <w:rsid w:val="00895045"/>
    <w:rsid w:val="00895607"/>
    <w:rsid w:val="008B023D"/>
    <w:rsid w:val="008B1239"/>
    <w:rsid w:val="008B5C3D"/>
    <w:rsid w:val="008B64DC"/>
    <w:rsid w:val="008C0D55"/>
    <w:rsid w:val="008C0D83"/>
    <w:rsid w:val="008C1F11"/>
    <w:rsid w:val="008C65D4"/>
    <w:rsid w:val="008E2BDC"/>
    <w:rsid w:val="008E534F"/>
    <w:rsid w:val="008F11E5"/>
    <w:rsid w:val="00913F99"/>
    <w:rsid w:val="009140B2"/>
    <w:rsid w:val="00916C40"/>
    <w:rsid w:val="009224D7"/>
    <w:rsid w:val="0092683E"/>
    <w:rsid w:val="009278CF"/>
    <w:rsid w:val="00931D22"/>
    <w:rsid w:val="00940F4E"/>
    <w:rsid w:val="00941A0F"/>
    <w:rsid w:val="00942C78"/>
    <w:rsid w:val="0095582F"/>
    <w:rsid w:val="009611EA"/>
    <w:rsid w:val="00962F8D"/>
    <w:rsid w:val="0097222C"/>
    <w:rsid w:val="00973F43"/>
    <w:rsid w:val="00974561"/>
    <w:rsid w:val="009863E2"/>
    <w:rsid w:val="00990EDD"/>
    <w:rsid w:val="009979C0"/>
    <w:rsid w:val="009A1EAD"/>
    <w:rsid w:val="009A5D06"/>
    <w:rsid w:val="009B2937"/>
    <w:rsid w:val="009B2D93"/>
    <w:rsid w:val="009C50D0"/>
    <w:rsid w:val="009D1210"/>
    <w:rsid w:val="009D52A4"/>
    <w:rsid w:val="009E081B"/>
    <w:rsid w:val="009F1595"/>
    <w:rsid w:val="009F5D62"/>
    <w:rsid w:val="009F6EB5"/>
    <w:rsid w:val="00A00C08"/>
    <w:rsid w:val="00A03A54"/>
    <w:rsid w:val="00A04278"/>
    <w:rsid w:val="00A0445C"/>
    <w:rsid w:val="00A0455A"/>
    <w:rsid w:val="00A045E1"/>
    <w:rsid w:val="00A05236"/>
    <w:rsid w:val="00A06357"/>
    <w:rsid w:val="00A11F95"/>
    <w:rsid w:val="00A1242B"/>
    <w:rsid w:val="00A16AC4"/>
    <w:rsid w:val="00A234C0"/>
    <w:rsid w:val="00A23D6C"/>
    <w:rsid w:val="00A30F44"/>
    <w:rsid w:val="00A40C7C"/>
    <w:rsid w:val="00A432FB"/>
    <w:rsid w:val="00A44E06"/>
    <w:rsid w:val="00A61954"/>
    <w:rsid w:val="00A62C9E"/>
    <w:rsid w:val="00A646A8"/>
    <w:rsid w:val="00A85763"/>
    <w:rsid w:val="00A91BFB"/>
    <w:rsid w:val="00A91EAD"/>
    <w:rsid w:val="00A92737"/>
    <w:rsid w:val="00A95BAD"/>
    <w:rsid w:val="00A973B5"/>
    <w:rsid w:val="00AA2B6D"/>
    <w:rsid w:val="00AB3C3C"/>
    <w:rsid w:val="00AB53E7"/>
    <w:rsid w:val="00AB618C"/>
    <w:rsid w:val="00AC235E"/>
    <w:rsid w:val="00AC3B5B"/>
    <w:rsid w:val="00AD3E61"/>
    <w:rsid w:val="00AD719A"/>
    <w:rsid w:val="00AE1219"/>
    <w:rsid w:val="00AE4DAF"/>
    <w:rsid w:val="00AE6ABD"/>
    <w:rsid w:val="00AF63A6"/>
    <w:rsid w:val="00B062D8"/>
    <w:rsid w:val="00B07F3F"/>
    <w:rsid w:val="00B1124E"/>
    <w:rsid w:val="00B202F4"/>
    <w:rsid w:val="00B23007"/>
    <w:rsid w:val="00B41D3B"/>
    <w:rsid w:val="00B512B5"/>
    <w:rsid w:val="00B5355F"/>
    <w:rsid w:val="00B5389C"/>
    <w:rsid w:val="00B719FE"/>
    <w:rsid w:val="00B72D05"/>
    <w:rsid w:val="00B752FD"/>
    <w:rsid w:val="00B7718B"/>
    <w:rsid w:val="00B80B58"/>
    <w:rsid w:val="00B83F0E"/>
    <w:rsid w:val="00B848FE"/>
    <w:rsid w:val="00BA023B"/>
    <w:rsid w:val="00BA66A2"/>
    <w:rsid w:val="00BB4A6A"/>
    <w:rsid w:val="00BC2B72"/>
    <w:rsid w:val="00BC50F4"/>
    <w:rsid w:val="00BC510E"/>
    <w:rsid w:val="00BD2D73"/>
    <w:rsid w:val="00BD593E"/>
    <w:rsid w:val="00BD6676"/>
    <w:rsid w:val="00BE0AC9"/>
    <w:rsid w:val="00BE0E56"/>
    <w:rsid w:val="00BE22C1"/>
    <w:rsid w:val="00BF4856"/>
    <w:rsid w:val="00C05EB9"/>
    <w:rsid w:val="00C07C99"/>
    <w:rsid w:val="00C12851"/>
    <w:rsid w:val="00C14042"/>
    <w:rsid w:val="00C177C4"/>
    <w:rsid w:val="00C17FE1"/>
    <w:rsid w:val="00C26301"/>
    <w:rsid w:val="00C2661E"/>
    <w:rsid w:val="00C27E5F"/>
    <w:rsid w:val="00C3104C"/>
    <w:rsid w:val="00C31083"/>
    <w:rsid w:val="00C326F8"/>
    <w:rsid w:val="00C4417B"/>
    <w:rsid w:val="00C44E0E"/>
    <w:rsid w:val="00C51C80"/>
    <w:rsid w:val="00C54EF2"/>
    <w:rsid w:val="00C55C93"/>
    <w:rsid w:val="00C5704C"/>
    <w:rsid w:val="00C6108C"/>
    <w:rsid w:val="00C62E18"/>
    <w:rsid w:val="00C67925"/>
    <w:rsid w:val="00C73F27"/>
    <w:rsid w:val="00C81601"/>
    <w:rsid w:val="00C8513B"/>
    <w:rsid w:val="00C8576A"/>
    <w:rsid w:val="00C90AE2"/>
    <w:rsid w:val="00C93DBB"/>
    <w:rsid w:val="00C9633D"/>
    <w:rsid w:val="00CA2B96"/>
    <w:rsid w:val="00CB08F5"/>
    <w:rsid w:val="00CC1A88"/>
    <w:rsid w:val="00CC4DD9"/>
    <w:rsid w:val="00CC5914"/>
    <w:rsid w:val="00CC7172"/>
    <w:rsid w:val="00CD1BA4"/>
    <w:rsid w:val="00CD6786"/>
    <w:rsid w:val="00D01F67"/>
    <w:rsid w:val="00D14240"/>
    <w:rsid w:val="00D14941"/>
    <w:rsid w:val="00D16D41"/>
    <w:rsid w:val="00D20591"/>
    <w:rsid w:val="00D20E43"/>
    <w:rsid w:val="00D23E43"/>
    <w:rsid w:val="00D24E51"/>
    <w:rsid w:val="00D25014"/>
    <w:rsid w:val="00D35C7F"/>
    <w:rsid w:val="00D43CC5"/>
    <w:rsid w:val="00D47209"/>
    <w:rsid w:val="00D52C8E"/>
    <w:rsid w:val="00D55F45"/>
    <w:rsid w:val="00D6059A"/>
    <w:rsid w:val="00D61337"/>
    <w:rsid w:val="00D6206F"/>
    <w:rsid w:val="00D640C4"/>
    <w:rsid w:val="00D714D2"/>
    <w:rsid w:val="00D74C1B"/>
    <w:rsid w:val="00D76D78"/>
    <w:rsid w:val="00D77385"/>
    <w:rsid w:val="00D8131D"/>
    <w:rsid w:val="00D92708"/>
    <w:rsid w:val="00D92966"/>
    <w:rsid w:val="00D9538C"/>
    <w:rsid w:val="00D95EB1"/>
    <w:rsid w:val="00DA13D0"/>
    <w:rsid w:val="00DA1F62"/>
    <w:rsid w:val="00DA2C80"/>
    <w:rsid w:val="00DA46E5"/>
    <w:rsid w:val="00DB48C2"/>
    <w:rsid w:val="00DB61AD"/>
    <w:rsid w:val="00DC512B"/>
    <w:rsid w:val="00DC6373"/>
    <w:rsid w:val="00DD0FF6"/>
    <w:rsid w:val="00DD2930"/>
    <w:rsid w:val="00DD39B6"/>
    <w:rsid w:val="00DD44D8"/>
    <w:rsid w:val="00DD4C54"/>
    <w:rsid w:val="00DD5152"/>
    <w:rsid w:val="00DE2FBD"/>
    <w:rsid w:val="00DE4DF9"/>
    <w:rsid w:val="00DF16DE"/>
    <w:rsid w:val="00DF1CD7"/>
    <w:rsid w:val="00DF30A7"/>
    <w:rsid w:val="00E022F8"/>
    <w:rsid w:val="00E05102"/>
    <w:rsid w:val="00E07CE4"/>
    <w:rsid w:val="00E1433B"/>
    <w:rsid w:val="00E14731"/>
    <w:rsid w:val="00E1594E"/>
    <w:rsid w:val="00E16B85"/>
    <w:rsid w:val="00E258F9"/>
    <w:rsid w:val="00E311C2"/>
    <w:rsid w:val="00E31FDA"/>
    <w:rsid w:val="00E360BA"/>
    <w:rsid w:val="00E46B70"/>
    <w:rsid w:val="00E535D7"/>
    <w:rsid w:val="00E63341"/>
    <w:rsid w:val="00E6345C"/>
    <w:rsid w:val="00E70214"/>
    <w:rsid w:val="00E73B28"/>
    <w:rsid w:val="00E76A77"/>
    <w:rsid w:val="00E95EC7"/>
    <w:rsid w:val="00EA0664"/>
    <w:rsid w:val="00EA156A"/>
    <w:rsid w:val="00EB010A"/>
    <w:rsid w:val="00EB317A"/>
    <w:rsid w:val="00EC46A2"/>
    <w:rsid w:val="00EC720A"/>
    <w:rsid w:val="00EE3C96"/>
    <w:rsid w:val="00EF091A"/>
    <w:rsid w:val="00EF0E6F"/>
    <w:rsid w:val="00EF3992"/>
    <w:rsid w:val="00EF57F0"/>
    <w:rsid w:val="00EF7562"/>
    <w:rsid w:val="00F03713"/>
    <w:rsid w:val="00F11623"/>
    <w:rsid w:val="00F1189C"/>
    <w:rsid w:val="00F24998"/>
    <w:rsid w:val="00F336A5"/>
    <w:rsid w:val="00F4602A"/>
    <w:rsid w:val="00F5017A"/>
    <w:rsid w:val="00F51D09"/>
    <w:rsid w:val="00F537AC"/>
    <w:rsid w:val="00F61452"/>
    <w:rsid w:val="00F6639D"/>
    <w:rsid w:val="00F80B17"/>
    <w:rsid w:val="00F8232A"/>
    <w:rsid w:val="00F859B1"/>
    <w:rsid w:val="00F86809"/>
    <w:rsid w:val="00F8731D"/>
    <w:rsid w:val="00FB0B9A"/>
    <w:rsid w:val="00FB1B4B"/>
    <w:rsid w:val="00FB3C13"/>
    <w:rsid w:val="00FB5A39"/>
    <w:rsid w:val="00FB6CEC"/>
    <w:rsid w:val="00FB7300"/>
    <w:rsid w:val="00FC43DB"/>
    <w:rsid w:val="00FC4A76"/>
    <w:rsid w:val="00FC6D3F"/>
    <w:rsid w:val="00FD40E8"/>
    <w:rsid w:val="00FD48E3"/>
    <w:rsid w:val="00FD4DE6"/>
    <w:rsid w:val="00FD7AAC"/>
    <w:rsid w:val="00FE4025"/>
    <w:rsid w:val="00FE5DC4"/>
    <w:rsid w:val="00FF1E4B"/>
    <w:rsid w:val="00FF3327"/>
    <w:rsid w:val="00FF338B"/>
    <w:rsid w:val="00FF3BF8"/>
    <w:rsid w:val="00FF5D74"/>
    <w:rsid w:val="2F78FB91"/>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BFD3B"/>
  <w15:chartTrackingRefBased/>
  <w15:docId w15:val="{E455B8D0-B076-4DBE-A753-07F7127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qFormat/>
    <w:pPr>
      <w:keepNext/>
      <w:outlineLvl w:val="4"/>
    </w:pPr>
    <w:rPr>
      <w:rFonts w:ascii="Arial" w:hAnsi="Arial"/>
      <w:i/>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pPr>
      <w:tabs>
        <w:tab w:val="center" w:pos="4819"/>
        <w:tab w:val="right" w:pos="9071"/>
      </w:tabs>
    </w:pPr>
  </w:style>
  <w:style w:type="paragraph" w:styleId="Encabezado">
    <w:name w:val="header"/>
    <w:basedOn w:val="Normal"/>
    <w:link w:val="EncabezadoCar"/>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Hipervnculo">
    <w:name w:val="Hyperlink"/>
    <w:rPr>
      <w:color w:val="0000FF"/>
      <w:u w:val="single"/>
    </w:rPr>
  </w:style>
  <w:style w:type="paragraph" w:customStyle="1" w:styleId="Car">
    <w:name w:val="Car"/>
    <w:basedOn w:val="Normal"/>
    <w:rsid w:val="00C4417B"/>
    <w:pPr>
      <w:spacing w:after="160" w:line="240" w:lineRule="exact"/>
    </w:pPr>
    <w:rPr>
      <w:rFonts w:ascii="Tahoma" w:hAnsi="Tahoma" w:cs="Tahoma"/>
      <w:sz w:val="20"/>
      <w:lang w:val="en-US" w:eastAsia="en-US"/>
    </w:rPr>
  </w:style>
  <w:style w:type="character" w:customStyle="1" w:styleId="EncabezadoCar">
    <w:name w:val="Encabezado Car"/>
    <w:link w:val="Encabezado"/>
    <w:uiPriority w:val="99"/>
    <w:rsid w:val="006141C1"/>
    <w:rPr>
      <w:sz w:val="24"/>
      <w:lang w:val="es-ES_tradnl" w:eastAsia="es-ES_tradnl"/>
    </w:rPr>
  </w:style>
  <w:style w:type="paragraph" w:styleId="Textodeglobo">
    <w:name w:val="Balloon Text"/>
    <w:basedOn w:val="Normal"/>
    <w:link w:val="TextodegloboCar"/>
    <w:rsid w:val="005D7428"/>
    <w:rPr>
      <w:rFonts w:ascii="Segoe UI" w:hAnsi="Segoe UI" w:cs="Segoe UI"/>
      <w:sz w:val="18"/>
      <w:szCs w:val="18"/>
    </w:rPr>
  </w:style>
  <w:style w:type="character" w:customStyle="1" w:styleId="TextodegloboCar">
    <w:name w:val="Texto de globo Car"/>
    <w:link w:val="Textodeglobo"/>
    <w:rsid w:val="005D7428"/>
    <w:rPr>
      <w:rFonts w:ascii="Segoe UI" w:hAnsi="Segoe UI" w:cs="Segoe UI"/>
      <w:sz w:val="18"/>
      <w:szCs w:val="18"/>
      <w:lang w:val="es-ES_tradnl" w:eastAsia="es-ES_tradnl"/>
    </w:rPr>
  </w:style>
  <w:style w:type="table" w:styleId="Tablaconcuadrcula">
    <w:name w:val="Table Grid"/>
    <w:basedOn w:val="Tablanormal"/>
    <w:rsid w:val="00DB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6911"/>
    <w:pPr>
      <w:spacing w:before="100" w:beforeAutospacing="1" w:after="100" w:afterAutospacing="1"/>
    </w:pPr>
    <w:rPr>
      <w:szCs w:val="24"/>
      <w:lang w:val="es-ES" w:eastAsia="es-ES"/>
    </w:rPr>
  </w:style>
  <w:style w:type="character" w:customStyle="1" w:styleId="negrita">
    <w:name w:val="negrita"/>
    <w:basedOn w:val="Fuentedeprrafopredeter"/>
    <w:rsid w:val="000B6911"/>
  </w:style>
  <w:style w:type="character" w:styleId="Textoennegrita">
    <w:name w:val="Strong"/>
    <w:qFormat/>
    <w:rsid w:val="00DE4DF9"/>
    <w:rPr>
      <w:b/>
    </w:rPr>
  </w:style>
  <w:style w:type="paragraph" w:customStyle="1" w:styleId="Blockquote">
    <w:name w:val="Blockquote"/>
    <w:basedOn w:val="Normal"/>
    <w:rsid w:val="00DE4DF9"/>
    <w:pPr>
      <w:spacing w:before="100" w:after="100"/>
      <w:ind w:left="360" w:right="360"/>
    </w:pPr>
    <w:rPr>
      <w:snapToGrid w:val="0"/>
      <w:lang w:eastAsia="es-ES"/>
    </w:rPr>
  </w:style>
  <w:style w:type="paragraph" w:styleId="Textoindependiente">
    <w:name w:val="Body Text"/>
    <w:basedOn w:val="Normal"/>
    <w:link w:val="TextoindependienteCar"/>
    <w:rsid w:val="000961CC"/>
    <w:rPr>
      <w:sz w:val="22"/>
      <w:lang w:val="es-ES" w:eastAsia="es-ES"/>
    </w:rPr>
  </w:style>
  <w:style w:type="character" w:customStyle="1" w:styleId="TextoindependienteCar">
    <w:name w:val="Texto independiente Car"/>
    <w:link w:val="Textoindependiente"/>
    <w:rsid w:val="000961CC"/>
    <w:rPr>
      <w:sz w:val="22"/>
    </w:rPr>
  </w:style>
  <w:style w:type="character" w:customStyle="1" w:styleId="x42theaderid">
    <w:name w:val="x42theaderid"/>
    <w:basedOn w:val="Fuentedeprrafopredeter"/>
    <w:rsid w:val="00797219"/>
  </w:style>
  <w:style w:type="paragraph" w:customStyle="1" w:styleId="Cuerpo">
    <w:name w:val="Cuerpo"/>
    <w:rsid w:val="00A0455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numbering" w:customStyle="1" w:styleId="Guion">
    <w:name w:val="Guion"/>
    <w:rsid w:val="00A0455A"/>
    <w:pPr>
      <w:numPr>
        <w:numId w:val="29"/>
      </w:numPr>
    </w:pPr>
  </w:style>
  <w:style w:type="character" w:customStyle="1" w:styleId="Ninguno">
    <w:name w:val="Ninguno"/>
    <w:rsid w:val="00A0455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872">
      <w:bodyDiv w:val="1"/>
      <w:marLeft w:val="0"/>
      <w:marRight w:val="0"/>
      <w:marTop w:val="0"/>
      <w:marBottom w:val="0"/>
      <w:divBdr>
        <w:top w:val="none" w:sz="0" w:space="0" w:color="auto"/>
        <w:left w:val="none" w:sz="0" w:space="0" w:color="auto"/>
        <w:bottom w:val="none" w:sz="0" w:space="0" w:color="auto"/>
        <w:right w:val="none" w:sz="0" w:space="0" w:color="auto"/>
      </w:divBdr>
    </w:div>
    <w:div w:id="423040274">
      <w:bodyDiv w:val="1"/>
      <w:marLeft w:val="0"/>
      <w:marRight w:val="0"/>
      <w:marTop w:val="0"/>
      <w:marBottom w:val="0"/>
      <w:divBdr>
        <w:top w:val="none" w:sz="0" w:space="0" w:color="auto"/>
        <w:left w:val="none" w:sz="0" w:space="0" w:color="auto"/>
        <w:bottom w:val="none" w:sz="0" w:space="0" w:color="auto"/>
        <w:right w:val="none" w:sz="0" w:space="0" w:color="auto"/>
      </w:divBdr>
    </w:div>
    <w:div w:id="689524049">
      <w:bodyDiv w:val="1"/>
      <w:marLeft w:val="0"/>
      <w:marRight w:val="0"/>
      <w:marTop w:val="0"/>
      <w:marBottom w:val="0"/>
      <w:divBdr>
        <w:top w:val="none" w:sz="0" w:space="0" w:color="auto"/>
        <w:left w:val="none" w:sz="0" w:space="0" w:color="auto"/>
        <w:bottom w:val="none" w:sz="0" w:space="0" w:color="auto"/>
        <w:right w:val="none" w:sz="0" w:space="0" w:color="auto"/>
      </w:divBdr>
    </w:div>
    <w:div w:id="760377344">
      <w:bodyDiv w:val="1"/>
      <w:marLeft w:val="0"/>
      <w:marRight w:val="0"/>
      <w:marTop w:val="0"/>
      <w:marBottom w:val="0"/>
      <w:divBdr>
        <w:top w:val="none" w:sz="0" w:space="0" w:color="auto"/>
        <w:left w:val="none" w:sz="0" w:space="0" w:color="auto"/>
        <w:bottom w:val="none" w:sz="0" w:space="0" w:color="auto"/>
        <w:right w:val="none" w:sz="0" w:space="0" w:color="auto"/>
      </w:divBdr>
    </w:div>
    <w:div w:id="911505558">
      <w:bodyDiv w:val="1"/>
      <w:marLeft w:val="0"/>
      <w:marRight w:val="0"/>
      <w:marTop w:val="0"/>
      <w:marBottom w:val="0"/>
      <w:divBdr>
        <w:top w:val="none" w:sz="0" w:space="0" w:color="auto"/>
        <w:left w:val="none" w:sz="0" w:space="0" w:color="auto"/>
        <w:bottom w:val="none" w:sz="0" w:space="0" w:color="auto"/>
        <w:right w:val="none" w:sz="0" w:space="0" w:color="auto"/>
      </w:divBdr>
    </w:div>
    <w:div w:id="1311519616">
      <w:bodyDiv w:val="1"/>
      <w:marLeft w:val="0"/>
      <w:marRight w:val="0"/>
      <w:marTop w:val="0"/>
      <w:marBottom w:val="0"/>
      <w:divBdr>
        <w:top w:val="none" w:sz="0" w:space="0" w:color="auto"/>
        <w:left w:val="none" w:sz="0" w:space="0" w:color="auto"/>
        <w:bottom w:val="none" w:sz="0" w:space="0" w:color="auto"/>
        <w:right w:val="none" w:sz="0" w:space="0" w:color="auto"/>
      </w:divBdr>
      <w:divsChild>
        <w:div w:id="1140196141">
          <w:marLeft w:val="0"/>
          <w:marRight w:val="0"/>
          <w:marTop w:val="180"/>
          <w:marBottom w:val="0"/>
          <w:divBdr>
            <w:top w:val="none" w:sz="0" w:space="0" w:color="auto"/>
            <w:left w:val="none" w:sz="0" w:space="0" w:color="auto"/>
            <w:bottom w:val="none" w:sz="0" w:space="0" w:color="auto"/>
            <w:right w:val="none" w:sz="0" w:space="0" w:color="auto"/>
          </w:divBdr>
        </w:div>
      </w:divsChild>
    </w:div>
    <w:div w:id="1425612903">
      <w:bodyDiv w:val="1"/>
      <w:marLeft w:val="0"/>
      <w:marRight w:val="0"/>
      <w:marTop w:val="0"/>
      <w:marBottom w:val="0"/>
      <w:divBdr>
        <w:top w:val="none" w:sz="0" w:space="0" w:color="auto"/>
        <w:left w:val="none" w:sz="0" w:space="0" w:color="auto"/>
        <w:bottom w:val="none" w:sz="0" w:space="0" w:color="auto"/>
        <w:right w:val="none" w:sz="0" w:space="0" w:color="auto"/>
      </w:divBdr>
    </w:div>
    <w:div w:id="1496914271">
      <w:bodyDiv w:val="1"/>
      <w:marLeft w:val="0"/>
      <w:marRight w:val="0"/>
      <w:marTop w:val="0"/>
      <w:marBottom w:val="0"/>
      <w:divBdr>
        <w:top w:val="none" w:sz="0" w:space="0" w:color="auto"/>
        <w:left w:val="none" w:sz="0" w:space="0" w:color="auto"/>
        <w:bottom w:val="none" w:sz="0" w:space="0" w:color="auto"/>
        <w:right w:val="none" w:sz="0" w:space="0" w:color="auto"/>
      </w:divBdr>
    </w:div>
    <w:div w:id="1652519411">
      <w:bodyDiv w:val="1"/>
      <w:marLeft w:val="0"/>
      <w:marRight w:val="0"/>
      <w:marTop w:val="0"/>
      <w:marBottom w:val="0"/>
      <w:divBdr>
        <w:top w:val="none" w:sz="0" w:space="0" w:color="auto"/>
        <w:left w:val="none" w:sz="0" w:space="0" w:color="auto"/>
        <w:bottom w:val="none" w:sz="0" w:space="0" w:color="auto"/>
        <w:right w:val="none" w:sz="0" w:space="0" w:color="auto"/>
      </w:divBdr>
    </w:div>
    <w:div w:id="18812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skadi.eus/bopv2/datos/2006/03/0601367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PLANTILL\DIRFARMACIA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2B5B7F71BBA44B632B5A73B56616E" ma:contentTypeVersion="18" ma:contentTypeDescription="Create a new document." ma:contentTypeScope="" ma:versionID="b962d389fe6522a80dc179d08bd9a9db">
  <xsd:schema xmlns:xsd="http://www.w3.org/2001/XMLSchema" xmlns:xs="http://www.w3.org/2001/XMLSchema" xmlns:p="http://schemas.microsoft.com/office/2006/metadata/properties" xmlns:ns2="0bedec0e-ce89-4f71-aad7-765f6d56eeaa" xmlns:ns3="2181b18d-d5bb-4661-9cbe-9a09a103df1c" targetNamespace="http://schemas.microsoft.com/office/2006/metadata/properties" ma:root="true" ma:fieldsID="da23866d7bf42fe75ebb3b50c3bba1cc" ns2:_="" ns3:_="">
    <xsd:import namespace="0bedec0e-ce89-4f71-aad7-765f6d56eeaa"/>
    <xsd:import namespace="2181b18d-d5bb-4661-9cbe-9a09a103df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dec0e-ce89-4f71-aad7-765f6d56e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1b18d-d5bb-4661-9cbe-9a09a103df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e1a7f6-4b3e-45b1-a979-64214f839bcd}" ma:internalName="TaxCatchAll" ma:showField="CatchAllData" ma:web="2181b18d-d5bb-4661-9cbe-9a09a103d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dec0e-ce89-4f71-aad7-765f6d56eeaa">
      <Terms xmlns="http://schemas.microsoft.com/office/infopath/2007/PartnerControls"/>
    </lcf76f155ced4ddcb4097134ff3c332f>
    <TaxCatchAll xmlns="2181b18d-d5bb-4661-9cbe-9a09a103df1c" xsi:nil="true"/>
  </documentManagement>
</p:properties>
</file>

<file path=customXml/itemProps1.xml><?xml version="1.0" encoding="utf-8"?>
<ds:datastoreItem xmlns:ds="http://schemas.openxmlformats.org/officeDocument/2006/customXml" ds:itemID="{E58786A5-CEAD-47DA-A5B2-CEEFDC759302}">
  <ds:schemaRefs>
    <ds:schemaRef ds:uri="http://schemas.openxmlformats.org/officeDocument/2006/bibliography"/>
  </ds:schemaRefs>
</ds:datastoreItem>
</file>

<file path=customXml/itemProps2.xml><?xml version="1.0" encoding="utf-8"?>
<ds:datastoreItem xmlns:ds="http://schemas.openxmlformats.org/officeDocument/2006/customXml" ds:itemID="{ED745889-F8ED-4256-853F-9ABF3FC9FDC0}"/>
</file>

<file path=customXml/itemProps3.xml><?xml version="1.0" encoding="utf-8"?>
<ds:datastoreItem xmlns:ds="http://schemas.openxmlformats.org/officeDocument/2006/customXml" ds:itemID="{6845D722-33A5-45C4-B8AE-1E325235B0BE}">
  <ds:schemaRefs>
    <ds:schemaRef ds:uri="http://schemas.microsoft.com/sharepoint/v3/contenttype/forms"/>
  </ds:schemaRefs>
</ds:datastoreItem>
</file>

<file path=customXml/itemProps4.xml><?xml version="1.0" encoding="utf-8"?>
<ds:datastoreItem xmlns:ds="http://schemas.openxmlformats.org/officeDocument/2006/customXml" ds:itemID="{552AA541-3115-48F2-A67C-E7FFF00E137E}">
  <ds:schemaRefs>
    <ds:schemaRef ds:uri="http://schemas.microsoft.com/office/2006/metadata/properties"/>
    <ds:schemaRef ds:uri="http://schemas.microsoft.com/office/infopath/2007/PartnerControls"/>
    <ds:schemaRef ds:uri="0bedec0e-ce89-4f71-aad7-765f6d56eeaa"/>
    <ds:schemaRef ds:uri="2181b18d-d5bb-4661-9cbe-9a09a103df1c"/>
  </ds:schemaRefs>
</ds:datastoreItem>
</file>

<file path=docProps/app.xml><?xml version="1.0" encoding="utf-8"?>
<Properties xmlns="http://schemas.openxmlformats.org/officeDocument/2006/extended-properties" xmlns:vt="http://schemas.openxmlformats.org/officeDocument/2006/docPropsVTypes">
  <Template>DIRFARMACIA1.dot</Template>
  <TotalTime>1</TotalTime>
  <Pages>9</Pages>
  <Words>2780</Words>
  <Characters>15291</Characters>
  <Application>Microsoft Office Word</Application>
  <DocSecurity>0</DocSecurity>
  <Lines>127</Lines>
  <Paragraphs>36</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u1213yal</dc:creator>
  <cp:keywords/>
  <cp:lastModifiedBy>Gonzalez De Zarate Ruiz, Gorka</cp:lastModifiedBy>
  <cp:revision>46</cp:revision>
  <cp:lastPrinted>2022-01-12T08:09:00Z</cp:lastPrinted>
  <dcterms:created xsi:type="dcterms:W3CDTF">2024-01-02T11:57:00Z</dcterms:created>
  <dcterms:modified xsi:type="dcterms:W3CDTF">2025-01-23T09:39:00Z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0x010100D592B5B7F71BBA44B632B5A73B56616E</vt:lpwstr>
  </property>
  <property fmtid="{D5CDD505-2E9C-101B-9397-08002B2CF9AE}" pid="3" name="MediaServiceImageTags">
    <vt:lpwstr/>
  </property>
</Properties>
</file>